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111" w:name="_GoBack"/>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425"/>
      <w:bookmarkStart w:id="2" w:name="_Toc15396475"/>
      <w:bookmarkStart w:id="3" w:name="_Toc1681"/>
      <w:bookmarkStart w:id="4" w:name="_Toc15396597"/>
      <w:bookmarkStart w:id="5" w:name="_Toc23980"/>
      <w:bookmarkStart w:id="6" w:name="_Toc15378441"/>
      <w:bookmarkStart w:id="7"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1473"/>
      <w:bookmarkStart w:id="9" w:name="_Toc17433"/>
      <w:bookmarkStart w:id="10" w:name="_Toc15396476"/>
      <w:bookmarkStart w:id="11" w:name="_Toc15378442"/>
      <w:bookmarkStart w:id="12" w:name="_Toc15377194"/>
      <w:bookmarkStart w:id="13" w:name="_Toc15377426"/>
      <w:bookmarkStart w:id="14" w:name="_Toc15396598"/>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6" w:name="_Toc2341"/>
      <w:bookmarkStart w:id="17" w:name="_Toc9679"/>
      <w:r>
        <w:rPr>
          <w:rFonts w:hint="eastAsia" w:ascii="方正小标宋_GBK" w:hAnsi="方正小标宋_GBK" w:eastAsia="方正小标宋_GBK" w:cs="方正小标宋_GBK"/>
          <w:color w:val="auto"/>
          <w:sz w:val="72"/>
          <w:szCs w:val="72"/>
          <w:highlight w:val="none"/>
          <w:lang w:eastAsia="zh-CN"/>
        </w:rPr>
        <w:t>磨滩镇小新小学</w:t>
      </w:r>
      <w:r>
        <w:rPr>
          <w:rFonts w:hint="eastAsia" w:ascii="方正小标宋_GBK" w:hAnsi="方正小标宋_GBK" w:eastAsia="方正小标宋_GBK" w:cs="方正小标宋_GBK"/>
          <w:color w:val="auto"/>
          <w:sz w:val="72"/>
          <w:szCs w:val="72"/>
          <w:highlight w:val="none"/>
        </w:rPr>
        <w:t>单位决算</w:t>
      </w:r>
      <w:bookmarkEnd w:id="10"/>
      <w:bookmarkEnd w:id="11"/>
      <w:bookmarkEnd w:id="12"/>
      <w:bookmarkEnd w:id="13"/>
      <w:bookmarkEnd w:id="14"/>
      <w:bookmarkEnd w:id="15"/>
      <w:bookmarkEnd w:id="16"/>
      <w:bookmarkEnd w:id="17"/>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17</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pPr>
        <w:rPr>
          <w:color w:val="auto"/>
          <w:highlight w:val="none"/>
        </w:rPr>
      </w:pPr>
    </w:p>
    <w:p>
      <w:pPr>
        <w:pStyle w:val="3"/>
        <w:bidi w:val="0"/>
        <w:rPr>
          <w:color w:val="auto"/>
          <w:highlight w:val="none"/>
        </w:rPr>
      </w:pPr>
      <w:bookmarkStart w:id="18" w:name="_Toc15396599"/>
      <w:bookmarkStart w:id="19" w:name="_Toc15377196"/>
      <w:bookmarkStart w:id="20" w:name="_Toc17785"/>
      <w:r>
        <w:rPr>
          <w:rFonts w:hint="eastAsia"/>
          <w:color w:val="auto"/>
          <w:highlight w:val="none"/>
        </w:rPr>
        <w:t>第一部分 单位概况</w:t>
      </w:r>
      <w:bookmarkEnd w:id="18"/>
      <w:bookmarkEnd w:id="19"/>
      <w:bookmarkEnd w:id="20"/>
    </w:p>
    <w:p>
      <w:pPr>
        <w:widowControl/>
        <w:jc w:val="left"/>
        <w:rPr>
          <w:rFonts w:ascii="黑体" w:eastAsia="黑体"/>
          <w:color w:val="auto"/>
          <w:sz w:val="32"/>
          <w:szCs w:val="32"/>
          <w:highlight w:val="none"/>
        </w:rPr>
      </w:pPr>
    </w:p>
    <w:p>
      <w:pPr>
        <w:pStyle w:val="4"/>
        <w:numPr>
          <w:ilvl w:val="0"/>
          <w:numId w:val="1"/>
        </w:numPr>
        <w:bidi w:val="0"/>
        <w:rPr>
          <w:rFonts w:hint="eastAsia" w:ascii="仿宋" w:hAnsi="仿宋" w:eastAsia="仿宋" w:cs="仿宋"/>
          <w:color w:val="auto"/>
          <w:highlight w:val="none"/>
        </w:rPr>
      </w:pPr>
      <w:bookmarkStart w:id="21" w:name="_Toc7404"/>
      <w:bookmarkStart w:id="22" w:name="_Toc15377197"/>
      <w:bookmarkStart w:id="23" w:name="_Toc15396600"/>
      <w:r>
        <w:rPr>
          <w:rFonts w:hint="eastAsia" w:ascii="仿宋" w:hAnsi="仿宋" w:eastAsia="仿宋" w:cs="仿宋"/>
          <w:color w:val="auto"/>
          <w:highlight w:val="none"/>
        </w:rPr>
        <w:t>职能简介</w:t>
      </w:r>
      <w:bookmarkEnd w:id="21"/>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pPr>
        <w:numPr>
          <w:ilvl w:val="0"/>
          <w:numId w:val="0"/>
        </w:numPr>
        <w:autoSpaceDE/>
        <w:autoSpaceDN/>
        <w:snapToGrid/>
        <w:spacing w:before="0" w:after="0" w:line="560" w:lineRule="exact"/>
        <w:ind w:firstLine="562" w:firstLineChars="200"/>
        <w:jc w:val="both"/>
        <w:rPr>
          <w:rFonts w:hint="eastAsia" w:ascii="方正楷体简体" w:hAnsi="方正楷体简体" w:eastAsia="方正楷体简体"/>
          <w:b/>
          <w:color w:val="auto"/>
          <w:w w:val="100"/>
          <w:sz w:val="28"/>
          <w:szCs w:val="21"/>
          <w:highlight w:val="none"/>
          <w:lang w:val="en-US" w:eastAsia="zh-CN"/>
        </w:rPr>
      </w:pPr>
      <w:r>
        <w:rPr>
          <w:rFonts w:hint="eastAsia" w:ascii="方正楷体简体" w:hAnsi="方正楷体简体" w:eastAsia="方正楷体简体"/>
          <w:b/>
          <w:color w:val="auto"/>
          <w:w w:val="100"/>
          <w:sz w:val="28"/>
          <w:szCs w:val="21"/>
          <w:highlight w:val="none"/>
          <w:lang w:val="en-US" w:eastAsia="zh-CN"/>
        </w:rPr>
        <w:t>（一）注重建设高素质的教师队伍</w:t>
      </w:r>
    </w:p>
    <w:p>
      <w:pPr>
        <w:numPr>
          <w:ilvl w:val="0"/>
          <w:numId w:val="0"/>
        </w:numPr>
        <w:autoSpaceDE/>
        <w:autoSpaceDN/>
        <w:snapToGrid/>
        <w:spacing w:before="0" w:after="0" w:line="560" w:lineRule="exact"/>
        <w:ind w:left="0" w:leftChars="0" w:firstLine="490" w:firstLineChars="175"/>
        <w:jc w:val="both"/>
        <w:rPr>
          <w:rFonts w:hint="eastAsia" w:ascii="仿宋_GB2312" w:hAnsi="仿宋_GB2312" w:eastAsia="仿宋_GB2312"/>
          <w:b w:val="0"/>
          <w:caps w:val="0"/>
          <w:smallCaps w:val="0"/>
          <w:vanish w:val="0"/>
          <w:color w:val="auto"/>
          <w:w w:val="100"/>
          <w:sz w:val="28"/>
          <w:szCs w:val="21"/>
          <w:highlight w:val="none"/>
          <w:lang w:val="en-US" w:eastAsia="zh-CN"/>
        </w:rPr>
      </w:pPr>
      <w:r>
        <w:rPr>
          <w:rFonts w:hint="eastAsia" w:ascii="仿宋_GB2312" w:hAnsi="仿宋_GB2312" w:eastAsia="仿宋_GB2312"/>
          <w:b w:val="0"/>
          <w:caps w:val="0"/>
          <w:smallCaps w:val="0"/>
          <w:vanish w:val="0"/>
          <w:color w:val="auto"/>
          <w:w w:val="100"/>
          <w:sz w:val="28"/>
          <w:szCs w:val="21"/>
          <w:highlight w:val="none"/>
          <w:lang w:val="en-US" w:eastAsia="zh-CN"/>
        </w:rPr>
        <w:t>“非学无以广才、非志无以成学”。学校制定了教研计划，青年教师培训制度，青年教师专业成长培养计划等计划与方案促进教师专业成长。学校派出何燕、吴磊、李容等同志参与优课录制、派出鲜小钰、王婷二位同志参加区学科导师团队活动，全校语文老师参加了联盟教研活动，全体青年老师参加了2022春青年老师教学大比武活动，在校内开展了常态化教学研讨、课标培训、基本功训练以及青年老师教学竞赛等活动。通过这些工作的开展，有效的促进了教师队伍整体素质提升。</w:t>
      </w:r>
    </w:p>
    <w:p>
      <w:pPr>
        <w:numPr>
          <w:ilvl w:val="0"/>
          <w:numId w:val="0"/>
        </w:numPr>
        <w:autoSpaceDE/>
        <w:autoSpaceDN/>
        <w:snapToGrid/>
        <w:spacing w:before="0" w:after="0" w:line="560" w:lineRule="exact"/>
        <w:ind w:left="0" w:leftChars="0" w:firstLine="492" w:firstLineChars="175"/>
        <w:jc w:val="both"/>
        <w:rPr>
          <w:rFonts w:hint="eastAsia" w:ascii="仿宋_GB2312" w:hAnsi="仿宋_GB2312" w:eastAsia="仿宋_GB2312"/>
          <w:b/>
          <w:bCs/>
          <w:color w:val="auto"/>
          <w:w w:val="100"/>
          <w:sz w:val="28"/>
          <w:szCs w:val="18"/>
          <w:highlight w:val="none"/>
          <w:lang w:eastAsia="zh-CN"/>
        </w:rPr>
      </w:pPr>
      <w:r>
        <w:rPr>
          <w:rFonts w:hint="eastAsia" w:ascii="方正楷体简体" w:hAnsi="方正楷体简体" w:eastAsia="方正楷体简体"/>
          <w:b/>
          <w:color w:val="auto"/>
          <w:w w:val="100"/>
          <w:sz w:val="28"/>
          <w:szCs w:val="21"/>
          <w:highlight w:val="none"/>
          <w:lang w:val="en-US" w:eastAsia="zh-CN"/>
        </w:rPr>
        <w:t>（二）注重师生健康成长</w:t>
      </w:r>
    </w:p>
    <w:p>
      <w:pPr>
        <w:autoSpaceDE/>
        <w:autoSpaceDN/>
        <w:snapToGrid/>
        <w:spacing w:before="0" w:after="0" w:line="560" w:lineRule="exact"/>
        <w:ind w:left="0" w:firstLine="560"/>
        <w:jc w:val="both"/>
        <w:rPr>
          <w:rFonts w:hint="eastAsia" w:ascii="仿宋_GB2312" w:hAnsi="仿宋_GB2312" w:eastAsia="仿宋_GB2312"/>
          <w:b/>
          <w:bCs/>
          <w:color w:val="auto"/>
          <w:w w:val="100"/>
          <w:sz w:val="28"/>
          <w:szCs w:val="18"/>
          <w:highlight w:val="none"/>
          <w:lang w:eastAsia="zh-CN"/>
        </w:rPr>
      </w:pPr>
      <w:r>
        <w:rPr>
          <w:rFonts w:hint="eastAsia" w:ascii="仿宋_GB2312" w:hAnsi="仿宋_GB2312" w:eastAsia="仿宋_GB2312"/>
          <w:b w:val="0"/>
          <w:color w:val="auto"/>
          <w:w w:val="100"/>
          <w:sz w:val="28"/>
          <w:szCs w:val="18"/>
          <w:highlight w:val="none"/>
          <w:lang w:eastAsia="zh-CN"/>
        </w:rPr>
        <w:t>学校以抓好活动组织、抓实育人成效为目标，坚持常态与创新相结合，认真落实了各项教育活动。构建了常态化育人机制，开展了庆元旦、庆六一校级活动，近按规定开展了森林防火、防溺水、心理健康教育</w:t>
      </w:r>
      <w:r>
        <w:rPr>
          <w:rFonts w:hint="eastAsia" w:ascii="仿宋_GB2312" w:hAnsi="仿宋_GB2312" w:eastAsia="仿宋_GB2312"/>
          <w:b w:val="0"/>
          <w:color w:val="auto"/>
          <w:w w:val="100"/>
          <w:sz w:val="28"/>
          <w:szCs w:val="18"/>
          <w:highlight w:val="none"/>
          <w:lang w:val="en-US" w:eastAsia="zh-CN"/>
        </w:rPr>
        <w:t>、</w:t>
      </w:r>
      <w:r>
        <w:rPr>
          <w:rFonts w:hint="eastAsia" w:ascii="仿宋_GB2312" w:hAnsi="仿宋_GB2312" w:eastAsia="仿宋_GB2312"/>
          <w:b w:val="0"/>
          <w:color w:val="auto"/>
          <w:w w:val="100"/>
          <w:sz w:val="28"/>
          <w:szCs w:val="18"/>
          <w:highlight w:val="none"/>
          <w:lang w:eastAsia="zh-CN"/>
        </w:rPr>
        <w:t>爱国主义影评、“艺术人才大赛”、“书香少年评选”、“区优干区三好”、师生演讲比赛“爱在身边”征文比赛、“世界节粮日”、“一木环保”等主题教育活动</w:t>
      </w:r>
      <w:r>
        <w:rPr>
          <w:rFonts w:hint="eastAsia" w:ascii="仿宋_GB2312" w:hAnsi="仿宋_GB2312" w:eastAsia="仿宋_GB2312"/>
          <w:b w:val="0"/>
          <w:color w:val="auto"/>
          <w:w w:val="100"/>
          <w:sz w:val="28"/>
          <w:szCs w:val="18"/>
          <w:highlight w:val="none"/>
          <w:lang w:val="en-US" w:eastAsia="zh-CN"/>
        </w:rPr>
        <w:t>50余次，</w:t>
      </w:r>
      <w:r>
        <w:rPr>
          <w:rFonts w:hint="eastAsia" w:ascii="仿宋_GB2312" w:hAnsi="仿宋_GB2312" w:eastAsia="仿宋_GB2312"/>
          <w:b w:val="0"/>
          <w:color w:val="auto"/>
          <w:w w:val="100"/>
          <w:sz w:val="28"/>
          <w:szCs w:val="18"/>
          <w:highlight w:val="none"/>
          <w:lang w:eastAsia="zh-CN"/>
        </w:rPr>
        <w:t>本年度我校师生参加的各种活动，赵芊婷、杨宇涵获小学生讲故事比赛三等奖，“一木环保”获全区先进单位，在第十三届艺术节上，我校动态作品《红领巾的故事》获区级一等奖，并有</w:t>
      </w:r>
      <w:r>
        <w:rPr>
          <w:rFonts w:hint="eastAsia" w:ascii="仿宋_GB2312" w:hAnsi="仿宋_GB2312" w:eastAsia="仿宋_GB2312"/>
          <w:b w:val="0"/>
          <w:color w:val="auto"/>
          <w:w w:val="100"/>
          <w:sz w:val="28"/>
          <w:szCs w:val="18"/>
          <w:highlight w:val="none"/>
          <w:lang w:val="en-US" w:eastAsia="zh-CN"/>
        </w:rPr>
        <w:t>3幅</w:t>
      </w:r>
      <w:r>
        <w:rPr>
          <w:rFonts w:hint="eastAsia" w:ascii="仿宋_GB2312" w:hAnsi="仿宋_GB2312" w:eastAsia="仿宋_GB2312"/>
          <w:b w:val="0"/>
          <w:color w:val="auto"/>
          <w:w w:val="100"/>
          <w:sz w:val="28"/>
          <w:szCs w:val="18"/>
          <w:highlight w:val="none"/>
          <w:lang w:eastAsia="zh-CN"/>
        </w:rPr>
        <w:t>静态作品获二等奖、</w:t>
      </w:r>
      <w:r>
        <w:rPr>
          <w:rFonts w:hint="eastAsia" w:ascii="仿宋_GB2312" w:hAnsi="仿宋_GB2312" w:eastAsia="仿宋_GB2312"/>
          <w:b w:val="0"/>
          <w:color w:val="auto"/>
          <w:w w:val="100"/>
          <w:sz w:val="28"/>
          <w:szCs w:val="18"/>
          <w:highlight w:val="none"/>
          <w:lang w:val="en-US" w:eastAsia="zh-CN"/>
        </w:rPr>
        <w:t>4幅获</w:t>
      </w:r>
      <w:r>
        <w:rPr>
          <w:rFonts w:hint="eastAsia" w:ascii="仿宋_GB2312" w:hAnsi="仿宋_GB2312" w:eastAsia="仿宋_GB2312"/>
          <w:b w:val="0"/>
          <w:color w:val="auto"/>
          <w:w w:val="100"/>
          <w:sz w:val="28"/>
          <w:szCs w:val="18"/>
          <w:highlight w:val="none"/>
          <w:lang w:eastAsia="zh-CN"/>
        </w:rPr>
        <w:t>三等奖。在教师队伍建设管理上，认真抓好师德师风建设与警示教育，认真开展纪律作风整顿，加大党组织建设，较好的净化了思想，纯洁了队伍。</w:t>
      </w:r>
    </w:p>
    <w:p>
      <w:pPr>
        <w:numPr>
          <w:ilvl w:val="0"/>
          <w:numId w:val="0"/>
        </w:numPr>
        <w:autoSpaceDE/>
        <w:autoSpaceDN/>
        <w:snapToGrid/>
        <w:spacing w:before="0" w:after="0" w:line="560" w:lineRule="exact"/>
        <w:ind w:left="0" w:leftChars="0" w:firstLine="492" w:firstLineChars="175"/>
        <w:jc w:val="both"/>
        <w:rPr>
          <w:rFonts w:hint="eastAsia" w:ascii="仿宋_GB2312" w:hAnsi="仿宋_GB2312" w:eastAsia="仿宋_GB2312"/>
          <w:b/>
          <w:bCs/>
          <w:color w:val="auto"/>
          <w:w w:val="100"/>
          <w:sz w:val="28"/>
          <w:szCs w:val="18"/>
          <w:highlight w:val="none"/>
          <w:lang w:eastAsia="zh-CN"/>
        </w:rPr>
      </w:pPr>
      <w:r>
        <w:rPr>
          <w:rFonts w:hint="eastAsia" w:ascii="方正楷体简体" w:hAnsi="方正楷体简体" w:eastAsia="方正楷体简体"/>
          <w:b/>
          <w:color w:val="auto"/>
          <w:w w:val="100"/>
          <w:sz w:val="28"/>
          <w:szCs w:val="21"/>
          <w:highlight w:val="none"/>
          <w:lang w:val="en-US" w:eastAsia="zh-CN"/>
        </w:rPr>
        <w:t>（三）关注教学秩序和质量提升</w:t>
      </w:r>
    </w:p>
    <w:p>
      <w:pPr>
        <w:autoSpaceDE/>
        <w:autoSpaceDN/>
        <w:snapToGrid/>
        <w:spacing w:before="0" w:after="0" w:line="560" w:lineRule="exact"/>
        <w:ind w:left="0" w:firstLine="560"/>
        <w:jc w:val="both"/>
        <w:rPr>
          <w:rFonts w:hint="eastAsia" w:ascii="仿宋_GB2312" w:hAnsi="仿宋_GB2312" w:eastAsia="仿宋_GB2312"/>
          <w:b w:val="0"/>
          <w:color w:val="auto"/>
          <w:w w:val="100"/>
          <w:sz w:val="28"/>
          <w:szCs w:val="18"/>
          <w:highlight w:val="none"/>
          <w:lang w:eastAsia="zh-CN"/>
        </w:rPr>
      </w:pPr>
      <w:r>
        <w:rPr>
          <w:rFonts w:hint="eastAsia" w:ascii="仿宋_GB2312" w:hAnsi="仿宋_GB2312" w:eastAsia="仿宋_GB2312"/>
          <w:b w:val="0"/>
          <w:color w:val="auto"/>
          <w:w w:val="100"/>
          <w:sz w:val="28"/>
          <w:szCs w:val="21"/>
          <w:highlight w:val="none"/>
          <w:lang w:eastAsia="zh-CN"/>
        </w:rPr>
        <w:t>学校坚持“教学中心”主调，坚持立足课堂、聚焦课堂，坚持正确的课堂观、质量观，注重打造精品课程精品课堂，注重引领老师们转变教学方式，关注学生生活经验，树立新的教师观、学生观、教材观；</w:t>
      </w:r>
      <w:r>
        <w:rPr>
          <w:rFonts w:hint="eastAsia" w:ascii="仿宋_GB2312" w:hAnsi="仿宋_GB2312" w:eastAsia="仿宋_GB2312"/>
          <w:b w:val="0"/>
          <w:color w:val="auto"/>
          <w:w w:val="100"/>
          <w:sz w:val="28"/>
          <w:szCs w:val="18"/>
          <w:highlight w:val="none"/>
          <w:lang w:eastAsia="zh-CN"/>
        </w:rPr>
        <w:t>注重备课、上课、评课、作业等环节上的质量和效率；注重采取灵活多样的方式查阅教学常规、促进教学发展。目前，我校教学井然有序。</w:t>
      </w:r>
    </w:p>
    <w:p>
      <w:pPr>
        <w:autoSpaceDE/>
        <w:autoSpaceDN/>
        <w:snapToGrid/>
        <w:spacing w:before="0" w:after="0" w:line="560" w:lineRule="exact"/>
        <w:ind w:left="0" w:firstLine="560"/>
        <w:jc w:val="both"/>
        <w:rPr>
          <w:rFonts w:hint="eastAsia" w:ascii="方正楷体简体" w:hAnsi="方正楷体简体" w:eastAsia="方正楷体简体"/>
          <w:b/>
          <w:color w:val="auto"/>
          <w:w w:val="100"/>
          <w:sz w:val="28"/>
          <w:szCs w:val="18"/>
          <w:highlight w:val="none"/>
          <w:lang w:eastAsia="zh-CN"/>
        </w:rPr>
      </w:pPr>
      <w:r>
        <w:rPr>
          <w:rFonts w:hint="eastAsia" w:ascii="方正楷体简体" w:hAnsi="方正楷体简体" w:eastAsia="方正楷体简体"/>
          <w:b/>
          <w:color w:val="auto"/>
          <w:w w:val="100"/>
          <w:sz w:val="28"/>
          <w:szCs w:val="18"/>
          <w:highlight w:val="none"/>
          <w:lang w:eastAsia="zh-CN"/>
        </w:rPr>
        <w:t>（四）注重安全管理，突出安全建设能力</w:t>
      </w:r>
    </w:p>
    <w:p>
      <w:pPr>
        <w:autoSpaceDE/>
        <w:autoSpaceDN/>
        <w:snapToGrid/>
        <w:spacing w:before="0" w:after="0" w:line="560" w:lineRule="exact"/>
        <w:ind w:left="0" w:firstLine="638"/>
        <w:jc w:val="both"/>
        <w:rPr>
          <w:rFonts w:hint="eastAsia" w:ascii="仿宋_GB2312" w:hAnsi="仿宋_GB2312" w:eastAsia="仿宋_GB2312"/>
          <w:b w:val="0"/>
          <w:color w:val="auto"/>
          <w:w w:val="100"/>
          <w:sz w:val="28"/>
          <w:szCs w:val="18"/>
          <w:highlight w:val="none"/>
          <w:lang w:eastAsia="zh-CN"/>
        </w:rPr>
      </w:pPr>
      <w:r>
        <w:rPr>
          <w:rFonts w:hint="eastAsia" w:ascii="仿宋_GB2312" w:hAnsi="仿宋_GB2312" w:eastAsia="仿宋_GB2312"/>
          <w:b w:val="0"/>
          <w:color w:val="auto"/>
          <w:w w:val="100"/>
          <w:sz w:val="28"/>
          <w:szCs w:val="18"/>
          <w:highlight w:val="none"/>
          <w:lang w:eastAsia="zh-CN"/>
        </w:rPr>
        <w:t>学校特别注重安全管理。学校完善并坚持系列的安全制度，全面实行网格化管理，做到了安全教育常态化。将安全教育纳入教学计划，层层签订安全责任书，扎实开展了“疫情防控</w:t>
      </w:r>
      <w:r>
        <w:rPr>
          <w:rFonts w:hint="default" w:ascii="仿宋_GB2312" w:hAnsi="仿宋_GB2312" w:eastAsia="仿宋_GB2312"/>
          <w:b w:val="0"/>
          <w:color w:val="auto"/>
          <w:w w:val="100"/>
          <w:sz w:val="28"/>
          <w:szCs w:val="18"/>
          <w:highlight w:val="none"/>
          <w:lang w:val="en-US" w:eastAsia="zh-CN"/>
        </w:rPr>
        <w:t>’</w:t>
      </w:r>
      <w:r>
        <w:rPr>
          <w:rFonts w:hint="eastAsia" w:ascii="仿宋_GB2312" w:hAnsi="仿宋_GB2312" w:eastAsia="仿宋_GB2312"/>
          <w:b w:val="0"/>
          <w:color w:val="auto"/>
          <w:w w:val="100"/>
          <w:sz w:val="28"/>
          <w:szCs w:val="18"/>
          <w:highlight w:val="none"/>
          <w:lang w:val="en-US" w:eastAsia="zh-CN"/>
        </w:rPr>
        <w:t>工作，彻底、坚决执行了上级规定，各项措施做到了不变形不走样，</w:t>
      </w:r>
      <w:r>
        <w:rPr>
          <w:rFonts w:hint="eastAsia" w:ascii="仿宋_GB2312" w:hAnsi="仿宋_GB2312" w:eastAsia="仿宋_GB2312"/>
          <w:b w:val="0"/>
          <w:color w:val="auto"/>
          <w:w w:val="100"/>
          <w:sz w:val="28"/>
          <w:szCs w:val="18"/>
          <w:highlight w:val="none"/>
          <w:lang w:eastAsia="zh-CN"/>
        </w:rPr>
        <w:t>强化安全演练（共五次），加强了安全隐患排查与整治（目前灭火器、消防栓、应急灯等安全设施全部正常，学校无新增安全隐患）。本学年，我校无一例安全事故发生。</w:t>
      </w:r>
    </w:p>
    <w:p>
      <w:pPr>
        <w:autoSpaceDE/>
        <w:autoSpaceDN/>
        <w:snapToGrid/>
        <w:spacing w:before="0" w:after="0" w:line="560" w:lineRule="exact"/>
        <w:ind w:left="0" w:firstLine="638"/>
        <w:jc w:val="both"/>
        <w:rPr>
          <w:rFonts w:hint="eastAsia" w:ascii="方正楷体简体" w:hAnsi="方正楷体简体" w:eastAsia="方正楷体简体"/>
          <w:b/>
          <w:color w:val="auto"/>
          <w:w w:val="100"/>
          <w:sz w:val="28"/>
          <w:szCs w:val="18"/>
          <w:highlight w:val="none"/>
          <w:lang w:eastAsia="zh-CN"/>
        </w:rPr>
      </w:pPr>
      <w:r>
        <w:rPr>
          <w:rFonts w:hint="eastAsia" w:ascii="方正楷体简体" w:hAnsi="方正楷体简体" w:eastAsia="方正楷体简体"/>
          <w:b/>
          <w:color w:val="auto"/>
          <w:w w:val="100"/>
          <w:sz w:val="28"/>
          <w:szCs w:val="18"/>
          <w:highlight w:val="none"/>
          <w:lang w:eastAsia="zh-CN"/>
        </w:rPr>
        <w:t>（五）加强综合事务管理，提高办学能力</w:t>
      </w:r>
    </w:p>
    <w:p>
      <w:pPr>
        <w:pStyle w:val="16"/>
        <w:rPr>
          <w:rFonts w:hint="eastAsia" w:ascii="仿宋" w:hAnsi="仿宋" w:eastAsia="仿宋" w:cs="仿宋"/>
          <w:color w:val="auto"/>
          <w:highlight w:val="none"/>
        </w:rPr>
      </w:pPr>
      <w:r>
        <w:rPr>
          <w:rFonts w:hint="eastAsia" w:ascii="仿宋_GB2312" w:hAnsi="仿宋_GB2312" w:eastAsia="仿宋_GB2312"/>
          <w:b/>
          <w:bCs/>
          <w:color w:val="auto"/>
          <w:w w:val="100"/>
          <w:sz w:val="28"/>
          <w:szCs w:val="18"/>
          <w:highlight w:val="none"/>
          <w:lang w:eastAsia="zh-CN"/>
        </w:rPr>
        <w:t>一是</w:t>
      </w:r>
      <w:r>
        <w:rPr>
          <w:rFonts w:hint="eastAsia" w:ascii="仿宋_GB2312" w:hAnsi="仿宋_GB2312" w:eastAsia="仿宋_GB2312"/>
          <w:b w:val="0"/>
          <w:color w:val="auto"/>
          <w:w w:val="100"/>
          <w:sz w:val="28"/>
          <w:szCs w:val="18"/>
          <w:highlight w:val="none"/>
          <w:lang w:eastAsia="zh-CN"/>
        </w:rPr>
        <w:t>积极争取资金，完成了学校热水澡、食堂、教室等多处维修维护，整个过程规范，程序合法。</w:t>
      </w:r>
      <w:r>
        <w:rPr>
          <w:rFonts w:hint="eastAsia" w:ascii="仿宋_GB2312" w:hAnsi="仿宋_GB2312" w:eastAsia="仿宋_GB2312"/>
          <w:b/>
          <w:bCs/>
          <w:color w:val="auto"/>
          <w:w w:val="100"/>
          <w:sz w:val="28"/>
          <w:szCs w:val="18"/>
          <w:highlight w:val="none"/>
          <w:lang w:eastAsia="zh-CN"/>
        </w:rPr>
        <w:t>二是</w:t>
      </w:r>
      <w:r>
        <w:rPr>
          <w:rFonts w:hint="eastAsia" w:ascii="仿宋_GB2312" w:hAnsi="仿宋_GB2312" w:eastAsia="仿宋_GB2312"/>
          <w:b w:val="0"/>
          <w:color w:val="auto"/>
          <w:w w:val="100"/>
          <w:sz w:val="28"/>
          <w:szCs w:val="18"/>
          <w:highlight w:val="none"/>
          <w:lang w:eastAsia="zh-CN"/>
        </w:rPr>
        <w:t>对各功能室、教室、办公室电脑网络进行了维护，教育技术装备管理应用情况良好。</w:t>
      </w:r>
      <w:r>
        <w:rPr>
          <w:rFonts w:hint="eastAsia" w:ascii="仿宋_GB2312" w:hAnsi="仿宋_GB2312" w:eastAsia="仿宋_GB2312"/>
          <w:b/>
          <w:bCs/>
          <w:color w:val="auto"/>
          <w:w w:val="100"/>
          <w:sz w:val="28"/>
          <w:szCs w:val="18"/>
          <w:highlight w:val="none"/>
          <w:lang w:eastAsia="zh-CN"/>
        </w:rPr>
        <w:t>三是</w:t>
      </w:r>
      <w:r>
        <w:rPr>
          <w:rFonts w:hint="eastAsia" w:ascii="仿宋_GB2312" w:hAnsi="仿宋_GB2312" w:eastAsia="仿宋_GB2312"/>
          <w:b w:val="0"/>
          <w:color w:val="auto"/>
          <w:w w:val="100"/>
          <w:sz w:val="28"/>
          <w:szCs w:val="18"/>
          <w:highlight w:val="none"/>
          <w:lang w:eastAsia="zh-CN"/>
        </w:rPr>
        <w:t>多渠道进行办学宣传，营造良好的舆论环境和文化氛围。</w:t>
      </w:r>
      <w:r>
        <w:rPr>
          <w:rFonts w:hint="eastAsia" w:ascii="仿宋_GB2312" w:hAnsi="仿宋_GB2312" w:eastAsia="仿宋_GB2312"/>
          <w:b/>
          <w:bCs/>
          <w:color w:val="auto"/>
          <w:w w:val="100"/>
          <w:sz w:val="28"/>
          <w:szCs w:val="18"/>
          <w:highlight w:val="none"/>
          <w:lang w:eastAsia="zh-CN"/>
        </w:rPr>
        <w:t>四是</w:t>
      </w:r>
      <w:r>
        <w:rPr>
          <w:rFonts w:hint="eastAsia" w:ascii="仿宋_GB2312" w:hAnsi="仿宋_GB2312" w:eastAsia="仿宋_GB2312"/>
          <w:b w:val="0"/>
          <w:color w:val="auto"/>
          <w:w w:val="100"/>
          <w:sz w:val="28"/>
          <w:szCs w:val="18"/>
          <w:highlight w:val="none"/>
          <w:lang w:eastAsia="zh-CN"/>
        </w:rPr>
        <w:t>严格实施肉食计划、营养供餐，提高学生体质健康水平。</w:t>
      </w:r>
      <w:r>
        <w:rPr>
          <w:rFonts w:hint="eastAsia" w:ascii="仿宋_GB2312" w:hAnsi="仿宋_GB2312" w:eastAsia="仿宋_GB2312"/>
          <w:b/>
          <w:bCs/>
          <w:color w:val="auto"/>
          <w:w w:val="100"/>
          <w:sz w:val="28"/>
          <w:szCs w:val="18"/>
          <w:highlight w:val="none"/>
          <w:lang w:eastAsia="zh-CN"/>
        </w:rPr>
        <w:t>五是</w:t>
      </w:r>
      <w:r>
        <w:rPr>
          <w:rFonts w:hint="eastAsia" w:ascii="仿宋_GB2312" w:hAnsi="仿宋_GB2312" w:eastAsia="仿宋_GB2312"/>
          <w:b w:val="0"/>
          <w:color w:val="auto"/>
          <w:w w:val="100"/>
          <w:sz w:val="28"/>
          <w:szCs w:val="18"/>
          <w:highlight w:val="none"/>
          <w:lang w:eastAsia="zh-CN"/>
        </w:rPr>
        <w:t>开源节流，严格执行财务预算、资产管理，后勤保障到位。</w:t>
      </w:r>
    </w:p>
    <w:p>
      <w:pPr>
        <w:rPr>
          <w:rFonts w:hint="eastAsia" w:ascii="仿宋" w:hAnsi="仿宋" w:eastAsia="仿宋" w:cs="仿宋"/>
          <w:b w:val="0"/>
          <w:color w:val="auto"/>
          <w:highlight w:val="none"/>
        </w:rPr>
      </w:pPr>
      <w:bookmarkStart w:id="25" w:name="_Toc15377204"/>
      <w:bookmarkStart w:id="26" w:name="_Toc15396602"/>
      <w:r>
        <w:rPr>
          <w:rFonts w:hint="eastAsia" w:ascii="仿宋" w:hAnsi="仿宋" w:eastAsia="仿宋" w:cs="仿宋"/>
          <w:b w:val="0"/>
          <w:color w:val="auto"/>
          <w:highlight w:val="none"/>
        </w:rPr>
        <w:br w:type="page"/>
      </w:r>
    </w:p>
    <w:p>
      <w:pPr>
        <w:pStyle w:val="3"/>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pPr>
        <w:rPr>
          <w:rFonts w:hint="eastAsia" w:ascii="仿宋" w:hAnsi="仿宋" w:eastAsia="仿宋" w:cs="仿宋"/>
          <w:color w:val="auto"/>
          <w:highlight w:val="none"/>
        </w:rPr>
      </w:pPr>
    </w:p>
    <w:p>
      <w:pPr>
        <w:pStyle w:val="4"/>
        <w:numPr>
          <w:ilvl w:val="0"/>
          <w:numId w:val="2"/>
        </w:numPr>
        <w:bidi w:val="0"/>
        <w:ind w:left="0" w:leftChars="0" w:firstLine="643" w:firstLineChars="200"/>
        <w:rPr>
          <w:rFonts w:hint="eastAsia" w:ascii="仿宋" w:hAnsi="仿宋" w:eastAsia="仿宋" w:cs="仿宋"/>
          <w:color w:val="auto"/>
          <w:highlight w:val="none"/>
        </w:rPr>
      </w:pPr>
      <w:bookmarkStart w:id="28" w:name="_Toc15377205"/>
      <w:bookmarkStart w:id="29" w:name="_Toc5075"/>
      <w:bookmarkStart w:id="30" w:name="_Toc15396603"/>
      <w:r>
        <w:rPr>
          <w:rFonts w:hint="eastAsia" w:ascii="仿宋" w:hAnsi="仿宋" w:eastAsia="仿宋" w:cs="仿宋"/>
          <w:color w:val="auto"/>
          <w:highlight w:val="none"/>
        </w:rPr>
        <w:t>收入支出决算总体情况说明</w:t>
      </w:r>
      <w:bookmarkEnd w:id="28"/>
      <w:bookmarkEnd w:id="29"/>
      <w:bookmarkEnd w:id="30"/>
    </w:p>
    <w:p>
      <w:pPr>
        <w:spacing w:line="600" w:lineRule="exact"/>
        <w:ind w:firstLine="640" w:firstLineChars="200"/>
        <w:outlineLvl w:val="1"/>
        <w:rPr>
          <w:rFonts w:hint="eastAsia" w:ascii="仿宋" w:hAnsi="仿宋" w:eastAsia="仿宋" w:cs="仿宋"/>
          <w:color w:val="auto"/>
          <w:highlight w:val="none"/>
          <w:lang w:eastAsia="zh-CN"/>
        </w:rPr>
      </w:pPr>
      <w:bookmarkStart w:id="31" w:name="_Toc9801"/>
      <w:bookmarkStart w:id="32"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508.03</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减少45.09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减少8.16</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bookmarkEnd w:id="31"/>
      <w:bookmarkEnd w:id="32"/>
    </w:p>
    <w:p>
      <w:pPr>
        <w:pStyle w:val="4"/>
        <w:numPr>
          <w:ilvl w:val="0"/>
          <w:numId w:val="2"/>
        </w:numPr>
        <w:bidi w:val="0"/>
        <w:ind w:left="0" w:leftChars="0" w:firstLine="643" w:firstLineChars="200"/>
        <w:jc w:val="left"/>
        <w:rPr>
          <w:rFonts w:hint="eastAsia" w:ascii="仿宋" w:hAnsi="仿宋" w:eastAsia="仿宋" w:cs="仿宋"/>
          <w:color w:val="auto"/>
          <w:highlight w:val="none"/>
        </w:rPr>
      </w:pPr>
      <w:bookmarkStart w:id="33" w:name="_Toc15377206"/>
      <w:bookmarkStart w:id="34" w:name="_Toc15396604"/>
      <w:bookmarkStart w:id="35" w:name="_Toc11923"/>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28868"/>
      <w:bookmarkStart w:id="37" w:name="_Toc32714"/>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508.03</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508.03</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pPr>
        <w:pStyle w:val="16"/>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4"/>
        <w:bidi w:val="0"/>
        <w:rPr>
          <w:rFonts w:hint="eastAsia" w:ascii="仿宋" w:hAnsi="仿宋" w:eastAsia="仿宋" w:cs="仿宋"/>
          <w:color w:val="auto"/>
          <w:highlight w:val="none"/>
        </w:rPr>
      </w:pPr>
      <w:bookmarkStart w:id="38" w:name="_Toc15377207"/>
      <w:bookmarkStart w:id="39" w:name="_Toc15396605"/>
      <w:bookmarkStart w:id="40" w:name="_Toc2775"/>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pPr>
        <w:spacing w:line="600" w:lineRule="exact"/>
        <w:ind w:firstLine="640" w:firstLineChars="200"/>
        <w:outlineLvl w:val="1"/>
        <w:rPr>
          <w:rFonts w:hint="eastAsia" w:ascii="仿宋" w:hAnsi="仿宋" w:eastAsia="仿宋" w:cs="仿宋"/>
          <w:color w:val="auto"/>
          <w:sz w:val="32"/>
          <w:szCs w:val="32"/>
          <w:highlight w:val="none"/>
        </w:rPr>
      </w:pPr>
      <w:bookmarkStart w:id="41" w:name="_Toc30363"/>
      <w:bookmarkStart w:id="42" w:name="_Toc6817"/>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508.03</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360.03</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70.87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148</w:t>
      </w:r>
      <w:r>
        <w:rPr>
          <w:rFonts w:hint="eastAsia" w:ascii="仿宋" w:hAnsi="仿宋" w:eastAsia="仿宋" w:cs="仿宋"/>
          <w:color w:val="auto"/>
          <w:sz w:val="32"/>
          <w:szCs w:val="32"/>
          <w:highlight w:val="none"/>
          <w:lang w:val="en-US" w:eastAsia="zh-CN"/>
        </w:rPr>
        <w:t>.00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29.13</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w:t>
      </w:r>
      <w:bookmarkEnd w:id="41"/>
      <w:bookmarkEnd w:id="42"/>
    </w:p>
    <w:p>
      <w:pPr>
        <w:pStyle w:val="4"/>
        <w:bidi w:val="0"/>
        <w:rPr>
          <w:rFonts w:hint="eastAsia" w:ascii="仿宋" w:hAnsi="仿宋" w:eastAsia="仿宋" w:cs="仿宋"/>
          <w:color w:val="auto"/>
          <w:highlight w:val="none"/>
        </w:rPr>
      </w:pPr>
      <w:bookmarkStart w:id="43" w:name="_Toc15377208"/>
      <w:bookmarkStart w:id="44" w:name="_Toc15396606"/>
      <w:bookmarkStart w:id="45" w:name="_Toc12678"/>
      <w:r>
        <w:rPr>
          <w:rFonts w:hint="eastAsia" w:ascii="仿宋" w:hAnsi="仿宋" w:eastAsia="仿宋" w:cs="仿宋"/>
          <w:color w:val="auto"/>
          <w:highlight w:val="none"/>
        </w:rPr>
        <w:t>四、财政拨款收入支出决算总体情况说明</w:t>
      </w:r>
      <w:bookmarkEnd w:id="43"/>
      <w:bookmarkEnd w:id="44"/>
      <w:bookmarkEnd w:id="4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508.03</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减少45.09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减少8.16</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p>
    <w:p>
      <w:pPr>
        <w:pStyle w:val="16"/>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4"/>
        <w:bidi w:val="0"/>
        <w:rPr>
          <w:rFonts w:hint="eastAsia" w:ascii="仿宋" w:hAnsi="仿宋" w:eastAsia="仿宋" w:cs="仿宋"/>
          <w:color w:val="auto"/>
          <w:highlight w:val="none"/>
        </w:rPr>
      </w:pPr>
      <w:bookmarkStart w:id="46" w:name="_Toc15396607"/>
      <w:bookmarkStart w:id="47" w:name="_Toc16782"/>
      <w:bookmarkStart w:id="48" w:name="_Toc15377209"/>
      <w:r>
        <w:rPr>
          <w:rFonts w:hint="eastAsia" w:ascii="仿宋" w:hAnsi="仿宋" w:eastAsia="仿宋" w:cs="仿宋"/>
          <w:color w:val="auto"/>
          <w:highlight w:val="none"/>
        </w:rPr>
        <w:t>五、一般公共预算财政拨款支出决算情况说明</w:t>
      </w:r>
      <w:bookmarkEnd w:id="46"/>
      <w:bookmarkEnd w:id="47"/>
      <w:bookmarkEnd w:id="48"/>
    </w:p>
    <w:p>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508.03</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553.12</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减少45.09</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减少8.16</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项目支出减少</w:t>
      </w:r>
      <w:r>
        <w:rPr>
          <w:rFonts w:hint="eastAsia" w:ascii="仿宋" w:hAnsi="仿宋" w:eastAsia="仿宋" w:cs="仿宋"/>
          <w:color w:val="auto"/>
          <w:sz w:val="32"/>
          <w:szCs w:val="32"/>
          <w:highlight w:val="none"/>
        </w:rPr>
        <w:t>。</w:t>
      </w:r>
    </w:p>
    <w:p>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508.03</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508.03</w:t>
      </w:r>
      <w:r>
        <w:rPr>
          <w:rFonts w:hint="eastAsia" w:ascii="仿宋" w:hAnsi="仿宋" w:eastAsia="仿宋" w:cs="仿宋"/>
          <w:color w:val="auto"/>
          <w:sz w:val="32"/>
          <w:szCs w:val="32"/>
          <w:highlight w:val="none"/>
        </w:rPr>
        <w:t>万元，占100%。</w:t>
      </w:r>
    </w:p>
    <w:p>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pPr>
        <w:spacing w:line="600" w:lineRule="exact"/>
        <w:ind w:firstLine="643" w:firstLineChars="200"/>
        <w:outlineLvl w:val="2"/>
        <w:rPr>
          <w:rFonts w:hint="eastAsia" w:ascii="仿宋" w:hAnsi="仿宋" w:eastAsia="仿宋" w:cs="仿宋"/>
          <w:color w:val="auto"/>
          <w:sz w:val="32"/>
          <w:szCs w:val="32"/>
          <w:highlight w:val="none"/>
        </w:rPr>
      </w:pPr>
      <w:bookmarkStart w:id="52" w:name="_Toc15377213"/>
      <w:bookmarkStart w:id="53" w:name="_Toc15378460"/>
      <w:bookmarkStart w:id="54" w:name="_Toc15377444"/>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508.03万元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360.03</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148</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pStyle w:val="16"/>
        <w:rPr>
          <w:rFonts w:hint="eastAsia" w:ascii="仿宋" w:hAnsi="仿宋" w:eastAsia="仿宋" w:cs="仿宋"/>
          <w:color w:val="auto"/>
          <w:highlight w:val="none"/>
        </w:rPr>
      </w:pPr>
    </w:p>
    <w:p>
      <w:pPr>
        <w:pStyle w:val="4"/>
        <w:bidi w:val="0"/>
        <w:rPr>
          <w:rFonts w:hint="eastAsia" w:ascii="仿宋" w:hAnsi="仿宋" w:eastAsia="仿宋" w:cs="仿宋"/>
          <w:color w:val="auto"/>
          <w:highlight w:val="none"/>
        </w:rPr>
      </w:pPr>
      <w:bookmarkStart w:id="55" w:name="_Toc15396608"/>
      <w:bookmarkStart w:id="56" w:name="_Toc15377214"/>
      <w:bookmarkStart w:id="57" w:name="_Toc23757"/>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360.03</w:t>
      </w:r>
      <w:r>
        <w:rPr>
          <w:rFonts w:hint="eastAsia" w:ascii="仿宋" w:hAnsi="仿宋" w:eastAsia="仿宋" w:cs="仿宋"/>
          <w:color w:val="auto"/>
          <w:sz w:val="32"/>
          <w:szCs w:val="32"/>
          <w:highlight w:val="none"/>
        </w:rPr>
        <w:t>万元，其中：</w:t>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313.33</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其他社会保障缴费、其他工资福利支出、抚恤金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奖励金、住房公积金等。</w:t>
      </w:r>
    </w:p>
    <w:p>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46.71</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pPr>
        <w:pStyle w:val="4"/>
        <w:bidi w:val="0"/>
        <w:rPr>
          <w:rFonts w:hint="eastAsia" w:ascii="仿宋" w:hAnsi="仿宋" w:eastAsia="仿宋" w:cs="仿宋"/>
          <w:color w:val="auto"/>
          <w:highlight w:val="none"/>
        </w:rPr>
      </w:pPr>
      <w:bookmarkStart w:id="58" w:name="_Toc15377215"/>
      <w:bookmarkStart w:id="59" w:name="_Toc16373"/>
      <w:bookmarkStart w:id="60" w:name="_Toc15396609"/>
      <w:r>
        <w:rPr>
          <w:rFonts w:hint="eastAsia" w:ascii="仿宋" w:hAnsi="仿宋" w:eastAsia="仿宋" w:cs="仿宋"/>
          <w:color w:val="auto"/>
          <w:highlight w:val="none"/>
        </w:rPr>
        <w:t>七、“三公”经费财政拨款支出决算情况说明</w:t>
      </w:r>
      <w:bookmarkEnd w:id="58"/>
      <w:bookmarkEnd w:id="59"/>
      <w:bookmarkEnd w:id="60"/>
    </w:p>
    <w:p>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0.47</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94</w:t>
      </w:r>
      <w:r>
        <w:rPr>
          <w:rFonts w:hint="eastAsia" w:ascii="仿宋" w:hAnsi="仿宋" w:eastAsia="仿宋" w:cs="仿宋"/>
          <w:color w:val="auto"/>
          <w:sz w:val="32"/>
          <w:szCs w:val="32"/>
          <w:highlight w:val="none"/>
        </w:rPr>
        <w:t>%，主要原因</w:t>
      </w:r>
      <w:r>
        <w:rPr>
          <w:rFonts w:hint="eastAsia" w:ascii="仿宋" w:hAnsi="仿宋" w:eastAsia="仿宋" w:cs="仿宋"/>
          <w:color w:val="auto"/>
          <w:sz w:val="32"/>
          <w:szCs w:val="32"/>
          <w:highlight w:val="none"/>
        </w:rPr>
        <w:t>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w:t>
      </w:r>
      <w:r>
        <w:rPr>
          <w:rFonts w:hint="eastAsia" w:ascii="仿宋" w:hAnsi="仿宋" w:eastAsia="仿宋" w:cs="仿宋"/>
          <w:color w:val="auto"/>
          <w:sz w:val="32"/>
          <w:szCs w:val="32"/>
          <w:highlight w:val="none"/>
        </w:rPr>
        <w:t>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0.47</w:t>
      </w:r>
      <w:r>
        <w:rPr>
          <w:rFonts w:hint="eastAsia" w:ascii="仿宋" w:hAnsi="仿宋" w:eastAsia="仿宋" w:cs="仿宋"/>
          <w:color w:val="auto"/>
          <w:sz w:val="32"/>
          <w:szCs w:val="32"/>
          <w:highlight w:val="none"/>
        </w:rPr>
        <w:t>万元，占100%。具体情况如下：</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color w:val="auto"/>
          <w:sz w:val="32"/>
          <w:szCs w:val="32"/>
          <w:highlight w:val="none"/>
          <w:lang w:val="en-US" w:eastAsia="zh-CN"/>
        </w:rPr>
        <w:t>0.47</w:t>
      </w:r>
      <w:r>
        <w:rPr>
          <w:rFonts w:hint="eastAsia" w:ascii="仿宋" w:hAnsi="仿宋" w:eastAsia="仿宋" w:cs="仿宋"/>
          <w:color w:val="auto"/>
          <w:sz w:val="32"/>
          <w:szCs w:val="32"/>
          <w:highlight w:val="none"/>
        </w:rPr>
        <w:t>万元，完成预</w:t>
      </w:r>
      <w:r>
        <w:rPr>
          <w:rFonts w:hint="eastAsia" w:ascii="仿宋" w:hAnsi="仿宋" w:eastAsia="仿宋" w:cs="仿宋"/>
          <w:color w:val="auto"/>
          <w:sz w:val="32"/>
          <w:szCs w:val="32"/>
          <w:highlight w:val="none"/>
        </w:rPr>
        <w:t>算</w:t>
      </w:r>
      <w:r>
        <w:rPr>
          <w:rFonts w:hint="eastAsia" w:ascii="仿宋" w:hAnsi="仿宋" w:eastAsia="仿宋" w:cs="仿宋"/>
          <w:color w:val="auto"/>
          <w:sz w:val="32"/>
          <w:szCs w:val="32"/>
          <w:highlight w:val="none"/>
          <w:lang w:val="en-US" w:eastAsia="zh-CN"/>
        </w:rPr>
        <w:t>94</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eastAsia="zh-CN"/>
        </w:rPr>
        <w:t>主要原因是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其中：</w:t>
      </w:r>
    </w:p>
    <w:p>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0.47</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36</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98</w:t>
      </w:r>
      <w:r>
        <w:rPr>
          <w:rFonts w:hint="eastAsia" w:ascii="仿宋" w:hAnsi="仿宋" w:eastAsia="仿宋" w:cs="仿宋"/>
          <w:color w:val="auto"/>
          <w:sz w:val="32"/>
          <w:szCs w:val="32"/>
          <w:highlight w:val="none"/>
        </w:rPr>
        <w:t>人次</w:t>
      </w:r>
      <w:r>
        <w:rPr>
          <w:rFonts w:hint="eastAsia" w:ascii="仿宋" w:hAnsi="仿宋" w:eastAsia="仿宋" w:cs="仿宋"/>
          <w:color w:val="auto"/>
          <w:sz w:val="32"/>
          <w:szCs w:val="32"/>
          <w:highlight w:val="none"/>
        </w:rPr>
        <w:t>（不包括陪同人员），共计支出</w:t>
      </w:r>
      <w:r>
        <w:rPr>
          <w:rFonts w:hint="eastAsia" w:ascii="仿宋" w:hAnsi="仿宋" w:eastAsia="仿宋" w:cs="仿宋"/>
          <w:color w:val="auto"/>
          <w:sz w:val="32"/>
          <w:szCs w:val="32"/>
          <w:highlight w:val="none"/>
          <w:lang w:val="en-US" w:eastAsia="zh-CN"/>
        </w:rPr>
        <w:t>0.47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，具体内容包括接待上级来访</w:t>
      </w:r>
      <w:r>
        <w:rPr>
          <w:rFonts w:hint="eastAsia" w:ascii="仿宋" w:hAnsi="仿宋" w:eastAsia="仿宋" w:cs="仿宋"/>
          <w:color w:val="auto"/>
          <w:sz w:val="32"/>
          <w:szCs w:val="32"/>
          <w:highlight w:val="none"/>
          <w:lang w:val="en-US" w:eastAsia="zh-CN"/>
        </w:rPr>
        <w:t>0.1万元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教育教学活动交流0.17万元、</w:t>
      </w:r>
      <w:r>
        <w:rPr>
          <w:rFonts w:hint="eastAsia" w:ascii="仿宋" w:hAnsi="仿宋" w:eastAsia="仿宋" w:cs="仿宋"/>
          <w:color w:val="auto"/>
          <w:sz w:val="32"/>
          <w:szCs w:val="32"/>
          <w:highlight w:val="none"/>
          <w:lang w:val="en-US" w:eastAsia="zh-CN"/>
        </w:rPr>
        <w:t>学生活动费及运动会学生用餐、交通费、体检费等0.2万元。</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pPr>
        <w:pStyle w:val="4"/>
        <w:bidi w:val="0"/>
        <w:rPr>
          <w:rFonts w:hint="eastAsia" w:ascii="仿宋" w:hAnsi="仿宋" w:eastAsia="仿宋" w:cs="仿宋"/>
          <w:color w:val="auto"/>
          <w:highlight w:val="none"/>
        </w:rPr>
      </w:pPr>
      <w:bookmarkStart w:id="63" w:name="_Toc29438"/>
      <w:bookmarkStart w:id="64" w:name="_Toc15396610"/>
      <w:bookmarkStart w:id="65" w:name="_Toc15377218"/>
      <w:r>
        <w:rPr>
          <w:rFonts w:hint="eastAsia" w:ascii="仿宋" w:hAnsi="仿宋" w:eastAsia="仿宋" w:cs="仿宋"/>
          <w:color w:val="auto"/>
          <w:highlight w:val="none"/>
        </w:rPr>
        <w:t>八、政府性基金预算支出决算情况说明</w:t>
      </w:r>
      <w:bookmarkEnd w:id="63"/>
      <w:bookmarkEnd w:id="64"/>
      <w:bookmarkEnd w:id="6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r>
        <w:rPr>
          <w:rFonts w:hint="eastAsia" w:ascii="仿宋" w:hAnsi="仿宋" w:eastAsia="仿宋" w:cs="仿宋"/>
          <w:color w:val="auto"/>
          <w:sz w:val="32"/>
          <w:szCs w:val="32"/>
          <w:highlight w:val="none"/>
        </w:rPr>
        <w:t>。</w:t>
      </w:r>
    </w:p>
    <w:p>
      <w:pPr>
        <w:pStyle w:val="16"/>
        <w:rPr>
          <w:rFonts w:hint="eastAsia" w:ascii="仿宋" w:hAnsi="仿宋" w:eastAsia="仿宋" w:cs="仿宋"/>
          <w:color w:val="auto"/>
          <w:highlight w:val="none"/>
        </w:rPr>
      </w:pPr>
    </w:p>
    <w:p>
      <w:pPr>
        <w:pStyle w:val="4"/>
        <w:numPr>
          <w:ilvl w:val="0"/>
          <w:numId w:val="3"/>
        </w:numPr>
        <w:bidi w:val="0"/>
        <w:rPr>
          <w:rFonts w:hint="eastAsia" w:ascii="仿宋" w:hAnsi="仿宋" w:eastAsia="仿宋" w:cs="仿宋"/>
          <w:color w:val="auto"/>
          <w:highlight w:val="none"/>
        </w:rPr>
      </w:pPr>
      <w:bookmarkStart w:id="66" w:name="_Toc15377219"/>
      <w:bookmarkStart w:id="67" w:name="_Toc15396611"/>
      <w:bookmarkStart w:id="68" w:name="_Toc4818"/>
      <w:r>
        <w:rPr>
          <w:rFonts w:hint="eastAsia" w:ascii="仿宋" w:hAnsi="仿宋" w:eastAsia="仿宋" w:cs="仿宋"/>
          <w:color w:val="auto"/>
          <w:highlight w:val="none"/>
        </w:rPr>
        <w:t>国有资本经营预算支出决算情况说明</w:t>
      </w:r>
      <w:bookmarkEnd w:id="66"/>
      <w:bookmarkEnd w:id="67"/>
      <w:bookmarkEnd w:id="68"/>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pPr>
        <w:pStyle w:val="4"/>
        <w:numPr>
          <w:ilvl w:val="0"/>
          <w:numId w:val="3"/>
        </w:numPr>
        <w:bidi w:val="0"/>
        <w:rPr>
          <w:rFonts w:hint="eastAsia" w:ascii="仿宋" w:hAnsi="仿宋" w:eastAsia="仿宋" w:cs="仿宋"/>
          <w:color w:val="auto"/>
          <w:highlight w:val="none"/>
        </w:rPr>
      </w:pPr>
      <w:bookmarkStart w:id="69" w:name="_Toc23871"/>
      <w:bookmarkStart w:id="70" w:name="_Toc15396612"/>
      <w:bookmarkStart w:id="71" w:name="_Toc15377221"/>
      <w:r>
        <w:rPr>
          <w:rFonts w:hint="eastAsia" w:ascii="仿宋" w:hAnsi="仿宋" w:eastAsia="仿宋" w:cs="仿宋"/>
          <w:color w:val="auto"/>
          <w:highlight w:val="none"/>
        </w:rPr>
        <w:t>预算绩效管理情况</w:t>
      </w:r>
      <w:bookmarkEnd w:id="69"/>
    </w:p>
    <w:p>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根据预算绩效管理要求，本单位在2021年度预算编制阶段，因无项目支出，故不涉及事前评估和项目绩效目标，预算执行过程中，</w:t>
      </w:r>
      <w:r>
        <w:rPr>
          <w:rFonts w:hint="eastAsia" w:ascii="仿宋" w:hAnsi="仿宋" w:eastAsia="仿宋" w:cs="仿宋"/>
          <w:color w:val="auto"/>
          <w:sz w:val="32"/>
          <w:szCs w:val="32"/>
          <w:highlight w:val="none"/>
          <w:lang w:eastAsia="zh-CN"/>
        </w:rPr>
        <w:t>对追加预算</w:t>
      </w:r>
      <w:r>
        <w:rPr>
          <w:rFonts w:hint="eastAsia" w:ascii="仿宋" w:hAnsi="仿宋" w:eastAsia="仿宋" w:cs="仿宋"/>
          <w:color w:val="auto"/>
          <w:sz w:val="32"/>
          <w:szCs w:val="32"/>
          <w:highlight w:val="none"/>
          <w:lang w:eastAsia="zh-CN"/>
        </w:rPr>
        <w:t>校舍维修</w:t>
      </w:r>
      <w:r>
        <w:rPr>
          <w:rFonts w:hint="eastAsia" w:ascii="仿宋" w:hAnsi="仿宋" w:eastAsia="仿宋" w:cs="仿宋"/>
          <w:color w:val="auto"/>
          <w:sz w:val="32"/>
          <w:szCs w:val="32"/>
          <w:highlight w:val="none"/>
          <w:lang w:eastAsia="zh-CN"/>
        </w:rPr>
        <w:t>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个项目开展了绩效自评，2021年部门预算项目绩效目标自评表见附件（第四部分）。</w:t>
      </w:r>
    </w:p>
    <w:p>
      <w:pPr>
        <w:pStyle w:val="4"/>
        <w:numPr>
          <w:ilvl w:val="0"/>
          <w:numId w:val="3"/>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w:t>
      </w:r>
      <w:r>
        <w:rPr>
          <w:rFonts w:hint="eastAsia" w:ascii="仿宋" w:hAnsi="仿宋" w:eastAsia="仿宋" w:cs="仿宋"/>
          <w:color w:val="auto"/>
          <w:kern w:val="2"/>
          <w:sz w:val="32"/>
          <w:szCs w:val="32"/>
          <w:highlight w:val="none"/>
          <w:lang w:val="en-US" w:eastAsia="zh-CN" w:bidi="ar"/>
        </w:rPr>
        <w:t>我部门机关</w:t>
      </w:r>
      <w:r>
        <w:rPr>
          <w:rFonts w:hint="eastAsia" w:ascii="仿宋" w:hAnsi="仿宋" w:eastAsia="仿宋" w:cs="仿宋"/>
          <w:color w:val="auto"/>
          <w:kern w:val="2"/>
          <w:sz w:val="32"/>
          <w:szCs w:val="32"/>
          <w:highlight w:val="none"/>
          <w:lang w:val="en-US" w:eastAsia="zh-CN" w:bidi="ar"/>
        </w:rPr>
        <w:t>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pStyle w:val="2"/>
        <w:spacing w:before="93"/>
        <w:rPr>
          <w:rFonts w:hint="eastAsia" w:ascii="仿宋" w:hAnsi="仿宋" w:eastAsia="仿宋" w:cs="仿宋"/>
          <w:color w:val="auto"/>
          <w:highlight w:val="none"/>
        </w:rPr>
      </w:pPr>
    </w:p>
    <w:p>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
        <w:numPr>
          <w:ilvl w:val="0"/>
          <w:numId w:val="4"/>
        </w:numPr>
        <w:bidi w:val="0"/>
        <w:rPr>
          <w:rFonts w:hint="eastAsia" w:ascii="仿宋" w:hAnsi="仿宋" w:eastAsia="仿宋" w:cs="仿宋"/>
          <w:color w:val="auto"/>
          <w:highlight w:val="none"/>
        </w:rPr>
      </w:pPr>
      <w:bookmarkStart w:id="76" w:name="_Toc15396613"/>
      <w:bookmarkStart w:id="77" w:name="_Toc15377225"/>
      <w:bookmarkStart w:id="78" w:name="_Toc16610"/>
      <w:r>
        <w:rPr>
          <w:rFonts w:hint="eastAsia" w:ascii="仿宋" w:hAnsi="仿宋" w:eastAsia="仿宋" w:cs="仿宋"/>
          <w:color w:val="auto"/>
          <w:highlight w:val="none"/>
        </w:rPr>
        <w:t>名词解释</w:t>
      </w:r>
      <w:bookmarkEnd w:id="76"/>
      <w:bookmarkEnd w:id="77"/>
      <w:bookmarkEnd w:id="78"/>
    </w:p>
    <w:p>
      <w:pPr>
        <w:spacing w:line="600" w:lineRule="exact"/>
        <w:jc w:val="left"/>
        <w:rPr>
          <w:rFonts w:hint="eastAsia" w:ascii="仿宋" w:hAnsi="仿宋" w:eastAsia="仿宋" w:cs="仿宋"/>
          <w:b/>
          <w:color w:val="auto"/>
          <w:sz w:val="44"/>
          <w:szCs w:val="44"/>
          <w:highlight w:val="none"/>
        </w:rPr>
      </w:pP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1.财政拨款收入：指单位从同级财政部门取得的财政预算资金。</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2.使用非财政拨款结余：指事业单位使用以前年度积累的非财政拨款结余弥补当年收支差额的金额。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3.年初结转和结余：指以前年度尚未完成、结转到本年按有关规定继续使用的资金。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4.结余分配：指事业单位按照会计制度规定缴纳的所得税、提取的专用结余以及转入非财政拨款结余的金额等。</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年末结转和结余：指单位按有关规定结转到下年或以后年度继续使用的资金。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6.教育（类）普通教育（款）</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教育（项）：指</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w:t>
      </w:r>
    </w:p>
    <w:p>
      <w:pPr>
        <w:numPr>
          <w:ilvl w:val="0"/>
          <w:numId w:val="0"/>
        </w:numPr>
        <w:spacing w:line="600" w:lineRule="exact"/>
        <w:ind w:firstLine="640" w:firstLineChars="200"/>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ascii="仿宋" w:hAnsi="仿宋" w:eastAsia="仿宋" w:cs="仿宋"/>
          <w:color w:val="auto"/>
          <w:highlight w:val="none"/>
          <w:lang w:val="en-US" w:eastAsia="zh-CN"/>
        </w:rPr>
      </w:pPr>
      <w:r>
        <w:rPr>
          <w:rFonts w:hint="eastAsia" w:ascii="仿宋" w:hAnsi="仿宋" w:eastAsia="仿宋"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11.住房保障支出（类）住房改革支出（款）住房公积金（项）：指行政事业单位按人力资源和社会保障部、财政部规定的基本工资和津贴补贴以及规定比例为职工缴纳的住房公积金。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.基本支出：指为保障机构正常运转、完成日常工作任务而发生的人员支出和公用支出。</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 xml:space="preserve">.项目支出：指在基本支出之外为完成特定行政任务和事业发展目标所发生的支出。 </w:t>
      </w:r>
    </w:p>
    <w:p>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15396618"/>
            <w:bookmarkStart w:id="83" w:name="_Toc6245"/>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广元市昭化区磨滩镇小新小学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148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148</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148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148</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1920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1920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1920m²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1920m²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41</w:t>
            </w:r>
          </w:p>
        </w:tc>
      </w:tr>
      <w:tr>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8个月</w:t>
            </w:r>
          </w:p>
        </w:tc>
      </w:tr>
      <w:tr>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771元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pPr>
        <w:pStyle w:val="3"/>
        <w:bidi w:val="0"/>
        <w:rPr>
          <w:rFonts w:hint="eastAsia" w:ascii="仿宋" w:hAnsi="仿宋" w:eastAsia="仿宋" w:cs="仿宋"/>
          <w:color w:val="auto"/>
          <w:highlight w:val="none"/>
        </w:rPr>
      </w:pPr>
      <w:r>
        <w:rPr>
          <w:rFonts w:hint="eastAsia" w:ascii="仿宋" w:hAnsi="仿宋" w:eastAsia="仿宋" w:cs="仿宋"/>
          <w:color w:val="auto"/>
          <w:highlight w:val="none"/>
        </w:rPr>
        <w:t>第五部分 附表</w:t>
      </w:r>
      <w:bookmarkEnd w:id="79"/>
      <w:bookmarkEnd w:id="82"/>
      <w:bookmarkEnd w:id="83"/>
      <w:bookmarkStart w:id="84" w:name="_Toc15396619"/>
    </w:p>
    <w:p>
      <w:pPr>
        <w:pStyle w:val="4"/>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pPr>
        <w:pStyle w:val="4"/>
        <w:bidi w:val="0"/>
        <w:rPr>
          <w:rFonts w:hint="eastAsia" w:ascii="仿宋" w:hAnsi="仿宋" w:eastAsia="仿宋" w:cs="仿宋"/>
          <w:color w:val="auto"/>
          <w:highlight w:val="none"/>
        </w:rPr>
      </w:pPr>
      <w:bookmarkStart w:id="86" w:name="_Toc20829"/>
      <w:bookmarkStart w:id="87" w:name="_Toc15396620"/>
      <w:r>
        <w:rPr>
          <w:rFonts w:hint="eastAsia" w:ascii="仿宋" w:hAnsi="仿宋" w:eastAsia="仿宋" w:cs="仿宋"/>
          <w:color w:val="auto"/>
          <w:highlight w:val="none"/>
        </w:rPr>
        <w:t>二、收入决算表</w:t>
      </w:r>
      <w:bookmarkEnd w:id="86"/>
      <w:bookmarkEnd w:id="87"/>
    </w:p>
    <w:p>
      <w:pPr>
        <w:pStyle w:val="4"/>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pPr>
        <w:pStyle w:val="4"/>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pPr>
        <w:pStyle w:val="4"/>
        <w:bidi w:val="0"/>
        <w:rPr>
          <w:rFonts w:hint="eastAsia" w:ascii="仿宋" w:hAnsi="仿宋" w:eastAsia="仿宋" w:cs="仿宋"/>
          <w:color w:val="auto"/>
          <w:highlight w:val="none"/>
        </w:rPr>
      </w:pPr>
      <w:bookmarkStart w:id="92" w:name="_Toc15396623"/>
      <w:bookmarkStart w:id="93" w:name="_Toc16282"/>
      <w:r>
        <w:rPr>
          <w:rFonts w:hint="eastAsia" w:ascii="仿宋" w:hAnsi="仿宋" w:eastAsia="仿宋" w:cs="仿宋"/>
          <w:color w:val="auto"/>
          <w:highlight w:val="none"/>
        </w:rPr>
        <w:t>五、财政拨款支出决算明细表</w:t>
      </w:r>
      <w:bookmarkEnd w:id="92"/>
      <w:bookmarkEnd w:id="93"/>
      <w:bookmarkStart w:id="94" w:name="_Toc15396624"/>
    </w:p>
    <w:p>
      <w:pPr>
        <w:pStyle w:val="4"/>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pPr>
        <w:pStyle w:val="4"/>
        <w:bidi w:val="0"/>
        <w:rPr>
          <w:rFonts w:hint="eastAsia" w:ascii="仿宋" w:hAnsi="仿宋" w:eastAsia="仿宋" w:cs="仿宋"/>
          <w:color w:val="auto"/>
          <w:highlight w:val="none"/>
        </w:rPr>
      </w:pPr>
      <w:bookmarkStart w:id="96" w:name="_Toc15396625"/>
      <w:bookmarkStart w:id="97" w:name="_Toc16786"/>
      <w:r>
        <w:rPr>
          <w:rFonts w:hint="eastAsia" w:ascii="仿宋" w:hAnsi="仿宋" w:eastAsia="仿宋" w:cs="仿宋"/>
          <w:color w:val="auto"/>
          <w:highlight w:val="none"/>
        </w:rPr>
        <w:t>七、一般公共预算财政拨款支出决算明细表</w:t>
      </w:r>
      <w:bookmarkEnd w:id="96"/>
      <w:bookmarkEnd w:id="97"/>
    </w:p>
    <w:p>
      <w:pPr>
        <w:pStyle w:val="4"/>
        <w:bidi w:val="0"/>
        <w:rPr>
          <w:rFonts w:hint="eastAsia" w:ascii="仿宋" w:hAnsi="仿宋" w:eastAsia="仿宋" w:cs="仿宋"/>
          <w:color w:val="auto"/>
          <w:highlight w:val="none"/>
        </w:rPr>
      </w:pPr>
      <w:bookmarkStart w:id="98" w:name="_Toc15396626"/>
      <w:bookmarkStart w:id="99" w:name="_Toc31149"/>
      <w:r>
        <w:rPr>
          <w:rFonts w:hint="eastAsia" w:ascii="仿宋" w:hAnsi="仿宋" w:eastAsia="仿宋" w:cs="仿宋"/>
          <w:color w:val="auto"/>
          <w:highlight w:val="none"/>
        </w:rPr>
        <w:t>八、一般公共预算财政拨款基本支出决算表</w:t>
      </w:r>
      <w:bookmarkEnd w:id="98"/>
      <w:bookmarkEnd w:id="99"/>
    </w:p>
    <w:p>
      <w:pPr>
        <w:pStyle w:val="4"/>
        <w:bidi w:val="0"/>
        <w:rPr>
          <w:rFonts w:hint="eastAsia" w:ascii="仿宋" w:hAnsi="仿宋" w:eastAsia="仿宋" w:cs="仿宋"/>
          <w:color w:val="auto"/>
          <w:highlight w:val="none"/>
        </w:rPr>
      </w:pPr>
      <w:bookmarkStart w:id="100" w:name="_Toc15396627"/>
      <w:bookmarkStart w:id="101" w:name="_Toc2969"/>
      <w:r>
        <w:rPr>
          <w:rFonts w:hint="eastAsia" w:ascii="仿宋" w:hAnsi="仿宋" w:eastAsia="仿宋" w:cs="仿宋"/>
          <w:color w:val="auto"/>
          <w:highlight w:val="none"/>
        </w:rPr>
        <w:t>九、一般公共预算财政拨款项目支出决算表</w:t>
      </w:r>
      <w:bookmarkEnd w:id="100"/>
      <w:bookmarkEnd w:id="101"/>
    </w:p>
    <w:p>
      <w:pPr>
        <w:pStyle w:val="4"/>
        <w:bidi w:val="0"/>
        <w:rPr>
          <w:rFonts w:hint="eastAsia" w:ascii="仿宋" w:hAnsi="仿宋" w:eastAsia="仿宋" w:cs="仿宋"/>
          <w:color w:val="auto"/>
          <w:highlight w:val="none"/>
        </w:rPr>
      </w:pPr>
      <w:bookmarkStart w:id="102" w:name="_Toc15396628"/>
      <w:bookmarkStart w:id="103" w:name="_Toc15951"/>
      <w:r>
        <w:rPr>
          <w:rFonts w:hint="eastAsia" w:ascii="仿宋" w:hAnsi="仿宋" w:eastAsia="仿宋" w:cs="仿宋"/>
          <w:color w:val="auto"/>
          <w:highlight w:val="none"/>
        </w:rPr>
        <w:t>十、一般公共预算财政拨款“三公”经费支出决算表</w:t>
      </w:r>
      <w:bookmarkEnd w:id="102"/>
      <w:bookmarkEnd w:id="103"/>
    </w:p>
    <w:p>
      <w:pPr>
        <w:pStyle w:val="4"/>
        <w:bidi w:val="0"/>
        <w:rPr>
          <w:rFonts w:hint="eastAsia" w:ascii="仿宋" w:hAnsi="仿宋" w:eastAsia="仿宋" w:cs="仿宋"/>
          <w:color w:val="auto"/>
          <w:highlight w:val="none"/>
        </w:rPr>
      </w:pPr>
      <w:bookmarkStart w:id="104" w:name="_Toc15396629"/>
      <w:bookmarkStart w:id="105" w:name="_Toc26411"/>
      <w:r>
        <w:rPr>
          <w:rFonts w:hint="eastAsia" w:ascii="仿宋" w:hAnsi="仿宋" w:eastAsia="仿宋" w:cs="仿宋"/>
          <w:color w:val="auto"/>
          <w:highlight w:val="none"/>
        </w:rPr>
        <w:t>十一、政府性基金预算财政拨款收入支出决算表</w:t>
      </w:r>
      <w:bookmarkEnd w:id="104"/>
      <w:bookmarkEnd w:id="105"/>
    </w:p>
    <w:p>
      <w:pPr>
        <w:pStyle w:val="4"/>
        <w:bidi w:val="0"/>
        <w:rPr>
          <w:rFonts w:hint="eastAsia" w:ascii="仿宋" w:hAnsi="仿宋" w:eastAsia="仿宋" w:cs="仿宋"/>
          <w:color w:val="auto"/>
          <w:highlight w:val="none"/>
        </w:rPr>
      </w:pPr>
      <w:bookmarkStart w:id="106" w:name="_Toc15396630"/>
      <w:bookmarkStart w:id="107" w:name="_Toc31313"/>
      <w:r>
        <w:rPr>
          <w:rFonts w:hint="eastAsia" w:ascii="仿宋" w:hAnsi="仿宋" w:eastAsia="仿宋" w:cs="仿宋"/>
          <w:color w:val="auto"/>
          <w:highlight w:val="none"/>
        </w:rPr>
        <w:t>十二、政府性基金预算财政拨款“三公”经费支出决算表</w:t>
      </w:r>
      <w:bookmarkEnd w:id="106"/>
      <w:bookmarkEnd w:id="107"/>
    </w:p>
    <w:p>
      <w:pPr>
        <w:pStyle w:val="4"/>
        <w:bidi w:val="0"/>
        <w:rPr>
          <w:rFonts w:hint="eastAsia" w:ascii="仿宋" w:hAnsi="仿宋" w:eastAsia="仿宋" w:cs="仿宋"/>
          <w:color w:val="auto"/>
          <w:highlight w:val="none"/>
        </w:rPr>
      </w:pPr>
      <w:bookmarkStart w:id="108" w:name="_Toc15396631"/>
      <w:bookmarkStart w:id="109" w:name="_Toc26015"/>
      <w:r>
        <w:rPr>
          <w:rFonts w:hint="eastAsia" w:ascii="仿宋" w:hAnsi="仿宋" w:eastAsia="仿宋" w:cs="仿宋"/>
          <w:color w:val="auto"/>
          <w:highlight w:val="none"/>
        </w:rPr>
        <w:t>十三、国有资本经营预算财政拨款收入支出决算表</w:t>
      </w:r>
      <w:bookmarkEnd w:id="108"/>
      <w:bookmarkEnd w:id="109"/>
    </w:p>
    <w:p>
      <w:pPr>
        <w:pStyle w:val="4"/>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bookmarkEnd w:id="111"/>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66606B5"/>
    <w:rsid w:val="092807EB"/>
    <w:rsid w:val="0A2032A3"/>
    <w:rsid w:val="0B8A37D8"/>
    <w:rsid w:val="0DA65670"/>
    <w:rsid w:val="0EC71F0D"/>
    <w:rsid w:val="10C055FF"/>
    <w:rsid w:val="112C7A85"/>
    <w:rsid w:val="118107EC"/>
    <w:rsid w:val="11DD6519"/>
    <w:rsid w:val="12910332"/>
    <w:rsid w:val="157E27B0"/>
    <w:rsid w:val="16BB723D"/>
    <w:rsid w:val="175404DE"/>
    <w:rsid w:val="177D300F"/>
    <w:rsid w:val="18015F3F"/>
    <w:rsid w:val="1BE8440E"/>
    <w:rsid w:val="1D155CEE"/>
    <w:rsid w:val="1F046865"/>
    <w:rsid w:val="20F57F95"/>
    <w:rsid w:val="23066A21"/>
    <w:rsid w:val="240371BF"/>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3FB02072"/>
    <w:rsid w:val="437E6B78"/>
    <w:rsid w:val="493C27E9"/>
    <w:rsid w:val="496F39ED"/>
    <w:rsid w:val="49FF41D3"/>
    <w:rsid w:val="4A185DC8"/>
    <w:rsid w:val="4BE068DB"/>
    <w:rsid w:val="4BF6002B"/>
    <w:rsid w:val="4ECE2238"/>
    <w:rsid w:val="4F301641"/>
    <w:rsid w:val="4FD61684"/>
    <w:rsid w:val="503645ED"/>
    <w:rsid w:val="508F3649"/>
    <w:rsid w:val="51DB4B86"/>
    <w:rsid w:val="52FB5859"/>
    <w:rsid w:val="53241EFD"/>
    <w:rsid w:val="55333C3E"/>
    <w:rsid w:val="58737E60"/>
    <w:rsid w:val="5EEF25B2"/>
    <w:rsid w:val="64A80084"/>
    <w:rsid w:val="64CA39A1"/>
    <w:rsid w:val="65B126BB"/>
    <w:rsid w:val="69F768F0"/>
    <w:rsid w:val="6C4A05C8"/>
    <w:rsid w:val="6C6E6699"/>
    <w:rsid w:val="6CE41E44"/>
    <w:rsid w:val="6EDA0CDC"/>
    <w:rsid w:val="6F5F03D2"/>
    <w:rsid w:val="72734D90"/>
    <w:rsid w:val="727D7081"/>
    <w:rsid w:val="72E456B5"/>
    <w:rsid w:val="744F4926"/>
    <w:rsid w:val="74E366CA"/>
    <w:rsid w:val="79E7B28D"/>
    <w:rsid w:val="7AC82E51"/>
    <w:rsid w:val="7BFA24EA"/>
    <w:rsid w:val="7CAB154F"/>
    <w:rsid w:val="7DB56BE2"/>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4">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宋体"/>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553.12</c:v>
                </c:pt>
                <c:pt idx="1">
                  <c:v>508.03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553.12</c:v>
                </c:pt>
                <c:pt idx="1">
                  <c:v>508.03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70.87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29.13</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360.03</c:v>
                </c:pt>
                <c:pt idx="1">
                  <c:v>148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553.12</c:v>
                </c:pt>
                <c:pt idx="1">
                  <c:v>508.03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553.12</c:v>
                </c:pt>
                <c:pt idx="1">
                  <c:v>508.03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553.12</c:v>
                </c:pt>
                <c:pt idx="1">
                  <c:v>508.03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17</Pages>
  <Words>5486</Words>
  <Characters>5877</Characters>
  <Lines>47</Lines>
  <Paragraphs>13</Paragraphs>
  <TotalTime>2</TotalTime>
  <ScaleCrop>false</ScaleCrop>
  <LinksUpToDate>false</LinksUpToDate>
  <CharactersWithSpaces>5943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xmb001</cp:lastModifiedBy>
  <cp:lastPrinted>2022-09-27T03:56:00Z</cp:lastPrinted>
  <dcterms:modified xsi:type="dcterms:W3CDTF">2022-09-30T14:12:46Z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83D89D1EB6304560AFB24CAE09F79B66</vt:lpwstr>
  </property>
</Properties>
</file>