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E534F">
      <w:pPr>
        <w:spacing w:line="600" w:lineRule="exact"/>
        <w:jc w:val="center"/>
        <w:outlineLvl w:val="0"/>
        <w:rPr>
          <w:rFonts w:ascii="方正小标宋简体" w:hAnsi="宋体" w:eastAsia="方正小标宋简体"/>
          <w:color w:val="auto"/>
          <w:sz w:val="72"/>
          <w:szCs w:val="72"/>
          <w:highlight w:val="none"/>
        </w:rPr>
      </w:pPr>
      <w:bookmarkStart w:id="0" w:name="_Toc15306267"/>
    </w:p>
    <w:p w14:paraId="1BE331CB">
      <w:pPr>
        <w:spacing w:line="600" w:lineRule="exact"/>
        <w:jc w:val="center"/>
        <w:outlineLvl w:val="0"/>
        <w:rPr>
          <w:rFonts w:ascii="方正小标宋简体" w:hAnsi="宋体" w:eastAsia="方正小标宋简体"/>
          <w:color w:val="auto"/>
          <w:sz w:val="72"/>
          <w:szCs w:val="72"/>
          <w:highlight w:val="none"/>
        </w:rPr>
      </w:pPr>
    </w:p>
    <w:p w14:paraId="41FAC274">
      <w:pPr>
        <w:spacing w:line="600" w:lineRule="exact"/>
        <w:jc w:val="center"/>
        <w:outlineLvl w:val="0"/>
        <w:rPr>
          <w:rFonts w:ascii="方正小标宋简体" w:hAnsi="宋体" w:eastAsia="方正小标宋简体"/>
          <w:color w:val="auto"/>
          <w:sz w:val="72"/>
          <w:szCs w:val="72"/>
          <w:highlight w:val="none"/>
        </w:rPr>
      </w:pPr>
    </w:p>
    <w:p w14:paraId="2C519089">
      <w:pPr>
        <w:spacing w:line="600" w:lineRule="exact"/>
        <w:jc w:val="center"/>
        <w:outlineLvl w:val="0"/>
        <w:rPr>
          <w:rFonts w:ascii="方正小标宋简体" w:hAnsi="宋体" w:eastAsia="方正小标宋简体"/>
          <w:color w:val="auto"/>
          <w:sz w:val="72"/>
          <w:szCs w:val="72"/>
          <w:highlight w:val="none"/>
        </w:rPr>
      </w:pPr>
    </w:p>
    <w:p w14:paraId="495AD10A">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21" w:name="_GoBack"/>
      <w:bookmarkEnd w:id="121"/>
      <w:bookmarkStart w:id="1" w:name="_Toc15396597"/>
      <w:bookmarkStart w:id="2" w:name="_Toc1681"/>
      <w:bookmarkStart w:id="3" w:name="_Toc23980"/>
      <w:bookmarkStart w:id="4" w:name="_Toc15377193"/>
      <w:bookmarkStart w:id="5" w:name="_Toc15396475"/>
      <w:bookmarkStart w:id="6" w:name="_Toc15378441"/>
      <w:bookmarkStart w:id="7" w:name="_Toc16141"/>
      <w:bookmarkStart w:id="8" w:name="_Toc15377425"/>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bookmarkEnd w:id="6"/>
      <w:bookmarkEnd w:id="7"/>
      <w:bookmarkEnd w:id="8"/>
    </w:p>
    <w:p w14:paraId="1247A2EB">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9" w:name="_Toc1473"/>
      <w:bookmarkStart w:id="10" w:name="_Toc29347"/>
      <w:bookmarkStart w:id="11" w:name="_Toc17433"/>
      <w:bookmarkStart w:id="12" w:name="_Toc15378442"/>
      <w:bookmarkStart w:id="13" w:name="_Toc15377194"/>
      <w:bookmarkStart w:id="14" w:name="_Toc15396476"/>
      <w:bookmarkStart w:id="15" w:name="_Toc15396598"/>
      <w:bookmarkStart w:id="16" w:name="_Toc15377426"/>
      <w:r>
        <w:rPr>
          <w:rFonts w:hint="eastAsia" w:ascii="方正小标宋_GBK" w:hAnsi="方正小标宋_GBK" w:eastAsia="方正小标宋_GBK" w:cs="方正小标宋_GBK"/>
          <w:color w:val="auto"/>
          <w:sz w:val="72"/>
          <w:szCs w:val="72"/>
          <w:highlight w:val="none"/>
        </w:rPr>
        <w:t>四川省</w:t>
      </w:r>
      <w:bookmarkEnd w:id="0"/>
      <w:bookmarkStart w:id="17" w:name="_Toc15306268"/>
      <w:r>
        <w:rPr>
          <w:rFonts w:hint="eastAsia" w:ascii="方正小标宋_GBK" w:hAnsi="方正小标宋_GBK" w:eastAsia="方正小标宋_GBK" w:cs="方正小标宋_GBK"/>
          <w:color w:val="auto"/>
          <w:sz w:val="72"/>
          <w:szCs w:val="72"/>
          <w:highlight w:val="none"/>
        </w:rPr>
        <w:t>广元市昭化区</w:t>
      </w:r>
      <w:bookmarkEnd w:id="9"/>
      <w:bookmarkEnd w:id="10"/>
      <w:bookmarkEnd w:id="11"/>
    </w:p>
    <w:p w14:paraId="32567657">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8" w:name="_Toc2341"/>
      <w:bookmarkStart w:id="19" w:name="_Toc9679"/>
      <w:bookmarkStart w:id="20" w:name="_Toc21060"/>
      <w:r>
        <w:rPr>
          <w:rFonts w:hint="eastAsia" w:ascii="方正小标宋_GBK" w:hAnsi="方正小标宋_GBK" w:eastAsia="方正小标宋_GBK" w:cs="方正小标宋_GBK"/>
          <w:color w:val="auto"/>
          <w:sz w:val="72"/>
          <w:szCs w:val="72"/>
          <w:highlight w:val="none"/>
          <w:lang w:eastAsia="zh-CN"/>
        </w:rPr>
        <w:t>磨滩镇观音小学</w:t>
      </w:r>
      <w:r>
        <w:rPr>
          <w:rFonts w:hint="eastAsia" w:ascii="方正小标宋_GBK" w:hAnsi="方正小标宋_GBK" w:eastAsia="方正小标宋_GBK" w:cs="方正小标宋_GBK"/>
          <w:color w:val="auto"/>
          <w:sz w:val="72"/>
          <w:szCs w:val="72"/>
          <w:highlight w:val="none"/>
        </w:rPr>
        <w:t>单位决算</w:t>
      </w:r>
      <w:bookmarkEnd w:id="12"/>
      <w:bookmarkEnd w:id="13"/>
      <w:bookmarkEnd w:id="14"/>
      <w:bookmarkEnd w:id="15"/>
      <w:bookmarkEnd w:id="16"/>
      <w:bookmarkEnd w:id="17"/>
      <w:bookmarkEnd w:id="18"/>
      <w:bookmarkEnd w:id="19"/>
      <w:bookmarkEnd w:id="20"/>
    </w:p>
    <w:p w14:paraId="43B03D44">
      <w:pPr>
        <w:widowControl/>
        <w:jc w:val="center"/>
        <w:rPr>
          <w:rFonts w:hint="eastAsia"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14:paraId="7B6A52DE">
      <w:pPr>
        <w:pStyle w:val="13"/>
        <w:tabs>
          <w:tab w:val="right" w:leader="dot" w:pos="8306"/>
          <w:tab w:val="clear" w:pos="8296"/>
        </w:tabs>
        <w:rPr>
          <w:color w:val="auto"/>
          <w:highlight w:val="none"/>
        </w:rPr>
      </w:pPr>
      <w:r>
        <w:rPr>
          <w:color w:val="auto"/>
          <w:highlight w:val="none"/>
        </w:rPr>
        <w:fldChar w:fldCharType="begin"/>
      </w:r>
      <w:r>
        <w:rPr>
          <w:color w:val="auto"/>
          <w:highlight w:val="none"/>
        </w:rPr>
        <w:instrText xml:space="preserve">TOC \o "1-2" \h \u </w:instrText>
      </w:r>
      <w:r>
        <w:rPr>
          <w:color w:val="auto"/>
          <w:highlight w:val="none"/>
        </w:rPr>
        <w:fldChar w:fldCharType="separate"/>
      </w:r>
    </w:p>
    <w:p w14:paraId="1958D4F4">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_Toc17514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第一部分 单位概况</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_Toc17514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F133407">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_Toc31309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职能简介</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_Toc31309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6E62C59">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_Toc13653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二、2021年重点工作完成情况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_Toc13653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DEA09DA">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_Toc10518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第二部分 2021年度单位决算情况说明</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_Toc10518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9281127">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_Toc28278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_Toc28278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53FF5CBB">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_Toc9393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 收入决算情况说明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_Toc9393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54DDC4E7">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_Toc12816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_Toc12816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F5BBE04">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_Toc20083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_Toc20083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5A62946">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_Toc20242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五、一般公共预算财政拨款支出决算情况说明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_Toc20242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09B6490C">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_Toc2813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六、一般公共预算财政拨款基本支出决算情况说明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_Toc2813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52B03A42">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_Toc9813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七、“三公”经费财政拨款支出决算情况说明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_Toc9813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E1F6B84">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_Toc3503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八、政府性基金预算支出决算情况说明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_Toc3503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5B5D2B2">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_Toc30571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 国有资本经营预算支出决算情况说明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_Toc30571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D51A808">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_Toc14092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 预算绩效管理情况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_Toc14092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FA7D2CA">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_Toc11548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 其他重要事项的情况说明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_Toc11548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D9B90DB">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_Toc27075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第三部分 名词解释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_Toc27075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02295A2">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_Toc24127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第四部分 附件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_Toc24127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F3CBF2C">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_Toc24969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第五部分 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_Toc24969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2E24D9C">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_Toc26442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_Toc26442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48CCA43">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_Toc24488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二、收入决算表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_Toc24488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43F52141">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_Toc6939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三、支出决算表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_Toc6939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9BDCDAB">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_Toc30417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_Toc30417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5F2B1592">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_Toc1651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_Toc1651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43A24DF">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_Toc18542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_Toc18542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200B3D9">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_Toc25672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七、一般公共预算财政拨款支出决算明细表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_Toc25672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A13E4BE">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_Toc3598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八、一般公共预算财政拨款基本支出决算表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_Toc3598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E3AD4C4">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_Toc28845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九、一般公共预算财政拨款项目支出决算表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_Toc28845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6818612">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_Toc24879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十、一般公共预算财政拨款“三公”经费支出决算表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_Toc24879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13F3D17">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_Toc24059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十一、政府性基金预算财政拨款收入支出决算表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_Toc24059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4E2577F9">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_Toc30287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十二、政府性基金预算财政拨款“三公”经费支出决算表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_Toc30287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01CB3D28">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_Toc21531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十三、国有资本经营预算财政拨款收入支出决算表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_Toc21531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0631DF93">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_Toc3471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十四、国有资本经营预算财政拨款支出决算表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_Toc3471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D513708">
      <w:pPr>
        <w:pStyle w:val="2"/>
        <w:rPr>
          <w:color w:val="auto"/>
          <w:highlight w:val="none"/>
        </w:rPr>
      </w:pPr>
      <w:r>
        <w:rPr>
          <w:color w:val="auto"/>
          <w:highlight w:val="none"/>
        </w:rPr>
        <w:fldChar w:fldCharType="end"/>
      </w:r>
    </w:p>
    <w:p w14:paraId="5BA72EE3">
      <w:pPr>
        <w:pStyle w:val="3"/>
        <w:bidi w:val="0"/>
        <w:rPr>
          <w:color w:val="auto"/>
          <w:highlight w:val="none"/>
        </w:rPr>
      </w:pPr>
      <w:bookmarkStart w:id="21" w:name="_Toc17785"/>
      <w:bookmarkStart w:id="22" w:name="_Toc15396599"/>
      <w:bookmarkStart w:id="23" w:name="_Toc17514"/>
      <w:bookmarkStart w:id="24" w:name="_Toc15377196"/>
      <w:r>
        <w:rPr>
          <w:rFonts w:hint="eastAsia"/>
          <w:color w:val="auto"/>
          <w:highlight w:val="none"/>
        </w:rPr>
        <w:t>第一部分 单位概况</w:t>
      </w:r>
      <w:bookmarkEnd w:id="21"/>
      <w:bookmarkEnd w:id="22"/>
      <w:bookmarkEnd w:id="23"/>
      <w:bookmarkEnd w:id="24"/>
    </w:p>
    <w:p w14:paraId="0820A426">
      <w:pPr>
        <w:widowControl/>
        <w:jc w:val="left"/>
        <w:rPr>
          <w:rFonts w:ascii="黑体" w:eastAsia="黑体"/>
          <w:color w:val="auto"/>
          <w:sz w:val="32"/>
          <w:szCs w:val="32"/>
          <w:highlight w:val="none"/>
        </w:rPr>
      </w:pPr>
    </w:p>
    <w:p w14:paraId="5E667C60">
      <w:pPr>
        <w:pStyle w:val="4"/>
        <w:numPr>
          <w:ilvl w:val="0"/>
          <w:numId w:val="1"/>
        </w:numPr>
        <w:bidi w:val="0"/>
        <w:rPr>
          <w:rFonts w:hint="eastAsia"/>
          <w:color w:val="auto"/>
          <w:highlight w:val="none"/>
        </w:rPr>
      </w:pPr>
      <w:bookmarkStart w:id="25" w:name="_Toc31309"/>
      <w:bookmarkStart w:id="26" w:name="_Toc7404"/>
      <w:bookmarkStart w:id="27" w:name="_Toc15377197"/>
      <w:bookmarkStart w:id="28" w:name="_Toc15396600"/>
      <w:r>
        <w:rPr>
          <w:rFonts w:hint="eastAsia"/>
          <w:color w:val="auto"/>
          <w:highlight w:val="none"/>
        </w:rPr>
        <w:t>职能简介</w:t>
      </w:r>
      <w:bookmarkEnd w:id="25"/>
      <w:bookmarkEnd w:id="26"/>
    </w:p>
    <w:p w14:paraId="3432E525">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14:paraId="706039C7">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14:paraId="2A44BC6A">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14:paraId="02F80E06">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14:paraId="3D29C87D">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14:paraId="3093E00B">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p>
    <w:p w14:paraId="7C1C20B3">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负责依法制定本校教师及其他职工聘任办法并对教师及其他员工实施包括奖励、处分在内的具体管理活动。</w:t>
      </w:r>
    </w:p>
    <w:p w14:paraId="68502FD8">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8. 负责科学管理、合理使用学校的设施和经费，并积极筹措资金，改善办学条件。</w:t>
      </w:r>
    </w:p>
    <w:p w14:paraId="0D7EFF64">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14:paraId="61BA31F7">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10.</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14:paraId="527CFA12">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14:paraId="35D5CD6F">
      <w:pPr>
        <w:pStyle w:val="4"/>
        <w:bidi w:val="0"/>
        <w:rPr>
          <w:rFonts w:hint="eastAsia"/>
          <w:color w:val="auto"/>
          <w:highlight w:val="none"/>
        </w:rPr>
      </w:pPr>
      <w:bookmarkStart w:id="29" w:name="_Toc13653"/>
      <w:bookmarkStart w:id="30" w:name="_Toc4463"/>
      <w:r>
        <w:rPr>
          <w:rFonts w:hint="eastAsia"/>
          <w:color w:val="auto"/>
          <w:highlight w:val="none"/>
        </w:rPr>
        <w:t>二、2021年重点工作</w:t>
      </w:r>
      <w:bookmarkEnd w:id="27"/>
      <w:bookmarkEnd w:id="28"/>
      <w:r>
        <w:rPr>
          <w:rFonts w:hint="eastAsia"/>
          <w:color w:val="auto"/>
          <w:highlight w:val="none"/>
        </w:rPr>
        <w:t>完成情况</w:t>
      </w:r>
      <w:bookmarkEnd w:id="29"/>
      <w:bookmarkEnd w:id="30"/>
    </w:p>
    <w:p w14:paraId="302D3759">
      <w:pPr>
        <w:pStyle w:val="15"/>
        <w:pageBreakBefore w:val="0"/>
        <w:numPr>
          <w:ilvl w:val="0"/>
          <w:numId w:val="0"/>
        </w:numPr>
        <w:pBdr>
          <w:top w:val="none" w:color="000000" w:sz="0" w:space="0"/>
          <w:left w:val="none" w:color="000000" w:sz="0" w:space="0"/>
          <w:bottom w:val="none" w:color="000000" w:sz="0" w:space="0"/>
          <w:right w:val="none" w:color="000000" w:sz="0" w:space="0"/>
        </w:pBdr>
        <w:autoSpaceDE/>
        <w:autoSpaceDN/>
        <w:bidi w:val="0"/>
        <w:snapToGrid/>
        <w:spacing w:before="0" w:after="0" w:line="450" w:lineRule="atLeast"/>
        <w:ind w:left="0" w:leftChars="0" w:right="0" w:firstLine="641" w:firstLineChars="200"/>
        <w:jc w:val="both"/>
        <w:outlineLvl w:val="9"/>
        <w:rPr>
          <w:rFonts w:hint="eastAsia" w:ascii="华文楷体" w:hAnsi="华文楷体" w:eastAsia="华文楷体" w:cs="华文楷体"/>
          <w:b/>
          <w:color w:val="auto"/>
          <w:sz w:val="32"/>
          <w:szCs w:val="32"/>
          <w:highlight w:val="none"/>
        </w:rPr>
      </w:pPr>
      <w:r>
        <w:rPr>
          <w:rFonts w:hint="eastAsia" w:ascii="华文楷体" w:hAnsi="华文楷体" w:eastAsia="华文楷体" w:cs="华文楷体"/>
          <w:b/>
          <w:color w:val="auto"/>
          <w:sz w:val="32"/>
          <w:szCs w:val="32"/>
          <w:highlight w:val="none"/>
        </w:rPr>
        <w:t>（一）切实履行党建工作第一责任人的主体责任，加强基层党建工作。</w:t>
      </w:r>
    </w:p>
    <w:p w14:paraId="1A8B4D3D">
      <w:pPr>
        <w:pStyle w:val="15"/>
        <w:pageBreakBefore w:val="0"/>
        <w:autoSpaceDE/>
        <w:autoSpaceDN/>
        <w:bidi w:val="0"/>
        <w:snapToGrid/>
        <w:spacing w:before="0" w:after="0" w:line="450" w:lineRule="atLeast"/>
        <w:ind w:left="0" w:leftChars="0" w:right="0" w:firstLine="640" w:firstLineChars="200"/>
        <w:jc w:val="both"/>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加强政治理论学习。带领党员干部深入学习党的十九大、十九届四、五中全会和</w:t>
      </w:r>
      <w:r>
        <w:rPr>
          <w:rFonts w:hint="eastAsia" w:ascii="仿宋_GB2312" w:hAnsi="仿宋_GB2312" w:eastAsia="仿宋_GB2312" w:cs="仿宋_GB2312"/>
          <w:color w:val="auto"/>
          <w:sz w:val="32"/>
          <w:szCs w:val="32"/>
          <w:highlight w:val="none"/>
          <w:lang w:eastAsia="zh-CN"/>
        </w:rPr>
        <w:t>习近平总书记系列重要讲话精神</w:t>
      </w:r>
      <w:r>
        <w:rPr>
          <w:rFonts w:hint="eastAsia" w:ascii="仿宋_GB2312" w:hAnsi="仿宋_GB2312" w:eastAsia="仿宋_GB2312" w:cs="仿宋_GB2312"/>
          <w:color w:val="auto"/>
          <w:sz w:val="32"/>
          <w:szCs w:val="32"/>
          <w:highlight w:val="none"/>
        </w:rPr>
        <w:t>，撰写学习心得，深刻领会精神实质和内涵，一年来坚持定期学习和会前学习相结合，同时带领广大党员用好学习强国平台资源。</w:t>
      </w:r>
    </w:p>
    <w:p w14:paraId="36F2CB02">
      <w:pPr>
        <w:pStyle w:val="15"/>
        <w:pageBreakBefore w:val="0"/>
        <w:autoSpaceDE/>
        <w:autoSpaceDN/>
        <w:bidi w:val="0"/>
        <w:snapToGrid/>
        <w:spacing w:before="0" w:after="0" w:line="450" w:lineRule="atLeast"/>
        <w:ind w:left="0" w:leftChars="0" w:right="0" w:firstLine="640" w:firstLineChars="200"/>
        <w:jc w:val="both"/>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开展丰富的党组织活动，在活动中培养干部，锤炼队伍，做好常规活动，开展党员示范课，坚持“三会一课”制度。做到每个季度上一次党课，每个月召开一次党员大会，支委会和党小组会，重温党的誓词，坚定理想信念。在庆祝建党节之际，组织全体党员教师面对党旗，重温了入党誓词，不忘初心，忠实的践行着入党誓言，坚定理想信念，履行着党员的义务和责任。组织召开退休党员座谈会1次，慰问退休困难党员6人次。</w:t>
      </w:r>
    </w:p>
    <w:p w14:paraId="5C8936F5">
      <w:pPr>
        <w:pStyle w:val="15"/>
        <w:pageBreakBefore w:val="0"/>
        <w:autoSpaceDE/>
        <w:autoSpaceDN/>
        <w:bidi w:val="0"/>
        <w:snapToGrid/>
        <w:spacing w:before="0" w:after="0" w:line="450" w:lineRule="atLeast"/>
        <w:ind w:left="0" w:leftChars="0" w:right="0" w:firstLine="640" w:firstLineChars="200"/>
        <w:jc w:val="both"/>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坚持做好双培养工作，把优秀的业务骨干培养成共产党员，把共产党员培养成优秀教师，在疫情考验面前、在日常工作中，培养积极分子，锤炼队伍，发展壮大党的组织，本年度发展新党员一名。</w:t>
      </w:r>
    </w:p>
    <w:p w14:paraId="78FC67D0">
      <w:pPr>
        <w:pStyle w:val="15"/>
        <w:pageBreakBefore w:val="0"/>
        <w:autoSpaceDE/>
        <w:autoSpaceDN/>
        <w:bidi w:val="0"/>
        <w:snapToGrid/>
        <w:spacing w:before="0" w:after="0" w:line="450" w:lineRule="atLeast"/>
        <w:ind w:left="0" w:leftChars="0" w:right="0" w:firstLine="640" w:firstLineChars="200"/>
        <w:jc w:val="both"/>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加强党支部建设，在疫情防控和教育教学工作中，教育和带领党员冲锋在前、奋斗在前，以实际行动和一流的业绩引领和感召全校师生努力奋斗，把党支部建成了坚强的战斗堡垒，实现了教学质量大提升，2020年7月被评为先进党支部。</w:t>
      </w:r>
    </w:p>
    <w:p w14:paraId="32823006">
      <w:pPr>
        <w:pStyle w:val="15"/>
        <w:pageBreakBefore w:val="0"/>
        <w:numPr>
          <w:ilvl w:val="0"/>
          <w:numId w:val="0"/>
        </w:numPr>
        <w:pBdr>
          <w:top w:val="none" w:color="000000" w:sz="0" w:space="0"/>
          <w:left w:val="none" w:color="000000" w:sz="0" w:space="0"/>
          <w:bottom w:val="none" w:color="000000" w:sz="0" w:space="0"/>
          <w:right w:val="none" w:color="000000" w:sz="0" w:space="0"/>
        </w:pBdr>
        <w:autoSpaceDE/>
        <w:autoSpaceDN/>
        <w:bidi w:val="0"/>
        <w:snapToGrid/>
        <w:spacing w:before="0" w:after="0" w:line="450" w:lineRule="atLeast"/>
        <w:ind w:left="0" w:leftChars="0" w:right="0" w:firstLine="641" w:firstLineChars="200"/>
        <w:jc w:val="both"/>
        <w:outlineLvl w:val="9"/>
        <w:rPr>
          <w:rFonts w:hint="eastAsia" w:ascii="华文楷体" w:hAnsi="华文楷体" w:eastAsia="华文楷体" w:cs="华文楷体"/>
          <w:b/>
          <w:color w:val="auto"/>
          <w:sz w:val="32"/>
          <w:szCs w:val="32"/>
          <w:highlight w:val="none"/>
        </w:rPr>
      </w:pPr>
      <w:r>
        <w:rPr>
          <w:rFonts w:hint="eastAsia" w:ascii="华文楷体" w:hAnsi="华文楷体" w:eastAsia="华文楷体" w:cs="华文楷体"/>
          <w:b/>
          <w:color w:val="auto"/>
          <w:sz w:val="32"/>
          <w:szCs w:val="32"/>
          <w:highlight w:val="none"/>
        </w:rPr>
        <w:t>（二）认真履行党风廉政建设主体责任。</w:t>
      </w:r>
    </w:p>
    <w:p w14:paraId="179449CE">
      <w:pPr>
        <w:pStyle w:val="15"/>
        <w:pageBreakBefore w:val="0"/>
        <w:autoSpaceDE/>
        <w:autoSpaceDN/>
        <w:bidi w:val="0"/>
        <w:snapToGrid/>
        <w:spacing w:before="0" w:after="0" w:line="450" w:lineRule="atLeast"/>
        <w:ind w:left="0" w:leftChars="0" w:right="0" w:firstLine="640" w:firstLineChars="200"/>
        <w:jc w:val="both"/>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自己以身作则，廉洁自律。一年来，严格执行廉洁自律相关规定，严格执行廉洁自律的有关规定。坚持按照保持共产党员先进性的具体要求，系统的学习了党代会精神和各项政策理论，平时注重对党的方针、政策的学习和理解，坚持用科学的理论武装头脑，不断加强自身建设，努力提高思想政治素质和工作水平。  　　</w:t>
      </w:r>
    </w:p>
    <w:p w14:paraId="7489966C">
      <w:pPr>
        <w:pStyle w:val="15"/>
        <w:pageBreakBefore w:val="0"/>
        <w:autoSpaceDE/>
        <w:autoSpaceDN/>
        <w:bidi w:val="0"/>
        <w:snapToGrid/>
        <w:spacing w:before="0" w:after="0" w:line="450" w:lineRule="atLeast"/>
        <w:ind w:left="0" w:leftChars="0" w:right="0" w:firstLine="640" w:firstLineChars="200"/>
        <w:jc w:val="both"/>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通过坚持不懈的学习，我进一步坚定了理想信念，牢固树立了立党为公、执政为民、率先垂范的思想，筑牢思想防线，提高了拒腐防变的能力，保持清醒的头脑，坚持用《廉洁准则》严格约束和规范自己的言行。  　　</w:t>
      </w:r>
    </w:p>
    <w:p w14:paraId="57508642">
      <w:pPr>
        <w:pStyle w:val="15"/>
        <w:pageBreakBefore w:val="0"/>
        <w:autoSpaceDE/>
        <w:autoSpaceDN/>
        <w:bidi w:val="0"/>
        <w:snapToGrid/>
        <w:spacing w:before="0" w:after="0" w:line="450" w:lineRule="atLeast"/>
        <w:ind w:left="0" w:leftChars="0" w:right="0" w:firstLine="640" w:firstLineChars="200"/>
        <w:jc w:val="both"/>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在工作中坚持原则，按制度办事，坚持实事求是，不好大喜功;在生活上严格要求自己，保持清正廉洁、</w:t>
      </w:r>
      <w:r>
        <w:rPr>
          <w:rFonts w:hint="eastAsia" w:ascii="仿宋_GB2312" w:hAnsi="仿宋_GB2312" w:eastAsia="仿宋_GB2312" w:cs="仿宋_GB2312"/>
          <w:color w:val="auto"/>
          <w:sz w:val="32"/>
          <w:szCs w:val="32"/>
          <w:highlight w:val="none"/>
          <w:lang w:eastAsia="zh-CN"/>
        </w:rPr>
        <w:t>克己奉公</w:t>
      </w:r>
      <w:r>
        <w:rPr>
          <w:rFonts w:hint="eastAsia" w:ascii="仿宋_GB2312" w:hAnsi="仿宋_GB2312" w:eastAsia="仿宋_GB2312" w:cs="仿宋_GB2312"/>
          <w:color w:val="auto"/>
          <w:sz w:val="32"/>
          <w:szCs w:val="32"/>
          <w:highlight w:val="none"/>
        </w:rPr>
        <w:t>，不讲排场，不比阔气，不搞铺张浪费。要求群众做到的，我首先做到做好，不搞特殊，不徇私情，树立良好的形象，坚持民主集中制，末位表态，严格按照党支部领导下的校长负责制进行权力运行，筑牢制度防线，严以用权。</w:t>
      </w:r>
    </w:p>
    <w:p w14:paraId="6BB5B949">
      <w:pPr>
        <w:pStyle w:val="15"/>
        <w:pageBreakBefore w:val="0"/>
        <w:autoSpaceDE/>
        <w:autoSpaceDN/>
        <w:bidi w:val="0"/>
        <w:snapToGrid/>
        <w:spacing w:before="0" w:after="0" w:line="450" w:lineRule="atLeast"/>
        <w:ind w:left="0" w:leftChars="0" w:right="0" w:firstLine="640" w:firstLineChars="200"/>
        <w:jc w:val="both"/>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抓好班子，带好队伍。一是将带领党员干部加强学习，筑牢思想防线，认真学习</w:t>
      </w:r>
      <w:r>
        <w:rPr>
          <w:rFonts w:hint="eastAsia" w:ascii="仿宋_GB2312" w:hAnsi="仿宋_GB2312" w:eastAsia="仿宋_GB2312" w:cs="仿宋_GB2312"/>
          <w:color w:val="auto"/>
          <w:sz w:val="32"/>
          <w:szCs w:val="32"/>
          <w:highlight w:val="none"/>
          <w:lang w:eastAsia="zh-CN"/>
        </w:rPr>
        <w:t>党章</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《中国共产党党员领导干部廉洁从政若干准则》</w:t>
      </w:r>
      <w:r>
        <w:rPr>
          <w:rFonts w:hint="eastAsia" w:ascii="仿宋_GB2312" w:hAnsi="仿宋_GB2312" w:eastAsia="仿宋_GB2312" w:cs="仿宋_GB2312"/>
          <w:color w:val="auto"/>
          <w:sz w:val="32"/>
          <w:szCs w:val="32"/>
          <w:highlight w:val="none"/>
        </w:rPr>
        <w:t>《中国共产党纪律处分条例条例》以及各种党纪党规，并严格遵守，克己奉公，率先垂范，廉洁自律，大事讲原则，小事讲风格，处处以一名共产党员的标准要求自己，做到讲党性、重品行、作表率。认真学习上级有关党风廉政建设工作的会议、文件、指示精神，学习党纪、政纪有关制度及相关法律法规。积极参与各项廉政教育活动。二是加强诊断随时了解党员的思想动态及工作情况，组织全体党员认真学习党的路线、方针、政策，及时传达上级部门的文件精神，会上充分征求广大党员的意见，有问题及时解决，有针对性地开展批评与自我批评。</w:t>
      </w:r>
    </w:p>
    <w:p w14:paraId="714854F3">
      <w:pPr>
        <w:pStyle w:val="15"/>
        <w:pageBreakBefore w:val="0"/>
        <w:autoSpaceDE/>
        <w:autoSpaceDN/>
        <w:bidi w:val="0"/>
        <w:snapToGrid/>
        <w:spacing w:before="0" w:after="0" w:line="450" w:lineRule="atLeast"/>
        <w:ind w:left="0" w:leftChars="0" w:right="0" w:firstLine="640" w:firstLineChars="200"/>
        <w:jc w:val="both"/>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切实加强理想信念教育和思想道德建设，使自己成为实践社会主义核心价值体系的模范，做共产主义远大理想和中国特色社会主义共同理想的坚定信仰者、科学发展观的忠实执行者、社会主义荣辱观的自觉实践者、社会和谐的积极促进者。三是扎实开展师德宣誓承诺活动。春秋两季开学之初，组织全校教职员工开展了面向全体学生的“师德宣誓承诺”活动，与每位教师签订了“文明执教目标责任书”和“廉洁从教承诺书”，让每位教师熟知职业道德规范，牢固树立谨言慎行、严以律己、依法施教、文明执教、廉洁从教的理念。</w:t>
      </w:r>
    </w:p>
    <w:p w14:paraId="65AD00A2">
      <w:pPr>
        <w:pStyle w:val="15"/>
        <w:pageBreakBefore w:val="0"/>
        <w:autoSpaceDE/>
        <w:autoSpaceDN/>
        <w:bidi w:val="0"/>
        <w:snapToGrid/>
        <w:spacing w:before="0" w:after="0" w:line="450" w:lineRule="atLeast"/>
        <w:ind w:left="0" w:leftChars="0" w:right="0" w:firstLine="640" w:firstLineChars="200"/>
        <w:jc w:val="both"/>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通过一年来的持续努力。学校未发生任何违纪违规现象。</w:t>
      </w:r>
    </w:p>
    <w:p w14:paraId="153DE30C">
      <w:pPr>
        <w:pStyle w:val="15"/>
        <w:pageBreakBefore w:val="0"/>
        <w:numPr>
          <w:ilvl w:val="0"/>
          <w:numId w:val="2"/>
        </w:numPr>
        <w:pBdr>
          <w:top w:val="none" w:color="000000" w:sz="0" w:space="0"/>
          <w:left w:val="none" w:color="000000" w:sz="0" w:space="0"/>
          <w:bottom w:val="none" w:color="000000" w:sz="0" w:space="0"/>
          <w:right w:val="none" w:color="000000" w:sz="0" w:space="0"/>
        </w:pBdr>
        <w:autoSpaceDE/>
        <w:autoSpaceDN/>
        <w:bidi w:val="0"/>
        <w:snapToGrid/>
        <w:spacing w:before="0" w:after="0" w:line="450" w:lineRule="atLeast"/>
        <w:ind w:left="0" w:leftChars="0" w:right="0" w:firstLine="641" w:firstLineChars="200"/>
        <w:jc w:val="both"/>
        <w:outlineLvl w:val="9"/>
        <w:rPr>
          <w:rFonts w:hint="eastAsia" w:ascii="华文楷体" w:hAnsi="华文楷体" w:eastAsia="华文楷体" w:cs="华文楷体"/>
          <w:b/>
          <w:color w:val="auto"/>
          <w:sz w:val="32"/>
          <w:szCs w:val="32"/>
          <w:highlight w:val="none"/>
        </w:rPr>
      </w:pPr>
      <w:r>
        <w:rPr>
          <w:rFonts w:hint="eastAsia" w:ascii="华文楷体" w:hAnsi="华文楷体" w:eastAsia="华文楷体" w:cs="华文楷体"/>
          <w:b/>
          <w:color w:val="auto"/>
          <w:sz w:val="32"/>
          <w:szCs w:val="32"/>
          <w:highlight w:val="none"/>
        </w:rPr>
        <w:t>将意识形态工作摆在突出重要的位置。</w:t>
      </w:r>
    </w:p>
    <w:p w14:paraId="26B94CDE">
      <w:pPr>
        <w:pStyle w:val="16"/>
        <w:ind w:left="0" w:leftChars="0" w:firstLine="640" w:firstLineChars="200"/>
        <w:rPr>
          <w:rFonts w:hint="eastAsia" w:ascii="仿宋" w:hAnsi="仿宋" w:eastAsia="仿宋" w:cs="仿宋"/>
          <w:color w:val="auto"/>
          <w:highlight w:val="none"/>
        </w:rPr>
      </w:pPr>
      <w:r>
        <w:rPr>
          <w:rFonts w:hint="eastAsia" w:ascii="仿宋_GB2312" w:hAnsi="仿宋_GB2312" w:eastAsia="仿宋_GB2312" w:cs="仿宋_GB2312"/>
          <w:color w:val="auto"/>
          <w:sz w:val="32"/>
          <w:szCs w:val="32"/>
          <w:highlight w:val="none"/>
        </w:rPr>
        <w:t>落实党对教育工作的全面领导，从生活的各个方面让全体师生认识到社会主义制度的优越性，中国共产党领导的社会主义国家，我们必须把培养社会主义建设者和接班人作为根本任务，培养一代又一代拥护中国共产党领导和我国社会主义制度、立志为中国特色社会主义奋斗终身的有用人才，落实好教育的第一件大事，就是解决为谁培养人的问题，全体师生进一步坚定地文化自信、制度自信。</w:t>
      </w:r>
    </w:p>
    <w:p w14:paraId="48FA0FAF">
      <w:pPr>
        <w:rPr>
          <w:rFonts w:hint="eastAsia" w:ascii="仿宋" w:hAnsi="仿宋" w:eastAsia="仿宋" w:cs="仿宋"/>
          <w:b w:val="0"/>
          <w:color w:val="auto"/>
          <w:highlight w:val="none"/>
        </w:rPr>
      </w:pPr>
      <w:bookmarkStart w:id="31" w:name="_Toc15377204"/>
      <w:bookmarkStart w:id="32" w:name="_Toc15396602"/>
      <w:r>
        <w:rPr>
          <w:rFonts w:hint="eastAsia" w:ascii="仿宋" w:hAnsi="仿宋" w:eastAsia="仿宋" w:cs="仿宋"/>
          <w:b w:val="0"/>
          <w:color w:val="auto"/>
          <w:highlight w:val="none"/>
        </w:rPr>
        <w:br w:type="page"/>
      </w:r>
    </w:p>
    <w:p w14:paraId="42F529A4">
      <w:pPr>
        <w:pStyle w:val="3"/>
        <w:bidi w:val="0"/>
        <w:rPr>
          <w:rFonts w:hint="eastAsia"/>
          <w:color w:val="auto"/>
          <w:highlight w:val="none"/>
        </w:rPr>
      </w:pPr>
      <w:bookmarkStart w:id="33" w:name="_Toc10518"/>
      <w:bookmarkStart w:id="34" w:name="_Toc10437"/>
      <w:r>
        <w:rPr>
          <w:rFonts w:hint="eastAsia"/>
          <w:color w:val="auto"/>
          <w:highlight w:val="none"/>
        </w:rPr>
        <w:t>第二部分 2021年度单位决算情况说明</w:t>
      </w:r>
      <w:bookmarkEnd w:id="31"/>
      <w:bookmarkEnd w:id="32"/>
      <w:bookmarkEnd w:id="33"/>
      <w:bookmarkEnd w:id="34"/>
    </w:p>
    <w:p w14:paraId="28F4F5AE">
      <w:pPr>
        <w:pStyle w:val="4"/>
        <w:numPr>
          <w:ilvl w:val="0"/>
          <w:numId w:val="3"/>
        </w:numPr>
        <w:bidi w:val="0"/>
        <w:ind w:left="0" w:leftChars="0" w:firstLine="643" w:firstLineChars="200"/>
        <w:rPr>
          <w:rFonts w:hint="eastAsia"/>
          <w:color w:val="auto"/>
          <w:highlight w:val="none"/>
        </w:rPr>
      </w:pPr>
      <w:bookmarkStart w:id="35" w:name="_Toc15396603"/>
      <w:bookmarkStart w:id="36" w:name="_Toc28278"/>
      <w:bookmarkStart w:id="37" w:name="_Toc15377205"/>
      <w:bookmarkStart w:id="38" w:name="_Toc5075"/>
      <w:r>
        <w:rPr>
          <w:rFonts w:hint="eastAsia"/>
          <w:color w:val="auto"/>
          <w:highlight w:val="none"/>
        </w:rPr>
        <w:t>收入支出决算总体情况说明</w:t>
      </w:r>
      <w:bookmarkEnd w:id="35"/>
      <w:bookmarkEnd w:id="36"/>
      <w:bookmarkEnd w:id="37"/>
      <w:bookmarkEnd w:id="38"/>
    </w:p>
    <w:p w14:paraId="73EDA008">
      <w:pPr>
        <w:spacing w:line="600" w:lineRule="exact"/>
        <w:ind w:firstLine="640" w:firstLineChars="200"/>
        <w:outlineLvl w:val="1"/>
        <w:rPr>
          <w:rFonts w:hint="eastAsia" w:ascii="仿宋" w:hAnsi="仿宋" w:eastAsia="仿宋" w:cs="仿宋"/>
          <w:color w:val="auto"/>
          <w:highlight w:val="none"/>
          <w:lang w:eastAsia="zh-CN"/>
        </w:rPr>
      </w:pPr>
      <w:bookmarkStart w:id="39" w:name="_Toc20585"/>
      <w:bookmarkStart w:id="40" w:name="_Toc20192"/>
      <w:bookmarkStart w:id="41" w:name="_Toc9801"/>
      <w:r>
        <w:rPr>
          <w:rFonts w:hint="eastAsia" w:ascii="仿宋" w:hAnsi="仿宋" w:eastAsia="仿宋" w:cs="仿宋"/>
          <w:color w:val="auto"/>
          <w:sz w:val="32"/>
          <w:szCs w:val="32"/>
          <w:highlight w:val="none"/>
        </w:rPr>
        <w:t>2021年度收、支总计</w:t>
      </w:r>
      <w:r>
        <w:rPr>
          <w:rFonts w:hint="eastAsia" w:ascii="仿宋" w:hAnsi="仿宋" w:eastAsia="仿宋" w:cs="仿宋"/>
          <w:color w:val="auto"/>
          <w:sz w:val="32"/>
          <w:szCs w:val="32"/>
          <w:highlight w:val="none"/>
          <w:lang w:val="en-US" w:eastAsia="zh-CN"/>
        </w:rPr>
        <w:t>865.64</w:t>
      </w:r>
      <w:r>
        <w:rPr>
          <w:rFonts w:hint="eastAsia" w:ascii="仿宋" w:hAnsi="仿宋" w:eastAsia="仿宋" w:cs="仿宋"/>
          <w:color w:val="auto"/>
          <w:sz w:val="32"/>
          <w:szCs w:val="32"/>
          <w:highlight w:val="none"/>
        </w:rPr>
        <w:t>万元。与2020年相比，收、支总计各</w:t>
      </w:r>
      <w:r>
        <w:rPr>
          <w:rFonts w:hint="eastAsia" w:ascii="仿宋" w:hAnsi="仿宋" w:eastAsia="仿宋" w:cs="仿宋"/>
          <w:color w:val="auto"/>
          <w:sz w:val="32"/>
          <w:szCs w:val="32"/>
          <w:highlight w:val="none"/>
          <w:lang w:eastAsia="zh-CN"/>
        </w:rPr>
        <w:t>减少</w:t>
      </w:r>
      <w:r>
        <w:rPr>
          <w:rFonts w:hint="eastAsia" w:ascii="仿宋" w:hAnsi="仿宋" w:eastAsia="仿宋" w:cs="仿宋"/>
          <w:color w:val="auto"/>
          <w:sz w:val="32"/>
          <w:szCs w:val="32"/>
          <w:highlight w:val="none"/>
          <w:lang w:val="en-US" w:eastAsia="zh-CN"/>
        </w:rPr>
        <w:t>7.54</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w:t>
      </w:r>
      <w:r>
        <w:rPr>
          <w:rFonts w:hint="eastAsia" w:ascii="仿宋" w:hAnsi="仿宋" w:eastAsia="仿宋" w:cs="仿宋"/>
          <w:color w:val="auto"/>
          <w:sz w:val="32"/>
          <w:szCs w:val="32"/>
          <w:highlight w:val="none"/>
          <w:lang w:val="en-US" w:eastAsia="zh-CN"/>
        </w:rPr>
        <w:t>0.86</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基本支出减少</w:t>
      </w:r>
      <w:r>
        <w:rPr>
          <w:rFonts w:hint="eastAsia" w:ascii="仿宋" w:hAnsi="仿宋" w:eastAsia="仿宋" w:cs="仿宋"/>
          <w:color w:val="auto"/>
          <w:sz w:val="32"/>
          <w:szCs w:val="32"/>
          <w:highlight w:val="none"/>
        </w:rPr>
        <w:t>。</w:t>
      </w:r>
      <w:bookmarkEnd w:id="39"/>
      <w:bookmarkEnd w:id="40"/>
      <w:bookmarkEnd w:id="41"/>
    </w:p>
    <w:p w14:paraId="20383730">
      <w:pPr>
        <w:pStyle w:val="4"/>
        <w:numPr>
          <w:ilvl w:val="0"/>
          <w:numId w:val="3"/>
        </w:numPr>
        <w:bidi w:val="0"/>
        <w:ind w:left="0" w:leftChars="0" w:firstLine="643" w:firstLineChars="200"/>
        <w:rPr>
          <w:rFonts w:hint="eastAsia"/>
          <w:color w:val="auto"/>
          <w:highlight w:val="none"/>
        </w:rPr>
      </w:pPr>
      <w:bookmarkStart w:id="42" w:name="_Toc15377206"/>
      <w:bookmarkStart w:id="43" w:name="_Toc9393"/>
      <w:bookmarkStart w:id="44" w:name="_Toc15396604"/>
      <w:bookmarkStart w:id="45" w:name="_Toc11923"/>
      <w:r>
        <w:rPr>
          <w:rFonts w:hint="eastAsia"/>
          <w:color w:val="auto"/>
          <w:highlight w:val="none"/>
          <w:lang w:eastAsia="zh-CN"/>
        </w:rPr>
        <w:drawing>
          <wp:anchor distT="0" distB="0" distL="114300" distR="114300" simplePos="0" relativeHeight="251665408" behindDoc="0" locked="0" layoutInCell="1" allowOverlap="1">
            <wp:simplePos x="0" y="0"/>
            <wp:positionH relativeFrom="column">
              <wp:posOffset>207010</wp:posOffset>
            </wp:positionH>
            <wp:positionV relativeFrom="paragraph">
              <wp:posOffset>37465</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color w:val="auto"/>
          <w:highlight w:val="none"/>
        </w:rPr>
        <w:t>收入决算情况说明</w:t>
      </w:r>
      <w:bookmarkEnd w:id="42"/>
      <w:bookmarkEnd w:id="43"/>
      <w:bookmarkEnd w:id="44"/>
      <w:bookmarkEnd w:id="45"/>
    </w:p>
    <w:p w14:paraId="3C59F7E1">
      <w:pPr>
        <w:spacing w:line="600" w:lineRule="exact"/>
        <w:ind w:firstLine="640" w:firstLineChars="200"/>
        <w:outlineLvl w:val="1"/>
        <w:rPr>
          <w:rFonts w:hint="eastAsia" w:ascii="仿宋" w:hAnsi="仿宋" w:eastAsia="仿宋"/>
          <w:color w:val="auto"/>
          <w:sz w:val="32"/>
          <w:szCs w:val="32"/>
          <w:highlight w:val="none"/>
        </w:rPr>
      </w:pPr>
      <w:bookmarkStart w:id="46" w:name="_Toc25597"/>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w:t>
      </w:r>
      <w:r>
        <w:rPr>
          <w:rFonts w:hint="eastAsia" w:ascii="仿宋" w:hAnsi="仿宋" w:eastAsia="仿宋"/>
          <w:color w:val="auto"/>
          <w:sz w:val="32"/>
          <w:szCs w:val="32"/>
          <w:highlight w:val="none"/>
          <w:lang w:val="en-US" w:eastAsia="zh-CN"/>
        </w:rPr>
        <w:t>865.64</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eastAsia="zh-CN"/>
        </w:rPr>
        <w:t>864.11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eastAsia="zh-CN"/>
        </w:rPr>
        <w:t>99.82</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w:t>
      </w:r>
      <w:r>
        <w:rPr>
          <w:rFonts w:hint="eastAsia" w:ascii="仿宋" w:hAnsi="仿宋" w:eastAsia="仿宋"/>
          <w:color w:val="auto"/>
          <w:sz w:val="32"/>
          <w:szCs w:val="32"/>
          <w:highlight w:val="none"/>
          <w:lang w:val="en-US" w:eastAsia="zh-CN"/>
        </w:rPr>
        <w:t>1.53万</w:t>
      </w:r>
      <w:r>
        <w:rPr>
          <w:rFonts w:hint="eastAsia" w:ascii="仿宋" w:hAnsi="仿宋" w:eastAsia="仿宋"/>
          <w:color w:val="auto"/>
          <w:sz w:val="32"/>
          <w:szCs w:val="32"/>
          <w:highlight w:val="none"/>
        </w:rPr>
        <w:t>元，占0.</w:t>
      </w:r>
      <w:r>
        <w:rPr>
          <w:rFonts w:hint="eastAsia" w:ascii="仿宋" w:hAnsi="仿宋" w:eastAsia="仿宋"/>
          <w:color w:val="auto"/>
          <w:sz w:val="32"/>
          <w:szCs w:val="32"/>
          <w:highlight w:val="none"/>
          <w:lang w:val="en-US" w:eastAsia="zh-CN"/>
        </w:rPr>
        <w:t>18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46"/>
    </w:p>
    <w:p w14:paraId="1F1624F9">
      <w:pPr>
        <w:pStyle w:val="16"/>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-38100</wp:posOffset>
            </wp:positionH>
            <wp:positionV relativeFrom="paragraph">
              <wp:posOffset>27305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385B27AF">
      <w:pPr>
        <w:pStyle w:val="4"/>
        <w:bidi w:val="0"/>
        <w:rPr>
          <w:color w:val="auto"/>
          <w:highlight w:val="none"/>
        </w:rPr>
      </w:pPr>
      <w:bookmarkStart w:id="47" w:name="_Toc15377207"/>
      <w:bookmarkStart w:id="48" w:name="_Toc15396605"/>
      <w:bookmarkStart w:id="49" w:name="_Toc12816"/>
      <w:r>
        <w:rPr>
          <w:rFonts w:hint="eastAsia"/>
          <w:color w:val="auto"/>
          <w:highlight w:val="none"/>
          <w:lang w:eastAsia="zh-CN"/>
        </w:rPr>
        <w:t>三、</w:t>
      </w:r>
      <w:r>
        <w:rPr>
          <w:rFonts w:hint="eastAsia"/>
          <w:color w:val="auto"/>
          <w:highlight w:val="none"/>
        </w:rPr>
        <w:t>支出决算情况说明</w:t>
      </w:r>
      <w:bookmarkEnd w:id="47"/>
      <w:bookmarkEnd w:id="48"/>
      <w:bookmarkEnd w:id="49"/>
    </w:p>
    <w:p w14:paraId="2D11FCCA">
      <w:pPr>
        <w:spacing w:line="600" w:lineRule="exact"/>
        <w:ind w:firstLine="640" w:firstLineChars="200"/>
        <w:outlineLvl w:val="1"/>
        <w:rPr>
          <w:rFonts w:ascii="仿宋" w:hAnsi="仿宋" w:eastAsia="仿宋"/>
          <w:color w:val="auto"/>
          <w:sz w:val="32"/>
          <w:szCs w:val="32"/>
          <w:highlight w:val="none"/>
        </w:rPr>
      </w:pPr>
      <w:bookmarkStart w:id="50" w:name="_Toc31076"/>
      <w:r>
        <w:rPr>
          <w:rFonts w:hint="eastAsia" w:ascii="仿宋" w:hAnsi="仿宋" w:eastAsia="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w:t>
      </w:r>
      <w:r>
        <w:rPr>
          <w:rFonts w:hint="eastAsia" w:ascii="仿宋" w:hAnsi="仿宋" w:eastAsia="仿宋"/>
          <w:color w:val="auto"/>
          <w:sz w:val="32"/>
          <w:szCs w:val="32"/>
          <w:highlight w:val="none"/>
          <w:lang w:eastAsia="zh-CN"/>
        </w:rPr>
        <w:t>865.64</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579.11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66.90</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286.53万</w:t>
      </w:r>
      <w:r>
        <w:rPr>
          <w:rFonts w:hint="eastAsia" w:ascii="仿宋" w:hAnsi="仿宋" w:eastAsia="仿宋"/>
          <w:color w:val="auto"/>
          <w:sz w:val="32"/>
          <w:szCs w:val="32"/>
          <w:highlight w:val="none"/>
        </w:rPr>
        <w:t>元，占</w:t>
      </w:r>
      <w:r>
        <w:rPr>
          <w:rFonts w:hint="eastAsia" w:ascii="仿宋" w:hAnsi="仿宋" w:eastAsia="仿宋"/>
          <w:color w:val="auto"/>
          <w:sz w:val="32"/>
          <w:szCs w:val="32"/>
          <w:highlight w:val="none"/>
          <w:lang w:val="en-US" w:eastAsia="zh-CN"/>
        </w:rPr>
        <w:t>33.10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50"/>
    </w:p>
    <w:p w14:paraId="38132F36">
      <w:pPr>
        <w:pStyle w:val="4"/>
        <w:bidi w:val="0"/>
        <w:rPr>
          <w:color w:val="auto"/>
          <w:highlight w:val="none"/>
        </w:rPr>
      </w:pPr>
      <w:bookmarkStart w:id="51" w:name="_Toc15377208"/>
      <w:bookmarkStart w:id="52" w:name="_Toc15396606"/>
      <w:bookmarkStart w:id="53" w:name="_Toc20083"/>
      <w:r>
        <w:rPr>
          <w:rFonts w:hint="eastAsia"/>
          <w:color w:val="auto"/>
          <w:highlight w:val="none"/>
        </w:rPr>
        <w:t>四、财政拨款收入支出决算总体情况说明</w:t>
      </w:r>
      <w:bookmarkEnd w:id="51"/>
      <w:bookmarkEnd w:id="52"/>
      <w:bookmarkEnd w:id="53"/>
    </w:p>
    <w:p w14:paraId="45A89F6F">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w:t>
      </w:r>
      <w:r>
        <w:rPr>
          <w:rFonts w:hint="eastAsia" w:ascii="仿宋" w:hAnsi="仿宋" w:eastAsia="仿宋"/>
          <w:color w:val="auto"/>
          <w:sz w:val="32"/>
          <w:szCs w:val="32"/>
          <w:highlight w:val="none"/>
          <w:lang w:val="en-US" w:eastAsia="zh-CN"/>
        </w:rPr>
        <w:t>865.64</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7.54</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0.86</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基本支出减少</w:t>
      </w:r>
      <w:r>
        <w:rPr>
          <w:rFonts w:hint="eastAsia" w:ascii="仿宋" w:hAnsi="仿宋" w:eastAsia="仿宋"/>
          <w:color w:val="auto"/>
          <w:sz w:val="32"/>
          <w:szCs w:val="32"/>
          <w:highlight w:val="none"/>
        </w:rPr>
        <w:t>。</w:t>
      </w:r>
    </w:p>
    <w:p w14:paraId="61E51DA2">
      <w:pPr>
        <w:pStyle w:val="16"/>
        <w:rPr>
          <w:color w:val="auto"/>
          <w:highlight w:val="none"/>
        </w:rPr>
      </w:pPr>
      <w:r>
        <w:rPr>
          <w:rFonts w:hint="eastAsia" w:eastAsia="宋体"/>
          <w:color w:val="auto"/>
          <w:highlight w:val="none"/>
          <w:lang w:eastAsia="zh-CN"/>
        </w:rPr>
        <w:drawing>
          <wp:anchor distT="0" distB="0" distL="114300" distR="114300" simplePos="0" relativeHeight="251661312"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0F9805DC">
      <w:pPr>
        <w:pStyle w:val="4"/>
        <w:bidi w:val="0"/>
        <w:rPr>
          <w:color w:val="auto"/>
          <w:highlight w:val="none"/>
        </w:rPr>
      </w:pPr>
      <w:bookmarkStart w:id="54" w:name="_Toc20242"/>
      <w:bookmarkStart w:id="55" w:name="_Toc15377209"/>
      <w:bookmarkStart w:id="56" w:name="_Toc15396607"/>
      <w:r>
        <w:rPr>
          <w:rFonts w:hint="eastAsia"/>
          <w:color w:val="auto"/>
          <w:highlight w:val="none"/>
        </w:rPr>
        <w:t>五、一般公共预算财政拨款支出决算情况说明</w:t>
      </w:r>
      <w:bookmarkEnd w:id="54"/>
      <w:bookmarkEnd w:id="55"/>
      <w:bookmarkEnd w:id="56"/>
    </w:p>
    <w:p w14:paraId="627B7E34">
      <w:pPr>
        <w:spacing w:line="600" w:lineRule="exact"/>
        <w:ind w:firstLine="643" w:firstLineChars="200"/>
        <w:outlineLvl w:val="2"/>
        <w:rPr>
          <w:rFonts w:ascii="仿宋" w:hAnsi="仿宋" w:eastAsia="仿宋"/>
          <w:b/>
          <w:color w:val="auto"/>
          <w:sz w:val="32"/>
          <w:szCs w:val="32"/>
          <w:highlight w:val="none"/>
        </w:rPr>
      </w:pPr>
      <w:bookmarkStart w:id="57" w:name="_Toc15377210"/>
      <w:r>
        <w:rPr>
          <w:rFonts w:hint="eastAsia" w:ascii="仿宋" w:hAnsi="仿宋" w:eastAsia="仿宋"/>
          <w:b/>
          <w:color w:val="auto"/>
          <w:sz w:val="32"/>
          <w:szCs w:val="32"/>
          <w:highlight w:val="none"/>
        </w:rPr>
        <w:t>（一）一般公共预算财政拨款支出决算总体情况</w:t>
      </w:r>
      <w:bookmarkEnd w:id="57"/>
    </w:p>
    <w:p w14:paraId="4223EE2D">
      <w:pPr>
        <w:spacing w:line="600" w:lineRule="exact"/>
        <w:ind w:firstLine="640"/>
        <w:rPr>
          <w:rFonts w:hint="eastAsia" w:ascii="仿宋" w:hAnsi="仿宋" w:eastAsia="仿宋"/>
          <w:b/>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eastAsia="zh-CN"/>
        </w:rPr>
        <w:t>864.11</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eastAsia="zh-CN"/>
        </w:rPr>
        <w:t>99.82</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w:t>
      </w:r>
      <w:r>
        <w:rPr>
          <w:rFonts w:hint="eastAsia" w:ascii="仿宋" w:hAnsi="仿宋" w:eastAsia="仿宋"/>
          <w:color w:val="auto"/>
          <w:sz w:val="32"/>
          <w:szCs w:val="32"/>
          <w:highlight w:val="none"/>
          <w:lang w:val="en-US" w:eastAsia="zh-CN"/>
        </w:rPr>
        <w:t>858.18</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w:t>
      </w:r>
      <w:r>
        <w:rPr>
          <w:rFonts w:hint="eastAsia" w:ascii="仿宋" w:hAnsi="仿宋" w:eastAsia="仿宋"/>
          <w:color w:val="auto"/>
          <w:sz w:val="32"/>
          <w:szCs w:val="32"/>
          <w:highlight w:val="none"/>
          <w:lang w:eastAsia="zh-CN"/>
        </w:rPr>
        <w:t>增加</w:t>
      </w:r>
      <w:r>
        <w:rPr>
          <w:rFonts w:hint="eastAsia" w:ascii="仿宋" w:hAnsi="仿宋" w:eastAsia="仿宋"/>
          <w:color w:val="auto"/>
          <w:sz w:val="32"/>
          <w:szCs w:val="32"/>
          <w:highlight w:val="none"/>
          <w:lang w:val="en-US" w:eastAsia="zh-CN"/>
        </w:rPr>
        <w:t>5.93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增加</w:t>
      </w:r>
      <w:r>
        <w:rPr>
          <w:rFonts w:hint="eastAsia" w:ascii="仿宋" w:hAnsi="仿宋" w:eastAsia="仿宋"/>
          <w:color w:val="auto"/>
          <w:sz w:val="32"/>
          <w:szCs w:val="32"/>
          <w:highlight w:val="none"/>
          <w:lang w:val="en-US" w:eastAsia="zh-CN"/>
        </w:rPr>
        <w:t>0.69</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基本支出减少</w:t>
      </w:r>
      <w:r>
        <w:rPr>
          <w:rFonts w:hint="eastAsia" w:ascii="仿宋" w:hAnsi="仿宋" w:eastAsia="仿宋"/>
          <w:color w:val="auto"/>
          <w:sz w:val="32"/>
          <w:szCs w:val="32"/>
          <w:highlight w:val="none"/>
        </w:rPr>
        <w:t>。</w:t>
      </w:r>
    </w:p>
    <w:p w14:paraId="01E22FAE">
      <w:pPr>
        <w:spacing w:line="600" w:lineRule="exact"/>
        <w:ind w:firstLine="643" w:firstLineChars="200"/>
        <w:outlineLvl w:val="2"/>
        <w:rPr>
          <w:rFonts w:ascii="仿宋" w:hAnsi="仿宋" w:eastAsia="仿宋"/>
          <w:b/>
          <w:color w:val="auto"/>
          <w:sz w:val="32"/>
          <w:szCs w:val="32"/>
          <w:highlight w:val="none"/>
        </w:rPr>
      </w:pPr>
      <w:bookmarkStart w:id="58" w:name="_Toc15377211"/>
      <w:r>
        <w:rPr>
          <w:rFonts w:hint="eastAsia" w:ascii="仿宋" w:hAnsi="仿宋" w:eastAsia="仿宋"/>
          <w:b/>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b/>
          <w:color w:val="auto"/>
          <w:sz w:val="32"/>
          <w:szCs w:val="32"/>
          <w:highlight w:val="none"/>
        </w:rPr>
        <w:t>（二）一般公共预算财政拨款支出决算结构情况</w:t>
      </w:r>
      <w:bookmarkEnd w:id="58"/>
    </w:p>
    <w:p w14:paraId="13E39D85">
      <w:pPr>
        <w:spacing w:line="600" w:lineRule="exact"/>
        <w:ind w:firstLine="640"/>
        <w:rPr>
          <w:rFonts w:ascii="仿宋" w:hAnsi="仿宋" w:eastAsia="仿宋"/>
          <w:color w:val="auto"/>
          <w:sz w:val="32"/>
          <w:szCs w:val="32"/>
          <w:highlight w:val="none"/>
        </w:rPr>
      </w:pPr>
      <w:r>
        <w:rPr>
          <w:rFonts w:hint="eastAsia" w:ascii="仿宋" w:hAnsi="仿宋" w:eastAsia="仿宋"/>
          <w:b/>
          <w:color w:val="auto"/>
          <w:sz w:val="32"/>
          <w:szCs w:val="32"/>
          <w:highlight w:val="none"/>
        </w:rPr>
        <w:drawing>
          <wp:anchor distT="0" distB="0" distL="114300" distR="114300" simplePos="0" relativeHeight="251663360" behindDoc="0" locked="0" layoutInCell="1" allowOverlap="1">
            <wp:simplePos x="0" y="0"/>
            <wp:positionH relativeFrom="column">
              <wp:posOffset>52070</wp:posOffset>
            </wp:positionH>
            <wp:positionV relativeFrom="paragraph">
              <wp:posOffset>1212850</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864.11</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color w:val="auto"/>
          <w:sz w:val="32"/>
          <w:szCs w:val="32"/>
          <w:highlight w:val="none"/>
          <w:lang w:val="en-US" w:eastAsia="zh-CN"/>
        </w:rPr>
        <w:t>859.29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99.44</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lang w:eastAsia="zh-CN"/>
        </w:rPr>
        <w:t>社会保障和就业支出</w:t>
      </w:r>
      <w:r>
        <w:rPr>
          <w:rFonts w:hint="eastAsia" w:ascii="仿宋" w:hAnsi="仿宋" w:eastAsia="仿宋"/>
          <w:b/>
          <w:color w:val="auto"/>
          <w:sz w:val="32"/>
          <w:szCs w:val="32"/>
          <w:highlight w:val="none"/>
        </w:rPr>
        <w:t>（类）</w:t>
      </w:r>
      <w:r>
        <w:rPr>
          <w:rFonts w:hint="eastAsia" w:ascii="仿宋" w:hAnsi="仿宋" w:eastAsia="仿宋"/>
          <w:color w:val="auto"/>
          <w:sz w:val="32"/>
          <w:szCs w:val="32"/>
          <w:highlight w:val="none"/>
          <w:lang w:val="en-US" w:eastAsia="zh-CN"/>
        </w:rPr>
        <w:t>4.82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0.56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5C19977A">
      <w:pPr>
        <w:spacing w:line="600" w:lineRule="exact"/>
        <w:ind w:firstLine="643" w:firstLineChars="200"/>
        <w:jc w:val="left"/>
        <w:rPr>
          <w:rFonts w:ascii="仿宋" w:hAnsi="仿宋" w:eastAsia="仿宋"/>
          <w:b/>
          <w:color w:val="auto"/>
          <w:sz w:val="32"/>
          <w:szCs w:val="32"/>
          <w:highlight w:val="none"/>
        </w:rPr>
      </w:pPr>
      <w:bookmarkStart w:id="59" w:name="_Toc15377212"/>
      <w:r>
        <w:rPr>
          <w:rFonts w:hint="eastAsia" w:ascii="仿宋" w:hAnsi="仿宋" w:eastAsia="仿宋"/>
          <w:b/>
          <w:color w:val="auto"/>
          <w:sz w:val="32"/>
          <w:szCs w:val="32"/>
          <w:highlight w:val="none"/>
        </w:rPr>
        <w:t>（三）一般公共预算财政拨款支出决算具体情况</w:t>
      </w:r>
      <w:bookmarkEnd w:id="59"/>
    </w:p>
    <w:p w14:paraId="78395DE4">
      <w:pPr>
        <w:spacing w:line="600" w:lineRule="exact"/>
        <w:ind w:firstLine="643" w:firstLineChars="200"/>
        <w:outlineLvl w:val="2"/>
        <w:rPr>
          <w:rFonts w:ascii="仿宋" w:hAnsi="仿宋" w:eastAsia="仿宋"/>
          <w:color w:val="auto"/>
          <w:sz w:val="32"/>
          <w:szCs w:val="32"/>
          <w:highlight w:val="none"/>
        </w:rPr>
      </w:pPr>
      <w:bookmarkStart w:id="60" w:name="_Toc15378460"/>
      <w:bookmarkStart w:id="61" w:name="_Toc15377444"/>
      <w:bookmarkStart w:id="62" w:name="_Toc15377213"/>
      <w:r>
        <w:rPr>
          <w:rFonts w:hint="eastAsia" w:ascii="仿宋" w:hAnsi="仿宋" w:eastAsia="仿宋"/>
          <w:b/>
          <w:color w:val="auto"/>
          <w:sz w:val="32"/>
          <w:szCs w:val="32"/>
          <w:highlight w:val="none"/>
        </w:rPr>
        <w:t>2021年一般公共预算支出决算数为</w:t>
      </w:r>
      <w:r>
        <w:rPr>
          <w:rFonts w:hint="eastAsia" w:ascii="仿宋" w:hAnsi="仿宋" w:eastAsia="仿宋"/>
          <w:color w:val="auto"/>
          <w:sz w:val="32"/>
          <w:szCs w:val="32"/>
          <w:highlight w:val="none"/>
          <w:lang w:val="en-US" w:eastAsia="zh-CN"/>
        </w:rPr>
        <w:t>864.11</w:t>
      </w:r>
      <w:r>
        <w:rPr>
          <w:rFonts w:hint="eastAsia" w:ascii="仿宋" w:hAnsi="仿宋" w:eastAsia="仿宋"/>
          <w:b/>
          <w:color w:val="auto"/>
          <w:sz w:val="32"/>
          <w:szCs w:val="32"/>
          <w:highlight w:val="none"/>
          <w:lang w:val="en-US" w:eastAsia="zh-CN"/>
        </w:rPr>
        <w:t>万元</w:t>
      </w:r>
      <w:r>
        <w:rPr>
          <w:rFonts w:hint="eastAsia" w:ascii="仿宋" w:hAnsi="仿宋" w:eastAsia="仿宋"/>
          <w:color w:val="auto"/>
          <w:sz w:val="32"/>
          <w:szCs w:val="32"/>
          <w:highlight w:val="none"/>
        </w:rPr>
        <w:t>，</w:t>
      </w:r>
      <w:r>
        <w:rPr>
          <w:rStyle w:val="19"/>
          <w:rFonts w:hint="eastAsia" w:ascii="仿宋" w:hAnsi="仿宋" w:eastAsia="仿宋"/>
          <w:bCs/>
          <w:color w:val="auto"/>
          <w:sz w:val="32"/>
          <w:szCs w:val="32"/>
          <w:highlight w:val="none"/>
        </w:rPr>
        <w:t>完成预算100</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。其中：</w:t>
      </w:r>
      <w:bookmarkEnd w:id="60"/>
      <w:bookmarkEnd w:id="61"/>
      <w:bookmarkEnd w:id="62"/>
    </w:p>
    <w:p w14:paraId="706FA1D9">
      <w:pPr>
        <w:numPr>
          <w:ilvl w:val="0"/>
          <w:numId w:val="4"/>
        </w:numPr>
        <w:spacing w:line="600" w:lineRule="exact"/>
        <w:ind w:firstLine="643" w:firstLineChars="200"/>
        <w:rPr>
          <w:rStyle w:val="19"/>
          <w:rFonts w:hint="eastAsia"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教育205（类）普通教育02（款）小学教育02（项）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574.29</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14:paraId="1E28EC73">
      <w:pPr>
        <w:numPr>
          <w:ilvl w:val="0"/>
          <w:numId w:val="4"/>
        </w:numPr>
        <w:spacing w:line="600" w:lineRule="exact"/>
        <w:ind w:firstLine="643" w:firstLineChars="200"/>
        <w:rPr>
          <w:rStyle w:val="19"/>
          <w:rFonts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教育205（类）普通教育02（款）其他普通教育支出</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285</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14:paraId="5B4D4BB6">
      <w:pPr>
        <w:numPr>
          <w:ilvl w:val="0"/>
          <w:numId w:val="4"/>
        </w:numPr>
        <w:spacing w:line="600" w:lineRule="exact"/>
        <w:ind w:firstLine="643" w:firstLineChars="200"/>
        <w:rPr>
          <w:rStyle w:val="19"/>
          <w:rFonts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社会保障和就业支出20</w:t>
      </w:r>
      <w:r>
        <w:rPr>
          <w:rStyle w:val="19"/>
          <w:rFonts w:hint="eastAsia" w:ascii="仿宋" w:hAnsi="仿宋" w:eastAsia="仿宋"/>
          <w:bCs/>
          <w:color w:val="auto"/>
          <w:sz w:val="32"/>
          <w:szCs w:val="32"/>
          <w:highlight w:val="none"/>
          <w:lang w:val="en-US" w:eastAsia="zh-CN"/>
        </w:rPr>
        <w:t>8</w:t>
      </w:r>
      <w:r>
        <w:rPr>
          <w:rStyle w:val="19"/>
          <w:rFonts w:hint="eastAsia" w:ascii="仿宋" w:hAnsi="仿宋" w:eastAsia="仿宋"/>
          <w:bCs/>
          <w:color w:val="auto"/>
          <w:sz w:val="32"/>
          <w:szCs w:val="32"/>
          <w:highlight w:val="none"/>
        </w:rPr>
        <w:t>（类）抚恤</w:t>
      </w:r>
      <w:r>
        <w:rPr>
          <w:rStyle w:val="19"/>
          <w:rFonts w:hint="eastAsia" w:ascii="仿宋" w:hAnsi="仿宋" w:eastAsia="仿宋"/>
          <w:bCs/>
          <w:color w:val="auto"/>
          <w:sz w:val="32"/>
          <w:szCs w:val="32"/>
          <w:highlight w:val="none"/>
          <w:lang w:val="en-US" w:eastAsia="zh-CN"/>
        </w:rPr>
        <w:t>08</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eastAsia="zh-CN"/>
        </w:rPr>
        <w:t>死亡抚恤</w:t>
      </w:r>
      <w:r>
        <w:rPr>
          <w:rStyle w:val="19"/>
          <w:rFonts w:hint="eastAsia" w:ascii="仿宋" w:hAnsi="仿宋" w:eastAsia="仿宋"/>
          <w:bCs/>
          <w:color w:val="auto"/>
          <w:sz w:val="32"/>
          <w:szCs w:val="32"/>
          <w:highlight w:val="none"/>
          <w:lang w:val="en-US" w:eastAsia="zh-CN"/>
        </w:rPr>
        <w:t>01</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4.82</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14:paraId="75ACF819">
      <w:pPr>
        <w:pStyle w:val="16"/>
        <w:rPr>
          <w:color w:val="auto"/>
          <w:highlight w:val="none"/>
        </w:rPr>
      </w:pPr>
    </w:p>
    <w:p w14:paraId="0D7B42D2">
      <w:pPr>
        <w:pStyle w:val="4"/>
        <w:bidi w:val="0"/>
        <w:rPr>
          <w:color w:val="auto"/>
          <w:highlight w:val="none"/>
        </w:rPr>
      </w:pPr>
      <w:bookmarkStart w:id="63" w:name="_Toc2813"/>
      <w:bookmarkStart w:id="64" w:name="_Toc15377214"/>
      <w:bookmarkStart w:id="65" w:name="_Toc15396608"/>
      <w:r>
        <w:rPr>
          <w:rFonts w:hint="eastAsia"/>
          <w:color w:val="auto"/>
          <w:highlight w:val="none"/>
        </w:rPr>
        <w:t>六、一般公共预算财政拨款基本支出决算情况说明</w:t>
      </w:r>
      <w:bookmarkEnd w:id="63"/>
      <w:bookmarkEnd w:id="64"/>
      <w:bookmarkEnd w:id="65"/>
      <w:r>
        <w:rPr>
          <w:color w:val="auto"/>
          <w:highlight w:val="none"/>
        </w:rPr>
        <w:tab/>
      </w:r>
    </w:p>
    <w:p w14:paraId="6F8EBC80">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val="en-US" w:eastAsia="zh-CN"/>
        </w:rPr>
        <w:t>864.11</w:t>
      </w:r>
      <w:r>
        <w:rPr>
          <w:rFonts w:hint="eastAsia" w:ascii="仿宋" w:hAnsi="仿宋" w:eastAsia="仿宋"/>
          <w:color w:val="auto"/>
          <w:sz w:val="32"/>
          <w:szCs w:val="32"/>
          <w:highlight w:val="none"/>
        </w:rPr>
        <w:t>万元，其中：</w:t>
      </w:r>
    </w:p>
    <w:p w14:paraId="35E7E505">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505.10</w:t>
      </w:r>
      <w:r>
        <w:rPr>
          <w:rFonts w:hint="eastAsia" w:ascii="仿宋" w:hAnsi="仿宋" w:eastAsia="仿宋"/>
          <w:color w:val="auto"/>
          <w:sz w:val="32"/>
          <w:szCs w:val="32"/>
          <w:highlight w:val="none"/>
        </w:rPr>
        <w:t>万元，主要包括：基本工资、津贴补贴、绩效工资、机关事业单位基本养老保险缴费、职业年金缴费、职工基本医疗保险缴费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其他社会保障缴费、其他工资福利支出、抚恤金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生活补助、助学金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奖励金、住房公积金等。</w:t>
      </w:r>
    </w:p>
    <w:p w14:paraId="5A8AD7AF">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74.01</w:t>
      </w:r>
      <w:r>
        <w:rPr>
          <w:rFonts w:hint="eastAsia" w:ascii="仿宋" w:hAnsi="仿宋" w:eastAsia="仿宋"/>
          <w:color w:val="auto"/>
          <w:sz w:val="32"/>
          <w:szCs w:val="32"/>
          <w:highlight w:val="none"/>
        </w:rPr>
        <w:t>万元，主要包括：办公费、印刷费、手续费、水费、电费、邮电费、差旅费、维修（护）费、培训费、公务接待费、工会经费等。</w:t>
      </w:r>
    </w:p>
    <w:p w14:paraId="55BBFCC7">
      <w:pPr>
        <w:pStyle w:val="4"/>
        <w:bidi w:val="0"/>
        <w:rPr>
          <w:color w:val="auto"/>
          <w:highlight w:val="none"/>
        </w:rPr>
      </w:pPr>
      <w:bookmarkStart w:id="66" w:name="_Toc9813"/>
      <w:bookmarkStart w:id="67" w:name="_Toc15396609"/>
      <w:bookmarkStart w:id="68" w:name="_Toc15377215"/>
      <w:r>
        <w:rPr>
          <w:rFonts w:hint="eastAsia"/>
          <w:color w:val="auto"/>
          <w:highlight w:val="none"/>
        </w:rPr>
        <w:t>七、“三公”经费财政拨款支出决算情况说明</w:t>
      </w:r>
      <w:bookmarkEnd w:id="66"/>
      <w:bookmarkEnd w:id="67"/>
      <w:bookmarkEnd w:id="68"/>
    </w:p>
    <w:p w14:paraId="1B405D0A">
      <w:pPr>
        <w:spacing w:line="600" w:lineRule="exact"/>
        <w:ind w:firstLine="640"/>
        <w:outlineLvl w:val="2"/>
        <w:rPr>
          <w:rFonts w:ascii="仿宋" w:hAnsi="仿宋" w:eastAsia="仿宋"/>
          <w:b/>
          <w:color w:val="auto"/>
          <w:sz w:val="32"/>
          <w:szCs w:val="32"/>
          <w:highlight w:val="none"/>
        </w:rPr>
      </w:pPr>
      <w:bookmarkStart w:id="69" w:name="_Toc15377216"/>
      <w:r>
        <w:rPr>
          <w:rFonts w:hint="eastAsia" w:ascii="仿宋" w:hAnsi="仿宋" w:eastAsia="仿宋"/>
          <w:b/>
          <w:color w:val="auto"/>
          <w:sz w:val="32"/>
          <w:szCs w:val="32"/>
          <w:highlight w:val="none"/>
        </w:rPr>
        <w:t>（一）“三公”经费财政拨款支出决算总体情况说明</w:t>
      </w:r>
      <w:bookmarkEnd w:id="69"/>
    </w:p>
    <w:p w14:paraId="7BFE0FA1">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w:t>
      </w:r>
      <w:r>
        <w:rPr>
          <w:rFonts w:hint="eastAsia" w:ascii="仿宋" w:hAnsi="仿宋" w:eastAsia="仿宋"/>
          <w:color w:val="auto"/>
          <w:sz w:val="32"/>
          <w:szCs w:val="32"/>
          <w:highlight w:val="none"/>
          <w:lang w:val="en-US" w:eastAsia="zh-CN"/>
        </w:rPr>
        <w:t>0.80</w:t>
      </w:r>
      <w:r>
        <w:rPr>
          <w:rFonts w:hint="eastAsia" w:ascii="仿宋" w:hAnsi="仿宋" w:eastAsia="仿宋"/>
          <w:color w:val="auto"/>
          <w:sz w:val="32"/>
          <w:szCs w:val="32"/>
          <w:highlight w:val="none"/>
        </w:rPr>
        <w:t>万元，完成预算9</w:t>
      </w:r>
      <w:r>
        <w:rPr>
          <w:rFonts w:hint="eastAsia" w:ascii="仿宋" w:hAnsi="仿宋" w:eastAsia="仿宋"/>
          <w:color w:val="auto"/>
          <w:sz w:val="32"/>
          <w:szCs w:val="32"/>
          <w:highlight w:val="none"/>
          <w:lang w:val="en-US" w:eastAsia="zh-CN"/>
        </w:rPr>
        <w:t>5.24</w:t>
      </w:r>
      <w:r>
        <w:rPr>
          <w:rFonts w:ascii="仿宋" w:hAnsi="仿宋" w:eastAsia="仿宋"/>
          <w:color w:val="auto"/>
          <w:sz w:val="32"/>
          <w:szCs w:val="32"/>
          <w:highlight w:val="none"/>
        </w:rPr>
        <w:t>%</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14:paraId="368CC864">
      <w:pPr>
        <w:spacing w:line="600" w:lineRule="exact"/>
        <w:ind w:firstLine="640"/>
        <w:outlineLvl w:val="2"/>
        <w:rPr>
          <w:rFonts w:ascii="仿宋" w:hAnsi="仿宋" w:eastAsia="仿宋"/>
          <w:b/>
          <w:color w:val="auto"/>
          <w:sz w:val="32"/>
          <w:szCs w:val="32"/>
          <w:highlight w:val="none"/>
        </w:rPr>
      </w:pPr>
      <w:bookmarkStart w:id="70" w:name="_Toc15377217"/>
      <w:r>
        <w:rPr>
          <w:rFonts w:hint="eastAsia" w:ascii="仿宋" w:hAnsi="仿宋" w:eastAsia="仿宋"/>
          <w:b/>
          <w:color w:val="auto"/>
          <w:sz w:val="32"/>
          <w:szCs w:val="32"/>
          <w:highlight w:val="none"/>
        </w:rPr>
        <w:t>（二）“三公”经费财政拨款支出决算具体情况说明</w:t>
      </w:r>
      <w:bookmarkEnd w:id="70"/>
    </w:p>
    <w:p w14:paraId="5CE2765F">
      <w:pPr>
        <w:spacing w:line="600" w:lineRule="exact"/>
        <w:ind w:firstLine="640" w:firstLineChars="200"/>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4384" behindDoc="0" locked="0" layoutInCell="1" allowOverlap="1">
            <wp:simplePos x="0" y="0"/>
            <wp:positionH relativeFrom="column">
              <wp:posOffset>316230</wp:posOffset>
            </wp:positionH>
            <wp:positionV relativeFrom="paragraph">
              <wp:posOffset>1939925</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0.8</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2FB0558A">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14:paraId="27EA87AC">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14:paraId="629FBBBC">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14:paraId="774C4612">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14:paraId="2174B236">
      <w:pPr>
        <w:spacing w:line="600" w:lineRule="exact"/>
        <w:ind w:firstLine="64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lang w:val="en-US" w:eastAsia="zh-CN"/>
        </w:rPr>
        <w:t>0.8</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95.24</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eastAsia="zh-CN"/>
        </w:rPr>
        <w:t>比</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年减少</w:t>
      </w:r>
      <w:r>
        <w:rPr>
          <w:rFonts w:hint="eastAsia" w:ascii="仿宋" w:hAnsi="仿宋" w:eastAsia="仿宋" w:cs="仿宋"/>
          <w:color w:val="auto"/>
          <w:sz w:val="32"/>
          <w:szCs w:val="32"/>
          <w:highlight w:val="none"/>
          <w:lang w:val="en-US" w:eastAsia="zh-CN"/>
        </w:rPr>
        <w:t>0.04</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eastAsia="zh-CN"/>
        </w:rPr>
        <w:t>4.76</w:t>
      </w:r>
      <w:r>
        <w:rPr>
          <w:rFonts w:hint="eastAsia" w:ascii="仿宋" w:hAnsi="仿宋" w:eastAsia="仿宋" w:cs="仿宋"/>
          <w:color w:val="auto"/>
          <w:sz w:val="32"/>
          <w:szCs w:val="32"/>
          <w:highlight w:val="none"/>
        </w:rPr>
        <w:t>%</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14:paraId="298D7C7F">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eastAsia="仿宋" w:cs="Times New Roman"/>
          <w:color w:val="auto"/>
          <w:sz w:val="32"/>
          <w:szCs w:val="32"/>
          <w:highlight w:val="none"/>
          <w:lang w:val="en-US" w:eastAsia="zh-CN"/>
        </w:rPr>
        <w:t>0.8</w:t>
      </w:r>
      <w:r>
        <w:rPr>
          <w:rFonts w:hint="default" w:ascii="Times New Roman" w:hAnsi="Times New Roman" w:eastAsia="仿宋" w:cs="Times New Roman"/>
          <w:color w:val="auto"/>
          <w:sz w:val="32"/>
          <w:szCs w:val="32"/>
          <w:highlight w:val="none"/>
        </w:rPr>
        <w:t>万元，主要用于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highlight w:val="none"/>
        </w:rPr>
        <w:t>。国内公务接待</w:t>
      </w:r>
      <w:r>
        <w:rPr>
          <w:rFonts w:hint="eastAsia" w:eastAsia="仿宋" w:cs="Times New Roman"/>
          <w:color w:val="auto"/>
          <w:sz w:val="32"/>
          <w:szCs w:val="32"/>
          <w:highlight w:val="none"/>
          <w:lang w:val="en-US" w:eastAsia="zh-CN"/>
        </w:rPr>
        <w:t>33</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135</w:t>
      </w:r>
      <w:r>
        <w:rPr>
          <w:rFonts w:hint="default" w:ascii="Times New Roman" w:hAnsi="Times New Roman" w:eastAsia="仿宋" w:cs="Times New Roman"/>
          <w:color w:val="auto"/>
          <w:sz w:val="32"/>
          <w:szCs w:val="32"/>
          <w:highlight w:val="none"/>
        </w:rPr>
        <w:t>人次（不包括陪同人员），共计支出</w:t>
      </w:r>
      <w:r>
        <w:rPr>
          <w:rFonts w:hint="eastAsia" w:eastAsia="仿宋" w:cs="Times New Roman"/>
          <w:color w:val="auto"/>
          <w:sz w:val="32"/>
          <w:szCs w:val="32"/>
          <w:highlight w:val="none"/>
          <w:lang w:val="en-US" w:eastAsia="zh-CN"/>
        </w:rPr>
        <w:t>0.8</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0.2万元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交流0.2万元、</w:t>
      </w:r>
      <w:r>
        <w:rPr>
          <w:rFonts w:hint="eastAsia" w:ascii="仿宋_GB2312" w:eastAsia="仿宋_GB2312"/>
          <w:color w:val="auto"/>
          <w:sz w:val="32"/>
          <w:szCs w:val="32"/>
          <w:highlight w:val="none"/>
          <w:lang w:val="en-US" w:eastAsia="zh-CN"/>
        </w:rPr>
        <w:t>学生活动费及运动会学生用餐、交通费、体检费等0.4万元。</w:t>
      </w:r>
    </w:p>
    <w:p w14:paraId="7DBAE030">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p>
    <w:p w14:paraId="2DE69E06">
      <w:pPr>
        <w:spacing w:line="600" w:lineRule="exact"/>
        <w:outlineLvl w:val="1"/>
        <w:rPr>
          <w:rFonts w:ascii="黑体" w:eastAsia="黑体"/>
          <w:color w:val="auto"/>
          <w:sz w:val="32"/>
          <w:szCs w:val="32"/>
          <w:highlight w:val="none"/>
        </w:rPr>
      </w:pPr>
      <w:bookmarkStart w:id="71" w:name="_Toc15377218"/>
      <w:bookmarkStart w:id="72" w:name="_Toc15396610"/>
    </w:p>
    <w:p w14:paraId="500919A2">
      <w:pPr>
        <w:pStyle w:val="4"/>
        <w:bidi w:val="0"/>
        <w:rPr>
          <w:color w:val="auto"/>
          <w:highlight w:val="none"/>
        </w:rPr>
      </w:pPr>
      <w:bookmarkStart w:id="73" w:name="_Toc3503"/>
      <w:r>
        <w:rPr>
          <w:rFonts w:hint="eastAsia"/>
          <w:color w:val="auto"/>
          <w:highlight w:val="none"/>
        </w:rPr>
        <w:t>八、政府性基金预算支出决算情况说明</w:t>
      </w:r>
      <w:bookmarkEnd w:id="71"/>
      <w:bookmarkEnd w:id="72"/>
      <w:bookmarkEnd w:id="73"/>
    </w:p>
    <w:p w14:paraId="69F99BED">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1.53</w:t>
      </w:r>
      <w:r>
        <w:rPr>
          <w:rFonts w:hint="eastAsia" w:ascii="仿宋_GB2312" w:eastAsia="仿宋_GB2312"/>
          <w:color w:val="auto"/>
          <w:sz w:val="32"/>
          <w:szCs w:val="32"/>
          <w:highlight w:val="none"/>
        </w:rPr>
        <w:t>万元。202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年本单位未在政府性基金预算拨款安排“三公”经费支出。</w:t>
      </w:r>
    </w:p>
    <w:p w14:paraId="4BD54CBE">
      <w:pPr>
        <w:pStyle w:val="16"/>
        <w:rPr>
          <w:color w:val="auto"/>
          <w:highlight w:val="none"/>
        </w:rPr>
      </w:pPr>
    </w:p>
    <w:p w14:paraId="192D1BB7">
      <w:pPr>
        <w:pStyle w:val="4"/>
        <w:numPr>
          <w:ilvl w:val="0"/>
          <w:numId w:val="5"/>
        </w:numPr>
        <w:bidi w:val="0"/>
        <w:rPr>
          <w:color w:val="auto"/>
          <w:highlight w:val="none"/>
        </w:rPr>
      </w:pPr>
      <w:bookmarkStart w:id="74" w:name="_Toc30571"/>
      <w:bookmarkStart w:id="75" w:name="_Toc15396611"/>
      <w:bookmarkStart w:id="76" w:name="_Toc15377219"/>
      <w:r>
        <w:rPr>
          <w:rFonts w:hint="eastAsia"/>
          <w:color w:val="auto"/>
          <w:highlight w:val="none"/>
        </w:rPr>
        <w:t>国有资本经营预算支出决算情况说明</w:t>
      </w:r>
      <w:bookmarkEnd w:id="74"/>
      <w:bookmarkEnd w:id="75"/>
      <w:bookmarkEnd w:id="76"/>
    </w:p>
    <w:p w14:paraId="1C1DF758">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14:paraId="681BFA28">
      <w:pPr>
        <w:spacing w:line="580" w:lineRule="exact"/>
        <w:rPr>
          <w:rFonts w:ascii="方正小标宋简体" w:hAnsi="方正小标宋简体" w:eastAsia="方正小标宋简体" w:cs="方正小标宋简体"/>
          <w:color w:val="auto"/>
          <w:sz w:val="44"/>
          <w:szCs w:val="44"/>
          <w:highlight w:val="none"/>
        </w:rPr>
      </w:pPr>
    </w:p>
    <w:p w14:paraId="7C1F1669">
      <w:pPr>
        <w:pStyle w:val="4"/>
        <w:numPr>
          <w:ilvl w:val="0"/>
          <w:numId w:val="5"/>
        </w:numPr>
        <w:bidi w:val="0"/>
        <w:rPr>
          <w:color w:val="auto"/>
          <w:highlight w:val="none"/>
        </w:rPr>
      </w:pPr>
      <w:bookmarkStart w:id="77" w:name="_Toc14092"/>
      <w:bookmarkStart w:id="78" w:name="_Toc15377221"/>
      <w:bookmarkStart w:id="79" w:name="_Toc15396612"/>
      <w:r>
        <w:rPr>
          <w:rFonts w:hint="eastAsia"/>
          <w:color w:val="auto"/>
          <w:highlight w:val="none"/>
        </w:rPr>
        <w:t>预算绩效管理情况</w:t>
      </w:r>
      <w:bookmarkEnd w:id="77"/>
    </w:p>
    <w:p w14:paraId="1A0A0F31">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对追加预算乡村少年宫运行经费项目和校舍维修项目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监控，年终执行完毕后，对</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14:paraId="32496D74">
      <w:pPr>
        <w:pStyle w:val="2"/>
        <w:spacing w:before="93"/>
        <w:rPr>
          <w:color w:val="auto"/>
          <w:highlight w:val="none"/>
        </w:rPr>
      </w:pPr>
    </w:p>
    <w:p w14:paraId="00445FFD">
      <w:pPr>
        <w:pStyle w:val="4"/>
        <w:numPr>
          <w:ilvl w:val="0"/>
          <w:numId w:val="5"/>
        </w:numPr>
        <w:bidi w:val="0"/>
        <w:rPr>
          <w:color w:val="auto"/>
          <w:highlight w:val="none"/>
        </w:rPr>
      </w:pPr>
      <w:bookmarkStart w:id="80" w:name="_Toc11548"/>
      <w:r>
        <w:rPr>
          <w:rFonts w:hint="eastAsia"/>
          <w:color w:val="auto"/>
          <w:highlight w:val="none"/>
        </w:rPr>
        <w:t>其他重要事项的情况说明</w:t>
      </w:r>
      <w:bookmarkEnd w:id="78"/>
      <w:bookmarkEnd w:id="79"/>
      <w:bookmarkEnd w:id="80"/>
    </w:p>
    <w:p w14:paraId="37DC5809">
      <w:pPr>
        <w:spacing w:line="600" w:lineRule="exact"/>
        <w:ind w:firstLine="643" w:firstLineChars="200"/>
        <w:outlineLvl w:val="2"/>
        <w:rPr>
          <w:rFonts w:ascii="仿宋" w:hAnsi="仿宋" w:eastAsia="仿宋"/>
          <w:color w:val="auto"/>
          <w:sz w:val="32"/>
          <w:szCs w:val="32"/>
          <w:highlight w:val="none"/>
        </w:rPr>
      </w:pPr>
      <w:bookmarkStart w:id="81" w:name="_Toc15377222"/>
      <w:r>
        <w:rPr>
          <w:rFonts w:hint="eastAsia" w:ascii="仿宋" w:hAnsi="仿宋" w:eastAsia="仿宋"/>
          <w:b/>
          <w:color w:val="auto"/>
          <w:sz w:val="32"/>
          <w:szCs w:val="32"/>
          <w:highlight w:val="none"/>
        </w:rPr>
        <w:t>（一）机关运行经费支出情况</w:t>
      </w:r>
      <w:bookmarkEnd w:id="81"/>
    </w:p>
    <w:p w14:paraId="43E5C2ED">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82"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14:paraId="06F6B1AF">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82"/>
    </w:p>
    <w:p w14:paraId="5BC16671">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14:paraId="095BA5DC">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83" w:name="_Toc15377224"/>
      <w:r>
        <w:rPr>
          <w:rFonts w:hint="eastAsia" w:ascii="仿宋" w:hAnsi="仿宋" w:eastAsia="仿宋"/>
          <w:b/>
          <w:color w:val="auto"/>
          <w:sz w:val="32"/>
          <w:szCs w:val="32"/>
          <w:highlight w:val="none"/>
        </w:rPr>
        <w:t>（三）国有资产占有使用情况</w:t>
      </w:r>
      <w:bookmarkEnd w:id="83"/>
    </w:p>
    <w:p w14:paraId="486B0600">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41C09B32">
      <w:pPr>
        <w:pStyle w:val="2"/>
        <w:spacing w:before="93"/>
        <w:rPr>
          <w:color w:val="auto"/>
          <w:highlight w:val="none"/>
        </w:rPr>
      </w:pPr>
    </w:p>
    <w:p w14:paraId="2E2F8849">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14:paraId="7AF8B773">
      <w:pPr>
        <w:pStyle w:val="3"/>
        <w:numPr>
          <w:ilvl w:val="0"/>
          <w:numId w:val="6"/>
        </w:numPr>
        <w:bidi w:val="0"/>
        <w:rPr>
          <w:color w:val="auto"/>
          <w:highlight w:val="none"/>
        </w:rPr>
      </w:pPr>
      <w:bookmarkStart w:id="84" w:name="_Toc15396613"/>
      <w:bookmarkStart w:id="85" w:name="_Toc15377225"/>
      <w:bookmarkStart w:id="86" w:name="_Toc27075"/>
      <w:r>
        <w:rPr>
          <w:rFonts w:hint="eastAsia"/>
          <w:color w:val="auto"/>
          <w:highlight w:val="none"/>
        </w:rPr>
        <w:t>名词解释</w:t>
      </w:r>
      <w:bookmarkEnd w:id="84"/>
      <w:bookmarkEnd w:id="85"/>
      <w:bookmarkEnd w:id="86"/>
    </w:p>
    <w:p w14:paraId="28C6F9AF">
      <w:pPr>
        <w:spacing w:line="600" w:lineRule="exact"/>
        <w:jc w:val="left"/>
        <w:rPr>
          <w:rFonts w:ascii="宋体"/>
          <w:b/>
          <w:color w:val="auto"/>
          <w:sz w:val="44"/>
          <w:szCs w:val="44"/>
          <w:highlight w:val="none"/>
        </w:rPr>
      </w:pPr>
    </w:p>
    <w:p w14:paraId="7653F845">
      <w:pPr>
        <w:pStyle w:val="2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14:paraId="1918298A">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14:paraId="217ABF08">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6D9C106A">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14:paraId="52C45F41">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5FA55F1C">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教育（类）普通教育（款）小学教育（项）：指小学教育。</w:t>
      </w:r>
    </w:p>
    <w:p w14:paraId="3E8E92DF">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7</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教育（类）普通教育（款）其他普通教育支出（项）：指其他普通教育支出。</w:t>
      </w:r>
    </w:p>
    <w:p w14:paraId="61A73F5E">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.社会保障和就业支出（类）抚恤（款）死亡抚恤（项）：指死亡抚恤。</w:t>
      </w:r>
    </w:p>
    <w:p w14:paraId="01D00026">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rPr>
        <w:t>.</w:t>
      </w:r>
      <w:r>
        <w:rPr>
          <w:rFonts w:hint="eastAsia" w:ascii="仿宋_GB2312" w:hAnsi="Calibri" w:eastAsia="仿宋_GB2312" w:cs="仿宋"/>
          <w:color w:val="auto"/>
          <w:kern w:val="0"/>
          <w:sz w:val="32"/>
          <w:szCs w:val="32"/>
          <w:highlight w:val="none"/>
          <w:lang w:val="en-US" w:eastAsia="zh-CN" w:bidi="ar-SA"/>
        </w:rPr>
        <w:t>其他支出（类）彩票公益金安排的支出（款）用于教育事业的彩票公益金支出（项）：指</w:t>
      </w:r>
      <w:r>
        <w:rPr>
          <w:rFonts w:hint="eastAsia" w:ascii="仿宋_GB2312" w:hAnsi="Calibri" w:eastAsia="仿宋_GB2312" w:cs="仿宋"/>
          <w:color w:val="auto"/>
          <w:kern w:val="0"/>
          <w:sz w:val="32"/>
          <w:szCs w:val="32"/>
          <w:highlight w:val="none"/>
          <w:lang w:val="en-US" w:eastAsia="zh-CN"/>
        </w:rPr>
        <w:t>用于教育事业的彩票公益金支出。</w:t>
      </w:r>
    </w:p>
    <w:p w14:paraId="7AABE0AB">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10.社会保障和就业支出（类）行政事业单位养老支出（款）机关事业单位基本养老保险缴费支出（项）: 指机关事业单位实施养老保险制度由单位缴纳的基本养老保险费支出。</w:t>
      </w:r>
    </w:p>
    <w:p w14:paraId="7DD5EBC5">
      <w:pPr>
        <w:pStyle w:val="16"/>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11.社会保障和就业支出（类）其他社会保障和就业支出（款）其他社会保障和就业支出（项）: 指其他用于社会保障和就业方面的支出。</w:t>
      </w:r>
    </w:p>
    <w:p w14:paraId="225C871B">
      <w:pPr>
        <w:pStyle w:val="2"/>
        <w:ind w:firstLine="640" w:firstLineChars="200"/>
        <w:rPr>
          <w:color w:val="auto"/>
          <w:highlight w:val="none"/>
        </w:rPr>
      </w:pPr>
      <w:r>
        <w:rPr>
          <w:rFonts w:hint="eastAsia" w:hAnsi="Calibri" w:cs="仿宋"/>
          <w:color w:val="auto"/>
          <w:kern w:val="0"/>
          <w:sz w:val="32"/>
          <w:szCs w:val="32"/>
          <w:highlight w:val="none"/>
          <w:lang w:val="en-US" w:eastAsia="zh-CN"/>
        </w:rPr>
        <w:t>12.</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14:paraId="01FA6F8D">
      <w:pPr>
        <w:pStyle w:val="2"/>
        <w:ind w:firstLine="640" w:firstLineChars="200"/>
        <w:rPr>
          <w:color w:val="auto"/>
          <w:highlight w:val="none"/>
        </w:rPr>
      </w:pPr>
      <w:r>
        <w:rPr>
          <w:rFonts w:hint="eastAsia" w:hAnsi="Calibri" w:cs="仿宋"/>
          <w:color w:val="auto"/>
          <w:kern w:val="0"/>
          <w:sz w:val="32"/>
          <w:szCs w:val="32"/>
          <w:highlight w:val="none"/>
          <w:lang w:val="en-US" w:eastAsia="zh-CN"/>
        </w:rPr>
        <w:t>13.</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14:paraId="5845D0A7">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14:paraId="1E222746">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6F959391">
      <w:pPr>
        <w:pStyle w:val="27"/>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87" w:name="_Toc15377226"/>
    </w:p>
    <w:p w14:paraId="188C833F">
      <w:pPr>
        <w:pStyle w:val="27"/>
        <w:spacing w:line="560" w:lineRule="exact"/>
        <w:ind w:firstLine="883" w:firstLineChars="200"/>
        <w:jc w:val="center"/>
        <w:rPr>
          <w:rStyle w:val="29"/>
          <w:color w:val="auto"/>
          <w:highlight w:val="none"/>
        </w:rPr>
      </w:pPr>
      <w:r>
        <w:rPr>
          <w:rFonts w:ascii="宋体"/>
          <w:b/>
          <w:color w:val="auto"/>
          <w:sz w:val="44"/>
          <w:szCs w:val="44"/>
          <w:highlight w:val="none"/>
        </w:rPr>
        <w:br w:type="page"/>
      </w:r>
      <w:bookmarkStart w:id="88" w:name="_Toc15396614"/>
      <w:bookmarkStart w:id="89" w:name="_Toc24127"/>
      <w:r>
        <w:rPr>
          <w:rStyle w:val="29"/>
          <w:rFonts w:hint="eastAsia"/>
          <w:color w:val="auto"/>
          <w:highlight w:val="none"/>
        </w:rPr>
        <w:t>第四部分 附件</w:t>
      </w:r>
      <w:bookmarkEnd w:id="88"/>
    </w:p>
    <w:bookmarkEnd w:id="89"/>
    <w:p w14:paraId="0501CB11">
      <w:pPr>
        <w:spacing w:line="572" w:lineRule="exact"/>
        <w:jc w:val="left"/>
        <w:outlineLvl w:val="0"/>
        <w:rPr>
          <w:rFonts w:hint="eastAsia" w:ascii="仿宋_GB2312" w:hAnsi="仿宋_GB2312" w:eastAsia="黑体" w:cs="仿宋_GB2312"/>
          <w:color w:val="auto"/>
          <w:sz w:val="32"/>
          <w:szCs w:val="32"/>
          <w:highlight w:val="none"/>
          <w:lang w:val="en-US" w:eastAsia="zh-CN"/>
        </w:rPr>
      </w:pPr>
      <w:bookmarkStart w:id="90" w:name="_Toc11431"/>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bookmarkEnd w:id="90"/>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0C23BDDF">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14:paraId="4E9BA8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bookmarkStart w:id="91" w:name="_Toc15396618"/>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（乡村少年宫运行经费）</w:t>
            </w:r>
          </w:p>
        </w:tc>
        <w:tc>
          <w:tcPr>
            <w:tcW w:w="236" w:type="dxa"/>
            <w:tcBorders>
              <w:top w:val="nil"/>
              <w:left w:val="nil"/>
              <w:bottom w:val="nil"/>
              <w:right w:val="nil"/>
            </w:tcBorders>
            <w:shd w:val="clear" w:color="auto" w:fill="auto"/>
            <w:vAlign w:val="center"/>
          </w:tcPr>
          <w:p w14:paraId="20FBCCB3">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14:paraId="0F774BFF">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E6D519">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1066D5">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360312</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0B56F">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446EB">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广元市昭化区磨滩镇观音小学</w:t>
            </w:r>
          </w:p>
        </w:tc>
      </w:tr>
      <w:tr w14:paraId="5174B5E4">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EF50FF">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14:paraId="412A7BB4">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14:paraId="0373A222">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9909F">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25FB0">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1.53</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D933A">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CDC4D">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1.53</w:t>
            </w:r>
          </w:p>
        </w:tc>
      </w:tr>
      <w:tr w14:paraId="7D0C50D7">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A7C47">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5D1A5">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14:paraId="0600E7E0">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7AF7F">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1.53</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BABD8">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14:paraId="5CFF81B2">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DE15B">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1.53</w:t>
            </w:r>
          </w:p>
        </w:tc>
      </w:tr>
      <w:tr w14:paraId="181A91C0">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AED9F">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C3CCC">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4E812">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74254">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066D4">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14:paraId="1BF80AC4">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294D1E">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14:paraId="0F0A440B">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B367F9">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C157DB">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14:paraId="464F91B5">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D0FA5">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14:paraId="0EF1FAEF">
            <w:pPr>
              <w:keepNext w:val="0"/>
              <w:keepLines w:val="0"/>
              <w:widowControl/>
              <w:suppressLineNumbers w:val="0"/>
              <w:spacing w:before="0" w:beforeAutospacing="0" w:after="0" w:afterAutospacing="0" w:line="320" w:lineRule="exact"/>
              <w:ind w:left="0" w:right="0"/>
              <w:jc w:val="left"/>
              <w:textAlignment w:val="top"/>
              <w:rPr>
                <w:rFonts w:hint="default" w:ascii="宋体" w:hAnsi="宋体" w:cs="宋体"/>
                <w:color w:val="auto"/>
                <w:sz w:val="24"/>
                <w:highlight w:val="none"/>
              </w:rPr>
            </w:pPr>
            <w:r>
              <w:rPr>
                <w:rFonts w:hint="default" w:ascii="宋体" w:hAnsi="宋体" w:cs="宋体"/>
                <w:color w:val="auto"/>
                <w:sz w:val="22"/>
                <w:szCs w:val="22"/>
                <w:highlight w:val="none"/>
              </w:rPr>
              <w:t>保障乡村少年宫正常运转。将“乡村学校少年宫”建设成满足学生精神文化需求、促进学生全面发展、深化学生素质教育的有效载体，建设成家长认可、布局合理、功能完备的未成年人教育阵地。</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14:paraId="5F08B208">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保障了乡村</w:t>
            </w:r>
            <w:r>
              <w:rPr>
                <w:rFonts w:hint="default" w:ascii="宋体" w:hAnsi="宋体" w:eastAsia="宋体" w:cs="宋体"/>
                <w:color w:val="auto"/>
                <w:sz w:val="22"/>
                <w:szCs w:val="22"/>
                <w:highlight w:val="none"/>
              </w:rPr>
              <w:t>少年宫</w:t>
            </w:r>
            <w:r>
              <w:rPr>
                <w:rFonts w:hint="eastAsia" w:ascii="宋体" w:hAnsi="宋体" w:eastAsia="宋体" w:cs="宋体"/>
                <w:color w:val="auto"/>
                <w:sz w:val="22"/>
                <w:szCs w:val="22"/>
                <w:highlight w:val="none"/>
                <w:lang w:eastAsia="zh-CN"/>
              </w:rPr>
              <w:t>的</w:t>
            </w:r>
            <w:r>
              <w:rPr>
                <w:rFonts w:hint="default" w:ascii="宋体" w:hAnsi="宋体" w:eastAsia="宋体" w:cs="宋体"/>
                <w:color w:val="auto"/>
                <w:sz w:val="22"/>
                <w:szCs w:val="22"/>
                <w:highlight w:val="none"/>
              </w:rPr>
              <w:t>正常运转。满足</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学生精神文化需求、促进</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学生全面发展</w:t>
            </w:r>
            <w:r>
              <w:rPr>
                <w:rFonts w:hint="eastAsia" w:ascii="宋体" w:hAnsi="宋体" w:eastAsia="宋体" w:cs="宋体"/>
                <w:color w:val="auto"/>
                <w:sz w:val="22"/>
                <w:szCs w:val="22"/>
                <w:highlight w:val="none"/>
                <w:lang w:eastAsia="zh-CN"/>
              </w:rPr>
              <w:t>，是</w:t>
            </w:r>
            <w:r>
              <w:rPr>
                <w:rFonts w:hint="default" w:ascii="宋体" w:hAnsi="宋体" w:eastAsia="宋体" w:cs="宋体"/>
                <w:color w:val="auto"/>
                <w:sz w:val="22"/>
                <w:szCs w:val="22"/>
                <w:highlight w:val="none"/>
              </w:rPr>
              <w:t>家长认可、布局合理、功能完备的未成年人教育阵地。</w:t>
            </w:r>
          </w:p>
        </w:tc>
      </w:tr>
      <w:tr w14:paraId="65D7EAAD">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14:paraId="74D1DC97">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14:paraId="1A76824F">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14:paraId="4016731C">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0537C">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14:paraId="649971C4">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D2632">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14:paraId="6AC1A873">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6D6B1">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6FAF5">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14:paraId="661B629C">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43458D1D">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49A6B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14:paraId="28F3B14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23E59">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4DCA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乡村少年宫数量</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3C31B">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1所</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FF04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1所</w:t>
            </w:r>
          </w:p>
        </w:tc>
      </w:tr>
      <w:tr w14:paraId="69ADA09A">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14:paraId="75BDBCB9">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3EC9BE">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54887355">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CEB68">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default" w:ascii="仿宋_GB2312" w:hAnsi="仿宋_GB2312" w:eastAsia="仿宋_GB2312" w:cs="仿宋_GB2312"/>
                <w:color w:val="auto"/>
                <w:sz w:val="20"/>
                <w:szCs w:val="20"/>
                <w:highlight w:val="none"/>
              </w:rPr>
              <w:t>科学设置项目</w:t>
            </w:r>
            <w:r>
              <w:rPr>
                <w:rFonts w:hint="eastAsia" w:ascii="仿宋_GB2312" w:hAnsi="仿宋_GB2312" w:eastAsia="仿宋_GB2312" w:cs="仿宋_GB2312"/>
                <w:color w:val="auto"/>
                <w:sz w:val="20"/>
                <w:szCs w:val="20"/>
                <w:highlight w:val="none"/>
                <w:lang w:eastAsia="zh-CN"/>
              </w:rPr>
              <w:t>，</w:t>
            </w:r>
          </w:p>
          <w:p w14:paraId="4FF8D5C8">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扎实开展活动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8DD6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A643D">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有效</w:t>
            </w:r>
          </w:p>
        </w:tc>
      </w:tr>
      <w:tr w14:paraId="389513CE">
        <w:tblPrEx>
          <w:tblCellMar>
            <w:top w:w="0" w:type="dxa"/>
            <w:left w:w="108" w:type="dxa"/>
            <w:bottom w:w="0" w:type="dxa"/>
            <w:right w:w="108" w:type="dxa"/>
          </w:tblCellMar>
        </w:tblPrEx>
        <w:trPr>
          <w:gridAfter w:val="1"/>
          <w:wAfter w:w="236" w:type="dxa"/>
          <w:trHeight w:val="601" w:hRule="atLeast"/>
        </w:trPr>
        <w:tc>
          <w:tcPr>
            <w:tcW w:w="1113" w:type="dxa"/>
            <w:vMerge w:val="continue"/>
            <w:tcBorders>
              <w:left w:val="single" w:color="000000" w:sz="4" w:space="0"/>
              <w:right w:val="single" w:color="000000" w:sz="4" w:space="0"/>
            </w:tcBorders>
            <w:shd w:val="clear" w:color="auto" w:fill="auto"/>
            <w:vAlign w:val="center"/>
          </w:tcPr>
          <w:p w14:paraId="197DCF71">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BD6210">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14:paraId="20FBCA10">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9EDF0">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乡村少年宫正常运转</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6EFCA">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6ABE4">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r>
      <w:tr w14:paraId="77A2E566">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14:paraId="7441E884">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3F50E">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1A488E4E">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80FF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按照财务管理制度规定，资金实行专项管理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017B3">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94842">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r>
      <w:tr w14:paraId="31AF15C1">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5EC74A28">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45D8C">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F8C09">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DA375">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运行</w:t>
            </w:r>
            <w:r>
              <w:rPr>
                <w:rFonts w:hint="default" w:ascii="仿宋_GB2312" w:hAnsi="仿宋_GB2312" w:eastAsia="仿宋_GB2312" w:cs="仿宋_GB2312"/>
                <w:color w:val="auto"/>
                <w:sz w:val="20"/>
                <w:szCs w:val="20"/>
                <w:highlight w:val="none"/>
              </w:rPr>
              <w:t>经费保障期限</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4D3B8">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00D2A">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14:paraId="34C6CFFD">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14:paraId="5039810D">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CC277E">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EA26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27C2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运行经费</w:t>
            </w:r>
            <w:r>
              <w:rPr>
                <w:rFonts w:hint="eastAsia" w:ascii="仿宋_GB2312" w:hAnsi="仿宋_GB2312" w:eastAsia="仿宋_GB2312" w:cs="仿宋_GB2312"/>
                <w:color w:val="auto"/>
                <w:sz w:val="20"/>
                <w:szCs w:val="20"/>
                <w:highlight w:val="none"/>
                <w:lang w:eastAsia="zh-CN"/>
              </w:rPr>
              <w:t>年</w:t>
            </w:r>
            <w:r>
              <w:rPr>
                <w:rFonts w:hint="default" w:ascii="仿宋_GB2312" w:hAnsi="仿宋_GB2312" w:eastAsia="仿宋_GB2312" w:cs="仿宋_GB2312"/>
                <w:color w:val="auto"/>
                <w:sz w:val="20"/>
                <w:szCs w:val="20"/>
                <w:highlight w:val="none"/>
              </w:rPr>
              <w:t>补助标准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0730B">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宋体" w:hAnsi="宋体" w:cs="宋体"/>
                <w:color w:val="auto"/>
                <w:sz w:val="24"/>
                <w:highlight w:val="none"/>
                <w:lang w:val="en-US" w:eastAsia="zh-CN"/>
              </w:rPr>
              <w:t>1.53</w:t>
            </w:r>
            <w:r>
              <w:rPr>
                <w:rFonts w:hint="eastAsia" w:ascii="仿宋_GB2312" w:hAnsi="仿宋_GB2312" w:eastAsia="仿宋_GB2312" w:cs="仿宋_GB2312"/>
                <w:color w:val="auto"/>
                <w:sz w:val="20"/>
                <w:szCs w:val="20"/>
                <w:highlight w:val="none"/>
                <w:lang w:val="en-US" w:eastAsia="zh-CN"/>
              </w:rPr>
              <w:t>万元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FA0A4">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宋体" w:hAnsi="宋体" w:cs="宋体"/>
                <w:color w:val="auto"/>
                <w:sz w:val="24"/>
                <w:highlight w:val="none"/>
                <w:lang w:val="en-US" w:eastAsia="zh-CN"/>
              </w:rPr>
              <w:t>1.53</w:t>
            </w:r>
            <w:r>
              <w:rPr>
                <w:rFonts w:hint="eastAsia" w:ascii="仿宋_GB2312" w:hAnsi="仿宋_GB2312" w:eastAsia="仿宋_GB2312" w:cs="仿宋_GB2312"/>
                <w:color w:val="auto"/>
                <w:sz w:val="20"/>
                <w:szCs w:val="20"/>
                <w:highlight w:val="none"/>
                <w:lang w:val="en-US" w:eastAsia="zh-CN"/>
              </w:rPr>
              <w:t>万元</w:t>
            </w:r>
          </w:p>
        </w:tc>
      </w:tr>
      <w:tr w14:paraId="1AE3A413">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14:paraId="5C27CA6D">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6530A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14:paraId="26BDC57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23A7B6A8">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2F82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提升学生综合素质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6EE91">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9D55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14:paraId="2CF43E50">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04D40A21">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C9585">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18C8ECB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440C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丰富学生课余生活</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3D507">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3F44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14:paraId="2DA07024">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14:paraId="3D92D168">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77B5988E">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14:paraId="57826FA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7ED0EC7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14:paraId="14604899">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DCD19">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258C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18F60">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14:paraId="508B38E0">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3DA4C80D">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031D76AD">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05A8E77A">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E082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736D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6F5B1">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96%</w:t>
            </w:r>
          </w:p>
        </w:tc>
      </w:tr>
    </w:tbl>
    <w:p w14:paraId="422D077B">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14:paraId="3850DCE3">
      <w:pPr>
        <w:spacing w:line="572" w:lineRule="exact"/>
        <w:jc w:val="left"/>
        <w:outlineLvl w:val="0"/>
        <w:rPr>
          <w:rFonts w:hint="eastAsia" w:ascii="仿宋_GB2312" w:hAnsi="仿宋_GB2312" w:eastAsia="黑体" w:cs="仿宋_GB2312"/>
          <w:color w:val="auto"/>
          <w:sz w:val="32"/>
          <w:szCs w:val="32"/>
          <w:highlight w:val="none"/>
          <w:lang w:val="en-US" w:eastAsia="zh-CN"/>
        </w:rPr>
      </w:pPr>
      <w:bookmarkStart w:id="92" w:name="_Toc31816"/>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2</w:t>
      </w:r>
      <w:bookmarkEnd w:id="92"/>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5E2B3F7B">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14:paraId="26F1502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rPr>
              <w:t>2021年部门预算项目绩效目标自评</w:t>
            </w:r>
            <w:r>
              <w:rPr>
                <w:rFonts w:hint="eastAsia" w:ascii="仿宋" w:hAnsi="仿宋" w:eastAsia="仿宋" w:cs="仿宋"/>
                <w:b/>
                <w:color w:val="auto"/>
                <w:sz w:val="32"/>
                <w:szCs w:val="32"/>
                <w:highlight w:val="none"/>
                <w:lang w:eastAsia="zh-CN"/>
              </w:rPr>
              <w:t>（校舍维修）</w:t>
            </w:r>
          </w:p>
        </w:tc>
        <w:tc>
          <w:tcPr>
            <w:tcW w:w="236" w:type="dxa"/>
            <w:tcBorders>
              <w:top w:val="nil"/>
              <w:left w:val="nil"/>
              <w:bottom w:val="nil"/>
              <w:right w:val="nil"/>
            </w:tcBorders>
            <w:shd w:val="clear" w:color="auto" w:fill="auto"/>
            <w:vAlign w:val="center"/>
          </w:tcPr>
          <w:p w14:paraId="10B52C5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kern w:val="0"/>
                <w:sz w:val="32"/>
                <w:szCs w:val="32"/>
                <w:highlight w:val="none"/>
              </w:rPr>
            </w:pPr>
          </w:p>
        </w:tc>
      </w:tr>
      <w:tr w14:paraId="756E4A36">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295001">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8CD7AD">
            <w:pPr>
              <w:keepNext w:val="0"/>
              <w:keepLines w:val="0"/>
              <w:widowControl/>
              <w:suppressLineNumbers w:val="0"/>
              <w:spacing w:before="0" w:beforeAutospacing="0" w:after="0" w:afterAutospacing="0" w:line="320" w:lineRule="exact"/>
              <w:ind w:left="0" w:right="0"/>
              <w:textAlignment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360312</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CE7D7">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F68F9">
            <w:pPr>
              <w:keepNext w:val="0"/>
              <w:keepLines w:val="0"/>
              <w:widowControl/>
              <w:suppressLineNumbers w:val="0"/>
              <w:spacing w:before="0" w:beforeAutospacing="0" w:after="0" w:afterAutospacing="0" w:line="320" w:lineRule="exact"/>
              <w:ind w:left="0" w:right="0"/>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广元市昭化区磨滩镇观音小学</w:t>
            </w:r>
          </w:p>
        </w:tc>
      </w:tr>
      <w:tr w14:paraId="6A501033">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D82E70">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项目预算</w:t>
            </w:r>
          </w:p>
          <w:p w14:paraId="1E9FF979">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执行情况</w:t>
            </w:r>
          </w:p>
          <w:p w14:paraId="3D3F3F01">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B1FCF">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80133">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285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2E7C1">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7E3F1">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285</w:t>
            </w:r>
          </w:p>
        </w:tc>
      </w:tr>
      <w:tr w14:paraId="078455C3">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BF98B">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363A9">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14:paraId="104579A4">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A5584">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285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EA390">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14:paraId="1E5CF095">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5B7D7">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285</w:t>
            </w:r>
          </w:p>
        </w:tc>
      </w:tr>
      <w:tr w14:paraId="6D310D79">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1B28E">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4A470">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454AD">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F8608">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E8D7A">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p>
        </w:tc>
      </w:tr>
      <w:tr w14:paraId="7DA2D530">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4395AD">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年度总体目标</w:t>
            </w:r>
          </w:p>
          <w:p w14:paraId="05E6E4C0">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6DD320">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86B906">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目标实际完成情况</w:t>
            </w:r>
          </w:p>
        </w:tc>
      </w:tr>
      <w:tr w14:paraId="5325CB52">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F53C0">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14:paraId="172B62CC">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rPr>
              <w:t>校舍</w:t>
            </w:r>
            <w:r>
              <w:rPr>
                <w:rFonts w:hint="eastAsia" w:ascii="仿宋" w:hAnsi="仿宋" w:eastAsia="仿宋" w:cs="仿宋"/>
                <w:color w:val="auto"/>
                <w:sz w:val="22"/>
                <w:szCs w:val="22"/>
                <w:highlight w:val="none"/>
                <w:lang w:eastAsia="zh-CN"/>
              </w:rPr>
              <w:t>维修面积</w:t>
            </w:r>
            <w:r>
              <w:rPr>
                <w:rFonts w:hint="eastAsia" w:ascii="仿宋" w:hAnsi="仿宋" w:eastAsia="仿宋" w:cs="仿宋"/>
                <w:color w:val="auto"/>
                <w:sz w:val="22"/>
                <w:szCs w:val="22"/>
                <w:highlight w:val="none"/>
                <w:lang w:val="en-US" w:eastAsia="zh-CN"/>
              </w:rPr>
              <w:t>3680</w:t>
            </w:r>
            <w:r>
              <w:rPr>
                <w:rFonts w:hint="eastAsia" w:ascii="仿宋" w:hAnsi="仿宋" w:eastAsia="仿宋" w:cs="仿宋"/>
                <w:color w:val="auto"/>
                <w:sz w:val="22"/>
                <w:szCs w:val="22"/>
                <w:highlight w:val="none"/>
              </w:rPr>
              <w:t>平方米，改善学校办学条件和基础设施配套，提供高质量硬件设施设备，营造良好的学习氛围</w:t>
            </w:r>
            <w:r>
              <w:rPr>
                <w:rFonts w:hint="eastAsia" w:ascii="仿宋" w:hAnsi="仿宋" w:eastAsia="仿宋" w:cs="仿宋"/>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14:paraId="12883E06">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lang w:eastAsia="zh-CN"/>
              </w:rPr>
              <w:t>完成</w:t>
            </w:r>
            <w:r>
              <w:rPr>
                <w:rFonts w:hint="eastAsia" w:ascii="仿宋" w:hAnsi="仿宋" w:eastAsia="仿宋" w:cs="仿宋"/>
                <w:color w:val="auto"/>
                <w:sz w:val="22"/>
                <w:szCs w:val="22"/>
                <w:highlight w:val="none"/>
                <w:lang w:val="en-US" w:eastAsia="zh-CN"/>
              </w:rPr>
              <w:t>3680</w:t>
            </w:r>
            <w:r>
              <w:rPr>
                <w:rFonts w:hint="eastAsia" w:ascii="仿宋" w:hAnsi="仿宋" w:eastAsia="仿宋" w:cs="仿宋"/>
                <w:color w:val="auto"/>
                <w:sz w:val="22"/>
                <w:szCs w:val="22"/>
                <w:highlight w:val="none"/>
              </w:rPr>
              <w:t>平方米</w:t>
            </w:r>
            <w:r>
              <w:rPr>
                <w:rFonts w:hint="eastAsia" w:ascii="仿宋" w:hAnsi="仿宋" w:eastAsia="仿宋" w:cs="仿宋"/>
                <w:color w:val="auto"/>
                <w:sz w:val="22"/>
                <w:szCs w:val="22"/>
                <w:highlight w:val="none"/>
                <w:lang w:eastAsia="zh-CN"/>
              </w:rPr>
              <w:t>的校舍维修，</w:t>
            </w:r>
            <w:r>
              <w:rPr>
                <w:rFonts w:hint="eastAsia" w:ascii="仿宋" w:hAnsi="仿宋" w:eastAsia="仿宋" w:cs="仿宋"/>
                <w:color w:val="auto"/>
                <w:sz w:val="22"/>
                <w:szCs w:val="22"/>
                <w:highlight w:val="none"/>
              </w:rPr>
              <w:t>改善</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学校办学条件和基础设施配套，提供</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高质量硬件设施设备，营造</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良好的学习氛围</w:t>
            </w:r>
            <w:r>
              <w:rPr>
                <w:rFonts w:hint="eastAsia" w:ascii="仿宋" w:hAnsi="仿宋" w:eastAsia="仿宋" w:cs="仿宋"/>
                <w:color w:val="auto"/>
                <w:sz w:val="22"/>
                <w:szCs w:val="22"/>
                <w:highlight w:val="none"/>
                <w:lang w:eastAsia="zh-CN"/>
              </w:rPr>
              <w:t>。</w:t>
            </w:r>
          </w:p>
        </w:tc>
      </w:tr>
      <w:tr w14:paraId="6DC67378">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14:paraId="2299FCF3">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14:paraId="30AC20CE">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一级</w:t>
            </w:r>
          </w:p>
          <w:p w14:paraId="43C3D4DE">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079EC">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二级</w:t>
            </w:r>
          </w:p>
          <w:p w14:paraId="1A073690">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19693">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三级</w:t>
            </w:r>
          </w:p>
          <w:p w14:paraId="3381F3AE">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D05BA">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221CD">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实际完成指标值</w:t>
            </w:r>
          </w:p>
        </w:tc>
      </w:tr>
      <w:tr w14:paraId="33CDA803">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6C6EAF6D">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B8F6E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完成</w:t>
            </w:r>
          </w:p>
          <w:p w14:paraId="0099BF9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18E4B07C">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F510B">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64ACB">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3680m²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2848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3680m²</w:t>
            </w:r>
          </w:p>
        </w:tc>
      </w:tr>
      <w:tr w14:paraId="10028143">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787A4484">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14:paraId="344A83F9">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6525328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3F064">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惠及学生人数</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32311">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83</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90A59">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83</w:t>
            </w:r>
          </w:p>
        </w:tc>
      </w:tr>
      <w:tr w14:paraId="2173FB38">
        <w:tblPrEx>
          <w:tblCellMar>
            <w:top w:w="0" w:type="dxa"/>
            <w:left w:w="108" w:type="dxa"/>
            <w:bottom w:w="0" w:type="dxa"/>
            <w:right w:w="108" w:type="dxa"/>
          </w:tblCellMar>
        </w:tblPrEx>
        <w:trPr>
          <w:gridAfter w:val="1"/>
          <w:wAfter w:w="236" w:type="dxa"/>
          <w:trHeight w:val="575" w:hRule="atLeast"/>
        </w:trPr>
        <w:tc>
          <w:tcPr>
            <w:tcW w:w="1113" w:type="dxa"/>
            <w:vMerge w:val="continue"/>
            <w:tcBorders>
              <w:left w:val="single" w:color="000000" w:sz="4" w:space="0"/>
              <w:right w:val="single" w:color="000000" w:sz="4" w:space="0"/>
            </w:tcBorders>
            <w:shd w:val="clear" w:color="auto" w:fill="auto"/>
            <w:vAlign w:val="center"/>
          </w:tcPr>
          <w:p w14:paraId="6021DFCE">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75D6B">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795A2FAA">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DFD17">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w:t>
            </w:r>
            <w:r>
              <w:rPr>
                <w:rFonts w:hint="eastAsia" w:ascii="仿宋" w:hAnsi="仿宋" w:eastAsia="仿宋" w:cs="仿宋"/>
                <w:color w:val="auto"/>
                <w:sz w:val="20"/>
                <w:szCs w:val="20"/>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4D113">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98F2B">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lang w:val="en-US" w:eastAsia="zh-CN"/>
              </w:rPr>
              <w:t>100%</w:t>
            </w:r>
          </w:p>
        </w:tc>
      </w:tr>
      <w:tr w14:paraId="0E2743FB">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14:paraId="66ED6F70">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397C1">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14:paraId="439B9BEF">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70893">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571B1">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3FCE8">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14:paraId="7EC354E1">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14:paraId="45E953E3">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04B1A">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03CB4FEB">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8AFD8">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EF6D8">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FBEDC">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14:paraId="020EA6B3">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14:paraId="593C5DF6">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965A5">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4FF59203">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D0A91">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7880F">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1DD4D">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1年</w:t>
            </w:r>
          </w:p>
        </w:tc>
      </w:tr>
      <w:tr w14:paraId="51F92EB7">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14:paraId="03D7A811">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77B58">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57372CE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5CA47">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9475A">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4B2CC">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8个月</w:t>
            </w:r>
          </w:p>
        </w:tc>
      </w:tr>
      <w:tr w14:paraId="3473EC0D">
        <w:tblPrEx>
          <w:tblCellMar>
            <w:top w:w="0" w:type="dxa"/>
            <w:left w:w="108" w:type="dxa"/>
            <w:bottom w:w="0" w:type="dxa"/>
            <w:right w:w="108" w:type="dxa"/>
          </w:tblCellMar>
        </w:tblPrEx>
        <w:trPr>
          <w:gridAfter w:val="1"/>
          <w:wAfter w:w="236" w:type="dxa"/>
          <w:trHeight w:val="611" w:hRule="atLeast"/>
        </w:trPr>
        <w:tc>
          <w:tcPr>
            <w:tcW w:w="1113" w:type="dxa"/>
            <w:vMerge w:val="continue"/>
            <w:tcBorders>
              <w:left w:val="single" w:color="000000" w:sz="4" w:space="0"/>
              <w:right w:val="single" w:color="000000" w:sz="4" w:space="0"/>
            </w:tcBorders>
            <w:shd w:val="clear" w:color="auto" w:fill="auto"/>
            <w:vAlign w:val="center"/>
          </w:tcPr>
          <w:p w14:paraId="1D0906FB">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7F97F">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14:paraId="2ECEE455">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8E734">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4F837">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C5AD2">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rPr>
            </w:pPr>
            <w:r>
              <w:rPr>
                <w:rFonts w:hint="eastAsia" w:ascii="仿宋" w:hAnsi="仿宋" w:eastAsia="仿宋" w:cs="仿宋"/>
                <w:color w:val="auto"/>
                <w:sz w:val="20"/>
                <w:szCs w:val="20"/>
                <w:highlight w:val="none"/>
                <w:lang w:val="en-US" w:eastAsia="zh-CN"/>
              </w:rPr>
              <w:t>775元</w:t>
            </w:r>
          </w:p>
        </w:tc>
      </w:tr>
      <w:tr w14:paraId="2705129D">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14:paraId="2ADF392E">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14:paraId="40F3B23C">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效益</w:t>
            </w:r>
          </w:p>
          <w:p w14:paraId="157B74B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6C5D857F">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65E1DCB0">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65B83">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4CBA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14:paraId="6BBBFE02">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3AD05CE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14:paraId="61544C3A">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7666A34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生态效益</w:t>
            </w:r>
          </w:p>
          <w:p w14:paraId="672FAC91">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0D605543">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F1B1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4B090">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14:paraId="18A9DBBB">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47C747FF">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14:paraId="16710F81">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5EE665FC">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2F564C61">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7CC29">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69847">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有效</w:t>
            </w:r>
          </w:p>
        </w:tc>
      </w:tr>
      <w:tr w14:paraId="4862FF58">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14:paraId="48F6BB9E">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3D0AE2E3">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满意</w:t>
            </w:r>
          </w:p>
          <w:p w14:paraId="1D4D757A">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9250BDB">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满意度</w:t>
            </w:r>
          </w:p>
          <w:p w14:paraId="424CF3C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85AB6">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C4D7B">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630C3">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97%</w:t>
            </w:r>
          </w:p>
        </w:tc>
      </w:tr>
      <w:tr w14:paraId="75624418">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78DB6E68">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4595C34A">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BC67B20">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2FD55">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DDD3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3156B">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96%</w:t>
            </w:r>
          </w:p>
        </w:tc>
      </w:tr>
    </w:tbl>
    <w:p w14:paraId="4E8DC11C">
      <w:pPr>
        <w:pStyle w:val="3"/>
        <w:bidi w:val="0"/>
        <w:rPr>
          <w:color w:val="auto"/>
          <w:highlight w:val="none"/>
        </w:rPr>
      </w:pPr>
      <w:bookmarkStart w:id="93" w:name="_Toc24969"/>
      <w:r>
        <w:rPr>
          <w:rFonts w:hint="eastAsia"/>
          <w:color w:val="auto"/>
          <w:highlight w:val="none"/>
        </w:rPr>
        <w:t>第五部分 附表</w:t>
      </w:r>
      <w:bookmarkEnd w:id="87"/>
      <w:bookmarkEnd w:id="91"/>
      <w:bookmarkEnd w:id="93"/>
      <w:bookmarkStart w:id="94" w:name="_Toc15396619"/>
    </w:p>
    <w:p w14:paraId="6BAAC1DF">
      <w:pPr>
        <w:pStyle w:val="4"/>
        <w:bidi w:val="0"/>
        <w:rPr>
          <w:color w:val="auto"/>
          <w:highlight w:val="none"/>
        </w:rPr>
      </w:pPr>
      <w:bookmarkStart w:id="95" w:name="_Toc26442"/>
      <w:r>
        <w:rPr>
          <w:rFonts w:hint="eastAsia"/>
          <w:color w:val="auto"/>
          <w:highlight w:val="none"/>
        </w:rPr>
        <w:t>一、收入支出决算总表</w:t>
      </w:r>
      <w:bookmarkEnd w:id="94"/>
      <w:bookmarkEnd w:id="95"/>
    </w:p>
    <w:p w14:paraId="7A14B882">
      <w:pPr>
        <w:pStyle w:val="4"/>
        <w:bidi w:val="0"/>
        <w:rPr>
          <w:color w:val="auto"/>
          <w:highlight w:val="none"/>
        </w:rPr>
      </w:pPr>
      <w:bookmarkStart w:id="96" w:name="_Toc24488"/>
      <w:bookmarkStart w:id="97" w:name="_Toc15396620"/>
      <w:r>
        <w:rPr>
          <w:rFonts w:hint="eastAsia"/>
          <w:color w:val="auto"/>
          <w:highlight w:val="none"/>
        </w:rPr>
        <w:t>二、收入决算表</w:t>
      </w:r>
      <w:bookmarkEnd w:id="96"/>
      <w:bookmarkEnd w:id="97"/>
    </w:p>
    <w:p w14:paraId="7559DD40">
      <w:pPr>
        <w:pStyle w:val="4"/>
        <w:bidi w:val="0"/>
        <w:rPr>
          <w:color w:val="auto"/>
          <w:highlight w:val="none"/>
        </w:rPr>
      </w:pPr>
      <w:bookmarkStart w:id="98" w:name="_Toc15396621"/>
      <w:bookmarkStart w:id="99" w:name="_Toc6939"/>
      <w:r>
        <w:rPr>
          <w:rFonts w:hint="eastAsia"/>
          <w:color w:val="auto"/>
          <w:highlight w:val="none"/>
        </w:rPr>
        <w:t>三、支出决算表</w:t>
      </w:r>
      <w:bookmarkEnd w:id="98"/>
      <w:bookmarkEnd w:id="99"/>
    </w:p>
    <w:p w14:paraId="131C87C2">
      <w:pPr>
        <w:pStyle w:val="4"/>
        <w:bidi w:val="0"/>
        <w:rPr>
          <w:color w:val="auto"/>
          <w:highlight w:val="none"/>
        </w:rPr>
      </w:pPr>
      <w:bookmarkStart w:id="100" w:name="_Toc15396622"/>
      <w:bookmarkStart w:id="101" w:name="_Toc30417"/>
      <w:r>
        <w:rPr>
          <w:rFonts w:hint="eastAsia"/>
          <w:color w:val="auto"/>
          <w:highlight w:val="none"/>
        </w:rPr>
        <w:t>四、财政拨款收入支出决算总表</w:t>
      </w:r>
      <w:bookmarkEnd w:id="100"/>
      <w:bookmarkEnd w:id="101"/>
    </w:p>
    <w:p w14:paraId="5D6E5715">
      <w:pPr>
        <w:pStyle w:val="4"/>
        <w:bidi w:val="0"/>
        <w:rPr>
          <w:color w:val="auto"/>
          <w:highlight w:val="none"/>
        </w:rPr>
      </w:pPr>
      <w:bookmarkStart w:id="102" w:name="_Toc15396623"/>
      <w:bookmarkStart w:id="103" w:name="_Toc1651"/>
      <w:r>
        <w:rPr>
          <w:rFonts w:hint="eastAsia"/>
          <w:color w:val="auto"/>
          <w:highlight w:val="none"/>
        </w:rPr>
        <w:t>五、财政拨款支出决算明细表</w:t>
      </w:r>
      <w:bookmarkEnd w:id="102"/>
      <w:bookmarkEnd w:id="103"/>
      <w:bookmarkStart w:id="104" w:name="_Toc15396624"/>
    </w:p>
    <w:p w14:paraId="769C4227">
      <w:pPr>
        <w:pStyle w:val="4"/>
        <w:bidi w:val="0"/>
        <w:rPr>
          <w:color w:val="auto"/>
          <w:highlight w:val="none"/>
        </w:rPr>
      </w:pPr>
      <w:bookmarkStart w:id="105" w:name="_Toc18542"/>
      <w:r>
        <w:rPr>
          <w:rFonts w:hint="eastAsia"/>
          <w:color w:val="auto"/>
          <w:highlight w:val="none"/>
        </w:rPr>
        <w:t>六、一般公共预算财政拨款支出决算表</w:t>
      </w:r>
      <w:bookmarkEnd w:id="104"/>
      <w:bookmarkEnd w:id="105"/>
    </w:p>
    <w:p w14:paraId="485C08C5">
      <w:pPr>
        <w:pStyle w:val="4"/>
        <w:bidi w:val="0"/>
        <w:rPr>
          <w:color w:val="auto"/>
          <w:highlight w:val="none"/>
        </w:rPr>
      </w:pPr>
      <w:bookmarkStart w:id="106" w:name="_Toc25672"/>
      <w:bookmarkStart w:id="107" w:name="_Toc15396625"/>
      <w:r>
        <w:rPr>
          <w:rFonts w:hint="eastAsia"/>
          <w:color w:val="auto"/>
          <w:highlight w:val="none"/>
        </w:rPr>
        <w:t>七、一般公共预算财政拨款支出决算明细表</w:t>
      </w:r>
      <w:bookmarkEnd w:id="106"/>
      <w:bookmarkEnd w:id="107"/>
    </w:p>
    <w:p w14:paraId="128D95DB">
      <w:pPr>
        <w:pStyle w:val="4"/>
        <w:bidi w:val="0"/>
        <w:rPr>
          <w:color w:val="auto"/>
          <w:highlight w:val="none"/>
        </w:rPr>
      </w:pPr>
      <w:bookmarkStart w:id="108" w:name="_Toc3598"/>
      <w:bookmarkStart w:id="109" w:name="_Toc15396626"/>
      <w:r>
        <w:rPr>
          <w:rFonts w:hint="eastAsia"/>
          <w:color w:val="auto"/>
          <w:highlight w:val="none"/>
        </w:rPr>
        <w:t>八、一般公共预算财政拨款基本支出决算表</w:t>
      </w:r>
      <w:bookmarkEnd w:id="108"/>
      <w:bookmarkEnd w:id="109"/>
    </w:p>
    <w:p w14:paraId="7BE3670B">
      <w:pPr>
        <w:pStyle w:val="4"/>
        <w:bidi w:val="0"/>
        <w:rPr>
          <w:color w:val="auto"/>
          <w:highlight w:val="none"/>
        </w:rPr>
      </w:pPr>
      <w:bookmarkStart w:id="110" w:name="_Toc15396627"/>
      <w:bookmarkStart w:id="111" w:name="_Toc28845"/>
      <w:r>
        <w:rPr>
          <w:rFonts w:hint="eastAsia"/>
          <w:color w:val="auto"/>
          <w:highlight w:val="none"/>
        </w:rPr>
        <w:t>九、一般公共预算财政拨款项目支出决算表</w:t>
      </w:r>
      <w:bookmarkEnd w:id="110"/>
      <w:bookmarkEnd w:id="111"/>
    </w:p>
    <w:p w14:paraId="13844A17">
      <w:pPr>
        <w:pStyle w:val="4"/>
        <w:bidi w:val="0"/>
        <w:rPr>
          <w:color w:val="auto"/>
          <w:highlight w:val="none"/>
        </w:rPr>
      </w:pPr>
      <w:bookmarkStart w:id="112" w:name="_Toc15396628"/>
      <w:bookmarkStart w:id="113" w:name="_Toc24879"/>
      <w:r>
        <w:rPr>
          <w:rFonts w:hint="eastAsia"/>
          <w:color w:val="auto"/>
          <w:highlight w:val="none"/>
        </w:rPr>
        <w:t>十、一般公共预算财政拨款“三公”经费支出决算表</w:t>
      </w:r>
      <w:bookmarkEnd w:id="112"/>
      <w:bookmarkEnd w:id="113"/>
    </w:p>
    <w:p w14:paraId="62D864D5">
      <w:pPr>
        <w:pStyle w:val="4"/>
        <w:bidi w:val="0"/>
        <w:rPr>
          <w:color w:val="auto"/>
          <w:highlight w:val="none"/>
        </w:rPr>
      </w:pPr>
      <w:bookmarkStart w:id="114" w:name="_Toc15396629"/>
      <w:bookmarkStart w:id="115" w:name="_Toc24059"/>
      <w:r>
        <w:rPr>
          <w:rFonts w:hint="eastAsia"/>
          <w:color w:val="auto"/>
          <w:highlight w:val="none"/>
        </w:rPr>
        <w:t>十一、政府性基金预算财政拨款收入支出决算表</w:t>
      </w:r>
      <w:bookmarkEnd w:id="114"/>
      <w:bookmarkEnd w:id="115"/>
    </w:p>
    <w:p w14:paraId="1AA8D054">
      <w:pPr>
        <w:pStyle w:val="4"/>
        <w:bidi w:val="0"/>
        <w:rPr>
          <w:color w:val="auto"/>
          <w:highlight w:val="none"/>
        </w:rPr>
      </w:pPr>
      <w:bookmarkStart w:id="116" w:name="_Toc30287"/>
      <w:bookmarkStart w:id="117" w:name="_Toc15396630"/>
      <w:r>
        <w:rPr>
          <w:rFonts w:hint="eastAsia"/>
          <w:color w:val="auto"/>
          <w:highlight w:val="none"/>
        </w:rPr>
        <w:t>十二、政府性基金预算财政拨款“三公”经费支出决算表</w:t>
      </w:r>
      <w:bookmarkEnd w:id="116"/>
      <w:bookmarkEnd w:id="117"/>
    </w:p>
    <w:p w14:paraId="635ED578">
      <w:pPr>
        <w:pStyle w:val="4"/>
        <w:bidi w:val="0"/>
        <w:rPr>
          <w:color w:val="auto"/>
          <w:highlight w:val="none"/>
        </w:rPr>
      </w:pPr>
      <w:bookmarkStart w:id="118" w:name="_Toc15396631"/>
      <w:bookmarkStart w:id="119" w:name="_Toc21531"/>
      <w:r>
        <w:rPr>
          <w:rFonts w:hint="eastAsia"/>
          <w:color w:val="auto"/>
          <w:highlight w:val="none"/>
        </w:rPr>
        <w:t>十三、国有资本经营预算财政拨款收入支出决算表</w:t>
      </w:r>
      <w:bookmarkEnd w:id="118"/>
      <w:bookmarkEnd w:id="119"/>
    </w:p>
    <w:p w14:paraId="0C7C9568">
      <w:pPr>
        <w:pStyle w:val="4"/>
        <w:bidi w:val="0"/>
        <w:rPr>
          <w:color w:val="auto"/>
          <w:highlight w:val="none"/>
        </w:rPr>
      </w:pPr>
      <w:bookmarkStart w:id="120" w:name="_Toc3471"/>
      <w:r>
        <w:rPr>
          <w:rFonts w:hint="eastAsia"/>
          <w:color w:val="auto"/>
          <w:highlight w:val="none"/>
        </w:rPr>
        <w:t>十四、国有资本经营预算财政拨款支出决算表</w:t>
      </w:r>
      <w:bookmarkEnd w:id="120"/>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633A705-BAC2-45F1-98B8-8789BCCCB33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C1CD7E3-48CC-4216-AB78-38060B0E8E9E}"/>
  </w:font>
  <w:font w:name="仿宋">
    <w:panose1 w:val="02010609060101010101"/>
    <w:charset w:val="86"/>
    <w:family w:val="auto"/>
    <w:pitch w:val="default"/>
    <w:sig w:usb0="800002BF" w:usb1="38CF7CFA" w:usb2="00000016" w:usb3="00000000" w:csb0="00040001" w:csb1="00000000"/>
    <w:embedRegular r:id="rId3" w:fontKey="{E5DF28F7-7899-44A3-9B7E-3DC91B452F06}"/>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embedRegular r:id="rId4" w:fontKey="{09286941-4752-413D-958D-46A2C968B23C}"/>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5" w:fontKey="{FC6E0181-C716-4AC6-B5C1-2ADB41936B5C}"/>
  </w:font>
  <w:font w:name="方正小标宋_GBK">
    <w:panose1 w:val="02000000000000000000"/>
    <w:charset w:val="86"/>
    <w:family w:val="auto"/>
    <w:pitch w:val="default"/>
    <w:sig w:usb0="A00002BF" w:usb1="38CF7CFA" w:usb2="00082016" w:usb3="00000000" w:csb0="00040001" w:csb1="00000000"/>
    <w:embedRegular r:id="rId6" w:fontKey="{D3254CA9-25E4-4172-AAAC-B7FB7D14165F}"/>
  </w:font>
  <w:font w:name="华文楷体">
    <w:panose1 w:val="02010600040101010101"/>
    <w:charset w:val="34"/>
    <w:family w:val="auto"/>
    <w:pitch w:val="default"/>
    <w:sig w:usb0="00000287" w:usb1="080F0000" w:usb2="00000000" w:usb3="00000000" w:csb0="0004009F" w:csb1="DFD70000"/>
    <w:embedRegular r:id="rId7" w:fontKey="{18234E2F-F877-4B16-8727-FD7899B67CA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231A7126">
        <w:pPr>
          <w:pStyle w:val="11"/>
          <w:jc w:val="center"/>
        </w:pPr>
        <w:r>
          <w:fldChar w:fldCharType="begin"/>
        </w:r>
        <w:r>
          <w:instrText xml:space="preserve">PAGE   \* MERGEFORMAT</w:instrText>
        </w:r>
        <w:r>
          <w:fldChar w:fldCharType="separate"/>
        </w:r>
        <w:r>
          <w:rPr>
            <w:lang w:val="zh-CN"/>
          </w:rPr>
          <w:t>12</w:t>
        </w:r>
        <w:r>
          <w:fldChar w:fldCharType="end"/>
        </w:r>
      </w:p>
    </w:sdtContent>
  </w:sdt>
  <w:p w14:paraId="341DC10B">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C4563">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ECD6CFA4"/>
    <w:multiLevelType w:val="singleLevel"/>
    <w:tmpl w:val="ECD6CFA4"/>
    <w:lvl w:ilvl="0" w:tentative="0">
      <w:start w:val="1"/>
      <w:numFmt w:val="decimal"/>
      <w:lvlText w:val="%1."/>
      <w:lvlJc w:val="left"/>
      <w:pPr>
        <w:tabs>
          <w:tab w:val="left" w:pos="312"/>
        </w:tabs>
      </w:p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2F000000"/>
    <w:multiLevelType w:val="multilevel"/>
    <w:tmpl w:val="2F000000"/>
    <w:lvl w:ilvl="0" w:tentative="0">
      <w:start w:val="3"/>
      <w:numFmt w:val="chineseCounting"/>
      <w:suff w:val="nothing"/>
      <w:lvlText w:val="（%1）"/>
      <w:lvlJc w:val="left"/>
      <w:rPr>
        <w:rFonts w:hint="eastAsia"/>
      </w:rPr>
    </w:lvl>
    <w:lvl w:ilvl="1" w:tentative="0">
      <w:start w:val="3"/>
      <w:numFmt w:val="chineseCounting"/>
      <w:suff w:val="nothing"/>
      <w:lvlText w:val="（%1）"/>
      <w:lvlJc w:val="left"/>
      <w:rPr>
        <w:rFonts w:hint="eastAsia"/>
      </w:rPr>
    </w:lvl>
    <w:lvl w:ilvl="2" w:tentative="0">
      <w:start w:val="3"/>
      <w:numFmt w:val="chineseCounting"/>
      <w:suff w:val="nothing"/>
      <w:lvlText w:val="（%1）"/>
      <w:lvlJc w:val="left"/>
      <w:rPr>
        <w:rFonts w:hint="eastAsia"/>
      </w:rPr>
    </w:lvl>
    <w:lvl w:ilvl="3" w:tentative="0">
      <w:start w:val="3"/>
      <w:numFmt w:val="chineseCounting"/>
      <w:suff w:val="nothing"/>
      <w:lvlText w:val="（%1）"/>
      <w:lvlJc w:val="left"/>
      <w:rPr>
        <w:rFonts w:hint="eastAsia"/>
      </w:rPr>
    </w:lvl>
    <w:lvl w:ilvl="4" w:tentative="0">
      <w:start w:val="3"/>
      <w:numFmt w:val="chineseCounting"/>
      <w:suff w:val="nothing"/>
      <w:lvlText w:val="（%1）"/>
      <w:lvlJc w:val="left"/>
      <w:rPr>
        <w:rFonts w:hint="eastAsia"/>
      </w:rPr>
    </w:lvl>
    <w:lvl w:ilvl="5" w:tentative="0">
      <w:start w:val="3"/>
      <w:numFmt w:val="chineseCounting"/>
      <w:suff w:val="nothing"/>
      <w:lvlText w:val="（%1）"/>
      <w:lvlJc w:val="left"/>
      <w:rPr>
        <w:rFonts w:hint="eastAsia"/>
      </w:rPr>
    </w:lvl>
    <w:lvl w:ilvl="6" w:tentative="0">
      <w:start w:val="3"/>
      <w:numFmt w:val="chineseCounting"/>
      <w:suff w:val="nothing"/>
      <w:lvlText w:val="（%1）"/>
      <w:lvlJc w:val="left"/>
      <w:rPr>
        <w:rFonts w:hint="eastAsia"/>
      </w:rPr>
    </w:lvl>
    <w:lvl w:ilvl="7" w:tentative="0">
      <w:start w:val="3"/>
      <w:numFmt w:val="chineseCounting"/>
      <w:suff w:val="nothing"/>
      <w:lvlText w:val="（%1）"/>
      <w:lvlJc w:val="left"/>
      <w:rPr>
        <w:rFonts w:hint="eastAsia"/>
      </w:rPr>
    </w:lvl>
    <w:lvl w:ilvl="8" w:tentative="0">
      <w:start w:val="3"/>
      <w:numFmt w:val="chineseCounting"/>
      <w:suff w:val="nothing"/>
      <w:lvlText w:val="（%1）"/>
      <w:lvlJc w:val="left"/>
      <w:rPr>
        <w:rFonts w:hint="eastAsia"/>
      </w:rPr>
    </w:lvl>
  </w:abstractNum>
  <w:abstractNum w:abstractNumId="5">
    <w:nsid w:val="6492B4FE"/>
    <w:multiLevelType w:val="singleLevel"/>
    <w:tmpl w:val="6492B4FE"/>
    <w:lvl w:ilvl="0" w:tentative="0">
      <w:start w:val="1"/>
      <w:numFmt w:val="chineseCounting"/>
      <w:suff w:val="nothing"/>
      <w:lvlText w:val="%1、"/>
      <w:lvlJc w:val="left"/>
      <w:rPr>
        <w:rFonts w:hint="eastAsia"/>
      </w:r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A2032A3"/>
    <w:rsid w:val="0B8A37D8"/>
    <w:rsid w:val="0EC71F0D"/>
    <w:rsid w:val="10C055FF"/>
    <w:rsid w:val="112C7A85"/>
    <w:rsid w:val="118107EC"/>
    <w:rsid w:val="11DD6519"/>
    <w:rsid w:val="12910332"/>
    <w:rsid w:val="157E27B0"/>
    <w:rsid w:val="16B70AB9"/>
    <w:rsid w:val="16BB723D"/>
    <w:rsid w:val="177D300F"/>
    <w:rsid w:val="17F663A7"/>
    <w:rsid w:val="18015F3F"/>
    <w:rsid w:val="1BE8440E"/>
    <w:rsid w:val="1D155CEE"/>
    <w:rsid w:val="206860B8"/>
    <w:rsid w:val="20F57F95"/>
    <w:rsid w:val="23066A21"/>
    <w:rsid w:val="240371BF"/>
    <w:rsid w:val="24D54B4E"/>
    <w:rsid w:val="25C741E6"/>
    <w:rsid w:val="27842671"/>
    <w:rsid w:val="280F42BA"/>
    <w:rsid w:val="29FD04D3"/>
    <w:rsid w:val="2ABE7A3E"/>
    <w:rsid w:val="2BAE4DE0"/>
    <w:rsid w:val="2C0D4D5A"/>
    <w:rsid w:val="2EFA178C"/>
    <w:rsid w:val="30B46D73"/>
    <w:rsid w:val="319F7F4E"/>
    <w:rsid w:val="32E05DEF"/>
    <w:rsid w:val="353C0D20"/>
    <w:rsid w:val="39AE70AB"/>
    <w:rsid w:val="3BC1546A"/>
    <w:rsid w:val="3C0C0783"/>
    <w:rsid w:val="3EF618CF"/>
    <w:rsid w:val="3F795B0E"/>
    <w:rsid w:val="3F9F3A96"/>
    <w:rsid w:val="41B85349"/>
    <w:rsid w:val="41BF4911"/>
    <w:rsid w:val="43356746"/>
    <w:rsid w:val="43E60E10"/>
    <w:rsid w:val="493C27E9"/>
    <w:rsid w:val="496F39ED"/>
    <w:rsid w:val="49FF41D3"/>
    <w:rsid w:val="4A185DC8"/>
    <w:rsid w:val="4BE068DB"/>
    <w:rsid w:val="4BF6002B"/>
    <w:rsid w:val="4D947483"/>
    <w:rsid w:val="4ECE2238"/>
    <w:rsid w:val="4FD61684"/>
    <w:rsid w:val="503645ED"/>
    <w:rsid w:val="508F3649"/>
    <w:rsid w:val="51DB4B86"/>
    <w:rsid w:val="527E6C4D"/>
    <w:rsid w:val="52FB5859"/>
    <w:rsid w:val="55333C3E"/>
    <w:rsid w:val="58737E60"/>
    <w:rsid w:val="5EEF25B2"/>
    <w:rsid w:val="60544526"/>
    <w:rsid w:val="62377985"/>
    <w:rsid w:val="64A80084"/>
    <w:rsid w:val="64CA39A1"/>
    <w:rsid w:val="65B126BB"/>
    <w:rsid w:val="69AB4959"/>
    <w:rsid w:val="69F0047F"/>
    <w:rsid w:val="6C4A05C8"/>
    <w:rsid w:val="6C6E6699"/>
    <w:rsid w:val="6EDA0CDC"/>
    <w:rsid w:val="71B61FB7"/>
    <w:rsid w:val="72734D90"/>
    <w:rsid w:val="727D7081"/>
    <w:rsid w:val="72E456B5"/>
    <w:rsid w:val="74E366CA"/>
    <w:rsid w:val="79E7B28D"/>
    <w:rsid w:val="7AC82E51"/>
    <w:rsid w:val="7BFA24EA"/>
    <w:rsid w:val="7CAB154F"/>
    <w:rsid w:val="7F586151"/>
    <w:rsid w:val="7F9F20EE"/>
    <w:rsid w:val="7FC55F0C"/>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jc w:val="center"/>
      <w:outlineLvl w:val="0"/>
    </w:pPr>
    <w:rPr>
      <w:rFonts w:ascii="Times New Roman" w:hAnsi="Times New Roman" w:eastAsia="仿宋"/>
      <w:b/>
      <w:bCs/>
      <w:kern w:val="44"/>
      <w:sz w:val="44"/>
      <w:szCs w:val="44"/>
    </w:rPr>
  </w:style>
  <w:style w:type="paragraph" w:styleId="4">
    <w:name w:val="heading 2"/>
    <w:basedOn w:val="1"/>
    <w:next w:val="1"/>
    <w:link w:val="40"/>
    <w:unhideWhenUsed/>
    <w:qFormat/>
    <w:uiPriority w:val="9"/>
    <w:pPr>
      <w:keepNext/>
      <w:keepLines/>
      <w:spacing w:before="260" w:after="260" w:line="240" w:lineRule="auto"/>
      <w:ind w:firstLine="1440" w:firstLineChars="200"/>
      <w:jc w:val="left"/>
      <w:outlineLvl w:val="1"/>
    </w:pPr>
    <w:rPr>
      <w:rFonts w:eastAsia="宋体" w:asciiTheme="majorAscii" w:hAnsiTheme="majorAscii"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eastAsia="仿宋"/>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eastAsia="宋体" w:cs="Times New Roman" w:asciiTheme="majorAscii" w:hAnsiTheme="majorAsci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873.18</c:v>
                </c:pt>
                <c:pt idx="1">
                  <c:v>865.64</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873.18</c:v>
                </c:pt>
                <c:pt idx="1">
                  <c:v>865.64</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75843969-0171-4d51-b432-fa4b3239bc7c}"/>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99.8</a:t>
                    </a:r>
                    <a:r>
                      <a:rPr lang="en-US" altLang="zh-CN"/>
                      <a:t>2</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manualLayout>
                  <c:x val="0.000484374837563866"/>
                  <c:y val="0.214013311325721"/>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0.1</a:t>
                    </a:r>
                    <a:r>
                      <a:rPr lang="en-US" altLang="zh-CN"/>
                      <a:t>8</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政府性基金预算财政拨款收入</c:v>
                </c:pt>
              </c:strCache>
            </c:strRef>
          </c:cat>
          <c:val>
            <c:numRef>
              <c:f>Sheet1!$B$2:$B$3</c:f>
              <c:numCache>
                <c:formatCode>0.00%</c:formatCode>
                <c:ptCount val="2"/>
                <c:pt idx="0">
                  <c:v>0.9982</c:v>
                </c:pt>
                <c:pt idx="1">
                  <c:v>0.0018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988d722d-8197-470c-ba42-d5e14bd75c27}"/>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66.90</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33.10</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579.11</c:v>
                </c:pt>
                <c:pt idx="1">
                  <c:v>286.53</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78bff3ed-5620-48fa-9fdd-f83740de958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873.18</c:v>
                </c:pt>
                <c:pt idx="1">
                  <c:v>865.64</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873.18</c:v>
                </c:pt>
                <c:pt idx="1">
                  <c:v>865.64</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d0643104-a621-4843-b9b1-cac3599dd243}"/>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858.18</c:v>
                </c:pt>
                <c:pt idx="1">
                  <c:v>864.11</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d1aa18d8-e777-42b0-a5ee-d959ece25999}"/>
      </c:ext>
    </c:extLst>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Lbls>
            <c:dLbl>
              <c:idx val="0"/>
              <c:layout>
                <c:manualLayout>
                  <c:x val="-0.0378752423434636"/>
                  <c:y val="-0.29683773584861"/>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t>9</a:t>
                    </a:r>
                    <a:r>
                      <a:rPr lang="en-US" altLang="zh-CN"/>
                      <a:t>9.44</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0184393692092979"/>
                  <c:y val="0.0876850520523613"/>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0.56</a:t>
                    </a:r>
                    <a:r>
                      <a:t>%</a:t>
                    </a:r>
                  </a:p>
                </c:rich>
              </c:tx>
              <c:dLblPos val="bestFit"/>
              <c:showLegendKey val="0"/>
              <c:showVal val="0"/>
              <c:showCatName val="0"/>
              <c:showSerName val="0"/>
              <c:showPercent val="1"/>
              <c:showBubbleSize val="0"/>
              <c:extLst>
                <c:ext xmlns:c15="http://schemas.microsoft.com/office/drawing/2012/chart" uri="{CE6537A1-D6FC-4f65-9D91-7224C49458BB}">
                  <c15:layout>
                    <c:manualLayout>
                      <c:w val="0.0872500000000001"/>
                      <c:h val="0.0767295597484277"/>
                    </c:manualLayout>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教育支出（类）</c:v>
                </c:pt>
                <c:pt idx="1">
                  <c:v>社会保障和就业支出（类）</c:v>
                </c:pt>
              </c:strCache>
            </c:strRef>
          </c:cat>
          <c:val>
            <c:numRef>
              <c:f>Sheet1!$B$2:$B$3</c:f>
              <c:numCache>
                <c:formatCode>General</c:formatCode>
                <c:ptCount val="2"/>
                <c:pt idx="0">
                  <c:v>99.44</c:v>
                </c:pt>
                <c:pt idx="1">
                  <c:v>0.56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94477b73-9d34-49b1-a1cf-c786b1a59ba1}"/>
      </c:ext>
    </c:extLst>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extLst>
      <c:ext uri="{0b15fc19-7d7d-44ad-8c2d-2c3a37ce22c3}">
        <chartProps xmlns="https://web.wps.cn/et/2018/main" chartId="{4e7447d5-0239-4240-a76f-8a17aa4891ed}"/>
      </c:ext>
    </c:extLst>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6.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21</Pages>
  <Words>6731</Words>
  <Characters>7200</Characters>
  <Lines>47</Lines>
  <Paragraphs>13</Paragraphs>
  <TotalTime>4</TotalTime>
  <ScaleCrop>false</ScaleCrop>
  <LinksUpToDate>false</LinksUpToDate>
  <CharactersWithSpaces>7280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昭化融媒体</cp:lastModifiedBy>
  <cp:lastPrinted>2022-09-27T03:56:00Z</cp:lastPrinted>
  <dcterms:modified xsi:type="dcterms:W3CDTF">2025-01-06T05:15:26Z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DB83FF4682C443DF864DAFBB55C3CE09</vt:lpwstr>
  </property>
  <property fmtid="{D5CDD505-2E9C-101B-9397-08002B2CF9AE}" pid="4" name="KSOTemplateDocerSaveRecord">
    <vt:lpwstr>eyJoZGlkIjoiMGVhYTg4NGNkZWJkODFjNzcyZDRjM2M4Y2UzNjI5ZmUiLCJ1c2VySWQiOiI2MTE2MzEwMDYifQ==</vt:lpwstr>
  </property>
</Properties>
</file>