
<file path=[Content_Types].xml><?xml version="1.0" encoding="utf-8"?>
<Types xmlns="http://schemas.openxmlformats.org/package/2006/content-types">
  <Default Extension="xlsx" ContentType="application/vnd.openxmlformats-officedocument.spreadsheetml.sheet"/>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colors3.xml" ContentType="application/vnd.ms-office.chartcolorstyle+xml"/>
  <Override PartName="/word/charts/colors4.xml" ContentType="application/vnd.ms-office.chartcolorstyle+xml"/>
  <Override PartName="/word/charts/colors5.xml" ContentType="application/vnd.ms-office.chartcolorstyle+xml"/>
  <Override PartName="/word/charts/colors6.xml" ContentType="application/vnd.ms-office.chartcolorstyle+xml"/>
  <Override PartName="/word/charts/colors7.xml" ContentType="application/vnd.ms-office.chartcolorstyle+xml"/>
  <Override PartName="/word/charts/style1.xml" ContentType="application/vnd.ms-office.chartstyle+xml"/>
  <Override PartName="/word/charts/style2.xml" ContentType="application/vnd.ms-office.chartstyle+xml"/>
  <Override PartName="/word/charts/style3.xml" ContentType="application/vnd.ms-office.chartstyle+xml"/>
  <Override PartName="/word/charts/style4.xml" ContentType="application/vnd.ms-office.chartstyle+xml"/>
  <Override PartName="/word/charts/style5.xml" ContentType="application/vnd.ms-office.chartstyle+xml"/>
  <Override PartName="/word/charts/style6.xml" ContentType="application/vnd.ms-office.chartstyle+xml"/>
  <Override PartName="/word/charts/style7.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outlineLvl w:val="0"/>
        <w:rPr>
          <w:rFonts w:ascii="方正小标宋简体" w:hAnsi="宋体" w:eastAsia="方正小标宋简体"/>
          <w:color w:val="auto"/>
          <w:sz w:val="72"/>
          <w:szCs w:val="72"/>
          <w:highlight w:val="none"/>
        </w:rPr>
      </w:pPr>
      <w:bookmarkStart w:id="0" w:name="_Toc15306267"/>
      <w:bookmarkStart w:id="111" w:name="_GoBack"/>
    </w:p>
    <w:p>
      <w:pPr>
        <w:spacing w:line="600" w:lineRule="exact"/>
        <w:jc w:val="center"/>
        <w:outlineLvl w:val="0"/>
        <w:rPr>
          <w:rFonts w:ascii="方正小标宋简体" w:hAnsi="宋体" w:eastAsia="方正小标宋简体"/>
          <w:color w:val="auto"/>
          <w:sz w:val="72"/>
          <w:szCs w:val="72"/>
          <w:highlight w:val="none"/>
        </w:rPr>
      </w:pPr>
    </w:p>
    <w:p>
      <w:pPr>
        <w:spacing w:line="600" w:lineRule="exact"/>
        <w:jc w:val="center"/>
        <w:outlineLvl w:val="0"/>
        <w:rPr>
          <w:rFonts w:ascii="方正小标宋简体" w:hAnsi="宋体" w:eastAsia="方正小标宋简体"/>
          <w:color w:val="auto"/>
          <w:sz w:val="72"/>
          <w:szCs w:val="72"/>
          <w:highlight w:val="none"/>
        </w:rPr>
      </w:pPr>
    </w:p>
    <w:p>
      <w:pPr>
        <w:spacing w:line="600" w:lineRule="exact"/>
        <w:jc w:val="center"/>
        <w:outlineLvl w:val="0"/>
        <w:rPr>
          <w:rFonts w:ascii="方正小标宋简体" w:hAnsi="宋体" w:eastAsia="方正小标宋简体"/>
          <w:color w:val="auto"/>
          <w:sz w:val="72"/>
          <w:szCs w:val="72"/>
          <w:highlight w:val="none"/>
        </w:rPr>
      </w:pPr>
    </w:p>
    <w:p>
      <w:pPr>
        <w:adjustRightInd w:val="0"/>
        <w:snapToGrid w:val="0"/>
        <w:spacing w:line="360" w:lineRule="auto"/>
        <w:jc w:val="center"/>
        <w:outlineLvl w:val="0"/>
        <w:rPr>
          <w:rFonts w:ascii="方正小标宋_GBK" w:hAnsi="方正小标宋_GBK" w:eastAsia="方正小标宋_GBK" w:cs="方正小标宋_GBK"/>
          <w:color w:val="auto"/>
          <w:sz w:val="72"/>
          <w:szCs w:val="72"/>
          <w:highlight w:val="none"/>
        </w:rPr>
      </w:pPr>
      <w:bookmarkStart w:id="1" w:name="_Toc15378441"/>
      <w:bookmarkStart w:id="2" w:name="_Toc15377193"/>
      <w:bookmarkStart w:id="3" w:name="_Toc15396597"/>
      <w:bookmarkStart w:id="4" w:name="_Toc15396475"/>
      <w:bookmarkStart w:id="5" w:name="_Toc23980"/>
      <w:bookmarkStart w:id="6" w:name="_Toc15377425"/>
      <w:bookmarkStart w:id="7" w:name="_Toc1681"/>
      <w:r>
        <w:rPr>
          <w:rFonts w:hint="eastAsia" w:ascii="方正小标宋_GBK" w:hAnsi="方正小标宋_GBK" w:eastAsia="方正小标宋_GBK" w:cs="方正小标宋_GBK"/>
          <w:color w:val="auto"/>
          <w:sz w:val="72"/>
          <w:szCs w:val="72"/>
          <w:highlight w:val="none"/>
        </w:rPr>
        <w:t>2021年度</w:t>
      </w:r>
      <w:bookmarkEnd w:id="1"/>
      <w:bookmarkEnd w:id="2"/>
      <w:bookmarkEnd w:id="3"/>
      <w:bookmarkEnd w:id="4"/>
      <w:bookmarkEnd w:id="5"/>
      <w:bookmarkEnd w:id="6"/>
      <w:bookmarkEnd w:id="7"/>
    </w:p>
    <w:p>
      <w:pPr>
        <w:adjustRightInd w:val="0"/>
        <w:snapToGrid w:val="0"/>
        <w:spacing w:line="360" w:lineRule="auto"/>
        <w:jc w:val="center"/>
        <w:outlineLvl w:val="0"/>
        <w:rPr>
          <w:rFonts w:hint="eastAsia" w:ascii="方正小标宋_GBK" w:hAnsi="方正小标宋_GBK" w:eastAsia="方正小标宋_GBK" w:cs="方正小标宋_GBK"/>
          <w:color w:val="auto"/>
          <w:sz w:val="72"/>
          <w:szCs w:val="72"/>
          <w:highlight w:val="none"/>
        </w:rPr>
      </w:pPr>
      <w:bookmarkStart w:id="8" w:name="_Toc17433"/>
      <w:bookmarkStart w:id="9" w:name="_Toc1473"/>
      <w:bookmarkStart w:id="10" w:name="_Toc15396598"/>
      <w:bookmarkStart w:id="11" w:name="_Toc15377426"/>
      <w:bookmarkStart w:id="12" w:name="_Toc15396476"/>
      <w:bookmarkStart w:id="13" w:name="_Toc15377194"/>
      <w:bookmarkStart w:id="14" w:name="_Toc15378442"/>
      <w:r>
        <w:rPr>
          <w:rFonts w:hint="eastAsia" w:ascii="方正小标宋_GBK" w:hAnsi="方正小标宋_GBK" w:eastAsia="方正小标宋_GBK" w:cs="方正小标宋_GBK"/>
          <w:color w:val="auto"/>
          <w:sz w:val="72"/>
          <w:szCs w:val="72"/>
          <w:highlight w:val="none"/>
        </w:rPr>
        <w:t>四川省</w:t>
      </w:r>
      <w:bookmarkEnd w:id="0"/>
      <w:bookmarkStart w:id="15" w:name="_Toc15306268"/>
      <w:r>
        <w:rPr>
          <w:rFonts w:hint="eastAsia" w:ascii="方正小标宋_GBK" w:hAnsi="方正小标宋_GBK" w:eastAsia="方正小标宋_GBK" w:cs="方正小标宋_GBK"/>
          <w:color w:val="auto"/>
          <w:sz w:val="72"/>
          <w:szCs w:val="72"/>
          <w:highlight w:val="none"/>
        </w:rPr>
        <w:t>广元市昭化区</w:t>
      </w:r>
      <w:bookmarkEnd w:id="8"/>
      <w:bookmarkEnd w:id="9"/>
    </w:p>
    <w:p>
      <w:pPr>
        <w:adjustRightInd w:val="0"/>
        <w:snapToGrid w:val="0"/>
        <w:spacing w:line="360" w:lineRule="auto"/>
        <w:jc w:val="center"/>
        <w:outlineLvl w:val="0"/>
        <w:rPr>
          <w:rFonts w:ascii="方正小标宋_GBK" w:hAnsi="方正小标宋_GBK" w:eastAsia="方正小标宋_GBK" w:cs="方正小标宋_GBK"/>
          <w:color w:val="auto"/>
          <w:sz w:val="72"/>
          <w:szCs w:val="72"/>
          <w:highlight w:val="none"/>
        </w:rPr>
      </w:pPr>
      <w:bookmarkStart w:id="16" w:name="_Toc2341"/>
      <w:bookmarkStart w:id="17" w:name="_Toc9679"/>
      <w:r>
        <w:rPr>
          <w:rFonts w:hint="eastAsia" w:ascii="方正小标宋_GBK" w:hAnsi="方正小标宋_GBK" w:eastAsia="方正小标宋_GBK" w:cs="方正小标宋_GBK"/>
          <w:color w:val="auto"/>
          <w:sz w:val="72"/>
          <w:szCs w:val="72"/>
          <w:highlight w:val="none"/>
        </w:rPr>
        <w:t>元坝镇紫云小学单位决算</w:t>
      </w:r>
      <w:bookmarkEnd w:id="10"/>
      <w:bookmarkEnd w:id="11"/>
      <w:bookmarkEnd w:id="12"/>
      <w:bookmarkEnd w:id="13"/>
      <w:bookmarkEnd w:id="14"/>
      <w:bookmarkEnd w:id="15"/>
      <w:bookmarkEnd w:id="16"/>
      <w:bookmarkEnd w:id="17"/>
    </w:p>
    <w:p>
      <w:pPr>
        <w:widowControl/>
        <w:jc w:val="center"/>
        <w:rPr>
          <w:rFonts w:ascii="黑体" w:hAnsi="黑体" w:eastAsia="黑体"/>
          <w:color w:val="auto"/>
          <w:sz w:val="48"/>
          <w:szCs w:val="48"/>
          <w:highlight w:val="none"/>
        </w:rPr>
      </w:pPr>
      <w:r>
        <w:rPr>
          <w:rFonts w:ascii="方正小标宋简体" w:hAnsi="宋体" w:eastAsia="方正小标宋简体"/>
          <w:color w:val="auto"/>
          <w:sz w:val="36"/>
          <w:szCs w:val="36"/>
          <w:highlight w:val="none"/>
        </w:rPr>
        <w:br w:type="page"/>
      </w:r>
      <w:r>
        <w:rPr>
          <w:rFonts w:hint="eastAsia" w:ascii="黑体" w:hAnsi="黑体" w:eastAsia="黑体"/>
          <w:color w:val="auto"/>
          <w:sz w:val="48"/>
          <w:szCs w:val="48"/>
          <w:highlight w:val="none"/>
        </w:rPr>
        <w:t>目录</w:t>
      </w:r>
    </w:p>
    <w:p>
      <w:pPr>
        <w:pStyle w:val="14"/>
        <w:tabs>
          <w:tab w:val="right" w:leader="dot" w:pos="8306"/>
          <w:tab w:val="clear" w:pos="8296"/>
        </w:tabs>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TOC \o "1-2" \h \u </w:instrText>
      </w:r>
      <w:r>
        <w:rPr>
          <w:rFonts w:hint="eastAsia" w:ascii="仿宋" w:hAnsi="仿宋" w:eastAsia="仿宋" w:cs="仿宋"/>
          <w:color w:val="auto"/>
          <w:sz w:val="24"/>
          <w:szCs w:val="24"/>
          <w:highlight w:val="none"/>
        </w:rPr>
        <w:fldChar w:fldCharType="separate"/>
      </w:r>
    </w:p>
    <w:p>
      <w:pPr>
        <w:pStyle w:val="14"/>
        <w:tabs>
          <w:tab w:val="right" w:leader="dot" w:pos="8306"/>
          <w:tab w:val="clear" w:pos="8296"/>
        </w:tabs>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\l _Toc17785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第一部分 单位概况</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_Toc17785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3</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pPr>
        <w:pStyle w:val="15"/>
        <w:tabs>
          <w:tab w:val="right" w:leader="dot" w:pos="8306"/>
          <w:tab w:val="clear" w:pos="8296"/>
        </w:tabs>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_Toc7404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一、 职能简介</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_Toc7404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3</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pPr>
        <w:pStyle w:val="15"/>
        <w:tabs>
          <w:tab w:val="right" w:leader="dot" w:pos="8306"/>
          <w:tab w:val="clear" w:pos="8296"/>
        </w:tabs>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_Toc4463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二、2021年重点工作完成情况</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_Toc4463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4</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pPr>
        <w:pStyle w:val="14"/>
        <w:tabs>
          <w:tab w:val="right" w:leader="dot" w:pos="8306"/>
          <w:tab w:val="clear" w:pos="8296"/>
        </w:tabs>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\l _Toc10437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第二部分 2021年度单位决算情况说明</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_Toc10437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8</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pPr>
        <w:pStyle w:val="15"/>
        <w:tabs>
          <w:tab w:val="right" w:leader="dot" w:pos="8306"/>
          <w:tab w:val="clear" w:pos="8296"/>
        </w:tabs>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_Toc5075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一、 收入支出决算总体情况说明</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_Toc5075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8</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pPr>
        <w:pStyle w:val="15"/>
        <w:tabs>
          <w:tab w:val="right" w:leader="dot" w:pos="8306"/>
          <w:tab w:val="clear" w:pos="8296"/>
        </w:tabs>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_Toc11923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二、 收入决算情况说明</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_Toc11923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8</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pPr>
        <w:pStyle w:val="15"/>
        <w:tabs>
          <w:tab w:val="right" w:leader="dot" w:pos="8306"/>
          <w:tab w:val="clear" w:pos="8296"/>
        </w:tabs>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_Toc2775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lang w:eastAsia="zh-CN"/>
        </w:rPr>
        <w:t>三、</w:t>
      </w:r>
      <w:r>
        <w:rPr>
          <w:rFonts w:hint="eastAsia" w:ascii="仿宋" w:hAnsi="仿宋" w:eastAsia="仿宋" w:cs="仿宋"/>
          <w:color w:val="auto"/>
          <w:sz w:val="24"/>
          <w:szCs w:val="24"/>
          <w:highlight w:val="none"/>
        </w:rPr>
        <w:t>支出决算情况说明</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_Toc2775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9</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pPr>
        <w:pStyle w:val="15"/>
        <w:tabs>
          <w:tab w:val="right" w:leader="dot" w:pos="8306"/>
          <w:tab w:val="clear" w:pos="8296"/>
        </w:tabs>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_Toc12678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四、财政拨款收入支出决算总体情况说明</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_Toc12678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9</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pPr>
        <w:pStyle w:val="15"/>
        <w:tabs>
          <w:tab w:val="right" w:leader="dot" w:pos="8306"/>
          <w:tab w:val="clear" w:pos="8296"/>
        </w:tabs>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_Toc16782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五、一般公共预算财政拨款支出决算情况说明</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_Toc16782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10</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pPr>
        <w:pStyle w:val="15"/>
        <w:tabs>
          <w:tab w:val="right" w:leader="dot" w:pos="8306"/>
          <w:tab w:val="clear" w:pos="8296"/>
        </w:tabs>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_Toc23757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六、一般公共预算财政拨款基本支出决算情况说明</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_Toc23757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11</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pPr>
        <w:pStyle w:val="15"/>
        <w:tabs>
          <w:tab w:val="right" w:leader="dot" w:pos="8306"/>
          <w:tab w:val="clear" w:pos="8296"/>
        </w:tabs>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_Toc16373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七、“三公”经费财政拨款支出决算情况说明</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_Toc16373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12</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pPr>
        <w:pStyle w:val="15"/>
        <w:tabs>
          <w:tab w:val="right" w:leader="dot" w:pos="8306"/>
          <w:tab w:val="clear" w:pos="8296"/>
        </w:tabs>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_Toc29438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八、政府性基金预算支出决算情况说明</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_Toc29438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13</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pPr>
        <w:pStyle w:val="15"/>
        <w:tabs>
          <w:tab w:val="right" w:leader="dot" w:pos="8306"/>
          <w:tab w:val="clear" w:pos="8296"/>
        </w:tabs>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_Toc4818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九、 国有资本经营预算支出决算情况说明</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_Toc4818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14</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pPr>
        <w:pStyle w:val="15"/>
        <w:tabs>
          <w:tab w:val="right" w:leader="dot" w:pos="8306"/>
          <w:tab w:val="clear" w:pos="8296"/>
        </w:tabs>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_Toc23871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十、 预算绩效管理情况</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_Toc23871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14</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pPr>
        <w:pStyle w:val="15"/>
        <w:tabs>
          <w:tab w:val="right" w:leader="dot" w:pos="8306"/>
          <w:tab w:val="clear" w:pos="8296"/>
        </w:tabs>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_Toc16944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十一、 其他重要事项的情况说明</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_Toc16944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14</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pPr>
        <w:pStyle w:val="14"/>
        <w:tabs>
          <w:tab w:val="right" w:leader="dot" w:pos="8306"/>
          <w:tab w:val="clear" w:pos="8296"/>
        </w:tabs>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\l _Toc16610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第三部分 名词解释</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_Toc16610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16</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pPr>
        <w:pStyle w:val="14"/>
        <w:tabs>
          <w:tab w:val="right" w:leader="dot" w:pos="8306"/>
          <w:tab w:val="clear" w:pos="8296"/>
        </w:tabs>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\l _Toc3498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第四部分 附件</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_Toc3498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18</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pPr>
        <w:pStyle w:val="14"/>
        <w:tabs>
          <w:tab w:val="right" w:leader="dot" w:pos="8306"/>
          <w:tab w:val="clear" w:pos="8296"/>
        </w:tabs>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\l _Toc6245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第五部分 附表</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_Toc6245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19</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pPr>
        <w:pStyle w:val="15"/>
        <w:tabs>
          <w:tab w:val="right" w:leader="dot" w:pos="8306"/>
          <w:tab w:val="clear" w:pos="8296"/>
        </w:tabs>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_Toc492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一、收入支出决算总表</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_Toc492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19</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pPr>
        <w:pStyle w:val="15"/>
        <w:tabs>
          <w:tab w:val="right" w:leader="dot" w:pos="8306"/>
          <w:tab w:val="clear" w:pos="8296"/>
        </w:tabs>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_Toc20829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二、收入决算表</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_Toc20829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19</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pPr>
        <w:pStyle w:val="15"/>
        <w:tabs>
          <w:tab w:val="right" w:leader="dot" w:pos="8306"/>
          <w:tab w:val="clear" w:pos="8296"/>
        </w:tabs>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_Toc872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三、支出决算表</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_Toc872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19</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pPr>
        <w:pStyle w:val="15"/>
        <w:tabs>
          <w:tab w:val="right" w:leader="dot" w:pos="8306"/>
          <w:tab w:val="clear" w:pos="8296"/>
        </w:tabs>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_Toc32481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四、财政拨款收入支出决算总表</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_Toc32481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19</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pPr>
        <w:pStyle w:val="15"/>
        <w:tabs>
          <w:tab w:val="right" w:leader="dot" w:pos="8306"/>
          <w:tab w:val="clear" w:pos="8296"/>
        </w:tabs>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_Toc16282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五、财政拨款支出决算明细表</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_Toc16282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19</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pPr>
        <w:pStyle w:val="15"/>
        <w:tabs>
          <w:tab w:val="right" w:leader="dot" w:pos="8306"/>
          <w:tab w:val="clear" w:pos="8296"/>
        </w:tabs>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_Toc27698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六、一般公共预算财政拨款支出决算表</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_Toc27698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19</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pPr>
        <w:pStyle w:val="15"/>
        <w:tabs>
          <w:tab w:val="right" w:leader="dot" w:pos="8306"/>
          <w:tab w:val="clear" w:pos="8296"/>
        </w:tabs>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_Toc16786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七、一般公共预算财政拨款支出决算明细表</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_Toc16786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19</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pPr>
        <w:pStyle w:val="15"/>
        <w:tabs>
          <w:tab w:val="right" w:leader="dot" w:pos="8306"/>
          <w:tab w:val="clear" w:pos="8296"/>
        </w:tabs>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_Toc31149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八、一般公共预算财政拨款基本支出决算表</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_Toc31149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19</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pPr>
        <w:pStyle w:val="15"/>
        <w:tabs>
          <w:tab w:val="right" w:leader="dot" w:pos="8306"/>
          <w:tab w:val="clear" w:pos="8296"/>
        </w:tabs>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_Toc2969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九、一般公共预算财政拨款项目支出决算表</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_Toc2969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19</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pPr>
        <w:pStyle w:val="15"/>
        <w:tabs>
          <w:tab w:val="right" w:leader="dot" w:pos="8306"/>
          <w:tab w:val="clear" w:pos="8296"/>
        </w:tabs>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_Toc15951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十、一般公共预算财政拨款“三公”经费支出决算表</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_Toc15951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19</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pPr>
        <w:pStyle w:val="15"/>
        <w:tabs>
          <w:tab w:val="right" w:leader="dot" w:pos="8306"/>
          <w:tab w:val="clear" w:pos="8296"/>
        </w:tabs>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_Toc26411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十一、政府性基金预算财政拨款收入支出决算表</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_Toc26411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19</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pPr>
        <w:pStyle w:val="15"/>
        <w:tabs>
          <w:tab w:val="right" w:leader="dot" w:pos="8306"/>
          <w:tab w:val="clear" w:pos="8296"/>
        </w:tabs>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_Toc31313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十二、政府性基金预算财政拨款“三公”经费支出决算表</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_Toc31313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19</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pPr>
        <w:pStyle w:val="15"/>
        <w:tabs>
          <w:tab w:val="right" w:leader="dot" w:pos="8306"/>
          <w:tab w:val="clear" w:pos="8296"/>
        </w:tabs>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_Toc26015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十三、国有资本经营预算财政拨款收入支出决算表</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_Toc26015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19</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pPr>
        <w:pStyle w:val="15"/>
        <w:tabs>
          <w:tab w:val="right" w:leader="dot" w:pos="8306"/>
          <w:tab w:val="clear" w:pos="8296"/>
        </w:tabs>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_Toc2980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十四、国有资本经营预算财政拨款支出决算表</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_Toc2980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19</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pPr>
        <w:pStyle w:val="14"/>
        <w:jc w:val="both"/>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end"/>
      </w:r>
    </w:p>
    <w:p>
      <w:pPr>
        <w:rPr>
          <w:color w:val="auto"/>
          <w:highlight w:val="none"/>
        </w:rPr>
      </w:pPr>
    </w:p>
    <w:p>
      <w:pPr>
        <w:pStyle w:val="4"/>
        <w:bidi w:val="0"/>
        <w:rPr>
          <w:color w:val="auto"/>
          <w:highlight w:val="none"/>
        </w:rPr>
      </w:pPr>
      <w:bookmarkStart w:id="18" w:name="_Toc15377196"/>
      <w:bookmarkStart w:id="19" w:name="_Toc17785"/>
      <w:bookmarkStart w:id="20" w:name="_Toc15396599"/>
      <w:r>
        <w:rPr>
          <w:rFonts w:hint="eastAsia"/>
          <w:color w:val="auto"/>
          <w:highlight w:val="none"/>
        </w:rPr>
        <w:t>第一部分 单位概况</w:t>
      </w:r>
      <w:bookmarkEnd w:id="18"/>
      <w:bookmarkEnd w:id="19"/>
      <w:bookmarkEnd w:id="20"/>
    </w:p>
    <w:p>
      <w:pPr>
        <w:widowControl/>
        <w:jc w:val="left"/>
        <w:rPr>
          <w:rFonts w:ascii="黑体" w:eastAsia="黑体"/>
          <w:color w:val="auto"/>
          <w:sz w:val="32"/>
          <w:szCs w:val="32"/>
          <w:highlight w:val="none"/>
        </w:rPr>
      </w:pPr>
    </w:p>
    <w:p>
      <w:pPr>
        <w:pStyle w:val="5"/>
        <w:numPr>
          <w:ilvl w:val="0"/>
          <w:numId w:val="1"/>
        </w:numPr>
        <w:bidi w:val="0"/>
        <w:rPr>
          <w:rFonts w:hint="eastAsia" w:ascii="仿宋" w:hAnsi="仿宋" w:eastAsia="仿宋" w:cs="仿宋"/>
          <w:color w:val="auto"/>
          <w:highlight w:val="none"/>
        </w:rPr>
      </w:pPr>
      <w:bookmarkStart w:id="21" w:name="_Toc7404"/>
      <w:bookmarkStart w:id="22" w:name="_Toc15377197"/>
      <w:bookmarkStart w:id="23" w:name="_Toc15396600"/>
      <w:r>
        <w:rPr>
          <w:rFonts w:hint="eastAsia" w:ascii="仿宋" w:hAnsi="仿宋" w:eastAsia="仿宋" w:cs="仿宋"/>
          <w:color w:val="auto"/>
          <w:highlight w:val="none"/>
        </w:rPr>
        <w:t>职能简介</w:t>
      </w:r>
      <w:bookmarkEnd w:id="21"/>
    </w:p>
    <w:p>
      <w:pPr>
        <w:pStyle w:val="16"/>
        <w:adjustRightInd w:val="0"/>
        <w:spacing w:beforeLines="30" w:line="500" w:lineRule="exact"/>
        <w:ind w:firstLine="640" w:firstLineChars="200"/>
        <w:outlineLvl w:val="2"/>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1.贯彻党的教育方针，坚持社会主义办学方向，实行教育与生产劳动相结合，对学生进行德育、智育、体育、美育和劳动等方面的教育。</w:t>
      </w:r>
    </w:p>
    <w:p>
      <w:pPr>
        <w:pStyle w:val="16"/>
        <w:adjustRightInd w:val="0"/>
        <w:spacing w:beforeLines="30" w:line="500" w:lineRule="exact"/>
        <w:ind w:firstLine="640" w:firstLineChars="200"/>
        <w:outlineLvl w:val="2"/>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2.负责配合政府依法动员、组织适龄儿童、少年入学，严格控制学生辍学，依法保证适龄儿童、少年接受九年义务教育。</w:t>
      </w:r>
    </w:p>
    <w:p>
      <w:pPr>
        <w:pStyle w:val="16"/>
        <w:adjustRightInd w:val="0"/>
        <w:spacing w:beforeLines="30" w:line="500" w:lineRule="exact"/>
        <w:ind w:firstLine="640" w:firstLineChars="200"/>
        <w:outlineLvl w:val="2"/>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3.负责依法制定学校章程，并按照章程自主管理。</w:t>
      </w:r>
    </w:p>
    <w:p>
      <w:pPr>
        <w:pStyle w:val="16"/>
        <w:adjustRightInd w:val="0"/>
        <w:spacing w:beforeLines="30" w:line="500" w:lineRule="exact"/>
        <w:ind w:firstLine="640" w:firstLineChars="200"/>
        <w:outlineLvl w:val="2"/>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4.负责制定学校教育发展规划，并抓好组织和实施工作。</w:t>
      </w:r>
    </w:p>
    <w:p>
      <w:pPr>
        <w:pStyle w:val="16"/>
        <w:adjustRightInd w:val="0"/>
        <w:spacing w:beforeLines="30" w:line="500" w:lineRule="exact"/>
        <w:ind w:firstLine="640" w:firstLineChars="200"/>
        <w:outlineLvl w:val="2"/>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5.负责按照教育主管部门发布的指导性教学计划、 教学大纲，组织实施教育教学活动。</w:t>
      </w:r>
    </w:p>
    <w:p>
      <w:pPr>
        <w:pStyle w:val="16"/>
        <w:adjustRightInd w:val="0"/>
        <w:spacing w:beforeLines="30" w:line="500" w:lineRule="exact"/>
        <w:ind w:firstLine="640" w:firstLineChars="200"/>
        <w:outlineLvl w:val="2"/>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6.</w:t>
      </w:r>
      <w:r>
        <w:rPr>
          <w:rFonts w:hint="eastAsia" w:ascii="仿宋" w:hAnsi="仿宋" w:eastAsia="仿宋" w:cs="仿宋"/>
          <w:color w:val="auto"/>
          <w:kern w:val="0"/>
          <w:szCs w:val="20"/>
          <w:highlight w:val="none"/>
        </w:rPr>
        <w:t xml:space="preserve"> </w:t>
      </w:r>
      <w:r>
        <w:rPr>
          <w:rFonts w:hint="eastAsia" w:ascii="仿宋" w:hAnsi="仿宋" w:eastAsia="仿宋" w:cs="仿宋"/>
          <w:color w:val="auto"/>
          <w:sz w:val="32"/>
          <w:szCs w:val="32"/>
          <w:highlight w:val="none"/>
        </w:rPr>
        <w:t>负责学籍管理并对学生实施奖励或处分。</w:t>
      </w:r>
    </w:p>
    <w:p>
      <w:pPr>
        <w:pStyle w:val="16"/>
        <w:adjustRightInd w:val="0"/>
        <w:spacing w:beforeLines="30" w:line="500" w:lineRule="exact"/>
        <w:ind w:firstLine="640" w:firstLineChars="200"/>
        <w:outlineLvl w:val="2"/>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7.</w:t>
      </w:r>
      <w:r>
        <w:rPr>
          <w:rFonts w:hint="eastAsia" w:ascii="仿宋" w:hAnsi="仿宋" w:eastAsia="仿宋" w:cs="仿宋"/>
          <w:color w:val="auto"/>
          <w:kern w:val="0"/>
          <w:szCs w:val="20"/>
          <w:highlight w:val="none"/>
        </w:rPr>
        <w:t xml:space="preserve"> </w:t>
      </w:r>
      <w:r>
        <w:rPr>
          <w:rFonts w:hint="eastAsia" w:ascii="仿宋" w:hAnsi="仿宋" w:eastAsia="仿宋" w:cs="仿宋"/>
          <w:color w:val="auto"/>
          <w:sz w:val="32"/>
          <w:szCs w:val="32"/>
          <w:highlight w:val="none"/>
        </w:rPr>
        <w:t>负责依法制定本校教师及其他职工聘任办法并对教师及其他员工实施包括奖励、处分</w:t>
      </w:r>
      <w:r>
        <w:rPr>
          <w:rFonts w:hint="eastAsia" w:ascii="仿宋" w:hAnsi="仿宋" w:eastAsia="仿宋" w:cs="仿宋"/>
          <w:color w:val="auto"/>
          <w:sz w:val="32"/>
          <w:szCs w:val="32"/>
          <w:highlight w:val="none"/>
        </w:rPr>
        <w:t>在内的具体管理活动。</w:t>
      </w:r>
    </w:p>
    <w:p>
      <w:pPr>
        <w:pStyle w:val="16"/>
        <w:adjustRightInd w:val="0"/>
        <w:spacing w:beforeLines="30" w:line="500" w:lineRule="exact"/>
        <w:ind w:firstLine="640" w:firstLineChars="200"/>
        <w:outlineLvl w:val="2"/>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8. 负责科学管理、合理使用学校的设施和经费，并积极筹措资金，改善办学条件。</w:t>
      </w:r>
    </w:p>
    <w:p>
      <w:pPr>
        <w:pStyle w:val="16"/>
        <w:adjustRightInd w:val="0"/>
        <w:spacing w:beforeLines="30" w:line="500" w:lineRule="exact"/>
        <w:ind w:firstLine="640" w:firstLineChars="200"/>
        <w:outlineLvl w:val="2"/>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9. 负责维护学校、师生的合法权益，有权拒绝任何组织和个人对教育教学活动</w:t>
      </w:r>
      <w:r>
        <w:rPr>
          <w:rFonts w:hint="eastAsia" w:ascii="仿宋" w:hAnsi="仿宋" w:eastAsia="仿宋" w:cs="仿宋"/>
          <w:color w:val="auto"/>
          <w:sz w:val="32"/>
          <w:szCs w:val="32"/>
          <w:highlight w:val="none"/>
          <w:lang w:eastAsia="zh-CN"/>
        </w:rPr>
        <w:t>的</w:t>
      </w:r>
      <w:r>
        <w:rPr>
          <w:rFonts w:hint="eastAsia" w:ascii="仿宋" w:hAnsi="仿宋" w:eastAsia="仿宋" w:cs="仿宋"/>
          <w:color w:val="auto"/>
          <w:sz w:val="32"/>
          <w:szCs w:val="32"/>
          <w:highlight w:val="none"/>
        </w:rPr>
        <w:t>非法干扰。</w:t>
      </w:r>
    </w:p>
    <w:p>
      <w:pPr>
        <w:pStyle w:val="16"/>
        <w:adjustRightInd w:val="0"/>
        <w:spacing w:beforeLines="30" w:line="500" w:lineRule="exact"/>
        <w:ind w:firstLine="640" w:firstLineChars="200"/>
        <w:outlineLvl w:val="2"/>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10.</w:t>
      </w:r>
      <w:r>
        <w:rPr>
          <w:rFonts w:hint="eastAsia" w:ascii="仿宋" w:hAnsi="仿宋" w:eastAsia="仿宋" w:cs="仿宋"/>
          <w:color w:val="auto"/>
          <w:kern w:val="0"/>
          <w:szCs w:val="20"/>
          <w:highlight w:val="none"/>
        </w:rPr>
        <w:t xml:space="preserve"> </w:t>
      </w:r>
      <w:r>
        <w:rPr>
          <w:rFonts w:hint="eastAsia" w:ascii="仿宋" w:hAnsi="仿宋" w:eastAsia="仿宋" w:cs="仿宋"/>
          <w:color w:val="auto"/>
          <w:sz w:val="32"/>
          <w:szCs w:val="32"/>
          <w:highlight w:val="none"/>
        </w:rPr>
        <w:t>依法接受各级教育行政部门的检查指导和人民群众的监督。</w:t>
      </w:r>
    </w:p>
    <w:p>
      <w:pPr>
        <w:ind w:firstLine="640" w:firstLineChars="2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11.承办上级交办的其他事项。</w:t>
      </w:r>
    </w:p>
    <w:p>
      <w:pPr>
        <w:pStyle w:val="5"/>
        <w:bidi w:val="0"/>
        <w:rPr>
          <w:rFonts w:hint="eastAsia" w:ascii="仿宋" w:hAnsi="仿宋" w:eastAsia="仿宋" w:cs="仿宋"/>
          <w:color w:val="auto"/>
          <w:highlight w:val="none"/>
        </w:rPr>
      </w:pPr>
      <w:bookmarkStart w:id="24" w:name="_Toc4463"/>
      <w:r>
        <w:rPr>
          <w:rFonts w:hint="eastAsia" w:ascii="仿宋" w:hAnsi="仿宋" w:eastAsia="仿宋" w:cs="仿宋"/>
          <w:color w:val="auto"/>
          <w:highlight w:val="none"/>
        </w:rPr>
        <w:t>二、2021年重点工作</w:t>
      </w:r>
      <w:bookmarkEnd w:id="22"/>
      <w:bookmarkEnd w:id="23"/>
      <w:r>
        <w:rPr>
          <w:rFonts w:hint="eastAsia" w:ascii="仿宋" w:hAnsi="仿宋" w:eastAsia="仿宋" w:cs="仿宋"/>
          <w:color w:val="auto"/>
          <w:highlight w:val="none"/>
        </w:rPr>
        <w:t>完成情况</w:t>
      </w:r>
      <w:bookmarkEnd w:id="24"/>
    </w:p>
    <w:p>
      <w:pPr>
        <w:spacing w:line="576" w:lineRule="exact"/>
        <w:ind w:firstLine="643" w:firstLineChars="200"/>
        <w:rPr>
          <w:rFonts w:hint="eastAsia" w:ascii="楷体_GB2312" w:hAnsi="楷体_GB2312" w:eastAsia="楷体_GB2312" w:cs="楷体_GB2312"/>
          <w:b/>
          <w:bCs/>
          <w:color w:val="auto"/>
          <w:sz w:val="32"/>
          <w:szCs w:val="32"/>
          <w:highlight w:val="none"/>
        </w:rPr>
      </w:pPr>
      <w:r>
        <w:rPr>
          <w:rFonts w:hint="eastAsia" w:ascii="楷体_GB2312" w:hAnsi="楷体_GB2312" w:eastAsia="楷体_GB2312" w:cs="楷体_GB2312"/>
          <w:b/>
          <w:bCs/>
          <w:color w:val="auto"/>
          <w:sz w:val="32"/>
          <w:szCs w:val="32"/>
          <w:highlight w:val="none"/>
        </w:rPr>
        <w:t>（一）常规管理</w:t>
      </w:r>
    </w:p>
    <w:p>
      <w:pPr>
        <w:numPr>
          <w:ilvl w:val="0"/>
          <w:numId w:val="2"/>
        </w:numPr>
        <w:spacing w:line="576" w:lineRule="exact"/>
        <w:ind w:firstLine="480" w:firstLineChars="15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严格教师请假、销假、签到及到教导处、办公室备案制度，保证每日学校工作正常运转，不空岗。</w:t>
      </w:r>
    </w:p>
    <w:p>
      <w:pPr>
        <w:numPr>
          <w:ilvl w:val="0"/>
          <w:numId w:val="2"/>
        </w:numPr>
        <w:spacing w:line="576" w:lineRule="exact"/>
        <w:ind w:firstLine="480" w:firstLineChars="15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实施人事、财务、采购及项目建设专人分管，专人负责。</w:t>
      </w:r>
    </w:p>
    <w:p>
      <w:pPr>
        <w:numPr>
          <w:ilvl w:val="0"/>
          <w:numId w:val="2"/>
        </w:numPr>
        <w:spacing w:line="576" w:lineRule="exact"/>
        <w:ind w:firstLine="480" w:firstLineChars="15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逗硬落实常规检查，结合突击性抽查，量化考核到人和事。</w:t>
      </w:r>
    </w:p>
    <w:p>
      <w:pPr>
        <w:numPr>
          <w:ilvl w:val="0"/>
          <w:numId w:val="2"/>
        </w:numPr>
        <w:spacing w:line="576" w:lineRule="exact"/>
        <w:ind w:firstLine="480" w:firstLineChars="15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坚持周一的行政例会和教师例会，行政例会上通报上周教师出勤情况，总结上周工作，研究安排本周或近期工作；教师例会上组织老师政治学习、业务学习，进行上级会议精神传达与宣讲，安排落实本周或近期工作，使学校各项工作扎实有序推进。</w:t>
      </w:r>
    </w:p>
    <w:p>
      <w:pPr>
        <w:numPr>
          <w:ilvl w:val="0"/>
          <w:numId w:val="2"/>
        </w:numPr>
        <w:spacing w:line="576" w:lineRule="exact"/>
        <w:ind w:firstLine="480" w:firstLineChars="15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坚持周一的升旗、国旗下讲话制度；坚持开展大课间活动和每天锻炼一小时，开展美术、书法、体育、音乐舞蹈、读书等社团活动；加强班级和学生自主管理；坚持每天的两扫除、一保洁和每周三的清洁大扫除制度；坚持做好疫情防控工作和学校食品安全管理工作及全体师生的常规安全教育管理工作。</w:t>
      </w:r>
    </w:p>
    <w:p>
      <w:pPr>
        <w:numPr>
          <w:ilvl w:val="0"/>
          <w:numId w:val="2"/>
        </w:numPr>
        <w:spacing w:line="576" w:lineRule="exact"/>
        <w:ind w:firstLine="480" w:firstLineChars="15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坚持周一早7点50前老师就位到岗，严格学生体温检测，迎接学生到校，周五集合统一放学，待全部学生离校后行政值周和值周教师才回家。</w:t>
      </w:r>
    </w:p>
    <w:p>
      <w:pPr>
        <w:spacing w:line="576" w:lineRule="exact"/>
        <w:rPr>
          <w:rFonts w:hint="eastAsia" w:ascii="楷体_GB2312" w:hAnsi="楷体_GB2312" w:eastAsia="楷体_GB2312" w:cs="楷体_GB2312"/>
          <w:b/>
          <w:bCs/>
          <w:color w:val="auto"/>
          <w:sz w:val="32"/>
          <w:szCs w:val="32"/>
          <w:highlight w:val="none"/>
        </w:rPr>
      </w:pPr>
      <w:r>
        <w:rPr>
          <w:rFonts w:hint="eastAsia" w:ascii="楷体_GB2312" w:hAnsi="楷体_GB2312" w:eastAsia="楷体_GB2312" w:cs="楷体_GB2312"/>
          <w:color w:val="auto"/>
          <w:sz w:val="32"/>
          <w:szCs w:val="32"/>
          <w:highlight w:val="none"/>
        </w:rPr>
        <w:t xml:space="preserve">   </w:t>
      </w:r>
      <w:r>
        <w:rPr>
          <w:rFonts w:hint="eastAsia" w:ascii="楷体_GB2312" w:hAnsi="楷体_GB2312" w:eastAsia="楷体_GB2312" w:cs="楷体_GB2312"/>
          <w:b/>
          <w:bCs/>
          <w:color w:val="auto"/>
          <w:sz w:val="32"/>
          <w:szCs w:val="32"/>
          <w:highlight w:val="none"/>
        </w:rPr>
        <w:t>（二）教育教学及科研</w:t>
      </w:r>
    </w:p>
    <w:p>
      <w:pPr>
        <w:spacing w:line="576" w:lineRule="exact"/>
        <w:ind w:firstLine="640" w:firstLineChars="200"/>
        <w:rPr>
          <w:rFonts w:hint="eastAsia" w:ascii="仿宋_GB2312" w:hAnsi="仿宋_GB2312" w:eastAsia="仿宋_GB2312" w:cs="仿宋_GB2312"/>
          <w:color w:val="auto"/>
          <w:kern w:val="1"/>
          <w:sz w:val="32"/>
          <w:szCs w:val="32"/>
          <w:highlight w:val="none"/>
        </w:rPr>
      </w:pPr>
      <w:r>
        <w:rPr>
          <w:rFonts w:hint="eastAsia" w:ascii="仿宋_GB2312" w:hAnsi="仿宋_GB2312" w:eastAsia="仿宋_GB2312" w:cs="仿宋_GB2312"/>
          <w:color w:val="auto"/>
          <w:sz w:val="32"/>
          <w:szCs w:val="32"/>
          <w:highlight w:val="none"/>
        </w:rPr>
        <w:t>我校教育教学秩序井然，强化了教学与教研的整合，加强教学六认真常规检查与突击性抽查的力度；注重教师观念的更新和新课程理念的确立，将教研融入平时教育教学之中，立足“计划—学习—活动—研讨—总结”五个环节，并运用到自己的讲课中，同时对每次的教研活动进行实效性地探讨。</w:t>
      </w:r>
      <w:r>
        <w:rPr>
          <w:rFonts w:ascii="仿宋_GB2312" w:hAnsi="仿宋_GB2312" w:eastAsia="仿宋_GB2312" w:cs="仿宋_GB2312"/>
          <w:color w:val="auto"/>
          <w:kern w:val="1"/>
          <w:sz w:val="32"/>
          <w:szCs w:val="32"/>
          <w:highlight w:val="none"/>
        </w:rPr>
        <w:t>推行学校班子成员、教研组长每月推门听课2-3节，给上课教师量分，以此作为教师月考核课堂教学成绩，</w:t>
      </w:r>
      <w:r>
        <w:rPr>
          <w:rFonts w:hint="eastAsia" w:ascii="仿宋_GB2312" w:hAnsi="仿宋_GB2312" w:eastAsia="仿宋_GB2312" w:cs="仿宋_GB2312"/>
          <w:color w:val="auto"/>
          <w:kern w:val="1"/>
          <w:sz w:val="32"/>
          <w:szCs w:val="32"/>
          <w:highlight w:val="none"/>
        </w:rPr>
        <w:t>坚持</w:t>
      </w:r>
      <w:r>
        <w:rPr>
          <w:rFonts w:ascii="仿宋_GB2312" w:hAnsi="仿宋_GB2312" w:eastAsia="仿宋_GB2312" w:cs="仿宋_GB2312"/>
          <w:color w:val="auto"/>
          <w:kern w:val="1"/>
          <w:sz w:val="32"/>
          <w:szCs w:val="32"/>
          <w:highlight w:val="none"/>
        </w:rPr>
        <w:t>执行了学生月考制度</w:t>
      </w:r>
      <w:r>
        <w:rPr>
          <w:rFonts w:hint="eastAsia" w:ascii="仿宋_GB2312" w:hAnsi="仿宋_GB2312" w:eastAsia="仿宋_GB2312" w:cs="仿宋_GB2312"/>
          <w:color w:val="auto"/>
          <w:kern w:val="1"/>
          <w:sz w:val="32"/>
          <w:szCs w:val="32"/>
          <w:highlight w:val="none"/>
        </w:rPr>
        <w:t>。教导处开展组织开展了“作业展评”，“讲故事比赛”等活动；幼儿园举行了“家长开放日”活动。区级课题《小学生童话自主阅读探究》的研究得到深化，通过师生同台讲童话故事比赛等活动充实课题研究形式。</w:t>
      </w:r>
    </w:p>
    <w:p>
      <w:pPr>
        <w:spacing w:line="576" w:lineRule="exact"/>
        <w:ind w:firstLine="640" w:firstLineChars="200"/>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kern w:val="1"/>
          <w:sz w:val="32"/>
          <w:szCs w:val="32"/>
          <w:highlight w:val="none"/>
        </w:rPr>
        <w:t>我校坚持办好家长学校，本学年我们分幼儿园、一二三年级、四五六召开家长会，举办家庭教育方法的讲座，受到了家长的一致好评</w:t>
      </w:r>
      <w:r>
        <w:rPr>
          <w:rFonts w:ascii="仿宋_GB2312" w:hAnsi="仿宋_GB2312" w:eastAsia="仿宋_GB2312" w:cs="仿宋_GB2312"/>
          <w:color w:val="auto"/>
          <w:kern w:val="1"/>
          <w:sz w:val="32"/>
          <w:szCs w:val="32"/>
          <w:highlight w:val="none"/>
        </w:rPr>
        <w:t>。这些教学新举措，都在潜移默化地</w:t>
      </w:r>
      <w:r>
        <w:rPr>
          <w:rFonts w:hint="eastAsia" w:ascii="仿宋_GB2312" w:hAnsi="仿宋_GB2312" w:eastAsia="仿宋_GB2312" w:cs="仿宋_GB2312"/>
          <w:color w:val="auto"/>
          <w:kern w:val="1"/>
          <w:sz w:val="32"/>
          <w:szCs w:val="32"/>
          <w:highlight w:val="none"/>
        </w:rPr>
        <w:t>激发学生的学习兴趣，</w:t>
      </w:r>
      <w:r>
        <w:rPr>
          <w:rFonts w:ascii="仿宋_GB2312" w:hAnsi="仿宋_GB2312" w:eastAsia="仿宋_GB2312" w:cs="仿宋_GB2312"/>
          <w:color w:val="auto"/>
          <w:kern w:val="1"/>
          <w:sz w:val="32"/>
          <w:szCs w:val="32"/>
          <w:highlight w:val="none"/>
        </w:rPr>
        <w:t>促进我校教师教学业务能力的提高</w:t>
      </w:r>
      <w:r>
        <w:rPr>
          <w:rFonts w:hint="eastAsia" w:ascii="仿宋_GB2312" w:hAnsi="仿宋_GB2312" w:eastAsia="仿宋_GB2312" w:cs="仿宋_GB2312"/>
          <w:color w:val="auto"/>
          <w:kern w:val="1"/>
          <w:sz w:val="32"/>
          <w:szCs w:val="32"/>
          <w:highlight w:val="none"/>
        </w:rPr>
        <w:t>，课堂教学质量的提升。</w:t>
      </w:r>
      <w:r>
        <w:rPr>
          <w:rFonts w:hint="eastAsia" w:ascii="仿宋_GB2312" w:hAnsi="仿宋_GB2312" w:eastAsia="仿宋_GB2312" w:cs="仿宋_GB2312"/>
          <w:color w:val="auto"/>
          <w:sz w:val="32"/>
          <w:szCs w:val="32"/>
          <w:highlight w:val="none"/>
        </w:rPr>
        <w:t>外出学习教师返校后开办讲座，利用教师微信群、QQ群等进行学习、交流，本学年示范课、研讨课、磨课共计50余节，集中业务讲座8次，专题讲座4次，每次学习有主题、有主讲、有记录、有笔记和心得。通过这些教科研活动的开展，学校教育教学质量得到进一步提升。</w:t>
      </w:r>
    </w:p>
    <w:p>
      <w:pPr>
        <w:spacing w:line="576" w:lineRule="exact"/>
        <w:rPr>
          <w:rFonts w:hint="eastAsia" w:ascii="楷体_GB2312" w:hAnsi="楷体_GB2312" w:eastAsia="楷体_GB2312" w:cs="楷体_GB2312"/>
          <w:b/>
          <w:color w:val="auto"/>
          <w:sz w:val="32"/>
          <w:szCs w:val="32"/>
          <w:highlight w:val="none"/>
        </w:rPr>
      </w:pPr>
      <w:r>
        <w:rPr>
          <w:rFonts w:hint="eastAsia" w:ascii="仿宋_GB2312" w:hAnsi="仿宋_GB2312" w:eastAsia="仿宋_GB2312" w:cs="仿宋_GB2312"/>
          <w:bCs/>
          <w:color w:val="auto"/>
          <w:sz w:val="32"/>
          <w:szCs w:val="32"/>
          <w:highlight w:val="none"/>
        </w:rPr>
        <w:t xml:space="preserve">  </w:t>
      </w:r>
      <w:r>
        <w:rPr>
          <w:rFonts w:hint="eastAsia" w:ascii="仿宋_GB2312" w:hAnsi="仿宋_GB2312" w:eastAsia="仿宋_GB2312" w:cs="仿宋_GB2312"/>
          <w:b/>
          <w:color w:val="auto"/>
          <w:sz w:val="32"/>
          <w:szCs w:val="32"/>
          <w:highlight w:val="none"/>
        </w:rPr>
        <w:t xml:space="preserve"> </w:t>
      </w:r>
      <w:r>
        <w:rPr>
          <w:rFonts w:hint="eastAsia" w:ascii="楷体_GB2312" w:hAnsi="楷体_GB2312" w:eastAsia="楷体_GB2312" w:cs="楷体_GB2312"/>
          <w:b/>
          <w:color w:val="auto"/>
          <w:sz w:val="32"/>
          <w:szCs w:val="32"/>
          <w:highlight w:val="none"/>
        </w:rPr>
        <w:t>（三）德育工作</w:t>
      </w:r>
    </w:p>
    <w:p>
      <w:pPr>
        <w:spacing w:line="576" w:lineRule="exact"/>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学校确立了“全面规划，整体推进，突出重点，讲求实效”的德育工作思路，拓宽了德育工作渠道，提高了德育工作的针对性、实效性和主动性，切实尊重儿童的身心发展规律，将日常培养与开展活动、激发积极向上的情感教育相结合，切实抓好对小学生民族精神教育、诚信教育、养成教育、法纪教育及心理健康教育的弘扬和培养。</w:t>
      </w:r>
      <w:r>
        <w:rPr>
          <w:rFonts w:ascii="仿宋_GB2312" w:hAnsi="仿宋_GB2312" w:eastAsia="仿宋_GB2312" w:cs="仿宋_GB2312"/>
          <w:color w:val="auto"/>
          <w:kern w:val="1"/>
          <w:sz w:val="32"/>
          <w:szCs w:val="32"/>
          <w:highlight w:val="none"/>
        </w:rPr>
        <w:t>“六一”儿童节，我们举办了一系列丰富多彩的书画作品展、</w:t>
      </w:r>
      <w:r>
        <w:rPr>
          <w:rFonts w:hint="eastAsia" w:ascii="仿宋_GB2312" w:hAnsi="仿宋_GB2312" w:eastAsia="仿宋_GB2312" w:cs="仿宋_GB2312"/>
          <w:color w:val="auto"/>
          <w:kern w:val="1"/>
          <w:sz w:val="32"/>
          <w:szCs w:val="32"/>
          <w:highlight w:val="none"/>
        </w:rPr>
        <w:t>开展了文艺节目表演、游园活动</w:t>
      </w:r>
      <w:r>
        <w:rPr>
          <w:rFonts w:ascii="仿宋_GB2312" w:hAnsi="仿宋_GB2312" w:eastAsia="仿宋_GB2312" w:cs="仿宋_GB2312"/>
          <w:color w:val="auto"/>
          <w:kern w:val="1"/>
          <w:sz w:val="32"/>
          <w:szCs w:val="32"/>
          <w:highlight w:val="none"/>
        </w:rPr>
        <w:t>，</w:t>
      </w:r>
      <w:r>
        <w:rPr>
          <w:rFonts w:hint="eastAsia" w:ascii="仿宋_GB2312" w:hAnsi="仿宋_GB2312" w:eastAsia="仿宋_GB2312" w:cs="仿宋_GB2312"/>
          <w:color w:val="auto"/>
          <w:kern w:val="1"/>
          <w:sz w:val="32"/>
          <w:szCs w:val="32"/>
          <w:highlight w:val="none"/>
        </w:rPr>
        <w:t>开展了“亲子活动”“12.9”越野比赛、“童眼看家乡”等社会实践活动，开展了除草、栽苗、浇树、收油菜、打菜籽等劳动实践活动，</w:t>
      </w:r>
      <w:r>
        <w:rPr>
          <w:rFonts w:ascii="仿宋_GB2312" w:hAnsi="仿宋_GB2312" w:eastAsia="仿宋_GB2312" w:cs="仿宋_GB2312"/>
          <w:color w:val="auto"/>
          <w:kern w:val="1"/>
          <w:sz w:val="32"/>
          <w:szCs w:val="32"/>
          <w:highlight w:val="none"/>
        </w:rPr>
        <w:t>赢得了领导、家长、社会的好评。</w:t>
      </w:r>
      <w:r>
        <w:rPr>
          <w:rFonts w:hint="eastAsia" w:ascii="仿宋_GB2312" w:hAnsi="仿宋_GB2312" w:eastAsia="仿宋_GB2312" w:cs="仿宋_GB2312"/>
          <w:color w:val="auto"/>
          <w:kern w:val="1"/>
          <w:sz w:val="32"/>
          <w:szCs w:val="32"/>
          <w:highlight w:val="none"/>
        </w:rPr>
        <w:t>学校德育处</w:t>
      </w:r>
      <w:r>
        <w:rPr>
          <w:rFonts w:hint="eastAsia" w:ascii="仿宋_GB2312" w:hAnsi="仿宋_GB2312" w:eastAsia="仿宋_GB2312" w:cs="仿宋_GB2312"/>
          <w:color w:val="auto"/>
          <w:sz w:val="32"/>
          <w:szCs w:val="32"/>
          <w:highlight w:val="none"/>
        </w:rPr>
        <w:t>举办法治、女生健康教育、环境保护日、禁毒、防溺水等专题讲座；每月开展主题教育活动，每周开展主题演讲活动，组织学生进行春游和研学旅行活动；加强对各班黑板报,</w:t>
      </w: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"http://www.shszc.com/jingdianyulu/7315.html" \t "_blank"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rPr>
        <w:t>读书</w:t>
      </w:r>
      <w:r>
        <w:rPr>
          <w:rFonts w:hint="eastAsia" w:ascii="仿宋_GB2312" w:hAnsi="仿宋_GB2312" w:eastAsia="仿宋_GB2312" w:cs="仿宋_GB2312"/>
          <w:color w:val="auto"/>
          <w:sz w:val="32"/>
          <w:szCs w:val="32"/>
          <w:highlight w:val="none"/>
        </w:rPr>
        <w:fldChar w:fldCharType="end"/>
      </w:r>
      <w:r>
        <w:rPr>
          <w:rFonts w:hint="eastAsia" w:ascii="仿宋_GB2312" w:hAnsi="仿宋_GB2312" w:eastAsia="仿宋_GB2312" w:cs="仿宋_GB2312"/>
          <w:color w:val="auto"/>
          <w:sz w:val="32"/>
          <w:szCs w:val="32"/>
          <w:highlight w:val="none"/>
        </w:rPr>
        <w:t>角,卫生角，文化墙，制度栏，教室布置，寝室整理检查量分，纳入年终考核。</w:t>
      </w:r>
    </w:p>
    <w:p>
      <w:pPr>
        <w:spacing w:line="576" w:lineRule="exact"/>
        <w:ind w:firstLine="64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 xml:space="preserve">关爱留守儿童、贫困建卡户子女学习、生活成为德育教育的一个重要课题。德育处、少先队建立健全留守儿童、贫困建卡户个人信息卡和个人档案，一对一，一对多的帮扶他们。建立校级QQ群，紧密家校联系，开展落实好 “千名教师访万家”活动。在教育扶贫活动中，老师们走村串户，为建卡户家庭子女送温暖，送教育，送学习用具，得到了家长们的一致好评。走访区域内农户，向他们宣讲党的政策，以此加强家校联系，做好控辍保学工作。     </w:t>
      </w:r>
    </w:p>
    <w:p>
      <w:pPr>
        <w:spacing w:line="576" w:lineRule="exact"/>
        <w:ind w:firstLine="640"/>
        <w:rPr>
          <w:rFonts w:hint="eastAsia" w:ascii="楷体_GB2312" w:hAnsi="楷体_GB2312" w:eastAsia="楷体_GB2312" w:cs="楷体_GB2312"/>
          <w:b/>
          <w:bCs/>
          <w:color w:val="auto"/>
          <w:sz w:val="32"/>
          <w:szCs w:val="32"/>
          <w:highlight w:val="none"/>
        </w:rPr>
      </w:pPr>
      <w:r>
        <w:rPr>
          <w:rFonts w:hint="eastAsia" w:ascii="楷体_GB2312" w:hAnsi="楷体_GB2312" w:eastAsia="楷体_GB2312" w:cs="楷体_GB2312"/>
          <w:b/>
          <w:bCs/>
          <w:color w:val="auto"/>
          <w:sz w:val="32"/>
          <w:szCs w:val="32"/>
          <w:highlight w:val="none"/>
        </w:rPr>
        <w:t>（四）安全卫生工作</w:t>
      </w:r>
    </w:p>
    <w:p>
      <w:pPr>
        <w:spacing w:line="576" w:lineRule="exact"/>
        <w:ind w:firstLine="640" w:firstLineChars="200"/>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安全重于泰山。我校一直将安全工作放在学校工作的重要地位，全体教师齐抓共管，时时讲安全；处处讲安全；天天讲安全；目标是实现校方责任事故零发生。为此，学校成立了以校长为组长、分管领导为副组长，安全员、中层干部、班主任等为成员的安全工作领导小组，</w:t>
      </w:r>
      <w:r>
        <w:rPr>
          <w:rFonts w:ascii="仿宋_GB2312" w:hAnsi="仿宋_GB2312" w:eastAsia="仿宋_GB2312" w:cs="仿宋_GB2312"/>
          <w:color w:val="auto"/>
          <w:kern w:val="1"/>
          <w:sz w:val="32"/>
          <w:szCs w:val="32"/>
          <w:highlight w:val="none"/>
        </w:rPr>
        <w:t>增</w:t>
      </w:r>
      <w:r>
        <w:rPr>
          <w:rFonts w:hint="eastAsia" w:ascii="仿宋_GB2312" w:hAnsi="仿宋_GB2312" w:eastAsia="仿宋_GB2312" w:cs="仿宋_GB2312"/>
          <w:color w:val="auto"/>
          <w:kern w:val="1"/>
          <w:sz w:val="32"/>
          <w:szCs w:val="32"/>
          <w:highlight w:val="none"/>
        </w:rPr>
        <w:t>强</w:t>
      </w:r>
      <w:r>
        <w:rPr>
          <w:rFonts w:ascii="仿宋_GB2312" w:hAnsi="仿宋_GB2312" w:eastAsia="仿宋_GB2312" w:cs="仿宋_GB2312"/>
          <w:color w:val="auto"/>
          <w:kern w:val="1"/>
          <w:sz w:val="32"/>
          <w:szCs w:val="32"/>
          <w:highlight w:val="none"/>
        </w:rPr>
        <w:t>学校安全保卫力量。</w:t>
      </w:r>
      <w:r>
        <w:rPr>
          <w:rFonts w:hint="eastAsia" w:ascii="仿宋_GB2312" w:hAnsi="仿宋_GB2312" w:eastAsia="仿宋_GB2312" w:cs="仿宋_GB2312"/>
          <w:color w:val="auto"/>
          <w:sz w:val="32"/>
          <w:szCs w:val="32"/>
          <w:highlight w:val="none"/>
        </w:rPr>
        <w:t>强化层层管理，实行一岗双责及专职人员安全工作责任制，与各部门、与各班主任以及学生家长层层签订了安全目标管理责任书，制定了安全工作计划及各项预案。推行校园安全网格化管理，并按季度召开安全工作领导小组会议，并及时上报各种表册与信息，定时就学校食堂管理及食品安全卫生知识进行培训，预防食品安全事故的发生；积极推行法制教育进课堂，按要求上好《生命生态与安全》，做好安全教育平台学习。镇</w:t>
      </w:r>
      <w:r>
        <w:rPr>
          <w:rFonts w:ascii="仿宋_GB2312" w:hAnsi="仿宋_GB2312" w:eastAsia="仿宋_GB2312" w:cs="仿宋_GB2312"/>
          <w:color w:val="auto"/>
          <w:kern w:val="1"/>
          <w:sz w:val="32"/>
          <w:szCs w:val="32"/>
          <w:highlight w:val="none"/>
        </w:rPr>
        <w:t>分管教育领导</w:t>
      </w:r>
      <w:r>
        <w:rPr>
          <w:rFonts w:hint="eastAsia" w:ascii="仿宋_GB2312" w:hAnsi="仿宋_GB2312" w:eastAsia="仿宋_GB2312" w:cs="仿宋_GB2312"/>
          <w:color w:val="auto"/>
          <w:kern w:val="1"/>
          <w:sz w:val="32"/>
          <w:szCs w:val="32"/>
          <w:highlight w:val="none"/>
        </w:rPr>
        <w:t>到</w:t>
      </w:r>
      <w:r>
        <w:rPr>
          <w:rFonts w:ascii="仿宋_GB2312" w:hAnsi="仿宋_GB2312" w:eastAsia="仿宋_GB2312" w:cs="仿宋_GB2312"/>
          <w:color w:val="auto"/>
          <w:kern w:val="1"/>
          <w:sz w:val="32"/>
          <w:szCs w:val="32"/>
          <w:highlight w:val="none"/>
        </w:rPr>
        <w:t>学校</w:t>
      </w:r>
      <w:r>
        <w:rPr>
          <w:rFonts w:hint="eastAsia" w:ascii="仿宋_GB2312" w:hAnsi="仿宋_GB2312" w:eastAsia="仿宋_GB2312" w:cs="仿宋_GB2312"/>
          <w:color w:val="auto"/>
          <w:kern w:val="1"/>
          <w:sz w:val="32"/>
          <w:szCs w:val="32"/>
          <w:highlight w:val="none"/>
        </w:rPr>
        <w:t>上思政课，对学校</w:t>
      </w:r>
      <w:r>
        <w:rPr>
          <w:rFonts w:ascii="仿宋_GB2312" w:hAnsi="仿宋_GB2312" w:eastAsia="仿宋_GB2312" w:cs="仿宋_GB2312"/>
          <w:color w:val="auto"/>
          <w:kern w:val="1"/>
          <w:sz w:val="32"/>
          <w:szCs w:val="32"/>
          <w:highlight w:val="none"/>
        </w:rPr>
        <w:t>、师生、社会、家庭相关的权利与义务等法律知识在家长会上作了专题讲解；</w:t>
      </w:r>
      <w:r>
        <w:rPr>
          <w:rFonts w:hint="eastAsia" w:ascii="仿宋_GB2312" w:hAnsi="仿宋_GB2312" w:eastAsia="仿宋_GB2312" w:cs="仿宋_GB2312"/>
          <w:color w:val="auto"/>
          <w:kern w:val="1"/>
          <w:sz w:val="32"/>
          <w:szCs w:val="32"/>
          <w:highlight w:val="none"/>
        </w:rPr>
        <w:t>学校</w:t>
      </w:r>
      <w:r>
        <w:rPr>
          <w:rFonts w:hint="eastAsia" w:ascii="仿宋_GB2312" w:hAnsi="仿宋_GB2312" w:eastAsia="仿宋_GB2312" w:cs="仿宋_GB2312"/>
          <w:color w:val="auto"/>
          <w:sz w:val="32"/>
          <w:szCs w:val="32"/>
          <w:highlight w:val="none"/>
        </w:rPr>
        <w:t>每期对师生进行防暴、消防、地震应急疏散等逃生演练和相关的安全常识指导讲解，得到了社会各界的广泛好评。乡卫生院每期都要到学校进行传染病防控等知识宣传，对新生进行常规体检，加强了对我校的疫情防控指导与监管。学校组织全体老师进行了体检与新冠疫苗接种。一年来，无重大安全、卫生责任事故的发生。</w:t>
      </w:r>
    </w:p>
    <w:p>
      <w:pPr>
        <w:pStyle w:val="2"/>
        <w:rPr>
          <w:rFonts w:hint="eastAsia" w:ascii="仿宋" w:hAnsi="仿宋" w:eastAsia="仿宋" w:cs="仿宋"/>
          <w:color w:val="auto"/>
          <w:highlight w:val="none"/>
        </w:rPr>
      </w:pPr>
    </w:p>
    <w:p>
      <w:pPr>
        <w:rPr>
          <w:rFonts w:hint="eastAsia" w:ascii="仿宋" w:hAnsi="仿宋" w:eastAsia="仿宋" w:cs="仿宋"/>
          <w:b w:val="0"/>
          <w:color w:val="auto"/>
          <w:highlight w:val="none"/>
        </w:rPr>
      </w:pPr>
      <w:bookmarkStart w:id="25" w:name="_Toc15396602"/>
      <w:bookmarkStart w:id="26" w:name="_Toc15377204"/>
      <w:r>
        <w:rPr>
          <w:rFonts w:hint="eastAsia" w:ascii="仿宋" w:hAnsi="仿宋" w:eastAsia="仿宋" w:cs="仿宋"/>
          <w:b w:val="0"/>
          <w:color w:val="auto"/>
          <w:highlight w:val="none"/>
        </w:rPr>
        <w:br w:type="page"/>
      </w:r>
    </w:p>
    <w:p>
      <w:pPr>
        <w:pStyle w:val="4"/>
        <w:bidi w:val="0"/>
        <w:rPr>
          <w:rFonts w:hint="eastAsia" w:ascii="仿宋" w:hAnsi="仿宋" w:eastAsia="仿宋" w:cs="仿宋"/>
          <w:color w:val="auto"/>
          <w:highlight w:val="none"/>
        </w:rPr>
      </w:pPr>
      <w:bookmarkStart w:id="27" w:name="_Toc10437"/>
      <w:r>
        <w:rPr>
          <w:rFonts w:hint="eastAsia" w:ascii="仿宋" w:hAnsi="仿宋" w:eastAsia="仿宋" w:cs="仿宋"/>
          <w:color w:val="auto"/>
          <w:highlight w:val="none"/>
        </w:rPr>
        <w:t>第二部分 2021年度单位决算情况说明</w:t>
      </w:r>
      <w:bookmarkEnd w:id="25"/>
      <w:bookmarkEnd w:id="26"/>
      <w:bookmarkEnd w:id="27"/>
    </w:p>
    <w:p>
      <w:pPr>
        <w:rPr>
          <w:rFonts w:hint="eastAsia" w:ascii="仿宋" w:hAnsi="仿宋" w:eastAsia="仿宋" w:cs="仿宋"/>
          <w:color w:val="auto"/>
          <w:highlight w:val="none"/>
        </w:rPr>
      </w:pPr>
    </w:p>
    <w:p>
      <w:pPr>
        <w:pStyle w:val="5"/>
        <w:numPr>
          <w:ilvl w:val="0"/>
          <w:numId w:val="3"/>
        </w:numPr>
        <w:bidi w:val="0"/>
        <w:ind w:left="0" w:leftChars="0" w:firstLine="643" w:firstLineChars="200"/>
        <w:rPr>
          <w:rFonts w:hint="eastAsia" w:ascii="仿宋" w:hAnsi="仿宋" w:eastAsia="仿宋" w:cs="仿宋"/>
          <w:color w:val="auto"/>
          <w:highlight w:val="none"/>
        </w:rPr>
      </w:pPr>
      <w:bookmarkStart w:id="28" w:name="_Toc15377205"/>
      <w:bookmarkStart w:id="29" w:name="_Toc15396603"/>
      <w:bookmarkStart w:id="30" w:name="_Toc5075"/>
      <w:r>
        <w:rPr>
          <w:rFonts w:hint="eastAsia" w:ascii="仿宋" w:hAnsi="仿宋" w:eastAsia="仿宋" w:cs="仿宋"/>
          <w:color w:val="auto"/>
          <w:highlight w:val="none"/>
        </w:rPr>
        <w:t>收入支出决算总体情况说明</w:t>
      </w:r>
      <w:bookmarkEnd w:id="28"/>
      <w:bookmarkEnd w:id="29"/>
      <w:bookmarkEnd w:id="30"/>
    </w:p>
    <w:p>
      <w:pPr>
        <w:spacing w:line="600" w:lineRule="exact"/>
        <w:ind w:firstLine="640" w:firstLineChars="200"/>
        <w:outlineLvl w:val="1"/>
        <w:rPr>
          <w:rFonts w:hint="eastAsia" w:ascii="仿宋" w:hAnsi="仿宋" w:eastAsia="仿宋" w:cs="仿宋"/>
          <w:color w:val="auto"/>
          <w:highlight w:val="none"/>
          <w:lang w:eastAsia="zh-CN"/>
        </w:rPr>
      </w:pPr>
      <w:bookmarkStart w:id="31" w:name="_Toc9801"/>
      <w:bookmarkStart w:id="32" w:name="_Toc20585"/>
      <w:r>
        <w:rPr>
          <w:rFonts w:hint="eastAsia" w:ascii="仿宋" w:hAnsi="仿宋" w:eastAsia="仿宋" w:cs="仿宋"/>
          <w:color w:val="auto"/>
          <w:sz w:val="32"/>
          <w:szCs w:val="32"/>
          <w:highlight w:val="none"/>
        </w:rPr>
        <w:t>2021年度收、支总计</w:t>
      </w:r>
      <w:r>
        <w:rPr>
          <w:rFonts w:hint="eastAsia" w:ascii="仿宋" w:hAnsi="仿宋" w:eastAsia="仿宋" w:cs="仿宋"/>
          <w:color w:val="auto"/>
          <w:sz w:val="32"/>
          <w:szCs w:val="32"/>
          <w:highlight w:val="none"/>
          <w:lang w:val="en-US" w:eastAsia="zh-CN"/>
        </w:rPr>
        <w:t>417.17</w:t>
      </w:r>
      <w:r>
        <w:rPr>
          <w:rFonts w:hint="eastAsia" w:ascii="仿宋" w:hAnsi="仿宋" w:eastAsia="仿宋" w:cs="仿宋"/>
          <w:color w:val="auto"/>
          <w:sz w:val="32"/>
          <w:szCs w:val="32"/>
          <w:highlight w:val="none"/>
        </w:rPr>
        <w:t>万元。与2020年相比，收、支总计各</w:t>
      </w:r>
      <w:r>
        <w:rPr>
          <w:rFonts w:hint="eastAsia" w:ascii="仿宋" w:hAnsi="仿宋" w:eastAsia="仿宋" w:cs="仿宋"/>
          <w:color w:val="auto"/>
          <w:sz w:val="32"/>
          <w:szCs w:val="32"/>
          <w:highlight w:val="none"/>
          <w:lang w:eastAsia="zh-CN"/>
        </w:rPr>
        <w:t>减少</w:t>
      </w:r>
      <w:r>
        <w:rPr>
          <w:rFonts w:hint="eastAsia" w:ascii="仿宋" w:hAnsi="仿宋" w:eastAsia="仿宋" w:cs="仿宋"/>
          <w:color w:val="auto"/>
          <w:sz w:val="32"/>
          <w:szCs w:val="32"/>
          <w:highlight w:val="none"/>
          <w:lang w:val="en-US" w:eastAsia="zh-CN"/>
        </w:rPr>
        <w:t>25.65</w:t>
      </w:r>
      <w:r>
        <w:rPr>
          <w:rFonts w:hint="eastAsia" w:ascii="仿宋" w:hAnsi="仿宋" w:eastAsia="仿宋" w:cs="仿宋"/>
          <w:color w:val="auto"/>
          <w:sz w:val="32"/>
          <w:szCs w:val="32"/>
          <w:highlight w:val="none"/>
        </w:rPr>
        <w:t>万元，</w:t>
      </w:r>
      <w:r>
        <w:rPr>
          <w:rFonts w:hint="eastAsia" w:ascii="仿宋" w:hAnsi="仿宋" w:eastAsia="仿宋" w:cs="仿宋"/>
          <w:color w:val="auto"/>
          <w:sz w:val="32"/>
          <w:szCs w:val="32"/>
          <w:highlight w:val="none"/>
          <w:lang w:eastAsia="zh-CN"/>
        </w:rPr>
        <w:t>减少</w:t>
      </w:r>
      <w:r>
        <w:rPr>
          <w:rFonts w:hint="eastAsia" w:ascii="仿宋" w:hAnsi="仿宋" w:eastAsia="仿宋" w:cs="仿宋"/>
          <w:color w:val="auto"/>
          <w:sz w:val="32"/>
          <w:szCs w:val="32"/>
          <w:highlight w:val="none"/>
          <w:lang w:val="en-US" w:eastAsia="zh-CN"/>
        </w:rPr>
        <w:t>5.79</w:t>
      </w:r>
      <w:r>
        <w:rPr>
          <w:rFonts w:hint="eastAsia" w:ascii="仿宋" w:hAnsi="仿宋" w:eastAsia="仿宋" w:cs="仿宋"/>
          <w:color w:val="auto"/>
          <w:sz w:val="32"/>
          <w:szCs w:val="32"/>
          <w:highlight w:val="none"/>
        </w:rPr>
        <w:t>%</w:t>
      </w:r>
      <w:r>
        <w:rPr>
          <w:rFonts w:hint="eastAsia" w:ascii="仿宋" w:hAnsi="仿宋" w:eastAsia="仿宋" w:cs="仿宋"/>
          <w:color w:val="auto"/>
          <w:sz w:val="32"/>
          <w:szCs w:val="32"/>
          <w:highlight w:val="none"/>
        </w:rPr>
        <w:t>。主要变动原因是</w:t>
      </w:r>
      <w:r>
        <w:rPr>
          <w:rFonts w:hint="eastAsia" w:ascii="仿宋" w:hAnsi="仿宋" w:eastAsia="仿宋" w:cs="仿宋"/>
          <w:color w:val="auto"/>
          <w:sz w:val="32"/>
          <w:szCs w:val="32"/>
          <w:highlight w:val="none"/>
          <w:lang w:eastAsia="zh-CN"/>
        </w:rPr>
        <w:t>基本支出减少</w:t>
      </w:r>
      <w:r>
        <w:rPr>
          <w:rFonts w:hint="eastAsia" w:ascii="仿宋" w:hAnsi="仿宋" w:eastAsia="仿宋" w:cs="仿宋"/>
          <w:color w:val="auto"/>
          <w:sz w:val="32"/>
          <w:szCs w:val="32"/>
          <w:highlight w:val="none"/>
        </w:rPr>
        <w:t>。</w:t>
      </w:r>
      <w:bookmarkEnd w:id="31"/>
      <w:bookmarkEnd w:id="32"/>
    </w:p>
    <w:p>
      <w:pPr>
        <w:pStyle w:val="5"/>
        <w:numPr>
          <w:ilvl w:val="0"/>
          <w:numId w:val="3"/>
        </w:numPr>
        <w:bidi w:val="0"/>
        <w:ind w:left="0" w:leftChars="0" w:firstLine="643" w:firstLineChars="200"/>
        <w:jc w:val="left"/>
        <w:rPr>
          <w:rFonts w:hint="eastAsia" w:ascii="仿宋" w:hAnsi="仿宋" w:eastAsia="仿宋" w:cs="仿宋"/>
          <w:color w:val="auto"/>
          <w:highlight w:val="none"/>
        </w:rPr>
      </w:pPr>
      <w:bookmarkStart w:id="33" w:name="_Toc15396604"/>
      <w:bookmarkStart w:id="34" w:name="_Toc15377206"/>
      <w:bookmarkStart w:id="35" w:name="_Toc11923"/>
      <w:r>
        <w:rPr>
          <w:rFonts w:hint="eastAsia" w:ascii="仿宋" w:hAnsi="仿宋" w:eastAsia="仿宋" w:cs="仿宋"/>
          <w:color w:val="auto"/>
          <w:highlight w:val="none"/>
          <w:lang w:eastAsia="zh-CN"/>
        </w:rPr>
        <w:drawing>
          <wp:anchor distT="0" distB="0" distL="114300" distR="114300" simplePos="0" relativeHeight="251660288" behindDoc="0" locked="0" layoutInCell="1" allowOverlap="1">
            <wp:simplePos x="0" y="0"/>
            <wp:positionH relativeFrom="column">
              <wp:posOffset>213995</wp:posOffset>
            </wp:positionH>
            <wp:positionV relativeFrom="paragraph">
              <wp:posOffset>22860</wp:posOffset>
            </wp:positionV>
            <wp:extent cx="5080000" cy="2125345"/>
            <wp:effectExtent l="4445" t="4445" r="20955" b="22860"/>
            <wp:wrapTopAndBottom/>
            <wp:docPr id="2"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anchor>
        </w:drawing>
      </w:r>
      <w:r>
        <w:rPr>
          <w:rFonts w:hint="eastAsia" w:ascii="仿宋" w:hAnsi="仿宋" w:eastAsia="仿宋" w:cs="仿宋"/>
          <w:color w:val="auto"/>
          <w:highlight w:val="none"/>
        </w:rPr>
        <w:t>收入决算情况说明</w:t>
      </w:r>
      <w:bookmarkEnd w:id="33"/>
      <w:bookmarkEnd w:id="34"/>
      <w:bookmarkEnd w:id="35"/>
    </w:p>
    <w:p>
      <w:pPr>
        <w:spacing w:line="600" w:lineRule="exact"/>
        <w:ind w:firstLine="640" w:firstLineChars="200"/>
        <w:outlineLvl w:val="1"/>
        <w:rPr>
          <w:rFonts w:hint="eastAsia" w:ascii="仿宋" w:hAnsi="仿宋" w:eastAsia="仿宋" w:cs="仿宋"/>
          <w:color w:val="auto"/>
          <w:sz w:val="32"/>
          <w:szCs w:val="32"/>
          <w:highlight w:val="none"/>
          <w:lang w:eastAsia="zh-CN"/>
        </w:rPr>
      </w:pPr>
      <w:bookmarkStart w:id="36" w:name="_Toc28868"/>
      <w:bookmarkStart w:id="37" w:name="_Toc32714"/>
      <w:r>
        <w:rPr>
          <w:rFonts w:hint="eastAsia" w:ascii="仿宋" w:hAnsi="仿宋" w:eastAsia="仿宋" w:cs="仿宋"/>
          <w:color w:val="auto"/>
          <w:sz w:val="32"/>
          <w:szCs w:val="32"/>
          <w:highlight w:val="none"/>
        </w:rPr>
        <w:t>2021年本年收入合计</w:t>
      </w:r>
      <w:r>
        <w:rPr>
          <w:rFonts w:hint="eastAsia" w:ascii="仿宋" w:hAnsi="仿宋" w:eastAsia="仿宋" w:cs="仿宋"/>
          <w:color w:val="auto"/>
          <w:sz w:val="32"/>
          <w:szCs w:val="32"/>
          <w:highlight w:val="none"/>
          <w:lang w:val="en-US" w:eastAsia="zh-CN"/>
        </w:rPr>
        <w:t>417.17</w:t>
      </w:r>
      <w:r>
        <w:rPr>
          <w:rFonts w:hint="eastAsia" w:ascii="仿宋" w:hAnsi="仿宋" w:eastAsia="仿宋" w:cs="仿宋"/>
          <w:color w:val="auto"/>
          <w:sz w:val="32"/>
          <w:szCs w:val="32"/>
          <w:highlight w:val="none"/>
        </w:rPr>
        <w:t>万元，其中：一般公共预算财政拨款收入</w:t>
      </w:r>
      <w:r>
        <w:rPr>
          <w:rFonts w:hint="eastAsia" w:ascii="仿宋" w:hAnsi="仿宋" w:eastAsia="仿宋" w:cs="仿宋"/>
          <w:color w:val="auto"/>
          <w:sz w:val="32"/>
          <w:szCs w:val="32"/>
          <w:highlight w:val="none"/>
          <w:lang w:val="en-US" w:eastAsia="zh-CN"/>
        </w:rPr>
        <w:t>417.17</w:t>
      </w:r>
      <w:r>
        <w:rPr>
          <w:rFonts w:hint="eastAsia" w:ascii="仿宋" w:hAnsi="仿宋" w:eastAsia="仿宋" w:cs="仿宋"/>
          <w:color w:val="auto"/>
          <w:sz w:val="32"/>
          <w:szCs w:val="32"/>
          <w:highlight w:val="none"/>
        </w:rPr>
        <w:t>万元，占</w:t>
      </w:r>
      <w:r>
        <w:rPr>
          <w:rFonts w:hint="eastAsia" w:ascii="仿宋" w:hAnsi="仿宋" w:eastAsia="仿宋" w:cs="仿宋"/>
          <w:color w:val="auto"/>
          <w:sz w:val="32"/>
          <w:szCs w:val="32"/>
          <w:highlight w:val="none"/>
          <w:lang w:val="en-US" w:eastAsia="zh-CN"/>
        </w:rPr>
        <w:t>100</w:t>
      </w:r>
      <w:r>
        <w:rPr>
          <w:rFonts w:hint="eastAsia" w:ascii="仿宋" w:hAnsi="仿宋" w:eastAsia="仿宋" w:cs="仿宋"/>
          <w:color w:val="auto"/>
          <w:sz w:val="32"/>
          <w:szCs w:val="32"/>
          <w:highlight w:val="none"/>
        </w:rPr>
        <w:t>%</w:t>
      </w:r>
      <w:r>
        <w:rPr>
          <w:rFonts w:hint="eastAsia" w:ascii="仿宋" w:hAnsi="仿宋" w:eastAsia="仿宋" w:cs="仿宋"/>
          <w:color w:val="auto"/>
          <w:sz w:val="32"/>
          <w:szCs w:val="32"/>
          <w:highlight w:val="none"/>
          <w:lang w:eastAsia="zh-CN"/>
        </w:rPr>
        <w:t>。</w:t>
      </w:r>
      <w:bookmarkEnd w:id="36"/>
      <w:bookmarkEnd w:id="37"/>
    </w:p>
    <w:p>
      <w:pPr>
        <w:pStyle w:val="2"/>
        <w:rPr>
          <w:rFonts w:hint="eastAsia" w:ascii="仿宋" w:hAnsi="仿宋" w:eastAsia="仿宋" w:cs="仿宋"/>
          <w:color w:val="auto"/>
          <w:highlight w:val="none"/>
          <w:lang w:eastAsia="zh-CN"/>
        </w:rPr>
      </w:pPr>
      <w:r>
        <w:rPr>
          <w:rFonts w:hint="eastAsia" w:ascii="仿宋" w:hAnsi="仿宋" w:eastAsia="仿宋" w:cs="仿宋"/>
          <w:color w:val="auto"/>
          <w:highlight w:val="none"/>
          <w:lang w:eastAsia="zh-CN"/>
        </w:rPr>
        <w:drawing>
          <wp:anchor distT="0" distB="0" distL="114300" distR="114300" simplePos="0" relativeHeight="251661312" behindDoc="0" locked="0" layoutInCell="1" allowOverlap="1">
            <wp:simplePos x="0" y="0"/>
            <wp:positionH relativeFrom="column">
              <wp:posOffset>-38100</wp:posOffset>
            </wp:positionH>
            <wp:positionV relativeFrom="paragraph">
              <wp:posOffset>27305</wp:posOffset>
            </wp:positionV>
            <wp:extent cx="5584825" cy="2199640"/>
            <wp:effectExtent l="4445" t="4445" r="11430" b="5715"/>
            <wp:wrapTopAndBottom/>
            <wp:docPr id="13" name="图表 13" descr="7b0a202020202263686172745265734964223a20223230343734353235220a7d0a"/>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anchor>
        </w:drawing>
      </w:r>
    </w:p>
    <w:p>
      <w:pPr>
        <w:pStyle w:val="5"/>
        <w:bidi w:val="0"/>
        <w:rPr>
          <w:rFonts w:hint="eastAsia" w:ascii="仿宋" w:hAnsi="仿宋" w:eastAsia="仿宋" w:cs="仿宋"/>
          <w:color w:val="auto"/>
          <w:highlight w:val="none"/>
        </w:rPr>
      </w:pPr>
      <w:bookmarkStart w:id="38" w:name="_Toc15396605"/>
      <w:bookmarkStart w:id="39" w:name="_Toc2775"/>
      <w:bookmarkStart w:id="40" w:name="_Toc15377207"/>
      <w:r>
        <w:rPr>
          <w:rFonts w:hint="eastAsia" w:ascii="仿宋" w:hAnsi="仿宋" w:eastAsia="仿宋" w:cs="仿宋"/>
          <w:color w:val="auto"/>
          <w:highlight w:val="none"/>
          <w:lang w:eastAsia="zh-CN"/>
        </w:rPr>
        <w:t>三、</w:t>
      </w:r>
      <w:r>
        <w:rPr>
          <w:rFonts w:hint="eastAsia" w:ascii="仿宋" w:hAnsi="仿宋" w:eastAsia="仿宋" w:cs="仿宋"/>
          <w:color w:val="auto"/>
          <w:highlight w:val="none"/>
        </w:rPr>
        <w:t>支出决算情况说明</w:t>
      </w:r>
      <w:bookmarkEnd w:id="38"/>
      <w:bookmarkEnd w:id="39"/>
      <w:bookmarkEnd w:id="40"/>
    </w:p>
    <w:p>
      <w:pPr>
        <w:spacing w:line="600" w:lineRule="exact"/>
        <w:ind w:firstLine="640" w:firstLineChars="200"/>
        <w:outlineLvl w:val="1"/>
        <w:rPr>
          <w:rFonts w:hint="eastAsia" w:ascii="仿宋" w:hAnsi="仿宋" w:eastAsia="仿宋" w:cs="仿宋"/>
          <w:color w:val="auto"/>
          <w:sz w:val="32"/>
          <w:szCs w:val="32"/>
          <w:highlight w:val="none"/>
        </w:rPr>
      </w:pPr>
      <w:bookmarkStart w:id="41" w:name="_Toc30363"/>
      <w:bookmarkStart w:id="42" w:name="_Toc6817"/>
      <w:r>
        <w:rPr>
          <w:rFonts w:hint="eastAsia" w:ascii="仿宋" w:hAnsi="仿宋" w:eastAsia="仿宋" w:cs="仿宋"/>
          <w:color w:val="auto"/>
          <w:sz w:val="32"/>
          <w:szCs w:val="32"/>
          <w:highlight w:val="none"/>
          <w:shd w:val="pct10" w:color="auto" w:fill="FFFFFF"/>
        </w:rPr>
        <w:drawing>
          <wp:anchor distT="0" distB="0" distL="114300" distR="114300" simplePos="0" relativeHeight="251659264" behindDoc="0" locked="0" layoutInCell="1" allowOverlap="1">
            <wp:simplePos x="0" y="0"/>
            <wp:positionH relativeFrom="column">
              <wp:posOffset>43815</wp:posOffset>
            </wp:positionH>
            <wp:positionV relativeFrom="paragraph">
              <wp:posOffset>889635</wp:posOffset>
            </wp:positionV>
            <wp:extent cx="5080000" cy="2929255"/>
            <wp:effectExtent l="4445" t="4445" r="20955" b="19050"/>
            <wp:wrapTopAndBottom/>
            <wp:docPr id="9" name="图表 9"/>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anchor>
        </w:drawing>
      </w:r>
      <w:r>
        <w:rPr>
          <w:rFonts w:hint="eastAsia" w:ascii="仿宋" w:hAnsi="仿宋" w:eastAsia="仿宋" w:cs="仿宋"/>
          <w:color w:val="auto"/>
          <w:sz w:val="32"/>
          <w:szCs w:val="32"/>
          <w:highlight w:val="none"/>
        </w:rPr>
        <w:t>2021年本年支出合计</w:t>
      </w:r>
      <w:r>
        <w:rPr>
          <w:rFonts w:hint="eastAsia" w:ascii="仿宋" w:hAnsi="仿宋" w:eastAsia="仿宋" w:cs="仿宋"/>
          <w:color w:val="auto"/>
          <w:sz w:val="32"/>
          <w:szCs w:val="32"/>
          <w:highlight w:val="none"/>
          <w:lang w:eastAsia="zh-CN"/>
        </w:rPr>
        <w:t>417.17</w:t>
      </w:r>
      <w:r>
        <w:rPr>
          <w:rFonts w:hint="eastAsia" w:ascii="仿宋" w:hAnsi="仿宋" w:eastAsia="仿宋" w:cs="仿宋"/>
          <w:color w:val="auto"/>
          <w:sz w:val="32"/>
          <w:szCs w:val="32"/>
          <w:highlight w:val="none"/>
        </w:rPr>
        <w:t>万元，其中：基本支出</w:t>
      </w:r>
      <w:r>
        <w:rPr>
          <w:rFonts w:hint="eastAsia" w:ascii="仿宋" w:hAnsi="仿宋" w:eastAsia="仿宋" w:cs="仿宋"/>
          <w:color w:val="auto"/>
          <w:sz w:val="32"/>
          <w:szCs w:val="32"/>
          <w:highlight w:val="none"/>
          <w:lang w:eastAsia="zh-CN"/>
        </w:rPr>
        <w:t>327.17</w:t>
      </w:r>
      <w:r>
        <w:rPr>
          <w:rFonts w:hint="eastAsia" w:ascii="仿宋" w:hAnsi="仿宋" w:eastAsia="仿宋" w:cs="仿宋"/>
          <w:color w:val="auto"/>
          <w:sz w:val="32"/>
          <w:szCs w:val="32"/>
          <w:highlight w:val="none"/>
        </w:rPr>
        <w:t>万元，占</w:t>
      </w:r>
      <w:r>
        <w:rPr>
          <w:rFonts w:hint="eastAsia" w:ascii="仿宋" w:hAnsi="仿宋" w:eastAsia="仿宋" w:cs="仿宋"/>
          <w:color w:val="auto"/>
          <w:sz w:val="32"/>
          <w:szCs w:val="32"/>
          <w:highlight w:val="none"/>
          <w:lang w:val="en-US" w:eastAsia="zh-CN"/>
        </w:rPr>
        <w:t>78.43</w:t>
      </w:r>
      <w:r>
        <w:rPr>
          <w:rFonts w:hint="eastAsia" w:ascii="仿宋" w:hAnsi="仿宋" w:eastAsia="仿宋" w:cs="仿宋"/>
          <w:color w:val="auto"/>
          <w:sz w:val="32"/>
          <w:szCs w:val="32"/>
          <w:highlight w:val="none"/>
        </w:rPr>
        <w:t>%</w:t>
      </w:r>
      <w:r>
        <w:rPr>
          <w:rFonts w:hint="eastAsia" w:ascii="仿宋" w:hAnsi="仿宋" w:eastAsia="仿宋" w:cs="仿宋"/>
          <w:color w:val="auto"/>
          <w:sz w:val="32"/>
          <w:szCs w:val="32"/>
          <w:highlight w:val="none"/>
        </w:rPr>
        <w:t>；项目支出</w:t>
      </w:r>
      <w:r>
        <w:rPr>
          <w:rFonts w:hint="eastAsia" w:ascii="仿宋" w:hAnsi="仿宋" w:eastAsia="仿宋" w:cs="仿宋"/>
          <w:color w:val="auto"/>
          <w:sz w:val="32"/>
          <w:szCs w:val="32"/>
          <w:highlight w:val="none"/>
          <w:lang w:eastAsia="zh-CN"/>
        </w:rPr>
        <w:t>90</w:t>
      </w:r>
      <w:r>
        <w:rPr>
          <w:rFonts w:hint="eastAsia" w:ascii="仿宋" w:hAnsi="仿宋" w:eastAsia="仿宋" w:cs="仿宋"/>
          <w:color w:val="auto"/>
          <w:sz w:val="32"/>
          <w:szCs w:val="32"/>
          <w:highlight w:val="none"/>
          <w:lang w:val="en-US" w:eastAsia="zh-CN"/>
        </w:rPr>
        <w:t>.00</w:t>
      </w:r>
      <w:r>
        <w:rPr>
          <w:rFonts w:hint="eastAsia" w:ascii="仿宋" w:hAnsi="仿宋" w:eastAsia="仿宋" w:cs="仿宋"/>
          <w:color w:val="auto"/>
          <w:sz w:val="32"/>
          <w:szCs w:val="32"/>
          <w:highlight w:val="none"/>
        </w:rPr>
        <w:t>万元，占</w:t>
      </w:r>
      <w:r>
        <w:rPr>
          <w:rFonts w:hint="eastAsia" w:ascii="仿宋" w:hAnsi="仿宋" w:eastAsia="仿宋" w:cs="仿宋"/>
          <w:color w:val="auto"/>
          <w:sz w:val="32"/>
          <w:szCs w:val="32"/>
          <w:highlight w:val="none"/>
          <w:lang w:val="en-US" w:eastAsia="zh-CN"/>
        </w:rPr>
        <w:t>21.57</w:t>
      </w:r>
      <w:r>
        <w:rPr>
          <w:rFonts w:hint="eastAsia" w:ascii="仿宋" w:hAnsi="仿宋" w:eastAsia="仿宋" w:cs="仿宋"/>
          <w:color w:val="auto"/>
          <w:sz w:val="32"/>
          <w:szCs w:val="32"/>
          <w:highlight w:val="none"/>
        </w:rPr>
        <w:t>%</w:t>
      </w:r>
      <w:r>
        <w:rPr>
          <w:rFonts w:hint="eastAsia" w:ascii="仿宋" w:hAnsi="仿宋" w:eastAsia="仿宋" w:cs="仿宋"/>
          <w:color w:val="auto"/>
          <w:sz w:val="32"/>
          <w:szCs w:val="32"/>
          <w:highlight w:val="none"/>
        </w:rPr>
        <w:t>。</w:t>
      </w:r>
      <w:bookmarkEnd w:id="41"/>
      <w:bookmarkEnd w:id="42"/>
    </w:p>
    <w:p>
      <w:pPr>
        <w:pStyle w:val="5"/>
        <w:bidi w:val="0"/>
        <w:rPr>
          <w:rFonts w:hint="eastAsia" w:ascii="仿宋" w:hAnsi="仿宋" w:eastAsia="仿宋" w:cs="仿宋"/>
          <w:color w:val="auto"/>
          <w:highlight w:val="none"/>
        </w:rPr>
      </w:pPr>
      <w:bookmarkStart w:id="43" w:name="_Toc12678"/>
      <w:bookmarkStart w:id="44" w:name="_Toc15396606"/>
      <w:bookmarkStart w:id="45" w:name="_Toc15377208"/>
      <w:r>
        <w:rPr>
          <w:rFonts w:hint="eastAsia" w:ascii="仿宋" w:hAnsi="仿宋" w:eastAsia="仿宋" w:cs="仿宋"/>
          <w:color w:val="auto"/>
          <w:highlight w:val="none"/>
        </w:rPr>
        <w:t>四、财政拨款收入支出决算总体情况说明</w:t>
      </w:r>
      <w:bookmarkEnd w:id="43"/>
      <w:bookmarkEnd w:id="44"/>
      <w:bookmarkEnd w:id="45"/>
    </w:p>
    <w:p>
      <w:pPr>
        <w:spacing w:line="600" w:lineRule="exact"/>
        <w:ind w:firstLine="64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2021年财政拨款收、支总计</w:t>
      </w:r>
      <w:r>
        <w:rPr>
          <w:rFonts w:hint="eastAsia" w:ascii="仿宋" w:hAnsi="仿宋" w:eastAsia="仿宋" w:cs="仿宋"/>
          <w:color w:val="auto"/>
          <w:sz w:val="32"/>
          <w:szCs w:val="32"/>
          <w:highlight w:val="none"/>
          <w:lang w:eastAsia="zh-CN"/>
        </w:rPr>
        <w:t>417.17</w:t>
      </w:r>
      <w:r>
        <w:rPr>
          <w:rFonts w:hint="eastAsia" w:ascii="仿宋" w:hAnsi="仿宋" w:eastAsia="仿宋" w:cs="仿宋"/>
          <w:color w:val="auto"/>
          <w:sz w:val="32"/>
          <w:szCs w:val="32"/>
          <w:highlight w:val="none"/>
        </w:rPr>
        <w:t>万元。与2020年相比，财政拨款收、支总计各</w:t>
      </w:r>
      <w:r>
        <w:rPr>
          <w:rFonts w:hint="eastAsia" w:ascii="仿宋" w:hAnsi="仿宋" w:eastAsia="仿宋" w:cs="仿宋"/>
          <w:color w:val="auto"/>
          <w:sz w:val="32"/>
          <w:szCs w:val="32"/>
          <w:highlight w:val="none"/>
          <w:lang w:eastAsia="zh-CN"/>
        </w:rPr>
        <w:t>减少25.65</w:t>
      </w:r>
      <w:r>
        <w:rPr>
          <w:rFonts w:hint="eastAsia" w:ascii="仿宋" w:hAnsi="仿宋" w:eastAsia="仿宋" w:cs="仿宋"/>
          <w:color w:val="auto"/>
          <w:sz w:val="32"/>
          <w:szCs w:val="32"/>
          <w:highlight w:val="none"/>
        </w:rPr>
        <w:t>万元，</w:t>
      </w:r>
      <w:r>
        <w:rPr>
          <w:rFonts w:hint="eastAsia" w:ascii="仿宋" w:hAnsi="仿宋" w:eastAsia="仿宋" w:cs="仿宋"/>
          <w:color w:val="auto"/>
          <w:sz w:val="32"/>
          <w:szCs w:val="32"/>
          <w:highlight w:val="none"/>
          <w:lang w:eastAsia="zh-CN"/>
        </w:rPr>
        <w:t>减少5.79</w:t>
      </w:r>
      <w:r>
        <w:rPr>
          <w:rFonts w:hint="eastAsia" w:ascii="仿宋" w:hAnsi="仿宋" w:eastAsia="仿宋" w:cs="仿宋"/>
          <w:color w:val="auto"/>
          <w:sz w:val="32"/>
          <w:szCs w:val="32"/>
          <w:highlight w:val="none"/>
        </w:rPr>
        <w:t>%。主要变动原因是</w:t>
      </w:r>
      <w:r>
        <w:rPr>
          <w:rFonts w:hint="eastAsia" w:ascii="仿宋" w:hAnsi="仿宋" w:eastAsia="仿宋" w:cs="仿宋"/>
          <w:color w:val="auto"/>
          <w:sz w:val="32"/>
          <w:szCs w:val="32"/>
          <w:highlight w:val="none"/>
          <w:lang w:eastAsia="zh-CN"/>
        </w:rPr>
        <w:t>基本支出减少</w:t>
      </w:r>
      <w:r>
        <w:rPr>
          <w:rFonts w:hint="eastAsia" w:ascii="仿宋" w:hAnsi="仿宋" w:eastAsia="仿宋" w:cs="仿宋"/>
          <w:color w:val="auto"/>
          <w:sz w:val="32"/>
          <w:szCs w:val="32"/>
          <w:highlight w:val="none"/>
        </w:rPr>
        <w:t>。</w:t>
      </w:r>
    </w:p>
    <w:p>
      <w:pPr>
        <w:pStyle w:val="2"/>
        <w:rPr>
          <w:rFonts w:hint="eastAsia" w:ascii="仿宋" w:hAnsi="仿宋" w:eastAsia="仿宋" w:cs="仿宋"/>
          <w:color w:val="auto"/>
          <w:highlight w:val="none"/>
        </w:rPr>
      </w:pPr>
      <w:r>
        <w:rPr>
          <w:rFonts w:hint="eastAsia" w:ascii="仿宋" w:hAnsi="仿宋" w:eastAsia="仿宋" w:cs="仿宋"/>
          <w:color w:val="auto"/>
          <w:highlight w:val="none"/>
          <w:lang w:eastAsia="zh-CN"/>
        </w:rPr>
        <w:drawing>
          <wp:anchor distT="0" distB="0" distL="114300" distR="114300" simplePos="0" relativeHeight="251662336" behindDoc="0" locked="0" layoutInCell="1" allowOverlap="1">
            <wp:simplePos x="0" y="0"/>
            <wp:positionH relativeFrom="column">
              <wp:posOffset>4445</wp:posOffset>
            </wp:positionH>
            <wp:positionV relativeFrom="paragraph">
              <wp:posOffset>208280</wp:posOffset>
            </wp:positionV>
            <wp:extent cx="5080000" cy="2734945"/>
            <wp:effectExtent l="4445" t="4445" r="20955" b="22860"/>
            <wp:wrapTopAndBottom/>
            <wp:docPr id="14" name="图表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anchor>
        </w:drawing>
      </w:r>
    </w:p>
    <w:p>
      <w:pPr>
        <w:pStyle w:val="5"/>
        <w:bidi w:val="0"/>
        <w:rPr>
          <w:rFonts w:hint="eastAsia" w:ascii="仿宋" w:hAnsi="仿宋" w:eastAsia="仿宋" w:cs="仿宋"/>
          <w:color w:val="auto"/>
          <w:highlight w:val="none"/>
        </w:rPr>
      </w:pPr>
      <w:bookmarkStart w:id="46" w:name="_Toc16782"/>
      <w:bookmarkStart w:id="47" w:name="_Toc15396607"/>
      <w:bookmarkStart w:id="48" w:name="_Toc15377209"/>
      <w:r>
        <w:rPr>
          <w:rFonts w:hint="eastAsia" w:ascii="仿宋" w:hAnsi="仿宋" w:eastAsia="仿宋" w:cs="仿宋"/>
          <w:color w:val="auto"/>
          <w:highlight w:val="none"/>
        </w:rPr>
        <w:t>五、一般公共预算财政拨款支出决算情况说明</w:t>
      </w:r>
      <w:bookmarkEnd w:id="46"/>
      <w:bookmarkEnd w:id="47"/>
      <w:bookmarkEnd w:id="48"/>
    </w:p>
    <w:p>
      <w:pPr>
        <w:spacing w:line="600" w:lineRule="exact"/>
        <w:ind w:firstLine="643" w:firstLineChars="200"/>
        <w:outlineLvl w:val="2"/>
        <w:rPr>
          <w:rFonts w:hint="eastAsia" w:ascii="仿宋" w:hAnsi="仿宋" w:eastAsia="仿宋" w:cs="仿宋"/>
          <w:b/>
          <w:color w:val="auto"/>
          <w:sz w:val="32"/>
          <w:szCs w:val="32"/>
          <w:highlight w:val="none"/>
        </w:rPr>
      </w:pPr>
      <w:bookmarkStart w:id="49" w:name="_Toc15377210"/>
      <w:r>
        <w:rPr>
          <w:rFonts w:hint="eastAsia" w:ascii="仿宋" w:hAnsi="仿宋" w:eastAsia="仿宋" w:cs="仿宋"/>
          <w:b/>
          <w:color w:val="auto"/>
          <w:sz w:val="32"/>
          <w:szCs w:val="32"/>
          <w:highlight w:val="none"/>
        </w:rPr>
        <w:t>（一）一般公共预算财政拨款支出决算总体情况</w:t>
      </w:r>
      <w:bookmarkEnd w:id="49"/>
    </w:p>
    <w:p>
      <w:pPr>
        <w:spacing w:line="600" w:lineRule="exact"/>
        <w:ind w:firstLine="640"/>
        <w:rPr>
          <w:rFonts w:hint="eastAsia" w:ascii="仿宋" w:hAnsi="仿宋" w:eastAsia="仿宋" w:cs="仿宋"/>
          <w:b/>
          <w:color w:val="auto"/>
          <w:sz w:val="32"/>
          <w:szCs w:val="32"/>
          <w:highlight w:val="none"/>
          <w:lang w:eastAsia="zh-CN"/>
        </w:rPr>
      </w:pPr>
      <w:r>
        <w:rPr>
          <w:rFonts w:hint="eastAsia" w:ascii="仿宋" w:hAnsi="仿宋" w:eastAsia="仿宋" w:cs="仿宋"/>
          <w:color w:val="auto"/>
          <w:sz w:val="32"/>
          <w:szCs w:val="32"/>
          <w:highlight w:val="none"/>
        </w:rPr>
        <w:t>2021年一般公共预算财政拨款支出</w:t>
      </w:r>
      <w:r>
        <w:rPr>
          <w:rFonts w:hint="eastAsia" w:ascii="仿宋" w:hAnsi="仿宋" w:eastAsia="仿宋" w:cs="仿宋"/>
          <w:color w:val="auto"/>
          <w:sz w:val="32"/>
          <w:szCs w:val="32"/>
          <w:highlight w:val="none"/>
          <w:lang w:eastAsia="zh-CN"/>
        </w:rPr>
        <w:t>417.17</w:t>
      </w:r>
      <w:r>
        <w:rPr>
          <w:rFonts w:hint="eastAsia" w:ascii="仿宋" w:hAnsi="仿宋" w:eastAsia="仿宋" w:cs="仿宋"/>
          <w:color w:val="auto"/>
          <w:sz w:val="32"/>
          <w:szCs w:val="32"/>
          <w:highlight w:val="none"/>
        </w:rPr>
        <w:t>万元，占本年支出合计的</w:t>
      </w:r>
      <w:r>
        <w:rPr>
          <w:rFonts w:hint="eastAsia" w:ascii="仿宋" w:hAnsi="仿宋" w:eastAsia="仿宋" w:cs="仿宋"/>
          <w:color w:val="auto"/>
          <w:sz w:val="32"/>
          <w:szCs w:val="32"/>
          <w:highlight w:val="none"/>
          <w:lang w:val="en-US" w:eastAsia="zh-CN"/>
        </w:rPr>
        <w:t>100</w:t>
      </w:r>
      <w:r>
        <w:rPr>
          <w:rFonts w:hint="eastAsia" w:ascii="仿宋" w:hAnsi="仿宋" w:eastAsia="仿宋" w:cs="仿宋"/>
          <w:color w:val="auto"/>
          <w:sz w:val="32"/>
          <w:szCs w:val="32"/>
          <w:highlight w:val="none"/>
        </w:rPr>
        <w:t>%。与2020年</w:t>
      </w:r>
      <w:r>
        <w:rPr>
          <w:rFonts w:hint="eastAsia" w:ascii="仿宋" w:hAnsi="仿宋" w:eastAsia="仿宋" w:cs="仿宋"/>
          <w:color w:val="auto"/>
          <w:sz w:val="32"/>
          <w:szCs w:val="32"/>
          <w:highlight w:val="none"/>
          <w:lang w:val="en-US" w:eastAsia="zh-CN"/>
        </w:rPr>
        <w:t>442.82</w:t>
      </w:r>
      <w:r>
        <w:rPr>
          <w:rFonts w:hint="eastAsia" w:ascii="仿宋" w:hAnsi="仿宋" w:eastAsia="仿宋" w:cs="仿宋"/>
          <w:color w:val="auto"/>
          <w:sz w:val="32"/>
          <w:szCs w:val="32"/>
          <w:highlight w:val="none"/>
          <w:lang w:eastAsia="zh-CN"/>
        </w:rPr>
        <w:t>万元</w:t>
      </w:r>
      <w:r>
        <w:rPr>
          <w:rFonts w:hint="eastAsia" w:ascii="仿宋" w:hAnsi="仿宋" w:eastAsia="仿宋" w:cs="仿宋"/>
          <w:color w:val="auto"/>
          <w:sz w:val="32"/>
          <w:szCs w:val="32"/>
          <w:highlight w:val="none"/>
        </w:rPr>
        <w:t>相比，一般公共预算财政拨款支出</w:t>
      </w:r>
      <w:r>
        <w:rPr>
          <w:rFonts w:hint="eastAsia" w:ascii="仿宋" w:hAnsi="仿宋" w:eastAsia="仿宋" w:cs="仿宋"/>
          <w:color w:val="auto"/>
          <w:sz w:val="32"/>
          <w:szCs w:val="32"/>
          <w:highlight w:val="none"/>
          <w:lang w:eastAsia="zh-CN"/>
        </w:rPr>
        <w:t>减少25.65</w:t>
      </w:r>
      <w:r>
        <w:rPr>
          <w:rFonts w:hint="eastAsia" w:ascii="仿宋" w:hAnsi="仿宋" w:eastAsia="仿宋" w:cs="仿宋"/>
          <w:color w:val="auto"/>
          <w:sz w:val="32"/>
          <w:szCs w:val="32"/>
          <w:highlight w:val="none"/>
        </w:rPr>
        <w:t>万元，</w:t>
      </w:r>
      <w:r>
        <w:rPr>
          <w:rFonts w:hint="eastAsia" w:ascii="仿宋" w:hAnsi="仿宋" w:eastAsia="仿宋" w:cs="仿宋"/>
          <w:color w:val="auto"/>
          <w:sz w:val="32"/>
          <w:szCs w:val="32"/>
          <w:highlight w:val="none"/>
          <w:lang w:eastAsia="zh-CN"/>
        </w:rPr>
        <w:t>减少5.79</w:t>
      </w:r>
      <w:r>
        <w:rPr>
          <w:rFonts w:hint="eastAsia" w:ascii="仿宋" w:hAnsi="仿宋" w:eastAsia="仿宋" w:cs="仿宋"/>
          <w:color w:val="auto"/>
          <w:sz w:val="32"/>
          <w:szCs w:val="32"/>
          <w:highlight w:val="none"/>
        </w:rPr>
        <w:t>%。主要变动原因是</w:t>
      </w:r>
      <w:r>
        <w:rPr>
          <w:rFonts w:hint="eastAsia" w:ascii="仿宋" w:hAnsi="仿宋" w:eastAsia="仿宋" w:cs="仿宋"/>
          <w:color w:val="auto"/>
          <w:sz w:val="32"/>
          <w:szCs w:val="32"/>
          <w:highlight w:val="none"/>
          <w:lang w:eastAsia="zh-CN"/>
        </w:rPr>
        <w:t>基本支出减少</w:t>
      </w:r>
      <w:r>
        <w:rPr>
          <w:rFonts w:hint="eastAsia" w:ascii="仿宋" w:hAnsi="仿宋" w:eastAsia="仿宋" w:cs="仿宋"/>
          <w:color w:val="auto"/>
          <w:sz w:val="32"/>
          <w:szCs w:val="32"/>
          <w:highlight w:val="none"/>
        </w:rPr>
        <w:t>。</w:t>
      </w:r>
    </w:p>
    <w:p>
      <w:pPr>
        <w:spacing w:line="600" w:lineRule="exact"/>
        <w:ind w:firstLine="643" w:firstLineChars="200"/>
        <w:outlineLvl w:val="2"/>
        <w:rPr>
          <w:rFonts w:hint="eastAsia" w:ascii="仿宋" w:hAnsi="仿宋" w:eastAsia="仿宋" w:cs="仿宋"/>
          <w:b/>
          <w:color w:val="auto"/>
          <w:sz w:val="32"/>
          <w:szCs w:val="32"/>
          <w:highlight w:val="none"/>
        </w:rPr>
      </w:pPr>
      <w:bookmarkStart w:id="50" w:name="_Toc15377211"/>
      <w:r>
        <w:rPr>
          <w:rFonts w:hint="eastAsia" w:ascii="仿宋" w:hAnsi="仿宋" w:eastAsia="仿宋" w:cs="仿宋"/>
          <w:b/>
          <w:color w:val="auto"/>
          <w:sz w:val="32"/>
          <w:szCs w:val="32"/>
          <w:highlight w:val="none"/>
          <w:lang w:eastAsia="zh-CN"/>
        </w:rPr>
        <w:drawing>
          <wp:anchor distT="0" distB="0" distL="114300" distR="114300" simplePos="0" relativeHeight="251663360" behindDoc="0" locked="0" layoutInCell="1" allowOverlap="1">
            <wp:simplePos x="0" y="0"/>
            <wp:positionH relativeFrom="column">
              <wp:posOffset>4445</wp:posOffset>
            </wp:positionH>
            <wp:positionV relativeFrom="paragraph">
              <wp:posOffset>118110</wp:posOffset>
            </wp:positionV>
            <wp:extent cx="5080000" cy="2391410"/>
            <wp:effectExtent l="4445" t="4445" r="20955" b="23495"/>
            <wp:wrapTopAndBottom/>
            <wp:docPr id="15" name="图表 15"/>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anchor>
        </w:drawing>
      </w:r>
      <w:r>
        <w:rPr>
          <w:rFonts w:hint="eastAsia" w:ascii="仿宋" w:hAnsi="仿宋" w:eastAsia="仿宋" w:cs="仿宋"/>
          <w:b/>
          <w:color w:val="auto"/>
          <w:sz w:val="32"/>
          <w:szCs w:val="32"/>
          <w:highlight w:val="none"/>
        </w:rPr>
        <w:t>（二）一般公共预算财政拨款支出决算结构情况</w:t>
      </w:r>
      <w:bookmarkEnd w:id="50"/>
    </w:p>
    <w:p>
      <w:pPr>
        <w:spacing w:line="600" w:lineRule="exact"/>
        <w:ind w:firstLine="640"/>
        <w:rPr>
          <w:rFonts w:hint="eastAsia" w:ascii="仿宋" w:hAnsi="仿宋" w:eastAsia="仿宋" w:cs="仿宋"/>
          <w:color w:val="auto"/>
          <w:sz w:val="32"/>
          <w:szCs w:val="32"/>
          <w:highlight w:val="none"/>
        </w:rPr>
      </w:pPr>
      <w:r>
        <w:rPr>
          <w:rFonts w:hint="eastAsia" w:ascii="仿宋" w:hAnsi="仿宋" w:eastAsia="仿宋" w:cs="仿宋"/>
          <w:b/>
          <w:color w:val="auto"/>
          <w:sz w:val="32"/>
          <w:szCs w:val="32"/>
          <w:highlight w:val="none"/>
        </w:rPr>
        <w:drawing>
          <wp:anchor distT="0" distB="0" distL="114300" distR="114300" simplePos="0" relativeHeight="251664384" behindDoc="0" locked="0" layoutInCell="1" allowOverlap="1">
            <wp:simplePos x="0" y="0"/>
            <wp:positionH relativeFrom="column">
              <wp:posOffset>52070</wp:posOffset>
            </wp:positionH>
            <wp:positionV relativeFrom="paragraph">
              <wp:posOffset>956945</wp:posOffset>
            </wp:positionV>
            <wp:extent cx="5080000" cy="2524125"/>
            <wp:effectExtent l="4445" t="4445" r="20955" b="5080"/>
            <wp:wrapTopAndBottom/>
            <wp:docPr id="16" name="图表 16"/>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anchor>
        </w:drawing>
      </w:r>
      <w:r>
        <w:rPr>
          <w:rFonts w:hint="eastAsia" w:ascii="仿宋" w:hAnsi="仿宋" w:eastAsia="仿宋" w:cs="仿宋"/>
          <w:color w:val="auto"/>
          <w:sz w:val="32"/>
          <w:szCs w:val="32"/>
          <w:highlight w:val="none"/>
        </w:rPr>
        <w:t>2021年一般公共预算财政拨款支出</w:t>
      </w:r>
      <w:r>
        <w:rPr>
          <w:rFonts w:hint="eastAsia" w:ascii="仿宋" w:hAnsi="仿宋" w:eastAsia="仿宋" w:cs="仿宋"/>
          <w:color w:val="auto"/>
          <w:sz w:val="32"/>
          <w:szCs w:val="32"/>
          <w:highlight w:val="none"/>
          <w:lang w:val="en-US" w:eastAsia="zh-CN"/>
        </w:rPr>
        <w:t>417.17</w:t>
      </w:r>
      <w:r>
        <w:rPr>
          <w:rFonts w:hint="eastAsia" w:ascii="仿宋" w:hAnsi="仿宋" w:eastAsia="仿宋" w:cs="仿宋"/>
          <w:color w:val="auto"/>
          <w:sz w:val="32"/>
          <w:szCs w:val="32"/>
          <w:highlight w:val="none"/>
        </w:rPr>
        <w:t>万元，主要用于以下方面:</w:t>
      </w:r>
      <w:r>
        <w:rPr>
          <w:rFonts w:hint="eastAsia" w:ascii="仿宋" w:hAnsi="仿宋" w:eastAsia="仿宋" w:cs="仿宋"/>
          <w:b/>
          <w:color w:val="auto"/>
          <w:sz w:val="32"/>
          <w:szCs w:val="32"/>
          <w:highlight w:val="none"/>
        </w:rPr>
        <w:t>教育支出（类）</w:t>
      </w:r>
      <w:r>
        <w:rPr>
          <w:rFonts w:hint="eastAsia" w:ascii="仿宋" w:hAnsi="仿宋" w:eastAsia="仿宋" w:cs="仿宋"/>
          <w:color w:val="auto"/>
          <w:sz w:val="32"/>
          <w:szCs w:val="32"/>
          <w:highlight w:val="none"/>
          <w:lang w:val="en-US" w:eastAsia="zh-CN"/>
        </w:rPr>
        <w:t>417.17</w:t>
      </w:r>
      <w:r>
        <w:rPr>
          <w:rFonts w:hint="eastAsia" w:ascii="仿宋" w:hAnsi="仿宋" w:eastAsia="仿宋" w:cs="仿宋"/>
          <w:color w:val="auto"/>
          <w:sz w:val="32"/>
          <w:szCs w:val="32"/>
          <w:highlight w:val="none"/>
        </w:rPr>
        <w:t>万元，占100%。</w:t>
      </w:r>
    </w:p>
    <w:p>
      <w:pPr>
        <w:spacing w:line="600" w:lineRule="exact"/>
        <w:ind w:left="0" w:leftChars="0" w:firstLine="643" w:firstLineChars="200"/>
        <w:rPr>
          <w:rFonts w:hint="eastAsia" w:ascii="仿宋" w:hAnsi="仿宋" w:eastAsia="仿宋" w:cs="仿宋"/>
          <w:b/>
          <w:color w:val="auto"/>
          <w:sz w:val="32"/>
          <w:szCs w:val="32"/>
          <w:highlight w:val="none"/>
        </w:rPr>
      </w:pPr>
      <w:bookmarkStart w:id="51" w:name="_Toc15377212"/>
      <w:r>
        <w:rPr>
          <w:rFonts w:hint="eastAsia" w:ascii="仿宋" w:hAnsi="仿宋" w:eastAsia="仿宋" w:cs="仿宋"/>
          <w:b/>
          <w:color w:val="auto"/>
          <w:sz w:val="32"/>
          <w:szCs w:val="32"/>
          <w:highlight w:val="none"/>
        </w:rPr>
        <w:t>（三）一般公共预算财政拨款支出决算具体情况</w:t>
      </w:r>
      <w:bookmarkEnd w:id="51"/>
    </w:p>
    <w:p>
      <w:pPr>
        <w:spacing w:line="600" w:lineRule="exact"/>
        <w:ind w:firstLine="643" w:firstLineChars="200"/>
        <w:outlineLvl w:val="2"/>
        <w:rPr>
          <w:rFonts w:hint="eastAsia" w:ascii="仿宋" w:hAnsi="仿宋" w:eastAsia="仿宋" w:cs="仿宋"/>
          <w:color w:val="auto"/>
          <w:sz w:val="32"/>
          <w:szCs w:val="32"/>
          <w:highlight w:val="none"/>
        </w:rPr>
      </w:pPr>
      <w:bookmarkStart w:id="52" w:name="_Toc15377444"/>
      <w:bookmarkStart w:id="53" w:name="_Toc15377213"/>
      <w:bookmarkStart w:id="54" w:name="_Toc15378460"/>
      <w:r>
        <w:rPr>
          <w:rFonts w:hint="eastAsia" w:ascii="仿宋" w:hAnsi="仿宋" w:eastAsia="仿宋" w:cs="仿宋"/>
          <w:b/>
          <w:color w:val="auto"/>
          <w:sz w:val="32"/>
          <w:szCs w:val="32"/>
          <w:highlight w:val="none"/>
        </w:rPr>
        <w:t>2021年一般公共预算支出决算数为</w:t>
      </w:r>
      <w:r>
        <w:rPr>
          <w:rFonts w:hint="eastAsia" w:ascii="仿宋" w:hAnsi="仿宋" w:eastAsia="仿宋" w:cs="仿宋"/>
          <w:b/>
          <w:color w:val="auto"/>
          <w:sz w:val="32"/>
          <w:szCs w:val="32"/>
          <w:highlight w:val="none"/>
          <w:lang w:val="en-US" w:eastAsia="zh-CN"/>
        </w:rPr>
        <w:t>417.17万元</w:t>
      </w:r>
      <w:r>
        <w:rPr>
          <w:rFonts w:hint="eastAsia" w:ascii="仿宋" w:hAnsi="仿宋" w:eastAsia="仿宋" w:cs="仿宋"/>
          <w:color w:val="auto"/>
          <w:sz w:val="32"/>
          <w:szCs w:val="32"/>
          <w:highlight w:val="none"/>
        </w:rPr>
        <w:t>，</w:t>
      </w:r>
      <w:r>
        <w:rPr>
          <w:rStyle w:val="19"/>
          <w:rFonts w:hint="eastAsia" w:ascii="仿宋" w:hAnsi="仿宋" w:eastAsia="仿宋" w:cs="仿宋"/>
          <w:bCs/>
          <w:color w:val="auto"/>
          <w:sz w:val="32"/>
          <w:szCs w:val="32"/>
          <w:highlight w:val="none"/>
        </w:rPr>
        <w:t>完成预算100%。其中：</w:t>
      </w:r>
      <w:bookmarkEnd w:id="52"/>
      <w:bookmarkEnd w:id="53"/>
      <w:bookmarkEnd w:id="54"/>
    </w:p>
    <w:p>
      <w:pPr>
        <w:spacing w:line="600" w:lineRule="exact"/>
        <w:ind w:firstLine="643" w:firstLineChars="200"/>
        <w:rPr>
          <w:rFonts w:hint="eastAsia" w:ascii="仿宋" w:hAnsi="仿宋" w:eastAsia="仿宋" w:cs="仿宋"/>
          <w:b/>
          <w:color w:val="auto"/>
          <w:sz w:val="32"/>
          <w:szCs w:val="32"/>
          <w:highlight w:val="none"/>
        </w:rPr>
      </w:pPr>
      <w:r>
        <w:rPr>
          <w:rStyle w:val="19"/>
          <w:rFonts w:hint="eastAsia" w:ascii="仿宋" w:hAnsi="仿宋" w:eastAsia="仿宋" w:cs="仿宋"/>
          <w:bCs/>
          <w:color w:val="auto"/>
          <w:sz w:val="32"/>
          <w:szCs w:val="32"/>
          <w:highlight w:val="none"/>
        </w:rPr>
        <w:t>1.教育205（类）普通教育02（款）</w:t>
      </w:r>
      <w:r>
        <w:rPr>
          <w:rStyle w:val="19"/>
          <w:rFonts w:hint="eastAsia" w:ascii="仿宋" w:hAnsi="仿宋" w:eastAsia="仿宋" w:cs="仿宋"/>
          <w:bCs/>
          <w:color w:val="auto"/>
          <w:sz w:val="32"/>
          <w:szCs w:val="32"/>
          <w:highlight w:val="none"/>
          <w:lang w:eastAsia="zh-CN"/>
        </w:rPr>
        <w:t>小学</w:t>
      </w:r>
      <w:r>
        <w:rPr>
          <w:rStyle w:val="19"/>
          <w:rFonts w:hint="eastAsia" w:ascii="仿宋" w:hAnsi="仿宋" w:eastAsia="仿宋" w:cs="仿宋"/>
          <w:bCs/>
          <w:color w:val="auto"/>
          <w:sz w:val="32"/>
          <w:szCs w:val="32"/>
          <w:highlight w:val="none"/>
        </w:rPr>
        <w:t>教育0</w:t>
      </w:r>
      <w:r>
        <w:rPr>
          <w:rStyle w:val="19"/>
          <w:rFonts w:hint="eastAsia" w:ascii="仿宋" w:hAnsi="仿宋" w:eastAsia="仿宋" w:cs="仿宋"/>
          <w:bCs/>
          <w:color w:val="auto"/>
          <w:sz w:val="32"/>
          <w:szCs w:val="32"/>
          <w:highlight w:val="none"/>
          <w:lang w:val="en-US" w:eastAsia="zh-CN"/>
        </w:rPr>
        <w:t>2</w:t>
      </w:r>
      <w:r>
        <w:rPr>
          <w:rStyle w:val="19"/>
          <w:rFonts w:hint="eastAsia" w:ascii="仿宋" w:hAnsi="仿宋" w:eastAsia="仿宋" w:cs="仿宋"/>
          <w:bCs/>
          <w:color w:val="auto"/>
          <w:sz w:val="32"/>
          <w:szCs w:val="32"/>
          <w:highlight w:val="none"/>
        </w:rPr>
        <w:t>（项）:</w:t>
      </w:r>
      <w:r>
        <w:rPr>
          <w:rStyle w:val="19"/>
          <w:rFonts w:hint="eastAsia" w:ascii="仿宋" w:hAnsi="仿宋" w:eastAsia="仿宋" w:cs="仿宋"/>
          <w:b w:val="0"/>
          <w:bCs/>
          <w:color w:val="auto"/>
          <w:sz w:val="32"/>
          <w:szCs w:val="32"/>
          <w:highlight w:val="none"/>
        </w:rPr>
        <w:t xml:space="preserve"> 支出决算为</w:t>
      </w:r>
      <w:r>
        <w:rPr>
          <w:rStyle w:val="19"/>
          <w:rFonts w:hint="eastAsia" w:ascii="仿宋" w:hAnsi="仿宋" w:eastAsia="仿宋" w:cs="仿宋"/>
          <w:b w:val="0"/>
          <w:bCs/>
          <w:color w:val="auto"/>
          <w:sz w:val="32"/>
          <w:szCs w:val="32"/>
          <w:highlight w:val="none"/>
          <w:lang w:eastAsia="zh-CN"/>
        </w:rPr>
        <w:t>327.17</w:t>
      </w:r>
      <w:r>
        <w:rPr>
          <w:rStyle w:val="19"/>
          <w:rFonts w:hint="eastAsia" w:ascii="仿宋" w:hAnsi="仿宋" w:eastAsia="仿宋" w:cs="仿宋"/>
          <w:b w:val="0"/>
          <w:bCs/>
          <w:color w:val="auto"/>
          <w:sz w:val="32"/>
          <w:szCs w:val="32"/>
          <w:highlight w:val="none"/>
        </w:rPr>
        <w:t>万元，完成预算100%</w:t>
      </w:r>
      <w:r>
        <w:rPr>
          <w:rStyle w:val="19"/>
          <w:rFonts w:hint="eastAsia" w:ascii="仿宋" w:hAnsi="仿宋" w:eastAsia="仿宋" w:cs="仿宋"/>
          <w:b w:val="0"/>
          <w:bCs/>
          <w:color w:val="auto"/>
          <w:sz w:val="32"/>
          <w:szCs w:val="32"/>
          <w:highlight w:val="none"/>
          <w:lang w:eastAsia="zh-CN"/>
        </w:rPr>
        <w:t>，</w:t>
      </w:r>
      <w:r>
        <w:rPr>
          <w:rStyle w:val="19"/>
          <w:rFonts w:hint="eastAsia" w:ascii="仿宋" w:hAnsi="仿宋" w:eastAsia="仿宋" w:cs="仿宋"/>
          <w:b w:val="0"/>
          <w:bCs/>
          <w:color w:val="auto"/>
          <w:sz w:val="32"/>
          <w:szCs w:val="32"/>
          <w:highlight w:val="none"/>
        </w:rPr>
        <w:t>决算数等于预算数。</w:t>
      </w:r>
    </w:p>
    <w:p>
      <w:pPr>
        <w:spacing w:line="600" w:lineRule="exact"/>
        <w:ind w:firstLine="643" w:firstLineChars="200"/>
        <w:rPr>
          <w:rStyle w:val="19"/>
          <w:rFonts w:hint="eastAsia" w:ascii="仿宋" w:hAnsi="仿宋" w:eastAsia="仿宋" w:cs="仿宋"/>
          <w:b w:val="0"/>
          <w:bCs/>
          <w:color w:val="auto"/>
          <w:sz w:val="32"/>
          <w:szCs w:val="32"/>
          <w:highlight w:val="none"/>
        </w:rPr>
      </w:pPr>
      <w:r>
        <w:rPr>
          <w:rStyle w:val="19"/>
          <w:rFonts w:hint="eastAsia" w:ascii="仿宋" w:hAnsi="仿宋" w:eastAsia="仿宋" w:cs="仿宋"/>
          <w:bCs/>
          <w:color w:val="auto"/>
          <w:sz w:val="32"/>
          <w:szCs w:val="32"/>
          <w:highlight w:val="none"/>
        </w:rPr>
        <w:t>2.教育205（类）普通教育0</w:t>
      </w:r>
      <w:r>
        <w:rPr>
          <w:rStyle w:val="19"/>
          <w:rFonts w:hint="eastAsia" w:ascii="仿宋" w:hAnsi="仿宋" w:eastAsia="仿宋" w:cs="仿宋"/>
          <w:bCs/>
          <w:color w:val="auto"/>
          <w:sz w:val="32"/>
          <w:szCs w:val="32"/>
          <w:highlight w:val="none"/>
          <w:lang w:val="en-US" w:eastAsia="zh-CN"/>
        </w:rPr>
        <w:t>2</w:t>
      </w:r>
      <w:r>
        <w:rPr>
          <w:rStyle w:val="19"/>
          <w:rFonts w:hint="eastAsia" w:ascii="仿宋" w:hAnsi="仿宋" w:eastAsia="仿宋" w:cs="仿宋"/>
          <w:bCs/>
          <w:color w:val="auto"/>
          <w:sz w:val="32"/>
          <w:szCs w:val="32"/>
          <w:highlight w:val="none"/>
        </w:rPr>
        <w:t>（款）</w:t>
      </w:r>
      <w:r>
        <w:rPr>
          <w:rStyle w:val="19"/>
          <w:rFonts w:hint="eastAsia" w:ascii="仿宋" w:hAnsi="仿宋" w:eastAsia="仿宋" w:cs="仿宋"/>
          <w:bCs/>
          <w:color w:val="auto"/>
          <w:sz w:val="32"/>
          <w:szCs w:val="32"/>
          <w:highlight w:val="none"/>
          <w:lang w:eastAsia="zh-CN"/>
        </w:rPr>
        <w:t>其他普通教育支出</w:t>
      </w:r>
      <w:r>
        <w:rPr>
          <w:rStyle w:val="19"/>
          <w:rFonts w:hint="eastAsia" w:ascii="仿宋" w:hAnsi="仿宋" w:eastAsia="仿宋" w:cs="仿宋"/>
          <w:bCs/>
          <w:color w:val="auto"/>
          <w:sz w:val="32"/>
          <w:szCs w:val="32"/>
          <w:highlight w:val="none"/>
        </w:rPr>
        <w:t>0</w:t>
      </w:r>
      <w:r>
        <w:rPr>
          <w:rStyle w:val="19"/>
          <w:rFonts w:hint="eastAsia" w:ascii="仿宋" w:hAnsi="仿宋" w:eastAsia="仿宋" w:cs="仿宋"/>
          <w:bCs/>
          <w:color w:val="auto"/>
          <w:sz w:val="32"/>
          <w:szCs w:val="32"/>
          <w:highlight w:val="none"/>
          <w:lang w:val="en-US" w:eastAsia="zh-CN"/>
        </w:rPr>
        <w:t>9</w:t>
      </w:r>
      <w:r>
        <w:rPr>
          <w:rStyle w:val="19"/>
          <w:rFonts w:hint="eastAsia" w:ascii="仿宋" w:hAnsi="仿宋" w:eastAsia="仿宋" w:cs="仿宋"/>
          <w:bCs/>
          <w:color w:val="auto"/>
          <w:sz w:val="32"/>
          <w:szCs w:val="32"/>
          <w:highlight w:val="none"/>
        </w:rPr>
        <w:t>（项）:</w:t>
      </w:r>
      <w:r>
        <w:rPr>
          <w:rStyle w:val="19"/>
          <w:rFonts w:hint="eastAsia" w:ascii="仿宋" w:hAnsi="仿宋" w:eastAsia="仿宋" w:cs="仿宋"/>
          <w:b w:val="0"/>
          <w:bCs/>
          <w:color w:val="auto"/>
          <w:sz w:val="32"/>
          <w:szCs w:val="32"/>
          <w:highlight w:val="none"/>
        </w:rPr>
        <w:t xml:space="preserve"> 支出决算为</w:t>
      </w:r>
      <w:r>
        <w:rPr>
          <w:rStyle w:val="19"/>
          <w:rFonts w:hint="eastAsia" w:ascii="仿宋" w:hAnsi="仿宋" w:eastAsia="仿宋" w:cs="仿宋"/>
          <w:b w:val="0"/>
          <w:bCs/>
          <w:color w:val="auto"/>
          <w:sz w:val="32"/>
          <w:szCs w:val="32"/>
          <w:highlight w:val="none"/>
          <w:lang w:val="en-US" w:eastAsia="zh-CN"/>
        </w:rPr>
        <w:t>90</w:t>
      </w:r>
      <w:r>
        <w:rPr>
          <w:rStyle w:val="19"/>
          <w:rFonts w:hint="eastAsia" w:ascii="仿宋" w:hAnsi="仿宋" w:eastAsia="仿宋" w:cs="仿宋"/>
          <w:b w:val="0"/>
          <w:bCs/>
          <w:color w:val="auto"/>
          <w:sz w:val="32"/>
          <w:szCs w:val="32"/>
          <w:highlight w:val="none"/>
        </w:rPr>
        <w:t>万元，完成预算100%。</w:t>
      </w:r>
      <w:r>
        <w:rPr>
          <w:rStyle w:val="19"/>
          <w:rFonts w:hint="eastAsia" w:ascii="仿宋" w:hAnsi="仿宋" w:eastAsia="仿宋" w:cs="仿宋"/>
          <w:b w:val="0"/>
          <w:bCs/>
          <w:color w:val="auto"/>
          <w:sz w:val="32"/>
          <w:szCs w:val="32"/>
          <w:highlight w:val="none"/>
          <w:lang w:eastAsia="zh-CN"/>
        </w:rPr>
        <w:t>，</w:t>
      </w:r>
      <w:r>
        <w:rPr>
          <w:rStyle w:val="19"/>
          <w:rFonts w:hint="eastAsia" w:ascii="仿宋" w:hAnsi="仿宋" w:eastAsia="仿宋" w:cs="仿宋"/>
          <w:b w:val="0"/>
          <w:bCs/>
          <w:color w:val="auto"/>
          <w:sz w:val="32"/>
          <w:szCs w:val="32"/>
          <w:highlight w:val="none"/>
        </w:rPr>
        <w:t>决算数等于预算数。</w:t>
      </w:r>
    </w:p>
    <w:p>
      <w:pPr>
        <w:pStyle w:val="2"/>
        <w:rPr>
          <w:rFonts w:hint="eastAsia" w:ascii="仿宋" w:hAnsi="仿宋" w:eastAsia="仿宋" w:cs="仿宋"/>
          <w:color w:val="auto"/>
          <w:highlight w:val="none"/>
        </w:rPr>
      </w:pPr>
    </w:p>
    <w:p>
      <w:pPr>
        <w:pStyle w:val="5"/>
        <w:bidi w:val="0"/>
        <w:rPr>
          <w:rFonts w:hint="eastAsia" w:ascii="仿宋" w:hAnsi="仿宋" w:eastAsia="仿宋" w:cs="仿宋"/>
          <w:color w:val="auto"/>
          <w:highlight w:val="none"/>
        </w:rPr>
      </w:pPr>
      <w:bookmarkStart w:id="55" w:name="_Toc15377214"/>
      <w:bookmarkStart w:id="56" w:name="_Toc15396608"/>
      <w:bookmarkStart w:id="57" w:name="_Toc23757"/>
      <w:r>
        <w:rPr>
          <w:rFonts w:hint="eastAsia" w:ascii="仿宋" w:hAnsi="仿宋" w:eastAsia="仿宋" w:cs="仿宋"/>
          <w:color w:val="auto"/>
          <w:highlight w:val="none"/>
        </w:rPr>
        <w:t>六、一般公共预算财政拨款基本支出决算情况说明</w:t>
      </w:r>
      <w:bookmarkEnd w:id="55"/>
      <w:bookmarkEnd w:id="56"/>
      <w:bookmarkEnd w:id="57"/>
      <w:r>
        <w:rPr>
          <w:rFonts w:hint="eastAsia" w:ascii="仿宋" w:hAnsi="仿宋" w:eastAsia="仿宋" w:cs="仿宋"/>
          <w:color w:val="auto"/>
          <w:highlight w:val="none"/>
        </w:rPr>
        <w:tab/>
      </w:r>
    </w:p>
    <w:p>
      <w:pPr>
        <w:spacing w:line="600" w:lineRule="exact"/>
        <w:ind w:firstLine="645"/>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2021年一般公共预算财政拨款基本支出</w:t>
      </w:r>
      <w:r>
        <w:rPr>
          <w:rFonts w:hint="eastAsia" w:ascii="仿宋" w:hAnsi="仿宋" w:eastAsia="仿宋" w:cs="仿宋"/>
          <w:color w:val="auto"/>
          <w:sz w:val="32"/>
          <w:szCs w:val="32"/>
          <w:highlight w:val="none"/>
          <w:lang w:eastAsia="zh-CN"/>
        </w:rPr>
        <w:t>327.17</w:t>
      </w:r>
      <w:r>
        <w:rPr>
          <w:rFonts w:hint="eastAsia" w:ascii="仿宋" w:hAnsi="仿宋" w:eastAsia="仿宋" w:cs="仿宋"/>
          <w:color w:val="auto"/>
          <w:sz w:val="32"/>
          <w:szCs w:val="32"/>
          <w:highlight w:val="none"/>
        </w:rPr>
        <w:t>万元，其中：</w:t>
      </w:r>
    </w:p>
    <w:p>
      <w:pPr>
        <w:spacing w:line="600" w:lineRule="exact"/>
        <w:ind w:firstLine="645"/>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人员经费</w:t>
      </w:r>
      <w:r>
        <w:rPr>
          <w:rFonts w:hint="eastAsia" w:ascii="仿宋" w:hAnsi="仿宋" w:eastAsia="仿宋" w:cs="仿宋"/>
          <w:color w:val="auto"/>
          <w:sz w:val="32"/>
          <w:szCs w:val="32"/>
          <w:highlight w:val="none"/>
          <w:lang w:val="en-US" w:eastAsia="zh-CN"/>
        </w:rPr>
        <w:t>296.54</w:t>
      </w:r>
      <w:r>
        <w:rPr>
          <w:rFonts w:hint="eastAsia" w:ascii="仿宋" w:hAnsi="仿宋" w:eastAsia="仿宋" w:cs="仿宋"/>
          <w:color w:val="auto"/>
          <w:sz w:val="32"/>
          <w:szCs w:val="32"/>
          <w:highlight w:val="none"/>
        </w:rPr>
        <w:t>万元，主要包括：基本工资、津贴补贴、绩效工资、机关事业单位基本养老保险缴费、职工基本医疗保险缴费</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rPr>
        <w:t>其他社会保障缴费、其他工资福利支出、生活补助、助学金</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rPr>
        <w:t>奖励金、住房公积金</w:t>
      </w:r>
      <w:r>
        <w:rPr>
          <w:rFonts w:hint="eastAsia" w:ascii="仿宋" w:hAnsi="仿宋" w:eastAsia="仿宋" w:cs="仿宋"/>
          <w:color w:val="auto"/>
          <w:sz w:val="32"/>
          <w:szCs w:val="32"/>
          <w:highlight w:val="none"/>
          <w:lang w:eastAsia="zh-CN"/>
        </w:rPr>
        <w:t>、其他个人和家庭的补助支出</w:t>
      </w:r>
      <w:r>
        <w:rPr>
          <w:rFonts w:hint="eastAsia" w:ascii="仿宋" w:hAnsi="仿宋" w:eastAsia="仿宋" w:cs="仿宋"/>
          <w:color w:val="auto"/>
          <w:sz w:val="32"/>
          <w:szCs w:val="32"/>
          <w:highlight w:val="none"/>
        </w:rPr>
        <w:t>等。</w:t>
      </w:r>
    </w:p>
    <w:p>
      <w:pPr>
        <w:spacing w:line="600" w:lineRule="exact"/>
        <w:ind w:firstLine="645"/>
        <w:rPr>
          <w:rFonts w:hint="eastAsia" w:ascii="仿宋" w:hAnsi="仿宋" w:eastAsia="仿宋" w:cs="仿宋"/>
          <w:b/>
          <w:color w:val="auto"/>
          <w:sz w:val="32"/>
          <w:szCs w:val="32"/>
          <w:highlight w:val="none"/>
        </w:rPr>
      </w:pPr>
      <w:r>
        <w:rPr>
          <w:rFonts w:hint="eastAsia" w:ascii="仿宋" w:hAnsi="仿宋" w:eastAsia="仿宋" w:cs="仿宋"/>
          <w:color w:val="auto"/>
          <w:sz w:val="32"/>
          <w:szCs w:val="32"/>
          <w:highlight w:val="none"/>
        </w:rPr>
        <w:t>公用经费</w:t>
      </w:r>
      <w:r>
        <w:rPr>
          <w:rFonts w:hint="eastAsia" w:ascii="仿宋" w:hAnsi="仿宋" w:eastAsia="仿宋" w:cs="仿宋"/>
          <w:color w:val="auto"/>
          <w:sz w:val="32"/>
          <w:szCs w:val="32"/>
          <w:highlight w:val="none"/>
          <w:lang w:val="en-US" w:eastAsia="zh-CN"/>
        </w:rPr>
        <w:t>30.64</w:t>
      </w:r>
      <w:r>
        <w:rPr>
          <w:rFonts w:hint="eastAsia" w:ascii="仿宋" w:hAnsi="仿宋" w:eastAsia="仿宋" w:cs="仿宋"/>
          <w:color w:val="auto"/>
          <w:sz w:val="32"/>
          <w:szCs w:val="32"/>
          <w:highlight w:val="none"/>
        </w:rPr>
        <w:t>万元，主要包括：办公费、印刷费、手续费、水费、电费、邮电费、差旅费、维修（护）费、培训费、公务接待费、工会经费等。</w:t>
      </w:r>
    </w:p>
    <w:p>
      <w:pPr>
        <w:pStyle w:val="5"/>
        <w:bidi w:val="0"/>
        <w:rPr>
          <w:rFonts w:hint="eastAsia" w:ascii="仿宋" w:hAnsi="仿宋" w:eastAsia="仿宋" w:cs="仿宋"/>
          <w:color w:val="auto"/>
          <w:highlight w:val="none"/>
        </w:rPr>
      </w:pPr>
      <w:bookmarkStart w:id="58" w:name="_Toc15377215"/>
      <w:bookmarkStart w:id="59" w:name="_Toc15396609"/>
      <w:bookmarkStart w:id="60" w:name="_Toc16373"/>
      <w:r>
        <w:rPr>
          <w:rFonts w:hint="eastAsia" w:ascii="仿宋" w:hAnsi="仿宋" w:eastAsia="仿宋" w:cs="仿宋"/>
          <w:color w:val="auto"/>
          <w:highlight w:val="none"/>
        </w:rPr>
        <w:t>七、“三公”经费财政拨款支出决算情况说明</w:t>
      </w:r>
      <w:bookmarkEnd w:id="58"/>
      <w:bookmarkEnd w:id="59"/>
      <w:bookmarkEnd w:id="60"/>
    </w:p>
    <w:p>
      <w:pPr>
        <w:spacing w:line="600" w:lineRule="exact"/>
        <w:ind w:firstLine="640"/>
        <w:outlineLvl w:val="2"/>
        <w:rPr>
          <w:rFonts w:hint="eastAsia" w:ascii="仿宋" w:hAnsi="仿宋" w:eastAsia="仿宋" w:cs="仿宋"/>
          <w:b/>
          <w:color w:val="auto"/>
          <w:sz w:val="32"/>
          <w:szCs w:val="32"/>
          <w:highlight w:val="none"/>
        </w:rPr>
      </w:pPr>
      <w:bookmarkStart w:id="61" w:name="_Toc15377216"/>
      <w:r>
        <w:rPr>
          <w:rFonts w:hint="eastAsia" w:ascii="仿宋" w:hAnsi="仿宋" w:eastAsia="仿宋" w:cs="仿宋"/>
          <w:b/>
          <w:color w:val="auto"/>
          <w:sz w:val="32"/>
          <w:szCs w:val="32"/>
          <w:highlight w:val="none"/>
        </w:rPr>
        <w:t>（一）“三公”经费财政拨款支出决算总体情况说明</w:t>
      </w:r>
      <w:bookmarkEnd w:id="61"/>
    </w:p>
    <w:p>
      <w:pPr>
        <w:spacing w:line="600" w:lineRule="exact"/>
        <w:ind w:firstLine="64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2021年“三公”经费财政拨款支出决算为</w:t>
      </w:r>
      <w:r>
        <w:rPr>
          <w:rFonts w:hint="eastAsia" w:ascii="仿宋" w:hAnsi="仿宋" w:eastAsia="仿宋" w:cs="仿宋"/>
          <w:color w:val="auto"/>
          <w:sz w:val="32"/>
          <w:szCs w:val="32"/>
          <w:highlight w:val="none"/>
          <w:lang w:val="en-US" w:eastAsia="zh-CN"/>
        </w:rPr>
        <w:t>0.52</w:t>
      </w:r>
      <w:r>
        <w:rPr>
          <w:rFonts w:hint="eastAsia" w:ascii="仿宋" w:hAnsi="仿宋" w:eastAsia="仿宋" w:cs="仿宋"/>
          <w:color w:val="auto"/>
          <w:sz w:val="32"/>
          <w:szCs w:val="32"/>
          <w:highlight w:val="none"/>
        </w:rPr>
        <w:t>万元，完成预算</w:t>
      </w:r>
      <w:r>
        <w:rPr>
          <w:rFonts w:hint="eastAsia" w:ascii="仿宋" w:hAnsi="仿宋" w:eastAsia="仿宋" w:cs="仿宋"/>
          <w:color w:val="auto"/>
          <w:sz w:val="32"/>
          <w:szCs w:val="32"/>
          <w:highlight w:val="none"/>
          <w:lang w:val="en-US" w:eastAsia="zh-CN"/>
        </w:rPr>
        <w:t>94.55</w:t>
      </w:r>
      <w:r>
        <w:rPr>
          <w:rFonts w:hint="eastAsia" w:ascii="仿宋" w:hAnsi="仿宋" w:eastAsia="仿宋" w:cs="仿宋"/>
          <w:color w:val="auto"/>
          <w:sz w:val="32"/>
          <w:szCs w:val="32"/>
          <w:highlight w:val="none"/>
        </w:rPr>
        <w:t>%，主要原因</w:t>
      </w:r>
      <w:r>
        <w:rPr>
          <w:rFonts w:hint="eastAsia" w:ascii="仿宋" w:hAnsi="仿宋" w:eastAsia="仿宋" w:cs="仿宋"/>
          <w:color w:val="auto"/>
          <w:sz w:val="32"/>
          <w:szCs w:val="32"/>
          <w:highlight w:val="none"/>
        </w:rPr>
        <w:t>是</w:t>
      </w:r>
      <w:r>
        <w:rPr>
          <w:rFonts w:hint="eastAsia" w:ascii="仿宋" w:hAnsi="仿宋" w:eastAsia="仿宋" w:cs="仿宋"/>
          <w:color w:val="auto"/>
          <w:sz w:val="32"/>
          <w:szCs w:val="32"/>
          <w:highlight w:val="none"/>
          <w:lang w:eastAsia="zh-CN"/>
        </w:rPr>
        <w:t>认真贯彻落实中央八项规定精神，采取有效措施严格控制接待范围和接待标准</w:t>
      </w:r>
      <w:r>
        <w:rPr>
          <w:rFonts w:hint="eastAsia" w:ascii="仿宋" w:hAnsi="仿宋" w:eastAsia="仿宋" w:cs="仿宋"/>
          <w:color w:val="auto"/>
          <w:sz w:val="32"/>
          <w:szCs w:val="32"/>
          <w:highlight w:val="none"/>
        </w:rPr>
        <w:t>。</w:t>
      </w:r>
    </w:p>
    <w:p>
      <w:pPr>
        <w:spacing w:line="600" w:lineRule="exact"/>
        <w:ind w:firstLine="640"/>
        <w:outlineLvl w:val="2"/>
        <w:rPr>
          <w:rFonts w:hint="eastAsia" w:ascii="仿宋" w:hAnsi="仿宋" w:eastAsia="仿宋" w:cs="仿宋"/>
          <w:b/>
          <w:color w:val="auto"/>
          <w:sz w:val="32"/>
          <w:szCs w:val="32"/>
          <w:highlight w:val="none"/>
        </w:rPr>
      </w:pPr>
      <w:bookmarkStart w:id="62" w:name="_Toc15377217"/>
      <w:r>
        <w:rPr>
          <w:rFonts w:hint="eastAsia" w:ascii="仿宋" w:hAnsi="仿宋" w:eastAsia="仿宋" w:cs="仿宋"/>
          <w:b/>
          <w:color w:val="auto"/>
          <w:sz w:val="32"/>
          <w:szCs w:val="32"/>
          <w:highlight w:val="none"/>
        </w:rPr>
        <w:t>（二）“三公”经费财政拨款支出决算具体情况说明</w:t>
      </w:r>
      <w:bookmarkEnd w:id="62"/>
    </w:p>
    <w:p>
      <w:pPr>
        <w:spacing w:line="600" w:lineRule="exact"/>
        <w:ind w:firstLine="640" w:firstLineChars="200"/>
        <w:rPr>
          <w:rFonts w:hint="eastAsia" w:ascii="仿宋" w:hAnsi="仿宋" w:eastAsia="仿宋" w:cs="仿宋"/>
          <w:b/>
          <w:color w:val="auto"/>
          <w:sz w:val="32"/>
          <w:szCs w:val="32"/>
          <w:highlight w:val="none"/>
        </w:rPr>
      </w:pPr>
      <w:r>
        <w:rPr>
          <w:rFonts w:hint="eastAsia" w:ascii="仿宋" w:hAnsi="仿宋" w:eastAsia="仿宋" w:cs="仿宋"/>
          <w:color w:val="auto"/>
          <w:sz w:val="32"/>
          <w:szCs w:val="32"/>
          <w:highlight w:val="none"/>
        </w:rPr>
        <w:t>2021年“三公”经费</w:t>
      </w:r>
      <w:r>
        <w:rPr>
          <w:rFonts w:hint="eastAsia" w:ascii="仿宋" w:hAnsi="仿宋" w:eastAsia="仿宋" w:cs="仿宋"/>
          <w:color w:val="auto"/>
          <w:sz w:val="32"/>
          <w:szCs w:val="32"/>
          <w:highlight w:val="none"/>
        </w:rPr>
        <w:t>财政拨款支出决算中，因公出国（境）费支出决算0万元，当年未安排</w:t>
      </w:r>
      <w:r>
        <w:rPr>
          <w:rFonts w:hint="eastAsia" w:ascii="仿宋" w:hAnsi="仿宋" w:eastAsia="仿宋" w:cs="仿宋"/>
          <w:color w:val="auto"/>
          <w:sz w:val="32"/>
          <w:szCs w:val="32"/>
          <w:highlight w:val="none"/>
          <w:lang w:eastAsia="zh-CN"/>
        </w:rPr>
        <w:t>预算</w:t>
      </w:r>
      <w:r>
        <w:rPr>
          <w:rFonts w:hint="eastAsia" w:ascii="仿宋" w:hAnsi="仿宋" w:eastAsia="仿宋" w:cs="仿宋"/>
          <w:color w:val="auto"/>
          <w:sz w:val="32"/>
          <w:szCs w:val="32"/>
          <w:highlight w:val="none"/>
          <w:lang w:val="en-US" w:eastAsia="zh-CN"/>
        </w:rPr>
        <w:t>，与上年持平</w:t>
      </w:r>
      <w:r>
        <w:rPr>
          <w:rFonts w:hint="eastAsia" w:ascii="仿宋" w:hAnsi="仿宋" w:eastAsia="仿宋" w:cs="仿宋"/>
          <w:color w:val="auto"/>
          <w:sz w:val="32"/>
          <w:szCs w:val="32"/>
          <w:highlight w:val="none"/>
        </w:rPr>
        <w:t>；公务用车购置及运行维护费支出决算0万元，当年未安排</w:t>
      </w:r>
      <w:r>
        <w:rPr>
          <w:rFonts w:hint="eastAsia" w:ascii="仿宋" w:hAnsi="仿宋" w:eastAsia="仿宋" w:cs="仿宋"/>
          <w:color w:val="auto"/>
          <w:sz w:val="32"/>
          <w:szCs w:val="32"/>
          <w:highlight w:val="none"/>
          <w:lang w:eastAsia="zh-CN"/>
        </w:rPr>
        <w:t>预算</w:t>
      </w:r>
      <w:r>
        <w:rPr>
          <w:rFonts w:hint="eastAsia" w:ascii="仿宋" w:hAnsi="仿宋" w:eastAsia="仿宋" w:cs="仿宋"/>
          <w:color w:val="auto"/>
          <w:sz w:val="32"/>
          <w:szCs w:val="32"/>
          <w:highlight w:val="none"/>
          <w:lang w:val="en-US" w:eastAsia="zh-CN"/>
        </w:rPr>
        <w:t>，与上年持平</w:t>
      </w:r>
      <w:r>
        <w:rPr>
          <w:rFonts w:hint="eastAsia" w:ascii="仿宋" w:hAnsi="仿宋" w:eastAsia="仿宋" w:cs="仿宋"/>
          <w:color w:val="auto"/>
          <w:sz w:val="32"/>
          <w:szCs w:val="32"/>
          <w:highlight w:val="none"/>
        </w:rPr>
        <w:t>；公务接待费支出决算</w:t>
      </w:r>
      <w:r>
        <w:rPr>
          <w:rFonts w:hint="eastAsia" w:ascii="仿宋" w:hAnsi="仿宋" w:eastAsia="仿宋" w:cs="仿宋"/>
          <w:color w:val="auto"/>
          <w:sz w:val="32"/>
          <w:szCs w:val="32"/>
          <w:highlight w:val="none"/>
          <w:lang w:val="en-US" w:eastAsia="zh-CN"/>
        </w:rPr>
        <w:t>0.52</w:t>
      </w:r>
      <w:r>
        <w:rPr>
          <w:rFonts w:hint="eastAsia" w:ascii="仿宋" w:hAnsi="仿宋" w:eastAsia="仿宋" w:cs="仿宋"/>
          <w:color w:val="auto"/>
          <w:sz w:val="32"/>
          <w:szCs w:val="32"/>
          <w:highlight w:val="none"/>
        </w:rPr>
        <w:t>万元，占</w:t>
      </w:r>
      <w:r>
        <w:rPr>
          <w:rFonts w:hint="eastAsia" w:ascii="仿宋" w:hAnsi="仿宋" w:eastAsia="仿宋" w:cs="仿宋"/>
          <w:color w:val="auto"/>
          <w:sz w:val="32"/>
          <w:szCs w:val="32"/>
          <w:highlight w:val="none"/>
          <w:lang w:val="en-US" w:eastAsia="zh-CN"/>
        </w:rPr>
        <w:t>94.55</w:t>
      </w:r>
      <w:r>
        <w:rPr>
          <w:rFonts w:hint="eastAsia" w:ascii="仿宋" w:hAnsi="仿宋" w:eastAsia="仿宋" w:cs="仿宋"/>
          <w:color w:val="auto"/>
          <w:sz w:val="32"/>
          <w:szCs w:val="32"/>
          <w:highlight w:val="none"/>
        </w:rPr>
        <w:t>%。具体情况如下：</w:t>
      </w:r>
    </w:p>
    <w:p>
      <w:pPr>
        <w:spacing w:line="600" w:lineRule="exact"/>
        <w:ind w:firstLine="640"/>
        <w:rPr>
          <w:rFonts w:hint="eastAsia" w:ascii="仿宋" w:hAnsi="仿宋" w:eastAsia="仿宋" w:cs="仿宋"/>
          <w:b/>
          <w:bCs w:val="0"/>
          <w:color w:val="auto"/>
          <w:sz w:val="32"/>
          <w:szCs w:val="32"/>
          <w:highlight w:val="none"/>
          <w:lang w:val="en-US"/>
        </w:rPr>
      </w:pPr>
      <w:r>
        <w:rPr>
          <w:rFonts w:hint="eastAsia" w:ascii="仿宋" w:hAnsi="仿宋" w:eastAsia="仿宋" w:cs="仿宋"/>
          <w:color w:val="auto"/>
          <w:sz w:val="32"/>
          <w:szCs w:val="32"/>
          <w:highlight w:val="none"/>
          <w:lang w:eastAsia="zh-CN"/>
        </w:rPr>
        <w:drawing>
          <wp:anchor distT="0" distB="0" distL="114300" distR="114300" simplePos="0" relativeHeight="251665408" behindDoc="0" locked="0" layoutInCell="1" allowOverlap="1">
            <wp:simplePos x="0" y="0"/>
            <wp:positionH relativeFrom="column">
              <wp:posOffset>1270</wp:posOffset>
            </wp:positionH>
            <wp:positionV relativeFrom="paragraph">
              <wp:posOffset>242570</wp:posOffset>
            </wp:positionV>
            <wp:extent cx="5080000" cy="2771775"/>
            <wp:effectExtent l="4445" t="4445" r="20955" b="5080"/>
            <wp:wrapTopAndBottom/>
            <wp:docPr id="18" name="图表 18"/>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anchor>
        </w:drawing>
      </w:r>
      <w:r>
        <w:rPr>
          <w:rFonts w:hint="eastAsia" w:ascii="仿宋" w:hAnsi="仿宋" w:eastAsia="仿宋" w:cs="仿宋"/>
          <w:b/>
          <w:bCs w:val="0"/>
          <w:color w:val="auto"/>
          <w:kern w:val="2"/>
          <w:sz w:val="32"/>
          <w:szCs w:val="32"/>
          <w:highlight w:val="none"/>
          <w:lang w:val="en-US" w:eastAsia="zh-CN" w:bidi="ar"/>
        </w:rPr>
        <w:t>1.因公出国（境）经费支出</w:t>
      </w:r>
      <w:r>
        <w:rPr>
          <w:rFonts w:hint="eastAsia" w:ascii="仿宋" w:hAnsi="仿宋" w:eastAsia="仿宋" w:cs="仿宋"/>
          <w:color w:val="auto"/>
          <w:kern w:val="2"/>
          <w:sz w:val="32"/>
          <w:szCs w:val="32"/>
          <w:highlight w:val="none"/>
          <w:lang w:val="en-US" w:eastAsia="zh-CN" w:bidi="ar"/>
        </w:rPr>
        <w:t>0万元，</w:t>
      </w:r>
      <w:r>
        <w:rPr>
          <w:rStyle w:val="19"/>
          <w:rFonts w:hint="eastAsia" w:ascii="仿宋" w:hAnsi="仿宋" w:eastAsia="仿宋" w:cs="仿宋"/>
          <w:b w:val="0"/>
          <w:bCs/>
          <w:color w:val="auto"/>
          <w:kern w:val="2"/>
          <w:sz w:val="32"/>
          <w:szCs w:val="32"/>
          <w:highlight w:val="none"/>
          <w:lang w:val="en-US" w:eastAsia="zh-CN" w:bidi="ar"/>
        </w:rPr>
        <w:t>年初未安排预算，与上年数持平。</w:t>
      </w:r>
    </w:p>
    <w:p>
      <w:pPr>
        <w:spacing w:line="600" w:lineRule="exact"/>
        <w:ind w:firstLine="640"/>
        <w:rPr>
          <w:rFonts w:hint="eastAsia" w:ascii="仿宋" w:hAnsi="仿宋" w:eastAsia="仿宋" w:cs="仿宋"/>
          <w:b/>
          <w:bCs w:val="0"/>
          <w:color w:val="auto"/>
          <w:sz w:val="32"/>
          <w:szCs w:val="32"/>
          <w:highlight w:val="none"/>
          <w:lang w:val="en-US"/>
        </w:rPr>
      </w:pPr>
      <w:r>
        <w:rPr>
          <w:rFonts w:hint="eastAsia" w:ascii="仿宋" w:hAnsi="仿宋" w:eastAsia="仿宋" w:cs="仿宋"/>
          <w:b/>
          <w:bCs w:val="0"/>
          <w:color w:val="auto"/>
          <w:kern w:val="2"/>
          <w:sz w:val="32"/>
          <w:szCs w:val="32"/>
          <w:highlight w:val="none"/>
          <w:lang w:val="en-US" w:eastAsia="zh-CN" w:bidi="ar"/>
        </w:rPr>
        <w:t>2.公务用车购置及运行维护费支出</w:t>
      </w:r>
      <w:r>
        <w:rPr>
          <w:rFonts w:hint="eastAsia" w:ascii="仿宋" w:hAnsi="仿宋" w:eastAsia="仿宋" w:cs="仿宋"/>
          <w:color w:val="auto"/>
          <w:kern w:val="2"/>
          <w:sz w:val="32"/>
          <w:szCs w:val="32"/>
          <w:highlight w:val="none"/>
          <w:lang w:val="en-US" w:eastAsia="zh-CN" w:bidi="ar"/>
        </w:rPr>
        <w:t>0万元,</w:t>
      </w:r>
      <w:r>
        <w:rPr>
          <w:rStyle w:val="19"/>
          <w:rFonts w:hint="eastAsia" w:ascii="仿宋" w:hAnsi="仿宋" w:eastAsia="仿宋" w:cs="仿宋"/>
          <w:b w:val="0"/>
          <w:bCs/>
          <w:color w:val="auto"/>
          <w:kern w:val="2"/>
          <w:sz w:val="32"/>
          <w:szCs w:val="32"/>
          <w:highlight w:val="none"/>
          <w:lang w:val="en-US" w:eastAsia="zh-CN" w:bidi="ar"/>
        </w:rPr>
        <w:t>年初未安排预算，与上年数持平。</w:t>
      </w:r>
    </w:p>
    <w:p>
      <w:pPr>
        <w:keepNext w:val="0"/>
        <w:keepLines w:val="0"/>
        <w:widowControl w:val="0"/>
        <w:suppressLineNumbers w:val="0"/>
        <w:spacing w:before="0" w:beforeAutospacing="0" w:after="0" w:afterAutospacing="0" w:line="600" w:lineRule="exact"/>
        <w:ind w:right="0" w:firstLine="643" w:firstLineChars="200"/>
        <w:jc w:val="both"/>
        <w:rPr>
          <w:rFonts w:hint="eastAsia" w:ascii="仿宋" w:hAnsi="仿宋" w:eastAsia="仿宋" w:cs="仿宋"/>
          <w:bCs/>
          <w:color w:val="auto"/>
          <w:sz w:val="32"/>
          <w:szCs w:val="32"/>
          <w:highlight w:val="none"/>
          <w:lang w:val="en-US"/>
        </w:rPr>
      </w:pPr>
      <w:r>
        <w:rPr>
          <w:rFonts w:hint="eastAsia" w:ascii="仿宋" w:hAnsi="仿宋" w:eastAsia="仿宋" w:cs="仿宋"/>
          <w:b/>
          <w:bCs/>
          <w:color w:val="auto"/>
          <w:kern w:val="2"/>
          <w:sz w:val="32"/>
          <w:szCs w:val="32"/>
          <w:highlight w:val="none"/>
          <w:lang w:val="en-US" w:eastAsia="zh-CN" w:bidi="ar"/>
        </w:rPr>
        <w:t>其中：</w:t>
      </w:r>
      <w:r>
        <w:rPr>
          <w:rFonts w:hint="eastAsia" w:ascii="仿宋" w:hAnsi="仿宋" w:eastAsia="仿宋" w:cs="仿宋"/>
          <w:b/>
          <w:bCs w:val="0"/>
          <w:color w:val="auto"/>
          <w:kern w:val="2"/>
          <w:sz w:val="32"/>
          <w:szCs w:val="32"/>
          <w:highlight w:val="none"/>
          <w:lang w:val="en-US" w:eastAsia="zh-CN" w:bidi="ar"/>
        </w:rPr>
        <w:t>公务用车购置支出</w:t>
      </w:r>
      <w:r>
        <w:rPr>
          <w:rFonts w:hint="eastAsia" w:ascii="仿宋" w:hAnsi="仿宋" w:eastAsia="仿宋" w:cs="仿宋"/>
          <w:bCs/>
          <w:color w:val="auto"/>
          <w:kern w:val="2"/>
          <w:sz w:val="32"/>
          <w:szCs w:val="32"/>
          <w:highlight w:val="none"/>
          <w:lang w:val="en-US" w:eastAsia="zh-CN" w:bidi="ar"/>
        </w:rPr>
        <w:t>0万元。全年按规定更新购置公务用车0辆，</w:t>
      </w:r>
      <w:r>
        <w:rPr>
          <w:rFonts w:hint="eastAsia" w:ascii="仿宋" w:hAnsi="仿宋" w:eastAsia="仿宋" w:cs="仿宋"/>
          <w:color w:val="auto"/>
          <w:kern w:val="2"/>
          <w:sz w:val="32"/>
          <w:szCs w:val="32"/>
          <w:highlight w:val="none"/>
          <w:lang w:val="en-US" w:eastAsia="zh-CN" w:bidi="ar"/>
        </w:rPr>
        <w:t>主要原因是我单位未购</w:t>
      </w:r>
      <w:r>
        <w:rPr>
          <w:rFonts w:hint="eastAsia" w:ascii="仿宋" w:hAnsi="仿宋" w:eastAsia="仿宋" w:cs="仿宋"/>
          <w:color w:val="auto"/>
          <w:kern w:val="2"/>
          <w:sz w:val="32"/>
          <w:szCs w:val="32"/>
          <w:highlight w:val="none"/>
          <w:lang w:val="en-US" w:eastAsia="zh-CN" w:bidi="ar"/>
        </w:rPr>
        <w:t>置公务用车。</w:t>
      </w:r>
      <w:r>
        <w:rPr>
          <w:rFonts w:hint="eastAsia" w:ascii="仿宋" w:hAnsi="仿宋" w:eastAsia="仿宋" w:cs="仿宋"/>
          <w:bCs/>
          <w:color w:val="auto"/>
          <w:kern w:val="2"/>
          <w:sz w:val="32"/>
          <w:szCs w:val="32"/>
          <w:highlight w:val="none"/>
          <w:lang w:val="en-US" w:eastAsia="zh-CN" w:bidi="ar"/>
        </w:rPr>
        <w:t>截止2021年12月底，单位共有公务用车0辆。</w:t>
      </w:r>
    </w:p>
    <w:p>
      <w:pPr>
        <w:keepNext w:val="0"/>
        <w:keepLines w:val="0"/>
        <w:widowControl w:val="0"/>
        <w:suppressLineNumbers w:val="0"/>
        <w:spacing w:before="0" w:beforeAutospacing="0" w:after="0" w:afterAutospacing="0" w:line="600" w:lineRule="exact"/>
        <w:ind w:right="0" w:firstLine="643" w:firstLineChars="200"/>
        <w:jc w:val="both"/>
        <w:rPr>
          <w:rFonts w:hint="eastAsia" w:ascii="仿宋" w:hAnsi="仿宋" w:eastAsia="仿宋" w:cs="仿宋"/>
          <w:color w:val="auto"/>
          <w:highlight w:val="none"/>
        </w:rPr>
      </w:pPr>
      <w:r>
        <w:rPr>
          <w:rFonts w:hint="eastAsia" w:ascii="仿宋" w:hAnsi="仿宋" w:eastAsia="仿宋" w:cs="仿宋"/>
          <w:b/>
          <w:bCs w:val="0"/>
          <w:color w:val="auto"/>
          <w:kern w:val="2"/>
          <w:sz w:val="32"/>
          <w:szCs w:val="32"/>
          <w:highlight w:val="none"/>
          <w:lang w:val="en-US" w:eastAsia="zh-CN" w:bidi="ar"/>
        </w:rPr>
        <w:t>公务用车运行维护费支出</w:t>
      </w:r>
      <w:r>
        <w:rPr>
          <w:rFonts w:hint="eastAsia" w:ascii="仿宋" w:hAnsi="仿宋" w:eastAsia="仿宋" w:cs="仿宋"/>
          <w:color w:val="auto"/>
          <w:kern w:val="2"/>
          <w:sz w:val="32"/>
          <w:szCs w:val="32"/>
          <w:highlight w:val="none"/>
          <w:lang w:val="en-US" w:eastAsia="zh-CN" w:bidi="ar"/>
        </w:rPr>
        <w:t>0万元。主要原因是我单位无公务用车。</w:t>
      </w:r>
    </w:p>
    <w:p>
      <w:pPr>
        <w:spacing w:line="600" w:lineRule="exact"/>
        <w:ind w:firstLine="640"/>
        <w:rPr>
          <w:rFonts w:hint="eastAsia" w:ascii="仿宋" w:hAnsi="仿宋" w:eastAsia="仿宋" w:cs="仿宋"/>
          <w:color w:val="auto"/>
          <w:sz w:val="32"/>
          <w:szCs w:val="32"/>
          <w:highlight w:val="none"/>
        </w:rPr>
      </w:pPr>
      <w:r>
        <w:rPr>
          <w:rFonts w:hint="eastAsia" w:ascii="仿宋" w:hAnsi="仿宋" w:eastAsia="仿宋" w:cs="仿宋"/>
          <w:b/>
          <w:bCs w:val="0"/>
          <w:color w:val="auto"/>
          <w:sz w:val="32"/>
          <w:szCs w:val="32"/>
          <w:highlight w:val="none"/>
        </w:rPr>
        <w:t>3.公务接待费支出</w:t>
      </w:r>
      <w:r>
        <w:rPr>
          <w:rFonts w:hint="eastAsia" w:ascii="仿宋" w:hAnsi="仿宋" w:eastAsia="仿宋" w:cs="仿宋"/>
          <w:b/>
          <w:bCs w:val="0"/>
          <w:color w:val="auto"/>
          <w:sz w:val="32"/>
          <w:szCs w:val="32"/>
          <w:highlight w:val="none"/>
          <w:lang w:val="en-US" w:eastAsia="zh-CN"/>
        </w:rPr>
        <w:t>0.52</w:t>
      </w:r>
      <w:r>
        <w:rPr>
          <w:rFonts w:hint="eastAsia" w:ascii="仿宋" w:hAnsi="仿宋" w:eastAsia="仿宋" w:cs="仿宋"/>
          <w:color w:val="auto"/>
          <w:sz w:val="32"/>
          <w:szCs w:val="32"/>
          <w:highlight w:val="none"/>
        </w:rPr>
        <w:t>万元，完成预</w:t>
      </w:r>
      <w:r>
        <w:rPr>
          <w:rFonts w:hint="eastAsia" w:ascii="仿宋" w:hAnsi="仿宋" w:eastAsia="仿宋" w:cs="仿宋"/>
          <w:color w:val="auto"/>
          <w:sz w:val="32"/>
          <w:szCs w:val="32"/>
          <w:highlight w:val="none"/>
        </w:rPr>
        <w:t>算</w:t>
      </w:r>
      <w:r>
        <w:rPr>
          <w:rFonts w:hint="eastAsia" w:ascii="仿宋" w:hAnsi="仿宋" w:eastAsia="仿宋" w:cs="仿宋"/>
          <w:color w:val="auto"/>
          <w:sz w:val="32"/>
          <w:szCs w:val="32"/>
          <w:highlight w:val="none"/>
          <w:lang w:val="en-US" w:eastAsia="zh-CN"/>
        </w:rPr>
        <w:t>94.55</w:t>
      </w:r>
      <w:r>
        <w:rPr>
          <w:rFonts w:hint="eastAsia" w:ascii="仿宋" w:hAnsi="仿宋" w:eastAsia="仿宋" w:cs="仿宋"/>
          <w:color w:val="auto"/>
          <w:sz w:val="32"/>
          <w:szCs w:val="32"/>
          <w:highlight w:val="none"/>
        </w:rPr>
        <w:t>%。公务接待费支出决算</w:t>
      </w:r>
      <w:r>
        <w:rPr>
          <w:rFonts w:hint="eastAsia" w:ascii="仿宋" w:hAnsi="仿宋" w:eastAsia="仿宋" w:cs="仿宋"/>
          <w:color w:val="auto"/>
          <w:sz w:val="32"/>
          <w:szCs w:val="32"/>
          <w:highlight w:val="none"/>
          <w:lang w:eastAsia="zh-CN"/>
        </w:rPr>
        <w:t>比</w:t>
      </w:r>
      <w:r>
        <w:rPr>
          <w:rFonts w:hint="eastAsia" w:ascii="仿宋" w:hAnsi="仿宋" w:eastAsia="仿宋" w:cs="仿宋"/>
          <w:color w:val="auto"/>
          <w:sz w:val="32"/>
          <w:szCs w:val="32"/>
          <w:highlight w:val="none"/>
        </w:rPr>
        <w:t>20</w:t>
      </w:r>
      <w:r>
        <w:rPr>
          <w:rFonts w:hint="eastAsia" w:ascii="仿宋" w:hAnsi="仿宋" w:eastAsia="仿宋" w:cs="仿宋"/>
          <w:color w:val="auto"/>
          <w:sz w:val="32"/>
          <w:szCs w:val="32"/>
          <w:highlight w:val="none"/>
          <w:lang w:val="en-US" w:eastAsia="zh-CN"/>
        </w:rPr>
        <w:t>20</w:t>
      </w:r>
      <w:r>
        <w:rPr>
          <w:rFonts w:hint="eastAsia" w:ascii="仿宋" w:hAnsi="仿宋" w:eastAsia="仿宋" w:cs="仿宋"/>
          <w:color w:val="auto"/>
          <w:sz w:val="32"/>
          <w:szCs w:val="32"/>
          <w:highlight w:val="none"/>
        </w:rPr>
        <w:t>年减少</w:t>
      </w:r>
      <w:r>
        <w:rPr>
          <w:rFonts w:hint="eastAsia" w:ascii="仿宋" w:hAnsi="仿宋" w:eastAsia="仿宋" w:cs="仿宋"/>
          <w:color w:val="auto"/>
          <w:sz w:val="32"/>
          <w:szCs w:val="32"/>
          <w:highlight w:val="none"/>
          <w:lang w:val="en-US" w:eastAsia="zh-CN"/>
        </w:rPr>
        <w:t>0.03</w:t>
      </w:r>
      <w:r>
        <w:rPr>
          <w:rFonts w:hint="eastAsia" w:ascii="仿宋" w:hAnsi="仿宋" w:eastAsia="仿宋" w:cs="仿宋"/>
          <w:color w:val="auto"/>
          <w:sz w:val="32"/>
          <w:szCs w:val="32"/>
          <w:highlight w:val="none"/>
        </w:rPr>
        <w:t>万元，下降</w:t>
      </w:r>
      <w:r>
        <w:rPr>
          <w:rFonts w:hint="eastAsia" w:ascii="仿宋" w:hAnsi="仿宋" w:eastAsia="仿宋" w:cs="仿宋"/>
          <w:color w:val="auto"/>
          <w:sz w:val="32"/>
          <w:szCs w:val="32"/>
          <w:highlight w:val="none"/>
          <w:lang w:val="en-US" w:eastAsia="zh-CN"/>
        </w:rPr>
        <w:t>5.45</w:t>
      </w:r>
      <w:r>
        <w:rPr>
          <w:rFonts w:hint="eastAsia" w:ascii="仿宋" w:hAnsi="仿宋" w:eastAsia="仿宋" w:cs="仿宋"/>
          <w:color w:val="auto"/>
          <w:sz w:val="32"/>
          <w:szCs w:val="32"/>
          <w:highlight w:val="none"/>
        </w:rPr>
        <w:t>%</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lang w:eastAsia="zh-CN"/>
        </w:rPr>
        <w:t>主要原因是</w:t>
      </w:r>
      <w:r>
        <w:rPr>
          <w:rFonts w:hint="eastAsia" w:ascii="仿宋" w:hAnsi="仿宋" w:eastAsia="仿宋" w:cs="仿宋"/>
          <w:color w:val="auto"/>
          <w:sz w:val="32"/>
          <w:szCs w:val="32"/>
          <w:highlight w:val="none"/>
          <w:lang w:eastAsia="zh-CN"/>
        </w:rPr>
        <w:t>认真贯彻落实中央八项规定精神，采</w:t>
      </w:r>
      <w:r>
        <w:rPr>
          <w:rFonts w:hint="eastAsia" w:ascii="仿宋" w:hAnsi="仿宋" w:eastAsia="仿宋" w:cs="仿宋"/>
          <w:color w:val="auto"/>
          <w:sz w:val="32"/>
          <w:szCs w:val="32"/>
          <w:highlight w:val="none"/>
          <w:lang w:eastAsia="zh-CN"/>
        </w:rPr>
        <w:t>取有效措施严格控制接待范围和接待标准</w:t>
      </w:r>
      <w:r>
        <w:rPr>
          <w:rFonts w:hint="eastAsia" w:ascii="仿宋" w:hAnsi="仿宋" w:eastAsia="仿宋" w:cs="仿宋"/>
          <w:color w:val="auto"/>
          <w:sz w:val="32"/>
          <w:szCs w:val="32"/>
          <w:highlight w:val="none"/>
        </w:rPr>
        <w:t>。</w:t>
      </w:r>
      <w:r>
        <w:rPr>
          <w:rFonts w:hint="eastAsia" w:ascii="仿宋" w:hAnsi="仿宋" w:eastAsia="仿宋" w:cs="仿宋"/>
          <w:color w:val="auto"/>
          <w:sz w:val="32"/>
          <w:szCs w:val="32"/>
          <w:highlight w:val="none"/>
        </w:rPr>
        <w:t>其中：</w:t>
      </w:r>
    </w:p>
    <w:p>
      <w:pPr>
        <w:spacing w:line="600" w:lineRule="exact"/>
        <w:ind w:firstLine="640"/>
        <w:rPr>
          <w:rFonts w:hint="eastAsia" w:ascii="仿宋" w:hAnsi="仿宋" w:eastAsia="仿宋" w:cs="仿宋"/>
          <w:color w:val="auto"/>
          <w:sz w:val="32"/>
          <w:szCs w:val="32"/>
          <w:highlight w:val="none"/>
          <w:lang w:val="en-US" w:eastAsia="zh-CN"/>
        </w:rPr>
      </w:pPr>
      <w:r>
        <w:rPr>
          <w:rFonts w:hint="eastAsia" w:ascii="仿宋" w:hAnsi="仿宋" w:eastAsia="仿宋" w:cs="仿宋"/>
          <w:b/>
          <w:bCs/>
          <w:color w:val="auto"/>
          <w:sz w:val="32"/>
          <w:szCs w:val="32"/>
          <w:highlight w:val="none"/>
        </w:rPr>
        <w:t>国内公务接待支出</w:t>
      </w:r>
      <w:r>
        <w:rPr>
          <w:rFonts w:hint="eastAsia" w:ascii="仿宋" w:hAnsi="仿宋" w:eastAsia="仿宋" w:cs="仿宋"/>
          <w:color w:val="auto"/>
          <w:sz w:val="32"/>
          <w:szCs w:val="32"/>
          <w:highlight w:val="none"/>
          <w:lang w:val="en-US" w:eastAsia="zh-CN"/>
        </w:rPr>
        <w:t>0.52</w:t>
      </w:r>
      <w:r>
        <w:rPr>
          <w:rFonts w:hint="eastAsia" w:ascii="仿宋" w:hAnsi="仿宋" w:eastAsia="仿宋" w:cs="仿宋"/>
          <w:color w:val="auto"/>
          <w:sz w:val="32"/>
          <w:szCs w:val="32"/>
          <w:highlight w:val="none"/>
        </w:rPr>
        <w:t>万元，主要用于</w:t>
      </w:r>
      <w:r>
        <w:rPr>
          <w:rFonts w:hint="eastAsia" w:ascii="仿宋" w:hAnsi="仿宋" w:eastAsia="仿宋" w:cs="仿宋"/>
          <w:color w:val="auto"/>
          <w:sz w:val="32"/>
          <w:szCs w:val="32"/>
          <w:highlight w:val="none"/>
          <w:lang w:eastAsia="zh-CN"/>
        </w:rPr>
        <w:t>接待上级来访、</w:t>
      </w:r>
      <w:r>
        <w:rPr>
          <w:rFonts w:hint="eastAsia" w:ascii="仿宋" w:hAnsi="仿宋" w:eastAsia="仿宋" w:cs="仿宋"/>
          <w:color w:val="auto"/>
          <w:kern w:val="2"/>
          <w:sz w:val="32"/>
          <w:szCs w:val="32"/>
          <w:highlight w:val="none"/>
          <w:lang w:val="en-US" w:eastAsia="zh-CN" w:bidi="ar"/>
        </w:rPr>
        <w:t>教育教学活动交流、</w:t>
      </w:r>
      <w:r>
        <w:rPr>
          <w:rFonts w:hint="eastAsia" w:ascii="仿宋" w:hAnsi="仿宋" w:eastAsia="仿宋" w:cs="仿宋"/>
          <w:color w:val="auto"/>
          <w:sz w:val="32"/>
          <w:szCs w:val="32"/>
          <w:highlight w:val="none"/>
          <w:lang w:val="en-US" w:eastAsia="zh-CN"/>
        </w:rPr>
        <w:t>学生活动费及运动会学生用餐、交通费、体检费等</w:t>
      </w:r>
      <w:r>
        <w:rPr>
          <w:rFonts w:hint="eastAsia" w:ascii="仿宋" w:hAnsi="仿宋" w:eastAsia="仿宋" w:cs="仿宋"/>
          <w:color w:val="auto"/>
          <w:sz w:val="32"/>
          <w:szCs w:val="32"/>
          <w:highlight w:val="none"/>
        </w:rPr>
        <w:t>。国内公务接待</w:t>
      </w:r>
      <w:r>
        <w:rPr>
          <w:rFonts w:hint="eastAsia" w:ascii="仿宋" w:hAnsi="仿宋" w:eastAsia="仿宋" w:cs="仿宋"/>
          <w:color w:val="auto"/>
          <w:sz w:val="32"/>
          <w:szCs w:val="32"/>
          <w:highlight w:val="none"/>
          <w:lang w:val="en-US" w:eastAsia="zh-CN"/>
        </w:rPr>
        <w:t>36</w:t>
      </w:r>
      <w:r>
        <w:rPr>
          <w:rFonts w:hint="eastAsia" w:ascii="仿宋" w:hAnsi="仿宋" w:eastAsia="仿宋" w:cs="仿宋"/>
          <w:color w:val="auto"/>
          <w:sz w:val="32"/>
          <w:szCs w:val="32"/>
          <w:highlight w:val="none"/>
        </w:rPr>
        <w:t>批次，</w:t>
      </w:r>
      <w:r>
        <w:rPr>
          <w:rFonts w:hint="eastAsia" w:ascii="仿宋" w:hAnsi="仿宋" w:eastAsia="仿宋" w:cs="仿宋"/>
          <w:color w:val="auto"/>
          <w:sz w:val="32"/>
          <w:szCs w:val="32"/>
          <w:highlight w:val="none"/>
          <w:lang w:val="en-US" w:eastAsia="zh-CN"/>
        </w:rPr>
        <w:t>108</w:t>
      </w:r>
      <w:r>
        <w:rPr>
          <w:rFonts w:hint="eastAsia" w:ascii="仿宋" w:hAnsi="仿宋" w:eastAsia="仿宋" w:cs="仿宋"/>
          <w:color w:val="auto"/>
          <w:sz w:val="32"/>
          <w:szCs w:val="32"/>
          <w:highlight w:val="none"/>
        </w:rPr>
        <w:t>人次（不包括陪同人员），共计支出</w:t>
      </w:r>
      <w:r>
        <w:rPr>
          <w:rFonts w:hint="eastAsia" w:ascii="仿宋" w:hAnsi="仿宋" w:eastAsia="仿宋" w:cs="仿宋"/>
          <w:color w:val="auto"/>
          <w:sz w:val="32"/>
          <w:szCs w:val="32"/>
          <w:highlight w:val="none"/>
          <w:lang w:val="en-US" w:eastAsia="zh-CN"/>
        </w:rPr>
        <w:t>0.52</w:t>
      </w:r>
      <w:r>
        <w:rPr>
          <w:rFonts w:hint="eastAsia" w:ascii="仿宋" w:hAnsi="仿宋" w:eastAsia="仿宋" w:cs="仿宋"/>
          <w:color w:val="auto"/>
          <w:sz w:val="32"/>
          <w:szCs w:val="32"/>
          <w:highlight w:val="none"/>
        </w:rPr>
        <w:t>万元</w:t>
      </w:r>
      <w:r>
        <w:rPr>
          <w:rFonts w:hint="eastAsia" w:ascii="仿宋" w:hAnsi="仿宋" w:eastAsia="仿宋" w:cs="仿宋"/>
          <w:color w:val="auto"/>
          <w:sz w:val="32"/>
          <w:szCs w:val="32"/>
          <w:highlight w:val="none"/>
          <w:lang w:eastAsia="zh-CN"/>
        </w:rPr>
        <w:t>，具体内</w:t>
      </w:r>
      <w:r>
        <w:rPr>
          <w:rFonts w:hint="eastAsia" w:ascii="仿宋" w:hAnsi="仿宋" w:eastAsia="仿宋" w:cs="仿宋"/>
          <w:color w:val="auto"/>
          <w:sz w:val="32"/>
          <w:szCs w:val="32"/>
          <w:highlight w:val="none"/>
          <w:lang w:eastAsia="zh-CN"/>
        </w:rPr>
        <w:t>容包括接待上级来访</w:t>
      </w:r>
      <w:r>
        <w:rPr>
          <w:rFonts w:hint="eastAsia" w:ascii="仿宋" w:hAnsi="仿宋" w:eastAsia="仿宋" w:cs="仿宋"/>
          <w:color w:val="auto"/>
          <w:sz w:val="32"/>
          <w:szCs w:val="32"/>
          <w:highlight w:val="none"/>
          <w:lang w:val="en-US" w:eastAsia="zh-CN"/>
        </w:rPr>
        <w:t>0.1万元</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kern w:val="2"/>
          <w:sz w:val="32"/>
          <w:szCs w:val="32"/>
          <w:highlight w:val="none"/>
          <w:lang w:val="en-US" w:eastAsia="zh-CN" w:bidi="ar"/>
        </w:rPr>
        <w:t>教育教学活动交流0.2万元、</w:t>
      </w:r>
      <w:r>
        <w:rPr>
          <w:rFonts w:hint="eastAsia" w:ascii="仿宋" w:hAnsi="仿宋" w:eastAsia="仿宋" w:cs="仿宋"/>
          <w:color w:val="auto"/>
          <w:sz w:val="32"/>
          <w:szCs w:val="32"/>
          <w:highlight w:val="none"/>
          <w:lang w:val="en-US" w:eastAsia="zh-CN"/>
        </w:rPr>
        <w:t>学生活动费及运动会学生用餐、交通费、体检费等0.22万元。</w:t>
      </w:r>
    </w:p>
    <w:p>
      <w:pPr>
        <w:spacing w:line="600" w:lineRule="exact"/>
        <w:ind w:firstLine="640" w:firstLineChars="2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外事接待支出</w:t>
      </w:r>
      <w:r>
        <w:rPr>
          <w:rFonts w:hint="eastAsia" w:ascii="仿宋" w:hAnsi="仿宋" w:eastAsia="仿宋" w:cs="仿宋"/>
          <w:color w:val="auto"/>
          <w:sz w:val="32"/>
          <w:szCs w:val="32"/>
          <w:highlight w:val="none"/>
          <w:lang w:val="en-US" w:eastAsia="zh-CN"/>
        </w:rPr>
        <w:t>0</w:t>
      </w:r>
      <w:r>
        <w:rPr>
          <w:rFonts w:hint="eastAsia" w:ascii="仿宋" w:hAnsi="仿宋" w:eastAsia="仿宋" w:cs="仿宋"/>
          <w:color w:val="auto"/>
          <w:sz w:val="32"/>
          <w:szCs w:val="32"/>
          <w:highlight w:val="none"/>
        </w:rPr>
        <w:t>万元，外事接待</w:t>
      </w:r>
      <w:r>
        <w:rPr>
          <w:rFonts w:hint="eastAsia" w:ascii="仿宋" w:hAnsi="仿宋" w:eastAsia="仿宋" w:cs="仿宋"/>
          <w:color w:val="auto"/>
          <w:sz w:val="32"/>
          <w:szCs w:val="32"/>
          <w:highlight w:val="none"/>
          <w:lang w:val="en-US" w:eastAsia="zh-CN"/>
        </w:rPr>
        <w:t>0</w:t>
      </w:r>
      <w:r>
        <w:rPr>
          <w:rFonts w:hint="eastAsia" w:ascii="仿宋" w:hAnsi="仿宋" w:eastAsia="仿宋" w:cs="仿宋"/>
          <w:color w:val="auto"/>
          <w:sz w:val="32"/>
          <w:szCs w:val="32"/>
          <w:highlight w:val="none"/>
        </w:rPr>
        <w:t>批次，</w:t>
      </w:r>
      <w:r>
        <w:rPr>
          <w:rFonts w:hint="eastAsia" w:ascii="仿宋" w:hAnsi="仿宋" w:eastAsia="仿宋" w:cs="仿宋"/>
          <w:color w:val="auto"/>
          <w:sz w:val="32"/>
          <w:szCs w:val="32"/>
          <w:highlight w:val="none"/>
          <w:lang w:val="en-US" w:eastAsia="zh-CN"/>
        </w:rPr>
        <w:t>0</w:t>
      </w:r>
      <w:r>
        <w:rPr>
          <w:rFonts w:hint="eastAsia" w:ascii="仿宋" w:hAnsi="仿宋" w:eastAsia="仿宋" w:cs="仿宋"/>
          <w:color w:val="auto"/>
          <w:sz w:val="32"/>
          <w:szCs w:val="32"/>
          <w:highlight w:val="none"/>
        </w:rPr>
        <w:t>人，共计支出</w:t>
      </w:r>
      <w:r>
        <w:rPr>
          <w:rFonts w:hint="eastAsia" w:ascii="仿宋" w:hAnsi="仿宋" w:eastAsia="仿宋" w:cs="仿宋"/>
          <w:color w:val="auto"/>
          <w:sz w:val="32"/>
          <w:szCs w:val="32"/>
          <w:highlight w:val="none"/>
          <w:lang w:val="en-US" w:eastAsia="zh-CN"/>
        </w:rPr>
        <w:t>0</w:t>
      </w:r>
      <w:r>
        <w:rPr>
          <w:rFonts w:hint="eastAsia" w:ascii="仿宋" w:hAnsi="仿宋" w:eastAsia="仿宋" w:cs="仿宋"/>
          <w:color w:val="auto"/>
          <w:sz w:val="32"/>
          <w:szCs w:val="32"/>
          <w:highlight w:val="none"/>
        </w:rPr>
        <w:t>万元。</w:t>
      </w:r>
      <w:r>
        <w:rPr>
          <w:rFonts w:hint="eastAsia" w:ascii="仿宋" w:hAnsi="仿宋" w:eastAsia="仿宋" w:cs="仿宋"/>
          <w:color w:val="auto"/>
          <w:sz w:val="32"/>
          <w:szCs w:val="32"/>
          <w:highlight w:val="none"/>
        </w:rPr>
        <w:t>外事接待支出</w:t>
      </w:r>
      <w:r>
        <w:rPr>
          <w:rFonts w:hint="eastAsia" w:ascii="仿宋" w:hAnsi="仿宋" w:eastAsia="仿宋" w:cs="仿宋"/>
          <w:color w:val="auto"/>
          <w:kern w:val="2"/>
          <w:sz w:val="32"/>
          <w:szCs w:val="32"/>
          <w:highlight w:val="none"/>
          <w:lang w:val="en-US" w:eastAsia="zh-CN" w:bidi="ar"/>
        </w:rPr>
        <w:t>决算与2020年持平</w:t>
      </w:r>
      <w:r>
        <w:rPr>
          <w:rFonts w:hint="eastAsia" w:ascii="仿宋" w:hAnsi="仿宋" w:eastAsia="仿宋" w:cs="仿宋"/>
          <w:color w:val="auto"/>
          <w:sz w:val="32"/>
          <w:szCs w:val="32"/>
          <w:highlight w:val="none"/>
        </w:rPr>
        <w:t>。</w:t>
      </w:r>
    </w:p>
    <w:p>
      <w:pPr>
        <w:pStyle w:val="5"/>
        <w:bidi w:val="0"/>
        <w:rPr>
          <w:rFonts w:hint="eastAsia" w:ascii="仿宋" w:hAnsi="仿宋" w:eastAsia="仿宋" w:cs="仿宋"/>
          <w:color w:val="auto"/>
          <w:highlight w:val="none"/>
        </w:rPr>
      </w:pPr>
      <w:bookmarkStart w:id="63" w:name="_Toc29438"/>
      <w:bookmarkStart w:id="64" w:name="_Toc15396610"/>
      <w:bookmarkStart w:id="65" w:name="_Toc15377218"/>
      <w:r>
        <w:rPr>
          <w:rFonts w:hint="eastAsia" w:ascii="仿宋" w:hAnsi="仿宋" w:eastAsia="仿宋" w:cs="仿宋"/>
          <w:color w:val="auto"/>
          <w:highlight w:val="none"/>
        </w:rPr>
        <w:t>八、政府性基金预算支出决算情况说明</w:t>
      </w:r>
      <w:bookmarkEnd w:id="63"/>
      <w:bookmarkEnd w:id="64"/>
      <w:bookmarkEnd w:id="65"/>
    </w:p>
    <w:p>
      <w:pPr>
        <w:spacing w:line="600" w:lineRule="exact"/>
        <w:ind w:firstLine="64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2021年政府性基金预算财政拨款支出</w:t>
      </w:r>
      <w:r>
        <w:rPr>
          <w:rFonts w:hint="eastAsia" w:ascii="仿宋" w:hAnsi="仿宋" w:eastAsia="仿宋" w:cs="仿宋"/>
          <w:color w:val="auto"/>
          <w:sz w:val="32"/>
          <w:szCs w:val="32"/>
          <w:highlight w:val="none"/>
          <w:lang w:val="en-US" w:eastAsia="zh-CN"/>
        </w:rPr>
        <w:t>0</w:t>
      </w:r>
      <w:r>
        <w:rPr>
          <w:rFonts w:hint="eastAsia" w:ascii="仿宋" w:hAnsi="仿宋" w:eastAsia="仿宋" w:cs="仿宋"/>
          <w:color w:val="auto"/>
          <w:sz w:val="32"/>
          <w:szCs w:val="32"/>
          <w:highlight w:val="none"/>
        </w:rPr>
        <w:t>万元。</w:t>
      </w:r>
      <w:r>
        <w:rPr>
          <w:rFonts w:hint="eastAsia" w:ascii="仿宋" w:hAnsi="仿宋" w:eastAsia="仿宋" w:cs="仿宋"/>
          <w:color w:val="auto"/>
          <w:sz w:val="32"/>
          <w:szCs w:val="32"/>
          <w:highlight w:val="none"/>
        </w:rPr>
        <w:t>202</w:t>
      </w:r>
      <w:r>
        <w:rPr>
          <w:rFonts w:hint="eastAsia" w:ascii="仿宋" w:hAnsi="仿宋" w:eastAsia="仿宋" w:cs="仿宋"/>
          <w:color w:val="auto"/>
          <w:sz w:val="32"/>
          <w:szCs w:val="32"/>
          <w:highlight w:val="none"/>
          <w:lang w:val="en-US" w:eastAsia="zh-CN"/>
        </w:rPr>
        <w:t>1</w:t>
      </w:r>
      <w:r>
        <w:rPr>
          <w:rFonts w:hint="eastAsia" w:ascii="仿宋" w:hAnsi="仿宋" w:eastAsia="仿宋" w:cs="仿宋"/>
          <w:color w:val="auto"/>
          <w:sz w:val="32"/>
          <w:szCs w:val="32"/>
          <w:highlight w:val="none"/>
        </w:rPr>
        <w:t>年本单位未在政府性基金预算拨款安排“三公”经费支出</w:t>
      </w:r>
      <w:r>
        <w:rPr>
          <w:rFonts w:hint="eastAsia" w:ascii="仿宋" w:hAnsi="仿宋" w:eastAsia="仿宋" w:cs="仿宋"/>
          <w:color w:val="auto"/>
          <w:sz w:val="32"/>
          <w:szCs w:val="32"/>
          <w:highlight w:val="none"/>
        </w:rPr>
        <w:t>。</w:t>
      </w:r>
    </w:p>
    <w:p>
      <w:pPr>
        <w:pStyle w:val="2"/>
        <w:rPr>
          <w:rFonts w:hint="eastAsia" w:ascii="仿宋" w:hAnsi="仿宋" w:eastAsia="仿宋" w:cs="仿宋"/>
          <w:color w:val="auto"/>
          <w:highlight w:val="none"/>
        </w:rPr>
      </w:pPr>
    </w:p>
    <w:p>
      <w:pPr>
        <w:pStyle w:val="5"/>
        <w:numPr>
          <w:ilvl w:val="0"/>
          <w:numId w:val="4"/>
        </w:numPr>
        <w:bidi w:val="0"/>
        <w:rPr>
          <w:rFonts w:hint="eastAsia" w:ascii="仿宋" w:hAnsi="仿宋" w:eastAsia="仿宋" w:cs="仿宋"/>
          <w:color w:val="auto"/>
          <w:highlight w:val="none"/>
        </w:rPr>
      </w:pPr>
      <w:bookmarkStart w:id="66" w:name="_Toc15396611"/>
      <w:bookmarkStart w:id="67" w:name="_Toc15377219"/>
      <w:bookmarkStart w:id="68" w:name="_Toc4818"/>
      <w:r>
        <w:rPr>
          <w:rFonts w:hint="eastAsia" w:ascii="仿宋" w:hAnsi="仿宋" w:eastAsia="仿宋" w:cs="仿宋"/>
          <w:color w:val="auto"/>
          <w:highlight w:val="none"/>
        </w:rPr>
        <w:t>国有资本经营预算支出决算情况说明</w:t>
      </w:r>
      <w:bookmarkEnd w:id="66"/>
      <w:bookmarkEnd w:id="67"/>
      <w:bookmarkEnd w:id="68"/>
    </w:p>
    <w:p>
      <w:pPr>
        <w:spacing w:line="600" w:lineRule="exact"/>
        <w:ind w:firstLine="64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2021年国有资本经营预算财政拨款支出0万元，年初未安排预算。</w:t>
      </w:r>
    </w:p>
    <w:p>
      <w:pPr>
        <w:pStyle w:val="5"/>
        <w:numPr>
          <w:ilvl w:val="0"/>
          <w:numId w:val="4"/>
        </w:numPr>
        <w:bidi w:val="0"/>
        <w:rPr>
          <w:rFonts w:hint="eastAsia" w:ascii="仿宋" w:hAnsi="仿宋" w:eastAsia="仿宋" w:cs="仿宋"/>
          <w:color w:val="auto"/>
          <w:highlight w:val="none"/>
        </w:rPr>
      </w:pPr>
      <w:bookmarkStart w:id="69" w:name="_Toc23871"/>
      <w:bookmarkStart w:id="70" w:name="_Toc15396612"/>
      <w:bookmarkStart w:id="71" w:name="_Toc15377221"/>
      <w:r>
        <w:rPr>
          <w:rFonts w:hint="eastAsia" w:ascii="仿宋" w:hAnsi="仿宋" w:eastAsia="仿宋" w:cs="仿宋"/>
          <w:color w:val="auto"/>
          <w:highlight w:val="none"/>
        </w:rPr>
        <w:t>预算绩效管理情况</w:t>
      </w:r>
      <w:bookmarkEnd w:id="69"/>
    </w:p>
    <w:p>
      <w:pPr>
        <w:spacing w:line="580" w:lineRule="exact"/>
        <w:ind w:firstLine="640" w:firstLineChars="2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根据预算绩效管理要求，本单位在2021年度预算编制阶段，因无项目支出，故不</w:t>
      </w:r>
      <w:r>
        <w:rPr>
          <w:rFonts w:hint="eastAsia" w:ascii="仿宋" w:hAnsi="仿宋" w:eastAsia="仿宋" w:cs="仿宋"/>
          <w:color w:val="auto"/>
          <w:sz w:val="32"/>
          <w:szCs w:val="32"/>
          <w:highlight w:val="none"/>
        </w:rPr>
        <w:t>涉及事前评估和项目绩效目标，预算执行过程中，</w:t>
      </w:r>
      <w:r>
        <w:rPr>
          <w:rFonts w:hint="eastAsia" w:ascii="仿宋" w:hAnsi="仿宋" w:eastAsia="仿宋" w:cs="仿宋"/>
          <w:color w:val="auto"/>
          <w:sz w:val="32"/>
          <w:szCs w:val="32"/>
          <w:highlight w:val="none"/>
          <w:lang w:eastAsia="zh-CN"/>
        </w:rPr>
        <w:t>对追加预算校舍维修项目</w:t>
      </w:r>
      <w:r>
        <w:rPr>
          <w:rFonts w:hint="eastAsia" w:ascii="仿宋" w:hAnsi="仿宋" w:eastAsia="仿宋" w:cs="仿宋"/>
          <w:color w:val="auto"/>
          <w:sz w:val="32"/>
          <w:szCs w:val="32"/>
          <w:highlight w:val="none"/>
        </w:rPr>
        <w:t>编制了绩效目标</w:t>
      </w:r>
      <w:r>
        <w:rPr>
          <w:rFonts w:hint="eastAsia" w:ascii="仿宋" w:hAnsi="仿宋" w:eastAsia="仿宋" w:cs="仿宋"/>
          <w:color w:val="auto"/>
          <w:sz w:val="32"/>
          <w:szCs w:val="32"/>
          <w:highlight w:val="none"/>
          <w:lang w:eastAsia="zh-CN"/>
        </w:rPr>
        <w:t>，并</w:t>
      </w:r>
      <w:r>
        <w:rPr>
          <w:rFonts w:hint="eastAsia" w:ascii="仿宋" w:hAnsi="仿宋" w:eastAsia="仿宋" w:cs="仿宋"/>
          <w:color w:val="auto"/>
          <w:sz w:val="32"/>
          <w:szCs w:val="32"/>
          <w:highlight w:val="none"/>
        </w:rPr>
        <w:t>开展</w:t>
      </w:r>
      <w:r>
        <w:rPr>
          <w:rFonts w:hint="eastAsia" w:ascii="仿宋" w:hAnsi="仿宋" w:eastAsia="仿宋" w:cs="仿宋"/>
          <w:color w:val="auto"/>
          <w:sz w:val="32"/>
          <w:szCs w:val="32"/>
          <w:highlight w:val="none"/>
          <w:lang w:eastAsia="zh-CN"/>
        </w:rPr>
        <w:t>了</w:t>
      </w:r>
      <w:r>
        <w:rPr>
          <w:rFonts w:hint="eastAsia" w:ascii="仿宋" w:hAnsi="仿宋" w:eastAsia="仿宋" w:cs="仿宋"/>
          <w:color w:val="auto"/>
          <w:sz w:val="32"/>
          <w:szCs w:val="32"/>
          <w:highlight w:val="none"/>
        </w:rPr>
        <w:t>绩效</w:t>
      </w:r>
      <w:r>
        <w:rPr>
          <w:rFonts w:hint="eastAsia" w:ascii="仿宋" w:hAnsi="仿宋" w:eastAsia="仿宋" w:cs="仿宋"/>
          <w:color w:val="auto"/>
          <w:sz w:val="32"/>
          <w:szCs w:val="32"/>
          <w:highlight w:val="none"/>
          <w:lang w:eastAsia="zh-CN"/>
        </w:rPr>
        <w:t>运行</w:t>
      </w:r>
      <w:r>
        <w:rPr>
          <w:rFonts w:hint="eastAsia" w:ascii="仿宋" w:hAnsi="仿宋" w:eastAsia="仿宋" w:cs="仿宋"/>
          <w:color w:val="auto"/>
          <w:sz w:val="32"/>
          <w:szCs w:val="32"/>
          <w:highlight w:val="none"/>
        </w:rPr>
        <w:t>监控，年终执行完毕后，对</w:t>
      </w:r>
      <w:r>
        <w:rPr>
          <w:rFonts w:hint="eastAsia" w:ascii="仿宋" w:hAnsi="仿宋" w:eastAsia="仿宋" w:cs="仿宋"/>
          <w:color w:val="auto"/>
          <w:sz w:val="32"/>
          <w:szCs w:val="32"/>
          <w:highlight w:val="none"/>
          <w:lang w:val="en-US" w:eastAsia="zh-CN"/>
        </w:rPr>
        <w:t>1</w:t>
      </w:r>
      <w:r>
        <w:rPr>
          <w:rFonts w:hint="eastAsia" w:ascii="仿宋" w:hAnsi="仿宋" w:eastAsia="仿宋" w:cs="仿宋"/>
          <w:color w:val="auto"/>
          <w:sz w:val="32"/>
          <w:szCs w:val="32"/>
          <w:highlight w:val="none"/>
        </w:rPr>
        <w:t>个项目开展了绩效自评，2021年部门预算项目绩效目标自</w:t>
      </w:r>
      <w:r>
        <w:rPr>
          <w:rFonts w:hint="eastAsia" w:ascii="仿宋" w:hAnsi="仿宋" w:eastAsia="仿宋" w:cs="仿宋"/>
          <w:color w:val="auto"/>
          <w:sz w:val="32"/>
          <w:szCs w:val="32"/>
          <w:highlight w:val="none"/>
        </w:rPr>
        <w:t>评表见附件（第四部分）。</w:t>
      </w:r>
    </w:p>
    <w:p>
      <w:pPr>
        <w:pStyle w:val="5"/>
        <w:numPr>
          <w:ilvl w:val="0"/>
          <w:numId w:val="4"/>
        </w:numPr>
        <w:bidi w:val="0"/>
        <w:rPr>
          <w:rFonts w:hint="eastAsia" w:ascii="仿宋" w:hAnsi="仿宋" w:eastAsia="仿宋" w:cs="仿宋"/>
          <w:color w:val="auto"/>
          <w:highlight w:val="none"/>
        </w:rPr>
      </w:pPr>
      <w:bookmarkStart w:id="72" w:name="_Toc16944"/>
      <w:r>
        <w:rPr>
          <w:rFonts w:hint="eastAsia" w:ascii="仿宋" w:hAnsi="仿宋" w:eastAsia="仿宋" w:cs="仿宋"/>
          <w:color w:val="auto"/>
          <w:highlight w:val="none"/>
        </w:rPr>
        <w:t>其他重要事项的情况说明</w:t>
      </w:r>
      <w:bookmarkEnd w:id="70"/>
      <w:bookmarkEnd w:id="71"/>
      <w:bookmarkEnd w:id="72"/>
    </w:p>
    <w:p>
      <w:pPr>
        <w:spacing w:line="600" w:lineRule="exact"/>
        <w:ind w:firstLine="643" w:firstLineChars="200"/>
        <w:outlineLvl w:val="2"/>
        <w:rPr>
          <w:rFonts w:hint="eastAsia" w:ascii="仿宋" w:hAnsi="仿宋" w:eastAsia="仿宋" w:cs="仿宋"/>
          <w:color w:val="auto"/>
          <w:sz w:val="32"/>
          <w:szCs w:val="32"/>
          <w:highlight w:val="none"/>
        </w:rPr>
      </w:pPr>
      <w:bookmarkStart w:id="73" w:name="_Toc15377222"/>
      <w:r>
        <w:rPr>
          <w:rFonts w:hint="eastAsia" w:ascii="仿宋" w:hAnsi="仿宋" w:eastAsia="仿宋" w:cs="仿宋"/>
          <w:b/>
          <w:color w:val="auto"/>
          <w:sz w:val="32"/>
          <w:szCs w:val="32"/>
          <w:highlight w:val="none"/>
        </w:rPr>
        <w:t>（一）机关运行经费支出情况</w:t>
      </w:r>
      <w:bookmarkEnd w:id="73"/>
    </w:p>
    <w:p>
      <w:pPr>
        <w:keepNext w:val="0"/>
        <w:keepLines w:val="0"/>
        <w:widowControl w:val="0"/>
        <w:suppressLineNumbers w:val="0"/>
        <w:spacing w:before="0" w:beforeAutospacing="0" w:after="0" w:afterAutospacing="0" w:line="600" w:lineRule="exact"/>
        <w:ind w:left="0" w:right="0" w:firstLine="640"/>
        <w:jc w:val="both"/>
        <w:rPr>
          <w:rFonts w:hint="eastAsia" w:ascii="仿宋" w:hAnsi="仿宋" w:eastAsia="仿宋" w:cs="仿宋"/>
          <w:color w:val="auto"/>
          <w:sz w:val="32"/>
          <w:szCs w:val="32"/>
          <w:highlight w:val="none"/>
          <w:lang w:val="en-US"/>
        </w:rPr>
      </w:pPr>
      <w:bookmarkStart w:id="74" w:name="_Toc15377223"/>
      <w:r>
        <w:rPr>
          <w:rFonts w:hint="eastAsia" w:ascii="仿宋" w:hAnsi="仿宋" w:eastAsia="仿宋" w:cs="仿宋"/>
          <w:color w:val="auto"/>
          <w:kern w:val="2"/>
          <w:sz w:val="32"/>
          <w:szCs w:val="32"/>
          <w:highlight w:val="none"/>
          <w:lang w:val="en-US" w:eastAsia="zh-CN" w:bidi="ar"/>
        </w:rPr>
        <w:t>2021年，</w:t>
      </w:r>
      <w:r>
        <w:rPr>
          <w:rFonts w:hint="eastAsia" w:ascii="仿宋" w:hAnsi="仿宋" w:eastAsia="仿宋" w:cs="仿宋"/>
          <w:color w:val="auto"/>
          <w:kern w:val="2"/>
          <w:sz w:val="32"/>
          <w:szCs w:val="32"/>
          <w:highlight w:val="none"/>
          <w:lang w:val="en-US" w:eastAsia="zh-CN" w:bidi="ar"/>
        </w:rPr>
        <w:t>我部门机关</w:t>
      </w:r>
      <w:r>
        <w:rPr>
          <w:rFonts w:hint="eastAsia" w:ascii="仿宋" w:hAnsi="仿宋" w:eastAsia="仿宋" w:cs="仿宋"/>
          <w:color w:val="auto"/>
          <w:kern w:val="2"/>
          <w:sz w:val="32"/>
          <w:szCs w:val="32"/>
          <w:highlight w:val="none"/>
          <w:lang w:val="en-US" w:eastAsia="zh-CN" w:bidi="ar"/>
        </w:rPr>
        <w:t>运行经费支出0元，与</w:t>
      </w:r>
      <w:r>
        <w:rPr>
          <w:rFonts w:hint="eastAsia" w:ascii="仿宋" w:hAnsi="仿宋" w:eastAsia="仿宋" w:cs="仿宋"/>
          <w:color w:val="auto"/>
          <w:sz w:val="32"/>
          <w:szCs w:val="32"/>
          <w:highlight w:val="none"/>
        </w:rPr>
        <w:t>20</w:t>
      </w:r>
      <w:r>
        <w:rPr>
          <w:rFonts w:hint="eastAsia" w:ascii="仿宋" w:hAnsi="仿宋" w:eastAsia="仿宋" w:cs="仿宋"/>
          <w:color w:val="auto"/>
          <w:sz w:val="32"/>
          <w:szCs w:val="32"/>
          <w:highlight w:val="none"/>
          <w:lang w:val="en-US" w:eastAsia="zh-CN"/>
        </w:rPr>
        <w:t>20</w:t>
      </w:r>
      <w:r>
        <w:rPr>
          <w:rFonts w:hint="eastAsia" w:ascii="仿宋" w:hAnsi="仿宋" w:eastAsia="仿宋" w:cs="仿宋"/>
          <w:color w:val="auto"/>
          <w:sz w:val="32"/>
          <w:szCs w:val="32"/>
          <w:highlight w:val="none"/>
        </w:rPr>
        <w:t>年决算数持平</w:t>
      </w:r>
      <w:r>
        <w:rPr>
          <w:rFonts w:hint="eastAsia" w:ascii="仿宋" w:hAnsi="仿宋" w:eastAsia="仿宋" w:cs="仿宋"/>
          <w:color w:val="auto"/>
          <w:kern w:val="2"/>
          <w:sz w:val="32"/>
          <w:szCs w:val="32"/>
          <w:highlight w:val="none"/>
          <w:lang w:val="en-US" w:eastAsia="zh-CN" w:bidi="ar"/>
        </w:rPr>
        <w:t>。主要原因是本单位为事业单位，未发生机关运行经费支出。</w:t>
      </w:r>
    </w:p>
    <w:p>
      <w:pPr>
        <w:autoSpaceDE w:val="0"/>
        <w:autoSpaceDN w:val="0"/>
        <w:adjustRightInd w:val="0"/>
        <w:spacing w:line="600" w:lineRule="exact"/>
        <w:ind w:firstLine="643" w:firstLineChars="200"/>
        <w:jc w:val="left"/>
        <w:outlineLvl w:val="2"/>
        <w:rPr>
          <w:rFonts w:hint="eastAsia" w:ascii="仿宋" w:hAnsi="仿宋" w:eastAsia="仿宋" w:cs="仿宋"/>
          <w:b/>
          <w:color w:val="auto"/>
          <w:sz w:val="32"/>
          <w:szCs w:val="32"/>
          <w:highlight w:val="none"/>
        </w:rPr>
      </w:pPr>
      <w:r>
        <w:rPr>
          <w:rFonts w:hint="eastAsia" w:ascii="仿宋" w:hAnsi="仿宋" w:eastAsia="仿宋" w:cs="仿宋"/>
          <w:b/>
          <w:color w:val="auto"/>
          <w:sz w:val="32"/>
          <w:szCs w:val="32"/>
          <w:highlight w:val="none"/>
        </w:rPr>
        <w:t>（二）政府采购支出情况</w:t>
      </w:r>
      <w:bookmarkEnd w:id="74"/>
    </w:p>
    <w:p>
      <w:pPr>
        <w:spacing w:line="600" w:lineRule="exact"/>
        <w:ind w:firstLine="640" w:firstLineChars="200"/>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rPr>
        <w:t>2021年，我单位政府采购支出</w:t>
      </w:r>
      <w:r>
        <w:rPr>
          <w:rFonts w:hint="eastAsia" w:ascii="仿宋" w:hAnsi="仿宋" w:eastAsia="仿宋" w:cs="仿宋"/>
          <w:color w:val="auto"/>
          <w:sz w:val="32"/>
          <w:szCs w:val="32"/>
          <w:highlight w:val="none"/>
          <w:lang w:eastAsia="zh-CN"/>
        </w:rPr>
        <w:t>年初未预算采购经费，</w:t>
      </w:r>
      <w:r>
        <w:rPr>
          <w:rFonts w:hint="eastAsia" w:ascii="仿宋" w:hAnsi="仿宋" w:eastAsia="仿宋" w:cs="仿宋"/>
          <w:color w:val="auto"/>
          <w:sz w:val="32"/>
          <w:szCs w:val="32"/>
          <w:highlight w:val="none"/>
        </w:rPr>
        <w:t>政府采购支出总额</w:t>
      </w:r>
      <w:r>
        <w:rPr>
          <w:rFonts w:hint="eastAsia" w:ascii="仿宋" w:hAnsi="仿宋" w:eastAsia="仿宋" w:cs="仿宋"/>
          <w:color w:val="auto"/>
          <w:sz w:val="32"/>
          <w:szCs w:val="32"/>
          <w:highlight w:val="none"/>
          <w:lang w:val="en-US" w:eastAsia="zh-CN"/>
        </w:rPr>
        <w:t>0</w:t>
      </w:r>
      <w:r>
        <w:rPr>
          <w:rFonts w:hint="eastAsia" w:ascii="仿宋" w:hAnsi="仿宋" w:eastAsia="仿宋" w:cs="仿宋"/>
          <w:color w:val="auto"/>
          <w:sz w:val="32"/>
          <w:szCs w:val="32"/>
          <w:highlight w:val="none"/>
        </w:rPr>
        <w:t>万元</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lang w:val="en-US" w:eastAsia="zh-CN"/>
        </w:rPr>
        <w:t xml:space="preserve"> </w:t>
      </w:r>
      <w:r>
        <w:rPr>
          <w:rFonts w:hint="eastAsia" w:ascii="仿宋" w:hAnsi="仿宋" w:eastAsia="仿宋" w:cs="仿宋"/>
          <w:color w:val="auto"/>
          <w:kern w:val="2"/>
          <w:sz w:val="32"/>
          <w:szCs w:val="32"/>
          <w:highlight w:val="none"/>
          <w:lang w:val="en-US" w:eastAsia="zh-CN" w:bidi="ar"/>
        </w:rPr>
        <w:t>与</w:t>
      </w:r>
      <w:r>
        <w:rPr>
          <w:rFonts w:hint="eastAsia" w:ascii="仿宋" w:hAnsi="仿宋" w:eastAsia="仿宋" w:cs="仿宋"/>
          <w:color w:val="auto"/>
          <w:sz w:val="32"/>
          <w:szCs w:val="32"/>
          <w:highlight w:val="none"/>
        </w:rPr>
        <w:t>20</w:t>
      </w:r>
      <w:r>
        <w:rPr>
          <w:rFonts w:hint="eastAsia" w:ascii="仿宋" w:hAnsi="仿宋" w:eastAsia="仿宋" w:cs="仿宋"/>
          <w:color w:val="auto"/>
          <w:sz w:val="32"/>
          <w:szCs w:val="32"/>
          <w:highlight w:val="none"/>
          <w:lang w:val="en-US" w:eastAsia="zh-CN"/>
        </w:rPr>
        <w:t>20</w:t>
      </w:r>
      <w:r>
        <w:rPr>
          <w:rFonts w:hint="eastAsia" w:ascii="仿宋" w:hAnsi="仿宋" w:eastAsia="仿宋" w:cs="仿宋"/>
          <w:color w:val="auto"/>
          <w:sz w:val="32"/>
          <w:szCs w:val="32"/>
          <w:highlight w:val="none"/>
        </w:rPr>
        <w:t>年决算数持平</w:t>
      </w:r>
      <w:r>
        <w:rPr>
          <w:rFonts w:hint="eastAsia" w:ascii="仿宋" w:hAnsi="仿宋" w:eastAsia="仿宋" w:cs="仿宋"/>
          <w:color w:val="auto"/>
          <w:kern w:val="2"/>
          <w:sz w:val="32"/>
          <w:szCs w:val="32"/>
          <w:highlight w:val="none"/>
          <w:lang w:val="en-US" w:eastAsia="zh-CN" w:bidi="ar"/>
        </w:rPr>
        <w:t>。</w:t>
      </w:r>
    </w:p>
    <w:p>
      <w:pPr>
        <w:autoSpaceDE w:val="0"/>
        <w:autoSpaceDN w:val="0"/>
        <w:adjustRightInd w:val="0"/>
        <w:spacing w:line="600" w:lineRule="exact"/>
        <w:ind w:firstLine="643" w:firstLineChars="200"/>
        <w:jc w:val="left"/>
        <w:outlineLvl w:val="2"/>
        <w:rPr>
          <w:rFonts w:hint="eastAsia" w:ascii="仿宋" w:hAnsi="仿宋" w:eastAsia="仿宋" w:cs="仿宋"/>
          <w:b/>
          <w:color w:val="auto"/>
          <w:sz w:val="32"/>
          <w:szCs w:val="32"/>
          <w:highlight w:val="none"/>
        </w:rPr>
      </w:pPr>
      <w:bookmarkStart w:id="75" w:name="_Toc15377224"/>
      <w:r>
        <w:rPr>
          <w:rFonts w:hint="eastAsia" w:ascii="仿宋" w:hAnsi="仿宋" w:eastAsia="仿宋" w:cs="仿宋"/>
          <w:b/>
          <w:color w:val="auto"/>
          <w:sz w:val="32"/>
          <w:szCs w:val="32"/>
          <w:highlight w:val="none"/>
        </w:rPr>
        <w:t>（三）国有资产占有使用情况</w:t>
      </w:r>
      <w:bookmarkEnd w:id="75"/>
    </w:p>
    <w:p>
      <w:pPr>
        <w:autoSpaceDE w:val="0"/>
        <w:autoSpaceDN w:val="0"/>
        <w:adjustRightInd w:val="0"/>
        <w:spacing w:line="600" w:lineRule="exact"/>
        <w:ind w:firstLine="640" w:firstLineChars="200"/>
        <w:jc w:val="left"/>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截至20</w:t>
      </w:r>
      <w:r>
        <w:rPr>
          <w:rFonts w:hint="eastAsia" w:ascii="仿宋" w:hAnsi="仿宋" w:eastAsia="仿宋" w:cs="仿宋"/>
          <w:color w:val="auto"/>
          <w:sz w:val="32"/>
          <w:szCs w:val="32"/>
          <w:highlight w:val="none"/>
          <w:lang w:val="en-US" w:eastAsia="zh-CN"/>
        </w:rPr>
        <w:t>21</w:t>
      </w:r>
      <w:r>
        <w:rPr>
          <w:rFonts w:hint="eastAsia" w:ascii="仿宋" w:hAnsi="仿宋" w:eastAsia="仿宋" w:cs="仿宋"/>
          <w:color w:val="auto"/>
          <w:sz w:val="32"/>
          <w:szCs w:val="32"/>
          <w:highlight w:val="none"/>
        </w:rPr>
        <w:t>年12月31日，</w:t>
      </w:r>
      <w:r>
        <w:rPr>
          <w:rFonts w:hint="eastAsia" w:ascii="仿宋" w:hAnsi="仿宋" w:eastAsia="仿宋" w:cs="仿宋"/>
          <w:color w:val="auto"/>
          <w:sz w:val="32"/>
          <w:szCs w:val="32"/>
          <w:highlight w:val="none"/>
          <w:lang w:eastAsia="zh-CN"/>
        </w:rPr>
        <w:t>我单位</w:t>
      </w:r>
      <w:r>
        <w:rPr>
          <w:rFonts w:hint="eastAsia" w:ascii="仿宋" w:hAnsi="仿宋" w:eastAsia="仿宋" w:cs="仿宋"/>
          <w:color w:val="auto"/>
          <w:sz w:val="32"/>
          <w:szCs w:val="32"/>
          <w:highlight w:val="none"/>
        </w:rPr>
        <w:t>共有车辆</w:t>
      </w:r>
      <w:r>
        <w:rPr>
          <w:rFonts w:hint="eastAsia" w:ascii="仿宋" w:hAnsi="仿宋" w:eastAsia="仿宋" w:cs="仿宋"/>
          <w:color w:val="auto"/>
          <w:sz w:val="32"/>
          <w:szCs w:val="32"/>
          <w:highlight w:val="none"/>
          <w:lang w:val="en-US" w:eastAsia="zh-CN"/>
        </w:rPr>
        <w:t>0</w:t>
      </w:r>
      <w:r>
        <w:rPr>
          <w:rFonts w:hint="eastAsia" w:ascii="仿宋" w:hAnsi="仿宋" w:eastAsia="仿宋" w:cs="仿宋"/>
          <w:color w:val="auto"/>
          <w:sz w:val="32"/>
          <w:szCs w:val="32"/>
          <w:highlight w:val="none"/>
        </w:rPr>
        <w:t>辆，其中：主要领导干部用车</w:t>
      </w:r>
      <w:r>
        <w:rPr>
          <w:rFonts w:hint="eastAsia" w:ascii="仿宋" w:hAnsi="仿宋" w:eastAsia="仿宋" w:cs="仿宋"/>
          <w:color w:val="auto"/>
          <w:sz w:val="32"/>
          <w:szCs w:val="32"/>
          <w:highlight w:val="none"/>
          <w:lang w:val="en-US" w:eastAsia="zh-CN"/>
        </w:rPr>
        <w:t>0</w:t>
      </w:r>
      <w:r>
        <w:rPr>
          <w:rFonts w:hint="eastAsia" w:ascii="仿宋" w:hAnsi="仿宋" w:eastAsia="仿宋" w:cs="仿宋"/>
          <w:color w:val="auto"/>
          <w:sz w:val="32"/>
          <w:szCs w:val="32"/>
          <w:highlight w:val="none"/>
        </w:rPr>
        <w:t>辆、机要通信用车</w:t>
      </w:r>
      <w:r>
        <w:rPr>
          <w:rFonts w:hint="eastAsia" w:ascii="仿宋" w:hAnsi="仿宋" w:eastAsia="仿宋" w:cs="仿宋"/>
          <w:color w:val="auto"/>
          <w:sz w:val="32"/>
          <w:szCs w:val="32"/>
          <w:highlight w:val="none"/>
          <w:lang w:val="en-US" w:eastAsia="zh-CN"/>
        </w:rPr>
        <w:t>0</w:t>
      </w:r>
      <w:r>
        <w:rPr>
          <w:rFonts w:hint="eastAsia" w:ascii="仿宋" w:hAnsi="仿宋" w:eastAsia="仿宋" w:cs="仿宋"/>
          <w:color w:val="auto"/>
          <w:sz w:val="32"/>
          <w:szCs w:val="32"/>
          <w:highlight w:val="none"/>
        </w:rPr>
        <w:t>辆、应急保障用车</w:t>
      </w:r>
      <w:r>
        <w:rPr>
          <w:rFonts w:hint="eastAsia" w:ascii="仿宋" w:hAnsi="仿宋" w:eastAsia="仿宋" w:cs="仿宋"/>
          <w:color w:val="auto"/>
          <w:sz w:val="32"/>
          <w:szCs w:val="32"/>
          <w:highlight w:val="none"/>
          <w:lang w:val="en-US" w:eastAsia="zh-CN"/>
        </w:rPr>
        <w:t>0</w:t>
      </w:r>
      <w:r>
        <w:rPr>
          <w:rFonts w:hint="eastAsia" w:ascii="仿宋" w:hAnsi="仿宋" w:eastAsia="仿宋" w:cs="仿宋"/>
          <w:color w:val="auto"/>
          <w:sz w:val="32"/>
          <w:szCs w:val="32"/>
          <w:highlight w:val="none"/>
        </w:rPr>
        <w:t>辆、其他用车</w:t>
      </w:r>
      <w:r>
        <w:rPr>
          <w:rFonts w:hint="eastAsia" w:ascii="仿宋" w:hAnsi="仿宋" w:eastAsia="仿宋" w:cs="仿宋"/>
          <w:color w:val="auto"/>
          <w:sz w:val="32"/>
          <w:szCs w:val="32"/>
          <w:highlight w:val="none"/>
          <w:lang w:val="en-US" w:eastAsia="zh-CN"/>
        </w:rPr>
        <w:t>0</w:t>
      </w:r>
      <w:r>
        <w:rPr>
          <w:rFonts w:hint="eastAsia" w:ascii="仿宋" w:hAnsi="仿宋" w:eastAsia="仿宋" w:cs="仿宋"/>
          <w:color w:val="auto"/>
          <w:sz w:val="32"/>
          <w:szCs w:val="32"/>
          <w:highlight w:val="none"/>
        </w:rPr>
        <w:t>辆</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rPr>
        <w:t>单价50万元以上通用设备</w:t>
      </w:r>
      <w:r>
        <w:rPr>
          <w:rFonts w:hint="eastAsia" w:ascii="仿宋" w:hAnsi="仿宋" w:eastAsia="仿宋" w:cs="仿宋"/>
          <w:color w:val="auto"/>
          <w:sz w:val="32"/>
          <w:szCs w:val="32"/>
          <w:highlight w:val="none"/>
          <w:lang w:val="en-US" w:eastAsia="zh-CN"/>
        </w:rPr>
        <w:t>,0</w:t>
      </w:r>
      <w:r>
        <w:rPr>
          <w:rFonts w:hint="eastAsia" w:ascii="仿宋" w:hAnsi="仿宋" w:eastAsia="仿宋" w:cs="仿宋"/>
          <w:color w:val="auto"/>
          <w:sz w:val="32"/>
          <w:szCs w:val="32"/>
          <w:highlight w:val="none"/>
        </w:rPr>
        <w:t>台（套），单价100万元以上专用设备</w:t>
      </w:r>
      <w:r>
        <w:rPr>
          <w:rFonts w:hint="eastAsia" w:ascii="仿宋" w:hAnsi="仿宋" w:eastAsia="仿宋" w:cs="仿宋"/>
          <w:color w:val="auto"/>
          <w:sz w:val="32"/>
          <w:szCs w:val="32"/>
          <w:highlight w:val="none"/>
          <w:lang w:val="en-US" w:eastAsia="zh-CN"/>
        </w:rPr>
        <w:t>0</w:t>
      </w:r>
      <w:r>
        <w:rPr>
          <w:rFonts w:hint="eastAsia" w:ascii="仿宋" w:hAnsi="仿宋" w:eastAsia="仿宋" w:cs="仿宋"/>
          <w:color w:val="auto"/>
          <w:sz w:val="32"/>
          <w:szCs w:val="32"/>
          <w:highlight w:val="none"/>
        </w:rPr>
        <w:t>台（套）。</w:t>
      </w:r>
    </w:p>
    <w:p>
      <w:pPr>
        <w:pStyle w:val="9"/>
        <w:spacing w:before="93"/>
        <w:rPr>
          <w:rFonts w:hint="eastAsia" w:ascii="仿宋" w:hAnsi="仿宋" w:eastAsia="仿宋" w:cs="仿宋"/>
          <w:color w:val="auto"/>
          <w:highlight w:val="none"/>
        </w:rPr>
      </w:pPr>
    </w:p>
    <w:p>
      <w:pPr>
        <w:widowControl/>
        <w:jc w:val="left"/>
        <w:rPr>
          <w:rFonts w:hint="eastAsia" w:ascii="仿宋" w:hAnsi="仿宋" w:eastAsia="仿宋" w:cs="仿宋"/>
          <w:b/>
          <w:color w:val="auto"/>
          <w:sz w:val="32"/>
          <w:szCs w:val="32"/>
          <w:highlight w:val="none"/>
        </w:rPr>
      </w:pPr>
      <w:r>
        <w:rPr>
          <w:rFonts w:hint="eastAsia" w:ascii="仿宋" w:hAnsi="仿宋" w:eastAsia="仿宋" w:cs="仿宋"/>
          <w:b/>
          <w:color w:val="auto"/>
          <w:sz w:val="32"/>
          <w:szCs w:val="32"/>
          <w:highlight w:val="none"/>
        </w:rPr>
        <w:br w:type="page"/>
      </w:r>
    </w:p>
    <w:p>
      <w:pPr>
        <w:pStyle w:val="4"/>
        <w:numPr>
          <w:ilvl w:val="0"/>
          <w:numId w:val="5"/>
        </w:numPr>
        <w:bidi w:val="0"/>
        <w:rPr>
          <w:rFonts w:hint="eastAsia" w:ascii="仿宋" w:hAnsi="仿宋" w:eastAsia="仿宋" w:cs="仿宋"/>
          <w:color w:val="auto"/>
          <w:highlight w:val="none"/>
        </w:rPr>
      </w:pPr>
      <w:bookmarkStart w:id="76" w:name="_Toc16610"/>
      <w:bookmarkStart w:id="77" w:name="_Toc15377225"/>
      <w:bookmarkStart w:id="78" w:name="_Toc15396613"/>
      <w:r>
        <w:rPr>
          <w:rFonts w:hint="eastAsia" w:ascii="仿宋" w:hAnsi="仿宋" w:eastAsia="仿宋" w:cs="仿宋"/>
          <w:color w:val="auto"/>
          <w:highlight w:val="none"/>
        </w:rPr>
        <w:t>名词解释</w:t>
      </w:r>
      <w:bookmarkEnd w:id="76"/>
      <w:bookmarkEnd w:id="77"/>
      <w:bookmarkEnd w:id="78"/>
    </w:p>
    <w:p>
      <w:pPr>
        <w:spacing w:line="600" w:lineRule="exact"/>
        <w:jc w:val="left"/>
        <w:rPr>
          <w:rFonts w:hint="eastAsia" w:ascii="仿宋" w:hAnsi="仿宋" w:eastAsia="仿宋" w:cs="仿宋"/>
          <w:b/>
          <w:color w:val="auto"/>
          <w:sz w:val="44"/>
          <w:szCs w:val="44"/>
          <w:highlight w:val="none"/>
        </w:rPr>
      </w:pPr>
    </w:p>
    <w:p>
      <w:pPr>
        <w:pStyle w:val="27"/>
        <w:spacing w:line="560" w:lineRule="exact"/>
        <w:ind w:firstLine="640" w:firstLineChars="2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1.财政拨款收入：指单位从同级财政部门取得的财政预算资金。</w:t>
      </w:r>
    </w:p>
    <w:p>
      <w:pPr>
        <w:pStyle w:val="27"/>
        <w:spacing w:line="560" w:lineRule="exact"/>
        <w:ind w:firstLine="640" w:firstLineChars="2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 xml:space="preserve">2.使用非财政拨款结余：指事业单位使用以前年度积累的非财政拨款结余弥补当年收支差额的金额。 </w:t>
      </w:r>
    </w:p>
    <w:p>
      <w:pPr>
        <w:pStyle w:val="27"/>
        <w:spacing w:line="560" w:lineRule="exact"/>
        <w:ind w:firstLine="640" w:firstLineChars="2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 xml:space="preserve">3.年初结转和结余：指以前年度尚未完成、结转到本年按有关规定继续使用的资金。 </w:t>
      </w:r>
    </w:p>
    <w:p>
      <w:pPr>
        <w:pStyle w:val="27"/>
        <w:spacing w:line="560" w:lineRule="exact"/>
        <w:ind w:firstLine="640" w:firstLineChars="2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4.结余分配：指事业单位按照会计制度规定缴纳的所得税、提取的专用结余以及转入非财政拨款结余的金额等。</w:t>
      </w:r>
    </w:p>
    <w:p>
      <w:pPr>
        <w:pStyle w:val="27"/>
        <w:spacing w:line="560" w:lineRule="exact"/>
        <w:ind w:firstLine="640" w:firstLineChars="2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5</w:t>
      </w:r>
      <w:r>
        <w:rPr>
          <w:rFonts w:hint="eastAsia" w:ascii="仿宋" w:hAnsi="仿宋" w:eastAsia="仿宋" w:cs="仿宋"/>
          <w:color w:val="auto"/>
          <w:sz w:val="32"/>
          <w:szCs w:val="32"/>
          <w:highlight w:val="none"/>
          <w:lang w:val="en-US" w:eastAsia="zh-CN"/>
        </w:rPr>
        <w:t>.</w:t>
      </w:r>
      <w:r>
        <w:rPr>
          <w:rFonts w:hint="eastAsia" w:ascii="仿宋" w:hAnsi="仿宋" w:eastAsia="仿宋" w:cs="仿宋"/>
          <w:color w:val="auto"/>
          <w:sz w:val="32"/>
          <w:szCs w:val="32"/>
          <w:highlight w:val="none"/>
        </w:rPr>
        <w:t>年末结转和结余：指单位按有关规定结转到下年或以后年度继续使用的资金。</w:t>
      </w:r>
    </w:p>
    <w:p>
      <w:pPr>
        <w:ind w:firstLine="640" w:firstLineChars="2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6.教育（类）普通教育（款）</w:t>
      </w:r>
      <w:r>
        <w:rPr>
          <w:rFonts w:hint="eastAsia" w:ascii="仿宋" w:hAnsi="仿宋" w:eastAsia="仿宋" w:cs="仿宋"/>
          <w:color w:val="auto"/>
          <w:sz w:val="32"/>
          <w:szCs w:val="32"/>
          <w:highlight w:val="none"/>
          <w:lang w:eastAsia="zh-CN"/>
        </w:rPr>
        <w:t>小学</w:t>
      </w:r>
      <w:r>
        <w:rPr>
          <w:rFonts w:hint="eastAsia" w:ascii="仿宋" w:hAnsi="仿宋" w:eastAsia="仿宋" w:cs="仿宋"/>
          <w:color w:val="auto"/>
          <w:sz w:val="32"/>
          <w:szCs w:val="32"/>
          <w:highlight w:val="none"/>
        </w:rPr>
        <w:t>教育（项）：指</w:t>
      </w:r>
      <w:r>
        <w:rPr>
          <w:rFonts w:hint="eastAsia" w:ascii="仿宋" w:hAnsi="仿宋" w:eastAsia="仿宋" w:cs="仿宋"/>
          <w:color w:val="auto"/>
          <w:sz w:val="32"/>
          <w:szCs w:val="32"/>
          <w:highlight w:val="none"/>
          <w:lang w:eastAsia="zh-CN"/>
        </w:rPr>
        <w:t>小学</w:t>
      </w:r>
      <w:r>
        <w:rPr>
          <w:rFonts w:hint="eastAsia" w:ascii="仿宋" w:hAnsi="仿宋" w:eastAsia="仿宋" w:cs="仿宋"/>
          <w:color w:val="auto"/>
          <w:sz w:val="32"/>
          <w:szCs w:val="32"/>
          <w:highlight w:val="none"/>
        </w:rPr>
        <w:t>教育。</w:t>
      </w:r>
    </w:p>
    <w:p>
      <w:pPr>
        <w:ind w:firstLine="640" w:firstLineChars="2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7.教育（类）普通教育（款）</w:t>
      </w:r>
      <w:r>
        <w:rPr>
          <w:rFonts w:hint="eastAsia" w:ascii="仿宋" w:hAnsi="仿宋" w:eastAsia="仿宋" w:cs="仿宋"/>
          <w:color w:val="auto"/>
          <w:sz w:val="32"/>
          <w:szCs w:val="32"/>
          <w:highlight w:val="none"/>
          <w:lang w:val="en-US" w:eastAsia="zh-CN"/>
        </w:rPr>
        <w:t>其他教育支出</w:t>
      </w:r>
      <w:r>
        <w:rPr>
          <w:rFonts w:hint="eastAsia" w:ascii="仿宋" w:hAnsi="仿宋" w:eastAsia="仿宋" w:cs="仿宋"/>
          <w:color w:val="auto"/>
          <w:sz w:val="32"/>
          <w:szCs w:val="32"/>
          <w:highlight w:val="none"/>
        </w:rPr>
        <w:t>（项）：</w:t>
      </w:r>
      <w:r>
        <w:rPr>
          <w:rFonts w:hint="eastAsia" w:ascii="仿宋" w:hAnsi="仿宋" w:eastAsia="仿宋" w:cs="仿宋"/>
          <w:color w:val="auto"/>
          <w:sz w:val="32"/>
          <w:szCs w:val="32"/>
          <w:highlight w:val="none"/>
          <w:lang w:val="en-US" w:eastAsia="zh-CN"/>
        </w:rPr>
        <w:t>其他教育支出</w:t>
      </w:r>
      <w:r>
        <w:rPr>
          <w:rFonts w:hint="eastAsia" w:ascii="仿宋" w:hAnsi="仿宋" w:eastAsia="仿宋" w:cs="仿宋"/>
          <w:color w:val="auto"/>
          <w:sz w:val="32"/>
          <w:szCs w:val="32"/>
          <w:highlight w:val="none"/>
        </w:rPr>
        <w:t>。</w:t>
      </w:r>
    </w:p>
    <w:p>
      <w:pPr>
        <w:numPr>
          <w:ilvl w:val="0"/>
          <w:numId w:val="0"/>
        </w:numPr>
        <w:spacing w:line="600" w:lineRule="exact"/>
        <w:ind w:firstLine="640" w:firstLineChars="200"/>
        <w:rPr>
          <w:rFonts w:hint="eastAsia" w:ascii="仿宋" w:hAnsi="仿宋" w:eastAsia="仿宋" w:cs="仿宋"/>
          <w:color w:val="auto"/>
          <w:kern w:val="0"/>
          <w:sz w:val="32"/>
          <w:szCs w:val="32"/>
          <w:highlight w:val="none"/>
          <w:lang w:val="en-US" w:eastAsia="zh-CN" w:bidi="ar-SA"/>
        </w:rPr>
      </w:pPr>
      <w:r>
        <w:rPr>
          <w:rFonts w:hint="eastAsia" w:ascii="仿宋" w:hAnsi="仿宋" w:eastAsia="仿宋" w:cs="仿宋"/>
          <w:color w:val="auto"/>
          <w:kern w:val="0"/>
          <w:sz w:val="32"/>
          <w:szCs w:val="32"/>
          <w:highlight w:val="none"/>
          <w:lang w:val="en-US" w:eastAsia="zh-CN" w:bidi="ar-SA"/>
        </w:rPr>
        <w:t>8.社会保障和就业支出（类）行政事业单位养老支出（款）机关事业单位基本养老保险缴费支出（项）: 指机关事业单位实施养老保险制度由单位缴纳的基本养老保险费支出。</w:t>
      </w:r>
    </w:p>
    <w:p>
      <w:pPr>
        <w:pStyle w:val="2"/>
        <w:ind w:left="0" w:leftChars="0" w:firstLine="640" w:firstLineChars="200"/>
        <w:rPr>
          <w:rFonts w:hint="eastAsia" w:ascii="仿宋" w:hAnsi="仿宋" w:eastAsia="仿宋" w:cs="仿宋"/>
          <w:color w:val="auto"/>
          <w:highlight w:val="none"/>
          <w:lang w:val="en-US" w:eastAsia="zh-CN"/>
        </w:rPr>
      </w:pPr>
      <w:r>
        <w:rPr>
          <w:rFonts w:hint="eastAsia" w:ascii="仿宋" w:hAnsi="仿宋" w:eastAsia="仿宋" w:cs="仿宋"/>
          <w:color w:val="auto"/>
          <w:kern w:val="0"/>
          <w:sz w:val="32"/>
          <w:szCs w:val="32"/>
          <w:highlight w:val="none"/>
          <w:lang w:val="en-US" w:eastAsia="zh-CN" w:bidi="ar-SA"/>
        </w:rPr>
        <w:t>9.社会保障和就业支出（类）其他社会保障和就业支出（款）其他社会保障和就业支出（项）: 指其他用于社会保障和就业方面的支出。</w:t>
      </w:r>
    </w:p>
    <w:p>
      <w:pPr>
        <w:pStyle w:val="9"/>
        <w:ind w:firstLine="640" w:firstLineChars="200"/>
        <w:rPr>
          <w:rFonts w:hint="eastAsia" w:ascii="仿宋" w:hAnsi="仿宋" w:eastAsia="仿宋" w:cs="仿宋"/>
          <w:color w:val="auto"/>
          <w:highlight w:val="none"/>
        </w:rPr>
      </w:pPr>
      <w:r>
        <w:rPr>
          <w:rFonts w:hint="eastAsia" w:ascii="仿宋" w:hAnsi="仿宋" w:eastAsia="仿宋" w:cs="仿宋"/>
          <w:color w:val="auto"/>
          <w:kern w:val="0"/>
          <w:sz w:val="32"/>
          <w:szCs w:val="32"/>
          <w:highlight w:val="none"/>
          <w:lang w:val="en-US" w:eastAsia="zh-CN"/>
        </w:rPr>
        <w:t>10.卫生健康（类）行政事业单位医疗（款）事业单位医疗（项）：指财政部门安排的事业单位基本医疗保险缴费经费，未参加医疗保险的事业单位的公费医疗经费，按国家规定享受离休人员待遇的医疗保险。</w:t>
      </w:r>
    </w:p>
    <w:p>
      <w:pPr>
        <w:pStyle w:val="9"/>
        <w:ind w:firstLine="640" w:firstLineChars="200"/>
        <w:rPr>
          <w:rFonts w:hint="eastAsia" w:ascii="仿宋" w:hAnsi="仿宋" w:eastAsia="仿宋" w:cs="仿宋"/>
          <w:color w:val="auto"/>
          <w:highlight w:val="none"/>
        </w:rPr>
      </w:pPr>
      <w:r>
        <w:rPr>
          <w:rFonts w:hint="eastAsia" w:ascii="仿宋" w:hAnsi="仿宋" w:eastAsia="仿宋" w:cs="仿宋"/>
          <w:color w:val="auto"/>
          <w:kern w:val="0"/>
          <w:sz w:val="32"/>
          <w:szCs w:val="32"/>
          <w:highlight w:val="none"/>
          <w:lang w:val="en-US" w:eastAsia="zh-CN"/>
        </w:rPr>
        <w:t>11.住房保障支出（类）住房改革支出（款）住房公积金（项）：指行政事业单位按人力资源和社会保障部、财政部规定的基本工资和津贴补贴以及规定比例为职工缴纳的住房公积金。</w:t>
      </w:r>
    </w:p>
    <w:p>
      <w:pPr>
        <w:ind w:firstLine="640" w:firstLineChars="2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lang w:val="en-US" w:eastAsia="zh-CN"/>
        </w:rPr>
        <w:t>12</w:t>
      </w:r>
      <w:r>
        <w:rPr>
          <w:rFonts w:hint="eastAsia" w:ascii="仿宋" w:hAnsi="仿宋" w:eastAsia="仿宋" w:cs="仿宋"/>
          <w:color w:val="auto"/>
          <w:sz w:val="32"/>
          <w:szCs w:val="32"/>
          <w:highlight w:val="none"/>
        </w:rPr>
        <w:t>.基本支出：指为保障机构正常运转、完成日常工作任务而发生的人员支出和公用支出。</w:t>
      </w:r>
    </w:p>
    <w:p>
      <w:pPr>
        <w:ind w:firstLine="640" w:firstLineChars="2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1</w:t>
      </w:r>
      <w:r>
        <w:rPr>
          <w:rFonts w:hint="eastAsia" w:ascii="仿宋" w:hAnsi="仿宋" w:eastAsia="仿宋" w:cs="仿宋"/>
          <w:color w:val="auto"/>
          <w:sz w:val="32"/>
          <w:szCs w:val="32"/>
          <w:highlight w:val="none"/>
          <w:lang w:val="en-US" w:eastAsia="zh-CN"/>
        </w:rPr>
        <w:t>3</w:t>
      </w:r>
      <w:r>
        <w:rPr>
          <w:rFonts w:hint="eastAsia" w:ascii="仿宋" w:hAnsi="仿宋" w:eastAsia="仿宋" w:cs="仿宋"/>
          <w:color w:val="auto"/>
          <w:sz w:val="32"/>
          <w:szCs w:val="32"/>
          <w:highlight w:val="none"/>
        </w:rPr>
        <w:t xml:space="preserve">.项目支出：指在基本支出之外为完成特定行政任务和事业发展目标所发生的支出。 </w:t>
      </w:r>
    </w:p>
    <w:p>
      <w:pPr>
        <w:pStyle w:val="27"/>
        <w:spacing w:line="560" w:lineRule="exact"/>
        <w:ind w:firstLine="640" w:firstLineChars="200"/>
        <w:jc w:val="left"/>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1</w:t>
      </w:r>
      <w:r>
        <w:rPr>
          <w:rFonts w:hint="eastAsia" w:ascii="仿宋" w:hAnsi="仿宋" w:eastAsia="仿宋" w:cs="仿宋"/>
          <w:color w:val="auto"/>
          <w:sz w:val="32"/>
          <w:szCs w:val="32"/>
          <w:highlight w:val="none"/>
          <w:lang w:val="en-US" w:eastAsia="zh-CN"/>
        </w:rPr>
        <w:t>4</w:t>
      </w:r>
      <w:r>
        <w:rPr>
          <w:rFonts w:hint="eastAsia" w:ascii="仿宋" w:hAnsi="仿宋" w:eastAsia="仿宋" w:cs="仿宋"/>
          <w:color w:val="auto"/>
          <w:sz w:val="32"/>
          <w:szCs w:val="32"/>
          <w:highlight w:val="none"/>
        </w:rPr>
        <w:t>.“三公”经费：指单位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bookmarkStart w:id="79" w:name="_Toc15377226"/>
    </w:p>
    <w:p>
      <w:pPr>
        <w:pStyle w:val="27"/>
        <w:spacing w:line="560" w:lineRule="exact"/>
        <w:ind w:firstLine="883" w:firstLineChars="200"/>
        <w:jc w:val="center"/>
        <w:rPr>
          <w:rStyle w:val="29"/>
          <w:rFonts w:hint="eastAsia" w:ascii="仿宋" w:hAnsi="仿宋" w:eastAsia="仿宋" w:cs="仿宋"/>
          <w:b w:val="0"/>
          <w:color w:val="auto"/>
          <w:highlight w:val="none"/>
        </w:rPr>
      </w:pPr>
      <w:r>
        <w:rPr>
          <w:rFonts w:hint="eastAsia" w:ascii="仿宋" w:hAnsi="仿宋" w:eastAsia="仿宋" w:cs="仿宋"/>
          <w:b/>
          <w:color w:val="auto"/>
          <w:sz w:val="44"/>
          <w:szCs w:val="44"/>
          <w:highlight w:val="none"/>
        </w:rPr>
        <w:br w:type="page"/>
      </w:r>
      <w:bookmarkStart w:id="80" w:name="_Toc15396614"/>
      <w:bookmarkStart w:id="81" w:name="_Toc3498"/>
      <w:r>
        <w:rPr>
          <w:rStyle w:val="29"/>
          <w:rFonts w:hint="eastAsia" w:ascii="仿宋" w:hAnsi="仿宋" w:eastAsia="仿宋" w:cs="仿宋"/>
          <w:color w:val="auto"/>
          <w:highlight w:val="none"/>
        </w:rPr>
        <w:t>第四部分 附件</w:t>
      </w:r>
      <w:bookmarkEnd w:id="80"/>
    </w:p>
    <w:bookmarkEnd w:id="81"/>
    <w:tbl>
      <w:tblPr>
        <w:tblStyle w:val="17"/>
        <w:tblpPr w:leftFromText="180" w:rightFromText="180" w:vertAnchor="text" w:horzAnchor="page" w:tblpX="1702" w:tblpY="109"/>
        <w:tblOverlap w:val="never"/>
        <w:tblW w:w="9454" w:type="dxa"/>
        <w:tblInd w:w="0" w:type="dxa"/>
        <w:tblLayout w:type="fixed"/>
        <w:tblCellMar>
          <w:top w:w="0" w:type="dxa"/>
          <w:left w:w="108" w:type="dxa"/>
          <w:bottom w:w="0" w:type="dxa"/>
          <w:right w:w="108" w:type="dxa"/>
        </w:tblCellMar>
      </w:tblPr>
      <w:tblGrid>
        <w:gridCol w:w="1113"/>
        <w:gridCol w:w="1005"/>
        <w:gridCol w:w="1215"/>
        <w:gridCol w:w="2385"/>
        <w:gridCol w:w="1178"/>
        <w:gridCol w:w="2322"/>
        <w:gridCol w:w="236"/>
      </w:tblGrid>
      <w:tr>
        <w:tblPrEx>
          <w:tblCellMar>
            <w:top w:w="0" w:type="dxa"/>
            <w:left w:w="108" w:type="dxa"/>
            <w:bottom w:w="0" w:type="dxa"/>
            <w:right w:w="108" w:type="dxa"/>
          </w:tblCellMar>
        </w:tblPrEx>
        <w:trPr>
          <w:trHeight w:val="739" w:hRule="atLeast"/>
        </w:trPr>
        <w:tc>
          <w:tcPr>
            <w:tcW w:w="9218" w:type="dxa"/>
            <w:gridSpan w:val="6"/>
            <w:tcBorders>
              <w:top w:val="nil"/>
              <w:left w:val="nil"/>
              <w:bottom w:val="nil"/>
              <w:right w:val="nil"/>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b/>
                <w:color w:val="auto"/>
                <w:sz w:val="32"/>
                <w:szCs w:val="32"/>
                <w:highlight w:val="none"/>
                <w:lang w:eastAsia="zh-CN"/>
              </w:rPr>
            </w:pPr>
            <w:bookmarkStart w:id="82" w:name="_Toc15396618"/>
            <w:r>
              <w:rPr>
                <w:rFonts w:hint="eastAsia" w:ascii="仿宋" w:hAnsi="仿宋" w:eastAsia="仿宋" w:cs="仿宋"/>
                <w:b/>
                <w:color w:val="auto"/>
                <w:sz w:val="32"/>
                <w:szCs w:val="32"/>
                <w:highlight w:val="none"/>
              </w:rPr>
              <w:t>2021年部门预算项目绩效目标自评</w:t>
            </w:r>
            <w:r>
              <w:rPr>
                <w:rFonts w:hint="eastAsia" w:ascii="仿宋" w:hAnsi="仿宋" w:eastAsia="仿宋" w:cs="仿宋"/>
                <w:b/>
                <w:color w:val="auto"/>
                <w:sz w:val="32"/>
                <w:szCs w:val="32"/>
                <w:highlight w:val="none"/>
                <w:lang w:eastAsia="zh-CN"/>
              </w:rPr>
              <w:t>（校舍维修）</w:t>
            </w:r>
          </w:p>
        </w:tc>
        <w:tc>
          <w:tcPr>
            <w:tcW w:w="236" w:type="dxa"/>
            <w:tcBorders>
              <w:top w:val="nil"/>
              <w:left w:val="nil"/>
              <w:bottom w:val="nil"/>
              <w:right w:val="nil"/>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b/>
                <w:color w:val="auto"/>
                <w:kern w:val="0"/>
                <w:sz w:val="32"/>
                <w:szCs w:val="32"/>
                <w:highlight w:val="none"/>
              </w:rPr>
            </w:pPr>
          </w:p>
        </w:tc>
      </w:tr>
      <w:tr>
        <w:tblPrEx>
          <w:tblCellMar>
            <w:top w:w="0" w:type="dxa"/>
            <w:left w:w="108" w:type="dxa"/>
            <w:bottom w:w="0" w:type="dxa"/>
            <w:right w:w="108" w:type="dxa"/>
          </w:tblCellMar>
        </w:tblPrEx>
        <w:trPr>
          <w:gridAfter w:val="1"/>
          <w:wAfter w:w="236" w:type="dxa"/>
          <w:trHeight w:val="391" w:hRule="atLeast"/>
        </w:trPr>
        <w:tc>
          <w:tcPr>
            <w:tcW w:w="211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eastAsia" w:ascii="仿宋" w:hAnsi="仿宋" w:eastAsia="仿宋" w:cs="仿宋"/>
                <w:color w:val="auto"/>
                <w:sz w:val="24"/>
                <w:highlight w:val="none"/>
              </w:rPr>
            </w:pPr>
            <w:r>
              <w:rPr>
                <w:rFonts w:hint="eastAsia" w:ascii="仿宋" w:hAnsi="仿宋" w:eastAsia="仿宋" w:cs="仿宋"/>
                <w:color w:val="auto"/>
                <w:kern w:val="0"/>
                <w:sz w:val="24"/>
                <w:highlight w:val="none"/>
              </w:rPr>
              <w:t>主管部门及代码</w:t>
            </w:r>
          </w:p>
        </w:tc>
        <w:tc>
          <w:tcPr>
            <w:tcW w:w="36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textAlignment w:val="center"/>
              <w:rPr>
                <w:rFonts w:hint="default"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360311</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eastAsia" w:ascii="仿宋" w:hAnsi="仿宋" w:eastAsia="仿宋" w:cs="仿宋"/>
                <w:color w:val="auto"/>
                <w:sz w:val="24"/>
                <w:highlight w:val="none"/>
              </w:rPr>
            </w:pPr>
            <w:r>
              <w:rPr>
                <w:rFonts w:hint="eastAsia" w:ascii="仿宋" w:hAnsi="仿宋" w:eastAsia="仿宋" w:cs="仿宋"/>
                <w:color w:val="auto"/>
                <w:kern w:val="0"/>
                <w:sz w:val="24"/>
                <w:highlight w:val="none"/>
              </w:rPr>
              <w:t>实施单位</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textAlignment w:val="center"/>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广元市昭化区元坝镇紫云小学</w:t>
            </w:r>
          </w:p>
        </w:tc>
      </w:tr>
      <w:tr>
        <w:tblPrEx>
          <w:tblCellMar>
            <w:top w:w="0" w:type="dxa"/>
            <w:left w:w="108" w:type="dxa"/>
            <w:bottom w:w="0" w:type="dxa"/>
            <w:right w:w="108" w:type="dxa"/>
          </w:tblCellMar>
        </w:tblPrEx>
        <w:trPr>
          <w:gridAfter w:val="1"/>
          <w:wAfter w:w="236" w:type="dxa"/>
          <w:trHeight w:val="415" w:hRule="atLeast"/>
        </w:trPr>
        <w:tc>
          <w:tcPr>
            <w:tcW w:w="2118"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项目预算</w:t>
            </w:r>
          </w:p>
          <w:p>
            <w:pPr>
              <w:keepNext w:val="0"/>
              <w:keepLines w:val="0"/>
              <w:widowControl/>
              <w:suppressLineNumbers w:val="0"/>
              <w:spacing w:before="0" w:beforeAutospacing="0" w:after="0" w:afterAutospacing="0" w:line="320" w:lineRule="exact"/>
              <w:ind w:left="0" w:right="0"/>
              <w:jc w:val="center"/>
              <w:textAlignment w:val="center"/>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执行情况</w:t>
            </w:r>
          </w:p>
          <w:p>
            <w:pPr>
              <w:keepNext w:val="0"/>
              <w:keepLines w:val="0"/>
              <w:widowControl/>
              <w:suppressLineNumbers w:val="0"/>
              <w:spacing w:before="0" w:beforeAutospacing="0" w:after="0" w:afterAutospacing="0" w:line="320" w:lineRule="exact"/>
              <w:ind w:left="0" w:right="0"/>
              <w:jc w:val="center"/>
              <w:textAlignment w:val="center"/>
              <w:rPr>
                <w:rFonts w:hint="eastAsia" w:ascii="仿宋" w:hAnsi="仿宋" w:eastAsia="仿宋" w:cs="仿宋"/>
                <w:color w:val="auto"/>
                <w:sz w:val="24"/>
                <w:highlight w:val="none"/>
              </w:rPr>
            </w:pPr>
            <w:r>
              <w:rPr>
                <w:rFonts w:hint="eastAsia" w:ascii="仿宋" w:hAnsi="仿宋" w:eastAsia="仿宋" w:cs="仿宋"/>
                <w:color w:val="auto"/>
                <w:kern w:val="0"/>
                <w:sz w:val="24"/>
                <w:highlight w:val="none"/>
              </w:rPr>
              <w:t>（万元）</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center"/>
              <w:rPr>
                <w:rFonts w:hint="eastAsia" w:ascii="仿宋" w:hAnsi="仿宋" w:eastAsia="仿宋" w:cs="仿宋"/>
                <w:color w:val="auto"/>
                <w:sz w:val="24"/>
                <w:highlight w:val="none"/>
              </w:rPr>
            </w:pPr>
            <w:r>
              <w:rPr>
                <w:rFonts w:hint="eastAsia" w:ascii="仿宋" w:hAnsi="仿宋" w:eastAsia="仿宋" w:cs="仿宋"/>
                <w:color w:val="auto"/>
                <w:kern w:val="0"/>
                <w:sz w:val="24"/>
                <w:highlight w:val="none"/>
              </w:rPr>
              <w:t xml:space="preserve"> 预算数：</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90</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center"/>
              <w:rPr>
                <w:rFonts w:hint="eastAsia" w:ascii="仿宋" w:hAnsi="仿宋" w:eastAsia="仿宋" w:cs="仿宋"/>
                <w:color w:val="auto"/>
                <w:sz w:val="24"/>
                <w:highlight w:val="none"/>
              </w:rPr>
            </w:pPr>
            <w:r>
              <w:rPr>
                <w:rFonts w:hint="eastAsia" w:ascii="仿宋" w:hAnsi="仿宋" w:eastAsia="仿宋" w:cs="仿宋"/>
                <w:color w:val="auto"/>
                <w:kern w:val="0"/>
                <w:sz w:val="24"/>
                <w:highlight w:val="none"/>
              </w:rPr>
              <w:t xml:space="preserve"> 执行数：</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90</w:t>
            </w:r>
          </w:p>
        </w:tc>
      </w:tr>
      <w:tr>
        <w:tblPrEx>
          <w:tblCellMar>
            <w:top w:w="0" w:type="dxa"/>
            <w:left w:w="108" w:type="dxa"/>
            <w:bottom w:w="0" w:type="dxa"/>
            <w:right w:w="108" w:type="dxa"/>
          </w:tblCellMar>
        </w:tblPrEx>
        <w:trPr>
          <w:gridAfter w:val="1"/>
          <w:wAfter w:w="236" w:type="dxa"/>
          <w:trHeight w:val="762" w:hRule="atLeast"/>
        </w:trPr>
        <w:tc>
          <w:tcPr>
            <w:tcW w:w="211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eastAsia" w:ascii="仿宋" w:hAnsi="仿宋" w:eastAsia="仿宋" w:cs="仿宋"/>
                <w:color w:val="auto"/>
                <w:sz w:val="24"/>
                <w:highlight w:val="none"/>
              </w:rPr>
            </w:pP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center"/>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其中：</w:t>
            </w:r>
          </w:p>
          <w:p>
            <w:pPr>
              <w:keepNext w:val="0"/>
              <w:keepLines w:val="0"/>
              <w:widowControl/>
              <w:suppressLineNumbers w:val="0"/>
              <w:spacing w:before="0" w:beforeAutospacing="0" w:after="0" w:afterAutospacing="0" w:line="320" w:lineRule="exact"/>
              <w:ind w:left="0" w:right="0"/>
              <w:jc w:val="left"/>
              <w:textAlignment w:val="center"/>
              <w:rPr>
                <w:rFonts w:hint="eastAsia" w:ascii="仿宋" w:hAnsi="仿宋" w:eastAsia="仿宋" w:cs="仿宋"/>
                <w:color w:val="auto"/>
                <w:sz w:val="24"/>
                <w:highlight w:val="none"/>
              </w:rPr>
            </w:pPr>
            <w:r>
              <w:rPr>
                <w:rFonts w:hint="eastAsia" w:ascii="仿宋" w:hAnsi="仿宋" w:eastAsia="仿宋" w:cs="仿宋"/>
                <w:color w:val="auto"/>
                <w:kern w:val="0"/>
                <w:sz w:val="24"/>
                <w:highlight w:val="none"/>
              </w:rPr>
              <w:t>财政拨款</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eastAsia" w:ascii="仿宋" w:hAnsi="仿宋" w:eastAsia="仿宋" w:cs="仿宋"/>
                <w:color w:val="auto"/>
                <w:sz w:val="24"/>
                <w:highlight w:val="none"/>
                <w:lang w:val="en-US"/>
              </w:rPr>
            </w:pPr>
            <w:r>
              <w:rPr>
                <w:rFonts w:hint="eastAsia" w:ascii="仿宋" w:hAnsi="仿宋" w:eastAsia="仿宋" w:cs="仿宋"/>
                <w:color w:val="auto"/>
                <w:sz w:val="24"/>
                <w:highlight w:val="none"/>
                <w:lang w:val="en-US" w:eastAsia="zh-CN"/>
              </w:rPr>
              <w:t>90</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center"/>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其中：</w:t>
            </w:r>
          </w:p>
          <w:p>
            <w:pPr>
              <w:keepNext w:val="0"/>
              <w:keepLines w:val="0"/>
              <w:widowControl/>
              <w:suppressLineNumbers w:val="0"/>
              <w:spacing w:before="0" w:beforeAutospacing="0" w:after="0" w:afterAutospacing="0" w:line="320" w:lineRule="exact"/>
              <w:ind w:left="0" w:right="0"/>
              <w:jc w:val="left"/>
              <w:textAlignment w:val="center"/>
              <w:rPr>
                <w:rFonts w:hint="eastAsia" w:ascii="仿宋" w:hAnsi="仿宋" w:eastAsia="仿宋" w:cs="仿宋"/>
                <w:color w:val="auto"/>
                <w:sz w:val="24"/>
                <w:highlight w:val="none"/>
              </w:rPr>
            </w:pPr>
            <w:r>
              <w:rPr>
                <w:rFonts w:hint="eastAsia" w:ascii="仿宋" w:hAnsi="仿宋" w:eastAsia="仿宋" w:cs="仿宋"/>
                <w:color w:val="auto"/>
                <w:kern w:val="0"/>
                <w:sz w:val="24"/>
                <w:highlight w:val="none"/>
              </w:rPr>
              <w:t>财政拨款</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eastAsia" w:ascii="仿宋" w:hAnsi="仿宋" w:eastAsia="仿宋" w:cs="仿宋"/>
                <w:color w:val="auto"/>
                <w:sz w:val="24"/>
                <w:highlight w:val="none"/>
                <w:lang w:val="en-US"/>
              </w:rPr>
            </w:pPr>
            <w:r>
              <w:rPr>
                <w:rFonts w:hint="eastAsia" w:ascii="仿宋" w:hAnsi="仿宋" w:eastAsia="仿宋" w:cs="仿宋"/>
                <w:color w:val="auto"/>
                <w:sz w:val="24"/>
                <w:highlight w:val="none"/>
                <w:lang w:val="en-US" w:eastAsia="zh-CN"/>
              </w:rPr>
              <w:t>90</w:t>
            </w:r>
          </w:p>
        </w:tc>
      </w:tr>
      <w:tr>
        <w:tblPrEx>
          <w:tblCellMar>
            <w:top w:w="0" w:type="dxa"/>
            <w:left w:w="108" w:type="dxa"/>
            <w:bottom w:w="0" w:type="dxa"/>
            <w:right w:w="108" w:type="dxa"/>
          </w:tblCellMar>
        </w:tblPrEx>
        <w:trPr>
          <w:gridAfter w:val="1"/>
          <w:wAfter w:w="236" w:type="dxa"/>
          <w:trHeight w:val="415" w:hRule="atLeast"/>
        </w:trPr>
        <w:tc>
          <w:tcPr>
            <w:tcW w:w="211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eastAsia" w:ascii="仿宋" w:hAnsi="仿宋" w:eastAsia="仿宋" w:cs="仿宋"/>
                <w:color w:val="auto"/>
                <w:sz w:val="24"/>
                <w:highlight w:val="none"/>
              </w:rPr>
            </w:pP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center"/>
              <w:rPr>
                <w:rFonts w:hint="eastAsia" w:ascii="仿宋" w:hAnsi="仿宋" w:eastAsia="仿宋" w:cs="仿宋"/>
                <w:color w:val="auto"/>
                <w:sz w:val="24"/>
                <w:highlight w:val="none"/>
              </w:rPr>
            </w:pPr>
            <w:r>
              <w:rPr>
                <w:rFonts w:hint="eastAsia" w:ascii="仿宋" w:hAnsi="仿宋" w:eastAsia="仿宋" w:cs="仿宋"/>
                <w:color w:val="auto"/>
                <w:kern w:val="0"/>
                <w:sz w:val="24"/>
                <w:highlight w:val="none"/>
              </w:rPr>
              <w:t>其他资金</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center"/>
              <w:rPr>
                <w:rFonts w:hint="eastAsia" w:ascii="仿宋" w:hAnsi="仿宋" w:eastAsia="仿宋" w:cs="仿宋"/>
                <w:color w:val="auto"/>
                <w:sz w:val="24"/>
                <w:highlight w:val="none"/>
                <w:lang w:val="en-US" w:eastAsia="zh-CN"/>
              </w:rPr>
            </w:pP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center"/>
              <w:rPr>
                <w:rFonts w:hint="eastAsia" w:ascii="仿宋" w:hAnsi="仿宋" w:eastAsia="仿宋" w:cs="仿宋"/>
                <w:color w:val="auto"/>
                <w:sz w:val="24"/>
                <w:highlight w:val="none"/>
              </w:rPr>
            </w:pPr>
            <w:r>
              <w:rPr>
                <w:rFonts w:hint="eastAsia" w:ascii="仿宋" w:hAnsi="仿宋" w:eastAsia="仿宋" w:cs="仿宋"/>
                <w:color w:val="auto"/>
                <w:kern w:val="0"/>
                <w:sz w:val="24"/>
                <w:highlight w:val="none"/>
              </w:rPr>
              <w:t>其他资金</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eastAsia" w:ascii="仿宋" w:hAnsi="仿宋" w:eastAsia="仿宋" w:cs="仿宋"/>
                <w:color w:val="auto"/>
                <w:sz w:val="24"/>
                <w:highlight w:val="none"/>
                <w:lang w:val="en-US" w:eastAsia="zh-CN"/>
              </w:rPr>
            </w:pPr>
          </w:p>
        </w:tc>
      </w:tr>
      <w:tr>
        <w:tblPrEx>
          <w:tblCellMar>
            <w:top w:w="0" w:type="dxa"/>
            <w:left w:w="108" w:type="dxa"/>
            <w:bottom w:w="0" w:type="dxa"/>
            <w:right w:w="108" w:type="dxa"/>
          </w:tblCellMar>
        </w:tblPrEx>
        <w:trPr>
          <w:gridAfter w:val="1"/>
          <w:wAfter w:w="236" w:type="dxa"/>
          <w:trHeight w:val="391" w:hRule="atLeast"/>
        </w:trPr>
        <w:tc>
          <w:tcPr>
            <w:tcW w:w="111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年度总体目标</w:t>
            </w:r>
          </w:p>
          <w:p>
            <w:pPr>
              <w:keepNext w:val="0"/>
              <w:keepLines w:val="0"/>
              <w:widowControl/>
              <w:suppressLineNumbers w:val="0"/>
              <w:spacing w:before="0" w:beforeAutospacing="0" w:after="0" w:afterAutospacing="0" w:line="320" w:lineRule="exact"/>
              <w:ind w:left="0" w:right="0"/>
              <w:jc w:val="center"/>
              <w:textAlignment w:val="center"/>
              <w:rPr>
                <w:rFonts w:hint="eastAsia" w:ascii="仿宋" w:hAnsi="仿宋" w:eastAsia="仿宋" w:cs="仿宋"/>
                <w:color w:val="auto"/>
                <w:sz w:val="24"/>
                <w:highlight w:val="none"/>
              </w:rPr>
            </w:pPr>
            <w:r>
              <w:rPr>
                <w:rFonts w:hint="eastAsia" w:ascii="仿宋" w:hAnsi="仿宋" w:eastAsia="仿宋" w:cs="仿宋"/>
                <w:color w:val="auto"/>
                <w:kern w:val="0"/>
                <w:sz w:val="24"/>
                <w:highlight w:val="none"/>
              </w:rPr>
              <w:t>完成情况</w:t>
            </w:r>
          </w:p>
        </w:tc>
        <w:tc>
          <w:tcPr>
            <w:tcW w:w="460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eastAsia" w:ascii="仿宋" w:hAnsi="仿宋" w:eastAsia="仿宋" w:cs="仿宋"/>
                <w:color w:val="auto"/>
                <w:sz w:val="24"/>
                <w:highlight w:val="none"/>
              </w:rPr>
            </w:pPr>
            <w:r>
              <w:rPr>
                <w:rFonts w:hint="eastAsia" w:ascii="仿宋" w:hAnsi="仿宋" w:eastAsia="仿宋" w:cs="仿宋"/>
                <w:color w:val="auto"/>
                <w:kern w:val="0"/>
                <w:sz w:val="24"/>
                <w:highlight w:val="none"/>
              </w:rPr>
              <w:t>预期目标</w:t>
            </w:r>
          </w:p>
        </w:tc>
        <w:tc>
          <w:tcPr>
            <w:tcW w:w="35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eastAsia" w:ascii="仿宋" w:hAnsi="仿宋" w:eastAsia="仿宋" w:cs="仿宋"/>
                <w:color w:val="auto"/>
                <w:sz w:val="24"/>
                <w:highlight w:val="none"/>
              </w:rPr>
            </w:pPr>
            <w:r>
              <w:rPr>
                <w:rFonts w:hint="eastAsia" w:ascii="仿宋" w:hAnsi="仿宋" w:eastAsia="仿宋" w:cs="仿宋"/>
                <w:color w:val="auto"/>
                <w:kern w:val="0"/>
                <w:sz w:val="24"/>
                <w:highlight w:val="none"/>
              </w:rPr>
              <w:t>目标实际完成情况</w:t>
            </w:r>
          </w:p>
        </w:tc>
      </w:tr>
      <w:tr>
        <w:tblPrEx>
          <w:tblCellMar>
            <w:top w:w="0" w:type="dxa"/>
            <w:left w:w="108" w:type="dxa"/>
            <w:bottom w:w="0" w:type="dxa"/>
            <w:right w:w="108" w:type="dxa"/>
          </w:tblCellMar>
        </w:tblPrEx>
        <w:trPr>
          <w:gridAfter w:val="1"/>
          <w:wAfter w:w="236" w:type="dxa"/>
          <w:trHeight w:val="943" w:hRule="atLeast"/>
        </w:trPr>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eastAsia" w:ascii="仿宋" w:hAnsi="仿宋" w:eastAsia="仿宋" w:cs="仿宋"/>
                <w:color w:val="auto"/>
                <w:sz w:val="24"/>
                <w:highlight w:val="none"/>
              </w:rPr>
            </w:pPr>
          </w:p>
        </w:tc>
        <w:tc>
          <w:tcPr>
            <w:tcW w:w="4605" w:type="dxa"/>
            <w:gridSpan w:val="3"/>
            <w:tcBorders>
              <w:top w:val="single" w:color="000000" w:sz="4" w:space="0"/>
              <w:left w:val="single" w:color="000000" w:sz="4" w:space="0"/>
              <w:bottom w:val="single" w:color="000000" w:sz="4" w:space="0"/>
              <w:right w:val="single" w:color="000000" w:sz="4" w:space="0"/>
            </w:tcBorders>
            <w:shd w:val="clear" w:color="auto" w:fill="auto"/>
          </w:tcPr>
          <w:p>
            <w:pPr>
              <w:keepNext w:val="0"/>
              <w:keepLines w:val="0"/>
              <w:widowControl/>
              <w:suppressLineNumbers w:val="0"/>
              <w:spacing w:before="0" w:beforeAutospacing="0" w:after="0" w:afterAutospacing="0" w:line="320" w:lineRule="exact"/>
              <w:ind w:left="0" w:right="0"/>
              <w:jc w:val="left"/>
              <w:textAlignment w:val="top"/>
              <w:rPr>
                <w:rFonts w:hint="eastAsia" w:ascii="仿宋" w:hAnsi="仿宋" w:eastAsia="仿宋" w:cs="仿宋"/>
                <w:color w:val="auto"/>
                <w:sz w:val="24"/>
                <w:highlight w:val="none"/>
                <w:lang w:eastAsia="zh-CN"/>
              </w:rPr>
            </w:pPr>
            <w:r>
              <w:rPr>
                <w:rFonts w:hint="eastAsia" w:ascii="仿宋" w:hAnsi="仿宋" w:eastAsia="仿宋" w:cs="仿宋"/>
                <w:color w:val="auto"/>
                <w:sz w:val="22"/>
                <w:szCs w:val="22"/>
                <w:highlight w:val="none"/>
              </w:rPr>
              <w:t>校舍</w:t>
            </w:r>
            <w:r>
              <w:rPr>
                <w:rFonts w:hint="eastAsia" w:ascii="仿宋" w:hAnsi="仿宋" w:eastAsia="仿宋" w:cs="仿宋"/>
                <w:color w:val="auto"/>
                <w:sz w:val="22"/>
                <w:szCs w:val="22"/>
                <w:highlight w:val="none"/>
                <w:lang w:eastAsia="zh-CN"/>
              </w:rPr>
              <w:t>维修面积</w:t>
            </w:r>
            <w:r>
              <w:rPr>
                <w:rFonts w:hint="eastAsia" w:ascii="仿宋" w:hAnsi="仿宋" w:eastAsia="仿宋" w:cs="仿宋"/>
                <w:color w:val="auto"/>
                <w:sz w:val="22"/>
                <w:szCs w:val="22"/>
                <w:highlight w:val="none"/>
                <w:lang w:val="en-US" w:eastAsia="zh-CN"/>
              </w:rPr>
              <w:t>1250</w:t>
            </w:r>
            <w:r>
              <w:rPr>
                <w:rFonts w:hint="eastAsia" w:ascii="仿宋" w:hAnsi="仿宋" w:eastAsia="仿宋" w:cs="仿宋"/>
                <w:color w:val="auto"/>
                <w:sz w:val="22"/>
                <w:szCs w:val="22"/>
                <w:highlight w:val="none"/>
              </w:rPr>
              <w:t>平方米，改善学校办学条件和基础设施配套，提供高质量硬件设施设备，营造良好的学习氛围</w:t>
            </w:r>
            <w:r>
              <w:rPr>
                <w:rFonts w:hint="eastAsia" w:ascii="仿宋" w:hAnsi="仿宋" w:eastAsia="仿宋" w:cs="仿宋"/>
                <w:color w:val="auto"/>
                <w:sz w:val="22"/>
                <w:szCs w:val="22"/>
                <w:highlight w:val="none"/>
                <w:lang w:eastAsia="zh-CN"/>
              </w:rPr>
              <w:t>。</w:t>
            </w:r>
          </w:p>
        </w:tc>
        <w:tc>
          <w:tcPr>
            <w:tcW w:w="3500" w:type="dxa"/>
            <w:gridSpan w:val="2"/>
            <w:tcBorders>
              <w:top w:val="single" w:color="000000" w:sz="4" w:space="0"/>
              <w:left w:val="single" w:color="000000" w:sz="4" w:space="0"/>
              <w:bottom w:val="single" w:color="000000" w:sz="4" w:space="0"/>
              <w:right w:val="single" w:color="000000" w:sz="4" w:space="0"/>
            </w:tcBorders>
            <w:shd w:val="clear" w:color="auto" w:fill="auto"/>
          </w:tcPr>
          <w:p>
            <w:pPr>
              <w:keepNext w:val="0"/>
              <w:keepLines w:val="0"/>
              <w:widowControl/>
              <w:suppressLineNumbers w:val="0"/>
              <w:spacing w:before="0" w:beforeAutospacing="0" w:after="0" w:afterAutospacing="0" w:line="320" w:lineRule="exact"/>
              <w:ind w:left="0" w:right="0"/>
              <w:jc w:val="left"/>
              <w:textAlignment w:val="top"/>
              <w:rPr>
                <w:rFonts w:hint="eastAsia" w:ascii="仿宋" w:hAnsi="仿宋" w:eastAsia="仿宋" w:cs="仿宋"/>
                <w:color w:val="auto"/>
                <w:sz w:val="24"/>
                <w:highlight w:val="none"/>
                <w:lang w:eastAsia="zh-CN"/>
              </w:rPr>
            </w:pPr>
            <w:r>
              <w:rPr>
                <w:rFonts w:hint="eastAsia" w:ascii="仿宋" w:hAnsi="仿宋" w:eastAsia="仿宋" w:cs="仿宋"/>
                <w:color w:val="auto"/>
                <w:sz w:val="22"/>
                <w:szCs w:val="22"/>
                <w:highlight w:val="none"/>
                <w:lang w:eastAsia="zh-CN"/>
              </w:rPr>
              <w:t>完成</w:t>
            </w:r>
            <w:r>
              <w:rPr>
                <w:rFonts w:hint="eastAsia" w:ascii="仿宋" w:hAnsi="仿宋" w:eastAsia="仿宋" w:cs="仿宋"/>
                <w:color w:val="auto"/>
                <w:sz w:val="22"/>
                <w:szCs w:val="22"/>
                <w:highlight w:val="none"/>
                <w:lang w:val="en-US" w:eastAsia="zh-CN"/>
              </w:rPr>
              <w:t>1250</w:t>
            </w:r>
            <w:r>
              <w:rPr>
                <w:rFonts w:hint="eastAsia" w:ascii="仿宋" w:hAnsi="仿宋" w:eastAsia="仿宋" w:cs="仿宋"/>
                <w:color w:val="auto"/>
                <w:sz w:val="22"/>
                <w:szCs w:val="22"/>
                <w:highlight w:val="none"/>
              </w:rPr>
              <w:t>平方米</w:t>
            </w:r>
            <w:r>
              <w:rPr>
                <w:rFonts w:hint="eastAsia" w:ascii="仿宋" w:hAnsi="仿宋" w:eastAsia="仿宋" w:cs="仿宋"/>
                <w:color w:val="auto"/>
                <w:sz w:val="22"/>
                <w:szCs w:val="22"/>
                <w:highlight w:val="none"/>
                <w:lang w:eastAsia="zh-CN"/>
              </w:rPr>
              <w:t>的校舍维修，</w:t>
            </w:r>
            <w:r>
              <w:rPr>
                <w:rFonts w:hint="eastAsia" w:ascii="仿宋" w:hAnsi="仿宋" w:eastAsia="仿宋" w:cs="仿宋"/>
                <w:color w:val="auto"/>
                <w:sz w:val="22"/>
                <w:szCs w:val="22"/>
                <w:highlight w:val="none"/>
              </w:rPr>
              <w:t>改善</w:t>
            </w:r>
            <w:r>
              <w:rPr>
                <w:rFonts w:hint="eastAsia" w:ascii="仿宋" w:hAnsi="仿宋" w:eastAsia="仿宋" w:cs="仿宋"/>
                <w:color w:val="auto"/>
                <w:sz w:val="22"/>
                <w:szCs w:val="22"/>
                <w:highlight w:val="none"/>
                <w:lang w:eastAsia="zh-CN"/>
              </w:rPr>
              <w:t>了</w:t>
            </w:r>
            <w:r>
              <w:rPr>
                <w:rFonts w:hint="eastAsia" w:ascii="仿宋" w:hAnsi="仿宋" w:eastAsia="仿宋" w:cs="仿宋"/>
                <w:color w:val="auto"/>
                <w:sz w:val="22"/>
                <w:szCs w:val="22"/>
                <w:highlight w:val="none"/>
              </w:rPr>
              <w:t>学校办学条件和基础设施配套，提供</w:t>
            </w:r>
            <w:r>
              <w:rPr>
                <w:rFonts w:hint="eastAsia" w:ascii="仿宋" w:hAnsi="仿宋" w:eastAsia="仿宋" w:cs="仿宋"/>
                <w:color w:val="auto"/>
                <w:sz w:val="22"/>
                <w:szCs w:val="22"/>
                <w:highlight w:val="none"/>
                <w:lang w:eastAsia="zh-CN"/>
              </w:rPr>
              <w:t>了</w:t>
            </w:r>
            <w:r>
              <w:rPr>
                <w:rFonts w:hint="eastAsia" w:ascii="仿宋" w:hAnsi="仿宋" w:eastAsia="仿宋" w:cs="仿宋"/>
                <w:color w:val="auto"/>
                <w:sz w:val="22"/>
                <w:szCs w:val="22"/>
                <w:highlight w:val="none"/>
              </w:rPr>
              <w:t>高质量硬件设施设备，营造</w:t>
            </w:r>
            <w:r>
              <w:rPr>
                <w:rFonts w:hint="eastAsia" w:ascii="仿宋" w:hAnsi="仿宋" w:eastAsia="仿宋" w:cs="仿宋"/>
                <w:color w:val="auto"/>
                <w:sz w:val="22"/>
                <w:szCs w:val="22"/>
                <w:highlight w:val="none"/>
                <w:lang w:eastAsia="zh-CN"/>
              </w:rPr>
              <w:t>了</w:t>
            </w:r>
            <w:r>
              <w:rPr>
                <w:rFonts w:hint="eastAsia" w:ascii="仿宋" w:hAnsi="仿宋" w:eastAsia="仿宋" w:cs="仿宋"/>
                <w:color w:val="auto"/>
                <w:sz w:val="22"/>
                <w:szCs w:val="22"/>
                <w:highlight w:val="none"/>
              </w:rPr>
              <w:t>良好的学习氛围</w:t>
            </w:r>
            <w:r>
              <w:rPr>
                <w:rFonts w:hint="eastAsia" w:ascii="仿宋" w:hAnsi="仿宋" w:eastAsia="仿宋" w:cs="仿宋"/>
                <w:color w:val="auto"/>
                <w:sz w:val="22"/>
                <w:szCs w:val="22"/>
                <w:highlight w:val="none"/>
                <w:lang w:eastAsia="zh-CN"/>
              </w:rPr>
              <w:t>。</w:t>
            </w:r>
          </w:p>
        </w:tc>
      </w:tr>
      <w:tr>
        <w:tblPrEx>
          <w:tblCellMar>
            <w:top w:w="0" w:type="dxa"/>
            <w:left w:w="108" w:type="dxa"/>
            <w:bottom w:w="0" w:type="dxa"/>
            <w:right w:w="108" w:type="dxa"/>
          </w:tblCellMar>
        </w:tblPrEx>
        <w:trPr>
          <w:gridAfter w:val="1"/>
          <w:wAfter w:w="236" w:type="dxa"/>
          <w:trHeight w:val="823" w:hRule="atLeast"/>
        </w:trPr>
        <w:tc>
          <w:tcPr>
            <w:tcW w:w="1113"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eastAsia" w:ascii="仿宋" w:hAnsi="仿宋" w:eastAsia="仿宋" w:cs="仿宋"/>
                <w:color w:val="auto"/>
                <w:sz w:val="28"/>
                <w:szCs w:val="28"/>
                <w:highlight w:val="none"/>
              </w:rPr>
            </w:pPr>
            <w:r>
              <w:rPr>
                <w:rFonts w:hint="eastAsia" w:ascii="仿宋" w:hAnsi="仿宋" w:eastAsia="仿宋" w:cs="仿宋"/>
                <w:color w:val="auto"/>
                <w:kern w:val="0"/>
                <w:sz w:val="28"/>
                <w:szCs w:val="28"/>
                <w:highlight w:val="none"/>
              </w:rPr>
              <w:t>年度绩效指标完成情况</w:t>
            </w:r>
          </w:p>
        </w:tc>
        <w:tc>
          <w:tcPr>
            <w:tcW w:w="100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一级</w:t>
            </w:r>
          </w:p>
          <w:p>
            <w:pPr>
              <w:keepNext w:val="0"/>
              <w:keepLines w:val="0"/>
              <w:widowControl/>
              <w:suppressLineNumbers w:val="0"/>
              <w:spacing w:before="0" w:beforeAutospacing="0" w:after="0" w:afterAutospacing="0" w:line="320" w:lineRule="exact"/>
              <w:ind w:left="0" w:right="0"/>
              <w:jc w:val="center"/>
              <w:textAlignment w:val="center"/>
              <w:rPr>
                <w:rFonts w:hint="eastAsia" w:ascii="仿宋" w:hAnsi="仿宋" w:eastAsia="仿宋" w:cs="仿宋"/>
                <w:color w:val="auto"/>
                <w:sz w:val="28"/>
                <w:szCs w:val="28"/>
                <w:highlight w:val="none"/>
              </w:rPr>
            </w:pPr>
            <w:r>
              <w:rPr>
                <w:rFonts w:hint="eastAsia" w:ascii="仿宋" w:hAnsi="仿宋" w:eastAsia="仿宋" w:cs="仿宋"/>
                <w:color w:val="auto"/>
                <w:kern w:val="0"/>
                <w:sz w:val="28"/>
                <w:szCs w:val="28"/>
                <w:highlight w:val="none"/>
              </w:rPr>
              <w:t>指标</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二级</w:t>
            </w:r>
          </w:p>
          <w:p>
            <w:pPr>
              <w:keepNext w:val="0"/>
              <w:keepLines w:val="0"/>
              <w:widowControl/>
              <w:suppressLineNumbers w:val="0"/>
              <w:spacing w:before="0" w:beforeAutospacing="0" w:after="0" w:afterAutospacing="0" w:line="320" w:lineRule="exact"/>
              <w:ind w:left="0" w:right="0"/>
              <w:jc w:val="center"/>
              <w:textAlignment w:val="center"/>
              <w:rPr>
                <w:rFonts w:hint="eastAsia" w:ascii="仿宋" w:hAnsi="仿宋" w:eastAsia="仿宋" w:cs="仿宋"/>
                <w:color w:val="auto"/>
                <w:sz w:val="28"/>
                <w:szCs w:val="28"/>
                <w:highlight w:val="none"/>
              </w:rPr>
            </w:pPr>
            <w:r>
              <w:rPr>
                <w:rFonts w:hint="eastAsia" w:ascii="仿宋" w:hAnsi="仿宋" w:eastAsia="仿宋" w:cs="仿宋"/>
                <w:color w:val="auto"/>
                <w:kern w:val="0"/>
                <w:sz w:val="28"/>
                <w:szCs w:val="28"/>
                <w:highlight w:val="none"/>
              </w:rPr>
              <w:t>指标</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三级</w:t>
            </w:r>
          </w:p>
          <w:p>
            <w:pPr>
              <w:keepNext w:val="0"/>
              <w:keepLines w:val="0"/>
              <w:widowControl/>
              <w:suppressLineNumbers w:val="0"/>
              <w:spacing w:before="0" w:beforeAutospacing="0" w:after="0" w:afterAutospacing="0" w:line="320" w:lineRule="exact"/>
              <w:ind w:left="0" w:right="0"/>
              <w:jc w:val="center"/>
              <w:textAlignment w:val="center"/>
              <w:rPr>
                <w:rFonts w:hint="eastAsia" w:ascii="仿宋" w:hAnsi="仿宋" w:eastAsia="仿宋" w:cs="仿宋"/>
                <w:color w:val="auto"/>
                <w:sz w:val="28"/>
                <w:szCs w:val="28"/>
                <w:highlight w:val="none"/>
              </w:rPr>
            </w:pPr>
            <w:r>
              <w:rPr>
                <w:rFonts w:hint="eastAsia" w:ascii="仿宋" w:hAnsi="仿宋" w:eastAsia="仿宋" w:cs="仿宋"/>
                <w:color w:val="auto"/>
                <w:kern w:val="0"/>
                <w:sz w:val="28"/>
                <w:szCs w:val="28"/>
                <w:highlight w:val="none"/>
              </w:rPr>
              <w:t>指标</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eastAsia" w:ascii="仿宋" w:hAnsi="仿宋" w:eastAsia="仿宋" w:cs="仿宋"/>
                <w:color w:val="auto"/>
                <w:sz w:val="28"/>
                <w:szCs w:val="28"/>
                <w:highlight w:val="none"/>
              </w:rPr>
            </w:pPr>
            <w:r>
              <w:rPr>
                <w:rFonts w:hint="eastAsia" w:ascii="仿宋" w:hAnsi="仿宋" w:eastAsia="仿宋" w:cs="仿宋"/>
                <w:color w:val="auto"/>
                <w:kern w:val="0"/>
                <w:sz w:val="28"/>
                <w:szCs w:val="28"/>
                <w:highlight w:val="none"/>
              </w:rPr>
              <w:t>预期指标值</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eastAsia" w:ascii="仿宋" w:hAnsi="仿宋" w:eastAsia="仿宋" w:cs="仿宋"/>
                <w:color w:val="auto"/>
                <w:sz w:val="28"/>
                <w:szCs w:val="28"/>
                <w:highlight w:val="none"/>
              </w:rPr>
            </w:pPr>
            <w:r>
              <w:rPr>
                <w:rFonts w:hint="eastAsia" w:ascii="仿宋" w:hAnsi="仿宋" w:eastAsia="仿宋" w:cs="仿宋"/>
                <w:color w:val="auto"/>
                <w:kern w:val="0"/>
                <w:sz w:val="28"/>
                <w:szCs w:val="28"/>
                <w:highlight w:val="none"/>
              </w:rPr>
              <w:t>实际完成指标值</w:t>
            </w:r>
          </w:p>
        </w:tc>
      </w:tr>
      <w:tr>
        <w:tblPrEx>
          <w:tblCellMar>
            <w:top w:w="0" w:type="dxa"/>
            <w:left w:w="108" w:type="dxa"/>
            <w:bottom w:w="0" w:type="dxa"/>
            <w:right w:w="108" w:type="dxa"/>
          </w:tblCellMar>
        </w:tblPrEx>
        <w:trPr>
          <w:gridAfter w:val="1"/>
          <w:wAfter w:w="236" w:type="dxa"/>
          <w:trHeight w:val="616" w:hRule="atLeast"/>
        </w:trPr>
        <w:tc>
          <w:tcPr>
            <w:tcW w:w="1113"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eastAsia" w:ascii="仿宋" w:hAnsi="仿宋" w:eastAsia="仿宋" w:cs="仿宋"/>
                <w:color w:val="auto"/>
                <w:sz w:val="28"/>
                <w:szCs w:val="28"/>
                <w:highlight w:val="none"/>
              </w:rPr>
            </w:pPr>
          </w:p>
        </w:tc>
        <w:tc>
          <w:tcPr>
            <w:tcW w:w="100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完成</w:t>
            </w:r>
          </w:p>
          <w:p>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sz w:val="28"/>
                <w:szCs w:val="28"/>
                <w:highlight w:val="none"/>
              </w:rPr>
            </w:pPr>
            <w:r>
              <w:rPr>
                <w:rFonts w:hint="eastAsia" w:ascii="仿宋" w:hAnsi="仿宋" w:eastAsia="仿宋" w:cs="仿宋"/>
                <w:color w:val="auto"/>
                <w:kern w:val="0"/>
                <w:sz w:val="28"/>
                <w:szCs w:val="28"/>
                <w:highlight w:val="none"/>
              </w:rPr>
              <w:t>指标</w:t>
            </w:r>
          </w:p>
        </w:tc>
        <w:tc>
          <w:tcPr>
            <w:tcW w:w="1215"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sz w:val="20"/>
                <w:szCs w:val="20"/>
                <w:highlight w:val="none"/>
              </w:rPr>
            </w:pPr>
            <w:r>
              <w:rPr>
                <w:rFonts w:hint="eastAsia" w:ascii="仿宋" w:hAnsi="仿宋" w:eastAsia="仿宋" w:cs="仿宋"/>
                <w:color w:val="auto"/>
                <w:kern w:val="0"/>
                <w:sz w:val="20"/>
                <w:szCs w:val="20"/>
                <w:highlight w:val="none"/>
              </w:rPr>
              <w:t>数量指标</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bottom"/>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改扩建面积</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1250m²</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val="en-US" w:eastAsia="zh-CN"/>
              </w:rPr>
              <w:t>1250m²</w:t>
            </w:r>
          </w:p>
        </w:tc>
      </w:tr>
      <w:tr>
        <w:tblPrEx>
          <w:tblCellMar>
            <w:top w:w="0" w:type="dxa"/>
            <w:left w:w="108" w:type="dxa"/>
            <w:bottom w:w="0" w:type="dxa"/>
            <w:right w:w="108" w:type="dxa"/>
          </w:tblCellMar>
        </w:tblPrEx>
        <w:trPr>
          <w:gridAfter w:val="1"/>
          <w:wAfter w:w="236" w:type="dxa"/>
          <w:trHeight w:val="616" w:hRule="atLeast"/>
        </w:trPr>
        <w:tc>
          <w:tcPr>
            <w:tcW w:w="1113"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eastAsia" w:ascii="仿宋" w:hAnsi="仿宋" w:eastAsia="仿宋" w:cs="仿宋"/>
                <w:color w:val="auto"/>
                <w:sz w:val="28"/>
                <w:szCs w:val="28"/>
                <w:highlight w:val="none"/>
              </w:rPr>
            </w:pPr>
          </w:p>
        </w:tc>
        <w:tc>
          <w:tcPr>
            <w:tcW w:w="1005"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kern w:val="0"/>
                <w:sz w:val="28"/>
                <w:szCs w:val="28"/>
                <w:highlight w:val="none"/>
              </w:rPr>
            </w:pPr>
          </w:p>
        </w:tc>
        <w:tc>
          <w:tcPr>
            <w:tcW w:w="1215" w:type="dxa"/>
            <w:vMerge w:val="continue"/>
            <w:tcBorders>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kern w:val="0"/>
                <w:sz w:val="20"/>
                <w:szCs w:val="20"/>
                <w:highlight w:val="none"/>
              </w:rPr>
            </w:pP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bottom"/>
              <w:rPr>
                <w:rFonts w:hint="eastAsia" w:ascii="仿宋" w:hAnsi="仿宋" w:eastAsia="仿宋" w:cs="仿宋"/>
                <w:color w:val="auto"/>
                <w:sz w:val="20"/>
                <w:szCs w:val="20"/>
                <w:highlight w:val="none"/>
                <w:lang w:eastAsia="zh-CN"/>
              </w:rPr>
            </w:pPr>
            <w:r>
              <w:rPr>
                <w:rFonts w:hint="eastAsia" w:ascii="仿宋" w:hAnsi="仿宋" w:eastAsia="仿宋" w:cs="仿宋"/>
                <w:color w:val="auto"/>
                <w:sz w:val="20"/>
                <w:szCs w:val="20"/>
                <w:highlight w:val="none"/>
                <w:lang w:eastAsia="zh-CN"/>
              </w:rPr>
              <w:t>惠及学生人数</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47</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47</w:t>
            </w:r>
          </w:p>
        </w:tc>
      </w:tr>
      <w:tr>
        <w:tblPrEx>
          <w:tblCellMar>
            <w:top w:w="0" w:type="dxa"/>
            <w:left w:w="108" w:type="dxa"/>
            <w:bottom w:w="0" w:type="dxa"/>
            <w:right w:w="108" w:type="dxa"/>
          </w:tblCellMar>
        </w:tblPrEx>
        <w:trPr>
          <w:gridAfter w:val="1"/>
          <w:wAfter w:w="236" w:type="dxa"/>
          <w:trHeight w:val="575" w:hRule="atLeast"/>
        </w:trPr>
        <w:tc>
          <w:tcPr>
            <w:tcW w:w="1113"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eastAsia" w:ascii="仿宋" w:hAnsi="仿宋" w:eastAsia="仿宋" w:cs="仿宋"/>
                <w:color w:val="auto"/>
                <w:sz w:val="28"/>
                <w:szCs w:val="28"/>
                <w:highlight w:val="none"/>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eastAsia" w:ascii="仿宋" w:hAnsi="仿宋" w:eastAsia="仿宋" w:cs="仿宋"/>
                <w:color w:val="auto"/>
                <w:sz w:val="28"/>
                <w:szCs w:val="28"/>
                <w:highlight w:val="none"/>
              </w:rPr>
            </w:pPr>
          </w:p>
        </w:tc>
        <w:tc>
          <w:tcPr>
            <w:tcW w:w="1215"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sz w:val="20"/>
                <w:szCs w:val="20"/>
                <w:highlight w:val="none"/>
              </w:rPr>
            </w:pPr>
            <w:r>
              <w:rPr>
                <w:rFonts w:hint="eastAsia" w:ascii="仿宋" w:hAnsi="仿宋" w:eastAsia="仿宋" w:cs="仿宋"/>
                <w:color w:val="auto"/>
                <w:kern w:val="0"/>
                <w:sz w:val="20"/>
                <w:szCs w:val="20"/>
                <w:highlight w:val="none"/>
              </w:rPr>
              <w:t>质量指标</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bottom"/>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eastAsia="zh-CN"/>
              </w:rPr>
              <w:t>校舍维修</w:t>
            </w:r>
            <w:r>
              <w:rPr>
                <w:rFonts w:hint="eastAsia" w:ascii="仿宋" w:hAnsi="仿宋" w:eastAsia="仿宋" w:cs="仿宋"/>
                <w:color w:val="auto"/>
                <w:sz w:val="20"/>
                <w:szCs w:val="20"/>
                <w:highlight w:val="none"/>
              </w:rPr>
              <w:t>竣工验收合格率</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100%</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leftChars="0" w:right="0" w:rightChars="0"/>
              <w:jc w:val="center"/>
              <w:textAlignment w:val="bottom"/>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sz w:val="20"/>
                <w:szCs w:val="20"/>
                <w:highlight w:val="none"/>
                <w:lang w:val="en-US" w:eastAsia="zh-CN"/>
              </w:rPr>
              <w:t>100%</w:t>
            </w:r>
          </w:p>
        </w:tc>
      </w:tr>
      <w:tr>
        <w:tblPrEx>
          <w:tblCellMar>
            <w:top w:w="0" w:type="dxa"/>
            <w:left w:w="108" w:type="dxa"/>
            <w:bottom w:w="0" w:type="dxa"/>
            <w:right w:w="108" w:type="dxa"/>
          </w:tblCellMar>
        </w:tblPrEx>
        <w:trPr>
          <w:gridAfter w:val="1"/>
          <w:wAfter w:w="236" w:type="dxa"/>
          <w:trHeight w:val="461" w:hRule="atLeast"/>
        </w:trPr>
        <w:tc>
          <w:tcPr>
            <w:tcW w:w="1113"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eastAsia" w:ascii="仿宋" w:hAnsi="仿宋" w:eastAsia="仿宋" w:cs="仿宋"/>
                <w:color w:val="auto"/>
                <w:sz w:val="28"/>
                <w:szCs w:val="28"/>
                <w:highlight w:val="none"/>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eastAsia" w:ascii="仿宋" w:hAnsi="仿宋" w:eastAsia="仿宋" w:cs="仿宋"/>
                <w:color w:val="auto"/>
                <w:sz w:val="28"/>
                <w:szCs w:val="28"/>
                <w:highlight w:val="none"/>
              </w:rPr>
            </w:pPr>
          </w:p>
        </w:tc>
        <w:tc>
          <w:tcPr>
            <w:tcW w:w="1215"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kern w:val="0"/>
                <w:sz w:val="20"/>
                <w:szCs w:val="20"/>
                <w:highlight w:val="none"/>
              </w:rPr>
            </w:pP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bottom"/>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校舍</w:t>
            </w:r>
            <w:r>
              <w:rPr>
                <w:rFonts w:hint="eastAsia" w:ascii="仿宋" w:hAnsi="仿宋" w:eastAsia="仿宋" w:cs="仿宋"/>
                <w:color w:val="auto"/>
                <w:sz w:val="20"/>
                <w:szCs w:val="20"/>
                <w:highlight w:val="none"/>
                <w:lang w:eastAsia="zh-CN"/>
              </w:rPr>
              <w:t>维修</w:t>
            </w:r>
            <w:r>
              <w:rPr>
                <w:rFonts w:hint="eastAsia" w:ascii="仿宋" w:hAnsi="仿宋" w:eastAsia="仿宋" w:cs="仿宋"/>
                <w:color w:val="auto"/>
                <w:sz w:val="20"/>
                <w:szCs w:val="20"/>
                <w:highlight w:val="none"/>
              </w:rPr>
              <w:t>质量标准</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leftChars="0" w:right="0" w:rightChars="0"/>
              <w:jc w:val="center"/>
              <w:textAlignment w:val="bottom"/>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sz w:val="20"/>
                <w:szCs w:val="20"/>
                <w:highlight w:val="none"/>
              </w:rPr>
              <w:t>合格</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leftChars="0" w:right="0" w:rightChars="0"/>
              <w:jc w:val="center"/>
              <w:textAlignment w:val="bottom"/>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sz w:val="20"/>
                <w:szCs w:val="20"/>
                <w:highlight w:val="none"/>
              </w:rPr>
              <w:t>合格</w:t>
            </w:r>
          </w:p>
        </w:tc>
      </w:tr>
      <w:tr>
        <w:tblPrEx>
          <w:tblCellMar>
            <w:top w:w="0" w:type="dxa"/>
            <w:left w:w="108" w:type="dxa"/>
            <w:bottom w:w="0" w:type="dxa"/>
            <w:right w:w="108" w:type="dxa"/>
          </w:tblCellMar>
        </w:tblPrEx>
        <w:trPr>
          <w:gridAfter w:val="1"/>
          <w:wAfter w:w="236" w:type="dxa"/>
          <w:trHeight w:val="465" w:hRule="atLeast"/>
        </w:trPr>
        <w:tc>
          <w:tcPr>
            <w:tcW w:w="1113"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eastAsia" w:ascii="仿宋" w:hAnsi="仿宋" w:eastAsia="仿宋" w:cs="仿宋"/>
                <w:color w:val="auto"/>
                <w:sz w:val="28"/>
                <w:szCs w:val="28"/>
                <w:highlight w:val="none"/>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eastAsia" w:ascii="仿宋" w:hAnsi="仿宋" w:eastAsia="仿宋" w:cs="仿宋"/>
                <w:color w:val="auto"/>
                <w:sz w:val="28"/>
                <w:szCs w:val="28"/>
                <w:highlight w:val="none"/>
              </w:rPr>
            </w:pPr>
          </w:p>
        </w:tc>
        <w:tc>
          <w:tcPr>
            <w:tcW w:w="1215" w:type="dxa"/>
            <w:vMerge w:val="continue"/>
            <w:tcBorders>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kern w:val="0"/>
                <w:sz w:val="20"/>
                <w:szCs w:val="20"/>
                <w:highlight w:val="none"/>
              </w:rPr>
            </w:pP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bottom"/>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设备购置质量标准</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leftChars="0" w:right="0" w:rightChars="0"/>
              <w:jc w:val="center"/>
              <w:textAlignment w:val="bottom"/>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sz w:val="20"/>
                <w:szCs w:val="20"/>
                <w:highlight w:val="none"/>
              </w:rPr>
              <w:t>合格</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leftChars="0" w:right="0" w:rightChars="0"/>
              <w:jc w:val="center"/>
              <w:textAlignment w:val="bottom"/>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sz w:val="20"/>
                <w:szCs w:val="20"/>
                <w:highlight w:val="none"/>
              </w:rPr>
              <w:t>合格</w:t>
            </w:r>
          </w:p>
        </w:tc>
      </w:tr>
      <w:tr>
        <w:tblPrEx>
          <w:tblCellMar>
            <w:top w:w="0" w:type="dxa"/>
            <w:left w:w="108" w:type="dxa"/>
            <w:bottom w:w="0" w:type="dxa"/>
            <w:right w:w="108" w:type="dxa"/>
          </w:tblCellMar>
        </w:tblPrEx>
        <w:trPr>
          <w:gridAfter w:val="1"/>
          <w:wAfter w:w="236" w:type="dxa"/>
          <w:trHeight w:val="431" w:hRule="atLeast"/>
        </w:trPr>
        <w:tc>
          <w:tcPr>
            <w:tcW w:w="1113"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eastAsia" w:ascii="仿宋" w:hAnsi="仿宋" w:eastAsia="仿宋" w:cs="仿宋"/>
                <w:color w:val="auto"/>
                <w:sz w:val="28"/>
                <w:szCs w:val="28"/>
                <w:highlight w:val="none"/>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eastAsia" w:ascii="仿宋" w:hAnsi="仿宋" w:eastAsia="仿宋" w:cs="仿宋"/>
                <w:color w:val="auto"/>
                <w:sz w:val="28"/>
                <w:szCs w:val="28"/>
                <w:highlight w:val="none"/>
              </w:rPr>
            </w:pPr>
          </w:p>
        </w:tc>
        <w:tc>
          <w:tcPr>
            <w:tcW w:w="1215"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sz w:val="20"/>
                <w:szCs w:val="20"/>
                <w:highlight w:val="none"/>
              </w:rPr>
            </w:pPr>
            <w:r>
              <w:rPr>
                <w:rFonts w:hint="eastAsia" w:ascii="仿宋" w:hAnsi="仿宋" w:eastAsia="仿宋" w:cs="仿宋"/>
                <w:color w:val="auto"/>
                <w:kern w:val="0"/>
                <w:sz w:val="20"/>
                <w:szCs w:val="20"/>
                <w:highlight w:val="none"/>
              </w:rPr>
              <w:t>时效指标</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bottom"/>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eastAsia="zh-CN"/>
              </w:rPr>
              <w:t>校舍维修建设周期</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leftChars="0" w:right="0" w:rightChars="0"/>
              <w:jc w:val="center"/>
              <w:textAlignment w:val="bottom"/>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1年</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leftChars="0" w:right="0" w:rightChars="0"/>
              <w:jc w:val="center"/>
              <w:textAlignment w:val="bottom"/>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val="en-US" w:eastAsia="zh-CN"/>
              </w:rPr>
              <w:t>1年</w:t>
            </w:r>
          </w:p>
        </w:tc>
      </w:tr>
      <w:tr>
        <w:tblPrEx>
          <w:tblCellMar>
            <w:top w:w="0" w:type="dxa"/>
            <w:left w:w="108" w:type="dxa"/>
            <w:bottom w:w="0" w:type="dxa"/>
            <w:right w:w="108" w:type="dxa"/>
          </w:tblCellMar>
        </w:tblPrEx>
        <w:trPr>
          <w:gridAfter w:val="1"/>
          <w:wAfter w:w="236" w:type="dxa"/>
          <w:trHeight w:val="401" w:hRule="atLeast"/>
        </w:trPr>
        <w:tc>
          <w:tcPr>
            <w:tcW w:w="1113"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eastAsia" w:ascii="仿宋" w:hAnsi="仿宋" w:eastAsia="仿宋" w:cs="仿宋"/>
                <w:color w:val="auto"/>
                <w:sz w:val="28"/>
                <w:szCs w:val="28"/>
                <w:highlight w:val="none"/>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eastAsia" w:ascii="仿宋" w:hAnsi="仿宋" w:eastAsia="仿宋" w:cs="仿宋"/>
                <w:color w:val="auto"/>
                <w:sz w:val="28"/>
                <w:szCs w:val="28"/>
                <w:highlight w:val="none"/>
              </w:rPr>
            </w:pPr>
          </w:p>
        </w:tc>
        <w:tc>
          <w:tcPr>
            <w:tcW w:w="1215" w:type="dxa"/>
            <w:vMerge w:val="continue"/>
            <w:tcBorders>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kern w:val="0"/>
                <w:sz w:val="20"/>
                <w:szCs w:val="20"/>
                <w:highlight w:val="none"/>
              </w:rPr>
            </w:pP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bottom"/>
              <w:rPr>
                <w:rFonts w:hint="eastAsia" w:ascii="仿宋" w:hAnsi="仿宋" w:eastAsia="仿宋" w:cs="仿宋"/>
                <w:color w:val="auto"/>
                <w:sz w:val="20"/>
                <w:szCs w:val="20"/>
                <w:highlight w:val="none"/>
                <w:lang w:eastAsia="zh-CN"/>
              </w:rPr>
            </w:pPr>
            <w:r>
              <w:rPr>
                <w:rFonts w:hint="eastAsia" w:ascii="仿宋" w:hAnsi="仿宋" w:eastAsia="仿宋" w:cs="仿宋"/>
                <w:color w:val="auto"/>
                <w:sz w:val="20"/>
                <w:szCs w:val="20"/>
                <w:highlight w:val="none"/>
                <w:lang w:eastAsia="zh-CN"/>
              </w:rPr>
              <w:t>设备购置周期</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leftChars="0" w:right="0" w:rightChars="0"/>
              <w:jc w:val="center"/>
              <w:textAlignment w:val="bottom"/>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6个月</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leftChars="0" w:right="0" w:rightChars="0"/>
              <w:jc w:val="center"/>
              <w:textAlignment w:val="bottom"/>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6个月</w:t>
            </w:r>
          </w:p>
        </w:tc>
      </w:tr>
      <w:tr>
        <w:tblPrEx>
          <w:tblCellMar>
            <w:top w:w="0" w:type="dxa"/>
            <w:left w:w="108" w:type="dxa"/>
            <w:bottom w:w="0" w:type="dxa"/>
            <w:right w:w="108" w:type="dxa"/>
          </w:tblCellMar>
        </w:tblPrEx>
        <w:trPr>
          <w:gridAfter w:val="1"/>
          <w:wAfter w:w="236" w:type="dxa"/>
          <w:trHeight w:val="611" w:hRule="atLeast"/>
        </w:trPr>
        <w:tc>
          <w:tcPr>
            <w:tcW w:w="1113"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eastAsia" w:ascii="仿宋" w:hAnsi="仿宋" w:eastAsia="仿宋" w:cs="仿宋"/>
                <w:color w:val="auto"/>
                <w:sz w:val="28"/>
                <w:szCs w:val="28"/>
                <w:highlight w:val="none"/>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eastAsia" w:ascii="仿宋" w:hAnsi="仿宋" w:eastAsia="仿宋" w:cs="仿宋"/>
                <w:color w:val="auto"/>
                <w:sz w:val="28"/>
                <w:szCs w:val="28"/>
                <w:highlight w:val="none"/>
              </w:rPr>
            </w:pPr>
          </w:p>
        </w:tc>
        <w:tc>
          <w:tcPr>
            <w:tcW w:w="1215" w:type="dxa"/>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sz w:val="20"/>
                <w:szCs w:val="20"/>
                <w:highlight w:val="none"/>
              </w:rPr>
            </w:pPr>
            <w:r>
              <w:rPr>
                <w:rFonts w:hint="eastAsia" w:ascii="仿宋" w:hAnsi="仿宋" w:eastAsia="仿宋" w:cs="仿宋"/>
                <w:color w:val="auto"/>
                <w:kern w:val="0"/>
                <w:sz w:val="20"/>
                <w:szCs w:val="20"/>
                <w:highlight w:val="none"/>
              </w:rPr>
              <w:t>成本指标</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bottom"/>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校舍</w:t>
            </w:r>
            <w:r>
              <w:rPr>
                <w:rFonts w:hint="eastAsia" w:ascii="仿宋" w:hAnsi="仿宋" w:eastAsia="仿宋" w:cs="仿宋"/>
                <w:color w:val="auto"/>
                <w:sz w:val="20"/>
                <w:szCs w:val="20"/>
                <w:highlight w:val="none"/>
                <w:lang w:eastAsia="zh-CN"/>
              </w:rPr>
              <w:t>维修</w:t>
            </w:r>
            <w:r>
              <w:rPr>
                <w:rFonts w:hint="eastAsia" w:ascii="仿宋" w:hAnsi="仿宋" w:eastAsia="仿宋" w:cs="仿宋"/>
                <w:color w:val="auto"/>
                <w:sz w:val="20"/>
                <w:szCs w:val="20"/>
                <w:highlight w:val="none"/>
              </w:rPr>
              <w:t>类项目每平方米造价</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leftChars="0" w:right="0" w:rightChars="0"/>
              <w:jc w:val="center"/>
              <w:textAlignment w:val="bottom"/>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≤800元</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leftChars="0" w:right="0" w:rightChars="0"/>
              <w:jc w:val="center"/>
              <w:textAlignment w:val="bottom"/>
              <w:rPr>
                <w:rFonts w:hint="eastAsia" w:ascii="仿宋" w:hAnsi="仿宋" w:eastAsia="仿宋" w:cs="仿宋"/>
                <w:color w:val="auto"/>
                <w:sz w:val="20"/>
                <w:szCs w:val="20"/>
                <w:highlight w:val="none"/>
                <w:lang w:val="en-US"/>
              </w:rPr>
            </w:pPr>
            <w:r>
              <w:rPr>
                <w:rFonts w:hint="eastAsia" w:ascii="仿宋" w:hAnsi="仿宋" w:eastAsia="仿宋" w:cs="仿宋"/>
                <w:color w:val="auto"/>
                <w:sz w:val="20"/>
                <w:szCs w:val="20"/>
                <w:highlight w:val="none"/>
                <w:lang w:val="en-US" w:eastAsia="zh-CN"/>
              </w:rPr>
              <w:t>720元</w:t>
            </w:r>
          </w:p>
        </w:tc>
      </w:tr>
      <w:tr>
        <w:tblPrEx>
          <w:tblCellMar>
            <w:top w:w="0" w:type="dxa"/>
            <w:left w:w="108" w:type="dxa"/>
            <w:bottom w:w="0" w:type="dxa"/>
            <w:right w:w="108" w:type="dxa"/>
          </w:tblCellMar>
        </w:tblPrEx>
        <w:trPr>
          <w:gridAfter w:val="1"/>
          <w:wAfter w:w="236" w:type="dxa"/>
          <w:trHeight w:val="526" w:hRule="atLeast"/>
        </w:trPr>
        <w:tc>
          <w:tcPr>
            <w:tcW w:w="1113"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eastAsia" w:ascii="仿宋" w:hAnsi="仿宋" w:eastAsia="仿宋" w:cs="仿宋"/>
                <w:color w:val="auto"/>
                <w:sz w:val="28"/>
                <w:szCs w:val="28"/>
                <w:highlight w:val="none"/>
              </w:rPr>
            </w:pPr>
          </w:p>
        </w:tc>
        <w:tc>
          <w:tcPr>
            <w:tcW w:w="1005" w:type="dxa"/>
            <w:vMerge w:val="restart"/>
            <w:tcBorders>
              <w:top w:val="single" w:color="000000" w:sz="4" w:space="0"/>
              <w:left w:val="single" w:color="000000"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效益</w:t>
            </w:r>
          </w:p>
          <w:p>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sz w:val="28"/>
                <w:szCs w:val="28"/>
                <w:highlight w:val="none"/>
              </w:rPr>
            </w:pPr>
            <w:r>
              <w:rPr>
                <w:rFonts w:hint="eastAsia" w:ascii="仿宋" w:hAnsi="仿宋" w:eastAsia="仿宋" w:cs="仿宋"/>
                <w:color w:val="auto"/>
                <w:kern w:val="0"/>
                <w:sz w:val="28"/>
                <w:szCs w:val="28"/>
                <w:highlight w:val="none"/>
              </w:rPr>
              <w:t>指标</w:t>
            </w:r>
          </w:p>
        </w:tc>
        <w:tc>
          <w:tcPr>
            <w:tcW w:w="121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社会效益  指标</w:t>
            </w:r>
          </w:p>
        </w:tc>
        <w:tc>
          <w:tcPr>
            <w:tcW w:w="2385" w:type="dxa"/>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bottom"/>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改善办学条件</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有效</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有效</w:t>
            </w:r>
          </w:p>
        </w:tc>
      </w:tr>
      <w:tr>
        <w:tblPrEx>
          <w:tblCellMar>
            <w:top w:w="0" w:type="dxa"/>
            <w:left w:w="108" w:type="dxa"/>
            <w:bottom w:w="0" w:type="dxa"/>
            <w:right w:w="108" w:type="dxa"/>
          </w:tblCellMar>
        </w:tblPrEx>
        <w:trPr>
          <w:gridAfter w:val="1"/>
          <w:wAfter w:w="236" w:type="dxa"/>
          <w:trHeight w:val="492" w:hRule="atLeast"/>
        </w:trPr>
        <w:tc>
          <w:tcPr>
            <w:tcW w:w="1113"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eastAsia" w:ascii="仿宋" w:hAnsi="仿宋" w:eastAsia="仿宋" w:cs="仿宋"/>
                <w:color w:val="auto"/>
                <w:sz w:val="28"/>
                <w:szCs w:val="28"/>
                <w:highlight w:val="none"/>
              </w:rPr>
            </w:pPr>
          </w:p>
        </w:tc>
        <w:tc>
          <w:tcPr>
            <w:tcW w:w="1005" w:type="dxa"/>
            <w:vMerge w:val="continue"/>
            <w:tcBorders>
              <w:left w:val="single" w:color="000000" w:sz="4" w:space="0"/>
              <w:right w:val="single" w:color="auto"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eastAsia" w:ascii="仿宋" w:hAnsi="仿宋" w:eastAsia="仿宋" w:cs="仿宋"/>
                <w:color w:val="auto"/>
                <w:sz w:val="28"/>
                <w:szCs w:val="28"/>
                <w:highlight w:val="none"/>
              </w:rPr>
            </w:pPr>
          </w:p>
        </w:tc>
        <w:tc>
          <w:tcPr>
            <w:tcW w:w="121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生态效益</w:t>
            </w:r>
          </w:p>
          <w:p>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指标</w:t>
            </w:r>
          </w:p>
        </w:tc>
        <w:tc>
          <w:tcPr>
            <w:tcW w:w="2385" w:type="dxa"/>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bottom"/>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建筑能源消耗水平降低</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有效</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有效</w:t>
            </w:r>
          </w:p>
        </w:tc>
      </w:tr>
      <w:tr>
        <w:tblPrEx>
          <w:tblCellMar>
            <w:top w:w="0" w:type="dxa"/>
            <w:left w:w="108" w:type="dxa"/>
            <w:bottom w:w="0" w:type="dxa"/>
            <w:right w:w="108" w:type="dxa"/>
          </w:tblCellMar>
        </w:tblPrEx>
        <w:trPr>
          <w:gridAfter w:val="1"/>
          <w:wAfter w:w="236" w:type="dxa"/>
          <w:trHeight w:val="492" w:hRule="atLeast"/>
        </w:trPr>
        <w:tc>
          <w:tcPr>
            <w:tcW w:w="1113"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eastAsia" w:ascii="仿宋" w:hAnsi="仿宋" w:eastAsia="仿宋" w:cs="仿宋"/>
                <w:color w:val="auto"/>
                <w:sz w:val="28"/>
                <w:szCs w:val="28"/>
                <w:highlight w:val="none"/>
              </w:rPr>
            </w:pPr>
          </w:p>
        </w:tc>
        <w:tc>
          <w:tcPr>
            <w:tcW w:w="1005" w:type="dxa"/>
            <w:vMerge w:val="continue"/>
            <w:tcBorders>
              <w:left w:val="single" w:color="000000" w:sz="4" w:space="0"/>
              <w:bottom w:val="single" w:color="000000" w:sz="4" w:space="0"/>
              <w:right w:val="single" w:color="auto"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eastAsia" w:ascii="仿宋" w:hAnsi="仿宋" w:eastAsia="仿宋" w:cs="仿宋"/>
                <w:color w:val="auto"/>
                <w:sz w:val="28"/>
                <w:szCs w:val="28"/>
                <w:highlight w:val="none"/>
              </w:rPr>
            </w:pPr>
          </w:p>
        </w:tc>
        <w:tc>
          <w:tcPr>
            <w:tcW w:w="121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可持续影响指标</w:t>
            </w:r>
          </w:p>
        </w:tc>
        <w:tc>
          <w:tcPr>
            <w:tcW w:w="2385" w:type="dxa"/>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bottom"/>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吸引外流学生持续回流</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sz w:val="20"/>
                <w:szCs w:val="20"/>
                <w:highlight w:val="none"/>
                <w:lang w:eastAsia="zh-CN"/>
              </w:rPr>
            </w:pPr>
            <w:r>
              <w:rPr>
                <w:rFonts w:hint="eastAsia" w:ascii="仿宋" w:hAnsi="仿宋" w:eastAsia="仿宋" w:cs="仿宋"/>
                <w:color w:val="auto"/>
                <w:sz w:val="20"/>
                <w:szCs w:val="20"/>
                <w:highlight w:val="none"/>
                <w:lang w:eastAsia="zh-CN"/>
              </w:rPr>
              <w:t>有效</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eastAsia="zh-CN"/>
              </w:rPr>
              <w:t>有效</w:t>
            </w:r>
          </w:p>
        </w:tc>
      </w:tr>
      <w:tr>
        <w:tblPrEx>
          <w:tblCellMar>
            <w:top w:w="0" w:type="dxa"/>
            <w:left w:w="108" w:type="dxa"/>
            <w:bottom w:w="0" w:type="dxa"/>
            <w:right w:w="108" w:type="dxa"/>
          </w:tblCellMar>
        </w:tblPrEx>
        <w:trPr>
          <w:gridAfter w:val="1"/>
          <w:wAfter w:w="236" w:type="dxa"/>
          <w:trHeight w:val="705" w:hRule="atLeast"/>
        </w:trPr>
        <w:tc>
          <w:tcPr>
            <w:tcW w:w="1113"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eastAsia" w:ascii="仿宋" w:hAnsi="仿宋" w:eastAsia="仿宋" w:cs="仿宋"/>
                <w:color w:val="auto"/>
                <w:sz w:val="28"/>
                <w:szCs w:val="28"/>
                <w:highlight w:val="none"/>
              </w:rPr>
            </w:pPr>
          </w:p>
        </w:tc>
        <w:tc>
          <w:tcPr>
            <w:tcW w:w="1005"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满意</w:t>
            </w:r>
          </w:p>
          <w:p>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sz w:val="28"/>
                <w:szCs w:val="28"/>
                <w:highlight w:val="none"/>
              </w:rPr>
            </w:pPr>
            <w:r>
              <w:rPr>
                <w:rFonts w:hint="eastAsia" w:ascii="仿宋" w:hAnsi="仿宋" w:eastAsia="仿宋" w:cs="仿宋"/>
                <w:color w:val="auto"/>
                <w:kern w:val="0"/>
                <w:sz w:val="28"/>
                <w:szCs w:val="28"/>
                <w:highlight w:val="none"/>
              </w:rPr>
              <w:t>度指标</w:t>
            </w:r>
          </w:p>
        </w:tc>
        <w:tc>
          <w:tcPr>
            <w:tcW w:w="1215"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满意度</w:t>
            </w:r>
          </w:p>
          <w:p>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sz w:val="20"/>
                <w:szCs w:val="20"/>
                <w:highlight w:val="none"/>
              </w:rPr>
            </w:pPr>
            <w:r>
              <w:rPr>
                <w:rFonts w:hint="eastAsia" w:ascii="仿宋" w:hAnsi="仿宋" w:eastAsia="仿宋" w:cs="仿宋"/>
                <w:color w:val="auto"/>
                <w:kern w:val="0"/>
                <w:sz w:val="20"/>
                <w:szCs w:val="20"/>
                <w:highlight w:val="none"/>
              </w:rPr>
              <w:t>指标</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bottom"/>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学生满意度</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≥95%</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97%</w:t>
            </w:r>
          </w:p>
        </w:tc>
      </w:tr>
      <w:tr>
        <w:tblPrEx>
          <w:tblCellMar>
            <w:top w:w="0" w:type="dxa"/>
            <w:left w:w="108" w:type="dxa"/>
            <w:bottom w:w="0" w:type="dxa"/>
            <w:right w:w="108" w:type="dxa"/>
          </w:tblCellMar>
        </w:tblPrEx>
        <w:trPr>
          <w:gridAfter w:val="1"/>
          <w:wAfter w:w="236" w:type="dxa"/>
          <w:trHeight w:val="690" w:hRule="atLeast"/>
        </w:trPr>
        <w:tc>
          <w:tcPr>
            <w:tcW w:w="1113" w:type="dxa"/>
            <w:vMerge w:val="continue"/>
            <w:tcBorders>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eastAsia" w:ascii="仿宋" w:hAnsi="仿宋" w:eastAsia="仿宋" w:cs="仿宋"/>
                <w:color w:val="auto"/>
                <w:sz w:val="28"/>
                <w:szCs w:val="28"/>
                <w:highlight w:val="none"/>
              </w:rPr>
            </w:pPr>
          </w:p>
        </w:tc>
        <w:tc>
          <w:tcPr>
            <w:tcW w:w="1005" w:type="dxa"/>
            <w:vMerge w:val="continue"/>
            <w:tcBorders>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kern w:val="0"/>
                <w:sz w:val="28"/>
                <w:szCs w:val="28"/>
                <w:highlight w:val="none"/>
              </w:rPr>
            </w:pPr>
          </w:p>
        </w:tc>
        <w:tc>
          <w:tcPr>
            <w:tcW w:w="1215"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kern w:val="0"/>
                <w:sz w:val="20"/>
                <w:szCs w:val="20"/>
                <w:highlight w:val="none"/>
              </w:rPr>
            </w:pP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bottom"/>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社会满意度</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≥95%</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96%</w:t>
            </w:r>
          </w:p>
        </w:tc>
      </w:tr>
    </w:tbl>
    <w:p>
      <w:pPr>
        <w:pStyle w:val="4"/>
        <w:bidi w:val="0"/>
        <w:rPr>
          <w:rFonts w:hint="eastAsia" w:ascii="仿宋" w:hAnsi="仿宋" w:eastAsia="仿宋" w:cs="仿宋"/>
          <w:color w:val="auto"/>
          <w:highlight w:val="none"/>
        </w:rPr>
      </w:pPr>
      <w:bookmarkStart w:id="83" w:name="_Toc6245"/>
      <w:r>
        <w:rPr>
          <w:rFonts w:hint="eastAsia" w:ascii="仿宋" w:hAnsi="仿宋" w:eastAsia="仿宋" w:cs="仿宋"/>
          <w:color w:val="auto"/>
          <w:highlight w:val="none"/>
        </w:rPr>
        <w:t>第五部分 附表</w:t>
      </w:r>
      <w:bookmarkEnd w:id="79"/>
      <w:bookmarkEnd w:id="82"/>
      <w:bookmarkEnd w:id="83"/>
      <w:bookmarkStart w:id="84" w:name="_Toc15396619"/>
    </w:p>
    <w:p>
      <w:pPr>
        <w:pStyle w:val="5"/>
        <w:bidi w:val="0"/>
        <w:rPr>
          <w:rFonts w:hint="eastAsia" w:ascii="仿宋" w:hAnsi="仿宋" w:eastAsia="仿宋" w:cs="仿宋"/>
          <w:color w:val="auto"/>
          <w:highlight w:val="none"/>
        </w:rPr>
      </w:pPr>
      <w:bookmarkStart w:id="85" w:name="_Toc492"/>
      <w:r>
        <w:rPr>
          <w:rFonts w:hint="eastAsia" w:ascii="仿宋" w:hAnsi="仿宋" w:eastAsia="仿宋" w:cs="仿宋"/>
          <w:color w:val="auto"/>
          <w:highlight w:val="none"/>
        </w:rPr>
        <w:t>一、收入支出决算总表</w:t>
      </w:r>
      <w:bookmarkEnd w:id="84"/>
      <w:bookmarkEnd w:id="85"/>
    </w:p>
    <w:p>
      <w:pPr>
        <w:pStyle w:val="5"/>
        <w:bidi w:val="0"/>
        <w:rPr>
          <w:rFonts w:hint="eastAsia" w:ascii="仿宋" w:hAnsi="仿宋" w:eastAsia="仿宋" w:cs="仿宋"/>
          <w:color w:val="auto"/>
          <w:highlight w:val="none"/>
        </w:rPr>
      </w:pPr>
      <w:bookmarkStart w:id="86" w:name="_Toc20829"/>
      <w:bookmarkStart w:id="87" w:name="_Toc15396620"/>
      <w:r>
        <w:rPr>
          <w:rFonts w:hint="eastAsia" w:ascii="仿宋" w:hAnsi="仿宋" w:eastAsia="仿宋" w:cs="仿宋"/>
          <w:color w:val="auto"/>
          <w:highlight w:val="none"/>
        </w:rPr>
        <w:t>二、收入决算表</w:t>
      </w:r>
      <w:bookmarkEnd w:id="86"/>
      <w:bookmarkEnd w:id="87"/>
    </w:p>
    <w:p>
      <w:pPr>
        <w:pStyle w:val="5"/>
        <w:bidi w:val="0"/>
        <w:rPr>
          <w:rFonts w:hint="eastAsia" w:ascii="仿宋" w:hAnsi="仿宋" w:eastAsia="仿宋" w:cs="仿宋"/>
          <w:color w:val="auto"/>
          <w:highlight w:val="none"/>
        </w:rPr>
      </w:pPr>
      <w:bookmarkStart w:id="88" w:name="_Toc15396621"/>
      <w:bookmarkStart w:id="89" w:name="_Toc872"/>
      <w:r>
        <w:rPr>
          <w:rFonts w:hint="eastAsia" w:ascii="仿宋" w:hAnsi="仿宋" w:eastAsia="仿宋" w:cs="仿宋"/>
          <w:color w:val="auto"/>
          <w:highlight w:val="none"/>
        </w:rPr>
        <w:t>三、支出决算表</w:t>
      </w:r>
      <w:bookmarkEnd w:id="88"/>
      <w:bookmarkEnd w:id="89"/>
    </w:p>
    <w:p>
      <w:pPr>
        <w:pStyle w:val="5"/>
        <w:bidi w:val="0"/>
        <w:rPr>
          <w:rFonts w:hint="eastAsia" w:ascii="仿宋" w:hAnsi="仿宋" w:eastAsia="仿宋" w:cs="仿宋"/>
          <w:color w:val="auto"/>
          <w:highlight w:val="none"/>
        </w:rPr>
      </w:pPr>
      <w:bookmarkStart w:id="90" w:name="_Toc15396622"/>
      <w:bookmarkStart w:id="91" w:name="_Toc32481"/>
      <w:r>
        <w:rPr>
          <w:rFonts w:hint="eastAsia" w:ascii="仿宋" w:hAnsi="仿宋" w:eastAsia="仿宋" w:cs="仿宋"/>
          <w:color w:val="auto"/>
          <w:highlight w:val="none"/>
        </w:rPr>
        <w:t>四、财政拨款收入支出决算总表</w:t>
      </w:r>
      <w:bookmarkEnd w:id="90"/>
      <w:bookmarkEnd w:id="91"/>
    </w:p>
    <w:p>
      <w:pPr>
        <w:pStyle w:val="5"/>
        <w:bidi w:val="0"/>
        <w:rPr>
          <w:rFonts w:hint="eastAsia" w:ascii="仿宋" w:hAnsi="仿宋" w:eastAsia="仿宋" w:cs="仿宋"/>
          <w:color w:val="auto"/>
          <w:highlight w:val="none"/>
        </w:rPr>
      </w:pPr>
      <w:bookmarkStart w:id="92" w:name="_Toc15396623"/>
      <w:bookmarkStart w:id="93" w:name="_Toc16282"/>
      <w:r>
        <w:rPr>
          <w:rFonts w:hint="eastAsia" w:ascii="仿宋" w:hAnsi="仿宋" w:eastAsia="仿宋" w:cs="仿宋"/>
          <w:color w:val="auto"/>
          <w:highlight w:val="none"/>
        </w:rPr>
        <w:t>五、财政拨款支出决算明细表</w:t>
      </w:r>
      <w:bookmarkEnd w:id="92"/>
      <w:bookmarkEnd w:id="93"/>
      <w:bookmarkStart w:id="94" w:name="_Toc15396624"/>
    </w:p>
    <w:p>
      <w:pPr>
        <w:pStyle w:val="5"/>
        <w:bidi w:val="0"/>
        <w:rPr>
          <w:rFonts w:hint="eastAsia" w:ascii="仿宋" w:hAnsi="仿宋" w:eastAsia="仿宋" w:cs="仿宋"/>
          <w:color w:val="auto"/>
          <w:highlight w:val="none"/>
        </w:rPr>
      </w:pPr>
      <w:bookmarkStart w:id="95" w:name="_Toc27698"/>
      <w:r>
        <w:rPr>
          <w:rFonts w:hint="eastAsia" w:ascii="仿宋" w:hAnsi="仿宋" w:eastAsia="仿宋" w:cs="仿宋"/>
          <w:color w:val="auto"/>
          <w:highlight w:val="none"/>
        </w:rPr>
        <w:t>六、一般公共预算财政拨款支出决算表</w:t>
      </w:r>
      <w:bookmarkEnd w:id="94"/>
      <w:bookmarkEnd w:id="95"/>
    </w:p>
    <w:p>
      <w:pPr>
        <w:pStyle w:val="5"/>
        <w:bidi w:val="0"/>
        <w:rPr>
          <w:rFonts w:hint="eastAsia" w:ascii="仿宋" w:hAnsi="仿宋" w:eastAsia="仿宋" w:cs="仿宋"/>
          <w:color w:val="auto"/>
          <w:highlight w:val="none"/>
        </w:rPr>
      </w:pPr>
      <w:bookmarkStart w:id="96" w:name="_Toc15396625"/>
      <w:bookmarkStart w:id="97" w:name="_Toc16786"/>
      <w:r>
        <w:rPr>
          <w:rFonts w:hint="eastAsia" w:ascii="仿宋" w:hAnsi="仿宋" w:eastAsia="仿宋" w:cs="仿宋"/>
          <w:color w:val="auto"/>
          <w:highlight w:val="none"/>
        </w:rPr>
        <w:t>七、一般公共预算财政拨款支出决算明细表</w:t>
      </w:r>
      <w:bookmarkEnd w:id="96"/>
      <w:bookmarkEnd w:id="97"/>
    </w:p>
    <w:p>
      <w:pPr>
        <w:pStyle w:val="5"/>
        <w:bidi w:val="0"/>
        <w:rPr>
          <w:rFonts w:hint="eastAsia" w:ascii="仿宋" w:hAnsi="仿宋" w:eastAsia="仿宋" w:cs="仿宋"/>
          <w:color w:val="auto"/>
          <w:highlight w:val="none"/>
        </w:rPr>
      </w:pPr>
      <w:bookmarkStart w:id="98" w:name="_Toc31149"/>
      <w:bookmarkStart w:id="99" w:name="_Toc15396626"/>
      <w:r>
        <w:rPr>
          <w:rFonts w:hint="eastAsia" w:ascii="仿宋" w:hAnsi="仿宋" w:eastAsia="仿宋" w:cs="仿宋"/>
          <w:color w:val="auto"/>
          <w:highlight w:val="none"/>
        </w:rPr>
        <w:t>八、一般公共预算财政拨款基本支出决算表</w:t>
      </w:r>
      <w:bookmarkEnd w:id="98"/>
      <w:bookmarkEnd w:id="99"/>
    </w:p>
    <w:p>
      <w:pPr>
        <w:pStyle w:val="5"/>
        <w:bidi w:val="0"/>
        <w:rPr>
          <w:rFonts w:hint="eastAsia" w:ascii="仿宋" w:hAnsi="仿宋" w:eastAsia="仿宋" w:cs="仿宋"/>
          <w:color w:val="auto"/>
          <w:highlight w:val="none"/>
        </w:rPr>
      </w:pPr>
      <w:bookmarkStart w:id="100" w:name="_Toc15396627"/>
      <w:bookmarkStart w:id="101" w:name="_Toc2969"/>
      <w:r>
        <w:rPr>
          <w:rFonts w:hint="eastAsia" w:ascii="仿宋" w:hAnsi="仿宋" w:eastAsia="仿宋" w:cs="仿宋"/>
          <w:color w:val="auto"/>
          <w:highlight w:val="none"/>
        </w:rPr>
        <w:t>九、一般公共预算财政拨款项目支出决算表</w:t>
      </w:r>
      <w:bookmarkEnd w:id="100"/>
      <w:bookmarkEnd w:id="101"/>
    </w:p>
    <w:p>
      <w:pPr>
        <w:pStyle w:val="5"/>
        <w:bidi w:val="0"/>
        <w:rPr>
          <w:rFonts w:hint="eastAsia" w:ascii="仿宋" w:hAnsi="仿宋" w:eastAsia="仿宋" w:cs="仿宋"/>
          <w:color w:val="auto"/>
          <w:highlight w:val="none"/>
        </w:rPr>
      </w:pPr>
      <w:bookmarkStart w:id="102" w:name="_Toc15396628"/>
      <w:bookmarkStart w:id="103" w:name="_Toc15951"/>
      <w:r>
        <w:rPr>
          <w:rFonts w:hint="eastAsia" w:ascii="仿宋" w:hAnsi="仿宋" w:eastAsia="仿宋" w:cs="仿宋"/>
          <w:color w:val="auto"/>
          <w:highlight w:val="none"/>
        </w:rPr>
        <w:t>十、一般公共预算财政拨款“三公”经费支出决算表</w:t>
      </w:r>
      <w:bookmarkEnd w:id="102"/>
      <w:bookmarkEnd w:id="103"/>
    </w:p>
    <w:p>
      <w:pPr>
        <w:pStyle w:val="5"/>
        <w:bidi w:val="0"/>
        <w:rPr>
          <w:rFonts w:hint="eastAsia" w:ascii="仿宋" w:hAnsi="仿宋" w:eastAsia="仿宋" w:cs="仿宋"/>
          <w:color w:val="auto"/>
          <w:highlight w:val="none"/>
        </w:rPr>
      </w:pPr>
      <w:bookmarkStart w:id="104" w:name="_Toc26411"/>
      <w:bookmarkStart w:id="105" w:name="_Toc15396629"/>
      <w:r>
        <w:rPr>
          <w:rFonts w:hint="eastAsia" w:ascii="仿宋" w:hAnsi="仿宋" w:eastAsia="仿宋" w:cs="仿宋"/>
          <w:color w:val="auto"/>
          <w:highlight w:val="none"/>
        </w:rPr>
        <w:t>十一、政府性基金预算财政拨款收入支出决算表</w:t>
      </w:r>
      <w:bookmarkEnd w:id="104"/>
      <w:bookmarkEnd w:id="105"/>
    </w:p>
    <w:p>
      <w:pPr>
        <w:pStyle w:val="5"/>
        <w:bidi w:val="0"/>
        <w:rPr>
          <w:rFonts w:hint="eastAsia" w:ascii="仿宋" w:hAnsi="仿宋" w:eastAsia="仿宋" w:cs="仿宋"/>
          <w:color w:val="auto"/>
          <w:highlight w:val="none"/>
        </w:rPr>
      </w:pPr>
      <w:bookmarkStart w:id="106" w:name="_Toc31313"/>
      <w:bookmarkStart w:id="107" w:name="_Toc15396630"/>
      <w:r>
        <w:rPr>
          <w:rFonts w:hint="eastAsia" w:ascii="仿宋" w:hAnsi="仿宋" w:eastAsia="仿宋" w:cs="仿宋"/>
          <w:color w:val="auto"/>
          <w:highlight w:val="none"/>
        </w:rPr>
        <w:t>十二、政府性基金预算财政拨款“三公”经费支出决算表</w:t>
      </w:r>
      <w:bookmarkEnd w:id="106"/>
      <w:bookmarkEnd w:id="107"/>
    </w:p>
    <w:p>
      <w:pPr>
        <w:pStyle w:val="5"/>
        <w:bidi w:val="0"/>
        <w:rPr>
          <w:rFonts w:hint="eastAsia" w:ascii="仿宋" w:hAnsi="仿宋" w:eastAsia="仿宋" w:cs="仿宋"/>
          <w:color w:val="auto"/>
          <w:highlight w:val="none"/>
        </w:rPr>
      </w:pPr>
      <w:bookmarkStart w:id="108" w:name="_Toc26015"/>
      <w:bookmarkStart w:id="109" w:name="_Toc15396631"/>
      <w:r>
        <w:rPr>
          <w:rFonts w:hint="eastAsia" w:ascii="仿宋" w:hAnsi="仿宋" w:eastAsia="仿宋" w:cs="仿宋"/>
          <w:color w:val="auto"/>
          <w:highlight w:val="none"/>
        </w:rPr>
        <w:t>十三、国有资本经营预算财政拨款收入支出决算表</w:t>
      </w:r>
      <w:bookmarkEnd w:id="108"/>
      <w:bookmarkEnd w:id="109"/>
    </w:p>
    <w:p>
      <w:pPr>
        <w:pStyle w:val="5"/>
        <w:bidi w:val="0"/>
        <w:rPr>
          <w:rFonts w:hint="eastAsia" w:ascii="仿宋" w:hAnsi="仿宋" w:eastAsia="仿宋" w:cs="仿宋"/>
          <w:color w:val="auto"/>
          <w:highlight w:val="none"/>
        </w:rPr>
      </w:pPr>
      <w:bookmarkStart w:id="110" w:name="_Toc2980"/>
      <w:r>
        <w:rPr>
          <w:rFonts w:hint="eastAsia" w:ascii="仿宋" w:hAnsi="仿宋" w:eastAsia="仿宋" w:cs="仿宋"/>
          <w:color w:val="auto"/>
          <w:highlight w:val="none"/>
        </w:rPr>
        <w:t>十四、国有资本经营预算财政拨款支出决算表</w:t>
      </w:r>
      <w:bookmarkEnd w:id="110"/>
    </w:p>
    <w:bookmarkEnd w:id="111"/>
    <w:sectPr>
      <w:headerReference r:id="rId3" w:type="default"/>
      <w:footerReference r:id="rId4" w:type="default"/>
      <w:pgSz w:w="11906" w:h="16838"/>
      <w:pgMar w:top="1440" w:right="1800" w:bottom="1440" w:left="1800" w:header="851" w:footer="992" w:gutter="0"/>
      <w:pgNumType w:start="1"/>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00" w:usb3="00000000" w:csb0="00040000" w:csb1="00000000"/>
  </w:font>
  <w:font w:name="等线 Light">
    <w:panose1 w:val="02010600030101010101"/>
    <w:charset w:val="86"/>
    <w:family w:val="auto"/>
    <w:pitch w:val="default"/>
    <w:sig w:usb0="A00002BF" w:usb1="38CF7CFA" w:usb2="00000016" w:usb3="00000000" w:csb0="0004000F" w:csb1="00000000"/>
  </w:font>
  <w:font w:name="方正小标宋简体">
    <w:panose1 w:val="02010601030101010101"/>
    <w:charset w:val="86"/>
    <w:family w:val="script"/>
    <w:pitch w:val="default"/>
    <w:sig w:usb0="00000001" w:usb1="080E0000" w:usb2="00000000" w:usb3="00000000" w:csb0="00040000" w:csb1="00000000"/>
  </w:font>
  <w:font w:name="方正小标宋_GBK">
    <w:altName w:val="微软雅黑"/>
    <w:panose1 w:val="02000000000000000000"/>
    <w:charset w:val="86"/>
    <w:family w:val="auto"/>
    <w:pitch w:val="default"/>
    <w:sig w:usb0="00000000" w:usb1="00000000" w:usb2="00082016" w:usb3="00000000" w:csb0="00040001" w:csb1="00000000"/>
  </w:font>
  <w:font w:name="微软雅黑">
    <w:panose1 w:val="020B0503020204020204"/>
    <w:charset w:val="86"/>
    <w:family w:val="auto"/>
    <w:pitch w:val="default"/>
    <w:sig w:usb0="80000287" w:usb1="280F3C52" w:usb2="00000016" w:usb3="00000000" w:csb0="0004001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94781956"/>
    </w:sdtPr>
    <w:sdtContent>
      <w:p>
        <w:pPr>
          <w:pStyle w:val="12"/>
          <w:jc w:val="center"/>
        </w:pPr>
        <w:r>
          <w:fldChar w:fldCharType="begin"/>
        </w:r>
        <w:r>
          <w:instrText xml:space="preserve">PAGE   \* MERGEFORMAT</w:instrText>
        </w:r>
        <w:r>
          <w:fldChar w:fldCharType="separate"/>
        </w:r>
        <w:r>
          <w:rPr>
            <w:lang w:val="zh-CN"/>
          </w:rPr>
          <w:t>12</w:t>
        </w:r>
        <w:r>
          <w:fldChar w:fldCharType="end"/>
        </w:r>
      </w:p>
    </w:sdtContent>
  </w:sdt>
  <w:p>
    <w:pPr>
      <w:pStyle w:val="1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652CEC"/>
    <w:multiLevelType w:val="singleLevel"/>
    <w:tmpl w:val="CF652CEC"/>
    <w:lvl w:ilvl="0" w:tentative="0">
      <w:start w:val="9"/>
      <w:numFmt w:val="chineseCounting"/>
      <w:suff w:val="nothing"/>
      <w:lvlText w:val="%1、"/>
      <w:lvlJc w:val="left"/>
      <w:rPr>
        <w:rFonts w:hint="eastAsia"/>
      </w:rPr>
    </w:lvl>
  </w:abstractNum>
  <w:abstractNum w:abstractNumId="1">
    <w:nsid w:val="E2FA047D"/>
    <w:multiLevelType w:val="singleLevel"/>
    <w:tmpl w:val="E2FA047D"/>
    <w:lvl w:ilvl="0" w:tentative="0">
      <w:start w:val="3"/>
      <w:numFmt w:val="chineseCounting"/>
      <w:suff w:val="space"/>
      <w:lvlText w:val="第%1部分"/>
      <w:lvlJc w:val="left"/>
      <w:rPr>
        <w:rFonts w:hint="eastAsia" w:ascii="黑体" w:hAnsi="黑体" w:eastAsia="黑体" w:cs="黑体"/>
        <w:sz w:val="44"/>
        <w:szCs w:val="44"/>
      </w:rPr>
    </w:lvl>
  </w:abstractNum>
  <w:abstractNum w:abstractNumId="2">
    <w:nsid w:val="1272550B"/>
    <w:multiLevelType w:val="multilevel"/>
    <w:tmpl w:val="1272550B"/>
    <w:lvl w:ilvl="0" w:tentative="0">
      <w:start w:val="1"/>
      <w:numFmt w:val="japaneseCounting"/>
      <w:lvlText w:val="%1、"/>
      <w:lvlJc w:val="left"/>
      <w:pPr>
        <w:ind w:left="1360" w:hanging="720"/>
      </w:pPr>
      <w:rPr>
        <w:rFonts w:hint="default"/>
        <w:b w:val="0"/>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3">
    <w:nsid w:val="588A0011"/>
    <w:multiLevelType w:val="singleLevel"/>
    <w:tmpl w:val="588A0011"/>
    <w:lvl w:ilvl="0" w:tentative="0">
      <w:start w:val="1"/>
      <w:numFmt w:val="decimal"/>
      <w:suff w:val="nothing"/>
      <w:lvlText w:val="%1."/>
      <w:lvlJc w:val="left"/>
    </w:lvl>
  </w:abstractNum>
  <w:abstractNum w:abstractNumId="4">
    <w:nsid w:val="6492B4FE"/>
    <w:multiLevelType w:val="singleLevel"/>
    <w:tmpl w:val="6492B4FE"/>
    <w:lvl w:ilvl="0" w:tentative="0">
      <w:start w:val="1"/>
      <w:numFmt w:val="chineseCounting"/>
      <w:suff w:val="nothing"/>
      <w:lvlText w:val="%1、"/>
      <w:lvlJc w:val="left"/>
      <w:rPr>
        <w:rFonts w:hint="eastAsia"/>
      </w:rPr>
    </w:lvl>
  </w:abstractNum>
  <w:num w:numId="1">
    <w:abstractNumId w:val="4"/>
  </w:num>
  <w:num w:numId="2">
    <w:abstractNumId w:val="3"/>
  </w:num>
  <w:num w:numId="3">
    <w:abstractNumId w:val="2"/>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JjYzYzZmU5OWQ3NzgwYmRjMzI1YjU5NDZkMjc5OTAifQ=="/>
  </w:docVars>
  <w:rsids>
    <w:rsidRoot w:val="00F1361C"/>
    <w:rsid w:val="000222C6"/>
    <w:rsid w:val="0002549F"/>
    <w:rsid w:val="000468DB"/>
    <w:rsid w:val="0006487A"/>
    <w:rsid w:val="00065F8F"/>
    <w:rsid w:val="00070A43"/>
    <w:rsid w:val="000768F2"/>
    <w:rsid w:val="0009184B"/>
    <w:rsid w:val="00094236"/>
    <w:rsid w:val="0009593C"/>
    <w:rsid w:val="00097322"/>
    <w:rsid w:val="000A6A92"/>
    <w:rsid w:val="000B047F"/>
    <w:rsid w:val="000B5923"/>
    <w:rsid w:val="000B5A48"/>
    <w:rsid w:val="000B6FF3"/>
    <w:rsid w:val="000C3467"/>
    <w:rsid w:val="000C3CA6"/>
    <w:rsid w:val="000D1267"/>
    <w:rsid w:val="000D1D50"/>
    <w:rsid w:val="000D5782"/>
    <w:rsid w:val="000E6613"/>
    <w:rsid w:val="000E7119"/>
    <w:rsid w:val="00114E9B"/>
    <w:rsid w:val="00133E14"/>
    <w:rsid w:val="00142216"/>
    <w:rsid w:val="00144D6A"/>
    <w:rsid w:val="0014729F"/>
    <w:rsid w:val="00157BAB"/>
    <w:rsid w:val="001654D1"/>
    <w:rsid w:val="00174518"/>
    <w:rsid w:val="0018106D"/>
    <w:rsid w:val="00184031"/>
    <w:rsid w:val="001877A7"/>
    <w:rsid w:val="00191536"/>
    <w:rsid w:val="00196687"/>
    <w:rsid w:val="001C0962"/>
    <w:rsid w:val="001D7531"/>
    <w:rsid w:val="001E737D"/>
    <w:rsid w:val="001F0592"/>
    <w:rsid w:val="001F7506"/>
    <w:rsid w:val="002006CD"/>
    <w:rsid w:val="00202B36"/>
    <w:rsid w:val="00204B7A"/>
    <w:rsid w:val="00204CDE"/>
    <w:rsid w:val="0021101A"/>
    <w:rsid w:val="00220536"/>
    <w:rsid w:val="00235629"/>
    <w:rsid w:val="00260C38"/>
    <w:rsid w:val="002616C0"/>
    <w:rsid w:val="00265372"/>
    <w:rsid w:val="002662AA"/>
    <w:rsid w:val="00280496"/>
    <w:rsid w:val="00294DC9"/>
    <w:rsid w:val="00295495"/>
    <w:rsid w:val="002A31DE"/>
    <w:rsid w:val="002B2613"/>
    <w:rsid w:val="002D6D05"/>
    <w:rsid w:val="002F1818"/>
    <w:rsid w:val="002F567B"/>
    <w:rsid w:val="003216A9"/>
    <w:rsid w:val="00335A74"/>
    <w:rsid w:val="0036561B"/>
    <w:rsid w:val="0037013F"/>
    <w:rsid w:val="00380C92"/>
    <w:rsid w:val="003A484F"/>
    <w:rsid w:val="003A4883"/>
    <w:rsid w:val="003B0BE0"/>
    <w:rsid w:val="003B0C1B"/>
    <w:rsid w:val="003B688C"/>
    <w:rsid w:val="003C0291"/>
    <w:rsid w:val="003C39AE"/>
    <w:rsid w:val="003C7B60"/>
    <w:rsid w:val="003D0C0F"/>
    <w:rsid w:val="003D1FB2"/>
    <w:rsid w:val="003D66DA"/>
    <w:rsid w:val="003E1310"/>
    <w:rsid w:val="003E6F55"/>
    <w:rsid w:val="00406254"/>
    <w:rsid w:val="004223DE"/>
    <w:rsid w:val="00434489"/>
    <w:rsid w:val="00437085"/>
    <w:rsid w:val="00443880"/>
    <w:rsid w:val="004464F4"/>
    <w:rsid w:val="00471401"/>
    <w:rsid w:val="00473F31"/>
    <w:rsid w:val="0048263A"/>
    <w:rsid w:val="00487E5D"/>
    <w:rsid w:val="004A711F"/>
    <w:rsid w:val="004B199D"/>
    <w:rsid w:val="004B4690"/>
    <w:rsid w:val="004E0A2D"/>
    <w:rsid w:val="004E206B"/>
    <w:rsid w:val="004E6DF7"/>
    <w:rsid w:val="004F0FBD"/>
    <w:rsid w:val="00505A47"/>
    <w:rsid w:val="00512FDA"/>
    <w:rsid w:val="00520DA0"/>
    <w:rsid w:val="005664BB"/>
    <w:rsid w:val="00566FFA"/>
    <w:rsid w:val="0057481D"/>
    <w:rsid w:val="0058486E"/>
    <w:rsid w:val="00585B33"/>
    <w:rsid w:val="0059014D"/>
    <w:rsid w:val="005B5C64"/>
    <w:rsid w:val="005C5337"/>
    <w:rsid w:val="005C6BD0"/>
    <w:rsid w:val="005D1C8B"/>
    <w:rsid w:val="005D468D"/>
    <w:rsid w:val="005D5CED"/>
    <w:rsid w:val="005F1A4C"/>
    <w:rsid w:val="00605688"/>
    <w:rsid w:val="006070AF"/>
    <w:rsid w:val="00607E6C"/>
    <w:rsid w:val="006101B1"/>
    <w:rsid w:val="00614E44"/>
    <w:rsid w:val="0062270A"/>
    <w:rsid w:val="00622830"/>
    <w:rsid w:val="00623DA0"/>
    <w:rsid w:val="00630AEF"/>
    <w:rsid w:val="006325F8"/>
    <w:rsid w:val="00633463"/>
    <w:rsid w:val="00634C9A"/>
    <w:rsid w:val="006440E4"/>
    <w:rsid w:val="0066343B"/>
    <w:rsid w:val="00664777"/>
    <w:rsid w:val="006748A4"/>
    <w:rsid w:val="00681A31"/>
    <w:rsid w:val="00683E73"/>
    <w:rsid w:val="006A3141"/>
    <w:rsid w:val="006A5E34"/>
    <w:rsid w:val="006B2422"/>
    <w:rsid w:val="006B2B9A"/>
    <w:rsid w:val="006C1937"/>
    <w:rsid w:val="006F020C"/>
    <w:rsid w:val="00711B33"/>
    <w:rsid w:val="007127B7"/>
    <w:rsid w:val="0071798E"/>
    <w:rsid w:val="007416B6"/>
    <w:rsid w:val="00746F48"/>
    <w:rsid w:val="0075404D"/>
    <w:rsid w:val="0076182A"/>
    <w:rsid w:val="00767B7E"/>
    <w:rsid w:val="007770C3"/>
    <w:rsid w:val="00784D24"/>
    <w:rsid w:val="00785FBA"/>
    <w:rsid w:val="00786E4A"/>
    <w:rsid w:val="007875EB"/>
    <w:rsid w:val="0079426B"/>
    <w:rsid w:val="007D1682"/>
    <w:rsid w:val="007D312A"/>
    <w:rsid w:val="007D3F19"/>
    <w:rsid w:val="007E23B0"/>
    <w:rsid w:val="007E23E5"/>
    <w:rsid w:val="007F1991"/>
    <w:rsid w:val="007F2C2F"/>
    <w:rsid w:val="007F55FC"/>
    <w:rsid w:val="007F5665"/>
    <w:rsid w:val="00800112"/>
    <w:rsid w:val="00813348"/>
    <w:rsid w:val="008253BB"/>
    <w:rsid w:val="0083706E"/>
    <w:rsid w:val="008408F6"/>
    <w:rsid w:val="008423A5"/>
    <w:rsid w:val="00850625"/>
    <w:rsid w:val="00853718"/>
    <w:rsid w:val="00855221"/>
    <w:rsid w:val="00860645"/>
    <w:rsid w:val="00871F71"/>
    <w:rsid w:val="00872FD8"/>
    <w:rsid w:val="00885AF4"/>
    <w:rsid w:val="008939CD"/>
    <w:rsid w:val="008B768C"/>
    <w:rsid w:val="008C4DB1"/>
    <w:rsid w:val="008C4EAF"/>
    <w:rsid w:val="008C5176"/>
    <w:rsid w:val="008C7FD0"/>
    <w:rsid w:val="008E1DE7"/>
    <w:rsid w:val="008E707C"/>
    <w:rsid w:val="00900B08"/>
    <w:rsid w:val="00902155"/>
    <w:rsid w:val="00902FA3"/>
    <w:rsid w:val="00923564"/>
    <w:rsid w:val="0092392E"/>
    <w:rsid w:val="009315F9"/>
    <w:rsid w:val="00933499"/>
    <w:rsid w:val="00935C98"/>
    <w:rsid w:val="00946945"/>
    <w:rsid w:val="009469FB"/>
    <w:rsid w:val="00951248"/>
    <w:rsid w:val="0095152F"/>
    <w:rsid w:val="00954C49"/>
    <w:rsid w:val="00955E37"/>
    <w:rsid w:val="0097099F"/>
    <w:rsid w:val="00971997"/>
    <w:rsid w:val="00971FFC"/>
    <w:rsid w:val="0098660A"/>
    <w:rsid w:val="009931C3"/>
    <w:rsid w:val="009B2C43"/>
    <w:rsid w:val="009B4EAE"/>
    <w:rsid w:val="009B7573"/>
    <w:rsid w:val="009C22F4"/>
    <w:rsid w:val="009C2A4B"/>
    <w:rsid w:val="009C2E98"/>
    <w:rsid w:val="009D3447"/>
    <w:rsid w:val="009D4711"/>
    <w:rsid w:val="009F1185"/>
    <w:rsid w:val="009F18CD"/>
    <w:rsid w:val="009F2A13"/>
    <w:rsid w:val="009F7527"/>
    <w:rsid w:val="00A04EB0"/>
    <w:rsid w:val="00A13CC1"/>
    <w:rsid w:val="00A16847"/>
    <w:rsid w:val="00A237D8"/>
    <w:rsid w:val="00A268C4"/>
    <w:rsid w:val="00A307CD"/>
    <w:rsid w:val="00A331C8"/>
    <w:rsid w:val="00A40A00"/>
    <w:rsid w:val="00A4142F"/>
    <w:rsid w:val="00A422EB"/>
    <w:rsid w:val="00A422EF"/>
    <w:rsid w:val="00A45BB7"/>
    <w:rsid w:val="00A56DF2"/>
    <w:rsid w:val="00A56E6E"/>
    <w:rsid w:val="00A67AB5"/>
    <w:rsid w:val="00A733B2"/>
    <w:rsid w:val="00A741C2"/>
    <w:rsid w:val="00A91760"/>
    <w:rsid w:val="00A93B00"/>
    <w:rsid w:val="00A93C21"/>
    <w:rsid w:val="00AB64C9"/>
    <w:rsid w:val="00AC3C6A"/>
    <w:rsid w:val="00AD5620"/>
    <w:rsid w:val="00AD656B"/>
    <w:rsid w:val="00AD7C1B"/>
    <w:rsid w:val="00AE16BA"/>
    <w:rsid w:val="00AE1EBE"/>
    <w:rsid w:val="00B03C9D"/>
    <w:rsid w:val="00B060AE"/>
    <w:rsid w:val="00B10517"/>
    <w:rsid w:val="00B14E76"/>
    <w:rsid w:val="00B161B8"/>
    <w:rsid w:val="00B2048C"/>
    <w:rsid w:val="00B310B9"/>
    <w:rsid w:val="00B35F3F"/>
    <w:rsid w:val="00B36CBB"/>
    <w:rsid w:val="00B425E0"/>
    <w:rsid w:val="00B440AA"/>
    <w:rsid w:val="00B44B70"/>
    <w:rsid w:val="00B53C56"/>
    <w:rsid w:val="00B57DAF"/>
    <w:rsid w:val="00B65C9E"/>
    <w:rsid w:val="00B77EA6"/>
    <w:rsid w:val="00B81598"/>
    <w:rsid w:val="00B841F1"/>
    <w:rsid w:val="00B944D6"/>
    <w:rsid w:val="00BB4DF0"/>
    <w:rsid w:val="00BC289F"/>
    <w:rsid w:val="00BC2D50"/>
    <w:rsid w:val="00BC5361"/>
    <w:rsid w:val="00BC5460"/>
    <w:rsid w:val="00BC6B50"/>
    <w:rsid w:val="00BD0E25"/>
    <w:rsid w:val="00BF5BD6"/>
    <w:rsid w:val="00C03E31"/>
    <w:rsid w:val="00C33E72"/>
    <w:rsid w:val="00C354B2"/>
    <w:rsid w:val="00C35554"/>
    <w:rsid w:val="00C42709"/>
    <w:rsid w:val="00C533CC"/>
    <w:rsid w:val="00C5751C"/>
    <w:rsid w:val="00C61BFC"/>
    <w:rsid w:val="00C62B85"/>
    <w:rsid w:val="00C65438"/>
    <w:rsid w:val="00C87FD8"/>
    <w:rsid w:val="00C91381"/>
    <w:rsid w:val="00C91CBB"/>
    <w:rsid w:val="00CB4E70"/>
    <w:rsid w:val="00CC09B6"/>
    <w:rsid w:val="00CC666F"/>
    <w:rsid w:val="00CD1E3F"/>
    <w:rsid w:val="00CE0437"/>
    <w:rsid w:val="00CE44F6"/>
    <w:rsid w:val="00CE49DA"/>
    <w:rsid w:val="00CE7B61"/>
    <w:rsid w:val="00D00095"/>
    <w:rsid w:val="00D114F0"/>
    <w:rsid w:val="00D20620"/>
    <w:rsid w:val="00D254F7"/>
    <w:rsid w:val="00D26091"/>
    <w:rsid w:val="00D2685C"/>
    <w:rsid w:val="00D34E7C"/>
    <w:rsid w:val="00D35489"/>
    <w:rsid w:val="00D36AFE"/>
    <w:rsid w:val="00D51276"/>
    <w:rsid w:val="00D7035F"/>
    <w:rsid w:val="00DA634F"/>
    <w:rsid w:val="00DA65AC"/>
    <w:rsid w:val="00DB1913"/>
    <w:rsid w:val="00DC410D"/>
    <w:rsid w:val="00DC5A81"/>
    <w:rsid w:val="00DC68CA"/>
    <w:rsid w:val="00DC7CBA"/>
    <w:rsid w:val="00DD73B7"/>
    <w:rsid w:val="00DF28BC"/>
    <w:rsid w:val="00DF34B9"/>
    <w:rsid w:val="00E01053"/>
    <w:rsid w:val="00E07ACF"/>
    <w:rsid w:val="00E331A1"/>
    <w:rsid w:val="00E33202"/>
    <w:rsid w:val="00E336A9"/>
    <w:rsid w:val="00E472B1"/>
    <w:rsid w:val="00E50624"/>
    <w:rsid w:val="00E568DF"/>
    <w:rsid w:val="00E64269"/>
    <w:rsid w:val="00E82267"/>
    <w:rsid w:val="00E853CE"/>
    <w:rsid w:val="00E867B6"/>
    <w:rsid w:val="00EA010F"/>
    <w:rsid w:val="00ED1B63"/>
    <w:rsid w:val="00ED3C1F"/>
    <w:rsid w:val="00ED4085"/>
    <w:rsid w:val="00ED420E"/>
    <w:rsid w:val="00ED6FBE"/>
    <w:rsid w:val="00EE2F57"/>
    <w:rsid w:val="00EF4C34"/>
    <w:rsid w:val="00EF77C6"/>
    <w:rsid w:val="00F05438"/>
    <w:rsid w:val="00F1361C"/>
    <w:rsid w:val="00F156F0"/>
    <w:rsid w:val="00F160C7"/>
    <w:rsid w:val="00F2408F"/>
    <w:rsid w:val="00F240E9"/>
    <w:rsid w:val="00F36D8F"/>
    <w:rsid w:val="00F417B1"/>
    <w:rsid w:val="00F45853"/>
    <w:rsid w:val="00F602DF"/>
    <w:rsid w:val="00F754A1"/>
    <w:rsid w:val="00F81FD9"/>
    <w:rsid w:val="00F841AA"/>
    <w:rsid w:val="00F84A94"/>
    <w:rsid w:val="00F87E96"/>
    <w:rsid w:val="00FA23E8"/>
    <w:rsid w:val="00FD3CC1"/>
    <w:rsid w:val="00FF1E02"/>
    <w:rsid w:val="00FF30B4"/>
    <w:rsid w:val="092807EB"/>
    <w:rsid w:val="0A2032A3"/>
    <w:rsid w:val="0B8A37D8"/>
    <w:rsid w:val="0DA65670"/>
    <w:rsid w:val="0EC71F0D"/>
    <w:rsid w:val="10C055FF"/>
    <w:rsid w:val="112C7A85"/>
    <w:rsid w:val="118107EC"/>
    <w:rsid w:val="11DD6519"/>
    <w:rsid w:val="12910332"/>
    <w:rsid w:val="157E27B0"/>
    <w:rsid w:val="16BB723D"/>
    <w:rsid w:val="175404DE"/>
    <w:rsid w:val="177D300F"/>
    <w:rsid w:val="18015F3F"/>
    <w:rsid w:val="1B317FC6"/>
    <w:rsid w:val="1BE8440E"/>
    <w:rsid w:val="1D155CEE"/>
    <w:rsid w:val="1F046865"/>
    <w:rsid w:val="20F57F95"/>
    <w:rsid w:val="22835CF3"/>
    <w:rsid w:val="23066A21"/>
    <w:rsid w:val="240371BF"/>
    <w:rsid w:val="24D54B4E"/>
    <w:rsid w:val="25C741E6"/>
    <w:rsid w:val="27842671"/>
    <w:rsid w:val="29FD04D3"/>
    <w:rsid w:val="2ABE7A3E"/>
    <w:rsid w:val="2BAE4DE0"/>
    <w:rsid w:val="2C0D4D5A"/>
    <w:rsid w:val="2EFA178C"/>
    <w:rsid w:val="30B46D73"/>
    <w:rsid w:val="319F7F4E"/>
    <w:rsid w:val="32246DAE"/>
    <w:rsid w:val="32E05DEF"/>
    <w:rsid w:val="353C0D20"/>
    <w:rsid w:val="37FA130A"/>
    <w:rsid w:val="39AE70AB"/>
    <w:rsid w:val="3C0C0783"/>
    <w:rsid w:val="3F795B0E"/>
    <w:rsid w:val="3F9F3A96"/>
    <w:rsid w:val="3FDD7017"/>
    <w:rsid w:val="45972024"/>
    <w:rsid w:val="493C27E9"/>
    <w:rsid w:val="496F39ED"/>
    <w:rsid w:val="49FF41D3"/>
    <w:rsid w:val="4A185DC8"/>
    <w:rsid w:val="4B13736C"/>
    <w:rsid w:val="4BE068DB"/>
    <w:rsid w:val="4BF6002B"/>
    <w:rsid w:val="4ECE2238"/>
    <w:rsid w:val="4EFC7CF6"/>
    <w:rsid w:val="4FD61684"/>
    <w:rsid w:val="503645ED"/>
    <w:rsid w:val="508F3649"/>
    <w:rsid w:val="51DB4B86"/>
    <w:rsid w:val="52FB5859"/>
    <w:rsid w:val="55333C3E"/>
    <w:rsid w:val="58737E60"/>
    <w:rsid w:val="5EEF25B2"/>
    <w:rsid w:val="64A80084"/>
    <w:rsid w:val="64CA39A1"/>
    <w:rsid w:val="65B126BB"/>
    <w:rsid w:val="6C4A05C8"/>
    <w:rsid w:val="6C6E6699"/>
    <w:rsid w:val="6EDA0CDC"/>
    <w:rsid w:val="72734D90"/>
    <w:rsid w:val="727D7081"/>
    <w:rsid w:val="72E456B5"/>
    <w:rsid w:val="74E366CA"/>
    <w:rsid w:val="79E7B28D"/>
    <w:rsid w:val="7AC82E51"/>
    <w:rsid w:val="7BFA24EA"/>
    <w:rsid w:val="7CAB154F"/>
    <w:rsid w:val="7F8518D8"/>
    <w:rsid w:val="7F9F20EE"/>
    <w:rsid w:val="9E3A10E2"/>
    <w:rsid w:val="F2E1F9D4"/>
    <w:rsid w:val="F7880819"/>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nhideWhenUsed="0" w:uiPriority="99"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qFormat="1" w:unhideWhenUsed="0" w:uiPriority="99" w:semiHidden="0" w:name="Salutation"/>
    <w:lsdException w:uiPriority="99" w:name="Date"/>
    <w:lsdException w:uiPriority="99" w:name="Body Text First Indent"/>
    <w:lsdException w:qFormat="1" w:unhideWhenUsed="0"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link w:val="29"/>
    <w:qFormat/>
    <w:uiPriority w:val="9"/>
    <w:pPr>
      <w:keepNext/>
      <w:keepLines/>
      <w:spacing w:before="340" w:after="330" w:line="578" w:lineRule="auto"/>
      <w:jc w:val="center"/>
      <w:outlineLvl w:val="0"/>
    </w:pPr>
    <w:rPr>
      <w:rFonts w:ascii="Times New Roman" w:hAnsi="Times New Roman" w:eastAsia="宋体"/>
      <w:b/>
      <w:bCs/>
      <w:kern w:val="44"/>
      <w:sz w:val="44"/>
      <w:szCs w:val="44"/>
    </w:rPr>
  </w:style>
  <w:style w:type="paragraph" w:styleId="5">
    <w:name w:val="heading 2"/>
    <w:basedOn w:val="1"/>
    <w:next w:val="1"/>
    <w:link w:val="40"/>
    <w:unhideWhenUsed/>
    <w:qFormat/>
    <w:uiPriority w:val="9"/>
    <w:pPr>
      <w:keepNext/>
      <w:keepLines/>
      <w:spacing w:before="260" w:after="260" w:line="416" w:lineRule="auto"/>
      <w:ind w:firstLine="1440" w:firstLineChars="200"/>
      <w:outlineLvl w:val="1"/>
    </w:pPr>
    <w:rPr>
      <w:rFonts w:cs="仿宋" w:asciiTheme="majorAscii" w:hAnsiTheme="majorAscii" w:eastAsiaTheme="majorEastAsia"/>
      <w:b/>
      <w:bCs/>
      <w:sz w:val="32"/>
      <w:szCs w:val="32"/>
    </w:rPr>
  </w:style>
  <w:style w:type="paragraph" w:styleId="6">
    <w:name w:val="heading 3"/>
    <w:basedOn w:val="1"/>
    <w:next w:val="1"/>
    <w:link w:val="33"/>
    <w:unhideWhenUsed/>
    <w:qFormat/>
    <w:uiPriority w:val="9"/>
    <w:pPr>
      <w:keepNext/>
      <w:keepLines/>
      <w:spacing w:before="260" w:after="260" w:line="416" w:lineRule="auto"/>
      <w:outlineLvl w:val="2"/>
    </w:pPr>
    <w:rPr>
      <w:b/>
      <w:bCs/>
      <w:sz w:val="32"/>
      <w:szCs w:val="32"/>
    </w:rPr>
  </w:style>
  <w:style w:type="character" w:default="1" w:styleId="18">
    <w:name w:val="Default Paragraph Font"/>
    <w:semiHidden/>
    <w:unhideWhenUsed/>
    <w:qFormat/>
    <w:uiPriority w:val="1"/>
  </w:style>
  <w:style w:type="table" w:default="1" w:styleId="17">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Calibri"/>
      <w:sz w:val="20"/>
      <w:szCs w:val="20"/>
    </w:rPr>
    <w:tblPr>
      <w:tblCellMar>
        <w:top w:w="0" w:type="dxa"/>
        <w:left w:w="108" w:type="dxa"/>
        <w:bottom w:w="0" w:type="dxa"/>
        <w:right w:w="108" w:type="dxa"/>
      </w:tblCellMar>
    </w:tblPr>
  </w:style>
  <w:style w:type="paragraph" w:styleId="2">
    <w:name w:val="Body Text First Indent 2"/>
    <w:basedOn w:val="3"/>
    <w:link w:val="39"/>
    <w:qFormat/>
    <w:uiPriority w:val="99"/>
    <w:pPr>
      <w:ind w:firstLine="420" w:firstLineChars="200"/>
    </w:pPr>
  </w:style>
  <w:style w:type="paragraph" w:styleId="3">
    <w:name w:val="Body Text Indent"/>
    <w:basedOn w:val="1"/>
    <w:link w:val="38"/>
    <w:qFormat/>
    <w:uiPriority w:val="99"/>
    <w:pPr>
      <w:ind w:left="420" w:leftChars="200"/>
    </w:pPr>
  </w:style>
  <w:style w:type="paragraph" w:styleId="7">
    <w:name w:val="annotation text"/>
    <w:basedOn w:val="1"/>
    <w:semiHidden/>
    <w:unhideWhenUsed/>
    <w:qFormat/>
    <w:uiPriority w:val="99"/>
    <w:pPr>
      <w:jc w:val="left"/>
    </w:pPr>
  </w:style>
  <w:style w:type="paragraph" w:styleId="8">
    <w:name w:val="Salutation"/>
    <w:basedOn w:val="1"/>
    <w:next w:val="1"/>
    <w:qFormat/>
    <w:uiPriority w:val="99"/>
  </w:style>
  <w:style w:type="paragraph" w:styleId="9">
    <w:name w:val="Body Text"/>
    <w:basedOn w:val="1"/>
    <w:link w:val="37"/>
    <w:qFormat/>
    <w:uiPriority w:val="99"/>
    <w:pPr>
      <w:spacing w:beforeLines="30"/>
    </w:pPr>
    <w:rPr>
      <w:rFonts w:ascii="仿宋_GB2312" w:eastAsia="仿宋_GB2312"/>
      <w:kern w:val="0"/>
      <w:sz w:val="30"/>
    </w:rPr>
  </w:style>
  <w:style w:type="paragraph" w:styleId="10">
    <w:name w:val="toc 3"/>
    <w:basedOn w:val="1"/>
    <w:next w:val="1"/>
    <w:unhideWhenUsed/>
    <w:qFormat/>
    <w:uiPriority w:val="39"/>
    <w:pPr>
      <w:tabs>
        <w:tab w:val="right" w:leader="dot" w:pos="8296"/>
      </w:tabs>
      <w:ind w:left="840" w:leftChars="400"/>
    </w:pPr>
  </w:style>
  <w:style w:type="paragraph" w:styleId="11">
    <w:name w:val="Balloon Text"/>
    <w:basedOn w:val="1"/>
    <w:link w:val="32"/>
    <w:semiHidden/>
    <w:unhideWhenUsed/>
    <w:qFormat/>
    <w:uiPriority w:val="99"/>
    <w:rPr>
      <w:sz w:val="18"/>
      <w:szCs w:val="18"/>
    </w:rPr>
  </w:style>
  <w:style w:type="paragraph" w:styleId="12">
    <w:name w:val="footer"/>
    <w:basedOn w:val="1"/>
    <w:link w:val="24"/>
    <w:qFormat/>
    <w:uiPriority w:val="99"/>
    <w:pPr>
      <w:tabs>
        <w:tab w:val="center" w:pos="4153"/>
        <w:tab w:val="right" w:pos="8306"/>
      </w:tabs>
      <w:snapToGrid w:val="0"/>
      <w:jc w:val="left"/>
    </w:pPr>
    <w:rPr>
      <w:rFonts w:ascii="Calibri" w:hAnsi="Calibri"/>
      <w:kern w:val="0"/>
      <w:sz w:val="18"/>
      <w:szCs w:val="18"/>
    </w:rPr>
  </w:style>
  <w:style w:type="paragraph" w:styleId="13">
    <w:name w:val="header"/>
    <w:basedOn w:val="1"/>
    <w:link w:val="22"/>
    <w:semiHidden/>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14">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paragraph" w:styleId="15">
    <w:name w:val="toc 2"/>
    <w:basedOn w:val="1"/>
    <w:next w:val="1"/>
    <w:unhideWhenUsed/>
    <w:qFormat/>
    <w:uiPriority w:val="39"/>
    <w:pPr>
      <w:tabs>
        <w:tab w:val="right" w:leader="dot" w:pos="8296"/>
      </w:tabs>
      <w:ind w:left="420" w:leftChars="200"/>
    </w:pPr>
  </w:style>
  <w:style w:type="paragraph" w:styleId="16">
    <w:name w:val="Normal (Web)"/>
    <w:basedOn w:val="1"/>
    <w:semiHidden/>
    <w:unhideWhenUsed/>
    <w:qFormat/>
    <w:uiPriority w:val="99"/>
    <w:rPr>
      <w:sz w:val="24"/>
    </w:rPr>
  </w:style>
  <w:style w:type="character" w:styleId="19">
    <w:name w:val="Strong"/>
    <w:basedOn w:val="18"/>
    <w:qFormat/>
    <w:uiPriority w:val="99"/>
    <w:rPr>
      <w:rFonts w:hint="default" w:ascii="Times New Roman" w:hAnsi="Times New Roman" w:cs="Times New Roman"/>
      <w:b/>
    </w:rPr>
  </w:style>
  <w:style w:type="character" w:styleId="20">
    <w:name w:val="Hyperlink"/>
    <w:basedOn w:val="18"/>
    <w:unhideWhenUsed/>
    <w:qFormat/>
    <w:uiPriority w:val="99"/>
    <w:rPr>
      <w:color w:val="0000FF" w:themeColor="hyperlink"/>
      <w:u w:val="single"/>
      <w14:textFill>
        <w14:solidFill>
          <w14:schemeClr w14:val="hlink"/>
        </w14:solidFill>
      </w14:textFill>
    </w:rPr>
  </w:style>
  <w:style w:type="character" w:customStyle="1" w:styleId="21">
    <w:name w:val="Header Char"/>
    <w:basedOn w:val="18"/>
    <w:semiHidden/>
    <w:qFormat/>
    <w:uiPriority w:val="99"/>
    <w:rPr>
      <w:rFonts w:ascii="Times New Roman" w:hAnsi="Times New Roman"/>
      <w:sz w:val="18"/>
      <w:szCs w:val="18"/>
    </w:rPr>
  </w:style>
  <w:style w:type="character" w:customStyle="1" w:styleId="22">
    <w:name w:val="页眉 Char"/>
    <w:link w:val="13"/>
    <w:semiHidden/>
    <w:qFormat/>
    <w:locked/>
    <w:uiPriority w:val="99"/>
    <w:rPr>
      <w:sz w:val="18"/>
    </w:rPr>
  </w:style>
  <w:style w:type="character" w:customStyle="1" w:styleId="23">
    <w:name w:val="Footer Char"/>
    <w:basedOn w:val="18"/>
    <w:semiHidden/>
    <w:qFormat/>
    <w:uiPriority w:val="99"/>
    <w:rPr>
      <w:rFonts w:ascii="Times New Roman" w:hAnsi="Times New Roman"/>
      <w:sz w:val="18"/>
      <w:szCs w:val="18"/>
    </w:rPr>
  </w:style>
  <w:style w:type="character" w:customStyle="1" w:styleId="24">
    <w:name w:val="页脚 Char"/>
    <w:link w:val="12"/>
    <w:qFormat/>
    <w:locked/>
    <w:uiPriority w:val="99"/>
    <w:rPr>
      <w:sz w:val="18"/>
    </w:rPr>
  </w:style>
  <w:style w:type="character" w:customStyle="1" w:styleId="25">
    <w:name w:val="Body Text Char"/>
    <w:basedOn w:val="18"/>
    <w:semiHidden/>
    <w:qFormat/>
    <w:uiPriority w:val="99"/>
    <w:rPr>
      <w:rFonts w:ascii="Times New Roman" w:hAnsi="Times New Roman"/>
      <w:szCs w:val="24"/>
    </w:rPr>
  </w:style>
  <w:style w:type="character" w:customStyle="1" w:styleId="26">
    <w:name w:val="正文文本 Char"/>
    <w:link w:val="9"/>
    <w:qFormat/>
    <w:locked/>
    <w:uiPriority w:val="99"/>
    <w:rPr>
      <w:rFonts w:ascii="仿宋_GB2312" w:hAnsi="Times New Roman" w:eastAsia="仿宋_GB2312"/>
      <w:sz w:val="24"/>
    </w:rPr>
  </w:style>
  <w:style w:type="paragraph" w:customStyle="1" w:styleId="27">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paragraph" w:styleId="28">
    <w:name w:val="List Paragraph"/>
    <w:basedOn w:val="1"/>
    <w:qFormat/>
    <w:uiPriority w:val="34"/>
    <w:pPr>
      <w:ind w:firstLine="420" w:firstLineChars="200"/>
    </w:pPr>
  </w:style>
  <w:style w:type="character" w:customStyle="1" w:styleId="29">
    <w:name w:val="标题 1 Char"/>
    <w:basedOn w:val="18"/>
    <w:link w:val="4"/>
    <w:qFormat/>
    <w:uiPriority w:val="9"/>
    <w:rPr>
      <w:rFonts w:ascii="Times New Roman" w:hAnsi="Times New Roman" w:eastAsia="宋体"/>
      <w:b/>
      <w:bCs/>
      <w:kern w:val="44"/>
      <w:sz w:val="44"/>
      <w:szCs w:val="44"/>
    </w:rPr>
  </w:style>
  <w:style w:type="character" w:customStyle="1" w:styleId="30">
    <w:name w:val="标题 2 Char"/>
    <w:basedOn w:val="18"/>
    <w:link w:val="5"/>
    <w:qFormat/>
    <w:uiPriority w:val="9"/>
    <w:rPr>
      <w:rFonts w:asciiTheme="majorHAnsi" w:hAnsiTheme="majorHAnsi" w:eastAsiaTheme="majorEastAsia" w:cstheme="majorBidi"/>
      <w:b/>
      <w:bCs/>
      <w:kern w:val="2"/>
      <w:sz w:val="32"/>
      <w:szCs w:val="32"/>
    </w:rPr>
  </w:style>
  <w:style w:type="paragraph" w:customStyle="1" w:styleId="31">
    <w:name w:val="TOC 标题1"/>
    <w:basedOn w:val="4"/>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32">
    <w:name w:val="批注框文本 Char"/>
    <w:basedOn w:val="18"/>
    <w:link w:val="11"/>
    <w:semiHidden/>
    <w:qFormat/>
    <w:uiPriority w:val="99"/>
    <w:rPr>
      <w:rFonts w:ascii="Times New Roman" w:hAnsi="Times New Roman"/>
      <w:kern w:val="2"/>
      <w:sz w:val="18"/>
      <w:szCs w:val="18"/>
    </w:rPr>
  </w:style>
  <w:style w:type="character" w:customStyle="1" w:styleId="33">
    <w:name w:val="标题 3 Char"/>
    <w:basedOn w:val="18"/>
    <w:link w:val="6"/>
    <w:qFormat/>
    <w:uiPriority w:val="9"/>
    <w:rPr>
      <w:rFonts w:ascii="Times New Roman" w:hAnsi="Times New Roman"/>
      <w:b/>
      <w:bCs/>
      <w:kern w:val="2"/>
      <w:sz w:val="32"/>
      <w:szCs w:val="32"/>
    </w:rPr>
  </w:style>
  <w:style w:type="paragraph" w:customStyle="1" w:styleId="34">
    <w:name w:val="TOC 标题2"/>
    <w:basedOn w:val="4"/>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35">
    <w:name w:val="正文文本 字符"/>
    <w:basedOn w:val="18"/>
    <w:qFormat/>
    <w:uiPriority w:val="0"/>
    <w:rPr>
      <w:kern w:val="2"/>
      <w:sz w:val="21"/>
      <w:szCs w:val="24"/>
    </w:rPr>
  </w:style>
  <w:style w:type="character" w:customStyle="1" w:styleId="36">
    <w:name w:val="标题 2 Char1"/>
    <w:basedOn w:val="18"/>
    <w:link w:val="5"/>
    <w:qFormat/>
    <w:uiPriority w:val="0"/>
    <w:rPr>
      <w:rFonts w:ascii="等线 Light" w:hAnsi="等线 Light" w:eastAsia="等线 Light" w:cs="Times New Roman"/>
      <w:b/>
      <w:bCs/>
      <w:kern w:val="2"/>
      <w:sz w:val="32"/>
      <w:szCs w:val="32"/>
    </w:rPr>
  </w:style>
  <w:style w:type="character" w:customStyle="1" w:styleId="37">
    <w:name w:val="正文文本 Char1"/>
    <w:basedOn w:val="18"/>
    <w:link w:val="9"/>
    <w:qFormat/>
    <w:uiPriority w:val="0"/>
    <w:rPr>
      <w:rFonts w:hint="eastAsia" w:ascii="仿宋_GB2312" w:eastAsia="仿宋_GB2312" w:cs="仿宋_GB2312"/>
      <w:sz w:val="24"/>
    </w:rPr>
  </w:style>
  <w:style w:type="character" w:customStyle="1" w:styleId="38">
    <w:name w:val="正文文本缩进 字符"/>
    <w:basedOn w:val="18"/>
    <w:link w:val="3"/>
    <w:qFormat/>
    <w:uiPriority w:val="0"/>
    <w:rPr>
      <w:rFonts w:hint="default" w:ascii="Times New Roman" w:hAnsi="Times New Roman" w:cs="Times New Roman"/>
      <w:kern w:val="2"/>
      <w:sz w:val="21"/>
      <w:szCs w:val="24"/>
    </w:rPr>
  </w:style>
  <w:style w:type="character" w:customStyle="1" w:styleId="39">
    <w:name w:val="正文首行缩进 2 字符"/>
    <w:basedOn w:val="38"/>
    <w:link w:val="2"/>
    <w:qFormat/>
    <w:uiPriority w:val="0"/>
    <w:rPr>
      <w:rFonts w:hint="default" w:ascii="Times New Roman" w:hAnsi="Times New Roman" w:cs="Times New Roman"/>
      <w:kern w:val="2"/>
      <w:sz w:val="21"/>
      <w:szCs w:val="24"/>
    </w:rPr>
  </w:style>
  <w:style w:type="character" w:customStyle="1" w:styleId="40">
    <w:name w:val="标题 2 字符"/>
    <w:basedOn w:val="18"/>
    <w:link w:val="5"/>
    <w:qFormat/>
    <w:uiPriority w:val="0"/>
    <w:rPr>
      <w:rFonts w:cs="仿宋" w:asciiTheme="majorAscii" w:hAnsiTheme="majorAscii" w:eastAsiaTheme="majorEastAsia"/>
      <w:b/>
      <w:bCs/>
      <w:kern w:val="2"/>
      <w:sz w:val="32"/>
      <w:szCs w:val="32"/>
    </w:rPr>
  </w:style>
</w:styles>
</file>

<file path=word/_rels/document.xml.rels><?xml version="1.0" encoding="UTF-8" standalone="yes"?>
<Relationships xmlns="http://schemas.openxmlformats.org/package/2006/relationships"><Relationship Id="rId9" Type="http://schemas.openxmlformats.org/officeDocument/2006/relationships/chart" Target="charts/chart4.xml"/><Relationship Id="rId8" Type="http://schemas.openxmlformats.org/officeDocument/2006/relationships/chart" Target="charts/chart3.xml"/><Relationship Id="rId7" Type="http://schemas.openxmlformats.org/officeDocument/2006/relationships/chart" Target="charts/chart2.xml"/><Relationship Id="rId6" Type="http://schemas.openxmlformats.org/officeDocument/2006/relationships/chart" Target="charts/chart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hart" Target="charts/chart7.xml"/><Relationship Id="rId11" Type="http://schemas.openxmlformats.org/officeDocument/2006/relationships/chart" Target="charts/chart6.xml"/><Relationship Id="rId10" Type="http://schemas.openxmlformats.org/officeDocument/2006/relationships/chart" Target="charts/chart5.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7.xml"/><Relationship Id="rId2" Type="http://schemas.microsoft.com/office/2011/relationships/chartStyle" Target="style7.xml"/><Relationship Id="rId1" Type="http://schemas.openxmlformats.org/officeDocument/2006/relationships/package" Target="../embeddings/Workbook7.xlsx"/></Relationships>
</file>

<file path=word/charts/_rels/chart2.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package" Target="../embeddings/Workbook1.xlsx"/></Relationships>
</file>

<file path=word/charts/_rels/chart3.xml.rels><?xml version="1.0" encoding="UTF-8" standalone="yes"?>
<Relationships xmlns="http://schemas.openxmlformats.org/package/2006/relationships"><Relationship Id="rId3" Type="http://schemas.microsoft.com/office/2011/relationships/chartColorStyle" Target="colors4.xml"/><Relationship Id="rId2" Type="http://schemas.microsoft.com/office/2011/relationships/chartStyle" Target="style4.xml"/><Relationship Id="rId1" Type="http://schemas.openxmlformats.org/officeDocument/2006/relationships/package" Target="../embeddings/Workbook4.xlsx"/></Relationships>
</file>

<file path=word/charts/_rels/chart4.xml.rels><?xml version="1.0" encoding="UTF-8" standalone="yes"?>
<Relationships xmlns="http://schemas.openxmlformats.org/package/2006/relationships"><Relationship Id="rId3" Type="http://schemas.microsoft.com/office/2011/relationships/chartColorStyle" Target="colors6.xml"/><Relationship Id="rId2" Type="http://schemas.microsoft.com/office/2011/relationships/chartStyle" Target="style6.xml"/><Relationship Id="rId1" Type="http://schemas.openxmlformats.org/officeDocument/2006/relationships/package" Target="../embeddings/Workbook6.xlsx"/></Relationships>
</file>

<file path=word/charts/_rels/chart5.xml.rels><?xml version="1.0" encoding="UTF-8" standalone="yes"?>
<Relationships xmlns="http://schemas.openxmlformats.org/package/2006/relationships"><Relationship Id="rId3" Type="http://schemas.microsoft.com/office/2011/relationships/chartColorStyle" Target="colors5.xml"/><Relationship Id="rId2" Type="http://schemas.microsoft.com/office/2011/relationships/chartStyle" Target="style5.xml"/><Relationship Id="rId1" Type="http://schemas.openxmlformats.org/officeDocument/2006/relationships/package" Target="../embeddings/Workbook5.xlsx"/></Relationships>
</file>

<file path=word/charts/_rels/chart6.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package" Target="../embeddings/Workbook2.xlsx"/></Relationships>
</file>

<file path=word/charts/_rels/chart7.xml.rels><?xml version="1.0" encoding="UTF-8" standalone="yes"?>
<Relationships xmlns="http://schemas.openxmlformats.org/package/2006/relationships"><Relationship Id="rId3" Type="http://schemas.microsoft.com/office/2011/relationships/chartColorStyle" Target="colors3.xml"/><Relationship Id="rId2" Type="http://schemas.microsoft.com/office/2011/relationships/chartStyle" Target="style3.xml"/><Relationship Id="rId1" Type="http://schemas.openxmlformats.org/officeDocument/2006/relationships/package" Target="../embeddings/Workbook3.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800" b="1" i="0" u="none" strike="noStrike" kern="1200" baseline="0">
                <a:solidFill>
                  <a:schemeClr val="dk1">
                    <a:lumMod val="75000"/>
                    <a:lumOff val="25000"/>
                  </a:schemeClr>
                </a:solidFill>
                <a:latin typeface="+mn-lt"/>
                <a:ea typeface="+mn-ea"/>
                <a:cs typeface="+mn-cs"/>
              </a:defRPr>
            </a:pPr>
            <a:r>
              <a:t>收、支决算总计变动情况图</a:t>
            </a:r>
          </a:p>
        </c:rich>
      </c:tx>
      <c:layout/>
      <c:overlay val="0"/>
      <c:spPr>
        <a:noFill/>
        <a:ln>
          <a:noFill/>
        </a:ln>
        <a:effectLst/>
      </c:spPr>
    </c:title>
    <c:autoTitleDeleted val="0"/>
    <c:plotArea>
      <c:layout/>
      <c:barChart>
        <c:barDir val="col"/>
        <c:grouping val="clustered"/>
        <c:varyColors val="0"/>
        <c:ser>
          <c:idx val="0"/>
          <c:order val="0"/>
          <c:tx>
            <c:strRef>
              <c:f>Sheet1!$B$1</c:f>
              <c:strCache>
                <c:ptCount val="1"/>
                <c:pt idx="0">
                  <c:v>收入</c:v>
                </c:pt>
              </c:strCache>
            </c:strRef>
          </c:tx>
          <c:spPr>
            <a:solidFill>
              <a:schemeClr val="accent1">
                <a:alpha val="85000"/>
              </a:schemeClr>
            </a:solidFill>
            <a:ln w="9525" cap="flat" cmpd="sng" algn="ctr">
              <a:solidFill>
                <a:schemeClr val="lt1">
                  <a:alpha val="50000"/>
                </a:schemeClr>
              </a:solidFill>
              <a:round/>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chemeClr val="lt1"/>
                    </a:solidFill>
                    <a:latin typeface="+mn-lt"/>
                    <a:ea typeface="+mn-ea"/>
                    <a:cs typeface="+mn-cs"/>
                  </a:defRPr>
                </a:pPr>
              </a:p>
            </c:txPr>
            <c:dLblPos val="in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spPr>
                    <a:ln w="9525">
                      <a:solidFill>
                        <a:schemeClr val="dk1">
                          <a:lumMod val="50000"/>
                          <a:lumOff val="50000"/>
                        </a:schemeClr>
                      </a:solidFill>
                    </a:ln>
                    <a:effectLst/>
                  </c:spPr>
                </c15:leaderLines>
              </c:ext>
            </c:extLst>
          </c:dLbls>
          <c:cat>
            <c:strRef>
              <c:f>Sheet1!$A$2:$A$3</c:f>
              <c:strCache>
                <c:ptCount val="2"/>
                <c:pt idx="0">
                  <c:v>2020年</c:v>
                </c:pt>
                <c:pt idx="1">
                  <c:v>2021年</c:v>
                </c:pt>
              </c:strCache>
            </c:strRef>
          </c:cat>
          <c:val>
            <c:numRef>
              <c:f>Sheet1!$B$2:$B$3</c:f>
              <c:numCache>
                <c:formatCode>General</c:formatCode>
                <c:ptCount val="2"/>
                <c:pt idx="0">
                  <c:v>442.82</c:v>
                </c:pt>
                <c:pt idx="1">
                  <c:v>417.17</c:v>
                </c:pt>
              </c:numCache>
            </c:numRef>
          </c:val>
        </c:ser>
        <c:ser>
          <c:idx val="1"/>
          <c:order val="1"/>
          <c:tx>
            <c:strRef>
              <c:f>Sheet1!$C$1</c:f>
              <c:strCache>
                <c:ptCount val="1"/>
                <c:pt idx="0">
                  <c:v>支出</c:v>
                </c:pt>
              </c:strCache>
            </c:strRef>
          </c:tx>
          <c:spPr>
            <a:solidFill>
              <a:schemeClr val="accent2">
                <a:alpha val="85000"/>
              </a:schemeClr>
            </a:solidFill>
            <a:ln w="9525" cap="flat" cmpd="sng" algn="ctr">
              <a:solidFill>
                <a:schemeClr val="lt1">
                  <a:alpha val="50000"/>
                </a:schemeClr>
              </a:solidFill>
              <a:round/>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chemeClr val="lt1"/>
                    </a:solidFill>
                    <a:latin typeface="+mn-lt"/>
                    <a:ea typeface="+mn-ea"/>
                    <a:cs typeface="+mn-cs"/>
                  </a:defRPr>
                </a:pPr>
              </a:p>
            </c:txPr>
            <c:dLblPos val="in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spPr>
                    <a:ln w="9525">
                      <a:solidFill>
                        <a:schemeClr val="dk1">
                          <a:lumMod val="50000"/>
                          <a:lumOff val="50000"/>
                        </a:schemeClr>
                      </a:solidFill>
                    </a:ln>
                    <a:effectLst/>
                  </c:spPr>
                </c15:leaderLines>
              </c:ext>
            </c:extLst>
          </c:dLbls>
          <c:cat>
            <c:strRef>
              <c:f>Sheet1!$A$2:$A$3</c:f>
              <c:strCache>
                <c:ptCount val="2"/>
                <c:pt idx="0">
                  <c:v>2020年</c:v>
                </c:pt>
                <c:pt idx="1">
                  <c:v>2021年</c:v>
                </c:pt>
              </c:strCache>
            </c:strRef>
          </c:cat>
          <c:val>
            <c:numRef>
              <c:f>Sheet1!$C$2:$C$3</c:f>
              <c:numCache>
                <c:formatCode>General</c:formatCode>
                <c:ptCount val="2"/>
                <c:pt idx="0">
                  <c:v>442.82</c:v>
                </c:pt>
                <c:pt idx="1">
                  <c:v>417.17</c:v>
                </c:pt>
              </c:numCache>
            </c:numRef>
          </c:val>
        </c:ser>
        <c:dLbls>
          <c:showLegendKey val="0"/>
          <c:showVal val="1"/>
          <c:showCatName val="0"/>
          <c:showSerName val="0"/>
          <c:showPercent val="0"/>
          <c:showBubbleSize val="0"/>
        </c:dLbls>
        <c:gapWidth val="65"/>
        <c:overlap val="0"/>
        <c:axId val="876838378"/>
        <c:axId val="616419667"/>
      </c:barChart>
      <c:catAx>
        <c:axId val="876838378"/>
        <c:scaling>
          <c:orientation val="minMax"/>
        </c:scaling>
        <c:delete val="0"/>
        <c:axPos val="b"/>
        <c:majorTickMark val="none"/>
        <c:minorTickMark val="none"/>
        <c:tickLblPos val="nextTo"/>
        <c:spPr>
          <a:noFill/>
          <a:ln w="19050" cap="flat" cmpd="sng" algn="ctr">
            <a:solidFill>
              <a:schemeClr val="dk1">
                <a:lumMod val="75000"/>
                <a:lumOff val="25000"/>
              </a:schemeClr>
            </a:solidFill>
            <a:round/>
          </a:ln>
          <a:effectLst/>
        </c:spPr>
        <c:txPr>
          <a:bodyPr rot="-60000000" spcFirstLastPara="0" vertOverflow="ellipsis" vert="horz" wrap="square" anchor="ctr" anchorCtr="1"/>
          <a:lstStyle/>
          <a:p>
            <a:pPr>
              <a:defRPr lang="zh-CN" sz="900" b="0" i="0" u="none" strike="noStrike" kern="1200" cap="all" baseline="0">
                <a:solidFill>
                  <a:schemeClr val="dk1">
                    <a:lumMod val="75000"/>
                    <a:lumOff val="25000"/>
                  </a:schemeClr>
                </a:solidFill>
                <a:latin typeface="+mn-lt"/>
                <a:ea typeface="+mn-ea"/>
                <a:cs typeface="+mn-cs"/>
              </a:defRPr>
            </a:pPr>
          </a:p>
        </c:txPr>
        <c:crossAx val="616419667"/>
        <c:crosses val="autoZero"/>
        <c:auto val="1"/>
        <c:lblAlgn val="ctr"/>
        <c:lblOffset val="100"/>
        <c:noMultiLvlLbl val="0"/>
      </c:catAx>
      <c:valAx>
        <c:axId val="616419667"/>
        <c:scaling>
          <c:orientation val="minMax"/>
        </c:scaling>
        <c:delete val="1"/>
        <c:axPos val="l"/>
        <c:majorGridlines>
          <c:spPr>
            <a:ln w="9525" cap="flat" cmpd="sng" algn="ctr">
              <a:gradFill>
                <a:gsLst>
                  <a:gs pos="100000">
                    <a:schemeClr val="dk1">
                      <a:lumMod val="95000"/>
                      <a:lumOff val="5000"/>
                      <a:alpha val="42000"/>
                    </a:schemeClr>
                  </a:gs>
                  <a:gs pos="0">
                    <a:schemeClr val="lt1">
                      <a:lumMod val="75000"/>
                      <a:alpha val="36000"/>
                    </a:schemeClr>
                  </a:gs>
                </a:gsLst>
                <a:lin ang="5400000" scaled="0"/>
              </a:gradFill>
              <a:round/>
            </a:ln>
            <a:effectLst/>
          </c:spPr>
        </c:majorGridlines>
        <c:numFmt formatCode="General" sourceLinked="1"/>
        <c:majorTickMark val="none"/>
        <c:minorTickMark val="none"/>
        <c:tickLblPos val="nextTo"/>
        <c:txPr>
          <a:bodyPr rot="-60000000" spcFirstLastPara="0" vertOverflow="ellipsis" vert="horz" wrap="square" anchor="ctr" anchorCtr="1"/>
          <a:lstStyle/>
          <a:p>
            <a:pPr>
              <a:defRPr lang="zh-CN" sz="900" b="0" i="0" u="none" strike="noStrike" kern="1200" baseline="0">
                <a:solidFill>
                  <a:schemeClr val="dk1">
                    <a:lumMod val="75000"/>
                    <a:lumOff val="25000"/>
                  </a:schemeClr>
                </a:solidFill>
                <a:latin typeface="+mn-lt"/>
                <a:ea typeface="+mn-ea"/>
                <a:cs typeface="+mn-cs"/>
              </a:defRPr>
            </a:pPr>
          </a:p>
        </c:txPr>
        <c:crossAx val="876838378"/>
        <c:crosses val="autoZero"/>
        <c:crossBetween val="between"/>
      </c:valAx>
      <c:spPr>
        <a:noFill/>
        <a:ln>
          <a:noFill/>
        </a:ln>
        <a:effectLst/>
      </c:spPr>
    </c:plotArea>
    <c:legend>
      <c:legendPos val="b"/>
      <c:layout/>
      <c:overlay val="0"/>
      <c:spPr>
        <a:solidFill>
          <a:schemeClr val="lt1">
            <a:lumMod val="95000"/>
            <a:alpha val="39000"/>
          </a:schemeClr>
        </a:solidFill>
        <a:ln>
          <a:noFill/>
        </a:ln>
        <a:effectLst/>
      </c:spPr>
      <c:txPr>
        <a:bodyPr rot="0" spcFirstLastPara="0" vertOverflow="ellipsis" vert="horz" wrap="square" anchor="ctr" anchorCtr="1"/>
        <a:lstStyle/>
        <a:p>
          <a:pPr>
            <a:defRPr lang="zh-CN" sz="900" b="0" i="0" u="none" strike="noStrike" kern="1200" baseline="0">
              <a:solidFill>
                <a:schemeClr val="dk1">
                  <a:lumMod val="75000"/>
                  <a:lumOff val="25000"/>
                </a:schemeClr>
              </a:solidFill>
              <a:latin typeface="+mn-lt"/>
              <a:ea typeface="+mn-ea"/>
              <a:cs typeface="+mn-cs"/>
            </a:defRPr>
          </a:pPr>
        </a:p>
      </c:txPr>
    </c:legend>
    <c:plotVisOnly val="1"/>
    <c:dispBlanksAs val="gap"/>
    <c:showDLblsOverMax val="0"/>
  </c:chart>
  <c:spPr>
    <a:gradFill flip="none" rotWithShape="1">
      <a:gsLst>
        <a:gs pos="0">
          <a:schemeClr val="lt1"/>
        </a:gs>
        <a:gs pos="39000">
          <a:schemeClr val="lt1"/>
        </a:gs>
        <a:gs pos="100000">
          <a:schemeClr val="lt1">
            <a:lumMod val="75000"/>
          </a:schemeClr>
        </a:gs>
      </a:gsLst>
      <a:path path="circle">
        <a:fillToRect l="50000" t="-80000" r="50000" b="180000"/>
      </a:path>
    </a:gradFill>
    <a:ln w="9525" cap="flat" cmpd="sng" algn="ctr">
      <a:solidFill>
        <a:schemeClr val="dk1">
          <a:lumMod val="25000"/>
          <a:lumOff val="75000"/>
        </a:schemeClr>
      </a:solidFill>
      <a:round/>
    </a:ln>
    <a:effectLst/>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600" b="1" i="0" u="none" strike="noStrike" kern="1200" baseline="0">
                <a:solidFill>
                  <a:schemeClr val="tx1">
                    <a:lumMod val="65000"/>
                    <a:lumOff val="35000"/>
                  </a:schemeClr>
                </a:solidFill>
                <a:latin typeface="+mn-lt"/>
                <a:ea typeface="+mn-ea"/>
                <a:cs typeface="+mn-cs"/>
              </a:defRPr>
            </a:pPr>
            <a:r>
              <a:t>收入决算结构图</a:t>
            </a:r>
          </a:p>
        </c:rich>
      </c:tx>
      <c:layout/>
      <c:overlay val="0"/>
      <c:spPr>
        <a:noFill/>
        <a:ln>
          <a:noFill/>
        </a:ln>
        <a:effectLst/>
      </c:spPr>
    </c:title>
    <c:autoTitleDeleted val="0"/>
    <c:plotArea>
      <c:layout>
        <c:manualLayout>
          <c:layoutTarget val="inner"/>
          <c:xMode val="edge"/>
          <c:yMode val="edge"/>
          <c:x val="0.300694444444444"/>
          <c:y val="0.185185185185185"/>
          <c:w val="0.381944444444444"/>
          <c:h val="0.636574074074074"/>
        </c:manualLayout>
      </c:layout>
      <c:pieChart>
        <c:varyColors val="1"/>
        <c:ser>
          <c:idx val="0"/>
          <c:order val="0"/>
          <c:tx>
            <c:strRef>
              <c:f>Sheet1!$B$1</c:f>
              <c:strCache>
                <c:ptCount val="1"/>
                <c:pt idx="0">
                  <c:v>占比</c:v>
                </c:pt>
              </c:strCache>
            </c:strRef>
          </c:tx>
          <c:spPr/>
          <c:explosion val="0"/>
          <c:dPt>
            <c:idx val="0"/>
            <c:bubble3D val="0"/>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a:noFill/>
              </a:ln>
              <a:effectLst>
                <a:outerShdw blurRad="40000" dist="23000" dir="5400000" rotWithShape="0">
                  <a:srgbClr val="000000">
                    <a:alpha val="35000"/>
                  </a:srgbClr>
                </a:outerShdw>
              </a:effectLst>
            </c:spPr>
          </c:dPt>
          <c:dLbls>
            <c:dLbl>
              <c:idx val="0"/>
              <c:layout/>
              <c:tx>
                <c:rich>
                  <a:bodyPr rot="0" spcFirstLastPara="0" vertOverflow="ellipsis" vert="horz" wrap="square" lIns="38100" tIns="19050" rIns="38100" bIns="19050" anchor="ctr" anchorCtr="1"/>
                  <a:lstStyle/>
                  <a:p>
                    <a:pPr defTabSz="914400">
                      <a:defRPr lang="zh-CN" sz="900" b="0" i="0" u="none" strike="noStrike" kern="1200" baseline="0">
                        <a:solidFill>
                          <a:schemeClr val="tx1">
                            <a:lumMod val="75000"/>
                            <a:lumOff val="25000"/>
                          </a:schemeClr>
                        </a:solidFill>
                        <a:latin typeface="+mn-lt"/>
                        <a:ea typeface="+mn-ea"/>
                        <a:cs typeface="+mn-cs"/>
                      </a:defRPr>
                    </a:pPr>
                    <a:r>
                      <a:rPr lang="en-US" altLang="zh-CN"/>
                      <a:t>100</a:t>
                    </a:r>
                    <a:r>
                      <a:t>%</a:t>
                    </a:r>
                  </a:p>
                </c:rich>
              </c:tx>
              <c:numFmt formatCode="General" sourceLinked="1"/>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ctr"/>
              <c:showLegendKey val="0"/>
              <c:showVal val="1"/>
              <c:showCatName val="0"/>
              <c:showSerName val="0"/>
              <c:showPercent val="0"/>
              <c:showBubbleSize val="0"/>
              <c:extLst>
                <c:ext xmlns:c15="http://schemas.microsoft.com/office/drawing/2012/chart" uri="{CE6537A1-D6FC-4f65-9D91-7224C49458BB}"/>
              </c:extLst>
            </c:dLbl>
            <c:numFmt formatCode="General" sourceLinked="1"/>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ctr"/>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c:f>
              <c:strCache>
                <c:ptCount val="1"/>
                <c:pt idx="0">
                  <c:v>一般公共预算财政拨款收入</c:v>
                </c:pt>
              </c:strCache>
            </c:strRef>
          </c:cat>
          <c:val>
            <c:numRef>
              <c:f>Sheet1!$B$2</c:f>
              <c:numCache>
                <c:formatCode>0.00%</c:formatCode>
                <c:ptCount val="1"/>
                <c:pt idx="0">
                  <c:v>1</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cap="all" spc="50" baseline="0">
                <a:solidFill>
                  <a:schemeClr val="tx1">
                    <a:lumMod val="65000"/>
                    <a:lumOff val="35000"/>
                  </a:schemeClr>
                </a:solidFill>
                <a:latin typeface="+mn-lt"/>
                <a:ea typeface="+mn-ea"/>
                <a:cs typeface="+mn-cs"/>
              </a:defRPr>
            </a:pPr>
            <a:r>
              <a:t>支出决算结构图</a:t>
            </a:r>
          </a:p>
        </c:rich>
      </c:tx>
      <c:layout>
        <c:manualLayout>
          <c:xMode val="edge"/>
          <c:yMode val="edge"/>
          <c:x val="0.358"/>
          <c:y val="0.0362156291681996"/>
        </c:manualLayout>
      </c:layout>
      <c:overlay val="0"/>
      <c:spPr>
        <a:noFill/>
        <a:ln>
          <a:noFill/>
        </a:ln>
        <a:effectLst/>
      </c:spPr>
    </c:title>
    <c:autoTitleDeleted val="0"/>
    <c:plotArea>
      <c:layout/>
      <c:pieChart>
        <c:varyColors val="1"/>
        <c:ser>
          <c:idx val="0"/>
          <c:order val="0"/>
          <c:tx>
            <c:strRef>
              <c:f>Sheet1!$B$1</c:f>
              <c:strCache>
                <c:ptCount val="1"/>
                <c:pt idx="0">
                  <c:v>2021年本年支出合计</c:v>
                </c:pt>
              </c:strCache>
            </c:strRef>
          </c:tx>
          <c:spPr/>
          <c:explosion val="0"/>
          <c:dPt>
            <c:idx val="0"/>
            <c:bubble3D val="0"/>
            <c:spPr>
              <a:solidFill>
                <a:schemeClr val="accent1"/>
              </a:solidFill>
              <a:ln>
                <a:noFill/>
              </a:ln>
              <a:effectLst/>
            </c:spPr>
          </c:dPt>
          <c:dPt>
            <c:idx val="1"/>
            <c:bubble3D val="0"/>
            <c:spPr>
              <a:solidFill>
                <a:schemeClr val="accent2"/>
              </a:solidFill>
              <a:ln>
                <a:noFill/>
              </a:ln>
              <a:effectLst/>
            </c:spPr>
          </c:dPt>
          <c:dLbls>
            <c:dLbl>
              <c:idx val="0"/>
              <c:layout>
                <c:manualLayout>
                  <c:x val="-0.0572256163153286"/>
                  <c:y val="-0.229865726851587"/>
                </c:manualLayout>
              </c:layout>
              <c:tx>
                <c:rich>
                  <a:bodyPr rot="0" spcFirstLastPara="0" vertOverflow="ellipsis" vert="horz" wrap="square" lIns="38100" tIns="19050" rIns="38100" bIns="19050" anchor="ctr" anchorCtr="1"/>
                  <a:lstStyle/>
                  <a:p>
                    <a:pPr defTabSz="914400">
                      <a:defRPr lang="zh-CN" sz="900" b="1" i="0" u="none" strike="noStrike" kern="1200" baseline="0">
                        <a:solidFill>
                          <a:schemeClr val="lt1"/>
                        </a:solidFill>
                        <a:latin typeface="+mn-lt"/>
                        <a:ea typeface="+mn-ea"/>
                        <a:cs typeface="+mn-cs"/>
                      </a:defRPr>
                    </a:pPr>
                    <a:r>
                      <a:rPr lang="en-US" altLang="zh-CN"/>
                      <a:t>78.43</a:t>
                    </a:r>
                    <a:r>
                      <a:t>%</a:t>
                    </a:r>
                  </a:p>
                </c:rich>
              </c:tx>
              <c:dLblPos val="bestFit"/>
              <c:showLegendKey val="0"/>
              <c:showVal val="0"/>
              <c:showCatName val="0"/>
              <c:showSerName val="0"/>
              <c:showPercent val="1"/>
              <c:showBubbleSize val="0"/>
              <c:extLst>
                <c:ext xmlns:c15="http://schemas.microsoft.com/office/drawing/2012/chart" uri="{CE6537A1-D6FC-4f65-9D91-7224C49458BB}">
                  <c15:layout/>
                </c:ext>
              </c:extLst>
            </c:dLbl>
            <c:dLbl>
              <c:idx val="1"/>
              <c:layout/>
              <c:tx>
                <c:rich>
                  <a:bodyPr rot="0" spcFirstLastPara="0" vertOverflow="ellipsis" vert="horz" wrap="square" lIns="38100" tIns="19050" rIns="38100" bIns="19050" anchor="ctr" anchorCtr="1"/>
                  <a:lstStyle/>
                  <a:p>
                    <a:pPr defTabSz="914400">
                      <a:defRPr lang="zh-CN" sz="900" b="1" i="0" u="none" strike="noStrike" kern="1200" baseline="0">
                        <a:solidFill>
                          <a:schemeClr val="lt1"/>
                        </a:solidFill>
                        <a:latin typeface="+mn-lt"/>
                        <a:ea typeface="+mn-ea"/>
                        <a:cs typeface="+mn-cs"/>
                      </a:defRPr>
                    </a:pPr>
                    <a:r>
                      <a:rPr lang="en-US" altLang="zh-CN"/>
                      <a:t>21.57</a:t>
                    </a:r>
                    <a:r>
                      <a:t>%</a:t>
                    </a:r>
                  </a:p>
                </c:rich>
              </c:tx>
              <c:dLblPos val="inEnd"/>
              <c:showLegendKey val="0"/>
              <c:showVal val="0"/>
              <c:showCatName val="0"/>
              <c:showSerName val="0"/>
              <c:showPercent val="1"/>
              <c:showBubbleSize val="0"/>
              <c:extLst>
                <c:ext xmlns:c15="http://schemas.microsoft.com/office/drawing/2012/chart" uri="{CE6537A1-D6FC-4f65-9D91-7224C49458BB}"/>
              </c:extLst>
            </c:dLbl>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chemeClr val="lt1"/>
                    </a:solidFill>
                    <a:latin typeface="+mn-lt"/>
                    <a:ea typeface="+mn-ea"/>
                    <a:cs typeface="+mn-cs"/>
                  </a:defRPr>
                </a:pPr>
              </a:p>
            </c:txPr>
            <c:dLblPos val="inEnd"/>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基本支出</c:v>
                </c:pt>
                <c:pt idx="1">
                  <c:v>项目支出</c:v>
                </c:pt>
              </c:strCache>
            </c:strRef>
          </c:cat>
          <c:val>
            <c:numRef>
              <c:f>Sheet1!$B$2:$B$3</c:f>
              <c:numCache>
                <c:formatCode>General</c:formatCode>
                <c:ptCount val="2"/>
                <c:pt idx="0">
                  <c:v>327.17</c:v>
                </c:pt>
                <c:pt idx="1">
                  <c:v>90</c:v>
                </c:pt>
              </c:numCache>
            </c:numRef>
          </c:val>
        </c:ser>
        <c:dLbls>
          <c:showLegendKey val="0"/>
          <c:showVal val="0"/>
          <c:showCatName val="0"/>
          <c:showSerName val="0"/>
          <c:showPercent val="1"/>
          <c:showBubbleSize val="0"/>
          <c:showLeaderLines val="1"/>
        </c:dLbls>
        <c:firstSliceAng val="0"/>
      </c:pieChart>
      <c:spPr>
        <a:noFill/>
        <a:ln>
          <a:noFill/>
        </a:ln>
        <a:effectLst/>
      </c:spPr>
    </c:plotArea>
    <c:legend>
      <c:legendPos val="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zero"/>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800" b="1" i="0" u="none" strike="noStrike" kern="1200" baseline="0">
                <a:solidFill>
                  <a:schemeClr val="dk1">
                    <a:lumMod val="75000"/>
                    <a:lumOff val="25000"/>
                  </a:schemeClr>
                </a:solidFill>
                <a:latin typeface="+mn-lt"/>
                <a:ea typeface="+mn-ea"/>
                <a:cs typeface="+mn-cs"/>
              </a:defRPr>
            </a:pPr>
            <a:r>
              <a:t>财政拨款收、支决算总体变动情况</a:t>
            </a:r>
          </a:p>
        </c:rich>
      </c:tx>
      <c:layout/>
      <c:overlay val="0"/>
      <c:spPr>
        <a:noFill/>
        <a:ln>
          <a:noFill/>
        </a:ln>
        <a:effectLst/>
      </c:spPr>
    </c:title>
    <c:autoTitleDeleted val="0"/>
    <c:plotArea>
      <c:layout/>
      <c:barChart>
        <c:barDir val="col"/>
        <c:grouping val="clustered"/>
        <c:varyColors val="0"/>
        <c:ser>
          <c:idx val="0"/>
          <c:order val="0"/>
          <c:tx>
            <c:strRef>
              <c:f>Sheet1!$B$1</c:f>
              <c:strCache>
                <c:ptCount val="1"/>
                <c:pt idx="0">
                  <c:v>收入</c:v>
                </c:pt>
              </c:strCache>
            </c:strRef>
          </c:tx>
          <c:spPr>
            <a:solidFill>
              <a:schemeClr val="accent1">
                <a:alpha val="85000"/>
              </a:schemeClr>
            </a:solidFill>
            <a:ln w="9525" cap="flat" cmpd="sng" algn="ctr">
              <a:solidFill>
                <a:schemeClr val="lt1">
                  <a:alpha val="50000"/>
                </a:schemeClr>
              </a:solidFill>
              <a:round/>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chemeClr val="lt1"/>
                    </a:solidFill>
                    <a:latin typeface="+mn-lt"/>
                    <a:ea typeface="+mn-ea"/>
                    <a:cs typeface="+mn-cs"/>
                  </a:defRPr>
                </a:pPr>
              </a:p>
            </c:txPr>
            <c:dLblPos val="in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spPr>
                    <a:ln w="9525">
                      <a:solidFill>
                        <a:schemeClr val="dk1">
                          <a:lumMod val="50000"/>
                          <a:lumOff val="50000"/>
                        </a:schemeClr>
                      </a:solidFill>
                    </a:ln>
                    <a:effectLst/>
                  </c:spPr>
                </c15:leaderLines>
              </c:ext>
            </c:extLst>
          </c:dLbls>
          <c:cat>
            <c:strRef>
              <c:f>Sheet1!$A$2:$A$3</c:f>
              <c:strCache>
                <c:ptCount val="2"/>
                <c:pt idx="0">
                  <c:v>2020年</c:v>
                </c:pt>
                <c:pt idx="1">
                  <c:v>2021年</c:v>
                </c:pt>
              </c:strCache>
            </c:strRef>
          </c:cat>
          <c:val>
            <c:numRef>
              <c:f>Sheet1!$B$2:$B$3</c:f>
              <c:numCache>
                <c:formatCode>General</c:formatCode>
                <c:ptCount val="2"/>
                <c:pt idx="0">
                  <c:v>442.82</c:v>
                </c:pt>
                <c:pt idx="1">
                  <c:v>417.17</c:v>
                </c:pt>
              </c:numCache>
            </c:numRef>
          </c:val>
        </c:ser>
        <c:ser>
          <c:idx val="1"/>
          <c:order val="1"/>
          <c:tx>
            <c:strRef>
              <c:f>Sheet1!$C$1</c:f>
              <c:strCache>
                <c:ptCount val="1"/>
                <c:pt idx="0">
                  <c:v>支出</c:v>
                </c:pt>
              </c:strCache>
            </c:strRef>
          </c:tx>
          <c:spPr>
            <a:solidFill>
              <a:schemeClr val="accent2">
                <a:alpha val="85000"/>
              </a:schemeClr>
            </a:solidFill>
            <a:ln w="9525" cap="flat" cmpd="sng" algn="ctr">
              <a:solidFill>
                <a:schemeClr val="lt1">
                  <a:alpha val="50000"/>
                </a:schemeClr>
              </a:solidFill>
              <a:round/>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chemeClr val="lt1"/>
                    </a:solidFill>
                    <a:latin typeface="+mn-lt"/>
                    <a:ea typeface="+mn-ea"/>
                    <a:cs typeface="+mn-cs"/>
                  </a:defRPr>
                </a:pPr>
              </a:p>
            </c:txPr>
            <c:dLblPos val="in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spPr>
                    <a:ln w="9525">
                      <a:solidFill>
                        <a:schemeClr val="dk1">
                          <a:lumMod val="50000"/>
                          <a:lumOff val="50000"/>
                        </a:schemeClr>
                      </a:solidFill>
                    </a:ln>
                    <a:effectLst/>
                  </c:spPr>
                </c15:leaderLines>
              </c:ext>
            </c:extLst>
          </c:dLbls>
          <c:cat>
            <c:strRef>
              <c:f>Sheet1!$A$2:$A$3</c:f>
              <c:strCache>
                <c:ptCount val="2"/>
                <c:pt idx="0">
                  <c:v>2020年</c:v>
                </c:pt>
                <c:pt idx="1">
                  <c:v>2021年</c:v>
                </c:pt>
              </c:strCache>
            </c:strRef>
          </c:cat>
          <c:val>
            <c:numRef>
              <c:f>Sheet1!$C$2:$C$3</c:f>
              <c:numCache>
                <c:formatCode>General</c:formatCode>
                <c:ptCount val="2"/>
                <c:pt idx="0">
                  <c:v>442.82</c:v>
                </c:pt>
                <c:pt idx="1">
                  <c:v>417.17</c:v>
                </c:pt>
              </c:numCache>
            </c:numRef>
          </c:val>
        </c:ser>
        <c:dLbls>
          <c:showLegendKey val="0"/>
          <c:showVal val="1"/>
          <c:showCatName val="0"/>
          <c:showSerName val="0"/>
          <c:showPercent val="0"/>
          <c:showBubbleSize val="0"/>
        </c:dLbls>
        <c:gapWidth val="65"/>
        <c:overlap val="0"/>
        <c:axId val="876838378"/>
        <c:axId val="616419667"/>
      </c:barChart>
      <c:catAx>
        <c:axId val="876838378"/>
        <c:scaling>
          <c:orientation val="minMax"/>
        </c:scaling>
        <c:delete val="0"/>
        <c:axPos val="b"/>
        <c:majorTickMark val="none"/>
        <c:minorTickMark val="none"/>
        <c:tickLblPos val="nextTo"/>
        <c:spPr>
          <a:noFill/>
          <a:ln w="19050" cap="flat" cmpd="sng" algn="ctr">
            <a:solidFill>
              <a:schemeClr val="dk1">
                <a:lumMod val="75000"/>
                <a:lumOff val="25000"/>
              </a:schemeClr>
            </a:solidFill>
            <a:round/>
          </a:ln>
          <a:effectLst/>
        </c:spPr>
        <c:txPr>
          <a:bodyPr rot="-60000000" spcFirstLastPara="0" vertOverflow="ellipsis" vert="horz" wrap="square" anchor="ctr" anchorCtr="1"/>
          <a:lstStyle/>
          <a:p>
            <a:pPr>
              <a:defRPr lang="zh-CN" sz="900" b="0" i="0" u="none" strike="noStrike" kern="1200" cap="all" baseline="0">
                <a:solidFill>
                  <a:schemeClr val="dk1">
                    <a:lumMod val="75000"/>
                    <a:lumOff val="25000"/>
                  </a:schemeClr>
                </a:solidFill>
                <a:latin typeface="+mn-lt"/>
                <a:ea typeface="+mn-ea"/>
                <a:cs typeface="+mn-cs"/>
              </a:defRPr>
            </a:pPr>
          </a:p>
        </c:txPr>
        <c:crossAx val="616419667"/>
        <c:crosses val="autoZero"/>
        <c:auto val="1"/>
        <c:lblAlgn val="ctr"/>
        <c:lblOffset val="100"/>
        <c:noMultiLvlLbl val="0"/>
      </c:catAx>
      <c:valAx>
        <c:axId val="616419667"/>
        <c:scaling>
          <c:orientation val="minMax"/>
        </c:scaling>
        <c:delete val="1"/>
        <c:axPos val="l"/>
        <c:majorGridlines>
          <c:spPr>
            <a:ln w="9525" cap="flat" cmpd="sng" algn="ctr">
              <a:gradFill>
                <a:gsLst>
                  <a:gs pos="100000">
                    <a:schemeClr val="dk1">
                      <a:lumMod val="95000"/>
                      <a:lumOff val="5000"/>
                      <a:alpha val="42000"/>
                    </a:schemeClr>
                  </a:gs>
                  <a:gs pos="0">
                    <a:schemeClr val="lt1">
                      <a:lumMod val="75000"/>
                      <a:alpha val="36000"/>
                    </a:schemeClr>
                  </a:gs>
                </a:gsLst>
                <a:lin ang="5400000" scaled="0"/>
              </a:gradFill>
              <a:round/>
            </a:ln>
            <a:effectLst/>
          </c:spPr>
        </c:majorGridlines>
        <c:numFmt formatCode="General" sourceLinked="1"/>
        <c:majorTickMark val="none"/>
        <c:minorTickMark val="none"/>
        <c:tickLblPos val="nextTo"/>
        <c:txPr>
          <a:bodyPr rot="-60000000" spcFirstLastPara="0" vertOverflow="ellipsis" vert="horz" wrap="square" anchor="ctr" anchorCtr="1"/>
          <a:lstStyle/>
          <a:p>
            <a:pPr>
              <a:defRPr lang="zh-CN" sz="900" b="0" i="0" u="none" strike="noStrike" kern="1200" baseline="0">
                <a:solidFill>
                  <a:schemeClr val="dk1">
                    <a:lumMod val="75000"/>
                    <a:lumOff val="25000"/>
                  </a:schemeClr>
                </a:solidFill>
                <a:latin typeface="+mn-lt"/>
                <a:ea typeface="+mn-ea"/>
                <a:cs typeface="+mn-cs"/>
              </a:defRPr>
            </a:pPr>
          </a:p>
        </c:txPr>
        <c:crossAx val="876838378"/>
        <c:crosses val="autoZero"/>
        <c:crossBetween val="between"/>
      </c:valAx>
      <c:spPr>
        <a:noFill/>
        <a:ln>
          <a:noFill/>
        </a:ln>
        <a:effectLst/>
      </c:spPr>
    </c:plotArea>
    <c:legend>
      <c:legendPos val="b"/>
      <c:layout/>
      <c:overlay val="0"/>
      <c:spPr>
        <a:solidFill>
          <a:schemeClr val="lt1">
            <a:lumMod val="95000"/>
            <a:alpha val="39000"/>
          </a:schemeClr>
        </a:solidFill>
        <a:ln>
          <a:noFill/>
        </a:ln>
        <a:effectLst/>
      </c:spPr>
      <c:txPr>
        <a:bodyPr rot="0" spcFirstLastPara="0" vertOverflow="ellipsis" vert="horz" wrap="square" anchor="ctr" anchorCtr="1"/>
        <a:lstStyle/>
        <a:p>
          <a:pPr>
            <a:defRPr lang="zh-CN" sz="900" b="0" i="0" u="none" strike="noStrike" kern="1200" baseline="0">
              <a:solidFill>
                <a:schemeClr val="dk1">
                  <a:lumMod val="75000"/>
                  <a:lumOff val="25000"/>
                </a:schemeClr>
              </a:solidFill>
              <a:latin typeface="+mn-lt"/>
              <a:ea typeface="+mn-ea"/>
              <a:cs typeface="+mn-cs"/>
            </a:defRPr>
          </a:pPr>
        </a:p>
      </c:txPr>
    </c:legend>
    <c:plotVisOnly val="1"/>
    <c:dispBlanksAs val="gap"/>
    <c:showDLblsOverMax val="0"/>
  </c:chart>
  <c:spPr>
    <a:gradFill flip="none" rotWithShape="1">
      <a:gsLst>
        <a:gs pos="0">
          <a:schemeClr val="lt1"/>
        </a:gs>
        <a:gs pos="39000">
          <a:schemeClr val="lt1"/>
        </a:gs>
        <a:gs pos="100000">
          <a:schemeClr val="lt1">
            <a:lumMod val="75000"/>
          </a:schemeClr>
        </a:gs>
      </a:gsLst>
      <a:path path="circle">
        <a:fillToRect l="50000" t="-80000" r="50000" b="180000"/>
      </a:path>
    </a:gradFill>
    <a:ln w="9525" cap="flat" cmpd="sng" algn="ctr">
      <a:solidFill>
        <a:schemeClr val="dk1">
          <a:lumMod val="25000"/>
          <a:lumOff val="75000"/>
        </a:schemeClr>
      </a:solidFill>
      <a:round/>
    </a:ln>
    <a:effectLst/>
  </c:spPr>
  <c:txPr>
    <a:bodyPr/>
    <a:lstStyle/>
    <a:p>
      <a:pPr>
        <a:defRPr lang="zh-CN"/>
      </a:pP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baseline="0">
                <a:solidFill>
                  <a:schemeClr val="dk1">
                    <a:lumMod val="65000"/>
                    <a:lumOff val="35000"/>
                  </a:schemeClr>
                </a:solidFill>
                <a:effectLst/>
                <a:latin typeface="+mn-lt"/>
                <a:ea typeface="+mn-ea"/>
                <a:cs typeface="+mn-cs"/>
              </a:defRPr>
            </a:pPr>
            <a:r>
              <a:rPr sz="1400" b="1"/>
              <a:t>一般公共预算财政拨款支出决算变动情况</a:t>
            </a:r>
            <a:endParaRPr sz="1400" b="1"/>
          </a:p>
        </c:rich>
      </c:tx>
      <c:layout>
        <c:manualLayout>
          <c:xMode val="edge"/>
          <c:yMode val="edge"/>
          <c:x val="0.193"/>
          <c:y val="0.0358470525756771"/>
        </c:manualLayout>
      </c:layout>
      <c:overlay val="0"/>
      <c:spPr>
        <a:noFill/>
        <a:ln>
          <a:noFill/>
        </a:ln>
        <a:effectLst/>
      </c:spPr>
    </c:title>
    <c:autoTitleDeleted val="0"/>
    <c:plotArea>
      <c:layout/>
      <c:barChart>
        <c:barDir val="col"/>
        <c:grouping val="clustered"/>
        <c:varyColors val="0"/>
        <c:ser>
          <c:idx val="0"/>
          <c:order val="0"/>
          <c:tx>
            <c:strRef>
              <c:f>Sheet1!$B$1</c:f>
              <c:strCache>
                <c:ptCount val="1"/>
                <c:pt idx="0">
                  <c:v>一般公共预算财政拨款支出</c:v>
                </c:pt>
              </c:strCache>
            </c:strRef>
          </c:tx>
          <c:spPr>
            <a:gradFill>
              <a:gsLst>
                <a:gs pos="0">
                  <a:schemeClr val="accent1"/>
                </a:gs>
                <a:gs pos="100000">
                  <a:schemeClr val="accent1">
                    <a:lumMod val="84000"/>
                  </a:schemeClr>
                </a:gs>
              </a:gsLst>
              <a:lin ang="5400000" scaled="1"/>
            </a:gradFill>
            <a:ln>
              <a:noFill/>
            </a:ln>
            <a:effectLst>
              <a:outerShdw blurRad="76200" dir="18900000" sy="23000" kx="-1200000" algn="bl" rotWithShape="0">
                <a:prstClr val="black">
                  <a:alpha val="20000"/>
                </a:prstClr>
              </a:outerShdw>
            </a:effectLst>
          </c:spPr>
          <c:invertIfNegative val="0"/>
          <c:dLbls>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chemeClr val="lt1"/>
                    </a:solidFill>
                    <a:latin typeface="+mn-lt"/>
                    <a:ea typeface="+mn-ea"/>
                    <a:cs typeface="+mn-cs"/>
                  </a:defRPr>
                </a:pPr>
              </a:p>
            </c:txPr>
            <c:dLblPos val="in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spPr>
                    <a:ln w="9525">
                      <a:solidFill>
                        <a:schemeClr val="dk1">
                          <a:lumMod val="50000"/>
                          <a:lumOff val="50000"/>
                        </a:schemeClr>
                      </a:solidFill>
                    </a:ln>
                    <a:effectLst/>
                  </c:spPr>
                </c15:leaderLines>
              </c:ext>
            </c:extLst>
          </c:dLbls>
          <c:cat>
            <c:strRef>
              <c:f>Sheet1!$A$2:$A$3</c:f>
              <c:strCache>
                <c:ptCount val="2"/>
                <c:pt idx="0">
                  <c:v>2020年</c:v>
                </c:pt>
                <c:pt idx="1">
                  <c:v>2021年</c:v>
                </c:pt>
              </c:strCache>
            </c:strRef>
          </c:cat>
          <c:val>
            <c:numRef>
              <c:f>Sheet1!$B$2:$B$3</c:f>
              <c:numCache>
                <c:formatCode>General</c:formatCode>
                <c:ptCount val="2"/>
                <c:pt idx="0">
                  <c:v>442.82</c:v>
                </c:pt>
                <c:pt idx="1">
                  <c:v>417.17</c:v>
                </c:pt>
              </c:numCache>
            </c:numRef>
          </c:val>
        </c:ser>
        <c:dLbls>
          <c:showLegendKey val="0"/>
          <c:showVal val="1"/>
          <c:showCatName val="0"/>
          <c:showSerName val="0"/>
          <c:showPercent val="0"/>
          <c:showBubbleSize val="0"/>
        </c:dLbls>
        <c:gapWidth val="41"/>
        <c:overlap val="0"/>
        <c:axId val="134079981"/>
        <c:axId val="758071448"/>
      </c:barChart>
      <c:catAx>
        <c:axId val="134079981"/>
        <c:scaling>
          <c:orientation val="minMax"/>
        </c:scaling>
        <c:delete val="0"/>
        <c:axPos val="b"/>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dk1">
                    <a:lumMod val="65000"/>
                    <a:lumOff val="35000"/>
                  </a:schemeClr>
                </a:solidFill>
                <a:effectLst/>
                <a:latin typeface="+mn-lt"/>
                <a:ea typeface="+mn-ea"/>
                <a:cs typeface="+mn-cs"/>
              </a:defRPr>
            </a:pPr>
          </a:p>
        </c:txPr>
        <c:crossAx val="758071448"/>
        <c:crosses val="autoZero"/>
        <c:auto val="1"/>
        <c:lblAlgn val="ctr"/>
        <c:lblOffset val="100"/>
        <c:noMultiLvlLbl val="0"/>
      </c:catAx>
      <c:valAx>
        <c:axId val="758071448"/>
        <c:scaling>
          <c:orientation val="minMax"/>
        </c:scaling>
        <c:delete val="1"/>
        <c:axPos val="l"/>
        <c:numFmt formatCode="General" sourceLinked="1"/>
        <c:majorTickMark val="none"/>
        <c:minorTickMark val="none"/>
        <c:tickLblPos val="nextTo"/>
        <c:txPr>
          <a:bodyPr rot="-60000000" spcFirstLastPara="0" vertOverflow="ellipsis" vert="horz" wrap="square" anchor="ctr" anchorCtr="1"/>
          <a:lstStyle/>
          <a:p>
            <a:pPr>
              <a:defRPr lang="zh-CN" sz="900" b="0" i="0" u="none" strike="noStrike" kern="1200" baseline="0">
                <a:solidFill>
                  <a:schemeClr val="dk1">
                    <a:lumMod val="65000"/>
                    <a:lumOff val="35000"/>
                  </a:schemeClr>
                </a:solidFill>
                <a:latin typeface="+mn-lt"/>
                <a:ea typeface="+mn-ea"/>
                <a:cs typeface="+mn-cs"/>
              </a:defRPr>
            </a:pPr>
          </a:p>
        </c:txPr>
        <c:crossAx val="134079981"/>
        <c:crosses val="autoZero"/>
        <c:crossBetween val="between"/>
      </c:valAx>
      <c:spPr>
        <a:noFill/>
        <a:ln>
          <a:noFill/>
        </a:ln>
        <a:effectLst/>
      </c:spPr>
    </c:plotArea>
    <c:legend>
      <c:legendPos val="t"/>
      <c:legendEntry>
        <c:idx val="0"/>
        <c:txPr>
          <a:bodyPr rot="0" spcFirstLastPara="0" vertOverflow="ellipsis" vert="horz" wrap="square" anchor="ctr" anchorCtr="1"/>
          <a:lstStyle/>
          <a:p>
            <a:pPr>
              <a:defRPr lang="zh-CN" sz="900" b="0" i="0" u="none" strike="noStrike" kern="1200" baseline="0">
                <a:solidFill>
                  <a:schemeClr val="dk1">
                    <a:lumMod val="65000"/>
                    <a:lumOff val="35000"/>
                  </a:schemeClr>
                </a:solidFill>
                <a:latin typeface="+mn-lt"/>
                <a:ea typeface="+mn-ea"/>
                <a:cs typeface="+mn-cs"/>
              </a:defRPr>
            </a:pPr>
          </a:p>
        </c:txPr>
      </c:legendEntry>
      <c:layout>
        <c:manualLayout>
          <c:xMode val="edge"/>
          <c:yMode val="edge"/>
          <c:x val="0.346625"/>
          <c:y val="0.199150292087095"/>
        </c:manualLayou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dk1">
                  <a:lumMod val="65000"/>
                  <a:lumOff val="35000"/>
                </a:schemeClr>
              </a:solidFill>
              <a:latin typeface="+mn-lt"/>
              <a:ea typeface="+mn-ea"/>
              <a:cs typeface="+mn-cs"/>
            </a:defRPr>
          </a:pPr>
        </a:p>
      </c:txPr>
    </c:legend>
    <c:plotVisOnly val="1"/>
    <c:dispBlanksAs val="gap"/>
    <c:showDLblsOverMax val="0"/>
  </c:chart>
  <c:spPr>
    <a:gradFill flip="none" rotWithShape="1">
      <a:gsLst>
        <a:gs pos="0">
          <a:schemeClr val="lt1"/>
        </a:gs>
        <a:gs pos="68000">
          <a:schemeClr val="lt1">
            <a:lumMod val="85000"/>
          </a:schemeClr>
        </a:gs>
        <a:gs pos="100000">
          <a:schemeClr val="lt1"/>
        </a:gs>
      </a:gsLst>
      <a:lin ang="5400000" scaled="1"/>
    </a:gradFill>
    <a:ln w="9525" cap="flat" cmpd="sng" algn="ctr">
      <a:solidFill>
        <a:schemeClr val="dk1">
          <a:lumMod val="15000"/>
          <a:lumOff val="85000"/>
        </a:schemeClr>
      </a:solidFill>
      <a:round/>
    </a:ln>
    <a:effectLst/>
  </c:spPr>
  <c:txPr>
    <a:bodyPr/>
    <a:lstStyle/>
    <a:p>
      <a:pPr>
        <a:defRPr lang="zh-CN" sz="900"/>
      </a:pPr>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800" b="1" i="0" u="none" strike="noStrike" kern="1200" baseline="0">
                <a:solidFill>
                  <a:schemeClr val="dk1">
                    <a:lumMod val="65000"/>
                    <a:lumOff val="35000"/>
                  </a:schemeClr>
                </a:solidFill>
                <a:latin typeface="+mn-lt"/>
                <a:ea typeface="+mn-ea"/>
                <a:cs typeface="+mn-cs"/>
              </a:defRPr>
            </a:pPr>
            <a:r>
              <a:t>一般公共预算财政拨款支出决算结构</a:t>
            </a:r>
          </a:p>
        </c:rich>
      </c:tx>
      <c:layout/>
      <c:overlay val="0"/>
      <c:spPr>
        <a:noFill/>
        <a:ln>
          <a:noFill/>
        </a:ln>
        <a:effectLst/>
      </c:spPr>
    </c:title>
    <c:autoTitleDeleted val="0"/>
    <c:plotArea>
      <c:layout/>
      <c:pieChart>
        <c:varyColors val="1"/>
        <c:ser>
          <c:idx val="0"/>
          <c:order val="0"/>
          <c:tx>
            <c:strRef>
              <c:f>Sheet1!$B$1</c:f>
              <c:strCache>
                <c:ptCount val="1"/>
                <c:pt idx="0">
                  <c:v>占比</c:v>
                </c:pt>
              </c:strCache>
            </c:strRef>
          </c:tx>
          <c:spPr/>
          <c:explosion val="0"/>
          <c:dPt>
            <c:idx val="0"/>
            <c:bubble3D val="0"/>
            <c:spPr>
              <a:solidFill>
                <a:schemeClr val="accent1"/>
              </a:solidFill>
              <a:ln>
                <a:noFill/>
              </a:ln>
              <a:effectLst>
                <a:outerShdw blurRad="317500" algn="ctr" rotWithShape="0">
                  <a:prstClr val="black">
                    <a:alpha val="25000"/>
                  </a:prstClr>
                </a:outerShdw>
              </a:effectLst>
            </c:spPr>
          </c:dPt>
          <c:dLbls>
            <c:dLbl>
              <c:idx val="0"/>
              <c:layout>
                <c:manualLayout>
                  <c:x val="-0.00187524234346355"/>
                  <c:y val="-0.363504402515277"/>
                </c:manualLayout>
              </c:layout>
              <c:dLblPos val="bestFit"/>
              <c:showLegendKey val="0"/>
              <c:showVal val="0"/>
              <c:showCatName val="0"/>
              <c:showSerName val="0"/>
              <c:showPercent val="1"/>
              <c:showBubbleSize val="0"/>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chemeClr val="lt1"/>
                    </a:solidFill>
                    <a:latin typeface="+mn-lt"/>
                    <a:ea typeface="+mn-ea"/>
                    <a:cs typeface="+mn-cs"/>
                  </a:defRPr>
                </a:pPr>
              </a:p>
            </c:txPr>
            <c:dLblPos val="inEnd"/>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chemeClr val="dk1">
                          <a:lumMod val="35000"/>
                          <a:lumOff val="65000"/>
                        </a:schemeClr>
                      </a:solidFill>
                      <a:round/>
                    </a:ln>
                    <a:effectLst/>
                  </c:spPr>
                </c15:leaderLines>
              </c:ext>
            </c:extLst>
          </c:dLbls>
          <c:cat>
            <c:strRef>
              <c:f>Sheet1!$A$2</c:f>
              <c:strCache>
                <c:ptCount val="1"/>
                <c:pt idx="0">
                  <c:v>教育支出（类）</c:v>
                </c:pt>
              </c:strCache>
            </c:strRef>
          </c:cat>
          <c:val>
            <c:numRef>
              <c:f>Sheet1!$B$2</c:f>
              <c:numCache>
                <c:formatCode>General</c:formatCode>
                <c:ptCount val="1"/>
                <c:pt idx="0">
                  <c:v>100</c:v>
                </c:pt>
              </c:numCache>
            </c:numRef>
          </c:val>
        </c:ser>
        <c:dLbls>
          <c:showLegendKey val="0"/>
          <c:showVal val="0"/>
          <c:showCatName val="0"/>
          <c:showSerName val="0"/>
          <c:showPercent val="1"/>
          <c:showBubbleSize val="0"/>
          <c:showLeaderLines val="1"/>
        </c:dLbls>
        <c:firstSliceAng val="0"/>
      </c:pieChart>
      <c:spPr>
        <a:noFill/>
        <a:ln>
          <a:noFill/>
        </a:ln>
        <a:effectLst/>
      </c:spPr>
    </c:plotArea>
    <c:legend>
      <c:legendPos val="b"/>
      <c:layout/>
      <c:overlay val="0"/>
      <c:spPr>
        <a:solidFill>
          <a:schemeClr val="lt1">
            <a:alpha val="78000"/>
          </a:schemeClr>
        </a:solidFill>
        <a:ln>
          <a:noFill/>
        </a:ln>
        <a:effectLst/>
      </c:spPr>
      <c:txPr>
        <a:bodyPr rot="0" spcFirstLastPara="0" vertOverflow="ellipsis" vert="horz" wrap="square" anchor="ctr" anchorCtr="1"/>
        <a:lstStyle/>
        <a:p>
          <a:pPr>
            <a:defRPr lang="zh-CN" sz="900" b="0" i="0" u="none" strike="noStrike" kern="1200" baseline="0">
              <a:solidFill>
                <a:schemeClr val="dk1">
                  <a:lumMod val="65000"/>
                  <a:lumOff val="35000"/>
                </a:schemeClr>
              </a:solidFill>
              <a:latin typeface="+mn-lt"/>
              <a:ea typeface="+mn-ea"/>
              <a:cs typeface="+mn-cs"/>
            </a:defRPr>
          </a:pPr>
        </a:p>
      </c:txPr>
    </c:legend>
    <c:plotVisOnly val="1"/>
    <c:dispBlanksAs val="gap"/>
    <c:showDLblsOverMax val="0"/>
  </c:chart>
  <c:spPr>
    <a:pattFill prst="dkDnDiag">
      <a:fgClr>
        <a:schemeClr val="lt1">
          <a:lumMod val="95000"/>
        </a:schemeClr>
      </a:fgClr>
      <a:bgClr>
        <a:schemeClr val="lt1"/>
      </a:bgClr>
    </a:pattFill>
    <a:ln w="9525" cap="flat" cmpd="sng" algn="ctr">
      <a:solidFill>
        <a:schemeClr val="dk1">
          <a:lumMod val="15000"/>
          <a:lumOff val="85000"/>
        </a:schemeClr>
      </a:solidFill>
      <a:round/>
    </a:ln>
    <a:effectLst/>
  </c:spPr>
  <c:txPr>
    <a:bodyPr/>
    <a:lstStyle/>
    <a:p>
      <a:pPr>
        <a:defRPr lang="zh-CN"/>
      </a:pPr>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600" b="1" i="0" u="none" strike="noStrike" kern="1200" baseline="0">
                <a:solidFill>
                  <a:schemeClr val="tx2"/>
                </a:solidFill>
                <a:latin typeface="+mn-lt"/>
                <a:ea typeface="+mn-ea"/>
                <a:cs typeface="+mn-cs"/>
              </a:defRPr>
            </a:pPr>
            <a:r>
              <a:t>“三公”经费财政拨款支出结构</a:t>
            </a:r>
          </a:p>
        </c:rich>
      </c:tx>
      <c:layout/>
      <c:overlay val="0"/>
      <c:spPr>
        <a:noFill/>
        <a:ln>
          <a:noFill/>
        </a:ln>
        <a:effectLst/>
      </c:spPr>
    </c:title>
    <c:autoTitleDeleted val="0"/>
    <c:plotArea>
      <c:layout/>
      <c:pieChart>
        <c:varyColors val="1"/>
        <c:ser>
          <c:idx val="0"/>
          <c:order val="0"/>
          <c:tx>
            <c:strRef>
              <c:f>Sheet1!$B$1</c:f>
              <c:strCache>
                <c:ptCount val="1"/>
                <c:pt idx="0">
                  <c:v>占比</c:v>
                </c:pt>
              </c:strCache>
            </c:strRef>
          </c:tx>
          <c:spPr/>
          <c:explosion val="0"/>
          <c:dPt>
            <c:idx val="0"/>
            <c:bubble3D val="0"/>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a:noFill/>
              </a:ln>
              <a:effectLst>
                <a:outerShdw blurRad="40000" dist="23000" dir="5400000" rotWithShape="0">
                  <a:srgbClr val="000000">
                    <a:alpha val="35000"/>
                  </a:srgbClr>
                </a:outerShdw>
              </a:effectLst>
            </c:spPr>
          </c:dPt>
          <c:dPt>
            <c:idx val="1"/>
            <c:bubble3D val="0"/>
            <c:spPr>
              <a:gradFill rotWithShape="1">
                <a:gsLst>
                  <a:gs pos="0">
                    <a:schemeClr val="accent2">
                      <a:shade val="51000"/>
                      <a:satMod val="130000"/>
                    </a:schemeClr>
                  </a:gs>
                  <a:gs pos="80000">
                    <a:schemeClr val="accent2">
                      <a:shade val="93000"/>
                      <a:satMod val="130000"/>
                    </a:schemeClr>
                  </a:gs>
                  <a:gs pos="100000">
                    <a:schemeClr val="accent2">
                      <a:shade val="94000"/>
                      <a:satMod val="135000"/>
                    </a:schemeClr>
                  </a:gs>
                </a:gsLst>
                <a:lin ang="16200000" scaled="0"/>
              </a:gradFill>
              <a:ln>
                <a:noFill/>
              </a:ln>
              <a:effectLst>
                <a:outerShdw blurRad="40000" dist="23000" dir="5400000" rotWithShape="0">
                  <a:srgbClr val="000000">
                    <a:alpha val="35000"/>
                  </a:srgbClr>
                </a:outerShdw>
              </a:effectLst>
            </c:spPr>
          </c:dPt>
          <c:dPt>
            <c:idx val="2"/>
            <c:bubble3D val="0"/>
            <c:spPr>
              <a:gradFill rotWithShape="1">
                <a:gsLst>
                  <a:gs pos="0">
                    <a:schemeClr val="accent3">
                      <a:shade val="51000"/>
                      <a:satMod val="130000"/>
                    </a:schemeClr>
                  </a:gs>
                  <a:gs pos="80000">
                    <a:schemeClr val="accent3">
                      <a:shade val="93000"/>
                      <a:satMod val="130000"/>
                    </a:schemeClr>
                  </a:gs>
                  <a:gs pos="100000">
                    <a:schemeClr val="accent3">
                      <a:shade val="94000"/>
                      <a:satMod val="135000"/>
                    </a:schemeClr>
                  </a:gs>
                </a:gsLst>
                <a:lin ang="16200000" scaled="0"/>
              </a:gradFill>
              <a:ln>
                <a:noFill/>
              </a:ln>
              <a:effectLst>
                <a:outerShdw blurRad="40000" dist="23000" dir="5400000" rotWithShape="0">
                  <a:srgbClr val="000000">
                    <a:alpha val="35000"/>
                  </a:srgbClr>
                </a:outerShdw>
              </a:effectLst>
            </c:spPr>
          </c:dPt>
          <c:dLbls>
            <c:dLbl>
              <c:idx val="0"/>
              <c:delete val="1"/>
            </c:dLbl>
            <c:dLbl>
              <c:idx val="1"/>
              <c:delete val="1"/>
            </c:dLbl>
            <c:dLbl>
              <c:idx val="2"/>
              <c:layout>
                <c:manualLayout>
                  <c:x val="0.00187439869773377"/>
                  <c:y val="-0.326576072262015"/>
                </c:manualLayout>
              </c:layout>
              <c:dLblPos val="bestFit"/>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2"/>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a:solidFill>
                        <a:schemeClr val="tx2">
                          <a:lumMod val="35000"/>
                          <a:lumOff val="65000"/>
                        </a:schemeClr>
                      </a:solidFill>
                    </a:ln>
                    <a:effectLst/>
                  </c:spPr>
                </c15:leaderLines>
              </c:ext>
            </c:extLst>
          </c:dLbls>
          <c:cat>
            <c:strRef>
              <c:f>Sheet1!$A$2:$A$4</c:f>
              <c:strCache>
                <c:ptCount val="3"/>
                <c:pt idx="0">
                  <c:v>因公出国（境）费支出</c:v>
                </c:pt>
                <c:pt idx="1">
                  <c:v>公务用车购置及运行维护费支出</c:v>
                </c:pt>
                <c:pt idx="2">
                  <c:v>公务接待费支出</c:v>
                </c:pt>
              </c:strCache>
            </c:strRef>
          </c:cat>
          <c:val>
            <c:numRef>
              <c:f>Sheet1!$B$2:$B$4</c:f>
              <c:numCache>
                <c:formatCode>0%</c:formatCode>
                <c:ptCount val="3"/>
                <c:pt idx="0">
                  <c:v>0</c:v>
                </c:pt>
                <c:pt idx="1">
                  <c:v>0</c:v>
                </c:pt>
                <c:pt idx="2">
                  <c:v>1</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2"/>
              </a:solidFill>
              <a:latin typeface="+mn-lt"/>
              <a:ea typeface="+mn-ea"/>
              <a:cs typeface="+mn-cs"/>
            </a:defRPr>
          </a:pPr>
        </a:p>
      </c:txPr>
    </c:legend>
    <c:plotVisOnly val="1"/>
    <c:dispBlanksAs val="gap"/>
    <c:showDLblsOverMax val="0"/>
  </c:chart>
  <c:spPr>
    <a:solidFill>
      <a:schemeClr val="bg1"/>
    </a:solidFill>
    <a:ln w="9525" cap="flat" cmpd="sng" algn="ctr">
      <a:solidFill>
        <a:schemeClr val="tx2">
          <a:lumMod val="15000"/>
          <a:lumOff val="85000"/>
        </a:schemeClr>
      </a:solidFill>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acrossLinear" id="2">
  <a:schemeClr val="accent1"/>
  <a:schemeClr val="accent2"/>
  <a:schemeClr val="accent3"/>
  <a:schemeClr val="accent4"/>
  <a:schemeClr val="accent5"/>
  <a:schemeClr val="accent6"/>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344">
  <cs:axisTitle>
    <cs:lnRef idx="0"/>
    <cs:fillRef idx="0"/>
    <cs:effectRef idx="0"/>
    <cs:fontRef idx="minor">
      <a:schemeClr val="tx1">
        <a:lumMod val="65000"/>
        <a:lumOff val="35000"/>
      </a:schemeClr>
    </cs:fontRef>
    <cs:defRPr sz="900" kern="1200"/>
  </cs:axisTitle>
  <cs:category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tx1"/>
    </cs:fontRef>
  </cs:dataPoint>
  <cs:dataPoint3D>
    <cs:lnRef idx="0"/>
    <cs:fillRef idx="3">
      <cs:styleClr val="auto"/>
    </cs:fillRef>
    <cs:effectRef idx="3"/>
    <cs:fontRef idx="minor">
      <a:schemeClr val="tx1"/>
    </cs:fontRef>
  </cs:dataPoint3D>
  <cs:dataPointLine>
    <cs:lnRef idx="0">
      <cs:styleClr val="auto"/>
    </cs:lnRef>
    <cs:fillRef idx="3"/>
    <cs:effectRef idx="3"/>
    <cs:fontRef idx="minor">
      <a:schemeClr val="tx1"/>
    </cs:fontRef>
    <cs:spPr>
      <a:ln w="34925" cap="rnd">
        <a:solidFill>
          <a:schemeClr val="phClr"/>
        </a:solidFill>
        <a:round/>
      </a:ln>
    </cs:spPr>
  </cs:dataPointLine>
  <cs:dataPointMarker>
    <cs:lnRef idx="0">
      <cs:styleClr val="auto"/>
    </cs:lnRef>
    <cs:fillRef idx="3">
      <cs:styleClr val="auto"/>
    </cs:fillRef>
    <cs:effectRef idx="3"/>
    <cs:fontRef idx="minor">
      <a:schemeClr val="tx1"/>
    </cs:fontRef>
    <cs:spPr>
      <a:ln w="9525">
        <a:solidFill>
          <a:schemeClr val="phClr"/>
        </a:solidFill>
        <a:round/>
      </a:ln>
    </cs:spPr>
  </cs:dataPointMarker>
  <cs:dataPointMarkerLayout symbol="circle" size="6"/>
  <cs:dataPointWireframe>
    <cs:lnRef idx="0">
      <cs:styleClr val="auto"/>
    </cs:lnRef>
    <cs:fillRef idx="3"/>
    <cs:effectRef idx="3"/>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lt1"/>
    </cs:fontRef>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cs:lnRef idx="0"/>
    <cs:fillRef idx="0"/>
    <cs:effectRef idx="0"/>
    <cs:fontRef idx="minor">
      <a:schemeClr val="lt1"/>
    </cs:fontRef>
  </cs:plotArea>
  <cs:plotArea3D>
    <cs:lnRef idx="0"/>
    <cs:fillRef idx="0"/>
    <cs:effectRef idx="0"/>
    <cs:fontRef idx="minor">
      <a:schemeClr val="lt1"/>
    </cs:fontRef>
  </cs:plotArea3D>
  <cs:series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baseline="0"/>
  </cs:title>
  <cs:trendline>
    <cs:lnRef idx="0">
      <cs:styleClr val="auto"/>
    </cs:lnRef>
    <cs:fillRef idx="0"/>
    <cs:effectRef idx="0"/>
    <cs:fontRef idx="minor">
      <a:schemeClr val="lt1"/>
    </cs:fontRef>
    <cs:spPr>
      <a:ln w="19050"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lt1"/>
    </cs:fontRef>
  </cs:wall>
</cs:chartStyle>
</file>

<file path=word/charts/style2.xml><?xml version="1.0" encoding="utf-8"?>
<cs:chartStyle xmlns:cs="http://schemas.microsoft.com/office/drawing/2012/chartStyle" xmlns:a="http://schemas.openxmlformats.org/drawingml/2006/main" id="261">
  <cs:axisTitle>
    <cs:lnRef idx="0"/>
    <cs:fillRef idx="0"/>
    <cs:effectRef idx="0"/>
    <cs:fontRef idx="minor">
      <a:schemeClr val="dk1">
        <a:lumMod val="65000"/>
        <a:lumOff val="35000"/>
      </a:schemeClr>
    </cs:fontRef>
    <cs:defRPr sz="900" kern="1200"/>
  </cs:axisTitle>
  <cs:categoryAxis>
    <cs:lnRef idx="0"/>
    <cs:fillRef idx="0"/>
    <cs:effectRef idx="0"/>
    <cs:fontRef idx="minor">
      <a:schemeClr val="dk1">
        <a:lumMod val="65000"/>
        <a:lumOff val="35000"/>
      </a:schemeClr>
    </cs:fontRef>
    <cs:defRPr sz="900" kern="1200"/>
  </cs:categoryAxis>
  <cs:chartArea>
    <cs:lnRef idx="0"/>
    <cs:fillRef idx="0"/>
    <cs:effectRef idx="0"/>
    <cs:fontRef idx="minor">
      <a:schemeClr val="dk1"/>
    </cs:fontRef>
    <cs:spPr>
      <a:pattFill prst="dkDnDiag">
        <a:fgClr>
          <a:schemeClr val="lt1">
            <a:lumMod val="95000"/>
          </a:schemeClr>
        </a:fgClr>
        <a:bgClr>
          <a:schemeClr val="lt1"/>
        </a:bgClr>
      </a:pattFill>
      <a:ln w="9525" cap="flat" cmpd="sng" algn="ctr">
        <a:solidFill>
          <a:schemeClr val="dk1">
            <a:lumMod val="15000"/>
            <a:lumOff val="85000"/>
          </a:schemeClr>
        </a:solidFill>
        <a:round/>
      </a:ln>
    </cs:spPr>
    <cs:defRPr sz="900" kern="1200"/>
  </cs:chartArea>
  <cs:dataLabel>
    <cs:lnRef idx="0"/>
    <cs:fillRef idx="0"/>
    <cs:effectRef idx="0"/>
    <cs:fontRef idx="minor">
      <a:schemeClr val="lt1"/>
    </cs:fontRef>
    <cs:defRPr sz="900" b="1" i="0" u="none" strike="noStrike" kern="1200" baseline="0"/>
  </cs:dataLabel>
  <cs:dataLabelCallout>
    <cs:lnRef idx="0"/>
    <cs:fillRef idx="0"/>
    <cs:effectRef idx="0"/>
    <cs:fontRef idx="minor">
      <a:schemeClr val="dk1">
        <a:lumMod val="65000"/>
        <a:lumOff val="35000"/>
      </a:schemeClr>
    </cs:fontRef>
    <cs:spPr>
      <a:solidFill>
        <a:schemeClr val="lt1">
          <a:alpha val="75000"/>
        </a:schemeClr>
      </a:solidFill>
      <a:ln w="9525">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317500" algn="ctr" rotWithShape="0">
          <a:prstClr val="black">
            <a:alpha val="25000"/>
          </a:prstClr>
        </a:outerShdw>
      </a:effectLst>
    </cs:spPr>
  </cs:dataPoint>
  <cs:dataPoint3D>
    <cs:lnRef idx="0"/>
    <cs:fillRef idx="0">
      <cs:styleClr val="auto"/>
    </cs:fillRef>
    <cs:effectRef idx="0"/>
    <cs:fontRef idx="minor">
      <a:schemeClr val="dk1"/>
    </cs:fontRef>
    <cs:spPr>
      <a:solidFill>
        <a:schemeClr val="phClr"/>
      </a:solidFill>
      <a:effectLst>
        <a:outerShdw blurRad="88900" sx="102000" sy="102000" algn="ctr" rotWithShape="0">
          <a:prstClr val="black">
            <a:alpha val="20000"/>
          </a:prstClr>
        </a:outerShdw>
      </a:effectLst>
      <a:scene3d>
        <a:camera prst="orthographicFront"/>
        <a:lightRig rig="threePt" dir="t"/>
      </a:scene3d>
      <a:sp3d prstMaterial="matte"/>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fillRef idx="0">
      <cs:styleClr val="auto"/>
    </cs:fillRef>
    <cs:effectRef idx="0"/>
    <cs:fontRef idx="minor">
      <a:schemeClr val="dk1"/>
    </cs:fontRef>
    <cs:spPr>
      <a:solidFill>
        <a:schemeClr val="phClr"/>
      </a:solidFill>
      <a:ln w="9525">
        <a:solidFill>
          <a:schemeClr val="lt1"/>
        </a:solidFill>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65000"/>
        <a:lumOff val="35000"/>
      </a:schemeClr>
    </cs:fontRef>
    <cs:spPr>
      <a:noFill/>
      <a:ln w="9525" cap="flat" cmpd="sng" algn="ctr">
        <a:solidFill>
          <a:schemeClr val="dk1">
            <a:lumMod val="15000"/>
            <a:lumOff val="85000"/>
          </a:schemeClr>
        </a:solidFill>
        <a:round/>
      </a:ln>
    </cs:spPr>
    <cs:defRPr sz="900" kern="1200"/>
  </cs:dataTable>
  <cs:downBar>
    <cs:lnRef idx="0"/>
    <cs:fillRef idx="0"/>
    <cs:effectRef idx="0"/>
    <cs:fontRef idx="minor">
      <a:schemeClr val="dk1"/>
    </cs:fontRef>
    <cs:spPr>
      <a:solidFill>
        <a:schemeClr val="dk1">
          <a:lumMod val="75000"/>
          <a:lumOff val="25000"/>
        </a:schemeClr>
      </a:solidFill>
      <a:ln w="9525" cap="flat" cmpd="sng" algn="ctr">
        <a:solidFill>
          <a:schemeClr val="dk1">
            <a:lumMod val="65000"/>
            <a:lumOff val="35000"/>
          </a:schemeClr>
        </a:solidFill>
        <a:round/>
      </a:ln>
    </cs:spPr>
  </cs:downBar>
  <cs:dropLine>
    <cs:lnRef idx="0"/>
    <cs:fillRef idx="0"/>
    <cs:effectRef idx="0"/>
    <cs:fontRef idx="minor">
      <a:schemeClr val="dk1"/>
    </cs:fontRef>
    <cs:spPr>
      <a:ln w="9525" cap="flat" cmpd="sng" algn="ctr">
        <a:solidFill>
          <a:schemeClr val="dk1">
            <a:lumMod val="35000"/>
            <a:lumOff val="65000"/>
          </a:schemeClr>
        </a:solidFill>
        <a:round/>
      </a:ln>
    </cs:spPr>
  </cs:dropLine>
  <cs:errorBar>
    <cs:lnRef idx="0"/>
    <cs:fillRef idx="0"/>
    <cs:effectRef idx="0"/>
    <cs:fontRef idx="minor">
      <a:schemeClr val="dk1"/>
    </cs:fontRef>
    <cs:spPr>
      <a:ln w="9525" cap="flat" cmpd="sng" algn="ctr">
        <a:solidFill>
          <a:schemeClr val="dk1">
            <a:lumMod val="65000"/>
            <a:lumOff val="35000"/>
          </a:schemeClr>
        </a:solidFill>
        <a:round/>
      </a:ln>
    </cs:spPr>
  </cs:errorBar>
  <cs:floor>
    <cs:lnRef idx="0"/>
    <cs:fillRef idx="0"/>
    <cs:effectRef idx="0"/>
    <cs:fontRef idx="minor">
      <a:schemeClr val="dk1"/>
    </cs:fontRef>
    <cs:spPr>
      <a:noFill/>
      <a:ln>
        <a:noFill/>
      </a:ln>
    </cs:spPr>
  </cs:floor>
  <cs:gridlineMajor>
    <cs:lnRef idx="0"/>
    <cs:fillRef idx="0"/>
    <cs:effectRef idx="0"/>
    <cs:fontRef idx="minor">
      <a:schemeClr val="dk1"/>
    </cs:fontRef>
    <cs:spPr>
      <a:ln w="9525" cap="flat" cmpd="sng" algn="ctr">
        <a:solidFill>
          <a:schemeClr val="dk1">
            <a:lumMod val="15000"/>
            <a:lumOff val="85000"/>
          </a:schemeClr>
        </a:solidFill>
        <a:round/>
      </a:ln>
    </cs:spPr>
  </cs:gridlineMajor>
  <cs:gridlineMinor>
    <cs:lnRef idx="0"/>
    <cs:fillRef idx="0"/>
    <cs:effectRef idx="0"/>
    <cs:fontRef idx="minor">
      <a:schemeClr val="dk1"/>
    </cs:fontRef>
    <cs:spPr>
      <a:ln w="9525" cap="flat" cmpd="sng" algn="ctr">
        <a:solidFill>
          <a:schemeClr val="dk1">
            <a:lumMod val="5000"/>
            <a:lumOff val="95000"/>
          </a:schemeClr>
        </a:solidFill>
        <a:round/>
      </a:ln>
    </cs:spPr>
  </cs:gridlineMinor>
  <cs:hiLoLine>
    <cs:lnRef idx="0"/>
    <cs:fillRef idx="0"/>
    <cs:effectRef idx="0"/>
    <cs:fontRef idx="minor">
      <a:schemeClr val="dk1"/>
    </cs:fontRef>
    <cs:spPr>
      <a:ln w="9525" cap="flat" cmpd="sng" algn="ctr">
        <a:solidFill>
          <a:schemeClr val="dk1">
            <a:lumMod val="50000"/>
            <a:lumOff val="50000"/>
          </a:schemeClr>
        </a:solidFill>
        <a:round/>
      </a:ln>
    </cs:spPr>
  </cs:hiLoLine>
  <cs:leaderLine>
    <cs:lnRef idx="0"/>
    <cs:fillRef idx="0"/>
    <cs:effectRef idx="0"/>
    <cs:fontRef idx="minor">
      <a:schemeClr val="dk1"/>
    </cs:fontRef>
    <cs:spPr>
      <a:ln w="9525" cap="flat" cmpd="sng" algn="ctr">
        <a:solidFill>
          <a:schemeClr val="dk1">
            <a:lumMod val="35000"/>
            <a:lumOff val="65000"/>
          </a:schemeClr>
        </a:solidFill>
        <a:round/>
      </a:ln>
    </cs:spPr>
  </cs:leaderLine>
  <cs:legend>
    <cs:lnRef idx="0"/>
    <cs:fillRef idx="0"/>
    <cs:effectRef idx="0"/>
    <cs:fontRef idx="minor">
      <a:schemeClr val="dk1">
        <a:lumMod val="65000"/>
        <a:lumOff val="35000"/>
      </a:schemeClr>
    </cs:fontRef>
    <cs:spPr>
      <a:solidFill>
        <a:schemeClr val="lt1">
          <a:alpha val="78000"/>
        </a:schemeClr>
      </a:solidFill>
    </cs:spPr>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dk1">
        <a:lumMod val="65000"/>
        <a:lumOff val="35000"/>
      </a:schemeClr>
    </cs:fontRef>
    <cs:defRPr sz="900" kern="1200"/>
  </cs:seriesAxis>
  <cs:seriesLine>
    <cs:lnRef idx="0"/>
    <cs:fillRef idx="0"/>
    <cs:effectRef idx="0"/>
    <cs:fontRef idx="minor">
      <a:schemeClr val="dk1"/>
    </cs:fontRef>
    <cs:spPr>
      <a:ln w="9525" cap="flat" cmpd="sng" algn="ctr">
        <a:solidFill>
          <a:schemeClr val="dk1">
            <a:lumMod val="35000"/>
            <a:lumOff val="65000"/>
          </a:schemeClr>
        </a:solidFill>
        <a:round/>
      </a:ln>
    </cs:spPr>
  </cs:seriesLine>
  <cs:title>
    <cs:lnRef idx="0"/>
    <cs:fillRef idx="0"/>
    <cs:effectRef idx="0"/>
    <cs:fontRef idx="minor">
      <a:schemeClr val="dk1">
        <a:lumMod val="65000"/>
        <a:lumOff val="35000"/>
      </a:schemeClr>
    </cs:fontRef>
    <cs:defRPr sz="1800" b="1" kern="1200" baseline="0"/>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dk1">
        <a:lumMod val="65000"/>
        <a:lumOff val="35000"/>
      </a:schemeClr>
    </cs:fontRef>
    <cs:defRPr sz="900" kern="1200"/>
  </cs:trendlineLabel>
  <cs:upBar>
    <cs:lnRef idx="0"/>
    <cs:fillRef idx="0"/>
    <cs:effectRef idx="0"/>
    <cs:fontRef idx="minor">
      <a:schemeClr val="dk1"/>
    </cs:fontRef>
    <cs:spPr>
      <a:solidFill>
        <a:schemeClr val="lt1"/>
      </a:solidFill>
      <a:ln w="9525" cap="flat" cmpd="sng" algn="ctr">
        <a:solidFill>
          <a:schemeClr val="dk1">
            <a:lumMod val="65000"/>
            <a:lumOff val="35000"/>
          </a:schemeClr>
        </a:solidFill>
        <a:round/>
      </a:ln>
    </cs:spPr>
  </cs:upBar>
  <cs:valueAxis>
    <cs:lnRef idx="0"/>
    <cs:fillRef idx="0"/>
    <cs:effectRef idx="0"/>
    <cs:fontRef idx="minor">
      <a:schemeClr val="dk1">
        <a:lumMod val="65000"/>
        <a:lumOff val="35000"/>
      </a:schemeClr>
    </cs:fontRef>
    <cs:defRPr sz="900" kern="1200"/>
  </cs:valueAxis>
  <cs:wall>
    <cs:lnRef idx="0"/>
    <cs:fillRef idx="0"/>
    <cs:effectRef idx="0"/>
    <cs:fontRef idx="minor">
      <a:schemeClr val="dk1"/>
    </cs:fontRef>
  </cs:wall>
</cs:chartStyle>
</file>

<file path=word/charts/style3.xml><?xml version="1.0" encoding="utf-8"?>
<cs:chartStyle xmlns:cs="http://schemas.microsoft.com/office/drawing/2012/chartStyle" xmlns:a="http://schemas.openxmlformats.org/drawingml/2006/main" id="255">
  <cs:axisTitle>
    <cs:lnRef idx="0"/>
    <cs:fillRef idx="0"/>
    <cs:effectRef idx="0"/>
    <cs:fontRef idx="minor">
      <a:schemeClr val="tx2"/>
    </cs:fontRef>
    <cs:defRPr sz="900" b="1" kern="1200"/>
  </cs:axisTitle>
  <cs:categoryAxis>
    <cs:lnRef idx="0"/>
    <cs:fillRef idx="0"/>
    <cs:effectRef idx="0"/>
    <cs:fontRef idx="minor">
      <a:schemeClr val="tx2"/>
    </cs:fontRef>
    <cs:spPr>
      <a:ln w="9525" cap="flat" cmpd="sng" algn="ctr">
        <a:solidFill>
          <a:schemeClr val="tx2">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2">
            <a:lumMod val="15000"/>
            <a:lumOff val="85000"/>
          </a:schemeClr>
        </a:solidFill>
        <a:round/>
      </a:ln>
    </cs:spPr>
    <cs:defRPr sz="900" kern="1200"/>
  </cs:chartArea>
  <cs:dataLabel>
    <cs:lnRef idx="0"/>
    <cs:fillRef idx="0"/>
    <cs:effectRef idx="0"/>
    <cs:fontRef idx="minor">
      <a:schemeClr val="tx2"/>
    </cs:fontRef>
    <cs:defRPr sz="900" kern="1200"/>
  </cs:dataLabel>
  <cs:dataLabelCallout>
    <cs:lnRef idx="0"/>
    <cs:fillRef idx="0"/>
    <cs:effectRef idx="0"/>
    <cs:fontRef idx="minor">
      <a:schemeClr val="dk2">
        <a:lumMod val="7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2"/>
    <cs:fontRef idx="minor">
      <a:schemeClr val="tx2"/>
    </cs:fontRef>
  </cs:dataPoint>
  <cs:dataPoint3D>
    <cs:lnRef idx="0"/>
    <cs:fillRef idx="3">
      <cs:styleClr val="auto"/>
    </cs:fillRef>
    <cs:effectRef idx="2"/>
    <cs:fontRef idx="minor">
      <a:schemeClr val="tx2"/>
    </cs:fontRef>
  </cs:dataPoint3D>
  <cs:dataPointLine>
    <cs:lnRef idx="0">
      <cs:styleClr val="auto"/>
    </cs:lnRef>
    <cs:fillRef idx="3"/>
    <cs:effectRef idx="2"/>
    <cs:fontRef idx="minor">
      <a:schemeClr val="tx2"/>
    </cs:fontRef>
    <cs:spPr>
      <a:ln w="31750" cap="rnd">
        <a:solidFill>
          <a:schemeClr val="phClr"/>
        </a:solidFill>
        <a:round/>
      </a:ln>
    </cs:spPr>
  </cs:dataPointLine>
  <cs:dataPointMarker>
    <cs:lnRef idx="0"/>
    <cs:fillRef idx="3">
      <cs:styleClr val="auto"/>
    </cs:fillRef>
    <cs:effectRef idx="2"/>
    <cs:fontRef idx="minor">
      <a:schemeClr val="tx2"/>
    </cs:fontRef>
    <cs:spPr>
      <a:ln w="12700">
        <a:solidFill>
          <a:schemeClr val="lt2"/>
        </a:solidFill>
        <a:round/>
      </a:ln>
    </cs:spPr>
  </cs:dataPointMarker>
  <cs:dataPointMarkerLayout symbol="circle" size="6"/>
  <cs:dataPointWireframe>
    <cs:lnRef idx="0">
      <cs:styleClr val="auto"/>
    </cs:lnRef>
    <cs:fillRef idx="3"/>
    <cs:effectRef idx="2"/>
    <cs:fontRef idx="minor">
      <a:schemeClr val="tx2"/>
    </cs:fontRef>
    <cs:spPr>
      <a:ln w="9525" cap="rnd">
        <a:solidFill>
          <a:schemeClr val="phClr"/>
        </a:solidFill>
        <a:round/>
      </a:ln>
    </cs:spPr>
  </cs:dataPointWireframe>
  <cs:dataTable>
    <cs:lnRef idx="0"/>
    <cs:fillRef idx="0"/>
    <cs:effectRef idx="0"/>
    <cs:fontRef idx="minor">
      <a:schemeClr val="tx2"/>
    </cs:fontRef>
    <cs:spPr>
      <a:ln w="9525">
        <a:solidFill>
          <a:schemeClr val="tx2">
            <a:lumMod val="15000"/>
            <a:lumOff val="85000"/>
          </a:schemeClr>
        </a:solidFill>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2"/>
    </cs:fontRef>
    <cs:spPr>
      <a:ln w="9525">
        <a:solidFill>
          <a:schemeClr val="tx2">
            <a:lumMod val="60000"/>
            <a:lumOff val="40000"/>
          </a:schemeClr>
        </a:solidFill>
        <a:prstDash val="dash"/>
      </a:ln>
    </cs:spPr>
  </cs:dropLine>
  <cs:errorBar>
    <cs:lnRef idx="0"/>
    <cs:fillRef idx="0"/>
    <cs:effectRef idx="0"/>
    <cs:fontRef idx="minor">
      <a:schemeClr val="tx2"/>
    </cs:fontRef>
    <cs:spPr>
      <a:ln w="9525">
        <a:solidFill>
          <a:schemeClr val="tx2">
            <a:lumMod val="75000"/>
          </a:schemeClr>
        </a:solidFill>
        <a:round/>
      </a:ln>
    </cs:spPr>
  </cs:errorBar>
  <cs:floor>
    <cs:lnRef idx="0"/>
    <cs:fillRef idx="0"/>
    <cs:effectRef idx="0"/>
    <cs:fontRef idx="minor">
      <a:schemeClr val="tx2"/>
    </cs:fontRef>
  </cs:floor>
  <cs:gridlineMajor>
    <cs:lnRef idx="0"/>
    <cs:fillRef idx="0"/>
    <cs:effectRef idx="0"/>
    <cs:fontRef idx="minor">
      <a:schemeClr val="tx2"/>
    </cs:fontRef>
    <cs:spPr>
      <a:ln w="9525" cap="flat" cmpd="sng" algn="ctr">
        <a:solidFill>
          <a:schemeClr val="tx2">
            <a:lumMod val="15000"/>
            <a:lumOff val="85000"/>
          </a:schemeClr>
        </a:solidFill>
        <a:round/>
      </a:ln>
    </cs:spPr>
  </cs:gridlineMajor>
  <cs:gridlineMinor>
    <cs:lnRef idx="0"/>
    <cs:fillRef idx="0"/>
    <cs:effectRef idx="0"/>
    <cs:fontRef idx="minor">
      <a:schemeClr val="tx2"/>
    </cs:fontRef>
    <cs:spPr>
      <a:ln>
        <a:solidFill>
          <a:schemeClr val="tx2">
            <a:lumMod val="5000"/>
            <a:lumOff val="95000"/>
          </a:schemeClr>
        </a:solidFill>
      </a:ln>
    </cs:spPr>
  </cs:gridlineMinor>
  <cs:hiLoLine>
    <cs:lnRef idx="0"/>
    <cs:fillRef idx="0"/>
    <cs:effectRef idx="0"/>
    <cs:fontRef idx="minor">
      <a:schemeClr val="tx2"/>
    </cs:fontRef>
    <cs:spPr>
      <a:ln w="9525">
        <a:solidFill>
          <a:schemeClr val="tx2">
            <a:lumMod val="60000"/>
            <a:lumOff val="40000"/>
          </a:schemeClr>
        </a:solidFill>
        <a:prstDash val="dash"/>
      </a:ln>
    </cs:spPr>
  </cs:hiLoLine>
  <cs:leaderLine>
    <cs:lnRef idx="0"/>
    <cs:fillRef idx="0"/>
    <cs:effectRef idx="0"/>
    <cs:fontRef idx="minor">
      <a:schemeClr val="tx2"/>
    </cs:fontRef>
    <cs:spPr>
      <a:ln w="9525">
        <a:solidFill>
          <a:schemeClr val="tx2">
            <a:lumMod val="35000"/>
            <a:lumOff val="65000"/>
          </a:schemeClr>
        </a:solidFill>
      </a:ln>
    </cs:spPr>
  </cs:leaderLine>
  <cs:legend>
    <cs:lnRef idx="0"/>
    <cs:fillRef idx="0"/>
    <cs:effectRef idx="0"/>
    <cs:fontRef idx="minor">
      <a:schemeClr val="tx2"/>
    </cs:fontRef>
    <cs:defRPr sz="900" kern="1200"/>
  </cs:legend>
  <cs:plotArea>
    <cs:lnRef idx="0"/>
    <cs:fillRef idx="0"/>
    <cs:effectRef idx="0"/>
    <cs:fontRef idx="minor">
      <a:schemeClr val="tx2"/>
    </cs:fontRef>
  </cs:plotArea>
  <cs:plotArea3D>
    <cs:lnRef idx="0"/>
    <cs:fillRef idx="0"/>
    <cs:effectRef idx="0"/>
    <cs:fontRef idx="minor">
      <a:schemeClr val="tx2"/>
    </cs:fontRef>
  </cs:plotArea3D>
  <cs:seriesAxis>
    <cs:lnRef idx="0"/>
    <cs:fillRef idx="0"/>
    <cs:effectRef idx="0"/>
    <cs:fontRef idx="minor">
      <a:schemeClr val="tx2"/>
    </cs:fontRef>
    <cs:spPr>
      <a:ln w="9525" cap="flat" cmpd="sng" algn="ctr">
        <a:solidFill>
          <a:schemeClr val="tx2">
            <a:lumMod val="15000"/>
            <a:lumOff val="85000"/>
          </a:schemeClr>
        </a:solidFill>
        <a:round/>
      </a:ln>
    </cs:spPr>
    <cs:defRPr sz="900" kern="1200"/>
  </cs:seriesAxis>
  <cs:seriesLine>
    <cs:lnRef idx="0"/>
    <cs:fillRef idx="0"/>
    <cs:effectRef idx="0"/>
    <cs:fontRef idx="minor">
      <a:schemeClr val="tx2"/>
    </cs:fontRef>
    <cs:spPr>
      <a:ln w="9525">
        <a:solidFill>
          <a:schemeClr val="tx2">
            <a:lumMod val="60000"/>
            <a:lumOff val="40000"/>
          </a:schemeClr>
        </a:solidFill>
        <a:prstDash val="dash"/>
      </a:ln>
    </cs:spPr>
  </cs:seriesLine>
  <cs:title>
    <cs:lnRef idx="0"/>
    <cs:fillRef idx="0"/>
    <cs:effectRef idx="0"/>
    <cs:fontRef idx="minor">
      <a:schemeClr val="tx2"/>
    </cs:fontRef>
    <cs:defRPr sz="1600" b="1" kern="1200"/>
  </cs:title>
  <cs:trendline>
    <cs:lnRef idx="0">
      <cs:styleClr val="auto"/>
    </cs:lnRef>
    <cs:fillRef idx="0"/>
    <cs:effectRef idx="0"/>
    <cs:fontRef idx="minor">
      <a:schemeClr val="tx2"/>
    </cs:fontRef>
    <cs:spPr>
      <a:ln w="19050" cap="rnd">
        <a:solidFill>
          <a:schemeClr val="phClr"/>
        </a:solidFill>
        <a:prstDash val="sysDash"/>
      </a:ln>
    </cs:spPr>
  </cs:trendline>
  <cs:trendlineLabel>
    <cs:lnRef idx="0"/>
    <cs:fillRef idx="0"/>
    <cs:effectRef idx="0"/>
    <cs:fontRef idx="minor">
      <a:schemeClr val="tx2"/>
    </cs:fontRef>
    <cs:defRPr sz="900" kern="1200"/>
  </cs:trendlineLabel>
  <cs:upBar>
    <cs:lnRef idx="0"/>
    <cs:fillRef idx="0"/>
    <cs:effectRef idx="0"/>
    <cs:fontRef idx="minor">
      <a:schemeClr val="tx2"/>
    </cs:fontRef>
    <cs:spPr>
      <a:solidFill>
        <a:schemeClr val="lt1"/>
      </a:solidFill>
      <a:ln w="9525">
        <a:solidFill>
          <a:schemeClr val="tx1">
            <a:lumMod val="15000"/>
            <a:lumOff val="85000"/>
          </a:schemeClr>
        </a:solidFill>
      </a:ln>
    </cs:spPr>
  </cs:upBar>
  <cs:valueAxis>
    <cs:lnRef idx="0"/>
    <cs:fillRef idx="0"/>
    <cs:effectRef idx="0"/>
    <cs:fontRef idx="minor">
      <a:schemeClr val="tx2"/>
    </cs:fontRef>
    <cs:defRPr sz="900" kern="1200"/>
  </cs:valueAxis>
  <cs:wall>
    <cs:lnRef idx="0"/>
    <cs:fillRef idx="0"/>
    <cs:effectRef idx="0"/>
    <cs:fontRef idx="minor">
      <a:schemeClr val="tx2"/>
    </cs:fontRef>
  </cs:wall>
</cs:chartStyle>
</file>

<file path=word/charts/style4.xml><?xml version="1.0" encoding="utf-8"?>
<cs:chartStyle xmlns:cs="http://schemas.microsoft.com/office/drawing/2012/chartStyle" xmlns:a="http://schemas.openxmlformats.org/drawingml/2006/main" id="258">
  <cs:axisTitle>
    <cs:lnRef idx="0"/>
    <cs:fillRef idx="0"/>
    <cs:effectRef idx="0"/>
    <cs:fontRef idx="minor">
      <a:schemeClr val="tx1">
        <a:lumMod val="65000"/>
        <a:lumOff val="35000"/>
      </a:schemeClr>
    </cs:fontRef>
    <cs:defRPr sz="900" kern="1200"/>
  </cs:axisTitle>
  <cs:categoryAxis>
    <cs:lnRef idx="0"/>
    <cs:fillRef idx="0"/>
    <cs:effectRef idx="0"/>
    <cs:fontRef idx="minor">
      <a:schemeClr val="tx1">
        <a:lumMod val="65000"/>
        <a:lumOff val="35000"/>
      </a:schemeClr>
    </cs:fontRef>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lt1"/>
    </cs:fontRef>
    <cs:defRPr sz="900" b="1"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tx1"/>
    </cs:fontRef>
    <cs:spPr>
      <a:solidFill>
        <a:schemeClr val="phClr"/>
      </a:solidFill>
      <a:scene3d>
        <a:camera prst="orthographicFront"/>
        <a:lightRig rig="brightRoom" dir="t"/>
      </a:scene3d>
      <a:sp3d prstMaterial="flat">
        <a:bevelT w="50800" h="101600" prst="angle"/>
        <a:contourClr>
          <a:srgbClr val="000000"/>
        </a:contourClr>
      </a:sp3d>
    </cs:spPr>
  </cs:dataPoint>
  <cs:dataPoint3D>
    <cs:lnRef idx="0"/>
    <cs:fillRef idx="0">
      <cs:styleClr val="auto"/>
    </cs:fillRef>
    <cs:effectRef idx="0"/>
    <cs:fontRef idx="minor">
      <a:schemeClr val="tx1"/>
    </cs:fontRef>
    <cs:spPr>
      <a:solidFill>
        <a:schemeClr val="phClr"/>
      </a:solidFill>
      <a:ln w="1905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fillRef idx="0">
      <cs:styleClr val="auto"/>
    </cs:fillRef>
    <cs:effectRef idx="0"/>
    <cs:fontRef idx="minor">
      <a:schemeClr val="tx1"/>
    </cs:fontRef>
    <cs:spPr>
      <a:solidFill>
        <a:schemeClr val="phClr"/>
      </a:solidFill>
      <a:ln w="9525">
        <a:solidFill>
          <a:schemeClr val="lt1"/>
        </a:solidFill>
      </a:ln>
    </cs:spPr>
  </cs:dataPointMarker>
  <cs:dataPointMarkerLayout symbol="circle" size="6"/>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1" i="0" kern="1200" cap="all" spc="50" baseline="0"/>
  </cs:title>
  <cs:trendline>
    <cs:lnRef idx="0">
      <cs:styleClr val="auto"/>
    </cs:lnRef>
    <cs:fillRef idx="0"/>
    <cs:effectRef idx="0"/>
    <cs:fontRef idx="minor">
      <a:schemeClr val="tx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04">
  <cs:axisTitle>
    <cs:lnRef idx="0"/>
    <cs:fillRef idx="0"/>
    <cs:effectRef idx="0"/>
    <cs:fontRef idx="minor">
      <a:schemeClr val="dk1">
        <a:lumMod val="65000"/>
        <a:lumOff val="35000"/>
      </a:schemeClr>
    </cs:fontRef>
    <cs:defRPr sz="900" b="1" kern="1200"/>
  </cs:axisTitle>
  <cs:categoryAxis>
    <cs:lnRef idx="0"/>
    <cs:fillRef idx="0"/>
    <cs:effectRef idx="0"/>
    <cs:fontRef idx="minor">
      <a:schemeClr val="dk1">
        <a:lumMod val="65000"/>
        <a:lumOff val="35000"/>
      </a:schemeClr>
    </cs:fontRef>
    <cs:defRPr sz="900" kern="1200">
      <a:effectLst/>
    </cs:defRPr>
  </cs:categoryAxis>
  <cs:chartArea>
    <cs:lnRef idx="0"/>
    <cs:fillRef idx="0"/>
    <cs:effectRef idx="0"/>
    <cs:fontRef idx="minor">
      <a:schemeClr val="dk1"/>
    </cs:fontRef>
    <cs:spPr>
      <a:gradFill flip="none" rotWithShape="1">
        <a:gsLst>
          <a:gs pos="0">
            <a:schemeClr val="lt1"/>
          </a:gs>
          <a:gs pos="68000">
            <a:schemeClr val="lt1">
              <a:lumMod val="85000"/>
            </a:schemeClr>
          </a:gs>
          <a:gs pos="100000">
            <a:schemeClr val="lt1"/>
          </a:gs>
        </a:gsLst>
        <a:lin ang="5400000" scaled="1"/>
      </a:gradFill>
      <a:ln w="9525" cap="flat" cmpd="sng" algn="ctr">
        <a:solidFill>
          <a:schemeClr val="dk1">
            <a:lumMod val="15000"/>
            <a:lumOff val="85000"/>
          </a:schemeClr>
        </a:solidFill>
        <a:round/>
      </a:ln>
    </cs:spPr>
    <cs:defRPr sz="1000" kern="1200"/>
  </cs:chartArea>
  <cs:dataLabel>
    <cs:lnRef idx="0"/>
    <cs:fillRef idx="0"/>
    <cs:effectRef idx="0"/>
    <cs:fontRef idx="minor">
      <a:schemeClr val="lt1"/>
    </cs:fontRef>
    <cs:defRPr sz="1000" b="1" i="0" u="none" strike="noStrike" kern="1200" baseline="0"/>
  </cs:dataLabel>
  <cs:dataLabelCallout>
    <cs:lnRef idx="0"/>
    <cs:fillRef idx="0"/>
    <cs:effectRef idx="0"/>
    <cs:fontRef idx="minor">
      <a:schemeClr val="lt1"/>
    </cs:fontRef>
    <cs:spPr>
      <a:solidFill>
        <a:schemeClr val="dk1">
          <a:lumMod val="65000"/>
          <a:lumOff val="35000"/>
          <a:alpha val="75000"/>
        </a:schemeClr>
      </a:solidFill>
    </cs:spPr>
    <cs:defRPr sz="1000" b="1" kern="1200"/>
    <cs:bodyPr rot="0" spcFirstLastPara="1" vertOverflow="clip" horzOverflow="clip" vert="horz" wrap="square" lIns="36576" tIns="18288" rIns="36576" bIns="18288" anchor="ctr" anchorCtr="1">
      <a:spAutoFit/>
    </cs:bodyPr>
  </cs:dataLabelCallout>
  <cs:dataPoint>
    <cs:lnRef idx="0">
      <cs:styleClr val="auto"/>
    </cs:lnRef>
    <cs:fillRef idx="0">
      <cs:styleClr val="auto"/>
    </cs:fillRef>
    <cs:effectRef idx="0"/>
    <cs:fontRef idx="minor">
      <a:schemeClr val="dk1"/>
    </cs:fontRef>
    <cs:spPr>
      <a:gradFill>
        <a:gsLst>
          <a:gs pos="0">
            <a:schemeClr val="phClr"/>
          </a:gs>
          <a:gs pos="100000">
            <a:schemeClr val="phClr">
              <a:lumMod val="84000"/>
            </a:schemeClr>
          </a:gs>
        </a:gsLst>
        <a:lin ang="5400000" scaled="1"/>
      </a:gradFill>
      <a:effectLst>
        <a:outerShdw blurRad="76200" dir="18900000" sy="23000" kx="-1200000" algn="bl" rotWithShape="0">
          <a:prstClr val="black">
            <a:alpha val="20000"/>
          </a:prstClr>
        </a:outerShdw>
      </a:effectLst>
    </cs:spPr>
  </cs:dataPoint>
  <cs:dataPoint3D>
    <cs:lnRef idx="0"/>
    <cs:fillRef idx="0">
      <cs:styleClr val="auto"/>
    </cs:fillRef>
    <cs:effectRef idx="0"/>
    <cs:fontRef idx="minor">
      <a:schemeClr val="dk1"/>
    </cs:fontRef>
    <cs:spPr>
      <a:gradFill>
        <a:gsLst>
          <a:gs pos="0">
            <a:schemeClr val="phClr"/>
          </a:gs>
          <a:gs pos="100000">
            <a:schemeClr val="phClr">
              <a:lumMod val="84000"/>
            </a:schemeClr>
          </a:gs>
        </a:gsLst>
        <a:lin ang="5400000" scaled="1"/>
      </a:gradFill>
      <a:effectLst>
        <a:outerShdw blurRad="76200" dir="18900000" sy="23000" kx="-1200000" algn="bl" rotWithShape="0">
          <a:prstClr val="black">
            <a:alpha val="20000"/>
          </a:prstClr>
        </a:outerShdw>
      </a:effectLst>
    </cs:spPr>
  </cs:dataPoint3D>
  <cs:dataPointLine>
    <cs:lnRef idx="0">
      <cs:styleClr val="auto"/>
    </cs:lnRef>
    <cs:fillRef idx="0"/>
    <cs:effectRef idx="0"/>
    <cs:fontRef idx="minor">
      <a:schemeClr val="dk1"/>
    </cs:fontRef>
    <cs:spPr>
      <a:ln w="28575" cap="rnd">
        <a:gradFill>
          <a:gsLst>
            <a:gs pos="0">
              <a:schemeClr val="phClr"/>
            </a:gs>
            <a:gs pos="100000">
              <a:schemeClr val="phClr">
                <a:lumMod val="84000"/>
              </a:schemeClr>
            </a:gs>
          </a:gsLst>
          <a:lin ang="5400000" scaled="1"/>
        </a:gradFill>
        <a:round/>
      </a:ln>
    </cs:spPr>
  </cs:dataPointLine>
  <cs:dataPointMarker>
    <cs:lnRef idx="0"/>
    <cs:fillRef idx="0">
      <cs:styleClr val="auto"/>
    </cs:fillRef>
    <cs:effectRef idx="0"/>
    <cs:fontRef idx="minor">
      <a:schemeClr val="dk1"/>
    </cs:fontRef>
    <cs:spPr>
      <a:gradFill>
        <a:gsLst>
          <a:gs pos="0">
            <a:schemeClr val="phClr"/>
          </a:gs>
          <a:gs pos="100000">
            <a:schemeClr val="phClr">
              <a:lumMod val="84000"/>
            </a:schemeClr>
          </a:gs>
        </a:gsLst>
        <a:lin ang="5400000" scaled="1"/>
      </a:gradFill>
      <a:effectLst>
        <a:outerShdw blurRad="76200" dir="18900000" sy="23000" kx="-1200000" algn="bl" rotWithShape="0">
          <a:prstClr val="black">
            <a:alpha val="20000"/>
          </a:prstClr>
        </a:outerShdw>
      </a:effectLst>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65000"/>
        <a:lumOff val="35000"/>
      </a:schemeClr>
    </cs:fontRef>
    <cs:spPr>
      <a:ln w="9525">
        <a:solidFill>
          <a:schemeClr val="dk1">
            <a:lumMod val="15000"/>
            <a:lumOff val="85000"/>
          </a:schemeClr>
        </a:solidFill>
      </a:ln>
    </cs:spPr>
    <cs:defRPr sz="900" kern="1200"/>
  </cs:dataTable>
  <cs:downBar>
    <cs:lnRef idx="0"/>
    <cs:fillRef idx="0"/>
    <cs:effectRef idx="0"/>
    <cs:fontRef idx="minor">
      <a:schemeClr val="dk1"/>
    </cs:fontRef>
    <cs:spPr>
      <a:solidFill>
        <a:schemeClr val="dk1">
          <a:lumMod val="35000"/>
          <a:lumOff val="65000"/>
        </a:schemeClr>
      </a:solidFill>
      <a:ln w="9525">
        <a:solidFill>
          <a:schemeClr val="dk1">
            <a:lumMod val="50000"/>
            <a:lumOff val="50000"/>
          </a:schemeClr>
        </a:solidFill>
      </a:ln>
    </cs:spPr>
  </cs:downBar>
  <cs:dropLine>
    <cs:lnRef idx="0"/>
    <cs:fillRef idx="0"/>
    <cs:effectRef idx="0"/>
    <cs:fontRef idx="minor">
      <a:schemeClr val="dk1"/>
    </cs:fontRef>
    <cs:spPr>
      <a:ln w="9525">
        <a:solidFill>
          <a:schemeClr val="dk1">
            <a:lumMod val="50000"/>
            <a:lumOff val="50000"/>
          </a:schemeClr>
        </a:solidFill>
        <a:round/>
      </a:ln>
    </cs:spPr>
  </cs:dropLine>
  <cs:errorBar>
    <cs:lnRef idx="0"/>
    <cs:fillRef idx="0"/>
    <cs:effectRef idx="0"/>
    <cs:fontRef idx="minor">
      <a:schemeClr val="dk1"/>
    </cs:fontRef>
    <cs:spPr>
      <a:ln w="9525">
        <a:solidFill>
          <a:schemeClr val="dk1">
            <a:lumMod val="50000"/>
            <a:lumOff val="50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dk1">
            <a:lumMod val="15000"/>
            <a:lumOff val="85000"/>
          </a:schemeClr>
        </a:solidFill>
        <a:round/>
      </a:ln>
    </cs:spPr>
  </cs:gridlineMajor>
  <cs:gridlineMinor>
    <cs:lnRef idx="0"/>
    <cs:fillRef idx="0"/>
    <cs:effectRef idx="0"/>
    <cs:fontRef idx="minor">
      <a:schemeClr val="dk1"/>
    </cs:fontRef>
    <cs:spPr>
      <a:ln>
        <a:solidFill>
          <a:schemeClr val="dk1">
            <a:lumMod val="5000"/>
            <a:lumOff val="95000"/>
          </a:schemeClr>
        </a:solidFill>
      </a:ln>
    </cs:spPr>
  </cs:gridlineMinor>
  <cs:hiLoLine>
    <cs:lnRef idx="0"/>
    <cs:fillRef idx="0"/>
    <cs:effectRef idx="0"/>
    <cs:fontRef idx="minor">
      <a:schemeClr val="dk1"/>
    </cs:fontRef>
    <cs:spPr>
      <a:ln w="9525">
        <a:solidFill>
          <a:schemeClr val="dk1">
            <a:lumMod val="50000"/>
            <a:lumOff val="50000"/>
          </a:schemeClr>
        </a:solidFill>
        <a:round/>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65000"/>
        <a:lumOff val="35000"/>
      </a:schemeClr>
    </cs:fontRef>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65000"/>
        <a:lumOff val="35000"/>
      </a:schemeClr>
    </cs:fontRef>
    <cs:spPr>
      <a:ln w="9525" cap="flat" cmpd="sng" algn="ctr">
        <a:solidFill>
          <a:schemeClr val="dk1">
            <a:lumMod val="15000"/>
            <a:lumOff val="8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65000"/>
        <a:lumOff val="35000"/>
      </a:schemeClr>
    </cs:fontRef>
    <cs:defRPr kern="1200">
      <a:effectLst/>
    </cs:defRPr>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dk1">
        <a:lumMod val="65000"/>
        <a:lumOff val="35000"/>
      </a:schemeClr>
    </cs:fontRef>
    <cs:defRPr sz="900" kern="1200"/>
  </cs:trendlineLabel>
  <cs:upBar>
    <cs:lnRef idx="0"/>
    <cs:fillRef idx="0"/>
    <cs:effectRef idx="0"/>
    <cs:fontRef idx="minor">
      <a:schemeClr val="dk1"/>
    </cs:fontRef>
    <cs:spPr>
      <a:solidFill>
        <a:schemeClr val="lt1">
          <a:lumMod val="95000"/>
        </a:schemeClr>
      </a:solidFill>
      <a:ln w="9525">
        <a:solidFill>
          <a:schemeClr val="dk1">
            <a:lumMod val="15000"/>
            <a:lumOff val="85000"/>
          </a:schemeClr>
        </a:solidFill>
      </a:ln>
    </cs:spPr>
  </cs:upBar>
  <cs:valueAxis>
    <cs:lnRef idx="0"/>
    <cs:fillRef idx="0"/>
    <cs:effectRef idx="0"/>
    <cs:fontRef idx="minor">
      <a:schemeClr val="dk1">
        <a:lumMod val="65000"/>
        <a:lumOff val="35000"/>
      </a:schemeClr>
    </cs:fontRef>
    <cs:defRPr sz="900" kern="1200"/>
  </cs:valueAxis>
  <cs:wall>
    <cs:lnRef idx="0"/>
    <cs:fillRef idx="0"/>
    <cs:effectRef idx="0"/>
    <cs:fontRef idx="minor">
      <a:schemeClr val="dk1"/>
    </cs:fontRef>
  </cs:wall>
</cs:chartStyle>
</file>

<file path=word/charts/style6.xml><?xml version="1.0" encoding="utf-8"?>
<cs:chartStyle xmlns:cs="http://schemas.microsoft.com/office/drawing/2012/chartStyle" xmlns:a="http://schemas.openxmlformats.org/drawingml/2006/main" id="205">
  <cs:axisTitle>
    <cs:lnRef idx="0"/>
    <cs:fillRef idx="0"/>
    <cs:effectRef idx="0"/>
    <cs:fontRef idx="minor">
      <a:schemeClr val="dk1">
        <a:lumMod val="75000"/>
        <a:lumOff val="25000"/>
      </a:schemeClr>
    </cs:fontRef>
    <cs:defRPr sz="900" b="1" kern="1200"/>
  </cs:axisTitle>
  <cs:categoryAxis>
    <cs:lnRef idx="0"/>
    <cs:fillRef idx="0"/>
    <cs:effectRef idx="0"/>
    <cs:fontRef idx="minor">
      <a:schemeClr val="dk1">
        <a:lumMod val="75000"/>
        <a:lumOff val="25000"/>
      </a:schemeClr>
    </cs:fontRef>
    <cs:spPr>
      <a:ln w="19050" cap="flat" cmpd="sng" algn="ctr">
        <a:solidFill>
          <a:schemeClr val="dk1">
            <a:lumMod val="75000"/>
            <a:lumOff val="25000"/>
          </a:schemeClr>
        </a:solidFill>
        <a:round/>
      </a:ln>
    </cs:spPr>
    <cs:defRPr sz="900" kern="1200" cap="all" baseline="0"/>
  </cs:categoryAxis>
  <cs:chartArea>
    <cs:lnRef idx="0"/>
    <cs:fillRef idx="0"/>
    <cs:effectRef idx="0"/>
    <cs:fontRef idx="minor">
      <a:schemeClr val="dk1"/>
    </cs:fontRef>
    <cs:spPr>
      <a:gradFill flip="none" rotWithShape="1">
        <a:gsLst>
          <a:gs pos="0">
            <a:schemeClr val="lt1"/>
          </a:gs>
          <a:gs pos="39000">
            <a:schemeClr val="lt1"/>
          </a:gs>
          <a:gs pos="100000">
            <a:schemeClr val="lt1">
              <a:lumMod val="75000"/>
            </a:schemeClr>
          </a:gs>
        </a:gsLst>
        <a:path path="circle">
          <a:fillToRect l="50000" t="-80000" r="50000" b="180000"/>
        </a:path>
      </a:gradFill>
      <a:ln w="9525" cap="flat" cmpd="sng" algn="ctr">
        <a:solidFill>
          <a:schemeClr val="dk1">
            <a:lumMod val="25000"/>
            <a:lumOff val="75000"/>
          </a:schemeClr>
        </a:solidFill>
        <a:round/>
      </a:ln>
    </cs:spPr>
    <cs:defRPr sz="900" kern="1200"/>
  </cs:chartArea>
  <cs:dataLabel>
    <cs:lnRef idx="0"/>
    <cs:fillRef idx="0"/>
    <cs:effectRef idx="0"/>
    <cs:fontRef idx="minor">
      <a:schemeClr val="lt1"/>
    </cs:fontRef>
    <cs:defRPr sz="900" b="1" i="0" u="none" strike="noStrike" kern="1200" baseline="0"/>
  </cs:dataLabel>
  <cs:dataLabelCallout>
    <cs:lnRef idx="0"/>
    <cs:fillRef idx="0"/>
    <cs:effectRef idx="0"/>
    <cs:fontRef idx="minor">
      <a:schemeClr val="lt1"/>
    </cs:fontRef>
    <cs:spPr>
      <a:solidFill>
        <a:schemeClr val="dk1">
          <a:lumMod val="65000"/>
          <a:lumOff val="35000"/>
          <a:alpha val="75000"/>
        </a:schemeClr>
      </a:solidFill>
    </cs:spPr>
    <cs:defRPr sz="900" b="1"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alpha val="85000"/>
        </a:schemeClr>
      </a:solidFill>
      <a:ln w="9525" cap="flat" cmpd="sng" algn="ctr">
        <a:solidFill>
          <a:schemeClr val="lt1">
            <a:alpha val="50000"/>
          </a:schemeClr>
        </a:solidFill>
        <a:round/>
      </a:ln>
    </cs:spPr>
  </cs:dataPoint>
  <cs:dataPoint3D>
    <cs:lnRef idx="0"/>
    <cs:fillRef idx="0">
      <cs:styleClr val="auto"/>
    </cs:fillRef>
    <cs:effectRef idx="0"/>
    <cs:fontRef idx="minor">
      <a:schemeClr val="dk1"/>
    </cs:fontRef>
    <cs:spPr>
      <a:solidFill>
        <a:schemeClr val="phClr">
          <a:alpha val="85000"/>
        </a:schemeClr>
      </a:solidFill>
      <a:ln w="9525" cap="flat" cmpd="sng" algn="ctr">
        <a:solidFill>
          <a:schemeClr val="lt1">
            <a:alpha val="50000"/>
          </a:schemeClr>
        </a:solidFill>
        <a:round/>
      </a:ln>
    </cs:spPr>
  </cs:dataPoint3D>
  <cs:dataPointLine>
    <cs:lnRef idx="0">
      <cs:styleClr val="auto"/>
    </cs:lnRef>
    <cs:fillRef idx="0"/>
    <cs:effectRef idx="0"/>
    <cs:fontRef idx="minor">
      <a:schemeClr val="dk1"/>
    </cs:fontRef>
    <cs:spPr>
      <a:ln w="31750" cap="rnd">
        <a:solidFill>
          <a:schemeClr val="phClr">
            <a:alpha val="85000"/>
          </a:schemeClr>
        </a:solidFill>
        <a:round/>
      </a:ln>
    </cs:spPr>
  </cs:dataPointLine>
  <cs:dataPointMarker>
    <cs:lnRef idx="0"/>
    <cs:fillRef idx="0">
      <cs:styleClr val="auto"/>
    </cs:fillRef>
    <cs:effectRef idx="0"/>
    <cs:fontRef idx="minor">
      <a:schemeClr val="dk1"/>
    </cs:fontRef>
    <cs:spPr>
      <a:solidFill>
        <a:schemeClr val="phClr">
          <a:alpha val="85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75000"/>
        <a:lumOff val="25000"/>
      </a:schemeClr>
    </cs:fontRef>
    <cs:spPr>
      <a:ln w="9525">
        <a:solidFill>
          <a:schemeClr val="dk1">
            <a:lumMod val="35000"/>
            <a:lumOff val="65000"/>
          </a:schemeClr>
        </a:solidFill>
      </a:ln>
    </cs:spPr>
    <cs:defRPr sz="900" kern="1200"/>
  </cs:dataTable>
  <cs:downBar>
    <cs:lnRef idx="0"/>
    <cs:fillRef idx="0"/>
    <cs:effectRef idx="0"/>
    <cs:fontRef idx="minor">
      <a:schemeClr val="dk1"/>
    </cs:fontRef>
    <cs:spPr>
      <a:solidFill>
        <a:schemeClr val="dk1">
          <a:lumMod val="50000"/>
          <a:lumOff val="50000"/>
        </a:schemeClr>
      </a:solidFill>
      <a:ln w="9525">
        <a:solidFill>
          <a:schemeClr val="dk1">
            <a:lumMod val="65000"/>
            <a:lumOff val="35000"/>
          </a:schemeClr>
        </a:solidFill>
      </a:ln>
    </cs:spPr>
  </cs:downBar>
  <cs:dropLine>
    <cs:lnRef idx="0"/>
    <cs:fillRef idx="0"/>
    <cs:effectRef idx="0"/>
    <cs:fontRef idx="minor">
      <a:schemeClr val="dk1"/>
    </cs:fontRef>
    <cs:spPr>
      <a:ln w="9525">
        <a:solidFill>
          <a:schemeClr val="dk1">
            <a:lumMod val="35000"/>
            <a:lumOff val="65000"/>
          </a:schemeClr>
        </a:solidFill>
        <a:prstDash val="dash"/>
      </a:ln>
    </cs:spPr>
  </cs:dropLine>
  <cs:errorBar>
    <cs:lnRef idx="0"/>
    <cs:fillRef idx="0"/>
    <cs:effectRef idx="0"/>
    <cs:fontRef idx="minor">
      <a:schemeClr val="dk1"/>
    </cs:fontRef>
    <cs:spPr>
      <a:ln w="9525">
        <a:solidFill>
          <a:schemeClr val="dk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100000">
              <a:schemeClr val="dk1">
                <a:lumMod val="95000"/>
                <a:lumOff val="5000"/>
                <a:alpha val="42000"/>
              </a:schemeClr>
            </a:gs>
            <a:gs pos="0">
              <a:schemeClr val="lt1">
                <a:lumMod val="75000"/>
                <a:alpha val="36000"/>
              </a:schemeClr>
            </a:gs>
          </a:gsLst>
          <a:lin ang="5400000" scaled="0"/>
        </a:gradFill>
        <a:round/>
      </a:ln>
    </cs:spPr>
  </cs:gridlineMajor>
  <cs:gridlineMinor>
    <cs:lnRef idx="0"/>
    <cs:fillRef idx="0"/>
    <cs:effectRef idx="0"/>
    <cs:fontRef idx="minor">
      <a:schemeClr val="dk1"/>
    </cs:fontRef>
    <cs:spPr>
      <a:ln>
        <a:gradFill>
          <a:gsLst>
            <a:gs pos="100000">
              <a:schemeClr val="dk1">
                <a:lumMod val="95000"/>
                <a:lumOff val="5000"/>
                <a:alpha val="42000"/>
              </a:schemeClr>
            </a:gs>
            <a:gs pos="0">
              <a:schemeClr val="lt1">
                <a:lumMod val="75000"/>
                <a:alpha val="36000"/>
              </a:schemeClr>
            </a:gs>
          </a:gsLst>
          <a:lin ang="5400000" scaled="0"/>
        </a:gradFill>
      </a:ln>
    </cs:spPr>
  </cs:gridlineMinor>
  <cs:hiLoLine>
    <cs:lnRef idx="0"/>
    <cs:fillRef idx="0"/>
    <cs:effectRef idx="0"/>
    <cs:fontRef idx="minor">
      <a:schemeClr val="dk1"/>
    </cs:fontRef>
    <cs:spPr>
      <a:ln w="9525">
        <a:solidFill>
          <a:schemeClr val="dk1">
            <a:lumMod val="35000"/>
            <a:lumOff val="65000"/>
          </a:schemeClr>
        </a:solidFill>
        <a:prstDash val="dash"/>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75000"/>
        <a:lumOff val="25000"/>
      </a:schemeClr>
    </cs:fontRef>
    <cs:spPr>
      <a:solidFill>
        <a:schemeClr val="lt1">
          <a:lumMod val="95000"/>
          <a:alpha val="39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75000"/>
        <a:lumOff val="25000"/>
      </a:schemeClr>
    </cs:fontRef>
    <cs:spPr>
      <a:ln w="31750" cap="flat" cmpd="sng" algn="ctr">
        <a:solidFill>
          <a:schemeClr val="dk1">
            <a:lumMod val="75000"/>
            <a:lumOff val="2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75000"/>
        <a:lumOff val="25000"/>
      </a:schemeClr>
    </cs:fontRef>
    <cs:defRPr sz="1800" b="1" kern="120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75000"/>
        <a:lumOff val="2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75000"/>
        <a:lumOff val="25000"/>
      </a:schemeClr>
    </cs:fontRef>
    <cs:spPr>
      <a:ln>
        <a:noFill/>
      </a:ln>
    </cs:spPr>
    <cs:defRPr sz="900" kern="1200"/>
  </cs:valueAxis>
  <cs:wall>
    <cs:lnRef idx="0"/>
    <cs:fillRef idx="0"/>
    <cs:effectRef idx="0"/>
    <cs:fontRef idx="minor">
      <a:schemeClr val="dk1"/>
    </cs:fontRef>
  </cs:wall>
</cs:chartStyle>
</file>

<file path=word/charts/style7.xml><?xml version="1.0" encoding="utf-8"?>
<cs:chartStyle xmlns:cs="http://schemas.microsoft.com/office/drawing/2012/chartStyle" xmlns:a="http://schemas.openxmlformats.org/drawingml/2006/main" id="205">
  <cs:axisTitle>
    <cs:lnRef idx="0"/>
    <cs:fillRef idx="0"/>
    <cs:effectRef idx="0"/>
    <cs:fontRef idx="minor">
      <a:schemeClr val="dk1">
        <a:lumMod val="75000"/>
        <a:lumOff val="25000"/>
      </a:schemeClr>
    </cs:fontRef>
    <cs:defRPr sz="900" b="1" kern="1200"/>
  </cs:axisTitle>
  <cs:categoryAxis>
    <cs:lnRef idx="0"/>
    <cs:fillRef idx="0"/>
    <cs:effectRef idx="0"/>
    <cs:fontRef idx="minor">
      <a:schemeClr val="dk1">
        <a:lumMod val="75000"/>
        <a:lumOff val="25000"/>
      </a:schemeClr>
    </cs:fontRef>
    <cs:spPr>
      <a:ln w="19050" cap="flat" cmpd="sng" algn="ctr">
        <a:solidFill>
          <a:schemeClr val="dk1">
            <a:lumMod val="75000"/>
            <a:lumOff val="25000"/>
          </a:schemeClr>
        </a:solidFill>
        <a:round/>
      </a:ln>
    </cs:spPr>
    <cs:defRPr sz="900" kern="1200" cap="all" baseline="0"/>
  </cs:categoryAxis>
  <cs:chartArea>
    <cs:lnRef idx="0"/>
    <cs:fillRef idx="0"/>
    <cs:effectRef idx="0"/>
    <cs:fontRef idx="minor">
      <a:schemeClr val="dk1"/>
    </cs:fontRef>
    <cs:spPr>
      <a:gradFill flip="none" rotWithShape="1">
        <a:gsLst>
          <a:gs pos="0">
            <a:schemeClr val="lt1"/>
          </a:gs>
          <a:gs pos="39000">
            <a:schemeClr val="lt1"/>
          </a:gs>
          <a:gs pos="100000">
            <a:schemeClr val="lt1">
              <a:lumMod val="75000"/>
            </a:schemeClr>
          </a:gs>
        </a:gsLst>
        <a:path path="circle">
          <a:fillToRect l="50000" t="-80000" r="50000" b="180000"/>
        </a:path>
      </a:gradFill>
      <a:ln w="9525" cap="flat" cmpd="sng" algn="ctr">
        <a:solidFill>
          <a:schemeClr val="dk1">
            <a:lumMod val="25000"/>
            <a:lumOff val="75000"/>
          </a:schemeClr>
        </a:solidFill>
        <a:round/>
      </a:ln>
    </cs:spPr>
    <cs:defRPr sz="900" kern="1200"/>
  </cs:chartArea>
  <cs:dataLabel>
    <cs:lnRef idx="0"/>
    <cs:fillRef idx="0"/>
    <cs:effectRef idx="0"/>
    <cs:fontRef idx="minor">
      <a:schemeClr val="lt1"/>
    </cs:fontRef>
    <cs:defRPr sz="900" b="1" i="0" u="none" strike="noStrike" kern="1200" baseline="0"/>
  </cs:dataLabel>
  <cs:dataLabelCallout>
    <cs:lnRef idx="0"/>
    <cs:fillRef idx="0"/>
    <cs:effectRef idx="0"/>
    <cs:fontRef idx="minor">
      <a:schemeClr val="lt1"/>
    </cs:fontRef>
    <cs:spPr>
      <a:solidFill>
        <a:schemeClr val="dk1">
          <a:lumMod val="65000"/>
          <a:lumOff val="35000"/>
          <a:alpha val="75000"/>
        </a:schemeClr>
      </a:solidFill>
    </cs:spPr>
    <cs:defRPr sz="900" b="1"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alpha val="85000"/>
        </a:schemeClr>
      </a:solidFill>
      <a:ln w="9525" cap="flat" cmpd="sng" algn="ctr">
        <a:solidFill>
          <a:schemeClr val="lt1">
            <a:alpha val="50000"/>
          </a:schemeClr>
        </a:solidFill>
        <a:round/>
      </a:ln>
    </cs:spPr>
  </cs:dataPoint>
  <cs:dataPoint3D>
    <cs:lnRef idx="0"/>
    <cs:fillRef idx="0">
      <cs:styleClr val="auto"/>
    </cs:fillRef>
    <cs:effectRef idx="0"/>
    <cs:fontRef idx="minor">
      <a:schemeClr val="dk1"/>
    </cs:fontRef>
    <cs:spPr>
      <a:solidFill>
        <a:schemeClr val="phClr">
          <a:alpha val="85000"/>
        </a:schemeClr>
      </a:solidFill>
      <a:ln w="9525" cap="flat" cmpd="sng" algn="ctr">
        <a:solidFill>
          <a:schemeClr val="lt1">
            <a:alpha val="50000"/>
          </a:schemeClr>
        </a:solidFill>
        <a:round/>
      </a:ln>
    </cs:spPr>
  </cs:dataPoint3D>
  <cs:dataPointLine>
    <cs:lnRef idx="0">
      <cs:styleClr val="auto"/>
    </cs:lnRef>
    <cs:fillRef idx="0"/>
    <cs:effectRef idx="0"/>
    <cs:fontRef idx="minor">
      <a:schemeClr val="dk1"/>
    </cs:fontRef>
    <cs:spPr>
      <a:ln w="31750" cap="rnd">
        <a:solidFill>
          <a:schemeClr val="phClr">
            <a:alpha val="85000"/>
          </a:schemeClr>
        </a:solidFill>
        <a:round/>
      </a:ln>
    </cs:spPr>
  </cs:dataPointLine>
  <cs:dataPointMarker>
    <cs:lnRef idx="0"/>
    <cs:fillRef idx="0">
      <cs:styleClr val="auto"/>
    </cs:fillRef>
    <cs:effectRef idx="0"/>
    <cs:fontRef idx="minor">
      <a:schemeClr val="dk1"/>
    </cs:fontRef>
    <cs:spPr>
      <a:solidFill>
        <a:schemeClr val="phClr">
          <a:alpha val="85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75000"/>
        <a:lumOff val="25000"/>
      </a:schemeClr>
    </cs:fontRef>
    <cs:spPr>
      <a:ln w="9525">
        <a:solidFill>
          <a:schemeClr val="dk1">
            <a:lumMod val="35000"/>
            <a:lumOff val="65000"/>
          </a:schemeClr>
        </a:solidFill>
      </a:ln>
    </cs:spPr>
    <cs:defRPr sz="900" kern="1200"/>
  </cs:dataTable>
  <cs:downBar>
    <cs:lnRef idx="0"/>
    <cs:fillRef idx="0"/>
    <cs:effectRef idx="0"/>
    <cs:fontRef idx="minor">
      <a:schemeClr val="dk1"/>
    </cs:fontRef>
    <cs:spPr>
      <a:solidFill>
        <a:schemeClr val="dk1">
          <a:lumMod val="50000"/>
          <a:lumOff val="50000"/>
        </a:schemeClr>
      </a:solidFill>
      <a:ln w="9525">
        <a:solidFill>
          <a:schemeClr val="dk1">
            <a:lumMod val="65000"/>
            <a:lumOff val="35000"/>
          </a:schemeClr>
        </a:solidFill>
      </a:ln>
    </cs:spPr>
  </cs:downBar>
  <cs:dropLine>
    <cs:lnRef idx="0"/>
    <cs:fillRef idx="0"/>
    <cs:effectRef idx="0"/>
    <cs:fontRef idx="minor">
      <a:schemeClr val="dk1"/>
    </cs:fontRef>
    <cs:spPr>
      <a:ln w="9525">
        <a:solidFill>
          <a:schemeClr val="dk1">
            <a:lumMod val="35000"/>
            <a:lumOff val="65000"/>
          </a:schemeClr>
        </a:solidFill>
        <a:prstDash val="dash"/>
      </a:ln>
    </cs:spPr>
  </cs:dropLine>
  <cs:errorBar>
    <cs:lnRef idx="0"/>
    <cs:fillRef idx="0"/>
    <cs:effectRef idx="0"/>
    <cs:fontRef idx="minor">
      <a:schemeClr val="dk1"/>
    </cs:fontRef>
    <cs:spPr>
      <a:ln w="9525">
        <a:solidFill>
          <a:schemeClr val="dk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100000">
              <a:schemeClr val="dk1">
                <a:lumMod val="95000"/>
                <a:lumOff val="5000"/>
                <a:alpha val="42000"/>
              </a:schemeClr>
            </a:gs>
            <a:gs pos="0">
              <a:schemeClr val="lt1">
                <a:lumMod val="75000"/>
                <a:alpha val="36000"/>
              </a:schemeClr>
            </a:gs>
          </a:gsLst>
          <a:lin ang="5400000" scaled="0"/>
        </a:gradFill>
        <a:round/>
      </a:ln>
    </cs:spPr>
  </cs:gridlineMajor>
  <cs:gridlineMinor>
    <cs:lnRef idx="0"/>
    <cs:fillRef idx="0"/>
    <cs:effectRef idx="0"/>
    <cs:fontRef idx="minor">
      <a:schemeClr val="dk1"/>
    </cs:fontRef>
    <cs:spPr>
      <a:ln>
        <a:gradFill>
          <a:gsLst>
            <a:gs pos="100000">
              <a:schemeClr val="dk1">
                <a:lumMod val="95000"/>
                <a:lumOff val="5000"/>
                <a:alpha val="42000"/>
              </a:schemeClr>
            </a:gs>
            <a:gs pos="0">
              <a:schemeClr val="lt1">
                <a:lumMod val="75000"/>
                <a:alpha val="36000"/>
              </a:schemeClr>
            </a:gs>
          </a:gsLst>
          <a:lin ang="5400000" scaled="0"/>
        </a:gradFill>
      </a:ln>
    </cs:spPr>
  </cs:gridlineMinor>
  <cs:hiLoLine>
    <cs:lnRef idx="0"/>
    <cs:fillRef idx="0"/>
    <cs:effectRef idx="0"/>
    <cs:fontRef idx="minor">
      <a:schemeClr val="dk1"/>
    </cs:fontRef>
    <cs:spPr>
      <a:ln w="9525">
        <a:solidFill>
          <a:schemeClr val="dk1">
            <a:lumMod val="35000"/>
            <a:lumOff val="65000"/>
          </a:schemeClr>
        </a:solidFill>
        <a:prstDash val="dash"/>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75000"/>
        <a:lumOff val="25000"/>
      </a:schemeClr>
    </cs:fontRef>
    <cs:spPr>
      <a:solidFill>
        <a:schemeClr val="lt1">
          <a:lumMod val="95000"/>
          <a:alpha val="39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75000"/>
        <a:lumOff val="25000"/>
      </a:schemeClr>
    </cs:fontRef>
    <cs:spPr>
      <a:ln w="31750" cap="flat" cmpd="sng" algn="ctr">
        <a:solidFill>
          <a:schemeClr val="dk1">
            <a:lumMod val="75000"/>
            <a:lumOff val="2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75000"/>
        <a:lumOff val="25000"/>
      </a:schemeClr>
    </cs:fontRef>
    <cs:defRPr sz="1800" b="1" kern="120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75000"/>
        <a:lumOff val="2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75000"/>
        <a:lumOff val="25000"/>
      </a:schemeClr>
    </cs:fontRef>
    <cs:spPr>
      <a:ln>
        <a:noFill/>
      </a:ln>
    </cs:spPr>
    <cs:defRPr sz="900" kern="1200"/>
  </cs:valueAxis>
  <cs:wall>
    <cs:lnRef idx="0"/>
    <cs:fillRef idx="0"/>
    <cs:effectRef idx="0"/>
    <cs:fontRef idx="minor">
      <a:schemeClr val="dk1"/>
    </cs:fontRef>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四川省财政厅</Company>
  <Pages>19</Pages>
  <Words>6413</Words>
  <Characters>6817</Characters>
  <Lines>47</Lines>
  <Paragraphs>13</Paragraphs>
  <TotalTime>2</TotalTime>
  <ScaleCrop>false</ScaleCrop>
  <LinksUpToDate>false</LinksUpToDate>
  <CharactersWithSpaces>6895</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2020-08-05T01:49:00Z</dcterms:created>
  <dc:creator>曹颖</dc:creator>
  <cp:lastModifiedBy>xmb001</cp:lastModifiedBy>
  <cp:lastPrinted>2022-09-27T03:56:00Z</cp:lastPrinted>
  <dcterms:modified xsi:type="dcterms:W3CDTF">2022-09-30T14:12:58Z</dcterms:modified>
  <dc:title>四川省***</dc:title>
  <cp:revision>33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9C6C545646BE4EF4974AA062CEAAB2FB</vt:lpwstr>
  </property>
</Properties>
</file>