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auto"/>
          <w:sz w:val="72"/>
          <w:szCs w:val="72"/>
          <w:highlight w:val="none"/>
        </w:rPr>
      </w:pPr>
      <w:bookmarkStart w:id="0" w:name="_Toc153062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96475"/>
      <w:bookmarkStart w:id="2" w:name="_Toc15378441"/>
      <w:bookmarkStart w:id="3" w:name="_Toc16141"/>
      <w:bookmarkStart w:id="4" w:name="_Toc15377193"/>
      <w:bookmarkStart w:id="5" w:name="_Toc23980"/>
      <w:bookmarkStart w:id="6" w:name="_Toc1681"/>
      <w:bookmarkStart w:id="7" w:name="_Toc15396597"/>
      <w:bookmarkStart w:id="8" w:name="_Toc15377425"/>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bookmarkEnd w:id="6"/>
      <w:bookmarkEnd w:id="7"/>
      <w:bookmarkEnd w:id="8"/>
      <w:bookmarkStart w:id="121" w:name="_GoBack"/>
      <w:bookmarkEnd w:id="121"/>
    </w:p>
    <w:p>
      <w:pPr>
        <w:adjustRightInd w:val="0"/>
        <w:snapToGrid w:val="0"/>
        <w:spacing w:line="360" w:lineRule="auto"/>
        <w:jc w:val="center"/>
        <w:outlineLvl w:val="0"/>
        <w:rPr>
          <w:rFonts w:hint="eastAsia" w:ascii="方正小标宋_GBK" w:hAnsi="方正小标宋_GBK" w:eastAsia="方正小标宋_GBK" w:cs="方正小标宋_GBK"/>
          <w:color w:val="auto"/>
          <w:sz w:val="72"/>
          <w:szCs w:val="72"/>
          <w:highlight w:val="none"/>
        </w:rPr>
      </w:pPr>
      <w:bookmarkStart w:id="9" w:name="_Toc17433"/>
      <w:bookmarkStart w:id="10" w:name="_Toc1473"/>
      <w:bookmarkStart w:id="11" w:name="_Toc29347"/>
      <w:bookmarkStart w:id="12" w:name="_Toc15377426"/>
      <w:bookmarkStart w:id="13" w:name="_Toc15396598"/>
      <w:bookmarkStart w:id="14" w:name="_Toc15377194"/>
      <w:bookmarkStart w:id="15" w:name="_Toc15396476"/>
      <w:bookmarkStart w:id="16" w:name="_Toc15378442"/>
      <w:r>
        <w:rPr>
          <w:rFonts w:hint="eastAsia" w:ascii="方正小标宋_GBK" w:hAnsi="方正小标宋_GBK" w:eastAsia="方正小标宋_GBK" w:cs="方正小标宋_GBK"/>
          <w:color w:val="auto"/>
          <w:sz w:val="72"/>
          <w:szCs w:val="72"/>
          <w:highlight w:val="none"/>
        </w:rPr>
        <w:t>四川省</w:t>
      </w:r>
      <w:bookmarkEnd w:id="0"/>
      <w:bookmarkStart w:id="17" w:name="_Toc15306268"/>
      <w:r>
        <w:rPr>
          <w:rFonts w:hint="eastAsia" w:ascii="方正小标宋_GBK" w:hAnsi="方正小标宋_GBK" w:eastAsia="方正小标宋_GBK" w:cs="方正小标宋_GBK"/>
          <w:color w:val="auto"/>
          <w:sz w:val="72"/>
          <w:szCs w:val="72"/>
          <w:highlight w:val="none"/>
        </w:rPr>
        <w:t>广元市昭化区</w:t>
      </w:r>
      <w:bookmarkEnd w:id="9"/>
      <w:bookmarkEnd w:id="10"/>
      <w:bookmarkEnd w:id="11"/>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8" w:name="_Toc21060"/>
      <w:bookmarkStart w:id="19" w:name="_Toc9679"/>
      <w:bookmarkStart w:id="20" w:name="_Toc2341"/>
      <w:r>
        <w:rPr>
          <w:rFonts w:hint="eastAsia" w:ascii="方正小标宋_GBK" w:hAnsi="方正小标宋_GBK" w:eastAsia="方正小标宋_GBK" w:cs="方正小标宋_GBK"/>
          <w:color w:val="auto"/>
          <w:sz w:val="72"/>
          <w:szCs w:val="72"/>
          <w:highlight w:val="none"/>
        </w:rPr>
        <w:t>元坝镇柳桥小学单位决算</w:t>
      </w:r>
      <w:bookmarkEnd w:id="12"/>
      <w:bookmarkEnd w:id="13"/>
      <w:bookmarkEnd w:id="14"/>
      <w:bookmarkEnd w:id="15"/>
      <w:bookmarkEnd w:id="16"/>
      <w:bookmarkEnd w:id="17"/>
      <w:bookmarkEnd w:id="18"/>
      <w:bookmarkEnd w:id="19"/>
      <w:bookmarkEnd w:id="20"/>
    </w:p>
    <w:p>
      <w:pPr>
        <w:widowControl/>
        <w:jc w:val="center"/>
        <w:rPr>
          <w:rFonts w:hint="eastAsia"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3"/>
        <w:tabs>
          <w:tab w:val="right" w:leader="dot" w:pos="8306"/>
          <w:tab w:val="clear" w:pos="8296"/>
        </w:tabs>
        <w:rPr>
          <w:color w:val="auto"/>
          <w:highlight w:val="none"/>
        </w:rPr>
      </w:pPr>
      <w:r>
        <w:rPr>
          <w:color w:val="auto"/>
          <w:highlight w:val="none"/>
        </w:rPr>
        <w:fldChar w:fldCharType="begin"/>
      </w:r>
      <w:r>
        <w:rPr>
          <w:color w:val="auto"/>
          <w:highlight w:val="none"/>
        </w:rPr>
        <w:instrText xml:space="preserve">TOC \o "1-2" \h \u </w:instrText>
      </w:r>
      <w:r>
        <w:rPr>
          <w:color w:val="auto"/>
          <w:highlight w:val="none"/>
        </w:rPr>
        <w:fldChar w:fldCharType="separate"/>
      </w:r>
    </w:p>
    <w:p>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_Toc17514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第一部分 单位概况</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_Toc17514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_Toc31309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职能简介</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_Toc31309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_Toc13653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二、2021年重点工作完成情况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_Toc13653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_Toc10518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第二部分 2021年度单位决算情况说明</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_Toc10518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_Toc28278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_Toc28278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_Toc9393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 收入决算情况说明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_Toc9393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_Toc12816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_Toc12816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_Toc20083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_Toc20083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_Toc20242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五、一般公共预算财政拨款支出决算情况说明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_Toc20242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_Toc2813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六、一般公共预算财政拨款基本支出决算情况说明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_Toc2813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_Toc9813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七、“三公”经费财政拨款支出决算情况说明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_Toc9813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_Toc3503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八、政府性基金预算支出决算情况说明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_Toc3503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_Toc30571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 国有资本经营预算支出决算情况说明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_Toc30571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_Toc14092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 预算绩效管理情况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_Toc14092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_Toc11548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 其他重要事项的情况说明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_Toc11548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_Toc27075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第三部分 名词解释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_Toc27075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_Toc24127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第四部分 附件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_Toc24127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_Toc24969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第五部分 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_Toc24969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_Toc26442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_Toc26442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_Toc24488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二、收入决算表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_Toc24488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_Toc6939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三、支出决算表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_Toc6939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_Toc30417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_Toc30417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_Toc1651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_Toc1651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_Toc18542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_Toc18542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_Toc25672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七、一般公共预算财政拨款支出决算明细表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_Toc25672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_Toc3598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八、一般公共预算财政拨款基本支出决算表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_Toc3598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_Toc28845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九、一般公共预算财政拨款项目支出决算表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_Toc28845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_Toc24879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十、一般公共预算财政拨款“三公”经费支出决算表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_Toc24879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_Toc24059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十一、政府性基金预算财政拨款收入支出决算表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_Toc24059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_Toc30287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十二、政府性基金预算财政拨款“三公”经费支出决算表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_Toc30287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_Toc21531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十三、国有资本经营预算财政拨款收入支出决算表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_Toc21531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_Toc3471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十四、国有资本经营预算财政拨款支出决算表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_Toc3471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2"/>
        <w:rPr>
          <w:color w:val="auto"/>
          <w:highlight w:val="none"/>
        </w:rPr>
      </w:pPr>
      <w:r>
        <w:rPr>
          <w:color w:val="auto"/>
          <w:highlight w:val="none"/>
        </w:rPr>
        <w:fldChar w:fldCharType="end"/>
      </w:r>
    </w:p>
    <w:p>
      <w:pPr>
        <w:pStyle w:val="3"/>
        <w:bidi w:val="0"/>
        <w:rPr>
          <w:color w:val="auto"/>
          <w:highlight w:val="none"/>
        </w:rPr>
      </w:pPr>
      <w:bookmarkStart w:id="21" w:name="_Toc17785"/>
      <w:bookmarkStart w:id="22" w:name="_Toc15377196"/>
      <w:bookmarkStart w:id="23" w:name="_Toc17514"/>
      <w:bookmarkStart w:id="24" w:name="_Toc15396599"/>
      <w:r>
        <w:rPr>
          <w:rFonts w:hint="eastAsia"/>
          <w:color w:val="auto"/>
          <w:highlight w:val="none"/>
        </w:rPr>
        <w:t>第一部分 单位概况</w:t>
      </w:r>
      <w:bookmarkEnd w:id="21"/>
      <w:bookmarkEnd w:id="22"/>
      <w:bookmarkEnd w:id="23"/>
      <w:bookmarkEnd w:id="24"/>
    </w:p>
    <w:p>
      <w:pPr>
        <w:widowControl/>
        <w:jc w:val="left"/>
        <w:rPr>
          <w:rFonts w:ascii="黑体" w:eastAsia="黑体"/>
          <w:color w:val="auto"/>
          <w:sz w:val="32"/>
          <w:szCs w:val="32"/>
          <w:highlight w:val="none"/>
        </w:rPr>
      </w:pPr>
    </w:p>
    <w:p>
      <w:pPr>
        <w:pStyle w:val="4"/>
        <w:numPr>
          <w:ilvl w:val="0"/>
          <w:numId w:val="1"/>
        </w:numPr>
        <w:bidi w:val="0"/>
        <w:rPr>
          <w:rFonts w:hint="eastAsia"/>
          <w:color w:val="auto"/>
          <w:highlight w:val="none"/>
        </w:rPr>
      </w:pPr>
      <w:bookmarkStart w:id="25" w:name="_Toc7404"/>
      <w:bookmarkStart w:id="26" w:name="_Toc31309"/>
      <w:bookmarkStart w:id="27" w:name="_Toc15377197"/>
      <w:bookmarkStart w:id="28" w:name="_Toc15396600"/>
      <w:r>
        <w:rPr>
          <w:rFonts w:hint="eastAsia"/>
          <w:color w:val="auto"/>
          <w:highlight w:val="none"/>
        </w:rPr>
        <w:t>职能简介</w:t>
      </w:r>
      <w:bookmarkEnd w:id="25"/>
      <w:bookmarkEnd w:id="26"/>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负责学籍管理并对学生实施奖励或处分。</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负责依法制定本校教师及其他职工聘任办法并对教师及其他员工实施包括奖励、处分在内的具体管理活动。</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8. 负责科学管理、合理使用学校的设施和经费，并积极筹措资金，改善办学条件。</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10.</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依法接受各级教育行政部门的检查指导和人民群众的监督。</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pPr>
        <w:pStyle w:val="4"/>
        <w:bidi w:val="0"/>
        <w:rPr>
          <w:rFonts w:hint="eastAsia"/>
          <w:color w:val="auto"/>
          <w:highlight w:val="none"/>
        </w:rPr>
      </w:pPr>
      <w:bookmarkStart w:id="29" w:name="_Toc4463"/>
      <w:bookmarkStart w:id="30" w:name="_Toc13653"/>
      <w:r>
        <w:rPr>
          <w:rFonts w:hint="eastAsia"/>
          <w:color w:val="auto"/>
          <w:highlight w:val="none"/>
        </w:rPr>
        <w:t>二、2021年重点工作</w:t>
      </w:r>
      <w:bookmarkEnd w:id="27"/>
      <w:bookmarkEnd w:id="28"/>
      <w:r>
        <w:rPr>
          <w:rFonts w:hint="eastAsia"/>
          <w:color w:val="auto"/>
          <w:highlight w:val="none"/>
        </w:rPr>
        <w:t>完成情况</w:t>
      </w:r>
      <w:bookmarkEnd w:id="29"/>
      <w:bookmarkEnd w:id="30"/>
    </w:p>
    <w:p>
      <w:pPr>
        <w:ind w:firstLine="640" w:firstLineChars="200"/>
        <w:rPr>
          <w:rFonts w:ascii="仿宋" w:hAnsi="仿宋" w:eastAsia="仿宋" w:cs="仿宋"/>
          <w:color w:val="auto"/>
          <w:sz w:val="32"/>
          <w:szCs w:val="32"/>
          <w:highlight w:val="none"/>
          <w:lang w:bidi="ar"/>
        </w:rPr>
      </w:pPr>
      <w:bookmarkStart w:id="31" w:name="_Toc15377204"/>
      <w:bookmarkStart w:id="32" w:name="_Toc15396602"/>
      <w:r>
        <w:rPr>
          <w:rFonts w:hint="eastAsia" w:ascii="仿宋" w:hAnsi="仿宋" w:eastAsia="仿宋" w:cs="仿宋"/>
          <w:color w:val="auto"/>
          <w:sz w:val="32"/>
          <w:szCs w:val="32"/>
          <w:highlight w:val="none"/>
          <w:lang w:bidi="ar"/>
        </w:rPr>
        <w:t>坚持进行党史集中学习教育，坚持让全体教职工读原著、学原文、悟原理，坚持让教职工做好学习笔记并按时检查；坚持让全体教职工下载“学习强国”APP并按时学习，同时积极参与“川报观察”的党史答题。严格按照上级文件精神认真开展纪律作风及师德师风教育专题活动，每位教职工均认真剖析自身存在的问题，并针对问题作出及时整改。由支部牵头组织进行了“师德师风承诺宣誓”，每周例会坚持进行师德教育学习或谈话，大家兑现廉洁承诺的活动，接受党组织和群众的监督，学校风清气正无违纪违法事件发生。</w:t>
      </w:r>
    </w:p>
    <w:p>
      <w:pPr>
        <w:ind w:firstLine="643" w:firstLineChars="200"/>
        <w:rPr>
          <w:rFonts w:ascii="仿宋" w:hAnsi="仿宋" w:eastAsia="仿宋" w:cs="仿宋"/>
          <w:b/>
          <w:color w:val="auto"/>
          <w:sz w:val="32"/>
          <w:szCs w:val="32"/>
          <w:highlight w:val="none"/>
          <w:lang w:bidi="ar"/>
        </w:rPr>
      </w:pPr>
      <w:r>
        <w:rPr>
          <w:rFonts w:hint="eastAsia" w:ascii="仿宋" w:hAnsi="仿宋" w:eastAsia="仿宋" w:cs="仿宋"/>
          <w:b/>
          <w:color w:val="auto"/>
          <w:sz w:val="32"/>
          <w:szCs w:val="32"/>
          <w:highlight w:val="none"/>
          <w:lang w:bidi="ar"/>
        </w:rPr>
        <w:t>强化班子建设</w:t>
      </w:r>
    </w:p>
    <w:p>
      <w:pPr>
        <w:ind w:firstLine="640" w:firstLineChars="200"/>
        <w:rPr>
          <w:rFonts w:ascii="仿宋" w:hAnsi="仿宋" w:eastAsia="仿宋" w:cs="仿宋"/>
          <w:color w:val="auto"/>
          <w:sz w:val="32"/>
          <w:szCs w:val="32"/>
          <w:highlight w:val="none"/>
          <w:lang w:bidi="ar"/>
        </w:rPr>
      </w:pPr>
      <w:r>
        <w:rPr>
          <w:rFonts w:hint="eastAsia" w:ascii="仿宋" w:hAnsi="仿宋" w:eastAsia="仿宋" w:cs="仿宋"/>
          <w:color w:val="auto"/>
          <w:sz w:val="32"/>
          <w:szCs w:val="32"/>
          <w:highlight w:val="none"/>
          <w:lang w:bidi="ar"/>
        </w:rPr>
        <w:t>组织全体党员同志和行政人员到剑阁廉政教育基地进行警示教育筑牢廉洁底线。带头担当学校纪律建设的领导者、执行者和推动者。要求班子成员做到言行一致、廉洁自律，为党员和其他教师做出表率。坚持召开每周行政例会，实行工作周清单制。落实“三重一大”集体决策制度和校长末位表态制度。坚持集体领导与个人分工相结合，将党风廉政建设的责任逐一分解，督促领导班成员履行“一岗双责”。班子成员在抓好业务工作的同时，努力抓好分管部门的党风廉政建设，定期述职，民主测评。</w:t>
      </w:r>
    </w:p>
    <w:p>
      <w:pPr>
        <w:ind w:firstLine="643" w:firstLineChars="200"/>
        <w:rPr>
          <w:rFonts w:ascii="仿宋" w:hAnsi="仿宋" w:eastAsia="仿宋" w:cs="仿宋"/>
          <w:b/>
          <w:color w:val="auto"/>
          <w:sz w:val="32"/>
          <w:szCs w:val="32"/>
          <w:highlight w:val="none"/>
          <w:lang w:bidi="ar"/>
        </w:rPr>
      </w:pPr>
      <w:r>
        <w:rPr>
          <w:rFonts w:hint="eastAsia" w:ascii="仿宋" w:hAnsi="仿宋" w:eastAsia="仿宋" w:cs="仿宋"/>
          <w:b/>
          <w:color w:val="auto"/>
          <w:sz w:val="32"/>
          <w:szCs w:val="32"/>
          <w:highlight w:val="none"/>
          <w:lang w:bidi="ar"/>
        </w:rPr>
        <w:t>突出先锋作用</w:t>
      </w:r>
    </w:p>
    <w:p>
      <w:pPr>
        <w:ind w:firstLine="640" w:firstLineChars="200"/>
        <w:rPr>
          <w:rFonts w:ascii="仿宋" w:hAnsi="仿宋" w:eastAsia="仿宋" w:cs="仿宋"/>
          <w:color w:val="auto"/>
          <w:sz w:val="32"/>
          <w:szCs w:val="32"/>
          <w:highlight w:val="none"/>
          <w:lang w:bidi="ar"/>
        </w:rPr>
      </w:pPr>
      <w:r>
        <w:rPr>
          <w:rFonts w:hint="eastAsia" w:ascii="仿宋" w:hAnsi="仿宋" w:eastAsia="仿宋" w:cs="仿宋"/>
          <w:color w:val="auto"/>
          <w:sz w:val="32"/>
          <w:szCs w:val="32"/>
          <w:highlight w:val="none"/>
          <w:lang w:bidi="ar"/>
        </w:rPr>
        <w:t>认真开展党员教师结对一名非党员教师、帮带一名学困生、带好一个班、上好一门课、蹲点一个招生工作小组的“五个一活动”。认真开展党日活动，设立了党员示范岗，党员教师在工作上起到了带头作用。号召全体教师“比业绩、比奉献、做柳桥好老师”，坚持“讲正气、讲学习、讲奉献、比业绩”活动的持续开展。党员教师沈雪梅、张克晰被评为区第四届名教师，党员教师李海霞被评为市优秀班主任。</w:t>
      </w:r>
    </w:p>
    <w:p>
      <w:pPr>
        <w:ind w:firstLine="630" w:firstLineChars="196"/>
        <w:rPr>
          <w:rFonts w:ascii="仿宋" w:hAnsi="仿宋" w:eastAsia="仿宋" w:cs="仿宋"/>
          <w:b/>
          <w:color w:val="auto"/>
          <w:sz w:val="32"/>
          <w:szCs w:val="32"/>
          <w:highlight w:val="none"/>
          <w:lang w:bidi="ar"/>
        </w:rPr>
      </w:pPr>
      <w:r>
        <w:rPr>
          <w:rFonts w:hint="eastAsia" w:ascii="仿宋" w:hAnsi="仿宋" w:eastAsia="仿宋" w:cs="仿宋"/>
          <w:b/>
          <w:color w:val="auto"/>
          <w:sz w:val="32"/>
          <w:szCs w:val="32"/>
          <w:highlight w:val="none"/>
          <w:lang w:bidi="ar"/>
        </w:rPr>
        <w:t>立德树人活动助长</w:t>
      </w:r>
    </w:p>
    <w:p>
      <w:pPr>
        <w:ind w:firstLine="640" w:firstLineChars="200"/>
        <w:rPr>
          <w:rFonts w:ascii="仿宋" w:hAnsi="仿宋" w:eastAsia="仿宋" w:cs="仿宋"/>
          <w:color w:val="auto"/>
          <w:sz w:val="32"/>
          <w:szCs w:val="32"/>
          <w:highlight w:val="none"/>
          <w:lang w:bidi="ar"/>
        </w:rPr>
      </w:pPr>
      <w:r>
        <w:rPr>
          <w:rFonts w:hint="eastAsia" w:ascii="仿宋" w:hAnsi="仿宋" w:eastAsia="仿宋" w:cs="仿宋"/>
          <w:color w:val="auto"/>
          <w:sz w:val="32"/>
          <w:szCs w:val="32"/>
          <w:highlight w:val="none"/>
          <w:lang w:bidi="ar"/>
        </w:rPr>
        <w:t xml:space="preserve">坚持国旗下讲话与各班才艺展示相结合的升旗仪式，让学生感悟爱国爱校。礼雅教育借力爱心超市，对学生的道德与学习积分进行兑换并评比礼雅少年。持续做好常态化防疫、环境卫生打扫与保持，不定时的进行寝室内务评比。落实每天大课间、阳光体育活动，为健康成长提供保障。结合时令、传统节日和学生的思想动态，隔周开展一次主题队会。组织学生开展了到栖凤峡的校外实践活动，组织了野炊实践活动训练了动手能力，感受了家乡的变化与美丽。成立了8个社团，聘请专业教师，每天开展活动，提升学生的艺术素养。召开了全校师生趣味运动会。举办了“跨新年”艺术节。坚持每周两次的少年宫活动，提升了学生的艺术素养。每月开展一次全校性的活动增加了学校生机锻炼了学生的能力。制定柳桥小学劳动教育工作方案，每期开展一次劳动实践评比活动。各班通过建立微信群、举办了亲子运动会、开展了“千名教师访万家”、召开了“共育英才”的家校开放日活动构建新型的学习共同体。    </w:t>
      </w:r>
    </w:p>
    <w:p>
      <w:pPr>
        <w:ind w:firstLine="643" w:firstLineChars="200"/>
        <w:rPr>
          <w:rFonts w:ascii="仿宋" w:hAnsi="仿宋" w:eastAsia="仿宋" w:cs="仿宋"/>
          <w:b/>
          <w:color w:val="auto"/>
          <w:sz w:val="32"/>
          <w:szCs w:val="32"/>
          <w:highlight w:val="none"/>
          <w:lang w:bidi="ar"/>
        </w:rPr>
      </w:pPr>
      <w:r>
        <w:rPr>
          <w:rFonts w:hint="eastAsia" w:ascii="仿宋" w:hAnsi="仿宋" w:eastAsia="仿宋" w:cs="仿宋"/>
          <w:b/>
          <w:color w:val="auto"/>
          <w:sz w:val="32"/>
          <w:szCs w:val="32"/>
          <w:highlight w:val="none"/>
          <w:lang w:bidi="ar"/>
        </w:rPr>
        <w:t>常规管理提质增效</w:t>
      </w:r>
    </w:p>
    <w:p>
      <w:pPr>
        <w:ind w:firstLine="640" w:firstLineChars="200"/>
        <w:rPr>
          <w:rFonts w:ascii="仿宋" w:hAnsi="仿宋" w:eastAsia="仿宋" w:cs="仿宋"/>
          <w:color w:val="auto"/>
          <w:sz w:val="32"/>
          <w:szCs w:val="32"/>
          <w:highlight w:val="none"/>
          <w:lang w:bidi="ar"/>
        </w:rPr>
      </w:pPr>
      <w:r>
        <w:rPr>
          <w:rFonts w:hint="eastAsia" w:ascii="仿宋" w:hAnsi="仿宋" w:eastAsia="仿宋" w:cs="仿宋"/>
          <w:color w:val="auto"/>
          <w:sz w:val="32"/>
          <w:szCs w:val="32"/>
          <w:highlight w:val="none"/>
          <w:lang w:bidi="ar"/>
        </w:rPr>
        <w:t>严明教师上课纪律，及时做好病事假、外出公务教师的课程调整，规范了调课、代课程序及要求。推行“推门听课”、实行教学旬查、巡查制度，例会上进行全面总结并提出整改意见。召开学校教学工作推进会和全体任课教师签订了教学目标责任书。强化实验教学，每月一次功能室的使用情况进行检查，加强了教育技术装备的使用和管理。和广元外国语学校结对开展教学联谊活动，提升学校的教学研究能力。认真开展每周一到二次教学研讨的活动，通过“说讲评”对教师进行专门的业务培训；参加了教育主管部门的各项学习、培训，回校上好汇报课。教师自觉撰写教学经验文章12篇发表在各级刊物上。</w:t>
      </w:r>
    </w:p>
    <w:p>
      <w:pPr>
        <w:ind w:firstLine="643" w:firstLineChars="200"/>
        <w:rPr>
          <w:rFonts w:ascii="仿宋" w:hAnsi="仿宋" w:eastAsia="仿宋" w:cs="仿宋"/>
          <w:b/>
          <w:color w:val="auto"/>
          <w:sz w:val="32"/>
          <w:szCs w:val="32"/>
          <w:highlight w:val="none"/>
          <w:lang w:bidi="ar"/>
        </w:rPr>
      </w:pPr>
      <w:r>
        <w:rPr>
          <w:rFonts w:hint="eastAsia" w:ascii="仿宋" w:hAnsi="仿宋" w:eastAsia="仿宋" w:cs="仿宋"/>
          <w:b/>
          <w:color w:val="auto"/>
          <w:sz w:val="32"/>
          <w:szCs w:val="32"/>
          <w:highlight w:val="none"/>
          <w:lang w:bidi="ar"/>
        </w:rPr>
        <w:t>校园书香浸润生长</w:t>
      </w:r>
    </w:p>
    <w:p>
      <w:pPr>
        <w:ind w:firstLine="640" w:firstLineChars="200"/>
        <w:rPr>
          <w:rFonts w:ascii="仿宋" w:hAnsi="仿宋" w:eastAsia="仿宋" w:cs="仿宋"/>
          <w:color w:val="auto"/>
          <w:sz w:val="32"/>
          <w:szCs w:val="32"/>
          <w:highlight w:val="none"/>
          <w:lang w:bidi="ar"/>
        </w:rPr>
      </w:pPr>
      <w:r>
        <w:rPr>
          <w:rFonts w:hint="eastAsia" w:ascii="仿宋" w:hAnsi="仿宋" w:eastAsia="仿宋" w:cs="仿宋"/>
          <w:color w:val="auto"/>
          <w:sz w:val="32"/>
          <w:szCs w:val="32"/>
          <w:highlight w:val="none"/>
          <w:lang w:bidi="ar"/>
        </w:rPr>
        <w:t>坚持每节语文课前的5分钟阅读展示和每天的经典阅读。建立了两个开放的图书角，现在学校形成固定图书室、开放图书角和流动图书箱三级阅读网络，学生随时可进行自由的阅读。温馨的教室、温暖的走廊、催人奋进的排行榜，优美的课间音乐和晚睡前动听故事会让让校园书香更浓。</w:t>
      </w:r>
    </w:p>
    <w:p>
      <w:pPr>
        <w:ind w:firstLine="643" w:firstLineChars="200"/>
        <w:rPr>
          <w:rFonts w:ascii="仿宋" w:hAnsi="仿宋" w:eastAsia="仿宋" w:cs="仿宋"/>
          <w:b/>
          <w:color w:val="auto"/>
          <w:sz w:val="32"/>
          <w:szCs w:val="32"/>
          <w:highlight w:val="none"/>
          <w:lang w:bidi="ar"/>
        </w:rPr>
      </w:pPr>
      <w:r>
        <w:rPr>
          <w:rFonts w:hint="eastAsia" w:ascii="仿宋" w:hAnsi="仿宋" w:eastAsia="仿宋" w:cs="仿宋"/>
          <w:b/>
          <w:color w:val="auto"/>
          <w:sz w:val="32"/>
          <w:szCs w:val="32"/>
          <w:highlight w:val="none"/>
          <w:lang w:bidi="ar"/>
        </w:rPr>
        <w:t>来年的打算</w:t>
      </w:r>
    </w:p>
    <w:p>
      <w:pPr>
        <w:ind w:firstLine="640" w:firstLineChars="200"/>
        <w:rPr>
          <w:rFonts w:hint="eastAsia" w:ascii="仿宋" w:hAnsi="仿宋" w:eastAsia="仿宋" w:cs="仿宋"/>
          <w:color w:val="auto"/>
          <w:sz w:val="32"/>
          <w:szCs w:val="32"/>
          <w:highlight w:val="none"/>
          <w:lang w:bidi="ar"/>
        </w:rPr>
      </w:pPr>
      <w:r>
        <w:rPr>
          <w:rFonts w:hint="eastAsia" w:ascii="仿宋" w:hAnsi="仿宋" w:eastAsia="仿宋" w:cs="仿宋"/>
          <w:color w:val="auto"/>
          <w:sz w:val="32"/>
          <w:szCs w:val="32"/>
          <w:highlight w:val="none"/>
          <w:lang w:bidi="ar"/>
        </w:rPr>
        <w:t>学校将在教育局的领导下，坚持“明礼雅行、以礼树人、以雅育魂”的办学理念，紧扣“四个校园”建设主线，聚集正气、提整精神，坚持自己看一些书、走一些路、想一些事、尽一些力，用心工作，努力做事，为学校的发展贡献了一些自己的心力，努力做到 ：重传承，强践行，礼雅教育化于行；重提升，强内涵，打造柳桥美学校；重习惯，强养成，培育柳桥好少年；重师德，强业务，炼就柳桥好老师；重联系，强协作，强化学习共同体。将学校办成礼雅乐园、书香校园，争取学校在目标考核时前进2位。</w:t>
      </w:r>
    </w:p>
    <w:p>
      <w:pPr>
        <w:rPr>
          <w:rFonts w:hint="eastAsia" w:ascii="仿宋" w:hAnsi="仿宋" w:eastAsia="仿宋" w:cs="仿宋"/>
          <w:b w:val="0"/>
          <w:color w:val="auto"/>
          <w:highlight w:val="none"/>
        </w:rPr>
      </w:pPr>
      <w:r>
        <w:rPr>
          <w:rFonts w:hint="eastAsia" w:ascii="仿宋" w:hAnsi="仿宋" w:eastAsia="仿宋" w:cs="仿宋"/>
          <w:b w:val="0"/>
          <w:color w:val="auto"/>
          <w:highlight w:val="none"/>
        </w:rPr>
        <w:br w:type="page"/>
      </w:r>
    </w:p>
    <w:p>
      <w:pPr>
        <w:pStyle w:val="3"/>
        <w:bidi w:val="0"/>
        <w:rPr>
          <w:rFonts w:hint="eastAsia"/>
          <w:color w:val="auto"/>
          <w:highlight w:val="none"/>
        </w:rPr>
      </w:pPr>
      <w:bookmarkStart w:id="33" w:name="_Toc10437"/>
      <w:bookmarkStart w:id="34" w:name="_Toc10518"/>
      <w:r>
        <w:rPr>
          <w:rFonts w:hint="eastAsia"/>
          <w:color w:val="auto"/>
          <w:highlight w:val="none"/>
        </w:rPr>
        <w:t>第二部分 2021年度单位决算情况说明</w:t>
      </w:r>
      <w:bookmarkEnd w:id="31"/>
      <w:bookmarkEnd w:id="32"/>
      <w:bookmarkEnd w:id="33"/>
      <w:bookmarkEnd w:id="34"/>
    </w:p>
    <w:p>
      <w:pPr>
        <w:pStyle w:val="4"/>
        <w:numPr>
          <w:ilvl w:val="0"/>
          <w:numId w:val="2"/>
        </w:numPr>
        <w:bidi w:val="0"/>
        <w:ind w:left="0" w:leftChars="0" w:firstLine="643" w:firstLineChars="200"/>
        <w:rPr>
          <w:rFonts w:hint="eastAsia"/>
          <w:color w:val="auto"/>
          <w:highlight w:val="none"/>
        </w:rPr>
      </w:pPr>
      <w:bookmarkStart w:id="35" w:name="_Toc15377205"/>
      <w:bookmarkStart w:id="36" w:name="_Toc15396603"/>
      <w:bookmarkStart w:id="37" w:name="_Toc5075"/>
      <w:bookmarkStart w:id="38" w:name="_Toc28278"/>
      <w:r>
        <w:rPr>
          <w:rFonts w:hint="eastAsia"/>
          <w:color w:val="auto"/>
          <w:highlight w:val="none"/>
        </w:rPr>
        <w:t>收入支出决算总体情况说明</w:t>
      </w:r>
      <w:bookmarkEnd w:id="35"/>
      <w:bookmarkEnd w:id="36"/>
      <w:bookmarkEnd w:id="37"/>
      <w:bookmarkEnd w:id="38"/>
    </w:p>
    <w:p>
      <w:pPr>
        <w:spacing w:line="600" w:lineRule="exact"/>
        <w:ind w:firstLine="640" w:firstLineChars="200"/>
        <w:outlineLvl w:val="1"/>
        <w:rPr>
          <w:rFonts w:hint="eastAsia" w:ascii="仿宋" w:hAnsi="仿宋" w:eastAsia="仿宋" w:cs="仿宋"/>
          <w:color w:val="auto"/>
          <w:highlight w:val="none"/>
          <w:lang w:eastAsia="zh-CN"/>
        </w:rPr>
      </w:pPr>
      <w:bookmarkStart w:id="39" w:name="_Toc9801"/>
      <w:bookmarkStart w:id="40" w:name="_Toc20192"/>
      <w:bookmarkStart w:id="41" w:name="_Toc20585"/>
      <w:r>
        <w:rPr>
          <w:rFonts w:hint="eastAsia" w:ascii="仿宋" w:hAnsi="仿宋" w:eastAsia="仿宋" w:cs="仿宋"/>
          <w:color w:val="auto"/>
          <w:sz w:val="32"/>
          <w:szCs w:val="32"/>
          <w:highlight w:val="none"/>
        </w:rPr>
        <w:t>2021年度收、支总计</w:t>
      </w:r>
      <w:r>
        <w:rPr>
          <w:rFonts w:hint="eastAsia" w:ascii="仿宋" w:hAnsi="仿宋" w:eastAsia="仿宋" w:cs="仿宋"/>
          <w:color w:val="auto"/>
          <w:sz w:val="32"/>
          <w:szCs w:val="32"/>
          <w:highlight w:val="none"/>
          <w:lang w:val="en-US" w:eastAsia="zh-CN"/>
        </w:rPr>
        <w:t>1016.39</w:t>
      </w:r>
      <w:r>
        <w:rPr>
          <w:rFonts w:hint="eastAsia" w:ascii="仿宋" w:hAnsi="仿宋" w:eastAsia="仿宋" w:cs="仿宋"/>
          <w:color w:val="auto"/>
          <w:sz w:val="32"/>
          <w:szCs w:val="32"/>
          <w:highlight w:val="none"/>
        </w:rPr>
        <w:t>万元。与2020年相比，收、支总计各</w:t>
      </w:r>
      <w:r>
        <w:rPr>
          <w:rFonts w:hint="eastAsia" w:ascii="仿宋" w:hAnsi="仿宋" w:eastAsia="仿宋" w:cs="仿宋"/>
          <w:color w:val="auto"/>
          <w:sz w:val="32"/>
          <w:szCs w:val="32"/>
          <w:highlight w:val="none"/>
          <w:lang w:eastAsia="zh-CN"/>
        </w:rPr>
        <w:t>减少</w:t>
      </w:r>
      <w:r>
        <w:rPr>
          <w:rFonts w:hint="eastAsia" w:ascii="仿宋" w:hAnsi="仿宋" w:eastAsia="仿宋" w:cs="仿宋"/>
          <w:color w:val="auto"/>
          <w:sz w:val="32"/>
          <w:szCs w:val="32"/>
          <w:highlight w:val="none"/>
          <w:lang w:val="en-US" w:eastAsia="zh-CN"/>
        </w:rPr>
        <w:t>12.77</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减少</w:t>
      </w:r>
      <w:r>
        <w:rPr>
          <w:rFonts w:hint="eastAsia" w:ascii="仿宋" w:hAnsi="仿宋" w:eastAsia="仿宋" w:cs="仿宋"/>
          <w:color w:val="auto"/>
          <w:sz w:val="32"/>
          <w:szCs w:val="32"/>
          <w:highlight w:val="none"/>
          <w:lang w:val="en-US" w:eastAsia="zh-CN"/>
        </w:rPr>
        <w:t>1.24%</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基本支出减少</w:t>
      </w:r>
      <w:r>
        <w:rPr>
          <w:rFonts w:hint="eastAsia" w:ascii="仿宋" w:hAnsi="仿宋" w:eastAsia="仿宋" w:cs="仿宋"/>
          <w:color w:val="auto"/>
          <w:sz w:val="32"/>
          <w:szCs w:val="32"/>
          <w:highlight w:val="none"/>
        </w:rPr>
        <w:t>。</w:t>
      </w:r>
      <w:bookmarkEnd w:id="39"/>
      <w:bookmarkEnd w:id="40"/>
      <w:bookmarkEnd w:id="41"/>
    </w:p>
    <w:p>
      <w:pPr>
        <w:pStyle w:val="4"/>
        <w:numPr>
          <w:ilvl w:val="0"/>
          <w:numId w:val="2"/>
        </w:numPr>
        <w:bidi w:val="0"/>
        <w:ind w:left="0" w:leftChars="0" w:firstLine="643" w:firstLineChars="200"/>
        <w:rPr>
          <w:rFonts w:hint="eastAsia"/>
          <w:color w:val="auto"/>
          <w:highlight w:val="none"/>
        </w:rPr>
      </w:pPr>
      <w:bookmarkStart w:id="42" w:name="_Toc15377206"/>
      <w:bookmarkStart w:id="43" w:name="_Toc9393"/>
      <w:bookmarkStart w:id="44" w:name="_Toc11923"/>
      <w:bookmarkStart w:id="45" w:name="_Toc15396604"/>
      <w:r>
        <w:rPr>
          <w:rFonts w:hint="eastAsia"/>
          <w:color w:val="auto"/>
          <w:highlight w:val="none"/>
          <w:lang w:eastAsia="zh-CN"/>
        </w:rPr>
        <w:drawing>
          <wp:anchor distT="0" distB="0" distL="114300" distR="114300" simplePos="0" relativeHeight="251665408" behindDoc="0" locked="0" layoutInCell="1" allowOverlap="1">
            <wp:simplePos x="0" y="0"/>
            <wp:positionH relativeFrom="column">
              <wp:posOffset>207010</wp:posOffset>
            </wp:positionH>
            <wp:positionV relativeFrom="paragraph">
              <wp:posOffset>37465</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color w:val="auto"/>
          <w:highlight w:val="none"/>
        </w:rPr>
        <w:t>收入决算情况说明</w:t>
      </w:r>
      <w:bookmarkEnd w:id="42"/>
      <w:bookmarkEnd w:id="43"/>
      <w:bookmarkEnd w:id="44"/>
      <w:bookmarkEnd w:id="45"/>
    </w:p>
    <w:p>
      <w:pPr>
        <w:spacing w:line="600" w:lineRule="exact"/>
        <w:ind w:firstLine="640" w:firstLineChars="200"/>
        <w:outlineLvl w:val="1"/>
        <w:rPr>
          <w:rFonts w:hint="eastAsia" w:ascii="仿宋" w:hAnsi="仿宋" w:eastAsia="仿宋"/>
          <w:color w:val="auto"/>
          <w:sz w:val="32"/>
          <w:szCs w:val="32"/>
          <w:highlight w:val="none"/>
        </w:rPr>
      </w:pPr>
      <w:bookmarkStart w:id="46" w:name="_Toc25597"/>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21年本年收入合计</w:t>
      </w:r>
      <w:r>
        <w:rPr>
          <w:rFonts w:hint="eastAsia" w:ascii="仿宋" w:hAnsi="仿宋" w:eastAsia="仿宋"/>
          <w:color w:val="auto"/>
          <w:sz w:val="32"/>
          <w:szCs w:val="32"/>
          <w:highlight w:val="none"/>
          <w:lang w:val="en-US" w:eastAsia="zh-CN"/>
        </w:rPr>
        <w:t>1016.39</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eastAsia="zh-CN"/>
        </w:rPr>
        <w:t>1014.88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eastAsia="zh-CN"/>
        </w:rPr>
        <w:t>99.85%</w:t>
      </w:r>
      <w:r>
        <w:rPr>
          <w:rFonts w:hint="eastAsia" w:ascii="仿宋" w:hAnsi="仿宋" w:eastAsia="仿宋"/>
          <w:color w:val="auto"/>
          <w:sz w:val="32"/>
          <w:szCs w:val="32"/>
          <w:highlight w:val="none"/>
        </w:rPr>
        <w:t>；政府性基金预算财政拨款收入</w:t>
      </w:r>
      <w:r>
        <w:rPr>
          <w:rFonts w:hint="eastAsia" w:ascii="仿宋" w:hAnsi="仿宋" w:eastAsia="仿宋"/>
          <w:color w:val="auto"/>
          <w:sz w:val="32"/>
          <w:szCs w:val="32"/>
          <w:highlight w:val="none"/>
          <w:lang w:val="en-US" w:eastAsia="zh-CN"/>
        </w:rPr>
        <w:t>1.50万</w:t>
      </w:r>
      <w:r>
        <w:rPr>
          <w:rFonts w:hint="eastAsia" w:ascii="仿宋" w:hAnsi="仿宋" w:eastAsia="仿宋"/>
          <w:color w:val="auto"/>
          <w:sz w:val="32"/>
          <w:szCs w:val="32"/>
          <w:highlight w:val="none"/>
        </w:rPr>
        <w:t>元，占</w:t>
      </w:r>
      <w:r>
        <w:rPr>
          <w:rFonts w:hint="eastAsia" w:ascii="仿宋" w:hAnsi="仿宋" w:eastAsia="仿宋"/>
          <w:color w:val="auto"/>
          <w:sz w:val="32"/>
          <w:szCs w:val="32"/>
          <w:highlight w:val="none"/>
          <w:lang w:eastAsia="zh-CN"/>
        </w:rPr>
        <w:t>0.15%</w:t>
      </w:r>
      <w:r>
        <w:rPr>
          <w:rFonts w:hint="eastAsia" w:ascii="仿宋" w:hAnsi="仿宋" w:eastAsia="仿宋"/>
          <w:color w:val="auto"/>
          <w:sz w:val="32"/>
          <w:szCs w:val="32"/>
          <w:highlight w:val="none"/>
        </w:rPr>
        <w:t>。</w:t>
      </w:r>
      <w:bookmarkEnd w:id="46"/>
    </w:p>
    <w:p>
      <w:pPr>
        <w:pStyle w:val="16"/>
        <w:rPr>
          <w:rFonts w:hint="eastAsia" w:eastAsia="宋体"/>
          <w:color w:val="auto"/>
          <w:highlight w:val="none"/>
          <w:lang w:eastAsia="zh-CN"/>
        </w:rPr>
      </w:pPr>
      <w:r>
        <w:rPr>
          <w:rFonts w:hint="eastAsia" w:eastAsia="宋体"/>
          <w:color w:val="auto"/>
          <w:highlight w:val="none"/>
          <w:lang w:eastAsia="zh-CN"/>
        </w:rPr>
        <w:drawing>
          <wp:anchor distT="0" distB="0" distL="114300" distR="114300" simplePos="0" relativeHeight="251660288" behindDoc="0" locked="0" layoutInCell="1" allowOverlap="1">
            <wp:simplePos x="0" y="0"/>
            <wp:positionH relativeFrom="column">
              <wp:posOffset>-38100</wp:posOffset>
            </wp:positionH>
            <wp:positionV relativeFrom="paragraph">
              <wp:posOffset>27305</wp:posOffset>
            </wp:positionV>
            <wp:extent cx="5584825" cy="219964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pStyle w:val="4"/>
        <w:bidi w:val="0"/>
        <w:rPr>
          <w:color w:val="auto"/>
          <w:highlight w:val="none"/>
        </w:rPr>
      </w:pPr>
      <w:bookmarkStart w:id="47" w:name="_Toc12816"/>
      <w:bookmarkStart w:id="48" w:name="_Toc15396605"/>
      <w:bookmarkStart w:id="49" w:name="_Toc15377207"/>
      <w:r>
        <w:rPr>
          <w:rFonts w:hint="eastAsia"/>
          <w:color w:val="auto"/>
          <w:highlight w:val="none"/>
          <w:lang w:eastAsia="zh-CN"/>
        </w:rPr>
        <w:t>三、</w:t>
      </w:r>
      <w:r>
        <w:rPr>
          <w:rFonts w:hint="eastAsia"/>
          <w:color w:val="auto"/>
          <w:highlight w:val="none"/>
        </w:rPr>
        <w:t>支出决算情况说明</w:t>
      </w:r>
      <w:bookmarkEnd w:id="47"/>
      <w:bookmarkEnd w:id="48"/>
      <w:bookmarkEnd w:id="49"/>
    </w:p>
    <w:p>
      <w:pPr>
        <w:spacing w:line="600" w:lineRule="exact"/>
        <w:ind w:firstLine="640" w:firstLineChars="200"/>
        <w:outlineLvl w:val="1"/>
        <w:rPr>
          <w:rFonts w:ascii="仿宋" w:hAnsi="仿宋" w:eastAsia="仿宋"/>
          <w:color w:val="auto"/>
          <w:sz w:val="32"/>
          <w:szCs w:val="32"/>
          <w:highlight w:val="none"/>
        </w:rPr>
      </w:pPr>
      <w:bookmarkStart w:id="50" w:name="_Toc31076"/>
      <w:r>
        <w:rPr>
          <w:rFonts w:hint="eastAsia" w:ascii="仿宋" w:hAnsi="仿宋" w:eastAsia="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889635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21年本年支出合计</w:t>
      </w:r>
      <w:r>
        <w:rPr>
          <w:rFonts w:hint="eastAsia" w:ascii="仿宋" w:hAnsi="仿宋" w:eastAsia="仿宋"/>
          <w:color w:val="auto"/>
          <w:sz w:val="32"/>
          <w:szCs w:val="32"/>
          <w:highlight w:val="none"/>
          <w:lang w:eastAsia="zh-CN"/>
        </w:rPr>
        <w:t>1016.39</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744.88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73.29</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271.5万</w:t>
      </w:r>
      <w:r>
        <w:rPr>
          <w:rFonts w:hint="eastAsia" w:ascii="仿宋" w:hAnsi="仿宋" w:eastAsia="仿宋"/>
          <w:color w:val="auto"/>
          <w:sz w:val="32"/>
          <w:szCs w:val="32"/>
          <w:highlight w:val="none"/>
        </w:rPr>
        <w:t>元，占</w:t>
      </w:r>
      <w:r>
        <w:rPr>
          <w:rFonts w:hint="eastAsia" w:ascii="仿宋" w:hAnsi="仿宋" w:eastAsia="仿宋"/>
          <w:color w:val="auto"/>
          <w:sz w:val="32"/>
          <w:szCs w:val="32"/>
          <w:highlight w:val="none"/>
          <w:lang w:val="en-US" w:eastAsia="zh-CN"/>
        </w:rPr>
        <w:t>26.71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50"/>
    </w:p>
    <w:p>
      <w:pPr>
        <w:pStyle w:val="4"/>
        <w:bidi w:val="0"/>
        <w:rPr>
          <w:color w:val="auto"/>
          <w:highlight w:val="none"/>
        </w:rPr>
      </w:pPr>
      <w:bookmarkStart w:id="51" w:name="_Toc15377208"/>
      <w:bookmarkStart w:id="52" w:name="_Toc15396606"/>
      <w:bookmarkStart w:id="53" w:name="_Toc20083"/>
      <w:r>
        <w:rPr>
          <w:rFonts w:hint="eastAsia"/>
          <w:color w:val="auto"/>
          <w:highlight w:val="none"/>
        </w:rPr>
        <w:t>四、财政拨款收入支出决算总体情况说明</w:t>
      </w:r>
      <w:bookmarkEnd w:id="51"/>
      <w:bookmarkEnd w:id="52"/>
      <w:bookmarkEnd w:id="53"/>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21年财政拨款收、支总计</w:t>
      </w:r>
      <w:r>
        <w:rPr>
          <w:rFonts w:hint="eastAsia" w:ascii="仿宋" w:hAnsi="仿宋" w:eastAsia="仿宋"/>
          <w:color w:val="auto"/>
          <w:sz w:val="32"/>
          <w:szCs w:val="32"/>
          <w:highlight w:val="none"/>
          <w:lang w:val="en-US" w:eastAsia="zh-CN"/>
        </w:rPr>
        <w:t>1016.39</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20年相比，财政拨款收、支总计各</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12.77</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1.24%</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基本支出减少</w:t>
      </w:r>
      <w:r>
        <w:rPr>
          <w:rFonts w:hint="eastAsia" w:ascii="仿宋" w:hAnsi="仿宋" w:eastAsia="仿宋"/>
          <w:color w:val="auto"/>
          <w:sz w:val="32"/>
          <w:szCs w:val="32"/>
          <w:highlight w:val="none"/>
        </w:rPr>
        <w:t>。</w:t>
      </w:r>
    </w:p>
    <w:p>
      <w:pPr>
        <w:pStyle w:val="16"/>
        <w:rPr>
          <w:color w:val="auto"/>
          <w:highlight w:val="none"/>
        </w:rPr>
      </w:pPr>
      <w:r>
        <w:rPr>
          <w:rFonts w:hint="eastAsia" w:eastAsia="宋体"/>
          <w:color w:val="auto"/>
          <w:highlight w:val="none"/>
          <w:lang w:eastAsia="zh-CN"/>
        </w:rPr>
        <w:drawing>
          <wp:anchor distT="0" distB="0" distL="114300" distR="114300" simplePos="0" relativeHeight="251661312" behindDoc="0" locked="0" layoutInCell="1" allowOverlap="1">
            <wp:simplePos x="0" y="0"/>
            <wp:positionH relativeFrom="column">
              <wp:posOffset>4445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4"/>
        <w:bidi w:val="0"/>
        <w:rPr>
          <w:color w:val="auto"/>
          <w:highlight w:val="none"/>
        </w:rPr>
      </w:pPr>
      <w:bookmarkStart w:id="54" w:name="_Toc20242"/>
      <w:bookmarkStart w:id="55" w:name="_Toc15377209"/>
      <w:bookmarkStart w:id="56" w:name="_Toc15396607"/>
      <w:r>
        <w:rPr>
          <w:rFonts w:hint="eastAsia"/>
          <w:color w:val="auto"/>
          <w:highlight w:val="none"/>
        </w:rPr>
        <w:t>五、一般公共预算财政拨款支出决算情况说明</w:t>
      </w:r>
      <w:bookmarkEnd w:id="54"/>
      <w:bookmarkEnd w:id="55"/>
      <w:bookmarkEnd w:id="56"/>
    </w:p>
    <w:p>
      <w:pPr>
        <w:spacing w:line="600" w:lineRule="exact"/>
        <w:ind w:firstLine="643" w:firstLineChars="200"/>
        <w:outlineLvl w:val="2"/>
        <w:rPr>
          <w:rFonts w:ascii="仿宋" w:hAnsi="仿宋" w:eastAsia="仿宋"/>
          <w:b/>
          <w:color w:val="auto"/>
          <w:sz w:val="32"/>
          <w:szCs w:val="32"/>
          <w:highlight w:val="none"/>
        </w:rPr>
      </w:pPr>
      <w:bookmarkStart w:id="57" w:name="_Toc15377210"/>
      <w:r>
        <w:rPr>
          <w:rFonts w:hint="eastAsia" w:ascii="仿宋" w:hAnsi="仿宋" w:eastAsia="仿宋"/>
          <w:b/>
          <w:color w:val="auto"/>
          <w:sz w:val="32"/>
          <w:szCs w:val="32"/>
          <w:highlight w:val="none"/>
        </w:rPr>
        <w:t>（一）一般公共预算财政拨款支出决算总体情况</w:t>
      </w:r>
      <w:bookmarkEnd w:id="57"/>
    </w:p>
    <w:p>
      <w:pPr>
        <w:spacing w:line="600" w:lineRule="exact"/>
        <w:ind w:firstLine="640"/>
        <w:rPr>
          <w:rFonts w:hint="eastAsia" w:ascii="仿宋" w:hAnsi="仿宋" w:eastAsia="仿宋"/>
          <w:b/>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eastAsia="zh-CN"/>
        </w:rPr>
        <w:t>1014.88</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eastAsia="zh-CN"/>
        </w:rPr>
        <w:t>99.85%</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w:t>
      </w:r>
      <w:r>
        <w:rPr>
          <w:rFonts w:hint="eastAsia" w:ascii="仿宋" w:hAnsi="仿宋" w:eastAsia="仿宋"/>
          <w:color w:val="auto"/>
          <w:sz w:val="32"/>
          <w:szCs w:val="32"/>
          <w:highlight w:val="none"/>
          <w:lang w:val="en-US" w:eastAsia="zh-CN"/>
        </w:rPr>
        <w:t>1026.16</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相比，一般公共预算财政拨款支出</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11.28</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1.10</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基本支出减少</w:t>
      </w:r>
      <w:r>
        <w:rPr>
          <w:rFonts w:hint="eastAsia" w:ascii="仿宋" w:hAnsi="仿宋" w:eastAsia="仿宋"/>
          <w:color w:val="auto"/>
          <w:sz w:val="32"/>
          <w:szCs w:val="32"/>
          <w:highlight w:val="none"/>
        </w:rPr>
        <w:t>。</w:t>
      </w:r>
    </w:p>
    <w:p>
      <w:pPr>
        <w:spacing w:line="600" w:lineRule="exact"/>
        <w:ind w:firstLine="643" w:firstLineChars="200"/>
        <w:outlineLvl w:val="2"/>
        <w:rPr>
          <w:rFonts w:ascii="仿宋" w:hAnsi="仿宋" w:eastAsia="仿宋"/>
          <w:b/>
          <w:color w:val="auto"/>
          <w:sz w:val="32"/>
          <w:szCs w:val="32"/>
          <w:highlight w:val="none"/>
        </w:rPr>
      </w:pPr>
      <w:bookmarkStart w:id="58" w:name="_Toc15377211"/>
      <w:r>
        <w:rPr>
          <w:rFonts w:hint="eastAsia" w:ascii="仿宋" w:hAnsi="仿宋" w:eastAsia="仿宋"/>
          <w:b/>
          <w:color w:val="auto"/>
          <w:sz w:val="32"/>
          <w:szCs w:val="32"/>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b/>
          <w:color w:val="auto"/>
          <w:sz w:val="32"/>
          <w:szCs w:val="32"/>
          <w:highlight w:val="none"/>
        </w:rPr>
        <w:t>（二）一般公共预算财政拨款支出决算结构情况</w:t>
      </w:r>
      <w:bookmarkEnd w:id="58"/>
    </w:p>
    <w:p>
      <w:pPr>
        <w:spacing w:line="600" w:lineRule="exact"/>
        <w:ind w:firstLine="640"/>
        <w:rPr>
          <w:rFonts w:ascii="仿宋" w:hAnsi="仿宋" w:eastAsia="仿宋"/>
          <w:color w:val="auto"/>
          <w:sz w:val="32"/>
          <w:szCs w:val="32"/>
          <w:highlight w:val="none"/>
        </w:rPr>
      </w:pPr>
      <w:r>
        <w:rPr>
          <w:rFonts w:hint="eastAsia" w:ascii="仿宋" w:hAnsi="仿宋" w:eastAsia="仿宋"/>
          <w:b/>
          <w:color w:val="auto"/>
          <w:sz w:val="32"/>
          <w:szCs w:val="32"/>
          <w:highlight w:val="none"/>
        </w:rPr>
        <w:drawing>
          <wp:anchor distT="0" distB="0" distL="114300" distR="114300" simplePos="0" relativeHeight="251663360" behindDoc="0" locked="0" layoutInCell="1" allowOverlap="1">
            <wp:simplePos x="0" y="0"/>
            <wp:positionH relativeFrom="column">
              <wp:posOffset>52070</wp:posOffset>
            </wp:positionH>
            <wp:positionV relativeFrom="paragraph">
              <wp:posOffset>1212850</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1014.88</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教育支出（类）</w:t>
      </w:r>
      <w:r>
        <w:rPr>
          <w:rFonts w:hint="eastAsia" w:ascii="仿宋" w:hAnsi="仿宋" w:eastAsia="仿宋"/>
          <w:b/>
          <w:color w:val="auto"/>
          <w:sz w:val="32"/>
          <w:szCs w:val="32"/>
          <w:highlight w:val="none"/>
          <w:lang w:val="en-US" w:eastAsia="zh-CN"/>
        </w:rPr>
        <w:t>1000</w:t>
      </w:r>
      <w:r>
        <w:rPr>
          <w:rFonts w:hint="eastAsia" w:ascii="仿宋" w:hAnsi="仿宋" w:eastAsia="仿宋"/>
          <w:color w:val="auto"/>
          <w:sz w:val="32"/>
          <w:szCs w:val="32"/>
          <w:highlight w:val="none"/>
          <w:lang w:val="en-US" w:eastAsia="zh-CN"/>
        </w:rPr>
        <w:t>.64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98.60</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b/>
          <w:color w:val="auto"/>
          <w:sz w:val="32"/>
          <w:szCs w:val="32"/>
          <w:highlight w:val="none"/>
          <w:lang w:eastAsia="zh-CN"/>
        </w:rPr>
        <w:t>社会保障和就业支出</w:t>
      </w:r>
      <w:r>
        <w:rPr>
          <w:rFonts w:hint="eastAsia" w:ascii="仿宋" w:hAnsi="仿宋" w:eastAsia="仿宋"/>
          <w:b/>
          <w:color w:val="auto"/>
          <w:sz w:val="32"/>
          <w:szCs w:val="32"/>
          <w:highlight w:val="none"/>
        </w:rPr>
        <w:t>（类）</w:t>
      </w:r>
      <w:r>
        <w:rPr>
          <w:rFonts w:hint="eastAsia" w:ascii="仿宋" w:hAnsi="仿宋" w:eastAsia="仿宋"/>
          <w:color w:val="auto"/>
          <w:sz w:val="32"/>
          <w:szCs w:val="32"/>
          <w:highlight w:val="none"/>
          <w:lang w:val="en-US" w:eastAsia="zh-CN"/>
        </w:rPr>
        <w:t>14.24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1.40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3" w:firstLineChars="200"/>
        <w:jc w:val="left"/>
        <w:rPr>
          <w:rFonts w:ascii="仿宋" w:hAnsi="仿宋" w:eastAsia="仿宋"/>
          <w:b/>
          <w:color w:val="auto"/>
          <w:sz w:val="32"/>
          <w:szCs w:val="32"/>
          <w:highlight w:val="none"/>
        </w:rPr>
      </w:pPr>
      <w:bookmarkStart w:id="59" w:name="_Toc15377212"/>
      <w:r>
        <w:rPr>
          <w:rFonts w:hint="eastAsia" w:ascii="仿宋" w:hAnsi="仿宋" w:eastAsia="仿宋"/>
          <w:b/>
          <w:color w:val="auto"/>
          <w:sz w:val="32"/>
          <w:szCs w:val="32"/>
          <w:highlight w:val="none"/>
        </w:rPr>
        <w:t>（三）一般公共预算财政拨款支出决算具体情况</w:t>
      </w:r>
      <w:bookmarkEnd w:id="59"/>
    </w:p>
    <w:p>
      <w:pPr>
        <w:spacing w:line="600" w:lineRule="exact"/>
        <w:ind w:firstLine="643" w:firstLineChars="200"/>
        <w:outlineLvl w:val="2"/>
        <w:rPr>
          <w:rFonts w:ascii="仿宋" w:hAnsi="仿宋" w:eastAsia="仿宋"/>
          <w:color w:val="auto"/>
          <w:sz w:val="32"/>
          <w:szCs w:val="32"/>
          <w:highlight w:val="none"/>
        </w:rPr>
      </w:pPr>
      <w:bookmarkStart w:id="60" w:name="_Toc15377213"/>
      <w:bookmarkStart w:id="61" w:name="_Toc15377444"/>
      <w:bookmarkStart w:id="62" w:name="_Toc15378460"/>
      <w:r>
        <w:rPr>
          <w:rFonts w:hint="eastAsia" w:ascii="仿宋" w:hAnsi="仿宋" w:eastAsia="仿宋"/>
          <w:b/>
          <w:color w:val="auto"/>
          <w:sz w:val="32"/>
          <w:szCs w:val="32"/>
          <w:highlight w:val="none"/>
        </w:rPr>
        <w:t>2021年一般公共预算支出决算数为</w:t>
      </w:r>
      <w:r>
        <w:rPr>
          <w:rFonts w:hint="eastAsia" w:ascii="仿宋" w:hAnsi="仿宋" w:eastAsia="仿宋"/>
          <w:color w:val="auto"/>
          <w:sz w:val="32"/>
          <w:szCs w:val="32"/>
          <w:highlight w:val="none"/>
          <w:lang w:val="en-US" w:eastAsia="zh-CN"/>
        </w:rPr>
        <w:t>1014.88</w:t>
      </w:r>
      <w:r>
        <w:rPr>
          <w:rFonts w:hint="eastAsia" w:ascii="仿宋" w:hAnsi="仿宋" w:eastAsia="仿宋"/>
          <w:b/>
          <w:color w:val="auto"/>
          <w:sz w:val="32"/>
          <w:szCs w:val="32"/>
          <w:highlight w:val="none"/>
          <w:lang w:val="en-US" w:eastAsia="zh-CN"/>
        </w:rPr>
        <w:t>万元</w:t>
      </w:r>
      <w:r>
        <w:rPr>
          <w:rFonts w:hint="eastAsia" w:ascii="仿宋" w:hAnsi="仿宋" w:eastAsia="仿宋"/>
          <w:color w:val="auto"/>
          <w:sz w:val="32"/>
          <w:szCs w:val="32"/>
          <w:highlight w:val="none"/>
        </w:rPr>
        <w:t>，</w:t>
      </w:r>
      <w:r>
        <w:rPr>
          <w:rStyle w:val="19"/>
          <w:rFonts w:hint="eastAsia" w:ascii="仿宋" w:hAnsi="仿宋" w:eastAsia="仿宋"/>
          <w:bCs/>
          <w:color w:val="auto"/>
          <w:sz w:val="32"/>
          <w:szCs w:val="32"/>
          <w:highlight w:val="none"/>
        </w:rPr>
        <w:t>完成预算100</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。其中：</w:t>
      </w:r>
      <w:bookmarkEnd w:id="60"/>
      <w:bookmarkEnd w:id="61"/>
      <w:bookmarkEnd w:id="62"/>
    </w:p>
    <w:p>
      <w:pPr>
        <w:numPr>
          <w:ilvl w:val="0"/>
          <w:numId w:val="3"/>
        </w:numPr>
        <w:spacing w:line="600" w:lineRule="exact"/>
        <w:ind w:firstLine="643" w:firstLineChars="200"/>
        <w:rPr>
          <w:rStyle w:val="19"/>
          <w:rFonts w:hint="eastAsia"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教育205（类）普通教育02（款）小学教育02（项）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730.64</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pPr>
        <w:numPr>
          <w:ilvl w:val="0"/>
          <w:numId w:val="3"/>
        </w:numPr>
        <w:spacing w:line="600" w:lineRule="exact"/>
        <w:ind w:firstLine="643" w:firstLineChars="200"/>
        <w:rPr>
          <w:rStyle w:val="19"/>
          <w:rFonts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教育205（类）普通教育02（款）其他普通教育支出</w:t>
      </w:r>
      <w:r>
        <w:rPr>
          <w:rStyle w:val="19"/>
          <w:rFonts w:hint="eastAsia" w:ascii="仿宋" w:hAnsi="仿宋" w:eastAsia="仿宋"/>
          <w:bCs/>
          <w:color w:val="auto"/>
          <w:sz w:val="32"/>
          <w:szCs w:val="32"/>
          <w:highlight w:val="none"/>
          <w:lang w:val="en-US" w:eastAsia="zh-CN"/>
        </w:rPr>
        <w:t>99</w:t>
      </w:r>
      <w:r>
        <w:rPr>
          <w:rStyle w:val="19"/>
          <w:rFonts w:hint="eastAsia" w:ascii="仿宋" w:hAnsi="仿宋" w:eastAsia="仿宋"/>
          <w:bCs/>
          <w:color w:val="auto"/>
          <w:sz w:val="32"/>
          <w:szCs w:val="32"/>
          <w:highlight w:val="none"/>
        </w:rPr>
        <w:t>（项）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270</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pPr>
        <w:numPr>
          <w:ilvl w:val="0"/>
          <w:numId w:val="3"/>
        </w:numPr>
        <w:spacing w:line="600" w:lineRule="exact"/>
        <w:ind w:firstLine="643" w:firstLineChars="200"/>
        <w:rPr>
          <w:rStyle w:val="19"/>
          <w:rFonts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社会保障和就业支出20</w:t>
      </w:r>
      <w:r>
        <w:rPr>
          <w:rStyle w:val="19"/>
          <w:rFonts w:hint="eastAsia" w:ascii="仿宋" w:hAnsi="仿宋" w:eastAsia="仿宋"/>
          <w:bCs/>
          <w:color w:val="auto"/>
          <w:sz w:val="32"/>
          <w:szCs w:val="32"/>
          <w:highlight w:val="none"/>
          <w:lang w:val="en-US" w:eastAsia="zh-CN"/>
        </w:rPr>
        <w:t>8</w:t>
      </w:r>
      <w:r>
        <w:rPr>
          <w:rStyle w:val="19"/>
          <w:rFonts w:hint="eastAsia" w:ascii="仿宋" w:hAnsi="仿宋" w:eastAsia="仿宋"/>
          <w:bCs/>
          <w:color w:val="auto"/>
          <w:sz w:val="32"/>
          <w:szCs w:val="32"/>
          <w:highlight w:val="none"/>
        </w:rPr>
        <w:t>（类）抚恤</w:t>
      </w:r>
      <w:r>
        <w:rPr>
          <w:rStyle w:val="19"/>
          <w:rFonts w:hint="eastAsia" w:ascii="仿宋" w:hAnsi="仿宋" w:eastAsia="仿宋"/>
          <w:bCs/>
          <w:color w:val="auto"/>
          <w:sz w:val="32"/>
          <w:szCs w:val="32"/>
          <w:highlight w:val="none"/>
          <w:lang w:val="en-US" w:eastAsia="zh-CN"/>
        </w:rPr>
        <w:t>08</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eastAsia="zh-CN"/>
        </w:rPr>
        <w:t>死亡抚恤</w:t>
      </w:r>
      <w:r>
        <w:rPr>
          <w:rStyle w:val="19"/>
          <w:rFonts w:hint="eastAsia" w:ascii="仿宋" w:hAnsi="仿宋" w:eastAsia="仿宋"/>
          <w:bCs/>
          <w:color w:val="auto"/>
          <w:sz w:val="32"/>
          <w:szCs w:val="32"/>
          <w:highlight w:val="none"/>
          <w:lang w:val="en-US" w:eastAsia="zh-CN"/>
        </w:rPr>
        <w:t>01</w:t>
      </w:r>
      <w:r>
        <w:rPr>
          <w:rStyle w:val="19"/>
          <w:rFonts w:hint="eastAsia" w:ascii="仿宋" w:hAnsi="仿宋" w:eastAsia="仿宋"/>
          <w:bCs/>
          <w:color w:val="auto"/>
          <w:sz w:val="32"/>
          <w:szCs w:val="32"/>
          <w:highlight w:val="none"/>
        </w:rPr>
        <w:t>（项）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14.24</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pPr>
        <w:pStyle w:val="16"/>
        <w:rPr>
          <w:color w:val="auto"/>
          <w:highlight w:val="none"/>
        </w:rPr>
      </w:pPr>
    </w:p>
    <w:p>
      <w:pPr>
        <w:pStyle w:val="4"/>
        <w:bidi w:val="0"/>
        <w:rPr>
          <w:color w:val="auto"/>
          <w:highlight w:val="none"/>
        </w:rPr>
      </w:pPr>
      <w:bookmarkStart w:id="63" w:name="_Toc15396608"/>
      <w:bookmarkStart w:id="64" w:name="_Toc2813"/>
      <w:bookmarkStart w:id="65" w:name="_Toc15377214"/>
      <w:r>
        <w:rPr>
          <w:rFonts w:hint="eastAsia"/>
          <w:color w:val="auto"/>
          <w:highlight w:val="none"/>
        </w:rPr>
        <w:t>六、一般公共预算财政拨款基本支出决算情况说明</w:t>
      </w:r>
      <w:bookmarkEnd w:id="63"/>
      <w:bookmarkEnd w:id="64"/>
      <w:bookmarkEnd w:id="65"/>
      <w:r>
        <w:rPr>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21年一般公共预算财政拨款基本支出</w:t>
      </w:r>
      <w:r>
        <w:rPr>
          <w:rFonts w:hint="eastAsia" w:ascii="仿宋" w:hAnsi="仿宋" w:eastAsia="仿宋"/>
          <w:color w:val="auto"/>
          <w:sz w:val="32"/>
          <w:szCs w:val="32"/>
          <w:highlight w:val="none"/>
          <w:lang w:val="en-US" w:eastAsia="zh-CN"/>
        </w:rPr>
        <w:t>1014.88</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671</w:t>
      </w:r>
      <w:r>
        <w:rPr>
          <w:rFonts w:hint="eastAsia" w:ascii="仿宋" w:hAnsi="仿宋" w:eastAsia="仿宋"/>
          <w:color w:val="auto"/>
          <w:sz w:val="32"/>
          <w:szCs w:val="32"/>
          <w:highlight w:val="none"/>
        </w:rPr>
        <w:t>万元，主要包括：基本工资、津贴补贴、绩效工资、机关事业单位基本养老保险缴费、职业年金缴费、职工基本医疗保险缴费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其他社会保障缴费、其他工资福利支出、抚恤金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生活补助、助学金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奖励金、住房公积金等。</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73.88</w:t>
      </w:r>
      <w:r>
        <w:rPr>
          <w:rFonts w:hint="eastAsia" w:ascii="仿宋" w:hAnsi="仿宋" w:eastAsia="仿宋"/>
          <w:color w:val="auto"/>
          <w:sz w:val="32"/>
          <w:szCs w:val="32"/>
          <w:highlight w:val="none"/>
        </w:rPr>
        <w:t>万元，主要包括：办公费、印刷费、手续费、水费、电费、邮电费、差旅费、维修（护）费、培训费、公务接待费、工会经费等。</w:t>
      </w:r>
    </w:p>
    <w:p>
      <w:pPr>
        <w:pStyle w:val="4"/>
        <w:bidi w:val="0"/>
        <w:rPr>
          <w:color w:val="auto"/>
          <w:highlight w:val="none"/>
        </w:rPr>
      </w:pPr>
      <w:bookmarkStart w:id="66" w:name="_Toc9813"/>
      <w:bookmarkStart w:id="67" w:name="_Toc15377215"/>
      <w:bookmarkStart w:id="68" w:name="_Toc15396609"/>
      <w:r>
        <w:rPr>
          <w:rFonts w:hint="eastAsia"/>
          <w:color w:val="auto"/>
          <w:highlight w:val="none"/>
        </w:rPr>
        <w:t>七、“三公”经费财政拨款支出决算情况说明</w:t>
      </w:r>
      <w:bookmarkEnd w:id="66"/>
      <w:bookmarkEnd w:id="67"/>
      <w:bookmarkEnd w:id="68"/>
    </w:p>
    <w:p>
      <w:pPr>
        <w:spacing w:line="600" w:lineRule="exact"/>
        <w:ind w:firstLine="640"/>
        <w:outlineLvl w:val="2"/>
        <w:rPr>
          <w:rFonts w:ascii="仿宋" w:hAnsi="仿宋" w:eastAsia="仿宋"/>
          <w:b/>
          <w:color w:val="auto"/>
          <w:sz w:val="32"/>
          <w:szCs w:val="32"/>
          <w:highlight w:val="none"/>
        </w:rPr>
      </w:pPr>
      <w:bookmarkStart w:id="69" w:name="_Toc15377216"/>
      <w:r>
        <w:rPr>
          <w:rFonts w:hint="eastAsia" w:ascii="仿宋" w:hAnsi="仿宋" w:eastAsia="仿宋"/>
          <w:b/>
          <w:color w:val="auto"/>
          <w:sz w:val="32"/>
          <w:szCs w:val="32"/>
          <w:highlight w:val="none"/>
        </w:rPr>
        <w:t>（一）“三公”经费财政拨款支出决算总体情况说明</w:t>
      </w:r>
      <w:bookmarkEnd w:id="69"/>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21年“三公”经费财政拨款支出决算为</w:t>
      </w:r>
      <w:r>
        <w:rPr>
          <w:rFonts w:hint="eastAsia" w:ascii="仿宋" w:hAnsi="仿宋" w:eastAsia="仿宋"/>
          <w:color w:val="auto"/>
          <w:sz w:val="32"/>
          <w:szCs w:val="32"/>
          <w:highlight w:val="none"/>
          <w:lang w:val="en-US" w:eastAsia="zh-CN"/>
        </w:rPr>
        <w:t>1.67</w:t>
      </w:r>
      <w:r>
        <w:rPr>
          <w:rFonts w:hint="eastAsia" w:ascii="仿宋" w:hAnsi="仿宋" w:eastAsia="仿宋"/>
          <w:color w:val="auto"/>
          <w:sz w:val="32"/>
          <w:szCs w:val="32"/>
          <w:highlight w:val="none"/>
        </w:rPr>
        <w:t>万元，完成预算9</w:t>
      </w:r>
      <w:r>
        <w:rPr>
          <w:rFonts w:hint="eastAsia" w:ascii="仿宋" w:hAnsi="仿宋" w:eastAsia="仿宋"/>
          <w:color w:val="auto"/>
          <w:sz w:val="32"/>
          <w:szCs w:val="32"/>
          <w:highlight w:val="none"/>
          <w:lang w:val="en-US" w:eastAsia="zh-CN"/>
        </w:rPr>
        <w:t>8.24</w:t>
      </w:r>
      <w:r>
        <w:rPr>
          <w:rFonts w:ascii="仿宋" w:hAnsi="仿宋" w:eastAsia="仿宋"/>
          <w:color w:val="auto"/>
          <w:sz w:val="32"/>
          <w:szCs w:val="32"/>
          <w:highlight w:val="none"/>
        </w:rPr>
        <w:t>%</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70" w:name="_Toc15377217"/>
      <w:r>
        <w:rPr>
          <w:rFonts w:hint="eastAsia" w:ascii="仿宋" w:hAnsi="仿宋" w:eastAsia="仿宋"/>
          <w:b/>
          <w:color w:val="auto"/>
          <w:sz w:val="32"/>
          <w:szCs w:val="32"/>
          <w:highlight w:val="none"/>
        </w:rPr>
        <w:t>（二）“三公”经费财政拨款支出决算具体情况说明</w:t>
      </w:r>
      <w:bookmarkEnd w:id="70"/>
    </w:p>
    <w:p>
      <w:pPr>
        <w:spacing w:line="600" w:lineRule="exact"/>
        <w:ind w:firstLine="640" w:firstLineChars="200"/>
        <w:rPr>
          <w:rFonts w:hint="eastAsia" w:ascii="仿宋" w:hAnsi="仿宋" w:eastAsia="仿宋"/>
          <w:b/>
          <w:color w:val="auto"/>
          <w:sz w:val="32"/>
          <w:szCs w:val="32"/>
          <w:highlight w:val="none"/>
        </w:rPr>
      </w:pPr>
      <w:r>
        <w:rPr>
          <w:rFonts w:hint="eastAsia" w:ascii="仿宋" w:hAnsi="仿宋" w:eastAsia="仿宋"/>
          <w:color w:val="auto"/>
          <w:sz w:val="32"/>
          <w:szCs w:val="32"/>
          <w:highlight w:val="none"/>
          <w:lang w:eastAsia="zh-CN"/>
        </w:rPr>
        <w:drawing>
          <wp:anchor distT="0" distB="0" distL="114300" distR="114300" simplePos="0" relativeHeight="251664384" behindDoc="0" locked="0" layoutInCell="1" allowOverlap="1">
            <wp:simplePos x="0" y="0"/>
            <wp:positionH relativeFrom="column">
              <wp:posOffset>316230</wp:posOffset>
            </wp:positionH>
            <wp:positionV relativeFrom="paragraph">
              <wp:posOffset>1939925</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21年“三公”经费财政拨款支出决算中，因公出国（境）费支出决算0万元，当年未安排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公务用车购置及运行维护费支出决算0万元，当年未安排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1.67</w:t>
      </w:r>
      <w:r>
        <w:rPr>
          <w:rFonts w:hint="eastAsia" w:ascii="仿宋" w:hAnsi="仿宋" w:eastAsia="仿宋"/>
          <w:color w:val="auto"/>
          <w:sz w:val="32"/>
          <w:szCs w:val="32"/>
          <w:highlight w:val="none"/>
        </w:rPr>
        <w:t>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1.因公出国（境）经费支出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2.公务用车购置及运行维护费支出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highlight w:val="none"/>
          <w:lang w:val="en-US"/>
        </w:rPr>
      </w:pPr>
      <w:r>
        <w:rPr>
          <w:rFonts w:hint="eastAsia" w:ascii="仿宋_GB2312" w:hAnsi="Times New Roman" w:eastAsia="仿宋_GB2312" w:cs="仿宋_GB2312"/>
          <w:b/>
          <w:bCs/>
          <w:color w:val="auto"/>
          <w:kern w:val="2"/>
          <w:sz w:val="32"/>
          <w:szCs w:val="32"/>
          <w:highlight w:val="none"/>
          <w:lang w:val="en-US" w:eastAsia="zh-CN" w:bidi="ar"/>
        </w:rPr>
        <w:t>其中：</w:t>
      </w:r>
      <w:r>
        <w:rPr>
          <w:rFonts w:hint="eastAsia" w:ascii="仿宋_GB2312" w:hAnsi="Times New Roman" w:eastAsia="仿宋_GB2312" w:cs="仿宋_GB2312"/>
          <w:b/>
          <w:bCs w:val="0"/>
          <w:color w:val="auto"/>
          <w:kern w:val="2"/>
          <w:sz w:val="32"/>
          <w:szCs w:val="32"/>
          <w:highlight w:val="none"/>
          <w:lang w:val="en-US" w:eastAsia="zh-CN" w:bidi="ar"/>
        </w:rPr>
        <w:t>公务用车购置支出</w:t>
      </w:r>
      <w:r>
        <w:rPr>
          <w:rFonts w:hint="eastAsia" w:ascii="仿宋_GB2312" w:hAnsi="Times New Roman" w:eastAsia="仿宋_GB2312" w:cs="仿宋_GB2312"/>
          <w:bCs/>
          <w:color w:val="auto"/>
          <w:kern w:val="2"/>
          <w:sz w:val="32"/>
          <w:szCs w:val="32"/>
          <w:highlight w:val="none"/>
          <w:lang w:val="en-US" w:eastAsia="zh-CN" w:bidi="ar"/>
        </w:rPr>
        <w:t>0万元。</w:t>
      </w:r>
      <w:r>
        <w:rPr>
          <w:rFonts w:hint="eastAsia" w:ascii="仿宋_GB2312" w:eastAsia="仿宋_GB2312" w:cs="仿宋_GB2312"/>
          <w:bCs/>
          <w:color w:val="auto"/>
          <w:kern w:val="2"/>
          <w:sz w:val="32"/>
          <w:szCs w:val="32"/>
          <w:highlight w:val="none"/>
          <w:lang w:val="en-US" w:eastAsia="zh-CN" w:bidi="ar"/>
        </w:rPr>
        <w:t>全年按规定更新购置公务用车0辆，</w:t>
      </w:r>
      <w:r>
        <w:rPr>
          <w:rFonts w:hint="eastAsia" w:ascii="仿宋_GB2312" w:eastAsia="仿宋_GB2312" w:cs="仿宋_GB2312"/>
          <w:color w:val="auto"/>
          <w:kern w:val="2"/>
          <w:sz w:val="32"/>
          <w:szCs w:val="32"/>
          <w:highlight w:val="none"/>
          <w:lang w:val="en-US" w:eastAsia="zh-CN" w:bidi="ar"/>
        </w:rPr>
        <w:t>主要原因是我单位未购置公务用车。</w:t>
      </w:r>
      <w:r>
        <w:rPr>
          <w:rFonts w:hint="eastAsia" w:ascii="仿宋_GB2312" w:eastAsia="仿宋_GB2312" w:cs="仿宋_GB2312"/>
          <w:bCs/>
          <w:color w:val="auto"/>
          <w:kern w:val="2"/>
          <w:sz w:val="32"/>
          <w:szCs w:val="32"/>
          <w:highlight w:val="none"/>
          <w:lang w:val="en-US" w:eastAsia="zh-CN" w:bidi="ar"/>
        </w:rPr>
        <w:t>截止2021年12月底，单位共有公务用车0辆。</w:t>
      </w:r>
    </w:p>
    <w:p>
      <w:pPr>
        <w:keepNext w:val="0"/>
        <w:keepLines w:val="0"/>
        <w:widowControl w:val="0"/>
        <w:suppressLineNumbers w:val="0"/>
        <w:spacing w:before="0" w:beforeAutospacing="0" w:after="0" w:afterAutospacing="0" w:line="600" w:lineRule="exact"/>
        <w:ind w:right="0" w:firstLine="643" w:firstLineChars="200"/>
        <w:jc w:val="both"/>
        <w:rPr>
          <w:color w:val="auto"/>
          <w:highlight w:val="none"/>
        </w:rPr>
      </w:pPr>
      <w:r>
        <w:rPr>
          <w:rFonts w:hint="eastAsia" w:ascii="仿宋_GB2312" w:hAnsi="Times New Roman" w:eastAsia="仿宋_GB2312" w:cs="仿宋_GB2312"/>
          <w:b/>
          <w:bCs w:val="0"/>
          <w:color w:val="auto"/>
          <w:kern w:val="2"/>
          <w:sz w:val="32"/>
          <w:szCs w:val="32"/>
          <w:highlight w:val="none"/>
          <w:lang w:val="en-US" w:eastAsia="zh-CN" w:bidi="ar"/>
        </w:rPr>
        <w:t>公务用车运行维护费支出</w:t>
      </w:r>
      <w:r>
        <w:rPr>
          <w:rFonts w:hint="eastAsia" w:ascii="仿宋_GB2312" w:hAnsi="Times New Roman" w:eastAsia="仿宋_GB2312" w:cs="仿宋_GB2312"/>
          <w:color w:val="auto"/>
          <w:kern w:val="2"/>
          <w:sz w:val="32"/>
          <w:szCs w:val="32"/>
          <w:highlight w:val="none"/>
          <w:lang w:val="en-US" w:eastAsia="zh-CN" w:bidi="ar"/>
        </w:rPr>
        <w:t>0万元。</w:t>
      </w:r>
      <w:r>
        <w:rPr>
          <w:rFonts w:hint="eastAsia" w:ascii="仿宋_GB2312" w:eastAsia="仿宋_GB2312" w:cs="仿宋_GB2312"/>
          <w:color w:val="auto"/>
          <w:kern w:val="2"/>
          <w:sz w:val="32"/>
          <w:szCs w:val="32"/>
          <w:highlight w:val="none"/>
          <w:lang w:val="en-US" w:eastAsia="zh-CN" w:bidi="ar"/>
        </w:rPr>
        <w:t>主要原因是我单位无公务用车。</w:t>
      </w:r>
    </w:p>
    <w:p>
      <w:pPr>
        <w:spacing w:line="600" w:lineRule="exact"/>
        <w:ind w:firstLine="640"/>
        <w:rPr>
          <w:rFonts w:hint="default" w:ascii="Times New Roman" w:hAnsi="Times New Roman" w:eastAsia="仿宋" w:cs="Times New Roman"/>
          <w:color w:val="auto"/>
          <w:sz w:val="32"/>
          <w:szCs w:val="32"/>
          <w:highlight w:val="none"/>
        </w:rPr>
      </w:pPr>
      <w:r>
        <w:rPr>
          <w:rFonts w:ascii="仿宋_GB2312" w:eastAsia="仿宋_GB2312"/>
          <w:b/>
          <w:bCs w:val="0"/>
          <w:color w:val="auto"/>
          <w:sz w:val="32"/>
          <w:szCs w:val="32"/>
          <w:highlight w:val="none"/>
        </w:rPr>
        <w:t>3.</w:t>
      </w: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lang w:val="en-US" w:eastAsia="zh-CN"/>
        </w:rPr>
        <w:t>1.67</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98.24</w:t>
      </w:r>
      <w:r>
        <w:rPr>
          <w:rFonts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w:t>
      </w:r>
      <w:r>
        <w:rPr>
          <w:rFonts w:hint="eastAsia" w:ascii="仿宋" w:hAnsi="仿宋" w:eastAsia="仿宋" w:cs="仿宋"/>
          <w:color w:val="auto"/>
          <w:sz w:val="32"/>
          <w:szCs w:val="32"/>
          <w:highlight w:val="none"/>
        </w:rPr>
        <w:t>公务接待费支出决算</w:t>
      </w:r>
      <w:r>
        <w:rPr>
          <w:rFonts w:hint="eastAsia" w:ascii="仿宋" w:hAnsi="仿宋" w:eastAsia="仿宋" w:cs="仿宋"/>
          <w:color w:val="auto"/>
          <w:sz w:val="32"/>
          <w:szCs w:val="32"/>
          <w:highlight w:val="none"/>
          <w:lang w:eastAsia="zh-CN"/>
        </w:rPr>
        <w:t>比</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年减少</w:t>
      </w:r>
      <w:r>
        <w:rPr>
          <w:rFonts w:hint="eastAsia" w:ascii="仿宋" w:hAnsi="仿宋" w:eastAsia="仿宋" w:cs="仿宋"/>
          <w:color w:val="auto"/>
          <w:sz w:val="32"/>
          <w:szCs w:val="32"/>
          <w:highlight w:val="none"/>
          <w:lang w:val="en-US" w:eastAsia="zh-CN"/>
        </w:rPr>
        <w:t>0.05</w:t>
      </w:r>
      <w:r>
        <w:rPr>
          <w:rFonts w:hint="eastAsia" w:ascii="仿宋" w:hAnsi="仿宋" w:eastAsia="仿宋" w:cs="仿宋"/>
          <w:color w:val="auto"/>
          <w:sz w:val="32"/>
          <w:szCs w:val="32"/>
          <w:highlight w:val="none"/>
        </w:rPr>
        <w:t>万元，下降</w:t>
      </w:r>
      <w:r>
        <w:rPr>
          <w:rFonts w:hint="eastAsia" w:ascii="仿宋" w:hAnsi="仿宋" w:eastAsia="仿宋" w:cs="仿宋"/>
          <w:color w:val="auto"/>
          <w:sz w:val="32"/>
          <w:szCs w:val="32"/>
          <w:highlight w:val="none"/>
          <w:lang w:val="en-US" w:eastAsia="zh-CN"/>
        </w:rPr>
        <w:t>2.90</w:t>
      </w:r>
      <w:r>
        <w:rPr>
          <w:rFonts w:hint="eastAsia" w:ascii="仿宋" w:hAnsi="仿宋" w:eastAsia="仿宋" w:cs="仿宋"/>
          <w:color w:val="auto"/>
          <w:sz w:val="32"/>
          <w:szCs w:val="32"/>
          <w:highlight w:val="none"/>
        </w:rPr>
        <w:t>%</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eastAsia="zh-CN"/>
        </w:rPr>
        <w:t>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其中：</w:t>
      </w:r>
    </w:p>
    <w:p>
      <w:pPr>
        <w:spacing w:line="600" w:lineRule="exact"/>
        <w:ind w:firstLine="64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b/>
          <w:bCs/>
          <w:color w:val="auto"/>
          <w:sz w:val="32"/>
          <w:szCs w:val="32"/>
          <w:highlight w:val="none"/>
        </w:rPr>
        <w:t>国内公务接待支出</w:t>
      </w:r>
      <w:r>
        <w:rPr>
          <w:rFonts w:hint="eastAsia" w:eastAsia="仿宋" w:cs="Times New Roman"/>
          <w:color w:val="auto"/>
          <w:sz w:val="32"/>
          <w:szCs w:val="32"/>
          <w:highlight w:val="none"/>
          <w:lang w:val="en-US" w:eastAsia="zh-CN"/>
        </w:rPr>
        <w:t>1.67</w:t>
      </w:r>
      <w:r>
        <w:rPr>
          <w:rFonts w:hint="default" w:ascii="Times New Roman" w:hAnsi="Times New Roman" w:eastAsia="仿宋" w:cs="Times New Roman"/>
          <w:color w:val="auto"/>
          <w:sz w:val="32"/>
          <w:szCs w:val="32"/>
          <w:highlight w:val="none"/>
        </w:rPr>
        <w:t>万元，主要用于</w:t>
      </w:r>
      <w:r>
        <w:rPr>
          <w:rFonts w:hint="eastAsia" w:ascii="Times New Roman" w:hAnsi="Times New Roman" w:eastAsia="仿宋" w:cs="Times New Roman"/>
          <w:color w:val="auto"/>
          <w:sz w:val="32"/>
          <w:szCs w:val="32"/>
          <w:highlight w:val="none"/>
          <w:lang w:eastAsia="zh-CN"/>
        </w:rPr>
        <w:t>接待上级来访、</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w:t>
      </w:r>
      <w:r>
        <w:rPr>
          <w:rFonts w:hint="eastAsia" w:ascii="仿宋_GB2312" w:eastAsia="仿宋_GB2312"/>
          <w:color w:val="auto"/>
          <w:sz w:val="32"/>
          <w:szCs w:val="32"/>
          <w:highlight w:val="none"/>
          <w:lang w:val="en-US" w:eastAsia="zh-CN"/>
        </w:rPr>
        <w:t>学生活动费及运动会学生用餐、交通费、体检费等</w:t>
      </w:r>
      <w:r>
        <w:rPr>
          <w:rFonts w:hint="default" w:ascii="Times New Roman" w:hAnsi="Times New Roman" w:eastAsia="仿宋" w:cs="Times New Roman"/>
          <w:color w:val="auto"/>
          <w:sz w:val="32"/>
          <w:szCs w:val="32"/>
          <w:highlight w:val="none"/>
        </w:rPr>
        <w:t>。国内公务接待</w:t>
      </w:r>
      <w:r>
        <w:rPr>
          <w:rFonts w:hint="eastAsia" w:eastAsia="仿宋" w:cs="Times New Roman"/>
          <w:color w:val="auto"/>
          <w:sz w:val="32"/>
          <w:szCs w:val="32"/>
          <w:highlight w:val="none"/>
          <w:lang w:val="en-US" w:eastAsia="zh-CN"/>
        </w:rPr>
        <w:t>49</w:t>
      </w:r>
      <w:r>
        <w:rPr>
          <w:rFonts w:hint="default" w:ascii="Times New Roman" w:hAnsi="Times New Roman" w:eastAsia="仿宋" w:cs="Times New Roman"/>
          <w:color w:val="auto"/>
          <w:sz w:val="32"/>
          <w:szCs w:val="32"/>
          <w:highlight w:val="none"/>
        </w:rPr>
        <w:t>批次，</w:t>
      </w:r>
      <w:r>
        <w:rPr>
          <w:rFonts w:hint="eastAsia" w:eastAsia="仿宋" w:cs="Times New Roman"/>
          <w:color w:val="auto"/>
          <w:sz w:val="32"/>
          <w:szCs w:val="32"/>
          <w:highlight w:val="none"/>
          <w:lang w:val="en-US" w:eastAsia="zh-CN"/>
        </w:rPr>
        <w:t>347</w:t>
      </w:r>
      <w:r>
        <w:rPr>
          <w:rFonts w:hint="default" w:ascii="Times New Roman" w:hAnsi="Times New Roman" w:eastAsia="仿宋" w:cs="Times New Roman"/>
          <w:color w:val="auto"/>
          <w:sz w:val="32"/>
          <w:szCs w:val="32"/>
          <w:highlight w:val="none"/>
        </w:rPr>
        <w:t>人次（不包括陪同人员），共计支出</w:t>
      </w:r>
      <w:r>
        <w:rPr>
          <w:rFonts w:hint="eastAsia" w:ascii="Times New Roman" w:hAnsi="Times New Roman" w:eastAsia="仿宋" w:cs="Times New Roman"/>
          <w:color w:val="auto"/>
          <w:sz w:val="32"/>
          <w:szCs w:val="32"/>
          <w:highlight w:val="none"/>
          <w:lang w:val="en-US" w:eastAsia="zh-CN"/>
        </w:rPr>
        <w:t>1.</w:t>
      </w:r>
      <w:r>
        <w:rPr>
          <w:rFonts w:hint="eastAsia" w:eastAsia="仿宋" w:cs="Times New Roman"/>
          <w:color w:val="auto"/>
          <w:sz w:val="32"/>
          <w:szCs w:val="32"/>
          <w:highlight w:val="none"/>
          <w:lang w:val="en-US" w:eastAsia="zh-CN"/>
        </w:rPr>
        <w:t>67</w:t>
      </w:r>
      <w:r>
        <w:rPr>
          <w:rFonts w:hint="default" w:ascii="Times New Roman" w:hAnsi="Times New Roman" w:eastAsia="仿宋" w:cs="Times New Roman"/>
          <w:color w:val="auto"/>
          <w:sz w:val="32"/>
          <w:szCs w:val="32"/>
          <w:highlight w:val="none"/>
        </w:rPr>
        <w:t>万元</w:t>
      </w:r>
      <w:r>
        <w:rPr>
          <w:rFonts w:hint="eastAsia" w:eastAsia="仿宋" w:cs="Times New Roman"/>
          <w:color w:val="auto"/>
          <w:sz w:val="32"/>
          <w:szCs w:val="32"/>
          <w:highlight w:val="none"/>
          <w:lang w:eastAsia="zh-CN"/>
        </w:rPr>
        <w:t>，具体内容包括</w:t>
      </w:r>
      <w:r>
        <w:rPr>
          <w:rFonts w:hint="eastAsia" w:ascii="Times New Roman" w:hAnsi="Times New Roman" w:eastAsia="仿宋" w:cs="Times New Roman"/>
          <w:color w:val="auto"/>
          <w:sz w:val="32"/>
          <w:szCs w:val="32"/>
          <w:highlight w:val="none"/>
          <w:lang w:eastAsia="zh-CN"/>
        </w:rPr>
        <w:t>接待上级来访</w:t>
      </w:r>
      <w:r>
        <w:rPr>
          <w:rFonts w:hint="eastAsia" w:eastAsia="仿宋" w:cs="Times New Roman"/>
          <w:color w:val="auto"/>
          <w:sz w:val="32"/>
          <w:szCs w:val="32"/>
          <w:highlight w:val="none"/>
          <w:lang w:val="en-US" w:eastAsia="zh-CN"/>
        </w:rPr>
        <w:t>0.3万元</w:t>
      </w:r>
      <w:r>
        <w:rPr>
          <w:rFonts w:hint="eastAsia" w:ascii="Times New Roman" w:hAnsi="Times New Roman" w:eastAsia="仿宋" w:cs="Times New Roman"/>
          <w:color w:val="auto"/>
          <w:sz w:val="32"/>
          <w:szCs w:val="32"/>
          <w:highlight w:val="none"/>
          <w:lang w:eastAsia="zh-CN"/>
        </w:rPr>
        <w:t>、</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交流0.5万元、</w:t>
      </w:r>
      <w:r>
        <w:rPr>
          <w:rFonts w:hint="eastAsia" w:ascii="仿宋_GB2312" w:eastAsia="仿宋_GB2312"/>
          <w:color w:val="auto"/>
          <w:sz w:val="32"/>
          <w:szCs w:val="32"/>
          <w:highlight w:val="none"/>
          <w:lang w:val="en-US" w:eastAsia="zh-CN"/>
        </w:rPr>
        <w:t>学生活动费及运动会学生用餐、交通费、体检费等0.87万元。</w:t>
      </w:r>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highlight w:val="none"/>
        </w:rPr>
        <w:t>外事接待支出</w:t>
      </w:r>
      <w:r>
        <w:rPr>
          <w:rFonts w:hint="eastAsia" w:ascii="仿宋_GB2312" w:hAnsi="Times New Roman" w:eastAsia="仿宋_GB2312" w:cs="仿宋_GB2312"/>
          <w:color w:val="auto"/>
          <w:kern w:val="2"/>
          <w:sz w:val="32"/>
          <w:szCs w:val="32"/>
          <w:highlight w:val="none"/>
          <w:lang w:val="en-US" w:eastAsia="zh-CN" w:bidi="ar"/>
        </w:rPr>
        <w:t>决算与2020年持平</w:t>
      </w:r>
      <w:r>
        <w:rPr>
          <w:rFonts w:hint="eastAsia" w:ascii="Times New Roman" w:hAnsi="Times New Roman" w:eastAsia="仿宋" w:cs="Times New Roman"/>
          <w:color w:val="auto"/>
          <w:sz w:val="32"/>
          <w:szCs w:val="32"/>
          <w:highlight w:val="none"/>
        </w:rPr>
        <w:t>。</w:t>
      </w:r>
    </w:p>
    <w:p>
      <w:pPr>
        <w:spacing w:line="600" w:lineRule="exact"/>
        <w:outlineLvl w:val="1"/>
        <w:rPr>
          <w:rFonts w:ascii="黑体" w:eastAsia="黑体"/>
          <w:color w:val="auto"/>
          <w:sz w:val="32"/>
          <w:szCs w:val="32"/>
          <w:highlight w:val="none"/>
        </w:rPr>
      </w:pPr>
      <w:bookmarkStart w:id="71" w:name="_Toc15377218"/>
      <w:bookmarkStart w:id="72" w:name="_Toc15396610"/>
    </w:p>
    <w:p>
      <w:pPr>
        <w:pStyle w:val="4"/>
        <w:bidi w:val="0"/>
        <w:rPr>
          <w:color w:val="auto"/>
          <w:highlight w:val="none"/>
        </w:rPr>
      </w:pPr>
      <w:bookmarkStart w:id="73" w:name="_Toc3503"/>
      <w:r>
        <w:rPr>
          <w:rFonts w:hint="eastAsia"/>
          <w:color w:val="auto"/>
          <w:highlight w:val="none"/>
        </w:rPr>
        <w:t>八、政府性基金预算支出决算情况说明</w:t>
      </w:r>
      <w:bookmarkEnd w:id="71"/>
      <w:bookmarkEnd w:id="72"/>
      <w:bookmarkEnd w:id="73"/>
    </w:p>
    <w:p>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21年政府性基金预算财政拨款支出</w:t>
      </w:r>
      <w:r>
        <w:rPr>
          <w:rFonts w:hint="eastAsia" w:ascii="仿宋_GB2312" w:eastAsia="仿宋_GB2312"/>
          <w:color w:val="auto"/>
          <w:sz w:val="32"/>
          <w:szCs w:val="32"/>
          <w:highlight w:val="none"/>
          <w:lang w:val="en-US" w:eastAsia="zh-CN"/>
        </w:rPr>
        <w:t>1.50万</w:t>
      </w:r>
      <w:r>
        <w:rPr>
          <w:rFonts w:hint="eastAsia" w:ascii="仿宋_GB2312" w:eastAsia="仿宋_GB2312"/>
          <w:color w:val="auto"/>
          <w:sz w:val="32"/>
          <w:szCs w:val="32"/>
          <w:highlight w:val="none"/>
        </w:rPr>
        <w:t>元。202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年本单位未在政府性基金预算拨款安排“三公”经费支出。</w:t>
      </w:r>
    </w:p>
    <w:p>
      <w:pPr>
        <w:pStyle w:val="16"/>
        <w:rPr>
          <w:color w:val="auto"/>
          <w:highlight w:val="none"/>
        </w:rPr>
      </w:pPr>
    </w:p>
    <w:p>
      <w:pPr>
        <w:pStyle w:val="4"/>
        <w:numPr>
          <w:ilvl w:val="0"/>
          <w:numId w:val="4"/>
        </w:numPr>
        <w:bidi w:val="0"/>
        <w:rPr>
          <w:color w:val="auto"/>
          <w:highlight w:val="none"/>
        </w:rPr>
      </w:pPr>
      <w:bookmarkStart w:id="74" w:name="_Toc30571"/>
      <w:bookmarkStart w:id="75" w:name="_Toc15377219"/>
      <w:bookmarkStart w:id="76" w:name="_Toc15396611"/>
      <w:r>
        <w:rPr>
          <w:rFonts w:hint="eastAsia"/>
          <w:color w:val="auto"/>
          <w:highlight w:val="none"/>
        </w:rPr>
        <w:t>国有资本经营预算支出决算情况说明</w:t>
      </w:r>
      <w:bookmarkEnd w:id="74"/>
      <w:bookmarkEnd w:id="75"/>
      <w:bookmarkEnd w:id="76"/>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21年国有资本经营预算财政拨款支出0万元，年初未安排预算。</w:t>
      </w:r>
    </w:p>
    <w:p>
      <w:pPr>
        <w:spacing w:line="580" w:lineRule="exact"/>
        <w:rPr>
          <w:rFonts w:ascii="方正小标宋简体" w:hAnsi="方正小标宋简体" w:eastAsia="方正小标宋简体" w:cs="方正小标宋简体"/>
          <w:color w:val="auto"/>
          <w:sz w:val="44"/>
          <w:szCs w:val="44"/>
          <w:highlight w:val="none"/>
        </w:rPr>
      </w:pPr>
    </w:p>
    <w:p>
      <w:pPr>
        <w:pStyle w:val="4"/>
        <w:numPr>
          <w:ilvl w:val="0"/>
          <w:numId w:val="4"/>
        </w:numPr>
        <w:bidi w:val="0"/>
        <w:rPr>
          <w:color w:val="auto"/>
          <w:highlight w:val="none"/>
        </w:rPr>
      </w:pPr>
      <w:bookmarkStart w:id="77" w:name="_Toc14092"/>
      <w:bookmarkStart w:id="78" w:name="_Toc15377221"/>
      <w:bookmarkStart w:id="79" w:name="_Toc15396612"/>
      <w:r>
        <w:rPr>
          <w:rFonts w:hint="eastAsia"/>
          <w:color w:val="auto"/>
          <w:highlight w:val="none"/>
        </w:rPr>
        <w:t>预算绩效管理情况</w:t>
      </w:r>
      <w:bookmarkEnd w:id="77"/>
    </w:p>
    <w:p>
      <w:pPr>
        <w:spacing w:line="58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color w:val="auto"/>
          <w:sz w:val="32"/>
          <w:szCs w:val="32"/>
          <w:highlight w:val="none"/>
          <w:lang w:eastAsia="zh-CN"/>
        </w:rPr>
        <w:t>对追加预算乡村少年宫运行经费项目和校舍维修项目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开展</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运行</w:t>
      </w:r>
      <w:r>
        <w:rPr>
          <w:rFonts w:hint="eastAsia" w:ascii="仿宋_GB2312" w:hAnsi="仿宋_GB2312" w:eastAsia="仿宋_GB2312" w:cs="仿宋_GB2312"/>
          <w:color w:val="auto"/>
          <w:sz w:val="32"/>
          <w:szCs w:val="32"/>
          <w:highlight w:val="none"/>
        </w:rPr>
        <w:t>监控，年终执行完毕后，对</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pPr>
        <w:pStyle w:val="2"/>
        <w:spacing w:before="93"/>
        <w:rPr>
          <w:color w:val="auto"/>
          <w:highlight w:val="none"/>
        </w:rPr>
      </w:pPr>
    </w:p>
    <w:p>
      <w:pPr>
        <w:pStyle w:val="4"/>
        <w:numPr>
          <w:ilvl w:val="0"/>
          <w:numId w:val="4"/>
        </w:numPr>
        <w:bidi w:val="0"/>
        <w:rPr>
          <w:color w:val="auto"/>
          <w:highlight w:val="none"/>
        </w:rPr>
      </w:pPr>
      <w:bookmarkStart w:id="80" w:name="_Toc11548"/>
      <w:r>
        <w:rPr>
          <w:rFonts w:hint="eastAsia"/>
          <w:color w:val="auto"/>
          <w:highlight w:val="none"/>
        </w:rPr>
        <w:t>其他重要事项的情况说明</w:t>
      </w:r>
      <w:bookmarkEnd w:id="78"/>
      <w:bookmarkEnd w:id="79"/>
      <w:bookmarkEnd w:id="80"/>
    </w:p>
    <w:p>
      <w:pPr>
        <w:spacing w:line="600" w:lineRule="exact"/>
        <w:ind w:firstLine="643" w:firstLineChars="200"/>
        <w:outlineLvl w:val="2"/>
        <w:rPr>
          <w:rFonts w:ascii="仿宋" w:hAnsi="仿宋" w:eastAsia="仿宋"/>
          <w:color w:val="auto"/>
          <w:sz w:val="32"/>
          <w:szCs w:val="32"/>
          <w:highlight w:val="none"/>
        </w:rPr>
      </w:pPr>
      <w:bookmarkStart w:id="81" w:name="_Toc15377222"/>
      <w:r>
        <w:rPr>
          <w:rFonts w:hint="eastAsia" w:ascii="仿宋" w:hAnsi="仿宋" w:eastAsia="仿宋"/>
          <w:b/>
          <w:color w:val="auto"/>
          <w:sz w:val="32"/>
          <w:szCs w:val="32"/>
          <w:highlight w:val="none"/>
        </w:rPr>
        <w:t>（一）机关运行经费支出情况</w:t>
      </w:r>
      <w:bookmarkEnd w:id="81"/>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auto"/>
          <w:sz w:val="32"/>
          <w:szCs w:val="32"/>
          <w:highlight w:val="none"/>
          <w:lang w:val="en-US"/>
        </w:rPr>
      </w:pPr>
      <w:bookmarkStart w:id="82" w:name="_Toc15377223"/>
      <w:r>
        <w:rPr>
          <w:rFonts w:hint="eastAsia" w:ascii="仿宋_GB2312" w:hAnsi="Times New Roman" w:eastAsia="仿宋_GB2312" w:cs="仿宋_GB2312"/>
          <w:color w:val="auto"/>
          <w:kern w:val="2"/>
          <w:sz w:val="32"/>
          <w:szCs w:val="32"/>
          <w:highlight w:val="none"/>
          <w:lang w:val="en-US" w:eastAsia="zh-CN" w:bidi="ar"/>
        </w:rPr>
        <w:t>202</w:t>
      </w:r>
      <w:r>
        <w:rPr>
          <w:rFonts w:hint="eastAsia" w:ascii="仿宋_GB2312" w:eastAsia="仿宋_GB2312" w:cs="仿宋_GB2312"/>
          <w:color w:val="auto"/>
          <w:kern w:val="2"/>
          <w:sz w:val="32"/>
          <w:szCs w:val="32"/>
          <w:highlight w:val="none"/>
          <w:lang w:val="en-US" w:eastAsia="zh-CN" w:bidi="ar"/>
        </w:rPr>
        <w:t>1</w:t>
      </w:r>
      <w:r>
        <w:rPr>
          <w:rFonts w:hint="eastAsia" w:ascii="仿宋_GB2312" w:hAnsi="Times New Roman" w:eastAsia="仿宋_GB2312" w:cs="仿宋_GB2312"/>
          <w:color w:val="auto"/>
          <w:kern w:val="2"/>
          <w:sz w:val="32"/>
          <w:szCs w:val="32"/>
          <w:highlight w:val="none"/>
          <w:lang w:val="en-US" w:eastAsia="zh-CN" w:bidi="ar"/>
        </w:rPr>
        <w:t>年，我部门</w:t>
      </w:r>
      <w:r>
        <w:rPr>
          <w:rFonts w:hint="eastAsia" w:ascii="仿宋_GB2312" w:eastAsia="仿宋_GB2312" w:cs="仿宋_GB2312"/>
          <w:color w:val="auto"/>
          <w:kern w:val="2"/>
          <w:sz w:val="32"/>
          <w:szCs w:val="32"/>
          <w:highlight w:val="none"/>
          <w:lang w:val="en-US" w:eastAsia="zh-CN" w:bidi="ar"/>
        </w:rPr>
        <w:t>机关</w:t>
      </w:r>
      <w:r>
        <w:rPr>
          <w:rFonts w:hint="eastAsia" w:ascii="仿宋_GB2312" w:hAnsi="Times New Roman" w:eastAsia="仿宋_GB2312" w:cs="仿宋_GB2312"/>
          <w:color w:val="auto"/>
          <w:kern w:val="2"/>
          <w:sz w:val="32"/>
          <w:szCs w:val="32"/>
          <w:highlight w:val="none"/>
          <w:lang w:val="en-US" w:eastAsia="zh-CN" w:bidi="ar"/>
        </w:rPr>
        <w:t>运行经费支出0元，</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。主要原因是本单位为事业单位，</w:t>
      </w:r>
      <w:r>
        <w:rPr>
          <w:rFonts w:hint="eastAsia" w:ascii="仿宋_GB2312" w:eastAsia="仿宋_GB2312" w:cs="仿宋_GB2312"/>
          <w:color w:val="auto"/>
          <w:kern w:val="2"/>
          <w:sz w:val="32"/>
          <w:szCs w:val="32"/>
          <w:highlight w:val="none"/>
          <w:lang w:val="en-US" w:eastAsia="zh-CN" w:bidi="ar"/>
        </w:rPr>
        <w:t>未发生</w:t>
      </w:r>
      <w:r>
        <w:rPr>
          <w:rFonts w:hint="eastAsia" w:ascii="仿宋_GB2312" w:hAnsi="Times New Roman" w:eastAsia="仿宋_GB2312" w:cs="仿宋_GB2312"/>
          <w:color w:val="auto"/>
          <w:kern w:val="2"/>
          <w:sz w:val="32"/>
          <w:szCs w:val="32"/>
          <w:highlight w:val="none"/>
          <w:lang w:val="en-US" w:eastAsia="zh-CN" w:bidi="ar"/>
        </w:rPr>
        <w:t>机关运行经费支出。</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82"/>
    </w:p>
    <w:p>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21年，我单位政府采购支出</w:t>
      </w:r>
      <w:r>
        <w:rPr>
          <w:rFonts w:hint="eastAsia" w:ascii="仿宋_GB2312" w:eastAsia="仿宋_GB2312"/>
          <w:color w:val="auto"/>
          <w:sz w:val="32"/>
          <w:szCs w:val="32"/>
          <w:highlight w:val="none"/>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83" w:name="_Toc15377224"/>
      <w:r>
        <w:rPr>
          <w:rFonts w:hint="eastAsia" w:ascii="仿宋" w:hAnsi="仿宋" w:eastAsia="仿宋"/>
          <w:b/>
          <w:color w:val="auto"/>
          <w:sz w:val="32"/>
          <w:szCs w:val="32"/>
          <w:highlight w:val="none"/>
        </w:rPr>
        <w:t>（三）国有资产占有使用情况</w:t>
      </w:r>
      <w:bookmarkEnd w:id="83"/>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pStyle w:val="2"/>
        <w:spacing w:before="93"/>
        <w:rPr>
          <w:color w:val="auto"/>
          <w:highlight w:val="none"/>
        </w:rPr>
      </w:pP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pStyle w:val="3"/>
        <w:numPr>
          <w:ilvl w:val="0"/>
          <w:numId w:val="5"/>
        </w:numPr>
        <w:bidi w:val="0"/>
        <w:rPr>
          <w:color w:val="auto"/>
          <w:highlight w:val="none"/>
        </w:rPr>
      </w:pPr>
      <w:bookmarkStart w:id="84" w:name="_Toc15377225"/>
      <w:bookmarkStart w:id="85" w:name="_Toc27075"/>
      <w:bookmarkStart w:id="86" w:name="_Toc15396613"/>
      <w:r>
        <w:rPr>
          <w:rFonts w:hint="eastAsia"/>
          <w:color w:val="auto"/>
          <w:highlight w:val="none"/>
        </w:rPr>
        <w:t>名词解释</w:t>
      </w:r>
      <w:bookmarkEnd w:id="84"/>
      <w:bookmarkEnd w:id="85"/>
      <w:bookmarkEnd w:id="86"/>
    </w:p>
    <w:p>
      <w:pPr>
        <w:spacing w:line="600" w:lineRule="exact"/>
        <w:jc w:val="left"/>
        <w:rPr>
          <w:rFonts w:ascii="宋体"/>
          <w:b/>
          <w:color w:val="auto"/>
          <w:sz w:val="44"/>
          <w:szCs w:val="44"/>
          <w:highlight w:val="none"/>
        </w:rPr>
      </w:pPr>
    </w:p>
    <w:p>
      <w:pPr>
        <w:pStyle w:val="2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使用非财政拨款结余：指事业单位使用以前年度积累的非财政拨款结余弥补当年收支差额的金额。</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结余分配：指事业单位按照会计制度规定缴纳的所得税、提取的专用结余以及转入非财政拨款结余的金额等。</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5</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教育（类）普通教育（款）小学教育（项）：指小学教育。</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7</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教育（类）普通教育（款）其他普通教育支出（项）：指其他普通教育支出。</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.社会保障和就业支出（类）抚恤（款）死亡抚恤（项）：指死亡抚恤。</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rPr>
        <w:t>.</w:t>
      </w:r>
      <w:r>
        <w:rPr>
          <w:rFonts w:hint="eastAsia" w:ascii="仿宋_GB2312" w:hAnsi="Calibri" w:eastAsia="仿宋_GB2312" w:cs="仿宋"/>
          <w:color w:val="auto"/>
          <w:kern w:val="0"/>
          <w:sz w:val="32"/>
          <w:szCs w:val="32"/>
          <w:highlight w:val="none"/>
          <w:lang w:val="en-US" w:eastAsia="zh-CN" w:bidi="ar-SA"/>
        </w:rPr>
        <w:t>其他支出（类）彩票公益金安排的支出（款）用于教育事业的彩票公益金支出（项）：指</w:t>
      </w:r>
      <w:r>
        <w:rPr>
          <w:rFonts w:hint="eastAsia" w:ascii="仿宋_GB2312" w:hAnsi="Calibri" w:eastAsia="仿宋_GB2312" w:cs="仿宋"/>
          <w:color w:val="auto"/>
          <w:kern w:val="0"/>
          <w:sz w:val="32"/>
          <w:szCs w:val="32"/>
          <w:highlight w:val="none"/>
          <w:lang w:val="en-US" w:eastAsia="zh-CN"/>
        </w:rPr>
        <w:t>用于教育事业的彩票公益金支出。</w:t>
      </w:r>
    </w:p>
    <w:p>
      <w:pPr>
        <w:numPr>
          <w:ilvl w:val="0"/>
          <w:numId w:val="0"/>
        </w:numPr>
        <w:spacing w:line="600" w:lineRule="exact"/>
        <w:ind w:firstLine="640" w:firstLineChars="20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10.社会保障和就业支出（类）行政事业单位养老支出（款）机关事业单位基本养老保险缴费支出（项）: 指机关事业单位实施养老保险制度由单位缴纳的基本养老保险费支出。</w:t>
      </w:r>
    </w:p>
    <w:p>
      <w:pPr>
        <w:pStyle w:val="16"/>
        <w:ind w:left="0" w:leftChars="0" w:firstLine="640" w:firstLineChars="200"/>
        <w:rPr>
          <w:rFonts w:hint="eastAsia"/>
          <w:color w:val="auto"/>
          <w:highlight w:val="none"/>
          <w:lang w:val="en-US" w:eastAsia="zh-CN"/>
        </w:rPr>
      </w:pPr>
      <w:r>
        <w:rPr>
          <w:rFonts w:hint="eastAsia" w:ascii="仿宋_GB2312" w:hAnsi="Calibri" w:eastAsia="仿宋_GB2312" w:cs="仿宋"/>
          <w:color w:val="auto"/>
          <w:kern w:val="0"/>
          <w:sz w:val="32"/>
          <w:szCs w:val="32"/>
          <w:highlight w:val="none"/>
          <w:lang w:val="en-US" w:eastAsia="zh-CN" w:bidi="ar-SA"/>
        </w:rPr>
        <w:t>11.社会保障和就业支出（类）其他社会保障和就业支出（款）其他社会保障和就业支出（项）: 指其他用于社会保障和就业方面的支出。</w:t>
      </w:r>
    </w:p>
    <w:p>
      <w:pPr>
        <w:pStyle w:val="2"/>
        <w:ind w:firstLine="640" w:firstLineChars="200"/>
        <w:rPr>
          <w:color w:val="auto"/>
          <w:highlight w:val="none"/>
        </w:rPr>
      </w:pPr>
      <w:r>
        <w:rPr>
          <w:rFonts w:hint="eastAsia" w:hAnsi="Calibri" w:cs="仿宋"/>
          <w:color w:val="auto"/>
          <w:kern w:val="0"/>
          <w:sz w:val="32"/>
          <w:szCs w:val="32"/>
          <w:highlight w:val="none"/>
          <w:lang w:val="en-US" w:eastAsia="zh-CN"/>
        </w:rPr>
        <w:t>12.</w:t>
      </w:r>
      <w:r>
        <w:rPr>
          <w:rFonts w:hint="eastAsia" w:ascii="仿宋_GB2312" w:hAnsi="Calibri" w:eastAsia="仿宋_GB2312" w:cs="仿宋"/>
          <w:color w:val="auto"/>
          <w:kern w:val="0"/>
          <w:sz w:val="32"/>
          <w:szCs w:val="32"/>
          <w:highlight w:val="none"/>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pPr>
        <w:pStyle w:val="2"/>
        <w:ind w:firstLine="640" w:firstLineChars="200"/>
        <w:rPr>
          <w:color w:val="auto"/>
          <w:highlight w:val="none"/>
        </w:rPr>
      </w:pPr>
      <w:r>
        <w:rPr>
          <w:rFonts w:hint="eastAsia" w:hAnsi="Calibri" w:cs="仿宋"/>
          <w:color w:val="auto"/>
          <w:kern w:val="0"/>
          <w:sz w:val="32"/>
          <w:szCs w:val="32"/>
          <w:highlight w:val="none"/>
          <w:lang w:val="en-US" w:eastAsia="zh-CN"/>
        </w:rPr>
        <w:t>13.</w:t>
      </w:r>
      <w:r>
        <w:rPr>
          <w:rFonts w:hint="eastAsia" w:ascii="仿宋_GB2312" w:hAnsi="Calibri" w:eastAsia="仿宋_GB2312" w:cs="仿宋"/>
          <w:color w:val="auto"/>
          <w:kern w:val="0"/>
          <w:sz w:val="32"/>
          <w:szCs w:val="32"/>
          <w:highlight w:val="none"/>
          <w:lang w:val="en-US" w:eastAsia="zh-CN"/>
        </w:rPr>
        <w:t>住房保障支出（类）住房改革支出（款）住房公积金（项）：指行政事业单位按人力资源和社会保障部、财政部规定的基本工资和津贴补贴以及规定比例为职工缴纳的住房公积金。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14</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5</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7"/>
        <w:spacing w:line="56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16</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87" w:name="_Toc15377226"/>
    </w:p>
    <w:p>
      <w:pPr>
        <w:pStyle w:val="27"/>
        <w:spacing w:line="560" w:lineRule="exact"/>
        <w:ind w:firstLine="883" w:firstLineChars="200"/>
        <w:jc w:val="center"/>
        <w:rPr>
          <w:rStyle w:val="29"/>
          <w:color w:val="auto"/>
          <w:highlight w:val="none"/>
        </w:rPr>
      </w:pPr>
      <w:r>
        <w:rPr>
          <w:rFonts w:ascii="宋体"/>
          <w:b/>
          <w:color w:val="auto"/>
          <w:sz w:val="44"/>
          <w:szCs w:val="44"/>
          <w:highlight w:val="none"/>
        </w:rPr>
        <w:br w:type="page"/>
      </w:r>
      <w:bookmarkStart w:id="88" w:name="_Toc15396614"/>
      <w:bookmarkStart w:id="89" w:name="_Toc24127"/>
      <w:r>
        <w:rPr>
          <w:rStyle w:val="29"/>
          <w:rFonts w:hint="eastAsia"/>
          <w:color w:val="auto"/>
          <w:highlight w:val="none"/>
        </w:rPr>
        <w:t>第四部分 附件</w:t>
      </w:r>
      <w:bookmarkEnd w:id="88"/>
    </w:p>
    <w:bookmarkEnd w:id="89"/>
    <w:p>
      <w:pPr>
        <w:spacing w:line="572" w:lineRule="exact"/>
        <w:jc w:val="left"/>
        <w:outlineLvl w:val="0"/>
        <w:rPr>
          <w:rFonts w:hint="eastAsia" w:ascii="仿宋_GB2312" w:hAnsi="仿宋_GB2312" w:eastAsia="黑体" w:cs="仿宋_GB2312"/>
          <w:color w:val="auto"/>
          <w:sz w:val="32"/>
          <w:szCs w:val="32"/>
          <w:highlight w:val="none"/>
          <w:lang w:val="en-US" w:eastAsia="zh-CN"/>
        </w:rPr>
      </w:pPr>
      <w:bookmarkStart w:id="90" w:name="_Toc11431"/>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bookmarkEnd w:id="90"/>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bookmarkStart w:id="91" w:name="_Toc15396618"/>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（乡村少年宫运行经费）</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360310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广元市昭化区元坝镇柳桥小学</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1.5</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1.5</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1.5</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1.5</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default" w:ascii="宋体" w:hAnsi="宋体" w:cs="宋体"/>
                <w:color w:val="auto"/>
                <w:sz w:val="24"/>
                <w:highlight w:val="none"/>
              </w:rPr>
            </w:pPr>
            <w:r>
              <w:rPr>
                <w:rFonts w:hint="default" w:ascii="宋体" w:hAnsi="宋体" w:cs="宋体"/>
                <w:color w:val="auto"/>
                <w:sz w:val="22"/>
                <w:szCs w:val="22"/>
                <w:highlight w:val="none"/>
              </w:rPr>
              <w:t>保障乡村少年宫正常运转。将“乡村学校少年宫”建设成满足学生精神文化需求、促进学生全面发展、深化学生素质教育的有效载体，建设成家长认可、布局合理、功能完备的未成年人教育阵地。</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2"/>
                <w:szCs w:val="22"/>
                <w:highlight w:val="none"/>
                <w:lang w:eastAsia="zh-CN"/>
              </w:rPr>
              <w:t>保障了乡村</w:t>
            </w:r>
            <w:r>
              <w:rPr>
                <w:rFonts w:hint="default" w:ascii="宋体" w:hAnsi="宋体" w:eastAsia="宋体" w:cs="宋体"/>
                <w:color w:val="auto"/>
                <w:sz w:val="22"/>
                <w:szCs w:val="22"/>
                <w:highlight w:val="none"/>
              </w:rPr>
              <w:t>少年宫</w:t>
            </w:r>
            <w:r>
              <w:rPr>
                <w:rFonts w:hint="eastAsia" w:ascii="宋体" w:hAnsi="宋体" w:eastAsia="宋体" w:cs="宋体"/>
                <w:color w:val="auto"/>
                <w:sz w:val="22"/>
                <w:szCs w:val="22"/>
                <w:highlight w:val="none"/>
                <w:lang w:eastAsia="zh-CN"/>
              </w:rPr>
              <w:t>的</w:t>
            </w:r>
            <w:r>
              <w:rPr>
                <w:rFonts w:hint="default" w:ascii="宋体" w:hAnsi="宋体" w:eastAsia="宋体" w:cs="宋体"/>
                <w:color w:val="auto"/>
                <w:sz w:val="22"/>
                <w:szCs w:val="22"/>
                <w:highlight w:val="none"/>
              </w:rPr>
              <w:t>正常运转。满足</w:t>
            </w:r>
            <w:r>
              <w:rPr>
                <w:rFonts w:hint="eastAsia" w:ascii="宋体" w:hAnsi="宋体" w:eastAsia="宋体" w:cs="宋体"/>
                <w:color w:val="auto"/>
                <w:sz w:val="22"/>
                <w:szCs w:val="22"/>
                <w:highlight w:val="none"/>
                <w:lang w:eastAsia="zh-CN"/>
              </w:rPr>
              <w:t>了</w:t>
            </w:r>
            <w:r>
              <w:rPr>
                <w:rFonts w:hint="default" w:ascii="宋体" w:hAnsi="宋体" w:eastAsia="宋体" w:cs="宋体"/>
                <w:color w:val="auto"/>
                <w:sz w:val="22"/>
                <w:szCs w:val="22"/>
                <w:highlight w:val="none"/>
              </w:rPr>
              <w:t>学生精神文化需求、促进</w:t>
            </w:r>
            <w:r>
              <w:rPr>
                <w:rFonts w:hint="eastAsia" w:ascii="宋体" w:hAnsi="宋体" w:eastAsia="宋体" w:cs="宋体"/>
                <w:color w:val="auto"/>
                <w:sz w:val="22"/>
                <w:szCs w:val="22"/>
                <w:highlight w:val="none"/>
                <w:lang w:eastAsia="zh-CN"/>
              </w:rPr>
              <w:t>了</w:t>
            </w:r>
            <w:r>
              <w:rPr>
                <w:rFonts w:hint="default" w:ascii="宋体" w:hAnsi="宋体" w:eastAsia="宋体" w:cs="宋体"/>
                <w:color w:val="auto"/>
                <w:sz w:val="22"/>
                <w:szCs w:val="22"/>
                <w:highlight w:val="none"/>
              </w:rPr>
              <w:t>学生全面发展</w:t>
            </w:r>
            <w:r>
              <w:rPr>
                <w:rFonts w:hint="eastAsia" w:ascii="宋体" w:hAnsi="宋体" w:eastAsia="宋体" w:cs="宋体"/>
                <w:color w:val="auto"/>
                <w:sz w:val="22"/>
                <w:szCs w:val="22"/>
                <w:highlight w:val="none"/>
                <w:lang w:eastAsia="zh-CN"/>
              </w:rPr>
              <w:t>，是</w:t>
            </w:r>
            <w:r>
              <w:rPr>
                <w:rFonts w:hint="default" w:ascii="宋体" w:hAnsi="宋体" w:eastAsia="宋体" w:cs="宋体"/>
                <w:color w:val="auto"/>
                <w:sz w:val="22"/>
                <w:szCs w:val="22"/>
                <w:highlight w:val="none"/>
              </w:rPr>
              <w:t>家长认可、布局合理、功能完备的未成年人教育阵地。</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乡村少年宫数量</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1所</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1所</w:t>
            </w:r>
          </w:p>
        </w:tc>
      </w:tr>
      <w:tr>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default" w:ascii="仿宋_GB2312" w:hAnsi="仿宋_GB2312" w:eastAsia="仿宋_GB2312" w:cs="仿宋_GB2312"/>
                <w:color w:val="auto"/>
                <w:sz w:val="20"/>
                <w:szCs w:val="20"/>
                <w:highlight w:val="none"/>
              </w:rPr>
              <w:t>科学设置项目</w:t>
            </w:r>
            <w:r>
              <w:rPr>
                <w:rFonts w:hint="eastAsia" w:ascii="仿宋_GB2312" w:hAnsi="仿宋_GB2312" w:eastAsia="仿宋_GB2312" w:cs="仿宋_GB2312"/>
                <w:color w:val="auto"/>
                <w:sz w:val="20"/>
                <w:szCs w:val="20"/>
                <w:highlight w:val="none"/>
                <w:lang w:eastAsia="zh-CN"/>
              </w:rPr>
              <w:t>，</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扎实开展活动</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60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乡村少年宫正常运转</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正常运转</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正常运转</w:t>
            </w:r>
          </w:p>
        </w:tc>
      </w:tr>
      <w:tr>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按照财务管理制度规定，资金实行专项管理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专款专账</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专款专账</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运行</w:t>
            </w:r>
            <w:r>
              <w:rPr>
                <w:rFonts w:hint="default" w:ascii="仿宋_GB2312" w:hAnsi="仿宋_GB2312" w:eastAsia="仿宋_GB2312" w:cs="仿宋_GB2312"/>
                <w:color w:val="auto"/>
                <w:sz w:val="20"/>
                <w:szCs w:val="20"/>
                <w:highlight w:val="none"/>
              </w:rPr>
              <w:t>经费保障期限</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运行经费</w:t>
            </w:r>
            <w:r>
              <w:rPr>
                <w:rFonts w:hint="eastAsia" w:ascii="仿宋_GB2312" w:hAnsi="仿宋_GB2312" w:eastAsia="仿宋_GB2312" w:cs="仿宋_GB2312"/>
                <w:color w:val="auto"/>
                <w:sz w:val="20"/>
                <w:szCs w:val="20"/>
                <w:highlight w:val="none"/>
                <w:lang w:eastAsia="zh-CN"/>
              </w:rPr>
              <w:t>年</w:t>
            </w:r>
            <w:r>
              <w:rPr>
                <w:rFonts w:hint="default" w:ascii="仿宋_GB2312" w:hAnsi="仿宋_GB2312" w:eastAsia="仿宋_GB2312" w:cs="仿宋_GB2312"/>
                <w:color w:val="auto"/>
                <w:sz w:val="20"/>
                <w:szCs w:val="20"/>
                <w:highlight w:val="none"/>
              </w:rPr>
              <w:t>补助标准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1.5万元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1.5万元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社会效益  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提升学生综合素质</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丰富学生课余生活</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96%</w:t>
            </w:r>
          </w:p>
        </w:tc>
      </w:tr>
    </w:tbl>
    <w:p>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pPr>
        <w:spacing w:line="572" w:lineRule="exact"/>
        <w:jc w:val="left"/>
        <w:outlineLvl w:val="0"/>
        <w:rPr>
          <w:rFonts w:hint="eastAsia" w:ascii="仿宋_GB2312" w:hAnsi="仿宋_GB2312" w:eastAsia="黑体" w:cs="仿宋_GB2312"/>
          <w:color w:val="auto"/>
          <w:sz w:val="32"/>
          <w:szCs w:val="32"/>
          <w:highlight w:val="none"/>
          <w:lang w:val="en-US" w:eastAsia="zh-CN"/>
        </w:rPr>
      </w:pPr>
      <w:bookmarkStart w:id="92" w:name="_Toc31816"/>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2</w:t>
      </w:r>
      <w:bookmarkEnd w:id="92"/>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rPr>
              <w:t>2021年部门预算项目绩效目标自评</w:t>
            </w:r>
            <w:r>
              <w:rPr>
                <w:rFonts w:hint="eastAsia" w:ascii="仿宋" w:hAnsi="仿宋" w:eastAsia="仿宋" w:cs="仿宋"/>
                <w:b/>
                <w:color w:val="auto"/>
                <w:sz w:val="32"/>
                <w:szCs w:val="32"/>
                <w:highlight w:val="none"/>
                <w:lang w:eastAsia="zh-CN"/>
              </w:rPr>
              <w:t>（校舍维修）</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360310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仿宋" w:hAnsi="仿宋" w:eastAsia="仿宋" w:cs="仿宋"/>
                <w:color w:val="auto"/>
                <w:sz w:val="24"/>
                <w:highlight w:val="none"/>
                <w:lang w:eastAsia="zh-CN"/>
              </w:rPr>
            </w:pPr>
            <w:r>
              <w:rPr>
                <w:rFonts w:hint="eastAsia" w:ascii="宋体" w:hAnsi="宋体" w:eastAsia="宋体" w:cs="宋体"/>
                <w:color w:val="auto"/>
                <w:sz w:val="24"/>
                <w:highlight w:val="none"/>
                <w:lang w:eastAsia="zh-CN"/>
              </w:rPr>
              <w:t>广元市昭化区元坝镇柳桥小学</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270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270</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270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270</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rPr>
              <w:t>校舍</w:t>
            </w:r>
            <w:r>
              <w:rPr>
                <w:rFonts w:hint="eastAsia" w:ascii="仿宋" w:hAnsi="仿宋" w:eastAsia="仿宋" w:cs="仿宋"/>
                <w:color w:val="auto"/>
                <w:sz w:val="22"/>
                <w:szCs w:val="22"/>
                <w:highlight w:val="none"/>
                <w:lang w:eastAsia="zh-CN"/>
              </w:rPr>
              <w:t>维修面积</w:t>
            </w:r>
            <w:r>
              <w:rPr>
                <w:rFonts w:hint="eastAsia" w:ascii="仿宋" w:hAnsi="仿宋" w:eastAsia="仿宋" w:cs="仿宋"/>
                <w:color w:val="auto"/>
                <w:sz w:val="22"/>
                <w:szCs w:val="22"/>
                <w:highlight w:val="none"/>
                <w:lang w:val="en-US" w:eastAsia="zh-CN"/>
              </w:rPr>
              <w:t>3450</w:t>
            </w:r>
            <w:r>
              <w:rPr>
                <w:rFonts w:hint="eastAsia" w:ascii="仿宋" w:hAnsi="仿宋" w:eastAsia="仿宋" w:cs="仿宋"/>
                <w:color w:val="auto"/>
                <w:sz w:val="22"/>
                <w:szCs w:val="22"/>
                <w:highlight w:val="none"/>
              </w:rPr>
              <w:t>平方米，改善学校办学条件和基础设施配套，提供高质量硬件设施设备，营造良好的学习氛围</w:t>
            </w:r>
            <w:r>
              <w:rPr>
                <w:rFonts w:hint="eastAsia" w:ascii="仿宋" w:hAnsi="仿宋" w:eastAsia="仿宋" w:cs="仿宋"/>
                <w:color w:val="auto"/>
                <w:sz w:val="22"/>
                <w:szCs w:val="22"/>
                <w:highlight w:val="none"/>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lang w:eastAsia="zh-CN"/>
              </w:rPr>
              <w:t>完成</w:t>
            </w:r>
            <w:r>
              <w:rPr>
                <w:rFonts w:hint="eastAsia" w:ascii="仿宋" w:hAnsi="仿宋" w:eastAsia="仿宋" w:cs="仿宋"/>
                <w:color w:val="auto"/>
                <w:sz w:val="22"/>
                <w:szCs w:val="22"/>
                <w:highlight w:val="none"/>
                <w:lang w:val="en-US" w:eastAsia="zh-CN"/>
              </w:rPr>
              <w:t>3450</w:t>
            </w:r>
            <w:r>
              <w:rPr>
                <w:rFonts w:hint="eastAsia" w:ascii="仿宋" w:hAnsi="仿宋" w:eastAsia="仿宋" w:cs="仿宋"/>
                <w:color w:val="auto"/>
                <w:sz w:val="22"/>
                <w:szCs w:val="22"/>
                <w:highlight w:val="none"/>
              </w:rPr>
              <w:t>平方米</w:t>
            </w:r>
            <w:r>
              <w:rPr>
                <w:rFonts w:hint="eastAsia" w:ascii="仿宋" w:hAnsi="仿宋" w:eastAsia="仿宋" w:cs="仿宋"/>
                <w:color w:val="auto"/>
                <w:sz w:val="22"/>
                <w:szCs w:val="22"/>
                <w:highlight w:val="none"/>
                <w:lang w:eastAsia="zh-CN"/>
              </w:rPr>
              <w:t>的校舍维修，</w:t>
            </w:r>
            <w:r>
              <w:rPr>
                <w:rFonts w:hint="eastAsia" w:ascii="仿宋" w:hAnsi="仿宋" w:eastAsia="仿宋" w:cs="仿宋"/>
                <w:color w:val="auto"/>
                <w:sz w:val="22"/>
                <w:szCs w:val="22"/>
                <w:highlight w:val="none"/>
              </w:rPr>
              <w:t>改善</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学校办学条件和基础设施配套，提供</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高质量硬件设施设备，营造</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良好的学习氛围</w:t>
            </w:r>
            <w:r>
              <w:rPr>
                <w:rFonts w:hint="eastAsia" w:ascii="仿宋" w:hAnsi="仿宋" w:eastAsia="仿宋" w:cs="仿宋"/>
                <w:color w:val="auto"/>
                <w:sz w:val="22"/>
                <w:szCs w:val="22"/>
                <w:highlight w:val="none"/>
                <w:lang w:eastAsia="zh-CN"/>
              </w:rPr>
              <w:t>。</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3450m²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3450m²</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惠及学生人数</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73</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73</w:t>
            </w:r>
          </w:p>
        </w:tc>
      </w:tr>
      <w:tr>
        <w:tblPrEx>
          <w:tblCellMar>
            <w:top w:w="0" w:type="dxa"/>
            <w:left w:w="108" w:type="dxa"/>
            <w:bottom w:w="0" w:type="dxa"/>
            <w:right w:w="108" w:type="dxa"/>
          </w:tblCellMar>
        </w:tblPrEx>
        <w:trPr>
          <w:gridAfter w:val="1"/>
          <w:wAfter w:w="236" w:type="dxa"/>
          <w:trHeight w:val="57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校舍维修</w:t>
            </w:r>
            <w:r>
              <w:rPr>
                <w:rFonts w:hint="eastAsia" w:ascii="仿宋" w:hAnsi="仿宋" w:eastAsia="仿宋" w:cs="仿宋"/>
                <w:color w:val="auto"/>
                <w:sz w:val="20"/>
                <w:szCs w:val="20"/>
                <w:highlight w:val="none"/>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lang w:val="en-US" w:eastAsia="zh-CN"/>
              </w:rPr>
              <w:t>100%</w:t>
            </w:r>
          </w:p>
        </w:tc>
      </w:tr>
      <w:tr>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校舍维修建设周期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1年</w:t>
            </w:r>
          </w:p>
        </w:tc>
      </w:tr>
      <w:tr>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设备购置周期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10个月</w:t>
            </w:r>
          </w:p>
        </w:tc>
      </w:tr>
      <w:tr>
        <w:tblPrEx>
          <w:tblCellMar>
            <w:top w:w="0" w:type="dxa"/>
            <w:left w:w="108" w:type="dxa"/>
            <w:bottom w:w="0" w:type="dxa"/>
            <w:right w:w="108" w:type="dxa"/>
          </w:tblCellMar>
        </w:tblPrEx>
        <w:trPr>
          <w:gridAfter w:val="1"/>
          <w:wAfter w:w="236" w:type="dxa"/>
          <w:trHeight w:val="61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rPr>
            </w:pPr>
            <w:r>
              <w:rPr>
                <w:rFonts w:hint="eastAsia" w:ascii="仿宋" w:hAnsi="仿宋" w:eastAsia="仿宋" w:cs="仿宋"/>
                <w:color w:val="auto"/>
                <w:sz w:val="20"/>
                <w:szCs w:val="20"/>
                <w:highlight w:val="none"/>
                <w:lang w:val="en-US" w:eastAsia="zh-CN"/>
              </w:rPr>
              <w:t>783元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生态效益</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建筑能源消耗水平降低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97%</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96%</w:t>
            </w:r>
          </w:p>
        </w:tc>
      </w:tr>
    </w:tbl>
    <w:p>
      <w:pPr>
        <w:pStyle w:val="3"/>
        <w:bidi w:val="0"/>
        <w:rPr>
          <w:color w:val="auto"/>
          <w:highlight w:val="none"/>
        </w:rPr>
      </w:pPr>
      <w:bookmarkStart w:id="93" w:name="_Toc24969"/>
      <w:r>
        <w:rPr>
          <w:rFonts w:hint="eastAsia"/>
          <w:color w:val="auto"/>
          <w:highlight w:val="none"/>
        </w:rPr>
        <w:t>第五部分 附表</w:t>
      </w:r>
      <w:bookmarkEnd w:id="87"/>
      <w:bookmarkEnd w:id="91"/>
      <w:bookmarkEnd w:id="93"/>
      <w:bookmarkStart w:id="94" w:name="_Toc15396619"/>
    </w:p>
    <w:p>
      <w:pPr>
        <w:pStyle w:val="4"/>
        <w:bidi w:val="0"/>
        <w:rPr>
          <w:color w:val="auto"/>
          <w:highlight w:val="none"/>
        </w:rPr>
      </w:pPr>
      <w:bookmarkStart w:id="95" w:name="_Toc26442"/>
      <w:r>
        <w:rPr>
          <w:rFonts w:hint="eastAsia"/>
          <w:color w:val="auto"/>
          <w:highlight w:val="none"/>
        </w:rPr>
        <w:t>一、收入支出决算总表</w:t>
      </w:r>
      <w:bookmarkEnd w:id="94"/>
      <w:bookmarkEnd w:id="95"/>
    </w:p>
    <w:p>
      <w:pPr>
        <w:pStyle w:val="4"/>
        <w:bidi w:val="0"/>
        <w:rPr>
          <w:color w:val="auto"/>
          <w:highlight w:val="none"/>
        </w:rPr>
      </w:pPr>
      <w:bookmarkStart w:id="96" w:name="_Toc24488"/>
      <w:bookmarkStart w:id="97" w:name="_Toc15396620"/>
      <w:r>
        <w:rPr>
          <w:rFonts w:hint="eastAsia"/>
          <w:color w:val="auto"/>
          <w:highlight w:val="none"/>
        </w:rPr>
        <w:t>二、收入决算表</w:t>
      </w:r>
      <w:bookmarkEnd w:id="96"/>
      <w:bookmarkEnd w:id="97"/>
    </w:p>
    <w:p>
      <w:pPr>
        <w:pStyle w:val="4"/>
        <w:bidi w:val="0"/>
        <w:rPr>
          <w:color w:val="auto"/>
          <w:highlight w:val="none"/>
        </w:rPr>
      </w:pPr>
      <w:bookmarkStart w:id="98" w:name="_Toc15396621"/>
      <w:bookmarkStart w:id="99" w:name="_Toc6939"/>
      <w:r>
        <w:rPr>
          <w:rFonts w:hint="eastAsia"/>
          <w:color w:val="auto"/>
          <w:highlight w:val="none"/>
        </w:rPr>
        <w:t>三、支出决算表</w:t>
      </w:r>
      <w:bookmarkEnd w:id="98"/>
      <w:bookmarkEnd w:id="99"/>
    </w:p>
    <w:p>
      <w:pPr>
        <w:pStyle w:val="4"/>
        <w:bidi w:val="0"/>
        <w:rPr>
          <w:color w:val="auto"/>
          <w:highlight w:val="none"/>
        </w:rPr>
      </w:pPr>
      <w:bookmarkStart w:id="100" w:name="_Toc30417"/>
      <w:bookmarkStart w:id="101" w:name="_Toc15396622"/>
      <w:r>
        <w:rPr>
          <w:rFonts w:hint="eastAsia"/>
          <w:color w:val="auto"/>
          <w:highlight w:val="none"/>
        </w:rPr>
        <w:t>四、财政拨款收入支出决算总表</w:t>
      </w:r>
      <w:bookmarkEnd w:id="100"/>
      <w:bookmarkEnd w:id="101"/>
    </w:p>
    <w:p>
      <w:pPr>
        <w:pStyle w:val="4"/>
        <w:bidi w:val="0"/>
        <w:rPr>
          <w:color w:val="auto"/>
          <w:highlight w:val="none"/>
        </w:rPr>
      </w:pPr>
      <w:bookmarkStart w:id="102" w:name="_Toc15396623"/>
      <w:bookmarkStart w:id="103" w:name="_Toc1651"/>
      <w:r>
        <w:rPr>
          <w:rFonts w:hint="eastAsia"/>
          <w:color w:val="auto"/>
          <w:highlight w:val="none"/>
        </w:rPr>
        <w:t>五、财政拨款支出决算明细表</w:t>
      </w:r>
      <w:bookmarkEnd w:id="102"/>
      <w:bookmarkEnd w:id="103"/>
      <w:bookmarkStart w:id="104" w:name="_Toc15396624"/>
    </w:p>
    <w:p>
      <w:pPr>
        <w:pStyle w:val="4"/>
        <w:bidi w:val="0"/>
        <w:rPr>
          <w:color w:val="auto"/>
          <w:highlight w:val="none"/>
        </w:rPr>
      </w:pPr>
      <w:bookmarkStart w:id="105" w:name="_Toc18542"/>
      <w:r>
        <w:rPr>
          <w:rFonts w:hint="eastAsia"/>
          <w:color w:val="auto"/>
          <w:highlight w:val="none"/>
        </w:rPr>
        <w:t>六、一般公共预算财政拨款支出决算表</w:t>
      </w:r>
      <w:bookmarkEnd w:id="104"/>
      <w:bookmarkEnd w:id="105"/>
    </w:p>
    <w:p>
      <w:pPr>
        <w:pStyle w:val="4"/>
        <w:bidi w:val="0"/>
        <w:rPr>
          <w:color w:val="auto"/>
          <w:highlight w:val="none"/>
        </w:rPr>
      </w:pPr>
      <w:bookmarkStart w:id="106" w:name="_Toc25672"/>
      <w:bookmarkStart w:id="107" w:name="_Toc15396625"/>
      <w:r>
        <w:rPr>
          <w:rFonts w:hint="eastAsia"/>
          <w:color w:val="auto"/>
          <w:highlight w:val="none"/>
        </w:rPr>
        <w:t>七、一般公共预算财政拨款支出决算明细表</w:t>
      </w:r>
      <w:bookmarkEnd w:id="106"/>
      <w:bookmarkEnd w:id="107"/>
    </w:p>
    <w:p>
      <w:pPr>
        <w:pStyle w:val="4"/>
        <w:bidi w:val="0"/>
        <w:rPr>
          <w:color w:val="auto"/>
          <w:highlight w:val="none"/>
        </w:rPr>
      </w:pPr>
      <w:bookmarkStart w:id="108" w:name="_Toc15396626"/>
      <w:bookmarkStart w:id="109" w:name="_Toc3598"/>
      <w:r>
        <w:rPr>
          <w:rFonts w:hint="eastAsia"/>
          <w:color w:val="auto"/>
          <w:highlight w:val="none"/>
        </w:rPr>
        <w:t>八、一般公共预算财政拨款基本支出决算表</w:t>
      </w:r>
      <w:bookmarkEnd w:id="108"/>
      <w:bookmarkEnd w:id="109"/>
    </w:p>
    <w:p>
      <w:pPr>
        <w:pStyle w:val="4"/>
        <w:bidi w:val="0"/>
        <w:rPr>
          <w:color w:val="auto"/>
          <w:highlight w:val="none"/>
        </w:rPr>
      </w:pPr>
      <w:bookmarkStart w:id="110" w:name="_Toc28845"/>
      <w:bookmarkStart w:id="111" w:name="_Toc15396627"/>
      <w:r>
        <w:rPr>
          <w:rFonts w:hint="eastAsia"/>
          <w:color w:val="auto"/>
          <w:highlight w:val="none"/>
        </w:rPr>
        <w:t>九、一般公共预算财政拨款项目支出决算表</w:t>
      </w:r>
      <w:bookmarkEnd w:id="110"/>
      <w:bookmarkEnd w:id="111"/>
    </w:p>
    <w:p>
      <w:pPr>
        <w:pStyle w:val="4"/>
        <w:bidi w:val="0"/>
        <w:rPr>
          <w:color w:val="auto"/>
          <w:highlight w:val="none"/>
        </w:rPr>
      </w:pPr>
      <w:bookmarkStart w:id="112" w:name="_Toc15396628"/>
      <w:bookmarkStart w:id="113" w:name="_Toc24879"/>
      <w:r>
        <w:rPr>
          <w:rFonts w:hint="eastAsia"/>
          <w:color w:val="auto"/>
          <w:highlight w:val="none"/>
        </w:rPr>
        <w:t>十、一般公共预算财政拨款“三公”经费支出决算表</w:t>
      </w:r>
      <w:bookmarkEnd w:id="112"/>
      <w:bookmarkEnd w:id="113"/>
    </w:p>
    <w:p>
      <w:pPr>
        <w:pStyle w:val="4"/>
        <w:bidi w:val="0"/>
        <w:rPr>
          <w:color w:val="auto"/>
          <w:highlight w:val="none"/>
        </w:rPr>
      </w:pPr>
      <w:bookmarkStart w:id="114" w:name="_Toc24059"/>
      <w:bookmarkStart w:id="115" w:name="_Toc15396629"/>
      <w:r>
        <w:rPr>
          <w:rFonts w:hint="eastAsia"/>
          <w:color w:val="auto"/>
          <w:highlight w:val="none"/>
        </w:rPr>
        <w:t>十一、政府性基金预算财政拨款收入支出决算表</w:t>
      </w:r>
      <w:bookmarkEnd w:id="114"/>
      <w:bookmarkEnd w:id="115"/>
    </w:p>
    <w:p>
      <w:pPr>
        <w:pStyle w:val="4"/>
        <w:bidi w:val="0"/>
        <w:rPr>
          <w:color w:val="auto"/>
          <w:highlight w:val="none"/>
        </w:rPr>
      </w:pPr>
      <w:bookmarkStart w:id="116" w:name="_Toc15396630"/>
      <w:bookmarkStart w:id="117" w:name="_Toc30287"/>
      <w:r>
        <w:rPr>
          <w:rFonts w:hint="eastAsia"/>
          <w:color w:val="auto"/>
          <w:highlight w:val="none"/>
        </w:rPr>
        <w:t>十二、政府性基金预算财政拨款“三公”经费支出决算表</w:t>
      </w:r>
      <w:bookmarkEnd w:id="116"/>
      <w:bookmarkEnd w:id="117"/>
    </w:p>
    <w:p>
      <w:pPr>
        <w:pStyle w:val="4"/>
        <w:bidi w:val="0"/>
        <w:rPr>
          <w:color w:val="auto"/>
          <w:highlight w:val="none"/>
        </w:rPr>
      </w:pPr>
      <w:bookmarkStart w:id="118" w:name="_Toc15396631"/>
      <w:bookmarkStart w:id="119" w:name="_Toc21531"/>
      <w:r>
        <w:rPr>
          <w:rFonts w:hint="eastAsia"/>
          <w:color w:val="auto"/>
          <w:highlight w:val="none"/>
        </w:rPr>
        <w:t>十三、国有资本经营预算财政拨款收入支出决算表</w:t>
      </w:r>
      <w:bookmarkEnd w:id="118"/>
      <w:bookmarkEnd w:id="119"/>
    </w:p>
    <w:p>
      <w:pPr>
        <w:pStyle w:val="4"/>
        <w:bidi w:val="0"/>
        <w:rPr>
          <w:color w:val="auto"/>
          <w:highlight w:val="none"/>
        </w:rPr>
      </w:pPr>
      <w:bookmarkStart w:id="120" w:name="_Toc3471"/>
      <w:r>
        <w:rPr>
          <w:rFonts w:hint="eastAsia"/>
          <w:color w:val="auto"/>
          <w:highlight w:val="none"/>
        </w:rPr>
        <w:t>十四、国有资本经营预算财政拨款支出决算表</w:t>
      </w:r>
      <w:bookmarkEnd w:id="120"/>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1"/>
          <w:jc w:val="center"/>
        </w:pPr>
        <w:r>
          <w:fldChar w:fldCharType="begin"/>
        </w:r>
        <w:r>
          <w:instrText xml:space="preserve">PAGE   \* MERGEFORMAT</w:instrText>
        </w:r>
        <w:r>
          <w:fldChar w:fldCharType="separate"/>
        </w:r>
        <w:r>
          <w:rPr>
            <w:lang w:val="zh-CN"/>
          </w:rPr>
          <w:t>12</w:t>
        </w:r>
        <w: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ECD6CFA4"/>
    <w:multiLevelType w:val="singleLevel"/>
    <w:tmpl w:val="ECD6CFA4"/>
    <w:lvl w:ilvl="0" w:tentative="0">
      <w:start w:val="1"/>
      <w:numFmt w:val="decimal"/>
      <w:lvlText w:val="%1."/>
      <w:lvlJc w:val="left"/>
      <w:pPr>
        <w:tabs>
          <w:tab w:val="left" w:pos="312"/>
        </w:tabs>
      </w:p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6492B4FE"/>
    <w:multiLevelType w:val="singleLevel"/>
    <w:tmpl w:val="6492B4FE"/>
    <w:lvl w:ilvl="0" w:tentative="0">
      <w:start w:val="1"/>
      <w:numFmt w:val="chineseCounting"/>
      <w:suff w:val="nothing"/>
      <w:lvlText w:val="%1、"/>
      <w:lvlJc w:val="left"/>
      <w:rPr>
        <w:rFonts w:hint="eastAsia"/>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A2032A3"/>
    <w:rsid w:val="0B8A37D8"/>
    <w:rsid w:val="0EC71F0D"/>
    <w:rsid w:val="10C055FF"/>
    <w:rsid w:val="112C7A85"/>
    <w:rsid w:val="118107EC"/>
    <w:rsid w:val="11DD6519"/>
    <w:rsid w:val="12910332"/>
    <w:rsid w:val="157E27B0"/>
    <w:rsid w:val="16BB723D"/>
    <w:rsid w:val="177D300F"/>
    <w:rsid w:val="18015F3F"/>
    <w:rsid w:val="1BE8440E"/>
    <w:rsid w:val="1D155CEE"/>
    <w:rsid w:val="20F57F95"/>
    <w:rsid w:val="23066A21"/>
    <w:rsid w:val="240371BF"/>
    <w:rsid w:val="24D54B4E"/>
    <w:rsid w:val="25C741E6"/>
    <w:rsid w:val="27842671"/>
    <w:rsid w:val="280F42BA"/>
    <w:rsid w:val="29FD04D3"/>
    <w:rsid w:val="2ABE7A3E"/>
    <w:rsid w:val="2BAE4DE0"/>
    <w:rsid w:val="2C0D4D5A"/>
    <w:rsid w:val="2EFA178C"/>
    <w:rsid w:val="30B46D73"/>
    <w:rsid w:val="319F7F4E"/>
    <w:rsid w:val="32E05DEF"/>
    <w:rsid w:val="353C0D20"/>
    <w:rsid w:val="39AE70AB"/>
    <w:rsid w:val="3BC1546A"/>
    <w:rsid w:val="3C0C0783"/>
    <w:rsid w:val="3F795B0E"/>
    <w:rsid w:val="3F9F3A96"/>
    <w:rsid w:val="41BF4911"/>
    <w:rsid w:val="493C27E9"/>
    <w:rsid w:val="496F39ED"/>
    <w:rsid w:val="498E7DCC"/>
    <w:rsid w:val="49FF41D3"/>
    <w:rsid w:val="4A185DC8"/>
    <w:rsid w:val="4BE068DB"/>
    <w:rsid w:val="4BF6002B"/>
    <w:rsid w:val="4ECE2238"/>
    <w:rsid w:val="4FD61684"/>
    <w:rsid w:val="503645ED"/>
    <w:rsid w:val="508F3649"/>
    <w:rsid w:val="51DB4B86"/>
    <w:rsid w:val="52FB5859"/>
    <w:rsid w:val="540B566C"/>
    <w:rsid w:val="55333C3E"/>
    <w:rsid w:val="571941E6"/>
    <w:rsid w:val="58737E60"/>
    <w:rsid w:val="5C9367F1"/>
    <w:rsid w:val="5EEF25B2"/>
    <w:rsid w:val="63226827"/>
    <w:rsid w:val="64A80084"/>
    <w:rsid w:val="64CA39A1"/>
    <w:rsid w:val="65916806"/>
    <w:rsid w:val="65B126BB"/>
    <w:rsid w:val="6C4A05C8"/>
    <w:rsid w:val="6C6E6699"/>
    <w:rsid w:val="6EDA0CDC"/>
    <w:rsid w:val="6F05110D"/>
    <w:rsid w:val="71B61FB7"/>
    <w:rsid w:val="72734D90"/>
    <w:rsid w:val="727D7081"/>
    <w:rsid w:val="72E456B5"/>
    <w:rsid w:val="73BE157B"/>
    <w:rsid w:val="74E366CA"/>
    <w:rsid w:val="770F3853"/>
    <w:rsid w:val="78665C12"/>
    <w:rsid w:val="79E7B28D"/>
    <w:rsid w:val="7AC82E51"/>
    <w:rsid w:val="7BFA24EA"/>
    <w:rsid w:val="7CAB154F"/>
    <w:rsid w:val="7F9F20EE"/>
    <w:rsid w:val="7FC55F0C"/>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jc w:val="center"/>
      <w:outlineLvl w:val="0"/>
    </w:pPr>
    <w:rPr>
      <w:rFonts w:ascii="Times New Roman" w:hAnsi="Times New Roman" w:eastAsia="仿宋"/>
      <w:b/>
      <w:bCs/>
      <w:kern w:val="44"/>
      <w:sz w:val="44"/>
      <w:szCs w:val="44"/>
    </w:rPr>
  </w:style>
  <w:style w:type="paragraph" w:styleId="4">
    <w:name w:val="heading 2"/>
    <w:basedOn w:val="1"/>
    <w:next w:val="1"/>
    <w:link w:val="40"/>
    <w:unhideWhenUsed/>
    <w:qFormat/>
    <w:uiPriority w:val="9"/>
    <w:pPr>
      <w:keepNext/>
      <w:keepLines/>
      <w:spacing w:before="260" w:after="260" w:line="240" w:lineRule="auto"/>
      <w:ind w:firstLine="1440" w:firstLineChars="200"/>
      <w:jc w:val="left"/>
      <w:outlineLvl w:val="1"/>
    </w:pPr>
    <w:rPr>
      <w:rFonts w:eastAsia="宋体" w:asciiTheme="majorAscii" w:hAnsiTheme="majorAscii"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7"/>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8"/>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eastAsia="仿宋"/>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4"/>
    <w:qFormat/>
    <w:uiPriority w:val="0"/>
    <w:rPr>
      <w:rFonts w:ascii="等线 Light" w:hAnsi="等线 Light" w:eastAsia="等线 Light" w:cs="Times New Roman"/>
      <w:b/>
      <w:bCs/>
      <w:kern w:val="2"/>
      <w:sz w:val="32"/>
      <w:szCs w:val="32"/>
    </w:rPr>
  </w:style>
  <w:style w:type="character" w:customStyle="1" w:styleId="37">
    <w:name w:val="正文文本 Char1"/>
    <w:basedOn w:val="18"/>
    <w:link w:val="2"/>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4"/>
    <w:qFormat/>
    <w:uiPriority w:val="0"/>
    <w:rPr>
      <w:rFonts w:eastAsia="宋体" w:cs="Times New Roman" w:asciiTheme="majorAscii" w:hAnsiTheme="majorAsci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1029.16</c:v>
                </c:pt>
                <c:pt idx="1">
                  <c:v>1016.39</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1029.16</c:v>
                </c:pt>
                <c:pt idx="1">
                  <c:v>1016.39</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99.8</a:t>
                    </a:r>
                    <a:r>
                      <a:rPr lang="en-US" altLang="zh-CN"/>
                      <a:t>5</a:t>
                    </a:r>
                    <a:r>
                      <a:t>%</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dLbl>
              <c:idx val="1"/>
              <c:layout>
                <c:manualLayout>
                  <c:x val="0.000484374837563866"/>
                  <c:y val="0.214013311325721"/>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0.1</a:t>
                    </a:r>
                    <a:r>
                      <a:rPr lang="en-US" altLang="zh-CN"/>
                      <a:t>5</a:t>
                    </a:r>
                    <a:r>
                      <a:t>%</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政府性基金预算财政拨款收入</c:v>
                </c:pt>
              </c:strCache>
            </c:strRef>
          </c:cat>
          <c:val>
            <c:numRef>
              <c:f>Sheet1!$B$2:$B$3</c:f>
              <c:numCache>
                <c:formatCode>0.00%</c:formatCode>
                <c:ptCount val="2"/>
                <c:pt idx="0">
                  <c:v>0.9985</c:v>
                </c:pt>
                <c:pt idx="1">
                  <c:v>0.0015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73.29</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26.71</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744.88</c:v>
                </c:pt>
                <c:pt idx="1">
                  <c:v>271.5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1029.16</c:v>
                </c:pt>
                <c:pt idx="1">
                  <c:v>1016.39</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1029.16</c:v>
                </c:pt>
                <c:pt idx="1">
                  <c:v>1016.39</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1026.16</c:v>
                </c:pt>
                <c:pt idx="1">
                  <c:v>1014.88</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Pt>
            <c:idx val="1"/>
            <c:bubble3D val="0"/>
            <c:spPr>
              <a:solidFill>
                <a:schemeClr val="accent2"/>
              </a:solidFill>
              <a:ln>
                <a:noFill/>
              </a:ln>
              <a:effectLst>
                <a:outerShdw blurRad="317500" algn="ctr" rotWithShape="0">
                  <a:prstClr val="black">
                    <a:alpha val="25000"/>
                  </a:prstClr>
                </a:outerShdw>
              </a:effectLst>
            </c:spPr>
          </c:dPt>
          <c:dLbls>
            <c:dLbl>
              <c:idx val="0"/>
              <c:layout>
                <c:manualLayout>
                  <c:x val="-0.0378752423434636"/>
                  <c:y val="-0.29683773584861"/>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98.60</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0184393692092979"/>
                  <c:y val="0.0876850520523613"/>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1.40</a:t>
                    </a:r>
                    <a:r>
                      <a:t>%</a:t>
                    </a:r>
                  </a:p>
                </c:rich>
              </c:tx>
              <c:dLblPos val="bestFit"/>
              <c:showLegendKey val="0"/>
              <c:showVal val="0"/>
              <c:showCatName val="0"/>
              <c:showSerName val="0"/>
              <c:showPercent val="1"/>
              <c:showBubbleSize val="0"/>
              <c:extLst>
                <c:ext xmlns:c15="http://schemas.microsoft.com/office/drawing/2012/chart" uri="{CE6537A1-D6FC-4f65-9D91-7224C49458BB}">
                  <c15:layout>
                    <c:manualLayout>
                      <c:w val="0.0872500000000001"/>
                      <c:h val="0.0767295597484277"/>
                    </c:manualLayout>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教育支出（类）</c:v>
                </c:pt>
                <c:pt idx="1">
                  <c:v>社会保障和就业支出（类）</c:v>
                </c:pt>
              </c:strCache>
            </c:strRef>
          </c:cat>
          <c:val>
            <c:numRef>
              <c:f>Sheet1!$B$2:$B$3</c:f>
              <c:numCache>
                <c:formatCode>General</c:formatCode>
                <c:ptCount val="2"/>
                <c:pt idx="0">
                  <c:v>98.6</c:v>
                </c:pt>
                <c:pt idx="1">
                  <c:v>1.4</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21</Pages>
  <Words>6754</Words>
  <Characters>7230</Characters>
  <Lines>47</Lines>
  <Paragraphs>13</Paragraphs>
  <TotalTime>2</TotalTime>
  <ScaleCrop>false</ScaleCrop>
  <LinksUpToDate>false</LinksUpToDate>
  <CharactersWithSpaces>7306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king</cp:lastModifiedBy>
  <cp:lastPrinted>2022-09-27T03:56:00Z</cp:lastPrinted>
  <dcterms:modified xsi:type="dcterms:W3CDTF">2022-09-30T14:31:57Z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76AB7D9E7BC24833AF2AE0D01CA73A98</vt:lpwstr>
  </property>
</Properties>
</file>