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329D5">
      <w:pPr>
        <w:spacing w:line="600" w:lineRule="exact"/>
        <w:jc w:val="center"/>
        <w:outlineLvl w:val="0"/>
        <w:rPr>
          <w:rFonts w:ascii="方正小标宋简体" w:hAnsi="宋体" w:eastAsia="方正小标宋简体"/>
          <w:color w:val="auto"/>
          <w:sz w:val="72"/>
          <w:szCs w:val="72"/>
        </w:rPr>
      </w:pPr>
      <w:bookmarkStart w:id="0" w:name="_Toc15306267"/>
    </w:p>
    <w:p w14:paraId="43A8BD3F">
      <w:pPr>
        <w:spacing w:line="600" w:lineRule="exact"/>
        <w:jc w:val="center"/>
        <w:outlineLvl w:val="0"/>
        <w:rPr>
          <w:rFonts w:ascii="方正小标宋简体" w:hAnsi="宋体" w:eastAsia="方正小标宋简体"/>
          <w:color w:val="auto"/>
          <w:sz w:val="72"/>
          <w:szCs w:val="72"/>
        </w:rPr>
      </w:pPr>
    </w:p>
    <w:p w14:paraId="3E5C0CD7">
      <w:pPr>
        <w:spacing w:line="600" w:lineRule="exact"/>
        <w:jc w:val="center"/>
        <w:outlineLvl w:val="0"/>
        <w:rPr>
          <w:rFonts w:ascii="方正小标宋简体" w:hAnsi="宋体" w:eastAsia="方正小标宋简体"/>
          <w:color w:val="auto"/>
          <w:sz w:val="72"/>
          <w:szCs w:val="72"/>
        </w:rPr>
      </w:pPr>
    </w:p>
    <w:p w14:paraId="1952BA93">
      <w:pPr>
        <w:spacing w:line="600" w:lineRule="exact"/>
        <w:jc w:val="center"/>
        <w:outlineLvl w:val="0"/>
        <w:rPr>
          <w:rFonts w:ascii="方正小标宋简体" w:hAnsi="宋体" w:eastAsia="方正小标宋简体"/>
          <w:color w:val="auto"/>
          <w:sz w:val="72"/>
          <w:szCs w:val="72"/>
        </w:rPr>
      </w:pPr>
    </w:p>
    <w:p w14:paraId="3813AF6A">
      <w:pPr>
        <w:adjustRightInd w:val="0"/>
        <w:snapToGrid w:val="0"/>
        <w:spacing w:line="360" w:lineRule="auto"/>
        <w:jc w:val="center"/>
        <w:outlineLvl w:val="0"/>
        <w:rPr>
          <w:rFonts w:ascii="方正小标宋_GBK" w:hAnsi="方正小标宋_GBK" w:eastAsia="方正小标宋_GBK" w:cs="方正小标宋_GBK"/>
          <w:color w:val="auto"/>
          <w:sz w:val="72"/>
          <w:szCs w:val="72"/>
        </w:rPr>
      </w:pPr>
      <w:bookmarkStart w:id="1" w:name="_Toc15378441"/>
      <w:bookmarkStart w:id="2" w:name="_Toc15377425"/>
      <w:bookmarkStart w:id="3" w:name="_Toc15377193"/>
      <w:bookmarkStart w:id="4" w:name="_Toc15396597"/>
      <w:bookmarkStart w:id="5" w:name="_Toc15396475"/>
      <w:r>
        <w:rPr>
          <w:rFonts w:hint="eastAsia" w:ascii="方正小标宋_GBK" w:hAnsi="方正小标宋_GBK" w:eastAsia="方正小标宋_GBK" w:cs="方正小标宋_GBK"/>
          <w:color w:val="auto"/>
          <w:sz w:val="72"/>
          <w:szCs w:val="72"/>
        </w:rPr>
        <w:t>2021年度</w:t>
      </w:r>
      <w:bookmarkEnd w:id="1"/>
      <w:bookmarkEnd w:id="2"/>
      <w:bookmarkEnd w:id="3"/>
      <w:bookmarkEnd w:id="4"/>
      <w:bookmarkEnd w:id="5"/>
    </w:p>
    <w:p w14:paraId="27879EEA">
      <w:pPr>
        <w:adjustRightInd w:val="0"/>
        <w:snapToGrid w:val="0"/>
        <w:spacing w:line="360" w:lineRule="auto"/>
        <w:jc w:val="center"/>
        <w:outlineLvl w:val="0"/>
        <w:rPr>
          <w:rFonts w:ascii="方正小标宋_GBK" w:hAnsi="方正小标宋_GBK" w:eastAsia="方正小标宋_GBK" w:cs="方正小标宋_GBK"/>
          <w:color w:val="auto"/>
          <w:sz w:val="72"/>
          <w:szCs w:val="72"/>
        </w:rPr>
      </w:pPr>
      <w:bookmarkStart w:id="6" w:name="_Toc15396598"/>
      <w:bookmarkStart w:id="7" w:name="_Toc15377194"/>
      <w:bookmarkStart w:id="8" w:name="_Toc15377426"/>
      <w:bookmarkStart w:id="9" w:name="_Toc15396476"/>
      <w:bookmarkStart w:id="10" w:name="_Toc15378442"/>
      <w:r>
        <w:rPr>
          <w:rFonts w:hint="eastAsia" w:ascii="方正小标宋_GBK" w:hAnsi="方正小标宋_GBK" w:eastAsia="方正小标宋_GBK" w:cs="方正小标宋_GBK"/>
          <w:color w:val="auto"/>
          <w:sz w:val="72"/>
          <w:szCs w:val="72"/>
        </w:rPr>
        <w:t>四川省</w:t>
      </w:r>
      <w:bookmarkEnd w:id="0"/>
      <w:bookmarkStart w:id="11" w:name="_Toc15306268"/>
      <w:r>
        <w:rPr>
          <w:rFonts w:hint="eastAsia" w:ascii="方正小标宋_GBK" w:hAnsi="方正小标宋_GBK" w:eastAsia="方正小标宋_GBK" w:cs="方正小标宋_GBK"/>
          <w:color w:val="auto"/>
          <w:sz w:val="72"/>
          <w:szCs w:val="72"/>
        </w:rPr>
        <w:t>广元市昭化区</w:t>
      </w:r>
      <w:r>
        <w:rPr>
          <w:rFonts w:hint="eastAsia" w:ascii="方正小标宋_GBK" w:hAnsi="方正小标宋_GBK" w:eastAsia="方正小标宋_GBK" w:cs="方正小标宋_GBK"/>
          <w:color w:val="auto"/>
          <w:sz w:val="72"/>
          <w:szCs w:val="72"/>
          <w:lang w:eastAsia="zh-CN"/>
        </w:rPr>
        <w:t>实验小学</w:t>
      </w:r>
      <w:r>
        <w:rPr>
          <w:rFonts w:hint="eastAsia" w:ascii="方正小标宋_GBK" w:hAnsi="方正小标宋_GBK" w:eastAsia="方正小标宋_GBK" w:cs="方正小标宋_GBK"/>
          <w:color w:val="auto"/>
          <w:sz w:val="72"/>
          <w:szCs w:val="72"/>
        </w:rPr>
        <w:t>单位决算</w:t>
      </w:r>
      <w:bookmarkEnd w:id="6"/>
      <w:bookmarkEnd w:id="7"/>
      <w:bookmarkEnd w:id="8"/>
      <w:bookmarkEnd w:id="9"/>
      <w:bookmarkEnd w:id="10"/>
      <w:bookmarkEnd w:id="11"/>
    </w:p>
    <w:p w14:paraId="49B3EDE4">
      <w:pPr>
        <w:widowControl/>
        <w:jc w:val="center"/>
        <w:rPr>
          <w:rFonts w:ascii="黑体" w:hAnsi="黑体" w:eastAsia="黑体"/>
          <w:color w:val="auto"/>
          <w:sz w:val="48"/>
          <w:szCs w:val="48"/>
        </w:rPr>
      </w:pPr>
      <w:r>
        <w:rPr>
          <w:rFonts w:ascii="方正小标宋简体" w:hAnsi="宋体" w:eastAsia="方正小标宋简体"/>
          <w:color w:val="auto"/>
          <w:sz w:val="36"/>
          <w:szCs w:val="36"/>
        </w:rPr>
        <w:br w:type="page"/>
      </w:r>
      <w:r>
        <w:rPr>
          <w:rFonts w:hint="eastAsia" w:ascii="黑体" w:hAnsi="黑体" w:eastAsia="黑体"/>
          <w:color w:val="auto"/>
          <w:sz w:val="48"/>
          <w:szCs w:val="48"/>
        </w:rPr>
        <w:t>目录</w:t>
      </w:r>
    </w:p>
    <w:p w14:paraId="282D1701">
      <w:pPr>
        <w:pStyle w:val="13"/>
        <w:jc w:val="both"/>
        <w:rPr>
          <w:color w:val="auto"/>
        </w:rPr>
      </w:pPr>
    </w:p>
    <w:p w14:paraId="53AAD998">
      <w:pPr>
        <w:rPr>
          <w:color w:val="auto"/>
        </w:rPr>
      </w:pPr>
    </w:p>
    <w:p w14:paraId="204D623D">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14:paraId="0956355B">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14:paraId="1B054C5B">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14:paraId="369DB420">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11</w:t>
      </w:r>
    </w:p>
    <w:p w14:paraId="3D8E74F7">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11</w:t>
      </w:r>
    </w:p>
    <w:p w14:paraId="7CDBEEFD">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11</w:t>
      </w:r>
    </w:p>
    <w:p w14:paraId="14AD0317">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11</w:t>
      </w:r>
    </w:p>
    <w:p w14:paraId="57A3C6E8">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12</w:t>
      </w:r>
    </w:p>
    <w:p w14:paraId="232D0F87">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12</w:t>
      </w:r>
    </w:p>
    <w:p w14:paraId="43500CE4">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14</w:t>
      </w:r>
    </w:p>
    <w:p w14:paraId="063FE004">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14</w:t>
      </w:r>
    </w:p>
    <w:p w14:paraId="5CE06685">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16</w:t>
      </w:r>
    </w:p>
    <w:p w14:paraId="2515FFB0">
      <w:pPr>
        <w:pStyle w:val="14"/>
        <w:adjustRightInd w:val="0"/>
        <w:snapToGrid w:val="0"/>
        <w:spacing w:line="440" w:lineRule="exact"/>
        <w:jc w:val="distribute"/>
        <w:rPr>
          <w:rFonts w:hint="eastAsia"/>
          <w:color w:val="auto"/>
          <w:sz w:val="24"/>
          <w:highlight w:val="none"/>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16</w:t>
      </w:r>
    </w:p>
    <w:p w14:paraId="0056CE07">
      <w:pPr>
        <w:pStyle w:val="14"/>
        <w:adjustRightInd w:val="0"/>
        <w:snapToGrid w:val="0"/>
        <w:spacing w:line="440" w:lineRule="exact"/>
        <w:jc w:val="distribute"/>
        <w:rPr>
          <w:rFonts w:hint="default" w:eastAsia="宋体"/>
          <w:color w:val="auto"/>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17</w:t>
      </w:r>
    </w:p>
    <w:p w14:paraId="0A29F70A">
      <w:pPr>
        <w:pStyle w:val="14"/>
        <w:adjustRightInd w:val="0"/>
        <w:snapToGrid w:val="0"/>
        <w:spacing w:line="440" w:lineRule="exact"/>
        <w:jc w:val="distribute"/>
        <w:rPr>
          <w:rFonts w:hint="default" w:eastAsia="宋体"/>
          <w:color w:val="auto"/>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17</w:t>
      </w:r>
    </w:p>
    <w:p w14:paraId="75B3ECBA">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14:paraId="2DAE29D8">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color w:val="auto"/>
          <w:sz w:val="24"/>
          <w:highlight w:val="none"/>
          <w:lang w:val="en-US" w:eastAsia="zh-CN"/>
        </w:rPr>
        <w:t>20</w:t>
      </w:r>
    </w:p>
    <w:p w14:paraId="5C5B7BC8">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21</w:t>
      </w:r>
    </w:p>
    <w:p w14:paraId="3F64230D">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w:t>
      </w:r>
      <w:r>
        <w:rPr>
          <w:rFonts w:hint="eastAsia" w:cs="Times New Roman"/>
          <w:color w:val="auto"/>
          <w:kern w:val="2"/>
          <w:sz w:val="24"/>
          <w:szCs w:val="24"/>
          <w:highlight w:val="none"/>
          <w:lang w:val="en-US" w:eastAsia="zh-CN" w:bidi="ar-SA"/>
        </w:rPr>
        <w:t>1</w:t>
      </w:r>
    </w:p>
    <w:p w14:paraId="45C2E7EF">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21</w:t>
      </w:r>
    </w:p>
    <w:p w14:paraId="4BA05EA0">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21</w:t>
      </w:r>
    </w:p>
    <w:p w14:paraId="54D03875">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21</w:t>
      </w:r>
    </w:p>
    <w:p w14:paraId="1A84F966">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21</w:t>
      </w:r>
    </w:p>
    <w:p w14:paraId="6A40734D">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21</w:t>
      </w:r>
    </w:p>
    <w:p w14:paraId="31F86908">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21</w:t>
      </w:r>
    </w:p>
    <w:p w14:paraId="7699B312">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21</w:t>
      </w:r>
    </w:p>
    <w:p w14:paraId="2503E1E5">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21</w:t>
      </w:r>
    </w:p>
    <w:p w14:paraId="3BBCB526">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21</w:t>
      </w:r>
    </w:p>
    <w:p w14:paraId="170E09B2">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21</w:t>
      </w:r>
    </w:p>
    <w:p w14:paraId="5A4080E6">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21</w:t>
      </w:r>
    </w:p>
    <w:p w14:paraId="354B50B5">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21</w:t>
      </w:r>
    </w:p>
    <w:p w14:paraId="61A38AD6">
      <w:pPr>
        <w:pStyle w:val="14"/>
        <w:adjustRightInd w:val="0"/>
        <w:snapToGrid w:val="0"/>
        <w:spacing w:line="440" w:lineRule="exact"/>
        <w:jc w:val="left"/>
        <w:rPr>
          <w:rFonts w:ascii="仿宋" w:hAnsi="仿宋" w:eastAsia="仿宋"/>
          <w:bCs/>
          <w:color w:val="auto"/>
          <w:kern w:val="44"/>
          <w:sz w:val="24"/>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21</w:t>
      </w:r>
      <w:r>
        <w:rPr>
          <w:rFonts w:ascii="仿宋" w:hAnsi="仿宋" w:eastAsia="仿宋"/>
          <w:b/>
          <w:color w:val="auto"/>
          <w:sz w:val="24"/>
        </w:rPr>
        <w:br w:type="page"/>
      </w:r>
    </w:p>
    <w:p w14:paraId="50DD5BB7">
      <w:pPr>
        <w:pStyle w:val="3"/>
        <w:jc w:val="center"/>
        <w:rPr>
          <w:rStyle w:val="29"/>
          <w:rFonts w:ascii="黑体" w:hAnsi="黑体" w:eastAsia="黑体"/>
          <w:b/>
          <w:bCs w:val="0"/>
          <w:color w:val="auto"/>
        </w:rPr>
      </w:pPr>
      <w:r>
        <w:rPr>
          <w:rFonts w:hint="eastAsia" w:ascii="黑体" w:hAnsi="黑体" w:eastAsia="黑体"/>
          <w:b w:val="0"/>
          <w:color w:val="auto"/>
        </w:rPr>
        <w:t>第一部分 单位</w:t>
      </w:r>
      <w:r>
        <w:rPr>
          <w:rStyle w:val="29"/>
          <w:rFonts w:hint="eastAsia" w:ascii="黑体" w:hAnsi="黑体" w:eastAsia="黑体"/>
          <w:b w:val="0"/>
          <w:bCs w:val="0"/>
          <w:color w:val="auto"/>
        </w:rPr>
        <w:t>概况</w:t>
      </w:r>
      <w:bookmarkEnd w:id="12"/>
      <w:bookmarkEnd w:id="13"/>
    </w:p>
    <w:p w14:paraId="1AD9B8CB">
      <w:pPr>
        <w:widowControl/>
        <w:jc w:val="left"/>
        <w:rPr>
          <w:rFonts w:ascii="黑体" w:eastAsia="黑体"/>
          <w:color w:val="auto"/>
          <w:sz w:val="32"/>
          <w:szCs w:val="32"/>
        </w:rPr>
      </w:pPr>
    </w:p>
    <w:p w14:paraId="3188C32E">
      <w:pPr>
        <w:pStyle w:val="4"/>
        <w:numPr>
          <w:ilvl w:val="0"/>
          <w:numId w:val="1"/>
        </w:numPr>
        <w:rPr>
          <w:rStyle w:val="30"/>
          <w:rFonts w:ascii="黑体" w:hAnsi="黑体" w:eastAsia="黑体"/>
          <w:b w:val="0"/>
          <w:bCs w:val="0"/>
          <w:color w:val="auto"/>
        </w:rPr>
      </w:pPr>
      <w:bookmarkStart w:id="14" w:name="_Toc15377197"/>
      <w:bookmarkStart w:id="15" w:name="_Toc15396600"/>
      <w:r>
        <w:rPr>
          <w:rStyle w:val="30"/>
          <w:rFonts w:hint="eastAsia" w:ascii="黑体" w:hAnsi="黑体" w:eastAsia="黑体"/>
          <w:b w:val="0"/>
          <w:bCs w:val="0"/>
          <w:color w:val="auto"/>
        </w:rPr>
        <w:t>职能简介</w:t>
      </w:r>
    </w:p>
    <w:p w14:paraId="4A9A1765">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1.贯彻党的教育方针，坚持社会主义办学方向，实行教育与生产劳动相结合，对学生进行德育、智育、体育、美育和劳动等方面的教育。</w:t>
      </w:r>
    </w:p>
    <w:p w14:paraId="57AA59F6">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2.负责配合政府依法动员、组织适龄儿童、少年入学，严格控制学生辍学，依法保证适龄儿童、少年接受九年义务教育。</w:t>
      </w:r>
    </w:p>
    <w:p w14:paraId="34912CD8">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3.负责依法制定学校章程，并按照章程自主管理。</w:t>
      </w:r>
    </w:p>
    <w:p w14:paraId="3C507174">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4.负责制定学校教育发展规划，并抓好组织和实施工作。</w:t>
      </w:r>
    </w:p>
    <w:p w14:paraId="3DFE0F1D">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5.负责按照教育主管部门发布的指导性教学计划、 教学大纲，组织实施教育教学活动。</w:t>
      </w:r>
    </w:p>
    <w:p w14:paraId="6CBB7A9A">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6.</w:t>
      </w:r>
      <w:r>
        <w:rPr>
          <w:rFonts w:hint="eastAsia" w:ascii="仿宋_GB2312" w:eastAsia="仿宋_GB2312"/>
          <w:color w:val="auto"/>
          <w:kern w:val="0"/>
          <w:szCs w:val="20"/>
        </w:rPr>
        <w:t xml:space="preserve"> </w:t>
      </w:r>
      <w:r>
        <w:rPr>
          <w:rFonts w:hint="eastAsia" w:ascii="仿宋" w:hAnsi="仿宋" w:eastAsia="仿宋" w:cs="仿宋"/>
          <w:color w:val="auto"/>
          <w:sz w:val="32"/>
          <w:szCs w:val="32"/>
        </w:rPr>
        <w:t>负责学籍管理并对学生实施奖励或处分。</w:t>
      </w:r>
    </w:p>
    <w:p w14:paraId="50522134">
      <w:pPr>
        <w:pStyle w:val="15"/>
        <w:adjustRightInd w:val="0"/>
        <w:spacing w:beforeLines="30" w:line="500" w:lineRule="exact"/>
        <w:ind w:firstLine="640" w:firstLineChars="200"/>
        <w:outlineLvl w:val="2"/>
        <w:rPr>
          <w:rFonts w:hint="eastAsia" w:ascii="仿宋" w:hAnsi="仿宋" w:eastAsia="仿宋" w:cs="仿宋"/>
          <w:color w:val="auto"/>
          <w:sz w:val="32"/>
          <w:szCs w:val="32"/>
        </w:rPr>
      </w:pPr>
      <w:r>
        <w:rPr>
          <w:rFonts w:hint="eastAsia" w:ascii="仿宋" w:hAnsi="仿宋" w:eastAsia="仿宋" w:cs="仿宋"/>
          <w:color w:val="auto"/>
          <w:sz w:val="32"/>
          <w:szCs w:val="32"/>
        </w:rPr>
        <w:t>7.</w:t>
      </w:r>
      <w:r>
        <w:rPr>
          <w:rFonts w:hint="eastAsia" w:ascii="仿宋_GB2312" w:eastAsia="仿宋_GB2312"/>
          <w:color w:val="auto"/>
          <w:kern w:val="0"/>
          <w:szCs w:val="20"/>
        </w:rPr>
        <w:t xml:space="preserve"> </w:t>
      </w:r>
      <w:r>
        <w:rPr>
          <w:rFonts w:hint="eastAsia" w:ascii="仿宋" w:hAnsi="仿宋" w:eastAsia="仿宋" w:cs="仿宋"/>
          <w:color w:val="auto"/>
          <w:sz w:val="32"/>
          <w:szCs w:val="32"/>
        </w:rPr>
        <w:t>负责依法制定本校教师及其他职工聘任办法并对教师及其他员工实施包括奖励、处分在内的具体管理活动。</w:t>
      </w:r>
    </w:p>
    <w:p w14:paraId="2A2131E5">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8. 负责科学管理、合理使用学校的设施和经费，并积极筹措资金，改善办学条件。</w:t>
      </w:r>
    </w:p>
    <w:p w14:paraId="07AAA1B6">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rPr>
        <w:t>非法干扰。</w:t>
      </w:r>
    </w:p>
    <w:p w14:paraId="4511736E">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10.</w:t>
      </w:r>
      <w:r>
        <w:rPr>
          <w:rFonts w:hint="eastAsia" w:ascii="仿宋_GB2312" w:eastAsia="仿宋_GB2312"/>
          <w:color w:val="auto"/>
          <w:kern w:val="0"/>
          <w:szCs w:val="20"/>
        </w:rPr>
        <w:t xml:space="preserve"> </w:t>
      </w:r>
      <w:r>
        <w:rPr>
          <w:rFonts w:hint="eastAsia" w:ascii="仿宋" w:hAnsi="仿宋" w:eastAsia="仿宋" w:cs="仿宋"/>
          <w:color w:val="auto"/>
          <w:sz w:val="32"/>
          <w:szCs w:val="32"/>
        </w:rPr>
        <w:t>依法接受各级教育行政部门的检查指导和人民群众的监督。</w:t>
      </w:r>
    </w:p>
    <w:p w14:paraId="7B8B99B3">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11.承办上级交办的其他事项。</w:t>
      </w:r>
    </w:p>
    <w:p w14:paraId="7027E243">
      <w:pPr>
        <w:pStyle w:val="4"/>
        <w:rPr>
          <w:rFonts w:ascii="黑体" w:hAnsi="黑体" w:eastAsia="黑体"/>
          <w:b w:val="0"/>
          <w:color w:val="auto"/>
        </w:rPr>
      </w:pPr>
      <w:r>
        <w:rPr>
          <w:rFonts w:hint="eastAsia" w:ascii="黑体" w:hAnsi="黑体" w:eastAsia="黑体"/>
          <w:b w:val="0"/>
          <w:color w:val="auto"/>
        </w:rPr>
        <w:t>二、2021年重点工作</w:t>
      </w:r>
      <w:bookmarkEnd w:id="14"/>
      <w:bookmarkEnd w:id="15"/>
      <w:r>
        <w:rPr>
          <w:rFonts w:hint="eastAsia" w:ascii="黑体" w:hAnsi="黑体" w:eastAsia="黑体"/>
          <w:b w:val="0"/>
          <w:color w:val="auto"/>
        </w:rPr>
        <w:t>完成情况</w:t>
      </w:r>
    </w:p>
    <w:p w14:paraId="58E23BE7">
      <w:pPr>
        <w:spacing w:line="576" w:lineRule="exact"/>
        <w:ind w:firstLine="640" w:firstLineChars="200"/>
        <w:rPr>
          <w:rFonts w:hint="default" w:ascii="黑体" w:hAnsi="黑体" w:eastAsia="黑体" w:cs="仿宋"/>
          <w:b w:val="0"/>
          <w:bCs/>
          <w:color w:val="auto"/>
          <w:sz w:val="32"/>
          <w:szCs w:val="32"/>
          <w:lang w:val="en-US" w:eastAsia="zh-CN"/>
        </w:rPr>
      </w:pPr>
      <w:r>
        <w:rPr>
          <w:rFonts w:hint="eastAsia" w:ascii="黑体" w:hAnsi="黑体" w:eastAsia="黑体" w:cs="仿宋"/>
          <w:b w:val="0"/>
          <w:bCs/>
          <w:color w:val="auto"/>
          <w:sz w:val="32"/>
          <w:szCs w:val="32"/>
          <w:lang w:eastAsia="zh-CN"/>
        </w:rPr>
        <w:t>（</w:t>
      </w:r>
      <w:r>
        <w:rPr>
          <w:rFonts w:hint="eastAsia" w:ascii="黑体" w:hAnsi="黑体" w:eastAsia="黑体" w:cs="仿宋"/>
          <w:b w:val="0"/>
          <w:bCs/>
          <w:color w:val="auto"/>
          <w:sz w:val="32"/>
          <w:szCs w:val="32"/>
        </w:rPr>
        <w:t>一</w:t>
      </w:r>
      <w:r>
        <w:rPr>
          <w:rFonts w:hint="eastAsia" w:ascii="黑体" w:hAnsi="黑体" w:eastAsia="黑体" w:cs="仿宋"/>
          <w:b w:val="0"/>
          <w:bCs/>
          <w:color w:val="auto"/>
          <w:sz w:val="32"/>
          <w:szCs w:val="32"/>
          <w:lang w:eastAsia="zh-CN"/>
        </w:rPr>
        <w:t>）</w:t>
      </w:r>
      <w:r>
        <w:rPr>
          <w:rFonts w:hint="eastAsia" w:ascii="黑体" w:hAnsi="黑体" w:eastAsia="黑体" w:cs="仿宋"/>
          <w:b w:val="0"/>
          <w:bCs/>
          <w:color w:val="auto"/>
          <w:sz w:val="32"/>
          <w:szCs w:val="32"/>
          <w:lang w:val="en-US" w:eastAsia="zh-CN"/>
        </w:rPr>
        <w:t>党史学习教育领航党建新征程</w:t>
      </w:r>
    </w:p>
    <w:p w14:paraId="2798F4B6">
      <w:pPr>
        <w:spacing w:line="576" w:lineRule="exact"/>
        <w:ind w:firstLine="640" w:firstLineChars="200"/>
        <w:rPr>
          <w:rFonts w:hint="eastAsia" w:ascii="仿宋" w:hAnsi="仿宋" w:eastAsia="仿宋" w:cs="仿宋"/>
          <w:color w:val="auto"/>
          <w:sz w:val="32"/>
          <w:szCs w:val="32"/>
        </w:rPr>
      </w:pPr>
      <w:r>
        <w:rPr>
          <w:rFonts w:hint="eastAsia" w:ascii="仿宋" w:hAnsi="仿宋" w:eastAsia="仿宋" w:cs="仿宋"/>
          <w:bCs/>
          <w:color w:val="auto"/>
          <w:sz w:val="32"/>
          <w:szCs w:val="32"/>
        </w:rPr>
        <w:t>“党建工作是航标”</w:t>
      </w:r>
      <w:r>
        <w:rPr>
          <w:rFonts w:hint="eastAsia" w:ascii="仿宋" w:hAnsi="仿宋" w:eastAsia="仿宋" w:cs="仿宋"/>
          <w:bCs/>
          <w:color w:val="auto"/>
          <w:sz w:val="32"/>
          <w:szCs w:val="32"/>
          <w:lang w:eastAsia="zh-CN"/>
        </w:rPr>
        <w:t>。一年来，按照学史明理、学史增信、学史崇德、学史力行的要求，</w:t>
      </w:r>
      <w:r>
        <w:rPr>
          <w:rFonts w:hint="eastAsia" w:ascii="仿宋" w:hAnsi="仿宋" w:eastAsia="仿宋" w:cs="仿宋"/>
          <w:color w:val="auto"/>
          <w:sz w:val="32"/>
          <w:szCs w:val="32"/>
        </w:rPr>
        <w:t>打造党建示范点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开展党史学习教育，</w:t>
      </w:r>
      <w:r>
        <w:rPr>
          <w:rFonts w:hint="eastAsia" w:ascii="仿宋" w:hAnsi="仿宋" w:eastAsia="仿宋" w:cs="仿宋"/>
          <w:color w:val="auto"/>
          <w:sz w:val="32"/>
          <w:szCs w:val="32"/>
        </w:rPr>
        <w:t>组织学习</w:t>
      </w:r>
      <w:r>
        <w:rPr>
          <w:rFonts w:hint="eastAsia" w:ascii="仿宋" w:hAnsi="仿宋" w:eastAsia="仿宋" w:cs="仿宋"/>
          <w:color w:val="auto"/>
          <w:sz w:val="32"/>
          <w:szCs w:val="32"/>
          <w:lang w:val="en-US" w:eastAsia="zh-CN"/>
        </w:rPr>
        <w:t>习近平党史学习教育动员重要讲话、“七一”重要讲话和</w:t>
      </w:r>
      <w:r>
        <w:rPr>
          <w:rFonts w:hint="eastAsia" w:ascii="仿宋" w:hAnsi="仿宋" w:eastAsia="仿宋" w:cs="仿宋"/>
          <w:color w:val="auto"/>
          <w:sz w:val="32"/>
          <w:szCs w:val="32"/>
        </w:rPr>
        <w:t>十九届六中全会精神</w:t>
      </w:r>
      <w:r>
        <w:rPr>
          <w:rFonts w:hint="eastAsia" w:ascii="仿宋" w:hAnsi="仿宋" w:eastAsia="仿宋" w:cs="仿宋"/>
          <w:color w:val="auto"/>
          <w:sz w:val="32"/>
          <w:szCs w:val="32"/>
          <w:lang w:val="en-US" w:eastAsia="zh-CN"/>
        </w:rPr>
        <w:t>，加强“四史”学习</w:t>
      </w:r>
      <w:r>
        <w:rPr>
          <w:rFonts w:hint="eastAsia" w:ascii="仿宋" w:hAnsi="仿宋" w:eastAsia="仿宋" w:cs="仿宋"/>
          <w:color w:val="auto"/>
          <w:sz w:val="32"/>
          <w:szCs w:val="32"/>
        </w:rPr>
        <w:t>，提高党员教师的政治理论水平</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落实</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三会一课</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制度，利用“红色星期五”书记讲党课</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带领全体党员教师进一步增强“四个意识”、坚定“四个自信”、做到“两个维护”，努力践行“ 不忘初心，牢记使命”</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党建引领</w:t>
      </w:r>
      <w:r>
        <w:rPr>
          <w:rFonts w:hint="eastAsia" w:ascii="仿宋" w:hAnsi="仿宋" w:eastAsia="仿宋" w:cs="仿宋"/>
          <w:color w:val="auto"/>
          <w:sz w:val="32"/>
          <w:szCs w:val="32"/>
        </w:rPr>
        <w:t>师德建设，</w:t>
      </w:r>
      <w:r>
        <w:rPr>
          <w:rFonts w:hint="eastAsia" w:ascii="仿宋" w:hAnsi="仿宋" w:eastAsia="仿宋" w:cs="仿宋"/>
          <w:color w:val="auto"/>
          <w:sz w:val="32"/>
          <w:szCs w:val="32"/>
          <w:lang w:eastAsia="zh-CN"/>
        </w:rPr>
        <w:t>签订</w:t>
      </w:r>
      <w:r>
        <w:rPr>
          <w:rFonts w:hint="eastAsia" w:ascii="仿宋" w:hAnsi="仿宋" w:eastAsia="仿宋" w:cs="仿宋"/>
          <w:color w:val="auto"/>
          <w:sz w:val="32"/>
          <w:szCs w:val="32"/>
        </w:rPr>
        <w:t>教师《师德师风承诺书》和《廉政从教责任书》；扎实开展纪律作风整顿暨“以案促改”工作，通过批评和自我批评，进一步提升全体教师的</w:t>
      </w:r>
      <w:r>
        <w:rPr>
          <w:rFonts w:hint="eastAsia" w:ascii="仿宋" w:hAnsi="仿宋" w:eastAsia="仿宋" w:cs="仿宋"/>
          <w:color w:val="auto"/>
          <w:sz w:val="32"/>
          <w:szCs w:val="32"/>
          <w:lang w:val="en-US" w:eastAsia="zh-CN"/>
        </w:rPr>
        <w:t>政治素质、廉洁意识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积极开展</w:t>
      </w:r>
      <w:r>
        <w:rPr>
          <w:rFonts w:hint="eastAsia" w:ascii="仿宋" w:hAnsi="仿宋" w:eastAsia="仿宋" w:cs="仿宋"/>
          <w:color w:val="auto"/>
          <w:sz w:val="32"/>
          <w:szCs w:val="32"/>
          <w:lang w:val="en-US" w:eastAsia="zh-CN"/>
        </w:rPr>
        <w:t>老党员、老教师</w:t>
      </w:r>
      <w:r>
        <w:rPr>
          <w:rFonts w:hint="eastAsia" w:ascii="仿宋" w:hAnsi="仿宋" w:eastAsia="仿宋" w:cs="仿宋"/>
          <w:color w:val="auto"/>
          <w:sz w:val="32"/>
          <w:szCs w:val="32"/>
        </w:rPr>
        <w:t>慰问看望活动，</w:t>
      </w:r>
      <w:r>
        <w:rPr>
          <w:rFonts w:hint="eastAsia" w:ascii="仿宋" w:hAnsi="仿宋" w:eastAsia="仿宋" w:cs="仿宋"/>
          <w:color w:val="auto"/>
          <w:sz w:val="32"/>
          <w:szCs w:val="32"/>
          <w:lang w:val="en-US" w:eastAsia="zh-CN"/>
        </w:rPr>
        <w:t>及时</w:t>
      </w:r>
      <w:r>
        <w:rPr>
          <w:rFonts w:hint="eastAsia" w:ascii="仿宋" w:hAnsi="仿宋" w:eastAsia="仿宋" w:cs="仿宋"/>
          <w:color w:val="auto"/>
          <w:sz w:val="32"/>
          <w:szCs w:val="32"/>
        </w:rPr>
        <w:t>给</w:t>
      </w:r>
      <w:r>
        <w:rPr>
          <w:rFonts w:hint="eastAsia" w:ascii="仿宋" w:hAnsi="仿宋" w:eastAsia="仿宋" w:cs="仿宋"/>
          <w:color w:val="auto"/>
          <w:sz w:val="32"/>
          <w:szCs w:val="32"/>
          <w:lang w:val="en-US" w:eastAsia="zh-CN"/>
        </w:rPr>
        <w:t>退休</w:t>
      </w:r>
      <w:r>
        <w:rPr>
          <w:rFonts w:hint="eastAsia" w:ascii="仿宋" w:hAnsi="仿宋" w:eastAsia="仿宋" w:cs="仿宋"/>
          <w:color w:val="auto"/>
          <w:sz w:val="32"/>
          <w:szCs w:val="32"/>
        </w:rPr>
        <w:t>教职工送去</w:t>
      </w:r>
      <w:r>
        <w:rPr>
          <w:rFonts w:hint="eastAsia" w:ascii="仿宋" w:hAnsi="仿宋" w:eastAsia="仿宋" w:cs="仿宋"/>
          <w:color w:val="auto"/>
          <w:sz w:val="32"/>
          <w:szCs w:val="32"/>
          <w:lang w:val="en-US" w:eastAsia="zh-CN"/>
        </w:rPr>
        <w:t>组织的关怀和</w:t>
      </w:r>
      <w:r>
        <w:rPr>
          <w:rFonts w:hint="eastAsia" w:ascii="仿宋" w:hAnsi="仿宋" w:eastAsia="仿宋" w:cs="仿宋"/>
          <w:color w:val="auto"/>
          <w:sz w:val="32"/>
          <w:szCs w:val="32"/>
        </w:rPr>
        <w:t>温暖</w:t>
      </w:r>
      <w:r>
        <w:rPr>
          <w:rFonts w:hint="eastAsia" w:ascii="仿宋" w:hAnsi="仿宋" w:eastAsia="仿宋" w:cs="仿宋"/>
          <w:color w:val="auto"/>
          <w:sz w:val="32"/>
          <w:szCs w:val="32"/>
          <w:lang w:eastAsia="zh-CN"/>
        </w:rPr>
        <w:t>，</w:t>
      </w:r>
      <w:r>
        <w:rPr>
          <w:rFonts w:hint="eastAsia" w:ascii="仿宋" w:hAnsi="仿宋" w:eastAsia="仿宋" w:cs="仿宋"/>
          <w:bCs/>
          <w:color w:val="auto"/>
          <w:sz w:val="32"/>
          <w:szCs w:val="32"/>
          <w:lang w:eastAsia="zh-CN"/>
        </w:rPr>
        <w:t>党史学习教育求实、务实、扎实，</w:t>
      </w:r>
      <w:bookmarkStart w:id="67" w:name="_GoBack"/>
      <w:bookmarkEnd w:id="67"/>
      <w:r>
        <w:rPr>
          <w:rFonts w:hint="eastAsia" w:ascii="仿宋" w:hAnsi="仿宋" w:eastAsia="仿宋" w:cs="仿宋"/>
          <w:bCs/>
          <w:color w:val="auto"/>
          <w:sz w:val="32"/>
          <w:szCs w:val="32"/>
          <w:lang w:eastAsia="zh-CN"/>
        </w:rPr>
        <w:t>学校党员干部受到了一次全面深刻的政治教育、思想淬炼、精神洗礼，党支部历史自觉、历史自信大大增强，创造力、凝聚力、战斗力大大提升，达到了学党史、悟思想、办实事、开新局的目的。</w:t>
      </w:r>
    </w:p>
    <w:p w14:paraId="21F1F31E">
      <w:pPr>
        <w:pStyle w:val="27"/>
        <w:numPr>
          <w:ilvl w:val="0"/>
          <w:numId w:val="0"/>
        </w:numPr>
        <w:spacing w:line="576" w:lineRule="exact"/>
        <w:ind w:firstLine="640" w:firstLineChars="200"/>
        <w:rPr>
          <w:rFonts w:hint="eastAsia" w:ascii="黑体" w:hAnsi="黑体" w:eastAsia="黑体" w:cs="仿宋"/>
          <w:b w:val="0"/>
          <w:bCs w:val="0"/>
          <w:color w:val="auto"/>
          <w:sz w:val="32"/>
          <w:szCs w:val="32"/>
        </w:rPr>
      </w:pPr>
      <w:r>
        <w:rPr>
          <w:rFonts w:hint="eastAsia" w:ascii="黑体" w:hAnsi="黑体" w:eastAsia="黑体" w:cs="仿宋"/>
          <w:b w:val="0"/>
          <w:bCs w:val="0"/>
          <w:color w:val="auto"/>
          <w:sz w:val="32"/>
          <w:szCs w:val="32"/>
          <w:lang w:val="en-US" w:eastAsia="zh-CN"/>
        </w:rPr>
        <w:t>（二）培根铸魂奠定育人总基调</w:t>
      </w:r>
    </w:p>
    <w:p w14:paraId="77D87EFA">
      <w:pPr>
        <w:autoSpaceDE w:val="0"/>
        <w:autoSpaceDN w:val="0"/>
        <w:adjustRightInd w:val="0"/>
        <w:spacing w:line="576" w:lineRule="exact"/>
        <w:ind w:firstLine="640" w:firstLineChars="200"/>
        <w:rPr>
          <w:rFonts w:hint="eastAsia" w:ascii="仿宋" w:hAnsi="仿宋" w:eastAsia="仿宋" w:cs="仿宋"/>
          <w:bCs/>
          <w:color w:val="auto"/>
          <w:sz w:val="32"/>
          <w:szCs w:val="32"/>
          <w:lang w:eastAsia="zh-CN"/>
        </w:rPr>
      </w:pPr>
      <w:r>
        <w:rPr>
          <w:rFonts w:hint="eastAsia" w:ascii="仿宋" w:hAnsi="仿宋" w:eastAsia="仿宋" w:cs="仿宋"/>
          <w:color w:val="auto"/>
          <w:sz w:val="32"/>
          <w:szCs w:val="32"/>
          <w:lang w:val="en-US" w:eastAsia="zh-CN"/>
        </w:rPr>
        <w:t>学校秉承“养德启智”育人理念，</w:t>
      </w:r>
      <w:r>
        <w:rPr>
          <w:rFonts w:hint="eastAsia" w:ascii="仿宋" w:hAnsi="仿宋" w:eastAsia="仿宋" w:cs="仿宋"/>
          <w:color w:val="auto"/>
          <w:sz w:val="32"/>
          <w:szCs w:val="32"/>
        </w:rPr>
        <w:t>活动育人、文化育人、协同育人、环境育人</w:t>
      </w:r>
      <w:r>
        <w:rPr>
          <w:rFonts w:hint="eastAsia" w:ascii="仿宋" w:hAnsi="仿宋" w:eastAsia="仿宋" w:cs="仿宋"/>
          <w:color w:val="auto"/>
          <w:sz w:val="32"/>
          <w:szCs w:val="32"/>
          <w:lang w:val="en-US" w:eastAsia="zh-CN"/>
        </w:rPr>
        <w:t>协同发展</w:t>
      </w:r>
      <w:r>
        <w:rPr>
          <w:rFonts w:hint="eastAsia" w:ascii="仿宋" w:hAnsi="仿宋" w:eastAsia="仿宋" w:cs="仿宋"/>
          <w:color w:val="auto"/>
          <w:sz w:val="32"/>
          <w:szCs w:val="32"/>
        </w:rPr>
        <w:t>，</w:t>
      </w:r>
      <w:r>
        <w:rPr>
          <w:rFonts w:hint="eastAsia" w:ascii="仿宋" w:hAnsi="仿宋" w:eastAsia="仿宋" w:cs="仿宋"/>
          <w:bCs/>
          <w:color w:val="auto"/>
          <w:sz w:val="32"/>
          <w:szCs w:val="32"/>
        </w:rPr>
        <w:t>稳步推进</w:t>
      </w:r>
      <w:r>
        <w:rPr>
          <w:rFonts w:hint="eastAsia" w:ascii="仿宋" w:hAnsi="仿宋" w:eastAsia="仿宋" w:cs="仿宋"/>
          <w:bCs/>
          <w:color w:val="auto"/>
          <w:sz w:val="32"/>
          <w:szCs w:val="32"/>
          <w:lang w:val="en-US" w:eastAsia="zh-CN"/>
        </w:rPr>
        <w:t>德育工作</w:t>
      </w:r>
      <w:r>
        <w:rPr>
          <w:rFonts w:hint="eastAsia" w:ascii="仿宋" w:hAnsi="仿宋" w:eastAsia="仿宋" w:cs="仿宋"/>
          <w:bCs/>
          <w:color w:val="auto"/>
          <w:sz w:val="32"/>
          <w:szCs w:val="32"/>
          <w:lang w:eastAsia="zh-CN"/>
        </w:rPr>
        <w:t>。</w:t>
      </w:r>
    </w:p>
    <w:p w14:paraId="77CDB358">
      <w:pPr>
        <w:autoSpaceDE w:val="0"/>
        <w:autoSpaceDN w:val="0"/>
        <w:adjustRightInd w:val="0"/>
        <w:spacing w:line="576" w:lineRule="exact"/>
        <w:ind w:firstLine="640" w:firstLineChars="200"/>
        <w:rPr>
          <w:rFonts w:hint="eastAsia" w:ascii="仿宋" w:hAnsi="仿宋" w:eastAsia="仿宋" w:cs="仿宋"/>
          <w:color w:val="auto"/>
          <w:sz w:val="32"/>
          <w:szCs w:val="32"/>
        </w:rPr>
      </w:pPr>
      <w:r>
        <w:rPr>
          <w:rFonts w:hint="eastAsia" w:ascii="楷体_GB2312" w:hAnsi="楷体_GB2312" w:eastAsia="楷体_GB2312" w:cs="楷体_GB2312"/>
          <w:b w:val="0"/>
          <w:bCs/>
          <w:color w:val="auto"/>
          <w:sz w:val="32"/>
          <w:szCs w:val="32"/>
          <w:lang w:val="en-US" w:eastAsia="zh-CN"/>
        </w:rPr>
        <w:t>一是细节管理重日常，主题教育润童心。</w:t>
      </w:r>
      <w:r>
        <w:rPr>
          <w:rFonts w:hint="eastAsia" w:ascii="仿宋" w:hAnsi="仿宋" w:eastAsia="仿宋" w:cs="仿宋"/>
          <w:b/>
          <w:bCs/>
          <w:color w:val="auto"/>
          <w:sz w:val="32"/>
          <w:szCs w:val="32"/>
          <w:lang w:val="en-US" w:eastAsia="zh-CN"/>
        </w:rPr>
        <w:t>育人载体活</w:t>
      </w:r>
      <w:r>
        <w:rPr>
          <w:rFonts w:hint="eastAsia" w:ascii="仿宋" w:hAnsi="仿宋" w:eastAsia="仿宋" w:cs="仿宋"/>
          <w:color w:val="auto"/>
          <w:sz w:val="32"/>
          <w:szCs w:val="32"/>
          <w:lang w:val="en-US" w:eastAsia="zh-CN"/>
        </w:rPr>
        <w:t>，</w:t>
      </w:r>
      <w:r>
        <w:rPr>
          <w:rFonts w:hint="eastAsia" w:ascii="仿宋" w:hAnsi="仿宋" w:eastAsia="仿宋" w:cs="仿宋"/>
          <w:bCs/>
          <w:color w:val="auto"/>
          <w:sz w:val="32"/>
          <w:szCs w:val="32"/>
        </w:rPr>
        <w:t>校园大舞台</w:t>
      </w:r>
      <w:r>
        <w:rPr>
          <w:rFonts w:hint="eastAsia" w:ascii="仿宋" w:hAnsi="仿宋" w:eastAsia="仿宋" w:cs="仿宋"/>
          <w:bCs/>
          <w:color w:val="auto"/>
          <w:sz w:val="32"/>
          <w:szCs w:val="32"/>
          <w:lang w:eastAsia="zh-CN"/>
        </w:rPr>
        <w:t>、“</w:t>
      </w:r>
      <w:r>
        <w:rPr>
          <w:rFonts w:hint="eastAsia" w:ascii="仿宋" w:hAnsi="仿宋" w:eastAsia="仿宋" w:cs="仿宋"/>
          <w:color w:val="auto"/>
          <w:sz w:val="32"/>
          <w:szCs w:val="32"/>
        </w:rPr>
        <w:t>值周教师</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德育干部</w:t>
      </w:r>
      <w:r>
        <w:rPr>
          <w:rFonts w:hint="eastAsia" w:ascii="仿宋" w:hAnsi="仿宋" w:eastAsia="仿宋" w:cs="仿宋"/>
          <w:bCs/>
          <w:color w:val="auto"/>
          <w:sz w:val="32"/>
          <w:szCs w:val="32"/>
          <w:lang w:eastAsia="zh-CN"/>
        </w:rPr>
        <w:t>”</w:t>
      </w:r>
      <w:r>
        <w:rPr>
          <w:rFonts w:hint="eastAsia" w:ascii="仿宋" w:hAnsi="仿宋" w:eastAsia="仿宋" w:cs="仿宋"/>
          <w:color w:val="auto"/>
          <w:sz w:val="32"/>
          <w:szCs w:val="32"/>
        </w:rPr>
        <w:t>习惯养成教育</w:t>
      </w:r>
      <w:r>
        <w:rPr>
          <w:rFonts w:hint="eastAsia" w:ascii="仿宋" w:hAnsi="仿宋" w:eastAsia="仿宋" w:cs="仿宋"/>
          <w:color w:val="auto"/>
          <w:sz w:val="32"/>
          <w:szCs w:val="32"/>
          <w:lang w:val="en-US" w:eastAsia="zh-CN"/>
        </w:rPr>
        <w:t>接续发力，</w:t>
      </w:r>
      <w:r>
        <w:rPr>
          <w:rFonts w:hint="eastAsia" w:ascii="仿宋" w:hAnsi="仿宋" w:eastAsia="仿宋" w:cs="仿宋"/>
          <w:color w:val="auto"/>
          <w:sz w:val="32"/>
          <w:szCs w:val="32"/>
        </w:rPr>
        <w:t>开学第一课</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主题班会</w:t>
      </w:r>
      <w:r>
        <w:rPr>
          <w:rFonts w:hint="eastAsia" w:ascii="仿宋" w:hAnsi="仿宋" w:eastAsia="仿宋" w:cs="仿宋"/>
          <w:color w:val="auto"/>
          <w:sz w:val="32"/>
          <w:szCs w:val="32"/>
          <w:lang w:eastAsia="zh-CN"/>
        </w:rPr>
        <w:t>、</w:t>
      </w:r>
      <w:r>
        <w:rPr>
          <w:rFonts w:hint="eastAsia" w:ascii="仿宋" w:hAnsi="仿宋" w:eastAsia="仿宋" w:cs="仿宋"/>
          <w:color w:val="auto"/>
          <w:spacing w:val="8"/>
          <w:sz w:val="32"/>
          <w:szCs w:val="32"/>
        </w:rPr>
        <w:t>常态化防疫工作、师生疫苗接种组织工作</w:t>
      </w:r>
      <w:r>
        <w:rPr>
          <w:rFonts w:hint="eastAsia" w:ascii="仿宋" w:hAnsi="仿宋" w:eastAsia="仿宋" w:cs="仿宋"/>
          <w:color w:val="auto"/>
          <w:spacing w:val="8"/>
          <w:sz w:val="32"/>
          <w:szCs w:val="32"/>
          <w:lang w:val="en-US" w:eastAsia="zh-CN"/>
        </w:rPr>
        <w:t>形成常态。</w:t>
      </w:r>
      <w:r>
        <w:rPr>
          <w:rFonts w:hint="eastAsia" w:ascii="仿宋" w:hAnsi="仿宋" w:eastAsia="仿宋" w:cs="仿宋"/>
          <w:b/>
          <w:bCs/>
          <w:color w:val="auto"/>
          <w:sz w:val="32"/>
          <w:szCs w:val="32"/>
          <w:lang w:val="en-US" w:eastAsia="zh-CN"/>
        </w:rPr>
        <w:t>经验模式新。</w:t>
      </w:r>
      <w:r>
        <w:rPr>
          <w:rFonts w:hint="eastAsia" w:ascii="仿宋" w:hAnsi="仿宋" w:eastAsia="仿宋" w:cs="仿宋"/>
          <w:color w:val="auto"/>
          <w:spacing w:val="8"/>
          <w:sz w:val="32"/>
          <w:szCs w:val="32"/>
          <w:lang w:val="en-US" w:eastAsia="zh-CN"/>
        </w:rPr>
        <w:t>今年</w:t>
      </w:r>
      <w:r>
        <w:rPr>
          <w:rFonts w:hint="eastAsia" w:ascii="仿宋" w:hAnsi="仿宋" w:eastAsia="仿宋" w:cs="仿宋"/>
          <w:color w:val="auto"/>
          <w:spacing w:val="8"/>
          <w:sz w:val="32"/>
          <w:szCs w:val="32"/>
        </w:rPr>
        <w:t>11月启动“东辰模式德育常规工作”，12月底进行初步的验收，效果良好</w:t>
      </w:r>
      <w:r>
        <w:rPr>
          <w:rFonts w:hint="eastAsia" w:ascii="仿宋" w:hAnsi="仿宋" w:eastAsia="仿宋" w:cs="仿宋"/>
          <w:color w:val="auto"/>
          <w:spacing w:val="8"/>
          <w:sz w:val="32"/>
          <w:szCs w:val="32"/>
          <w:lang w:eastAsia="zh-CN"/>
        </w:rPr>
        <w:t>，持续推进扎实有力</w:t>
      </w:r>
      <w:r>
        <w:rPr>
          <w:rFonts w:hint="eastAsia" w:ascii="仿宋" w:hAnsi="仿宋" w:eastAsia="仿宋" w:cs="仿宋"/>
          <w:color w:val="auto"/>
          <w:spacing w:val="8"/>
          <w:sz w:val="32"/>
          <w:szCs w:val="32"/>
        </w:rPr>
        <w:t>。</w:t>
      </w:r>
      <w:r>
        <w:rPr>
          <w:rFonts w:hint="eastAsia" w:ascii="仿宋" w:hAnsi="仿宋" w:eastAsia="仿宋" w:cs="仿宋"/>
          <w:b/>
          <w:bCs/>
          <w:color w:val="auto"/>
          <w:sz w:val="32"/>
          <w:szCs w:val="32"/>
          <w:lang w:val="en-US" w:eastAsia="zh-CN"/>
        </w:rPr>
        <w:t>宣传教育实。</w:t>
      </w:r>
      <w:r>
        <w:rPr>
          <w:rFonts w:hint="eastAsia" w:ascii="仿宋" w:hAnsi="仿宋" w:eastAsia="仿宋" w:cs="仿宋"/>
          <w:color w:val="auto"/>
          <w:sz w:val="32"/>
          <w:szCs w:val="32"/>
          <w:lang w:val="en-US" w:eastAsia="zh-CN"/>
        </w:rPr>
        <w:t>开展</w:t>
      </w:r>
      <w:r>
        <w:rPr>
          <w:rFonts w:hint="eastAsia" w:ascii="仿宋" w:hAnsi="仿宋" w:eastAsia="仿宋" w:cs="仿宋"/>
          <w:color w:val="auto"/>
          <w:spacing w:val="8"/>
          <w:sz w:val="32"/>
          <w:szCs w:val="32"/>
        </w:rPr>
        <w:t>健康专题</w:t>
      </w:r>
      <w:r>
        <w:rPr>
          <w:rFonts w:hint="eastAsia" w:ascii="仿宋" w:hAnsi="仿宋" w:eastAsia="仿宋" w:cs="仿宋"/>
          <w:color w:val="auto"/>
          <w:spacing w:val="8"/>
          <w:sz w:val="32"/>
          <w:szCs w:val="32"/>
          <w:lang w:val="en-US" w:eastAsia="zh-CN"/>
        </w:rPr>
        <w:t>教育5次（心理健康服务讲座活动2次），特邀</w:t>
      </w:r>
      <w:r>
        <w:rPr>
          <w:rFonts w:hint="eastAsia" w:ascii="仿宋" w:hAnsi="仿宋" w:eastAsia="仿宋" w:cs="仿宋"/>
          <w:color w:val="auto"/>
          <w:spacing w:val="8"/>
          <w:sz w:val="32"/>
          <w:szCs w:val="32"/>
        </w:rPr>
        <w:t>拱墅援昭挂职医疗干部宣讲健康知识</w:t>
      </w:r>
      <w:r>
        <w:rPr>
          <w:rFonts w:hint="eastAsia" w:ascii="仿宋" w:hAnsi="仿宋" w:eastAsia="仿宋" w:cs="仿宋"/>
          <w:color w:val="auto"/>
          <w:spacing w:val="8"/>
          <w:sz w:val="32"/>
          <w:szCs w:val="32"/>
          <w:lang w:val="en-US" w:eastAsia="zh-CN"/>
        </w:rPr>
        <w:t>传递健康理念</w:t>
      </w:r>
      <w:r>
        <w:rPr>
          <w:rFonts w:hint="eastAsia" w:ascii="仿宋" w:hAnsi="仿宋" w:eastAsia="仿宋" w:cs="仿宋"/>
          <w:color w:val="auto"/>
          <w:spacing w:val="8"/>
          <w:sz w:val="32"/>
          <w:szCs w:val="32"/>
        </w:rPr>
        <w:t>。</w:t>
      </w:r>
      <w:r>
        <w:rPr>
          <w:rFonts w:hint="eastAsia" w:ascii="仿宋" w:hAnsi="仿宋" w:eastAsia="仿宋" w:cs="仿宋"/>
          <w:color w:val="auto"/>
          <w:spacing w:val="8"/>
          <w:sz w:val="32"/>
          <w:szCs w:val="32"/>
          <w:lang w:eastAsia="zh-CN"/>
        </w:rPr>
        <w:t>区法院、公安昭化分局等单位来校开展</w:t>
      </w:r>
      <w:r>
        <w:rPr>
          <w:rFonts w:hint="eastAsia" w:ascii="仿宋" w:hAnsi="仿宋" w:eastAsia="仿宋" w:cs="仿宋"/>
          <w:color w:val="auto"/>
          <w:spacing w:val="8"/>
          <w:sz w:val="32"/>
          <w:szCs w:val="32"/>
          <w:lang w:val="en-US" w:eastAsia="zh-CN"/>
        </w:rPr>
        <w:t>法治专题教育5次。</w:t>
      </w:r>
      <w:r>
        <w:rPr>
          <w:rFonts w:hint="eastAsia" w:ascii="仿宋" w:hAnsi="仿宋" w:eastAsia="仿宋" w:cs="仿宋"/>
          <w:b/>
          <w:bCs/>
          <w:color w:val="auto"/>
          <w:sz w:val="32"/>
          <w:szCs w:val="32"/>
          <w:lang w:val="en-US" w:eastAsia="zh-CN"/>
        </w:rPr>
        <w:t>主题活动精。</w:t>
      </w:r>
      <w:r>
        <w:rPr>
          <w:rFonts w:hint="eastAsia" w:ascii="仿宋" w:hAnsi="仿宋" w:eastAsia="仿宋" w:cs="仿宋"/>
          <w:b w:val="0"/>
          <w:bCs w:val="0"/>
          <w:color w:val="auto"/>
          <w:sz w:val="32"/>
          <w:szCs w:val="32"/>
          <w:lang w:val="en-US" w:eastAsia="zh-CN"/>
        </w:rPr>
        <w:t>开展了</w:t>
      </w:r>
      <w:r>
        <w:rPr>
          <w:rFonts w:hint="eastAsia" w:ascii="仿宋" w:hAnsi="仿宋" w:eastAsia="仿宋" w:cs="仿宋"/>
          <w:b w:val="0"/>
          <w:bCs w:val="0"/>
          <w:color w:val="auto"/>
          <w:sz w:val="32"/>
          <w:szCs w:val="32"/>
        </w:rPr>
        <w:t>“快</w:t>
      </w:r>
      <w:r>
        <w:rPr>
          <w:rFonts w:hint="eastAsia" w:ascii="仿宋" w:hAnsi="仿宋" w:eastAsia="仿宋" w:cs="仿宋"/>
          <w:color w:val="auto"/>
          <w:sz w:val="32"/>
          <w:szCs w:val="32"/>
        </w:rPr>
        <w:t>乐劳动桃博园 探秘嘉陵第一港”主题研学实践教育活动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致敬袁隆平 做新时代接班人</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“铭记历史</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吾辈自强”主题教育活动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举行了</w:t>
      </w:r>
      <w:r>
        <w:rPr>
          <w:rFonts w:hint="eastAsia" w:ascii="仿宋" w:hAnsi="仿宋" w:eastAsia="仿宋" w:cs="仿宋"/>
          <w:color w:val="auto"/>
          <w:sz w:val="32"/>
          <w:szCs w:val="32"/>
        </w:rPr>
        <w:t>“童心永向党 阳光下成长”“庆元旦</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迎新年”</w:t>
      </w:r>
      <w:r>
        <w:rPr>
          <w:rFonts w:hint="eastAsia" w:ascii="仿宋" w:hAnsi="仿宋" w:eastAsia="仿宋" w:cs="仿宋"/>
          <w:color w:val="auto"/>
          <w:sz w:val="32"/>
          <w:szCs w:val="32"/>
          <w:lang w:val="en-US" w:eastAsia="zh-CN"/>
        </w:rPr>
        <w:t>庆祝</w:t>
      </w:r>
      <w:r>
        <w:rPr>
          <w:rFonts w:hint="eastAsia" w:ascii="仿宋" w:hAnsi="仿宋" w:eastAsia="仿宋" w:cs="仿宋"/>
          <w:color w:val="auto"/>
          <w:sz w:val="32"/>
          <w:szCs w:val="32"/>
        </w:rPr>
        <w:t>活动。</w:t>
      </w:r>
      <w:r>
        <w:rPr>
          <w:rFonts w:hint="eastAsia" w:ascii="仿宋" w:hAnsi="仿宋" w:eastAsia="仿宋" w:cs="仿宋"/>
          <w:color w:val="auto"/>
          <w:sz w:val="32"/>
          <w:szCs w:val="32"/>
          <w:lang w:val="en-US" w:eastAsia="zh-CN"/>
        </w:rPr>
        <w:t>其中</w:t>
      </w:r>
      <w:r>
        <w:rPr>
          <w:rFonts w:hint="eastAsia" w:ascii="仿宋" w:hAnsi="仿宋" w:eastAsia="仿宋" w:cs="仿宋"/>
          <w:color w:val="auto"/>
          <w:sz w:val="32"/>
          <w:szCs w:val="32"/>
        </w:rPr>
        <w:t>“铭记历史</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吾辈自强”</w:t>
      </w:r>
      <w:r>
        <w:rPr>
          <w:rFonts w:hint="eastAsia" w:ascii="仿宋" w:hAnsi="仿宋" w:eastAsia="仿宋" w:cs="仿宋"/>
          <w:color w:val="auto"/>
          <w:sz w:val="32"/>
          <w:szCs w:val="32"/>
          <w:lang w:eastAsia="zh-CN"/>
        </w:rPr>
        <w:t>钢铁战士李化武为我校师生讲红色故事</w:t>
      </w:r>
      <w:r>
        <w:rPr>
          <w:rFonts w:hint="eastAsia" w:ascii="仿宋" w:hAnsi="仿宋" w:eastAsia="仿宋" w:cs="仿宋"/>
          <w:color w:val="auto"/>
          <w:sz w:val="32"/>
          <w:szCs w:val="32"/>
          <w:lang w:val="en-US" w:eastAsia="zh-CN"/>
        </w:rPr>
        <w:t>被中央电视台播出</w:t>
      </w:r>
      <w:r>
        <w:rPr>
          <w:rFonts w:hint="eastAsia" w:ascii="仿宋" w:hAnsi="仿宋" w:eastAsia="仿宋" w:cs="仿宋"/>
          <w:color w:val="auto"/>
          <w:sz w:val="32"/>
          <w:szCs w:val="32"/>
        </w:rPr>
        <w:t>报道。</w:t>
      </w:r>
    </w:p>
    <w:p w14:paraId="3D52B6F5">
      <w:pPr>
        <w:autoSpaceDE w:val="0"/>
        <w:autoSpaceDN w:val="0"/>
        <w:adjustRightInd w:val="0"/>
        <w:spacing w:line="576" w:lineRule="exact"/>
        <w:ind w:firstLine="640" w:firstLineChars="200"/>
        <w:rPr>
          <w:rFonts w:hint="eastAsia" w:ascii="仿宋" w:hAnsi="仿宋" w:eastAsia="仿宋" w:cs="仿宋"/>
          <w:color w:val="auto"/>
          <w:sz w:val="32"/>
          <w:szCs w:val="32"/>
        </w:rPr>
      </w:pPr>
      <w:r>
        <w:rPr>
          <w:rFonts w:hint="eastAsia" w:ascii="楷体_GB2312" w:hAnsi="楷体_GB2312" w:eastAsia="楷体_GB2312" w:cs="楷体_GB2312"/>
          <w:b w:val="0"/>
          <w:bCs/>
          <w:color w:val="auto"/>
          <w:sz w:val="32"/>
          <w:szCs w:val="32"/>
          <w:lang w:val="en-US" w:eastAsia="zh-CN"/>
        </w:rPr>
        <w:t>二是安全教育促和谐，德育硕果育新人。</w:t>
      </w:r>
      <w:r>
        <w:rPr>
          <w:rFonts w:hint="eastAsia" w:ascii="仿宋" w:hAnsi="仿宋" w:eastAsia="仿宋" w:cs="仿宋"/>
          <w:color w:val="auto"/>
          <w:sz w:val="32"/>
          <w:szCs w:val="32"/>
          <w:lang w:val="en-US" w:eastAsia="zh-CN"/>
        </w:rPr>
        <w:t>这一年，</w:t>
      </w:r>
      <w:r>
        <w:rPr>
          <w:rFonts w:hint="eastAsia" w:ascii="仿宋" w:hAnsi="仿宋" w:eastAsia="仿宋" w:cs="仿宋"/>
          <w:color w:val="auto"/>
          <w:sz w:val="32"/>
          <w:szCs w:val="32"/>
        </w:rPr>
        <w:t>每月1次安全演练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每周一次安全巡查</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每周安全一案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每周一次安全主题班会以及 “珍爱生命</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预防溺水”</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“防震减灾”、“防火逃生”等</w:t>
      </w:r>
      <w:r>
        <w:rPr>
          <w:rFonts w:hint="eastAsia" w:ascii="仿宋" w:hAnsi="仿宋" w:eastAsia="仿宋" w:cs="仿宋"/>
          <w:color w:val="auto"/>
          <w:sz w:val="32"/>
          <w:szCs w:val="32"/>
          <w:lang w:val="en-US" w:eastAsia="zh-CN"/>
        </w:rPr>
        <w:t>安全教育活动</w:t>
      </w:r>
      <w:r>
        <w:rPr>
          <w:rFonts w:hint="eastAsia" w:ascii="仿宋" w:hAnsi="仿宋" w:eastAsia="仿宋" w:cs="仿宋"/>
          <w:color w:val="auto"/>
          <w:sz w:val="32"/>
          <w:szCs w:val="32"/>
        </w:rPr>
        <w:t>，</w:t>
      </w:r>
      <w:r>
        <w:rPr>
          <w:rFonts w:hint="eastAsia" w:ascii="仿宋" w:hAnsi="仿宋" w:eastAsia="仿宋" w:cs="仿宋"/>
          <w:bCs/>
          <w:color w:val="auto"/>
          <w:kern w:val="0"/>
          <w:sz w:val="32"/>
          <w:szCs w:val="32"/>
        </w:rPr>
        <w:t>为校园</w:t>
      </w:r>
      <w:r>
        <w:rPr>
          <w:rFonts w:hint="eastAsia" w:ascii="仿宋" w:hAnsi="仿宋" w:eastAsia="仿宋" w:cs="仿宋"/>
          <w:bCs/>
          <w:color w:val="auto"/>
          <w:kern w:val="0"/>
          <w:sz w:val="32"/>
          <w:szCs w:val="32"/>
          <w:lang w:val="en-US" w:eastAsia="zh-CN"/>
        </w:rPr>
        <w:t>的</w:t>
      </w:r>
      <w:r>
        <w:rPr>
          <w:rFonts w:hint="eastAsia" w:ascii="仿宋" w:hAnsi="仿宋" w:eastAsia="仿宋" w:cs="仿宋"/>
          <w:bCs/>
          <w:color w:val="auto"/>
          <w:kern w:val="0"/>
          <w:sz w:val="32"/>
          <w:szCs w:val="32"/>
        </w:rPr>
        <w:t>和谐平安校奠定坚实的基础。</w:t>
      </w:r>
      <w:r>
        <w:rPr>
          <w:rFonts w:hint="eastAsia" w:ascii="仿宋" w:hAnsi="仿宋" w:eastAsia="仿宋" w:cs="仿宋"/>
          <w:bCs/>
          <w:color w:val="auto"/>
          <w:kern w:val="0"/>
          <w:sz w:val="32"/>
          <w:szCs w:val="32"/>
          <w:lang w:val="en-US" w:eastAsia="zh-CN"/>
        </w:rPr>
        <w:t>这一年</w:t>
      </w:r>
      <w:r>
        <w:rPr>
          <w:rFonts w:hint="eastAsia" w:ascii="仿宋" w:hAnsi="仿宋" w:eastAsia="仿宋" w:cs="仿宋"/>
          <w:bCs/>
          <w:color w:val="auto"/>
          <w:kern w:val="0"/>
          <w:sz w:val="32"/>
          <w:szCs w:val="32"/>
        </w:rPr>
        <w:t>，</w:t>
      </w:r>
      <w:r>
        <w:rPr>
          <w:rFonts w:hint="eastAsia" w:ascii="仿宋" w:hAnsi="仿宋" w:eastAsia="仿宋" w:cs="仿宋"/>
          <w:color w:val="auto"/>
          <w:sz w:val="32"/>
          <w:szCs w:val="32"/>
        </w:rPr>
        <w:t>有200余名学生在德育领域获</w:t>
      </w:r>
      <w:r>
        <w:rPr>
          <w:rFonts w:hint="eastAsia" w:ascii="仿宋" w:hAnsi="仿宋" w:eastAsia="仿宋" w:cs="仿宋"/>
          <w:color w:val="auto"/>
          <w:sz w:val="32"/>
          <w:szCs w:val="32"/>
          <w:lang w:eastAsia="zh-CN"/>
        </w:rPr>
        <w:t>省、</w:t>
      </w:r>
      <w:r>
        <w:rPr>
          <w:rFonts w:hint="eastAsia" w:ascii="仿宋" w:hAnsi="仿宋" w:eastAsia="仿宋" w:cs="仿宋"/>
          <w:color w:val="auto"/>
          <w:sz w:val="32"/>
          <w:szCs w:val="32"/>
        </w:rPr>
        <w:t>市</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区级奖励</w:t>
      </w:r>
      <w:r>
        <w:rPr>
          <w:rFonts w:hint="eastAsia" w:ascii="仿宋" w:hAnsi="仿宋" w:eastAsia="仿宋" w:cs="仿宋"/>
          <w:color w:val="auto"/>
          <w:sz w:val="32"/>
          <w:szCs w:val="32"/>
          <w:lang w:eastAsia="zh-CN"/>
        </w:rPr>
        <w:t>，</w:t>
      </w:r>
      <w:r>
        <w:rPr>
          <w:rFonts w:hint="eastAsia" w:ascii="仿宋" w:hAnsi="仿宋" w:eastAsia="仿宋" w:cs="仿宋"/>
          <w:color w:val="auto"/>
          <w:kern w:val="0"/>
          <w:sz w:val="32"/>
          <w:szCs w:val="32"/>
        </w:rPr>
        <w:t>52名老师获区级奖项</w:t>
      </w:r>
      <w:r>
        <w:rPr>
          <w:rFonts w:hint="eastAsia" w:ascii="仿宋" w:hAnsi="仿宋" w:eastAsia="仿宋" w:cs="仿宋"/>
          <w:color w:val="auto"/>
          <w:kern w:val="0"/>
          <w:sz w:val="32"/>
          <w:szCs w:val="32"/>
          <w:lang w:eastAsia="zh-CN"/>
        </w:rPr>
        <w:t>。</w:t>
      </w:r>
      <w:r>
        <w:rPr>
          <w:rFonts w:hint="eastAsia" w:ascii="仿宋" w:hAnsi="仿宋" w:eastAsia="仿宋" w:cs="仿宋"/>
          <w:color w:val="auto"/>
          <w:sz w:val="32"/>
          <w:szCs w:val="32"/>
          <w:lang w:val="en-US" w:eastAsia="zh-CN"/>
        </w:rPr>
        <w:t>其中</w:t>
      </w:r>
      <w:r>
        <w:rPr>
          <w:rFonts w:hint="eastAsia" w:ascii="仿宋" w:hAnsi="仿宋" w:eastAsia="仿宋" w:cs="仿宋"/>
          <w:color w:val="auto"/>
          <w:sz w:val="32"/>
          <w:szCs w:val="32"/>
        </w:rPr>
        <w:t>六一班王潇同学，获“四川省第三届小学生诗词大会”季军</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赵凯鸿同学获第六届“文轩杯 文学之星”四川省中小学生征文活动作文大赛（四川赛区）三等奖</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白诗钰同学获广元市《党史我来讲 红色照我心》演讲比赛一等奖</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学校荣获“四川省第三届小学生诗词大会”优秀组织奖</w:t>
      </w:r>
      <w:r>
        <w:rPr>
          <w:rFonts w:hint="eastAsia" w:ascii="仿宋" w:hAnsi="仿宋" w:eastAsia="仿宋" w:cs="仿宋"/>
          <w:color w:val="auto"/>
          <w:sz w:val="32"/>
          <w:szCs w:val="32"/>
          <w:lang w:eastAsia="zh-CN"/>
        </w:rPr>
        <w:t>。这一年，学校成功创建“省节水型学校”、全市第一批“省绿色学校”。一年来，学校平安和谐。</w:t>
      </w:r>
    </w:p>
    <w:p w14:paraId="24C27D6E">
      <w:pPr>
        <w:pStyle w:val="27"/>
        <w:numPr>
          <w:ilvl w:val="0"/>
          <w:numId w:val="0"/>
        </w:numPr>
        <w:spacing w:line="576" w:lineRule="exact"/>
        <w:ind w:firstLine="320" w:firstLineChars="100"/>
        <w:rPr>
          <w:rFonts w:hint="eastAsia" w:ascii="黑体" w:hAnsi="黑体" w:eastAsia="黑体" w:cs="仿宋"/>
          <w:b w:val="0"/>
          <w:bCs w:val="0"/>
          <w:color w:val="auto"/>
          <w:sz w:val="32"/>
          <w:szCs w:val="32"/>
        </w:rPr>
      </w:pPr>
      <w:r>
        <w:rPr>
          <w:rFonts w:hint="eastAsia" w:ascii="黑体" w:hAnsi="黑体" w:eastAsia="黑体" w:cs="仿宋"/>
          <w:b w:val="0"/>
          <w:bCs w:val="0"/>
          <w:color w:val="auto"/>
          <w:sz w:val="32"/>
          <w:szCs w:val="32"/>
          <w:lang w:eastAsia="zh-CN"/>
        </w:rPr>
        <w:t>（三）</w:t>
      </w:r>
      <w:r>
        <w:rPr>
          <w:rFonts w:hint="eastAsia" w:ascii="黑体" w:hAnsi="黑体" w:eastAsia="黑体" w:cs="仿宋"/>
          <w:b w:val="0"/>
          <w:bCs w:val="0"/>
          <w:color w:val="auto"/>
          <w:sz w:val="32"/>
          <w:szCs w:val="32"/>
        </w:rPr>
        <w:t>教学</w:t>
      </w:r>
      <w:r>
        <w:rPr>
          <w:rFonts w:hint="eastAsia" w:ascii="黑体" w:hAnsi="黑体" w:eastAsia="黑体" w:cs="仿宋"/>
          <w:b w:val="0"/>
          <w:bCs w:val="0"/>
          <w:color w:val="auto"/>
          <w:sz w:val="32"/>
          <w:szCs w:val="32"/>
          <w:lang w:val="en-US" w:eastAsia="zh-CN"/>
        </w:rPr>
        <w:t>教研同步开启新局面</w:t>
      </w:r>
    </w:p>
    <w:p w14:paraId="6F5A65C4">
      <w:pPr>
        <w:snapToGrid w:val="0"/>
        <w:spacing w:line="576"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学校</w:t>
      </w:r>
      <w:r>
        <w:rPr>
          <w:rFonts w:hint="eastAsia" w:ascii="仿宋" w:hAnsi="仿宋" w:eastAsia="仿宋" w:cs="仿宋"/>
          <w:color w:val="auto"/>
          <w:sz w:val="32"/>
          <w:szCs w:val="32"/>
        </w:rPr>
        <w:t>严格按照2021年新修订《四川省义务教育课程计划》制定</w:t>
      </w:r>
      <w:r>
        <w:rPr>
          <w:rFonts w:hint="eastAsia" w:ascii="仿宋" w:hAnsi="仿宋" w:eastAsia="仿宋" w:cs="仿宋"/>
          <w:color w:val="auto"/>
          <w:sz w:val="32"/>
          <w:szCs w:val="32"/>
          <w:lang w:val="en-US" w:eastAsia="zh-CN"/>
        </w:rPr>
        <w:t>课表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按照“检查—反馈—改进—复查”四步走</w:t>
      </w:r>
      <w:r>
        <w:rPr>
          <w:rFonts w:hint="eastAsia" w:ascii="仿宋" w:hAnsi="仿宋" w:eastAsia="仿宋" w:cs="仿宋"/>
          <w:color w:val="auto"/>
          <w:sz w:val="32"/>
          <w:szCs w:val="32"/>
          <w:lang w:val="en-US" w:eastAsia="zh-CN"/>
        </w:rPr>
        <w:t>教学管理模式</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落实教学常规并扎实</w:t>
      </w:r>
      <w:r>
        <w:rPr>
          <w:rFonts w:hint="eastAsia" w:ascii="仿宋" w:hAnsi="仿宋" w:eastAsia="仿宋" w:cs="仿宋"/>
          <w:color w:val="auto"/>
          <w:sz w:val="32"/>
          <w:szCs w:val="32"/>
        </w:rPr>
        <w:t>落细“五项管理”“双减”“课后服务”相关工作，全面提</w:t>
      </w:r>
      <w:r>
        <w:rPr>
          <w:rFonts w:hint="eastAsia" w:ascii="仿宋" w:hAnsi="仿宋" w:eastAsia="仿宋" w:cs="仿宋"/>
          <w:color w:val="auto"/>
          <w:sz w:val="32"/>
          <w:szCs w:val="32"/>
          <w:lang w:val="en-US" w:eastAsia="zh-CN"/>
        </w:rPr>
        <w:t>升</w:t>
      </w:r>
      <w:r>
        <w:rPr>
          <w:rFonts w:hint="eastAsia" w:ascii="仿宋" w:hAnsi="仿宋" w:eastAsia="仿宋" w:cs="仿宋"/>
          <w:color w:val="auto"/>
          <w:sz w:val="32"/>
          <w:szCs w:val="32"/>
        </w:rPr>
        <w:t>教学质量。</w:t>
      </w:r>
    </w:p>
    <w:p w14:paraId="0B1558E1">
      <w:pPr>
        <w:snapToGrid w:val="0"/>
        <w:spacing w:line="576" w:lineRule="exact"/>
        <w:ind w:firstLine="640" w:firstLineChars="200"/>
        <w:rPr>
          <w:rFonts w:hint="eastAsia" w:ascii="仿宋" w:hAnsi="仿宋" w:eastAsia="仿宋" w:cs="仿宋"/>
          <w:b/>
          <w:bCs/>
          <w:color w:val="auto"/>
          <w:sz w:val="32"/>
          <w:szCs w:val="32"/>
          <w:lang w:val="en-US" w:eastAsia="zh-CN"/>
        </w:rPr>
      </w:pPr>
      <w:r>
        <w:rPr>
          <w:rFonts w:hint="eastAsia" w:ascii="楷体_GB2312" w:hAnsi="楷体_GB2312" w:eastAsia="楷体_GB2312" w:cs="楷体_GB2312"/>
          <w:b w:val="0"/>
          <w:bCs/>
          <w:color w:val="auto"/>
          <w:sz w:val="32"/>
          <w:szCs w:val="32"/>
          <w:lang w:val="en-US" w:eastAsia="zh-CN"/>
        </w:rPr>
        <w:t>一是集中资源强师资，依托教研攻课题。</w:t>
      </w:r>
      <w:r>
        <w:rPr>
          <w:rFonts w:hint="eastAsia" w:ascii="仿宋" w:hAnsi="仿宋" w:eastAsia="仿宋" w:cs="仿宋"/>
          <w:b/>
          <w:bCs/>
          <w:color w:val="auto"/>
          <w:sz w:val="32"/>
          <w:szCs w:val="32"/>
          <w:lang w:val="en-US" w:eastAsia="zh-CN"/>
        </w:rPr>
        <w:t>线下培训广覆盖。</w:t>
      </w:r>
      <w:r>
        <w:rPr>
          <w:rFonts w:hint="eastAsia" w:ascii="仿宋" w:hAnsi="仿宋" w:eastAsia="仿宋" w:cs="仿宋"/>
          <w:color w:val="auto"/>
          <w:sz w:val="32"/>
          <w:szCs w:val="32"/>
        </w:rPr>
        <w:t>学校教师参加国家</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市</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区级培训达35人次。</w:t>
      </w:r>
      <w:r>
        <w:rPr>
          <w:rFonts w:hint="eastAsia" w:ascii="仿宋" w:hAnsi="仿宋" w:eastAsia="仿宋" w:cs="仿宋"/>
          <w:b/>
          <w:bCs/>
          <w:color w:val="auto"/>
          <w:sz w:val="32"/>
          <w:szCs w:val="32"/>
          <w:lang w:val="en-US" w:eastAsia="zh-CN"/>
        </w:rPr>
        <w:t>线上培训重整合。</w:t>
      </w:r>
      <w:r>
        <w:rPr>
          <w:rFonts w:hint="eastAsia" w:ascii="仿宋" w:hAnsi="仿宋" w:eastAsia="仿宋" w:cs="仿宋"/>
          <w:color w:val="auto"/>
          <w:sz w:val="32"/>
          <w:szCs w:val="32"/>
          <w:lang w:val="en-US" w:eastAsia="zh-CN"/>
        </w:rPr>
        <w:t>学校组织教师前后</w:t>
      </w:r>
      <w:r>
        <w:rPr>
          <w:rFonts w:hint="eastAsia" w:ascii="仿宋" w:hAnsi="仿宋" w:eastAsia="仿宋" w:cs="仿宋"/>
          <w:color w:val="auto"/>
          <w:sz w:val="32"/>
          <w:szCs w:val="32"/>
        </w:rPr>
        <w:t>参加了市继续教育网、省教育公共服务平台、省教育科学研究院、江苏小学语文名师直播课、杭州市拱墅区等平台开展的理论学习、教材解读</w:t>
      </w:r>
      <w:r>
        <w:rPr>
          <w:rFonts w:hint="eastAsia" w:ascii="仿宋" w:hAnsi="仿宋" w:eastAsia="仿宋" w:cs="仿宋"/>
          <w:color w:val="auto"/>
          <w:sz w:val="32"/>
          <w:szCs w:val="32"/>
          <w:lang w:val="en-US" w:eastAsia="zh-CN"/>
        </w:rPr>
        <w:t>等线上</w:t>
      </w:r>
      <w:r>
        <w:rPr>
          <w:rFonts w:hint="eastAsia" w:ascii="仿宋" w:hAnsi="仿宋" w:eastAsia="仿宋" w:cs="仿宋"/>
          <w:color w:val="auto"/>
          <w:sz w:val="32"/>
          <w:szCs w:val="32"/>
        </w:rPr>
        <w:t>教研活动等，</w:t>
      </w:r>
      <w:r>
        <w:rPr>
          <w:rFonts w:hint="eastAsia" w:ascii="仿宋" w:hAnsi="仿宋" w:eastAsia="仿宋" w:cs="仿宋"/>
          <w:b w:val="0"/>
          <w:bCs w:val="0"/>
          <w:color w:val="auto"/>
          <w:sz w:val="32"/>
          <w:szCs w:val="32"/>
          <w:lang w:val="en-US" w:eastAsia="zh-CN"/>
        </w:rPr>
        <w:t>尤其依托</w:t>
      </w:r>
      <w:r>
        <w:rPr>
          <w:rFonts w:hint="eastAsia" w:ascii="仿宋" w:hAnsi="仿宋" w:eastAsia="仿宋" w:cs="仿宋"/>
          <w:b w:val="0"/>
          <w:bCs w:val="0"/>
          <w:color w:val="auto"/>
          <w:sz w:val="32"/>
          <w:szCs w:val="32"/>
        </w:rPr>
        <w:t>拱墅团队，</w:t>
      </w:r>
      <w:r>
        <w:rPr>
          <w:rFonts w:hint="eastAsia" w:ascii="仿宋" w:hAnsi="仿宋" w:eastAsia="仿宋" w:cs="仿宋"/>
          <w:b w:val="0"/>
          <w:bCs w:val="0"/>
          <w:color w:val="auto"/>
          <w:sz w:val="32"/>
          <w:szCs w:val="32"/>
          <w:lang w:val="en-US" w:eastAsia="zh-CN"/>
        </w:rPr>
        <w:t>把东</w:t>
      </w:r>
      <w:r>
        <w:rPr>
          <w:rFonts w:hint="eastAsia" w:ascii="仿宋" w:hAnsi="仿宋" w:eastAsia="仿宋" w:cs="仿宋"/>
          <w:color w:val="auto"/>
          <w:sz w:val="32"/>
          <w:szCs w:val="32"/>
          <w:lang w:val="en-US" w:eastAsia="zh-CN"/>
        </w:rPr>
        <w:t>西协作效益传递至实小，教师集体深深受益。</w:t>
      </w:r>
      <w:r>
        <w:rPr>
          <w:rFonts w:hint="eastAsia" w:ascii="仿宋" w:hAnsi="仿宋" w:eastAsia="仿宋" w:cs="仿宋"/>
          <w:b/>
          <w:bCs/>
          <w:color w:val="auto"/>
          <w:sz w:val="32"/>
          <w:szCs w:val="32"/>
          <w:lang w:val="en-US" w:eastAsia="zh-CN"/>
        </w:rPr>
        <w:t>依托教研提质量。</w:t>
      </w:r>
      <w:r>
        <w:rPr>
          <w:rFonts w:hint="eastAsia" w:ascii="仿宋" w:hAnsi="仿宋" w:eastAsia="仿宋" w:cs="仿宋"/>
          <w:b w:val="0"/>
          <w:bCs w:val="0"/>
          <w:color w:val="auto"/>
          <w:sz w:val="32"/>
          <w:szCs w:val="32"/>
          <w:lang w:val="en-US" w:eastAsia="zh-CN"/>
        </w:rPr>
        <w:t>充分发挥</w:t>
      </w:r>
      <w:r>
        <w:rPr>
          <w:rFonts w:hint="eastAsia" w:ascii="仿宋" w:hAnsi="仿宋" w:eastAsia="仿宋" w:cs="仿宋"/>
          <w:b w:val="0"/>
          <w:bCs w:val="0"/>
          <w:color w:val="auto"/>
          <w:sz w:val="32"/>
          <w:szCs w:val="32"/>
        </w:rPr>
        <w:t>名优骨干</w:t>
      </w:r>
      <w:r>
        <w:rPr>
          <w:rFonts w:hint="eastAsia" w:ascii="仿宋" w:hAnsi="仿宋" w:eastAsia="仿宋" w:cs="仿宋"/>
          <w:b w:val="0"/>
          <w:bCs w:val="0"/>
          <w:color w:val="auto"/>
          <w:sz w:val="32"/>
          <w:szCs w:val="32"/>
          <w:lang w:val="en-US" w:eastAsia="zh-CN"/>
        </w:rPr>
        <w:t>先</w:t>
      </w:r>
      <w:r>
        <w:rPr>
          <w:rFonts w:hint="eastAsia" w:ascii="仿宋" w:hAnsi="仿宋" w:eastAsia="仿宋" w:cs="仿宋"/>
          <w:b w:val="0"/>
          <w:bCs w:val="0"/>
          <w:color w:val="auto"/>
          <w:sz w:val="32"/>
          <w:szCs w:val="32"/>
        </w:rPr>
        <w:t>示范</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名师</w:t>
      </w:r>
      <w:r>
        <w:rPr>
          <w:rFonts w:hint="eastAsia" w:ascii="仿宋" w:hAnsi="仿宋" w:eastAsia="仿宋" w:cs="仿宋"/>
          <w:b w:val="0"/>
          <w:bCs w:val="0"/>
          <w:color w:val="auto"/>
          <w:sz w:val="32"/>
          <w:szCs w:val="32"/>
          <w:lang w:val="en-US" w:eastAsia="zh-CN"/>
        </w:rPr>
        <w:t>资源共分享的优势，</w:t>
      </w:r>
      <w:r>
        <w:rPr>
          <w:rFonts w:hint="eastAsia" w:ascii="仿宋" w:hAnsi="仿宋" w:eastAsia="仿宋" w:cs="仿宋"/>
          <w:b w:val="0"/>
          <w:bCs w:val="0"/>
          <w:color w:val="auto"/>
          <w:sz w:val="32"/>
          <w:szCs w:val="32"/>
        </w:rPr>
        <w:t>与结对学校王家小学、黄龙小学联合开展教学研讨活动</w:t>
      </w:r>
      <w:r>
        <w:rPr>
          <w:rFonts w:hint="eastAsia" w:ascii="仿宋" w:hAnsi="仿宋" w:eastAsia="仿宋" w:cs="仿宋"/>
          <w:b w:val="0"/>
          <w:bCs w:val="0"/>
          <w:color w:val="auto"/>
          <w:sz w:val="32"/>
          <w:szCs w:val="32"/>
          <w:lang w:eastAsia="zh-CN"/>
        </w:rPr>
        <w:t>，</w:t>
      </w:r>
      <w:r>
        <w:rPr>
          <w:rFonts w:hint="eastAsia" w:ascii="仿宋" w:hAnsi="仿宋" w:eastAsia="仿宋" w:cs="仿宋"/>
          <w:color w:val="auto"/>
          <w:sz w:val="32"/>
          <w:szCs w:val="32"/>
          <w:lang w:val="en-US" w:eastAsia="zh-CN"/>
        </w:rPr>
        <w:t>学校20多名省、市、区名优骨干教师</w:t>
      </w:r>
      <w:r>
        <w:rPr>
          <w:rFonts w:hint="eastAsia" w:ascii="仿宋" w:hAnsi="仿宋" w:eastAsia="仿宋" w:cs="仿宋"/>
          <w:color w:val="auto"/>
          <w:sz w:val="32"/>
          <w:szCs w:val="32"/>
        </w:rPr>
        <w:t>分</w:t>
      </w:r>
      <w:r>
        <w:rPr>
          <w:rFonts w:hint="eastAsia" w:ascii="仿宋" w:hAnsi="仿宋" w:eastAsia="仿宋" w:cs="仿宋"/>
          <w:color w:val="auto"/>
          <w:sz w:val="32"/>
          <w:szCs w:val="32"/>
          <w:lang w:eastAsia="zh-CN"/>
        </w:rPr>
        <w:t>学科</w:t>
      </w:r>
      <w:r>
        <w:rPr>
          <w:rFonts w:hint="eastAsia" w:ascii="仿宋" w:hAnsi="仿宋" w:eastAsia="仿宋" w:cs="仿宋"/>
          <w:color w:val="auto"/>
          <w:sz w:val="32"/>
          <w:szCs w:val="32"/>
        </w:rPr>
        <w:t>在不同周次</w:t>
      </w:r>
      <w:r>
        <w:rPr>
          <w:rFonts w:hint="eastAsia" w:ascii="仿宋" w:hAnsi="仿宋" w:eastAsia="仿宋" w:cs="仿宋"/>
          <w:color w:val="auto"/>
          <w:sz w:val="32"/>
          <w:szCs w:val="32"/>
          <w:lang w:val="en-US" w:eastAsia="zh-CN"/>
        </w:rPr>
        <w:t>献课。</w:t>
      </w:r>
      <w:r>
        <w:rPr>
          <w:rFonts w:hint="eastAsia" w:ascii="仿宋" w:hAnsi="仿宋" w:eastAsia="仿宋" w:cs="仿宋"/>
          <w:b w:val="0"/>
          <w:bCs w:val="0"/>
          <w:color w:val="auto"/>
          <w:sz w:val="32"/>
          <w:szCs w:val="32"/>
        </w:rPr>
        <w:t>送教</w:t>
      </w:r>
      <w:r>
        <w:rPr>
          <w:rFonts w:hint="eastAsia" w:ascii="仿宋" w:hAnsi="仿宋" w:eastAsia="仿宋" w:cs="仿宋"/>
          <w:b w:val="0"/>
          <w:bCs w:val="0"/>
          <w:color w:val="auto"/>
          <w:sz w:val="32"/>
          <w:szCs w:val="32"/>
          <w:lang w:val="en-US" w:eastAsia="zh-CN"/>
        </w:rPr>
        <w:t>结对学校16</w:t>
      </w:r>
      <w:r>
        <w:rPr>
          <w:rFonts w:hint="eastAsia" w:ascii="仿宋" w:hAnsi="仿宋" w:eastAsia="仿宋" w:cs="仿宋"/>
          <w:b w:val="0"/>
          <w:bCs w:val="0"/>
          <w:color w:val="auto"/>
          <w:sz w:val="32"/>
          <w:szCs w:val="32"/>
        </w:rPr>
        <w:t>人次</w:t>
      </w:r>
      <w:r>
        <w:rPr>
          <w:rFonts w:hint="eastAsia" w:ascii="仿宋" w:hAnsi="仿宋" w:eastAsia="仿宋" w:cs="仿宋"/>
          <w:b w:val="0"/>
          <w:bCs w:val="0"/>
          <w:color w:val="auto"/>
          <w:sz w:val="32"/>
          <w:szCs w:val="32"/>
          <w:lang w:eastAsia="zh-CN"/>
        </w:rPr>
        <w:t>，效果显著。</w:t>
      </w:r>
      <w:r>
        <w:rPr>
          <w:rFonts w:hint="eastAsia" w:ascii="仿宋" w:hAnsi="仿宋" w:eastAsia="仿宋" w:cs="仿宋"/>
          <w:color w:val="auto"/>
          <w:sz w:val="32"/>
          <w:szCs w:val="32"/>
          <w:lang w:val="en-US" w:eastAsia="zh-CN"/>
        </w:rPr>
        <w:t>今年，</w:t>
      </w:r>
      <w:r>
        <w:rPr>
          <w:rFonts w:hint="eastAsia" w:ascii="仿宋" w:hAnsi="仿宋" w:eastAsia="仿宋" w:cs="仿宋"/>
          <w:color w:val="auto"/>
          <w:sz w:val="32"/>
          <w:szCs w:val="32"/>
        </w:rPr>
        <w:t>王家小学教学成绩提升六个名次，教师市区级微课优课获奖6人次，我校被区教育局考核加分0.5。</w:t>
      </w:r>
      <w:r>
        <w:rPr>
          <w:rFonts w:hint="eastAsia" w:ascii="仿宋" w:hAnsi="仿宋" w:eastAsia="仿宋" w:cs="仿宋"/>
          <w:b/>
          <w:bCs/>
          <w:color w:val="auto"/>
          <w:sz w:val="32"/>
          <w:szCs w:val="32"/>
          <w:lang w:val="en-US" w:eastAsia="zh-CN"/>
        </w:rPr>
        <w:t>青年教师同课异构竞风采。</w:t>
      </w:r>
      <w:r>
        <w:rPr>
          <w:rFonts w:hint="eastAsia" w:ascii="仿宋" w:hAnsi="仿宋" w:eastAsia="仿宋" w:cs="仿宋"/>
          <w:color w:val="auto"/>
          <w:sz w:val="32"/>
          <w:szCs w:val="32"/>
        </w:rPr>
        <w:t>11月下旬</w:t>
      </w:r>
      <w:r>
        <w:rPr>
          <w:rFonts w:hint="eastAsia" w:ascii="仿宋" w:hAnsi="仿宋" w:eastAsia="仿宋" w:cs="仿宋"/>
          <w:color w:val="auto"/>
          <w:sz w:val="32"/>
          <w:szCs w:val="32"/>
          <w:lang w:val="en-US" w:eastAsia="zh-CN"/>
        </w:rPr>
        <w:t>至</w:t>
      </w:r>
      <w:r>
        <w:rPr>
          <w:rFonts w:hint="eastAsia" w:ascii="仿宋" w:hAnsi="仿宋" w:eastAsia="仿宋" w:cs="仿宋"/>
          <w:color w:val="auto"/>
          <w:sz w:val="32"/>
          <w:szCs w:val="32"/>
        </w:rPr>
        <w:t>12月上旬，</w:t>
      </w:r>
      <w:r>
        <w:rPr>
          <w:rFonts w:hint="eastAsia" w:ascii="仿宋" w:hAnsi="仿宋" w:eastAsia="仿宋" w:cs="仿宋"/>
          <w:color w:val="auto"/>
          <w:sz w:val="32"/>
          <w:szCs w:val="32"/>
          <w:lang w:eastAsia="zh-CN"/>
        </w:rPr>
        <w:t>学校</w:t>
      </w:r>
      <w:r>
        <w:rPr>
          <w:rFonts w:hint="eastAsia" w:ascii="仿宋" w:hAnsi="仿宋" w:eastAsia="仿宋" w:cs="仿宋"/>
          <w:color w:val="auto"/>
          <w:sz w:val="32"/>
          <w:szCs w:val="32"/>
        </w:rPr>
        <w:t>18位语、数、</w:t>
      </w:r>
      <w:r>
        <w:rPr>
          <w:rFonts w:hint="eastAsia" w:ascii="仿宋" w:hAnsi="仿宋" w:eastAsia="仿宋" w:cs="仿宋"/>
          <w:color w:val="auto"/>
          <w:sz w:val="32"/>
          <w:szCs w:val="32"/>
          <w:lang w:eastAsia="zh-CN"/>
        </w:rPr>
        <w:t>外教师</w:t>
      </w:r>
      <w:r>
        <w:rPr>
          <w:rFonts w:hint="eastAsia" w:ascii="仿宋" w:hAnsi="仿宋" w:eastAsia="仿宋" w:cs="仿宋"/>
          <w:color w:val="auto"/>
          <w:sz w:val="32"/>
          <w:szCs w:val="32"/>
        </w:rPr>
        <w:t>以教研组为单位，分学段</w:t>
      </w:r>
      <w:r>
        <w:rPr>
          <w:rFonts w:hint="eastAsia" w:ascii="仿宋" w:hAnsi="仿宋" w:eastAsia="仿宋" w:cs="仿宋"/>
          <w:color w:val="auto"/>
          <w:sz w:val="32"/>
          <w:szCs w:val="32"/>
          <w:lang w:eastAsia="zh-CN"/>
        </w:rPr>
        <w:t>开展</w:t>
      </w:r>
      <w:r>
        <w:rPr>
          <w:rFonts w:hint="eastAsia" w:ascii="仿宋" w:hAnsi="仿宋" w:eastAsia="仿宋" w:cs="仿宋"/>
          <w:color w:val="auto"/>
          <w:sz w:val="32"/>
          <w:szCs w:val="32"/>
        </w:rPr>
        <w:t>同课异构</w:t>
      </w:r>
      <w:r>
        <w:rPr>
          <w:rFonts w:hint="eastAsia" w:ascii="仿宋" w:hAnsi="仿宋" w:eastAsia="仿宋" w:cs="仿宋"/>
          <w:color w:val="auto"/>
          <w:sz w:val="32"/>
          <w:szCs w:val="32"/>
          <w:lang w:eastAsia="zh-CN"/>
        </w:rPr>
        <w:t>研讨活动，</w:t>
      </w:r>
      <w:r>
        <w:rPr>
          <w:rFonts w:hint="eastAsia" w:ascii="仿宋" w:hAnsi="仿宋" w:eastAsia="仿宋" w:cs="仿宋"/>
          <w:color w:val="auto"/>
          <w:sz w:val="32"/>
          <w:szCs w:val="32"/>
          <w:lang w:val="en-US" w:eastAsia="zh-CN"/>
        </w:rPr>
        <w:t>扎实的教研纪实被</w:t>
      </w:r>
      <w:r>
        <w:rPr>
          <w:rFonts w:hint="eastAsia" w:ascii="仿宋" w:hAnsi="仿宋" w:eastAsia="仿宋" w:cs="仿宋"/>
          <w:color w:val="auto"/>
          <w:sz w:val="32"/>
          <w:szCs w:val="32"/>
        </w:rPr>
        <w:t>中国舆情网、川观新闻、昭化人民政府网</w:t>
      </w:r>
      <w:r>
        <w:rPr>
          <w:rFonts w:hint="eastAsia" w:ascii="仿宋" w:hAnsi="仿宋" w:eastAsia="仿宋" w:cs="仿宋"/>
          <w:color w:val="auto"/>
          <w:sz w:val="32"/>
          <w:szCs w:val="32"/>
          <w:lang w:val="en-US" w:eastAsia="zh-CN"/>
        </w:rPr>
        <w:t>同步刊载</w:t>
      </w:r>
      <w:r>
        <w:rPr>
          <w:rFonts w:hint="eastAsia" w:ascii="仿宋" w:hAnsi="仿宋" w:eastAsia="仿宋" w:cs="仿宋"/>
          <w:color w:val="auto"/>
          <w:sz w:val="32"/>
          <w:szCs w:val="32"/>
        </w:rPr>
        <w:t>。</w:t>
      </w:r>
      <w:r>
        <w:rPr>
          <w:rFonts w:hint="eastAsia" w:ascii="仿宋" w:hAnsi="仿宋" w:eastAsia="仿宋" w:cs="仿宋"/>
          <w:b/>
          <w:bCs/>
          <w:color w:val="auto"/>
          <w:sz w:val="32"/>
          <w:szCs w:val="32"/>
          <w:lang w:val="en-US" w:eastAsia="zh-CN"/>
        </w:rPr>
        <w:t>科研同步促发展，</w:t>
      </w:r>
      <w:r>
        <w:rPr>
          <w:rFonts w:hint="eastAsia" w:ascii="仿宋_GB2312" w:hAnsi="仿宋_GB2312" w:eastAsia="仿宋_GB2312" w:cs="仿宋_GB2312"/>
          <w:color w:val="auto"/>
          <w:sz w:val="32"/>
          <w:szCs w:val="32"/>
          <w:lang w:val="en-US" w:eastAsia="zh-CN"/>
        </w:rPr>
        <w:t>省级子课题《青年教师培养校本策略研究》结题工作有序推进，开展青年教师思想引领、专业提升讲座达12次，教师课标学习、教材研究、青年教师课堂研究达10次以上，青年教师团队整体实力逐步上升。市级课题《小学语文主题学习实践与研究》带领全体语文教师对语文教材系统梳理，开发《我爱古诗词》第一辑，《疫去春来》学生成果集1本。区级课题</w:t>
      </w:r>
      <w:r>
        <w:rPr>
          <w:rFonts w:hint="eastAsia" w:ascii="仿宋_GB2312" w:hAnsi="仿宋_GB2312" w:eastAsia="仿宋_GB2312" w:cs="仿宋_GB2312"/>
          <w:color w:val="auto"/>
          <w:sz w:val="32"/>
          <w:szCs w:val="32"/>
        </w:rPr>
        <w:t>《基于外研版小学英语“话题式”分级衔接研究》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五位英语教师全员参与，研究工作扎实推进。</w:t>
      </w:r>
    </w:p>
    <w:p w14:paraId="29ECDB2A">
      <w:pPr>
        <w:snapToGrid w:val="0"/>
        <w:spacing w:line="576" w:lineRule="exact"/>
        <w:ind w:firstLine="640" w:firstLineChars="200"/>
        <w:rPr>
          <w:rFonts w:hint="eastAsia" w:ascii="仿宋" w:hAnsi="仿宋" w:eastAsia="仿宋" w:cs="仿宋"/>
          <w:color w:val="auto"/>
          <w:sz w:val="32"/>
          <w:szCs w:val="32"/>
          <w:lang w:eastAsia="zh-CN"/>
        </w:rPr>
      </w:pPr>
      <w:r>
        <w:rPr>
          <w:rFonts w:hint="eastAsia" w:ascii="楷体_GB2312" w:hAnsi="楷体_GB2312" w:eastAsia="楷体_GB2312" w:cs="楷体_GB2312"/>
          <w:b w:val="0"/>
          <w:bCs/>
          <w:color w:val="auto"/>
          <w:sz w:val="32"/>
          <w:szCs w:val="32"/>
          <w:lang w:val="en-US" w:eastAsia="zh-CN"/>
        </w:rPr>
        <w:t>二是丰富课程开慧眼，体智竞彩获佳绩。</w:t>
      </w:r>
      <w:r>
        <w:rPr>
          <w:rFonts w:hint="eastAsia" w:ascii="仿宋" w:hAnsi="仿宋" w:eastAsia="仿宋" w:cs="仿宋"/>
          <w:color w:val="auto"/>
          <w:sz w:val="32"/>
          <w:szCs w:val="32"/>
        </w:rPr>
        <w:t>4月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作为承办</w:t>
      </w:r>
      <w:r>
        <w:rPr>
          <w:rFonts w:hint="eastAsia" w:ascii="仿宋" w:hAnsi="仿宋" w:eastAsia="仿宋" w:cs="仿宋"/>
          <w:color w:val="auto"/>
          <w:sz w:val="32"/>
          <w:szCs w:val="32"/>
        </w:rPr>
        <w:t>广元市信息化现场推进会</w:t>
      </w:r>
      <w:r>
        <w:rPr>
          <w:rFonts w:hint="eastAsia" w:ascii="仿宋" w:hAnsi="仿宋" w:eastAsia="仿宋" w:cs="仿宋"/>
          <w:color w:val="auto"/>
          <w:sz w:val="32"/>
          <w:szCs w:val="32"/>
          <w:lang w:eastAsia="zh-CN"/>
        </w:rPr>
        <w:t>学校</w:t>
      </w:r>
      <w:r>
        <w:rPr>
          <w:rFonts w:hint="eastAsia" w:ascii="仿宋" w:hAnsi="仿宋" w:eastAsia="仿宋" w:cs="仿宋"/>
          <w:color w:val="auto"/>
          <w:sz w:val="32"/>
          <w:szCs w:val="32"/>
          <w:lang w:val="en-US" w:eastAsia="zh-CN"/>
        </w:rPr>
        <w:t>之一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编程教学</w:t>
      </w:r>
      <w:r>
        <w:rPr>
          <w:rFonts w:hint="eastAsia" w:ascii="仿宋" w:hAnsi="仿宋" w:eastAsia="仿宋" w:cs="仿宋"/>
          <w:color w:val="auto"/>
          <w:sz w:val="32"/>
          <w:szCs w:val="32"/>
          <w:lang w:val="en-US" w:eastAsia="zh-CN"/>
        </w:rPr>
        <w:t>首获展示</w:t>
      </w:r>
      <w:r>
        <w:rPr>
          <w:rFonts w:hint="eastAsia" w:ascii="仿宋" w:hAnsi="仿宋" w:eastAsia="仿宋" w:cs="仿宋"/>
          <w:color w:val="auto"/>
          <w:sz w:val="32"/>
          <w:szCs w:val="32"/>
        </w:rPr>
        <w:t>；10月</w:t>
      </w:r>
      <w:r>
        <w:rPr>
          <w:rFonts w:hint="eastAsia" w:ascii="仿宋" w:hAnsi="仿宋" w:eastAsia="仿宋" w:cs="仿宋"/>
          <w:color w:val="auto"/>
          <w:sz w:val="32"/>
          <w:szCs w:val="32"/>
          <w:lang w:eastAsia="zh-CN"/>
        </w:rPr>
        <w:t>，浙江吉利控股梦想绿跑道青少年筑梦公益平台“领克益起来”编程广元公益项目在我校正式</w:t>
      </w:r>
      <w:r>
        <w:rPr>
          <w:rFonts w:hint="eastAsia" w:ascii="仿宋" w:hAnsi="仿宋" w:eastAsia="仿宋" w:cs="仿宋"/>
          <w:color w:val="auto"/>
          <w:sz w:val="32"/>
          <w:szCs w:val="32"/>
        </w:rPr>
        <w:t>启动，</w:t>
      </w:r>
      <w:r>
        <w:rPr>
          <w:rFonts w:hint="eastAsia" w:ascii="仿宋" w:hAnsi="仿宋" w:eastAsia="仿宋" w:cs="仿宋"/>
          <w:color w:val="auto"/>
          <w:sz w:val="32"/>
          <w:szCs w:val="32"/>
          <w:lang w:val="en-US" w:eastAsia="zh-CN"/>
        </w:rPr>
        <w:t>学校</w:t>
      </w:r>
      <w:r>
        <w:rPr>
          <w:rFonts w:hint="eastAsia" w:ascii="仿宋" w:hAnsi="仿宋" w:eastAsia="仿宋" w:cs="仿宋"/>
          <w:color w:val="auto"/>
          <w:sz w:val="32"/>
          <w:szCs w:val="32"/>
        </w:rPr>
        <w:t>7名师生获得了</w:t>
      </w:r>
      <w:r>
        <w:rPr>
          <w:rFonts w:hint="eastAsia" w:ascii="仿宋" w:hAnsi="仿宋" w:eastAsia="仿宋" w:cs="仿宋"/>
          <w:color w:val="auto"/>
          <w:sz w:val="32"/>
          <w:szCs w:val="32"/>
          <w:lang w:val="en-US" w:eastAsia="zh-CN"/>
        </w:rPr>
        <w:t>领克</w:t>
      </w:r>
      <w:r>
        <w:rPr>
          <w:rFonts w:hint="eastAsia" w:ascii="仿宋" w:hAnsi="仿宋" w:eastAsia="仿宋" w:cs="仿宋"/>
          <w:color w:val="auto"/>
          <w:sz w:val="32"/>
          <w:szCs w:val="32"/>
        </w:rPr>
        <w:t>“益起来”编程项目的平板电脑和线上编程课程的支持</w:t>
      </w:r>
      <w:r>
        <w:rPr>
          <w:rFonts w:hint="eastAsia" w:ascii="仿宋" w:hAnsi="仿宋" w:eastAsia="仿宋" w:cs="仿宋"/>
          <w:color w:val="auto"/>
          <w:sz w:val="32"/>
          <w:szCs w:val="32"/>
          <w:lang w:eastAsia="zh-CN"/>
        </w:rPr>
        <w:t>，李洪兰老师在2021年四川省教师教育教学信息化大赛课件组中获二等奖，项目推进效果良好</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11月，</w:t>
      </w:r>
      <w:r>
        <w:rPr>
          <w:rFonts w:hint="eastAsia" w:ascii="仿宋" w:hAnsi="仿宋" w:eastAsia="仿宋" w:cs="仿宋"/>
          <w:color w:val="auto"/>
          <w:sz w:val="32"/>
          <w:szCs w:val="32"/>
          <w:lang w:eastAsia="zh-CN"/>
        </w:rPr>
        <w:t>中国</w:t>
      </w:r>
      <w:r>
        <w:rPr>
          <w:rFonts w:hint="eastAsia" w:ascii="仿宋" w:hAnsi="仿宋" w:eastAsia="仿宋" w:cs="仿宋"/>
          <w:color w:val="auto"/>
          <w:sz w:val="32"/>
          <w:szCs w:val="32"/>
          <w:lang w:val="en-US" w:eastAsia="zh-CN"/>
        </w:rPr>
        <w:t>网易公益联合蜗牛读书馆推出“小蜗牛读书馆计划”——“小蜗牛读书馆”在我校正式建成并投入使用，为孩子们插上想象的翅膀，“阅”见未来的更多可能。作为广元窑文化传承基地，2022年1月，学校与广元万安博物馆正式签订馆校合作项目，学校把陶艺瓷文化传承向纵深推进。这一年，学校教师在全市教学大比武微课、实录、现场展示等活动中有50余人次获奖，陈英老师在全市中小学实验教学说课竞赛活动中获一等奖、省级三等奖，</w:t>
      </w:r>
      <w:r>
        <w:rPr>
          <w:rFonts w:hint="eastAsia" w:ascii="仿宋" w:hAnsi="仿宋" w:eastAsia="仿宋" w:cs="仿宋"/>
          <w:color w:val="auto"/>
          <w:sz w:val="32"/>
          <w:szCs w:val="32"/>
        </w:rPr>
        <w:t>教师组周欣等13人吟诵《可爱的中国》获广元市2021年中华经典诵读活动二等奖</w:t>
      </w:r>
      <w:r>
        <w:rPr>
          <w:rFonts w:hint="eastAsia" w:ascii="仿宋" w:hAnsi="仿宋" w:eastAsia="仿宋" w:cs="仿宋"/>
          <w:color w:val="auto"/>
          <w:sz w:val="32"/>
          <w:szCs w:val="32"/>
          <w:lang w:eastAsia="zh-CN"/>
        </w:rPr>
        <w:t>；在</w:t>
      </w:r>
      <w:r>
        <w:rPr>
          <w:rFonts w:hint="eastAsia" w:ascii="仿宋" w:hAnsi="仿宋" w:eastAsia="仿宋" w:cs="仿宋"/>
          <w:color w:val="auto"/>
          <w:sz w:val="32"/>
          <w:szCs w:val="32"/>
        </w:rPr>
        <w:t>区2021年第十三届中小学球类运动会中，实验小学斩获五项冠军（占</w:t>
      </w:r>
      <w:r>
        <w:rPr>
          <w:rFonts w:hint="eastAsia" w:ascii="仿宋" w:hAnsi="仿宋" w:eastAsia="仿宋" w:cs="仿宋"/>
          <w:color w:val="auto"/>
          <w:sz w:val="32"/>
          <w:szCs w:val="32"/>
          <w:lang w:eastAsia="zh-CN"/>
        </w:rPr>
        <w:t>小学组冠军总数的</w:t>
      </w:r>
      <w:r>
        <w:rPr>
          <w:rFonts w:hint="eastAsia" w:ascii="仿宋" w:hAnsi="仿宋" w:eastAsia="仿宋" w:cs="仿宋"/>
          <w:color w:val="auto"/>
          <w:sz w:val="32"/>
          <w:szCs w:val="32"/>
        </w:rPr>
        <w:t>42％），两项亚军，三项季军</w:t>
      </w:r>
      <w:r>
        <w:rPr>
          <w:rFonts w:hint="eastAsia" w:ascii="仿宋" w:hAnsi="仿宋" w:eastAsia="仿宋" w:cs="仿宋"/>
          <w:color w:val="auto"/>
          <w:sz w:val="32"/>
          <w:szCs w:val="32"/>
          <w:lang w:val="en-US" w:eastAsia="zh-CN"/>
        </w:rPr>
        <w:t>；在</w:t>
      </w:r>
      <w:r>
        <w:rPr>
          <w:rFonts w:hint="eastAsia" w:ascii="仿宋" w:hAnsi="仿宋" w:eastAsia="仿宋" w:cs="仿宋"/>
          <w:color w:val="auto"/>
          <w:sz w:val="32"/>
          <w:szCs w:val="32"/>
        </w:rPr>
        <w:t>9月</w:t>
      </w:r>
      <w:r>
        <w:rPr>
          <w:rFonts w:hint="eastAsia" w:ascii="仿宋" w:hAnsi="仿宋" w:eastAsia="仿宋" w:cs="仿宋"/>
          <w:color w:val="auto"/>
          <w:sz w:val="32"/>
          <w:szCs w:val="32"/>
          <w:lang w:eastAsia="zh-CN"/>
        </w:rPr>
        <w:t>我区承办（我校为分赛场）的</w:t>
      </w:r>
      <w:r>
        <w:rPr>
          <w:rFonts w:hint="eastAsia" w:ascii="仿宋" w:hAnsi="仿宋" w:eastAsia="仿宋" w:cs="仿宋"/>
          <w:color w:val="auto"/>
          <w:sz w:val="32"/>
          <w:szCs w:val="32"/>
        </w:rPr>
        <w:t>“川体集团杯”四川省第三届全民运动会暨“我要上全运”社区运动会柔力球比赛</w:t>
      </w:r>
      <w:r>
        <w:rPr>
          <w:rFonts w:hint="eastAsia" w:ascii="仿宋" w:hAnsi="仿宋" w:eastAsia="仿宋" w:cs="仿宋"/>
          <w:color w:val="auto"/>
          <w:sz w:val="32"/>
          <w:szCs w:val="32"/>
          <w:lang w:eastAsia="zh-CN"/>
        </w:rPr>
        <w:t>中</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我校</w:t>
      </w:r>
      <w:r>
        <w:rPr>
          <w:rFonts w:hint="eastAsia" w:ascii="仿宋" w:hAnsi="仿宋" w:eastAsia="仿宋" w:cs="仿宋"/>
          <w:color w:val="auto"/>
          <w:sz w:val="32"/>
          <w:szCs w:val="32"/>
        </w:rPr>
        <w:t>学生</w:t>
      </w:r>
      <w:r>
        <w:rPr>
          <w:rFonts w:hint="eastAsia" w:ascii="仿宋" w:hAnsi="仿宋" w:eastAsia="仿宋" w:cs="仿宋"/>
          <w:color w:val="auto"/>
          <w:sz w:val="32"/>
          <w:szCs w:val="32"/>
          <w:lang w:eastAsia="zh-CN"/>
        </w:rPr>
        <w:t>代表队</w:t>
      </w:r>
      <w:r>
        <w:rPr>
          <w:rFonts w:hint="eastAsia" w:ascii="仿宋" w:hAnsi="仿宋" w:eastAsia="仿宋" w:cs="仿宋"/>
          <w:color w:val="auto"/>
          <w:sz w:val="32"/>
          <w:szCs w:val="32"/>
        </w:rPr>
        <w:t>获集体规定套路A类一等奖，花式自编套路一等奖，教师</w:t>
      </w:r>
      <w:r>
        <w:rPr>
          <w:rFonts w:hint="eastAsia" w:ascii="仿宋" w:hAnsi="仿宋" w:eastAsia="仿宋" w:cs="仿宋"/>
          <w:color w:val="auto"/>
          <w:sz w:val="32"/>
          <w:szCs w:val="32"/>
          <w:lang w:eastAsia="zh-CN"/>
        </w:rPr>
        <w:t>代表队</w:t>
      </w:r>
      <w:r>
        <w:rPr>
          <w:rFonts w:hint="eastAsia" w:ascii="仿宋" w:hAnsi="仿宋" w:eastAsia="仿宋" w:cs="仿宋"/>
          <w:color w:val="auto"/>
          <w:sz w:val="32"/>
          <w:szCs w:val="32"/>
        </w:rPr>
        <w:t>获集体规定套路B类二等奖，学校获“优秀组织奖”</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10月，参加</w:t>
      </w:r>
      <w:r>
        <w:rPr>
          <w:rFonts w:hint="eastAsia" w:ascii="仿宋" w:hAnsi="仿宋" w:eastAsia="仿宋" w:cs="仿宋"/>
          <w:color w:val="auto"/>
          <w:kern w:val="0"/>
          <w:sz w:val="32"/>
          <w:szCs w:val="32"/>
          <w:lang w:bidi="ar"/>
        </w:rPr>
        <w:t>第 24届全国推普活动“三美”比赛，共计27人获奖，学校获先进集体称号。</w:t>
      </w:r>
      <w:r>
        <w:rPr>
          <w:rFonts w:hint="eastAsia" w:ascii="仿宋" w:hAnsi="仿宋" w:eastAsia="仿宋" w:cs="仿宋"/>
          <w:color w:val="auto"/>
          <w:kern w:val="0"/>
          <w:sz w:val="32"/>
          <w:szCs w:val="32"/>
          <w:lang w:eastAsia="zh-CN" w:bidi="ar"/>
        </w:rPr>
        <w:t>学校成功申报为杭州</w:t>
      </w:r>
      <w:r>
        <w:rPr>
          <w:rFonts w:hint="eastAsia" w:ascii="仿宋" w:hAnsi="仿宋" w:eastAsia="仿宋" w:cs="仿宋"/>
          <w:color w:val="auto"/>
          <w:sz w:val="32"/>
          <w:szCs w:val="32"/>
        </w:rPr>
        <w:t>“亚运足球梦想学校”。</w:t>
      </w:r>
    </w:p>
    <w:p w14:paraId="780955E4">
      <w:pPr>
        <w:spacing w:line="576" w:lineRule="exact"/>
        <w:ind w:firstLine="640" w:firstLineChars="200"/>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（四）后勤保障服务师生重质量</w:t>
      </w:r>
    </w:p>
    <w:p w14:paraId="0B954522">
      <w:pPr>
        <w:snapToGrid w:val="0"/>
        <w:spacing w:line="576" w:lineRule="exact"/>
        <w:ind w:firstLine="640" w:firstLineChars="200"/>
        <w:rPr>
          <w:rFonts w:hint="eastAsia"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做好后勤保障和财务管理，严格执行经费预算，主动化解学校债务，</w:t>
      </w:r>
      <w:r>
        <w:rPr>
          <w:rFonts w:hint="eastAsia" w:ascii="仿宋" w:hAnsi="仿宋" w:eastAsia="仿宋" w:cs="仿宋"/>
          <w:color w:val="auto"/>
          <w:kern w:val="0"/>
          <w:sz w:val="32"/>
          <w:szCs w:val="32"/>
          <w:lang w:eastAsia="zh-CN" w:bidi="ar"/>
        </w:rPr>
        <w:t>实施</w:t>
      </w:r>
      <w:r>
        <w:rPr>
          <w:rFonts w:hint="eastAsia" w:ascii="仿宋" w:hAnsi="仿宋" w:eastAsia="仿宋" w:cs="仿宋"/>
          <w:color w:val="auto"/>
          <w:kern w:val="0"/>
          <w:sz w:val="32"/>
          <w:szCs w:val="32"/>
          <w:lang w:bidi="ar"/>
        </w:rPr>
        <w:t>完成了</w:t>
      </w:r>
      <w:r>
        <w:rPr>
          <w:rFonts w:hint="eastAsia" w:ascii="仿宋" w:hAnsi="仿宋" w:eastAsia="仿宋" w:cs="仿宋"/>
          <w:color w:val="auto"/>
          <w:kern w:val="0"/>
          <w:sz w:val="32"/>
          <w:szCs w:val="32"/>
          <w:lang w:eastAsia="zh-CN" w:bidi="ar"/>
        </w:rPr>
        <w:t>薄弱环节改善和质量提升项目、教学楼楼道应急设施配备改造、</w:t>
      </w:r>
      <w:r>
        <w:rPr>
          <w:rFonts w:hint="eastAsia" w:ascii="仿宋" w:hAnsi="仿宋" w:eastAsia="仿宋" w:cs="仿宋"/>
          <w:color w:val="auto"/>
          <w:kern w:val="0"/>
          <w:sz w:val="32"/>
          <w:szCs w:val="32"/>
          <w:lang w:bidi="ar"/>
        </w:rPr>
        <w:t>学校</w:t>
      </w:r>
      <w:r>
        <w:rPr>
          <w:rFonts w:hint="eastAsia" w:ascii="仿宋" w:hAnsi="仿宋" w:eastAsia="仿宋" w:cs="仿宋"/>
          <w:color w:val="auto"/>
          <w:kern w:val="0"/>
          <w:sz w:val="32"/>
          <w:szCs w:val="32"/>
          <w:lang w:eastAsia="zh-CN" w:bidi="ar"/>
        </w:rPr>
        <w:t>化粪池</w:t>
      </w:r>
      <w:r>
        <w:rPr>
          <w:rFonts w:hint="eastAsia" w:ascii="仿宋" w:hAnsi="仿宋" w:eastAsia="仿宋" w:cs="仿宋"/>
          <w:color w:val="auto"/>
          <w:kern w:val="0"/>
          <w:sz w:val="32"/>
          <w:szCs w:val="32"/>
          <w:lang w:bidi="ar"/>
        </w:rPr>
        <w:t>污水系统的清理</w:t>
      </w:r>
      <w:r>
        <w:rPr>
          <w:rFonts w:hint="eastAsia" w:ascii="仿宋" w:hAnsi="仿宋" w:eastAsia="仿宋" w:cs="仿宋"/>
          <w:color w:val="auto"/>
          <w:kern w:val="0"/>
          <w:sz w:val="32"/>
          <w:szCs w:val="32"/>
          <w:lang w:eastAsia="zh-CN" w:bidi="ar"/>
        </w:rPr>
        <w:t>及</w:t>
      </w:r>
      <w:r>
        <w:rPr>
          <w:rFonts w:hint="eastAsia" w:ascii="仿宋" w:hAnsi="仿宋" w:eastAsia="仿宋" w:cs="仿宋"/>
          <w:color w:val="auto"/>
          <w:kern w:val="0"/>
          <w:sz w:val="32"/>
          <w:szCs w:val="32"/>
          <w:lang w:val="en-US" w:eastAsia="zh-CN" w:bidi="ar"/>
        </w:rPr>
        <w:t>2间教室环境卫生监测改造</w:t>
      </w:r>
      <w:r>
        <w:rPr>
          <w:rFonts w:hint="eastAsia" w:ascii="仿宋" w:hAnsi="仿宋" w:eastAsia="仿宋" w:cs="仿宋"/>
          <w:color w:val="auto"/>
          <w:kern w:val="0"/>
          <w:sz w:val="32"/>
          <w:szCs w:val="32"/>
          <w:lang w:eastAsia="zh-CN" w:bidi="ar"/>
        </w:rPr>
        <w:t>，上报了</w:t>
      </w:r>
      <w:r>
        <w:rPr>
          <w:rFonts w:hint="eastAsia" w:ascii="仿宋" w:hAnsi="仿宋" w:eastAsia="仿宋" w:cs="仿宋"/>
          <w:color w:val="auto"/>
          <w:kern w:val="0"/>
          <w:sz w:val="32"/>
          <w:szCs w:val="32"/>
          <w:lang w:bidi="ar"/>
        </w:rPr>
        <w:t>学校项目建设规划</w:t>
      </w:r>
      <w:r>
        <w:rPr>
          <w:rFonts w:hint="eastAsia" w:ascii="仿宋" w:hAnsi="仿宋" w:eastAsia="仿宋" w:cs="仿宋"/>
          <w:color w:val="auto"/>
          <w:kern w:val="0"/>
          <w:sz w:val="32"/>
          <w:szCs w:val="32"/>
          <w:lang w:eastAsia="zh-CN" w:bidi="ar"/>
        </w:rPr>
        <w:t>，启动了学生宿舍及附属建设项目。</w:t>
      </w:r>
      <w:r>
        <w:rPr>
          <w:rFonts w:hint="eastAsia" w:ascii="仿宋" w:hAnsi="仿宋" w:eastAsia="仿宋" w:cs="仿宋"/>
          <w:color w:val="auto"/>
          <w:kern w:val="0"/>
          <w:sz w:val="32"/>
          <w:szCs w:val="32"/>
          <w:lang w:bidi="ar"/>
        </w:rPr>
        <w:t>新配备两名保安</w:t>
      </w:r>
      <w:r>
        <w:rPr>
          <w:rFonts w:hint="eastAsia" w:ascii="仿宋" w:hAnsi="仿宋" w:eastAsia="仿宋" w:cs="仿宋"/>
          <w:color w:val="auto"/>
          <w:kern w:val="0"/>
          <w:sz w:val="32"/>
          <w:szCs w:val="32"/>
          <w:lang w:eastAsia="zh-CN" w:bidi="ar"/>
        </w:rPr>
        <w:t>、安装了“一键式报警”等，实现了校园安防建设“六个</w:t>
      </w:r>
      <w:r>
        <w:rPr>
          <w:rFonts w:hint="eastAsia" w:ascii="仿宋" w:hAnsi="仿宋" w:eastAsia="仿宋" w:cs="仿宋"/>
          <w:color w:val="auto"/>
          <w:kern w:val="0"/>
          <w:sz w:val="32"/>
          <w:szCs w:val="32"/>
          <w:lang w:val="en-US" w:eastAsia="zh-CN" w:bidi="ar"/>
        </w:rPr>
        <w:t>100%</w:t>
      </w:r>
      <w:r>
        <w:rPr>
          <w:rFonts w:hint="eastAsia" w:ascii="仿宋" w:hAnsi="仿宋" w:eastAsia="仿宋" w:cs="仿宋"/>
          <w:color w:val="auto"/>
          <w:kern w:val="0"/>
          <w:sz w:val="32"/>
          <w:szCs w:val="32"/>
          <w:lang w:eastAsia="zh-CN" w:bidi="ar"/>
        </w:rPr>
        <w:t>”完全达标，</w:t>
      </w:r>
      <w:r>
        <w:rPr>
          <w:rFonts w:hint="eastAsia" w:ascii="仿宋" w:hAnsi="仿宋" w:eastAsia="仿宋" w:cs="仿宋"/>
          <w:color w:val="auto"/>
          <w:kern w:val="0"/>
          <w:sz w:val="32"/>
          <w:szCs w:val="32"/>
          <w:lang w:bidi="ar"/>
        </w:rPr>
        <w:t>大大提高学校安全保卫和突发事件应急处置能力。</w:t>
      </w:r>
      <w:r>
        <w:rPr>
          <w:rFonts w:hint="eastAsia" w:ascii="仿宋" w:hAnsi="仿宋" w:eastAsia="仿宋" w:cs="仿宋"/>
          <w:color w:val="auto"/>
          <w:kern w:val="0"/>
          <w:sz w:val="32"/>
          <w:szCs w:val="32"/>
          <w:lang w:eastAsia="zh-CN" w:bidi="ar"/>
        </w:rPr>
        <w:t>规范学生食堂管理，</w:t>
      </w:r>
      <w:r>
        <w:rPr>
          <w:rFonts w:hint="eastAsia" w:ascii="仿宋" w:hAnsi="仿宋" w:eastAsia="仿宋" w:cs="仿宋"/>
          <w:color w:val="auto"/>
          <w:kern w:val="0"/>
          <w:sz w:val="32"/>
          <w:szCs w:val="32"/>
          <w:lang w:bidi="ar"/>
        </w:rPr>
        <w:t>实行配给制，控制运行成本，严把食品安全关，执行好“肉食计划”相关规定。落实好免补等相关惠民政策，组织感恩回馈扶贫济困捐款活动。保障教师权益，确保教师和职工保险、公积金、互助保障金按时缴纳。组织看望了生病住院教职工，慰问了退休教职工。执行好“三重一大”监督制度，做好校务公开，在涉及教职工利益和学校重大决策事项上，坚持做好权力在制度下运行。一年来，召开了2次教代会，审议通过了学校《教师职务任职资格推选工作方案》、《20</w:t>
      </w:r>
      <w:r>
        <w:rPr>
          <w:rFonts w:hint="eastAsia" w:ascii="仿宋" w:hAnsi="仿宋" w:eastAsia="仿宋" w:cs="仿宋"/>
          <w:color w:val="auto"/>
          <w:kern w:val="0"/>
          <w:sz w:val="32"/>
          <w:szCs w:val="32"/>
          <w:lang w:val="en-US" w:eastAsia="zh-CN" w:bidi="ar"/>
        </w:rPr>
        <w:t>21</w:t>
      </w:r>
      <w:r>
        <w:rPr>
          <w:rFonts w:hint="eastAsia" w:ascii="仿宋" w:hAnsi="仿宋" w:eastAsia="仿宋" w:cs="仿宋"/>
          <w:color w:val="auto"/>
          <w:kern w:val="0"/>
          <w:sz w:val="32"/>
          <w:szCs w:val="32"/>
          <w:lang w:bidi="ar"/>
        </w:rPr>
        <w:t>年度教职工绩效考核实施方案》，</w:t>
      </w:r>
      <w:r>
        <w:rPr>
          <w:rFonts w:hint="eastAsia" w:ascii="仿宋" w:hAnsi="仿宋" w:eastAsia="仿宋" w:cs="仿宋"/>
          <w:color w:val="auto"/>
          <w:kern w:val="0"/>
          <w:sz w:val="32"/>
          <w:szCs w:val="32"/>
          <w:lang w:val="en-US" w:eastAsia="zh-CN" w:bidi="ar"/>
        </w:rPr>
        <w:t>4位老师评为一级教师，12</w:t>
      </w:r>
      <w:r>
        <w:rPr>
          <w:rFonts w:hint="eastAsia" w:ascii="仿宋" w:hAnsi="仿宋" w:eastAsia="仿宋" w:cs="仿宋"/>
          <w:color w:val="auto"/>
          <w:kern w:val="0"/>
          <w:sz w:val="32"/>
          <w:szCs w:val="32"/>
          <w:lang w:bidi="ar"/>
        </w:rPr>
        <w:t>位教师获得职称晋升福利，全校教师绩效满意发放。</w:t>
      </w:r>
    </w:p>
    <w:p w14:paraId="3B1F4505">
      <w:pPr>
        <w:spacing w:line="576" w:lineRule="exact"/>
        <w:ind w:firstLine="640" w:firstLineChars="200"/>
        <w:rPr>
          <w:rFonts w:hint="default" w:ascii="黑体" w:hAnsi="黑体" w:eastAsia="黑体" w:cs="仿宋"/>
          <w:b w:val="0"/>
          <w:bCs w:val="0"/>
          <w:color w:val="auto"/>
          <w:sz w:val="32"/>
          <w:szCs w:val="32"/>
          <w:lang w:val="en-US" w:eastAsia="zh-CN"/>
        </w:rPr>
      </w:pPr>
      <w:r>
        <w:rPr>
          <w:rFonts w:hint="eastAsia" w:ascii="黑体" w:hAnsi="黑体" w:eastAsia="黑体" w:cs="仿宋"/>
          <w:b w:val="0"/>
          <w:bCs w:val="0"/>
          <w:color w:val="auto"/>
          <w:sz w:val="32"/>
          <w:szCs w:val="32"/>
          <w:lang w:val="en-US" w:eastAsia="zh-CN"/>
        </w:rPr>
        <w:t>（五）直击风浪先行先为扬风帆</w:t>
      </w:r>
    </w:p>
    <w:p w14:paraId="3AED6002">
      <w:pPr>
        <w:spacing w:line="576"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在取得成绩的同时，我们更清醒地认识到工作中存在的问题和面临的困难</w:t>
      </w:r>
      <w:r>
        <w:rPr>
          <w:rFonts w:hint="eastAsia" w:ascii="仿宋" w:hAnsi="仿宋" w:eastAsia="仿宋" w:cs="仿宋"/>
          <w:color w:val="auto"/>
          <w:sz w:val="32"/>
          <w:szCs w:val="32"/>
          <w:lang w:val="en-US" w:eastAsia="zh-CN"/>
        </w:rPr>
        <w:t>。这一年，我们</w:t>
      </w:r>
      <w:r>
        <w:rPr>
          <w:rFonts w:hint="eastAsia" w:ascii="仿宋" w:hAnsi="仿宋" w:eastAsia="仿宋" w:cs="仿宋"/>
          <w:color w:val="auto"/>
          <w:sz w:val="32"/>
          <w:szCs w:val="32"/>
        </w:rPr>
        <w:t>一如既往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稳中求进</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砥砺奋发；新一年</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我们亦是始终如一，立德树人</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笃行不怠。</w:t>
      </w:r>
    </w:p>
    <w:p w14:paraId="07F27BDA">
      <w:pPr>
        <w:pStyle w:val="16"/>
        <w:rPr>
          <w:color w:val="auto"/>
        </w:rPr>
      </w:pPr>
    </w:p>
    <w:p w14:paraId="707E3485">
      <w:pPr>
        <w:rPr>
          <w:rFonts w:hint="eastAsia" w:ascii="黑体" w:hAnsi="黑体" w:eastAsia="黑体"/>
          <w:b w:val="0"/>
          <w:color w:val="auto"/>
        </w:rPr>
      </w:pPr>
      <w:bookmarkStart w:id="16" w:name="_Toc15377204"/>
      <w:bookmarkStart w:id="17" w:name="_Toc15396602"/>
      <w:r>
        <w:rPr>
          <w:rFonts w:hint="eastAsia" w:ascii="黑体" w:hAnsi="黑体" w:eastAsia="黑体"/>
          <w:b w:val="0"/>
          <w:color w:val="auto"/>
        </w:rPr>
        <w:br w:type="page"/>
      </w:r>
    </w:p>
    <w:p w14:paraId="4FB84EB4">
      <w:pPr>
        <w:pStyle w:val="3"/>
        <w:ind w:right="440"/>
        <w:jc w:val="center"/>
        <w:rPr>
          <w:rStyle w:val="29"/>
          <w:rFonts w:ascii="黑体" w:hAnsi="黑体" w:eastAsia="黑体"/>
          <w:b w:val="0"/>
          <w:bCs/>
          <w:color w:val="auto"/>
        </w:rPr>
      </w:pPr>
      <w:r>
        <w:rPr>
          <w:rFonts w:hint="eastAsia" w:ascii="黑体" w:hAnsi="黑体" w:eastAsia="黑体"/>
          <w:b w:val="0"/>
          <w:color w:val="auto"/>
        </w:rPr>
        <w:t>第二部分 2021年度</w:t>
      </w:r>
      <w:r>
        <w:rPr>
          <w:rStyle w:val="29"/>
          <w:rFonts w:hint="eastAsia" w:ascii="黑体" w:hAnsi="黑体" w:eastAsia="黑体"/>
          <w:b w:val="0"/>
          <w:bCs/>
          <w:color w:val="auto"/>
        </w:rPr>
        <w:t>单位决算情况说明</w:t>
      </w:r>
      <w:bookmarkEnd w:id="16"/>
      <w:bookmarkEnd w:id="17"/>
    </w:p>
    <w:p w14:paraId="0A698013">
      <w:pPr>
        <w:rPr>
          <w:color w:val="auto"/>
        </w:rPr>
      </w:pPr>
    </w:p>
    <w:p w14:paraId="5A3F44C2">
      <w:pPr>
        <w:pStyle w:val="28"/>
        <w:numPr>
          <w:ilvl w:val="0"/>
          <w:numId w:val="2"/>
        </w:numPr>
        <w:spacing w:line="600" w:lineRule="exact"/>
        <w:ind w:firstLineChars="0"/>
        <w:outlineLvl w:val="1"/>
        <w:rPr>
          <w:rStyle w:val="30"/>
          <w:rFonts w:ascii="黑体" w:hAnsi="黑体" w:eastAsia="黑体"/>
          <w:b w:val="0"/>
          <w:color w:val="auto"/>
        </w:rPr>
      </w:pPr>
      <w:bookmarkStart w:id="18" w:name="_Toc15396603"/>
      <w:bookmarkStart w:id="19" w:name="_Toc15377205"/>
      <w:r>
        <w:rPr>
          <w:rFonts w:hint="eastAsia" w:ascii="黑体" w:hAnsi="黑体" w:eastAsia="黑体"/>
          <w:color w:val="auto"/>
          <w:sz w:val="32"/>
          <w:szCs w:val="32"/>
        </w:rPr>
        <w:t>收</w:t>
      </w:r>
      <w:r>
        <w:rPr>
          <w:rStyle w:val="30"/>
          <w:rFonts w:hint="eastAsia" w:ascii="黑体" w:hAnsi="黑体" w:eastAsia="黑体"/>
          <w:b w:val="0"/>
          <w:color w:val="auto"/>
        </w:rPr>
        <w:t>入支出决算总体情况说明</w:t>
      </w:r>
      <w:bookmarkEnd w:id="18"/>
      <w:bookmarkEnd w:id="19"/>
    </w:p>
    <w:p w14:paraId="1CA42570">
      <w:pPr>
        <w:spacing w:line="600" w:lineRule="exact"/>
        <w:ind w:firstLine="640" w:firstLineChars="200"/>
        <w:outlineLvl w:val="1"/>
        <w:rPr>
          <w:rFonts w:hint="eastAsia" w:eastAsia="宋体"/>
          <w:color w:val="auto"/>
          <w:lang w:eastAsia="zh-CN"/>
        </w:rPr>
      </w:pPr>
      <w:r>
        <w:rPr>
          <w:rFonts w:hint="eastAsia" w:ascii="仿宋" w:hAnsi="仿宋" w:eastAsia="仿宋"/>
          <w:color w:val="auto"/>
          <w:sz w:val="32"/>
          <w:szCs w:val="32"/>
        </w:rPr>
        <w:t>2021年度收、支总计</w:t>
      </w:r>
      <w:r>
        <w:rPr>
          <w:rFonts w:hint="eastAsia" w:ascii="仿宋" w:hAnsi="仿宋" w:eastAsia="仿宋"/>
          <w:color w:val="auto"/>
          <w:sz w:val="32"/>
          <w:szCs w:val="32"/>
          <w:lang w:val="en-US" w:eastAsia="zh-CN"/>
        </w:rPr>
        <w:t>1148.31</w:t>
      </w:r>
      <w:r>
        <w:rPr>
          <w:rFonts w:hint="eastAsia" w:ascii="仿宋" w:hAnsi="仿宋" w:eastAsia="仿宋"/>
          <w:color w:val="auto"/>
          <w:sz w:val="32"/>
          <w:szCs w:val="32"/>
        </w:rPr>
        <w:t>万元。与2020年相比，收、支总计各</w:t>
      </w:r>
      <w:r>
        <w:rPr>
          <w:rFonts w:hint="eastAsia" w:ascii="仿宋" w:hAnsi="仿宋" w:eastAsia="仿宋"/>
          <w:color w:val="auto"/>
          <w:sz w:val="32"/>
          <w:szCs w:val="32"/>
          <w:lang w:val="en-US" w:eastAsia="zh-CN"/>
        </w:rPr>
        <w:t>减少220.87</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下降16.13</w:t>
      </w:r>
      <w:r>
        <w:rPr>
          <w:rFonts w:ascii="仿宋" w:hAnsi="仿宋" w:eastAsia="仿宋"/>
          <w:color w:val="auto"/>
          <w:sz w:val="32"/>
          <w:szCs w:val="32"/>
        </w:rPr>
        <w:t>%</w:t>
      </w:r>
      <w:r>
        <w:rPr>
          <w:rFonts w:hint="eastAsia" w:ascii="仿宋" w:hAnsi="仿宋" w:eastAsia="仿宋"/>
          <w:color w:val="auto"/>
          <w:sz w:val="32"/>
          <w:szCs w:val="32"/>
        </w:rPr>
        <w:t>。主要变动原因是项目支出</w:t>
      </w:r>
      <w:r>
        <w:rPr>
          <w:rFonts w:hint="eastAsia" w:ascii="仿宋" w:hAnsi="仿宋" w:eastAsia="仿宋"/>
          <w:color w:val="auto"/>
          <w:sz w:val="32"/>
          <w:szCs w:val="32"/>
          <w:lang w:val="en-US" w:eastAsia="zh-CN"/>
        </w:rPr>
        <w:t>减少</w:t>
      </w:r>
      <w:r>
        <w:rPr>
          <w:rFonts w:hint="eastAsia" w:ascii="仿宋" w:hAnsi="仿宋" w:eastAsia="仿宋"/>
          <w:color w:val="auto"/>
          <w:sz w:val="32"/>
          <w:szCs w:val="32"/>
        </w:rPr>
        <w:t>。</w:t>
      </w:r>
    </w:p>
    <w:p w14:paraId="12296399">
      <w:pPr>
        <w:pStyle w:val="28"/>
        <w:numPr>
          <w:ilvl w:val="0"/>
          <w:numId w:val="2"/>
        </w:numPr>
        <w:spacing w:line="600" w:lineRule="exact"/>
        <w:ind w:firstLineChars="0"/>
        <w:outlineLvl w:val="1"/>
        <w:rPr>
          <w:rStyle w:val="30"/>
          <w:rFonts w:ascii="黑体" w:hAnsi="黑体" w:eastAsia="黑体"/>
          <w:b w:val="0"/>
          <w:color w:val="auto"/>
        </w:rPr>
      </w:pPr>
      <w:bookmarkStart w:id="20" w:name="_Toc15377206"/>
      <w:bookmarkStart w:id="21" w:name="_Toc15396604"/>
      <w:r>
        <w:rPr>
          <w:rFonts w:hint="eastAsia" w:eastAsia="宋体"/>
          <w:color w:val="auto"/>
          <w:highlight w:val="yellow"/>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黑体" w:hAnsi="黑体" w:eastAsia="黑体"/>
          <w:color w:val="auto"/>
          <w:sz w:val="32"/>
          <w:szCs w:val="32"/>
        </w:rPr>
        <w:t>收</w:t>
      </w:r>
      <w:r>
        <w:rPr>
          <w:rStyle w:val="30"/>
          <w:rFonts w:hint="eastAsia" w:ascii="黑体" w:hAnsi="黑体" w:eastAsia="黑体"/>
          <w:b w:val="0"/>
          <w:color w:val="auto"/>
        </w:rPr>
        <w:t>入决算情况说明</w:t>
      </w:r>
      <w:bookmarkEnd w:id="20"/>
      <w:bookmarkEnd w:id="21"/>
    </w:p>
    <w:p w14:paraId="6A9FE7F4">
      <w:pPr>
        <w:spacing w:line="600" w:lineRule="exact"/>
        <w:ind w:firstLine="640" w:firstLineChars="200"/>
        <w:outlineLvl w:val="1"/>
        <w:rPr>
          <w:rFonts w:hint="eastAsia"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21年本年收入合计</w:t>
      </w:r>
      <w:r>
        <w:rPr>
          <w:rFonts w:hint="eastAsia" w:ascii="仿宋" w:hAnsi="仿宋" w:eastAsia="仿宋"/>
          <w:color w:val="auto"/>
          <w:sz w:val="32"/>
          <w:szCs w:val="32"/>
          <w:lang w:val="en-US" w:eastAsia="zh-CN"/>
        </w:rPr>
        <w:t>1148.31</w:t>
      </w:r>
      <w:r>
        <w:rPr>
          <w:rFonts w:hint="eastAsia" w:ascii="仿宋" w:hAnsi="仿宋" w:eastAsia="仿宋"/>
          <w:color w:val="auto"/>
          <w:sz w:val="32"/>
          <w:szCs w:val="32"/>
        </w:rPr>
        <w:t>万元，其中：一般公共预算财政拨款收入</w:t>
      </w:r>
      <w:r>
        <w:rPr>
          <w:rFonts w:hint="eastAsia" w:ascii="仿宋" w:hAnsi="仿宋" w:eastAsia="仿宋"/>
          <w:color w:val="auto"/>
          <w:sz w:val="32"/>
          <w:szCs w:val="32"/>
          <w:lang w:val="en-US" w:eastAsia="zh-CN"/>
        </w:rPr>
        <w:t>1148.31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ascii="仿宋" w:hAnsi="仿宋" w:eastAsia="仿宋"/>
          <w:color w:val="auto"/>
          <w:sz w:val="32"/>
          <w:szCs w:val="32"/>
        </w:rPr>
        <w:t>%</w:t>
      </w:r>
      <w:r>
        <w:rPr>
          <w:rFonts w:hint="eastAsia" w:ascii="仿宋" w:hAnsi="仿宋" w:eastAsia="仿宋"/>
          <w:color w:val="auto"/>
          <w:sz w:val="32"/>
          <w:szCs w:val="32"/>
        </w:rPr>
        <w:t>。</w:t>
      </w:r>
    </w:p>
    <w:p w14:paraId="5E7D8ADD">
      <w:pPr>
        <w:pStyle w:val="16"/>
        <w:rPr>
          <w:rFonts w:hint="eastAsia" w:eastAsia="宋体"/>
          <w:color w:val="auto"/>
          <w:lang w:eastAsia="zh-CN"/>
        </w:rPr>
      </w:pPr>
      <w:r>
        <w:rPr>
          <w:rFonts w:hint="eastAsia" w:eastAsia="宋体"/>
          <w:color w:val="auto"/>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52349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0FCB2E67">
      <w:pPr>
        <w:pStyle w:val="16"/>
        <w:ind w:left="0" w:leftChars="0" w:firstLine="640" w:firstLineChars="200"/>
        <w:rPr>
          <w:rStyle w:val="30"/>
          <w:rFonts w:ascii="黑体" w:hAnsi="黑体" w:eastAsia="黑体"/>
          <w:b w:val="0"/>
          <w:color w:val="auto"/>
        </w:rPr>
      </w:pPr>
      <w:bookmarkStart w:id="22" w:name="_Toc15377207"/>
      <w:bookmarkStart w:id="23" w:name="_Toc15396605"/>
      <w:r>
        <w:rPr>
          <w:rFonts w:hint="eastAsia" w:ascii="黑体" w:hAnsi="黑体" w:eastAsia="黑体"/>
          <w:color w:val="auto"/>
          <w:sz w:val="32"/>
          <w:szCs w:val="32"/>
          <w:lang w:eastAsia="zh-CN"/>
        </w:rPr>
        <w:t>三、</w:t>
      </w:r>
      <w:r>
        <w:rPr>
          <w:rFonts w:hint="eastAsia" w:ascii="黑体" w:hAnsi="黑体" w:eastAsia="黑体"/>
          <w:color w:val="auto"/>
          <w:sz w:val="32"/>
          <w:szCs w:val="32"/>
        </w:rPr>
        <w:t>支</w:t>
      </w:r>
      <w:r>
        <w:rPr>
          <w:rStyle w:val="30"/>
          <w:rFonts w:hint="eastAsia" w:ascii="黑体" w:hAnsi="黑体" w:eastAsia="黑体"/>
          <w:b w:val="0"/>
          <w:color w:val="auto"/>
        </w:rPr>
        <w:t>出决算情况说明</w:t>
      </w:r>
      <w:bookmarkEnd w:id="22"/>
      <w:bookmarkEnd w:id="23"/>
    </w:p>
    <w:p w14:paraId="0C2A14C3">
      <w:pPr>
        <w:spacing w:line="600" w:lineRule="exact"/>
        <w:ind w:firstLine="640" w:firstLineChars="200"/>
        <w:outlineLvl w:val="1"/>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21年本年支出合计</w:t>
      </w:r>
      <w:r>
        <w:rPr>
          <w:rFonts w:hint="eastAsia" w:ascii="仿宋" w:hAnsi="仿宋" w:eastAsia="仿宋"/>
          <w:color w:val="auto"/>
          <w:sz w:val="32"/>
          <w:szCs w:val="32"/>
          <w:lang w:val="en-US" w:eastAsia="zh-CN"/>
        </w:rPr>
        <w:t>1148.31</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808.31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70.39</w:t>
      </w:r>
      <w:r>
        <w:rPr>
          <w:rFonts w:ascii="仿宋" w:hAnsi="仿宋" w:eastAsia="仿宋"/>
          <w:color w:val="auto"/>
          <w:sz w:val="32"/>
          <w:szCs w:val="32"/>
        </w:rPr>
        <w:t>%</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340</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29.61</w:t>
      </w:r>
      <w:r>
        <w:rPr>
          <w:rFonts w:ascii="仿宋" w:hAnsi="仿宋" w:eastAsia="仿宋"/>
          <w:color w:val="auto"/>
          <w:sz w:val="32"/>
          <w:szCs w:val="32"/>
        </w:rPr>
        <w:t>%</w:t>
      </w:r>
      <w:r>
        <w:rPr>
          <w:rFonts w:hint="eastAsia" w:ascii="仿宋" w:hAnsi="仿宋" w:eastAsia="仿宋"/>
          <w:color w:val="auto"/>
          <w:sz w:val="32"/>
          <w:szCs w:val="32"/>
        </w:rPr>
        <w:t>。</w:t>
      </w:r>
    </w:p>
    <w:p w14:paraId="6DFD328F">
      <w:pPr>
        <w:spacing w:line="600" w:lineRule="exact"/>
        <w:ind w:firstLine="640" w:firstLineChars="200"/>
        <w:outlineLvl w:val="1"/>
        <w:rPr>
          <w:rStyle w:val="30"/>
          <w:rFonts w:ascii="黑体" w:hAnsi="黑体" w:eastAsia="黑体"/>
          <w:b w:val="0"/>
          <w:color w:val="auto"/>
        </w:rPr>
      </w:pPr>
      <w:bookmarkStart w:id="24" w:name="_Toc15377208"/>
      <w:bookmarkStart w:id="25" w:name="_Toc15396606"/>
      <w:r>
        <w:rPr>
          <w:rFonts w:hint="eastAsia" w:ascii="仿宋" w:hAnsi="仿宋" w:eastAsia="仿宋"/>
          <w:color w:val="auto"/>
          <w:sz w:val="32"/>
          <w:szCs w:val="32"/>
          <w:shd w:val="pct10" w:color="auto" w:fill="FFFFFF"/>
        </w:rPr>
        <w:drawing>
          <wp:anchor distT="0" distB="0" distL="114300" distR="114300" simplePos="0" relativeHeight="251659264" behindDoc="0" locked="0" layoutInCell="1" allowOverlap="1">
            <wp:simplePos x="0" y="0"/>
            <wp:positionH relativeFrom="column">
              <wp:posOffset>53340</wp:posOffset>
            </wp:positionH>
            <wp:positionV relativeFrom="paragraph">
              <wp:posOffset>127635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rPr>
        <w:t>四、财</w:t>
      </w:r>
      <w:r>
        <w:rPr>
          <w:rStyle w:val="30"/>
          <w:rFonts w:hint="eastAsia" w:ascii="黑体" w:hAnsi="黑体" w:eastAsia="黑体"/>
          <w:b w:val="0"/>
          <w:color w:val="auto"/>
        </w:rPr>
        <w:t>政拨款收入支出决算总体情况说明</w:t>
      </w:r>
      <w:bookmarkEnd w:id="24"/>
      <w:bookmarkEnd w:id="25"/>
    </w:p>
    <w:p w14:paraId="631DF9DE">
      <w:pPr>
        <w:spacing w:line="600" w:lineRule="exact"/>
        <w:ind w:firstLine="640"/>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21年财政拨款收、支总计</w:t>
      </w:r>
      <w:r>
        <w:rPr>
          <w:rFonts w:hint="eastAsia" w:ascii="仿宋" w:hAnsi="仿宋" w:eastAsia="仿宋"/>
          <w:color w:val="auto"/>
          <w:sz w:val="32"/>
          <w:szCs w:val="32"/>
          <w:lang w:val="en-US" w:eastAsia="zh-CN"/>
        </w:rPr>
        <w:t>1148.31</w:t>
      </w:r>
      <w:r>
        <w:rPr>
          <w:rFonts w:hint="eastAsia" w:ascii="仿宋" w:hAnsi="仿宋" w:eastAsia="仿宋"/>
          <w:color w:val="auto"/>
          <w:sz w:val="32"/>
          <w:szCs w:val="32"/>
        </w:rPr>
        <w:t>万元。与</w:t>
      </w:r>
      <w:r>
        <w:rPr>
          <w:rFonts w:ascii="仿宋" w:hAnsi="仿宋" w:eastAsia="仿宋"/>
          <w:color w:val="auto"/>
          <w:sz w:val="32"/>
          <w:szCs w:val="32"/>
        </w:rPr>
        <w:t>20</w:t>
      </w:r>
      <w:r>
        <w:rPr>
          <w:rFonts w:hint="eastAsia" w:ascii="仿宋" w:hAnsi="仿宋" w:eastAsia="仿宋"/>
          <w:color w:val="auto"/>
          <w:sz w:val="32"/>
          <w:szCs w:val="32"/>
        </w:rPr>
        <w:t>20年相比，财政拨款收、支总计各</w:t>
      </w:r>
      <w:r>
        <w:rPr>
          <w:rFonts w:hint="eastAsia" w:ascii="仿宋" w:hAnsi="仿宋" w:eastAsia="仿宋"/>
          <w:color w:val="auto"/>
          <w:sz w:val="32"/>
          <w:szCs w:val="32"/>
          <w:lang w:val="en-US" w:eastAsia="zh-CN"/>
        </w:rPr>
        <w:t>减少220.87</w:t>
      </w:r>
      <w:r>
        <w:rPr>
          <w:rFonts w:hint="eastAsia" w:ascii="仿宋" w:hAnsi="仿宋" w:eastAsia="仿宋"/>
          <w:color w:val="auto"/>
          <w:sz w:val="32"/>
          <w:szCs w:val="32"/>
        </w:rPr>
        <w:t>元，</w:t>
      </w:r>
      <w:r>
        <w:rPr>
          <w:rFonts w:hint="eastAsia" w:ascii="仿宋" w:hAnsi="仿宋" w:eastAsia="仿宋"/>
          <w:color w:val="auto"/>
          <w:sz w:val="32"/>
          <w:szCs w:val="32"/>
          <w:lang w:val="en-US" w:eastAsia="zh-CN"/>
        </w:rPr>
        <w:t>下降16.13</w:t>
      </w:r>
      <w:r>
        <w:rPr>
          <w:rFonts w:ascii="仿宋" w:hAnsi="仿宋" w:eastAsia="仿宋"/>
          <w:color w:val="auto"/>
          <w:sz w:val="32"/>
          <w:szCs w:val="32"/>
        </w:rPr>
        <w:t>%</w:t>
      </w:r>
      <w:r>
        <w:rPr>
          <w:rFonts w:hint="eastAsia" w:ascii="仿宋" w:hAnsi="仿宋" w:eastAsia="仿宋"/>
          <w:color w:val="auto"/>
          <w:sz w:val="32"/>
          <w:szCs w:val="32"/>
        </w:rPr>
        <w:t>。主要变动原因是项目支出</w:t>
      </w:r>
      <w:r>
        <w:rPr>
          <w:rFonts w:hint="eastAsia" w:ascii="仿宋" w:hAnsi="仿宋" w:eastAsia="仿宋"/>
          <w:color w:val="auto"/>
          <w:sz w:val="32"/>
          <w:szCs w:val="32"/>
          <w:lang w:val="en-US" w:eastAsia="zh-CN"/>
        </w:rPr>
        <w:t>减少</w:t>
      </w:r>
      <w:r>
        <w:rPr>
          <w:rFonts w:hint="eastAsia" w:ascii="仿宋" w:hAnsi="仿宋" w:eastAsia="仿宋"/>
          <w:color w:val="auto"/>
          <w:sz w:val="32"/>
          <w:szCs w:val="32"/>
        </w:rPr>
        <w:t>。</w:t>
      </w:r>
    </w:p>
    <w:p w14:paraId="17760942">
      <w:pPr>
        <w:pStyle w:val="16"/>
        <w:ind w:left="0" w:leftChars="0" w:firstLine="0" w:firstLineChars="0"/>
        <w:rPr>
          <w:color w:val="auto"/>
        </w:rPr>
      </w:pPr>
    </w:p>
    <w:p w14:paraId="31911E34">
      <w:pPr>
        <w:spacing w:line="600" w:lineRule="exact"/>
        <w:ind w:firstLine="420" w:firstLineChars="200"/>
        <w:outlineLvl w:val="1"/>
        <w:rPr>
          <w:rStyle w:val="30"/>
          <w:rFonts w:ascii="黑体" w:hAnsi="黑体" w:eastAsia="黑体"/>
          <w:b w:val="0"/>
          <w:color w:val="auto"/>
        </w:rPr>
      </w:pPr>
      <w:bookmarkStart w:id="26" w:name="_Toc15396607"/>
      <w:bookmarkStart w:id="27" w:name="_Toc15377209"/>
      <w:r>
        <w:rPr>
          <w:rFonts w:hint="eastAsia" w:eastAsia="宋体"/>
          <w:color w:val="auto"/>
          <w:lang w:eastAsia="zh-CN"/>
        </w:rPr>
        <w:drawing>
          <wp:anchor distT="0" distB="0" distL="114300" distR="114300" simplePos="0" relativeHeight="251662336" behindDoc="0" locked="0" layoutInCell="1" allowOverlap="1">
            <wp:simplePos x="0" y="0"/>
            <wp:positionH relativeFrom="column">
              <wp:posOffset>23495</wp:posOffset>
            </wp:positionH>
            <wp:positionV relativeFrom="paragraph">
              <wp:posOffset>10160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黑体" w:hAnsi="黑体" w:eastAsia="黑体"/>
          <w:color w:val="auto"/>
          <w:sz w:val="32"/>
          <w:szCs w:val="32"/>
        </w:rPr>
        <w:t>五、</w:t>
      </w:r>
      <w:r>
        <w:rPr>
          <w:rFonts w:hint="eastAsia" w:ascii="黑体" w:hAnsi="黑体" w:eastAsia="黑体"/>
          <w:b/>
          <w:color w:val="auto"/>
          <w:sz w:val="32"/>
          <w:szCs w:val="32"/>
        </w:rPr>
        <w:t>一</w:t>
      </w:r>
      <w:r>
        <w:rPr>
          <w:rStyle w:val="30"/>
          <w:rFonts w:hint="eastAsia" w:ascii="黑体" w:hAnsi="黑体" w:eastAsia="黑体"/>
          <w:b w:val="0"/>
          <w:color w:val="auto"/>
        </w:rPr>
        <w:t>般公共预算财政拨款支出决算情况说明</w:t>
      </w:r>
      <w:bookmarkEnd w:id="26"/>
      <w:bookmarkEnd w:id="27"/>
    </w:p>
    <w:p w14:paraId="6D780EBD">
      <w:pPr>
        <w:spacing w:line="600" w:lineRule="exact"/>
        <w:ind w:firstLine="643" w:firstLineChars="200"/>
        <w:outlineLvl w:val="2"/>
        <w:rPr>
          <w:rFonts w:ascii="仿宋" w:hAnsi="仿宋" w:eastAsia="仿宋"/>
          <w:b/>
          <w:color w:val="auto"/>
          <w:sz w:val="32"/>
          <w:szCs w:val="32"/>
        </w:rPr>
      </w:pPr>
      <w:bookmarkStart w:id="28" w:name="_Toc15377210"/>
      <w:r>
        <w:rPr>
          <w:rFonts w:hint="eastAsia" w:ascii="仿宋" w:hAnsi="仿宋" w:eastAsia="仿宋"/>
          <w:b/>
          <w:color w:val="auto"/>
          <w:sz w:val="32"/>
          <w:szCs w:val="32"/>
        </w:rPr>
        <w:t>（一）一般公共预算财政拨款支出决算总体情况</w:t>
      </w:r>
      <w:bookmarkEnd w:id="28"/>
    </w:p>
    <w:p w14:paraId="640BAE5D">
      <w:pPr>
        <w:spacing w:line="600" w:lineRule="exact"/>
        <w:ind w:firstLine="640"/>
        <w:rPr>
          <w:rFonts w:hint="eastAsia" w:ascii="仿宋" w:hAnsi="仿宋" w:eastAsia="仿宋"/>
          <w:b/>
          <w:color w:val="auto"/>
          <w:sz w:val="32"/>
          <w:szCs w:val="32"/>
          <w:lang w:eastAsia="zh-CN"/>
        </w:rPr>
      </w:pPr>
      <w:r>
        <w:rPr>
          <w:rFonts w:ascii="仿宋" w:hAnsi="仿宋" w:eastAsia="仿宋"/>
          <w:color w:val="auto"/>
          <w:sz w:val="32"/>
          <w:szCs w:val="32"/>
        </w:rPr>
        <w:t>20</w:t>
      </w:r>
      <w:r>
        <w:rPr>
          <w:rFonts w:hint="eastAsia" w:ascii="仿宋" w:hAnsi="仿宋" w:eastAsia="仿宋"/>
          <w:color w:val="auto"/>
          <w:sz w:val="32"/>
          <w:szCs w:val="32"/>
        </w:rPr>
        <w:t>21年一般公共预算财政拨款支出</w:t>
      </w:r>
      <w:r>
        <w:rPr>
          <w:rFonts w:hint="eastAsia" w:ascii="仿宋" w:hAnsi="仿宋" w:eastAsia="仿宋"/>
          <w:color w:val="auto"/>
          <w:sz w:val="32"/>
          <w:szCs w:val="32"/>
          <w:lang w:val="en-US" w:eastAsia="zh-CN"/>
        </w:rPr>
        <w:t>1148.31</w:t>
      </w:r>
      <w:r>
        <w:rPr>
          <w:rFonts w:hint="eastAsia" w:ascii="仿宋" w:hAnsi="仿宋" w:eastAsia="仿宋"/>
          <w:color w:val="auto"/>
          <w:sz w:val="32"/>
          <w:szCs w:val="32"/>
        </w:rPr>
        <w:t>万元，占本年支出合计的</w:t>
      </w:r>
      <w:r>
        <w:rPr>
          <w:rFonts w:hint="eastAsia" w:ascii="仿宋" w:hAnsi="仿宋" w:eastAsia="仿宋"/>
          <w:color w:val="auto"/>
          <w:sz w:val="32"/>
          <w:szCs w:val="32"/>
          <w:lang w:val="en-US" w:eastAsia="zh-CN"/>
        </w:rPr>
        <w:t>100</w:t>
      </w:r>
      <w:r>
        <w:rPr>
          <w:rFonts w:ascii="仿宋" w:hAnsi="仿宋" w:eastAsia="仿宋"/>
          <w:color w:val="auto"/>
          <w:sz w:val="32"/>
          <w:szCs w:val="32"/>
        </w:rPr>
        <w:t>%</w:t>
      </w:r>
      <w:r>
        <w:rPr>
          <w:rFonts w:hint="eastAsia" w:ascii="仿宋" w:hAnsi="仿宋" w:eastAsia="仿宋"/>
          <w:color w:val="auto"/>
          <w:sz w:val="32"/>
          <w:szCs w:val="32"/>
        </w:rPr>
        <w:t>。与</w:t>
      </w:r>
      <w:r>
        <w:rPr>
          <w:rFonts w:ascii="仿宋" w:hAnsi="仿宋" w:eastAsia="仿宋"/>
          <w:color w:val="auto"/>
          <w:sz w:val="32"/>
          <w:szCs w:val="32"/>
        </w:rPr>
        <w:t>20</w:t>
      </w:r>
      <w:r>
        <w:rPr>
          <w:rFonts w:hint="eastAsia" w:ascii="仿宋" w:hAnsi="仿宋" w:eastAsia="仿宋"/>
          <w:color w:val="auto"/>
          <w:sz w:val="32"/>
          <w:szCs w:val="32"/>
        </w:rPr>
        <w:t>20年</w:t>
      </w:r>
      <w:r>
        <w:rPr>
          <w:rFonts w:hint="eastAsia" w:ascii="仿宋" w:hAnsi="仿宋" w:eastAsia="仿宋"/>
          <w:color w:val="auto"/>
          <w:sz w:val="32"/>
          <w:szCs w:val="32"/>
          <w:lang w:val="en-US" w:eastAsia="zh-CN"/>
        </w:rPr>
        <w:t>1369.18</w:t>
      </w:r>
      <w:r>
        <w:rPr>
          <w:rFonts w:hint="eastAsia" w:ascii="仿宋" w:hAnsi="仿宋" w:eastAsia="仿宋"/>
          <w:color w:val="auto"/>
          <w:sz w:val="32"/>
          <w:szCs w:val="32"/>
          <w:lang w:eastAsia="zh-CN"/>
        </w:rPr>
        <w:t>万元</w:t>
      </w:r>
      <w:r>
        <w:rPr>
          <w:rFonts w:hint="eastAsia" w:ascii="仿宋" w:hAnsi="仿宋" w:eastAsia="仿宋"/>
          <w:color w:val="auto"/>
          <w:sz w:val="32"/>
          <w:szCs w:val="32"/>
        </w:rPr>
        <w:t>相比，一般公共预算财政拨款支出</w:t>
      </w:r>
      <w:r>
        <w:rPr>
          <w:rFonts w:hint="eastAsia" w:ascii="仿宋" w:hAnsi="仿宋" w:eastAsia="仿宋"/>
          <w:color w:val="auto"/>
          <w:sz w:val="32"/>
          <w:szCs w:val="32"/>
          <w:lang w:val="en-US" w:eastAsia="zh-CN"/>
        </w:rPr>
        <w:t>减少220.87</w:t>
      </w:r>
      <w:r>
        <w:rPr>
          <w:rFonts w:hint="eastAsia" w:ascii="仿宋" w:hAnsi="仿宋" w:eastAsia="仿宋"/>
          <w:color w:val="auto"/>
          <w:sz w:val="32"/>
          <w:szCs w:val="32"/>
        </w:rPr>
        <w:t>万元，增</w:t>
      </w:r>
      <w:r>
        <w:rPr>
          <w:rFonts w:hint="eastAsia" w:ascii="仿宋" w:hAnsi="仿宋" w:eastAsia="仿宋"/>
          <w:color w:val="auto"/>
          <w:sz w:val="32"/>
          <w:szCs w:val="32"/>
          <w:lang w:val="en-US" w:eastAsia="zh-CN"/>
        </w:rPr>
        <w:t>16.13</w:t>
      </w:r>
      <w:r>
        <w:rPr>
          <w:rFonts w:ascii="仿宋" w:hAnsi="仿宋" w:eastAsia="仿宋"/>
          <w:color w:val="auto"/>
          <w:sz w:val="32"/>
          <w:szCs w:val="32"/>
        </w:rPr>
        <w:t>%</w:t>
      </w:r>
      <w:r>
        <w:rPr>
          <w:rFonts w:hint="eastAsia" w:ascii="仿宋" w:hAnsi="仿宋" w:eastAsia="仿宋"/>
          <w:color w:val="auto"/>
          <w:sz w:val="32"/>
          <w:szCs w:val="32"/>
        </w:rPr>
        <w:t>。主要变动原因是项目支出</w:t>
      </w:r>
      <w:r>
        <w:rPr>
          <w:rFonts w:hint="eastAsia" w:ascii="仿宋" w:hAnsi="仿宋" w:eastAsia="仿宋"/>
          <w:color w:val="auto"/>
          <w:sz w:val="32"/>
          <w:szCs w:val="32"/>
          <w:lang w:val="en-US" w:eastAsia="zh-CN"/>
        </w:rPr>
        <w:t>减少</w:t>
      </w:r>
      <w:r>
        <w:rPr>
          <w:rFonts w:hint="eastAsia" w:ascii="仿宋" w:hAnsi="仿宋" w:eastAsia="仿宋"/>
          <w:color w:val="auto"/>
          <w:sz w:val="32"/>
          <w:szCs w:val="32"/>
        </w:rPr>
        <w:t>。</w:t>
      </w:r>
    </w:p>
    <w:p w14:paraId="4AFE3A1B">
      <w:pPr>
        <w:spacing w:line="600" w:lineRule="exact"/>
        <w:ind w:firstLine="643" w:firstLineChars="200"/>
        <w:outlineLvl w:val="2"/>
        <w:rPr>
          <w:rFonts w:ascii="仿宋" w:hAnsi="仿宋" w:eastAsia="仿宋"/>
          <w:b/>
          <w:color w:val="auto"/>
          <w:sz w:val="32"/>
          <w:szCs w:val="32"/>
        </w:rPr>
      </w:pPr>
      <w:bookmarkStart w:id="29" w:name="_Toc15377211"/>
      <w:r>
        <w:rPr>
          <w:rFonts w:hint="eastAsia" w:ascii="仿宋" w:hAnsi="仿宋" w:eastAsia="仿宋"/>
          <w:b/>
          <w:color w:val="auto"/>
          <w:sz w:val="32"/>
          <w:szCs w:val="32"/>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color w:val="auto"/>
          <w:sz w:val="32"/>
          <w:szCs w:val="32"/>
        </w:rPr>
        <w:t>（二）一般公共预算财政拨款支出决算结构情况</w:t>
      </w:r>
      <w:bookmarkEnd w:id="29"/>
    </w:p>
    <w:p w14:paraId="26A69964">
      <w:pPr>
        <w:spacing w:line="600" w:lineRule="exact"/>
        <w:ind w:firstLine="640"/>
        <w:rPr>
          <w:rFonts w:ascii="仿宋" w:hAnsi="仿宋" w:eastAsia="仿宋"/>
          <w:color w:val="auto"/>
          <w:sz w:val="32"/>
          <w:szCs w:val="32"/>
        </w:rPr>
      </w:pPr>
      <w:r>
        <w:rPr>
          <w:rFonts w:hint="eastAsia" w:ascii="仿宋" w:hAnsi="仿宋" w:eastAsia="仿宋"/>
          <w:b/>
          <w:color w:val="auto"/>
          <w:sz w:val="32"/>
          <w:szCs w:val="32"/>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rPr>
        <w:t>20</w:t>
      </w:r>
      <w:r>
        <w:rPr>
          <w:rFonts w:hint="eastAsia" w:ascii="仿宋" w:hAnsi="仿宋" w:eastAsia="仿宋"/>
          <w:color w:val="auto"/>
          <w:sz w:val="32"/>
          <w:szCs w:val="32"/>
        </w:rPr>
        <w:t>21年一般公共预算财政拨款支出</w:t>
      </w:r>
      <w:r>
        <w:rPr>
          <w:rFonts w:hint="eastAsia" w:ascii="仿宋" w:hAnsi="仿宋" w:eastAsia="仿宋"/>
          <w:color w:val="auto"/>
          <w:sz w:val="32"/>
          <w:szCs w:val="32"/>
          <w:lang w:val="en-US" w:eastAsia="zh-CN"/>
        </w:rPr>
        <w:t>1148.31</w:t>
      </w:r>
      <w:r>
        <w:rPr>
          <w:rFonts w:hint="eastAsia" w:ascii="仿宋" w:hAnsi="仿宋" w:eastAsia="仿宋"/>
          <w:color w:val="auto"/>
          <w:sz w:val="32"/>
          <w:szCs w:val="32"/>
        </w:rPr>
        <w:t>万元，主要用于以下方面</w:t>
      </w:r>
      <w:r>
        <w:rPr>
          <w:rFonts w:ascii="仿宋" w:hAnsi="仿宋" w:eastAsia="仿宋"/>
          <w:color w:val="auto"/>
          <w:sz w:val="32"/>
          <w:szCs w:val="32"/>
        </w:rPr>
        <w:t>:</w:t>
      </w:r>
      <w:r>
        <w:rPr>
          <w:rFonts w:hint="eastAsia" w:ascii="仿宋" w:hAnsi="仿宋" w:eastAsia="仿宋"/>
          <w:b/>
          <w:color w:val="auto"/>
          <w:sz w:val="32"/>
          <w:szCs w:val="32"/>
        </w:rPr>
        <w:t>教育支出（类）</w:t>
      </w:r>
      <w:r>
        <w:rPr>
          <w:rFonts w:hint="eastAsia" w:ascii="仿宋" w:hAnsi="仿宋" w:eastAsia="仿宋"/>
          <w:color w:val="auto"/>
          <w:sz w:val="32"/>
          <w:szCs w:val="32"/>
          <w:lang w:val="en-US" w:eastAsia="zh-CN"/>
        </w:rPr>
        <w:t>1148.31</w:t>
      </w:r>
      <w:r>
        <w:rPr>
          <w:rFonts w:hint="eastAsia" w:ascii="仿宋" w:hAnsi="仿宋" w:eastAsia="仿宋"/>
          <w:color w:val="auto"/>
          <w:sz w:val="32"/>
          <w:szCs w:val="32"/>
        </w:rPr>
        <w:t>万元，占100</w:t>
      </w:r>
      <w:r>
        <w:rPr>
          <w:rFonts w:ascii="仿宋" w:hAnsi="仿宋" w:eastAsia="仿宋"/>
          <w:color w:val="auto"/>
          <w:sz w:val="32"/>
          <w:szCs w:val="32"/>
        </w:rPr>
        <w:t>%</w:t>
      </w:r>
      <w:r>
        <w:rPr>
          <w:rFonts w:hint="eastAsia" w:ascii="仿宋" w:hAnsi="仿宋" w:eastAsia="仿宋"/>
          <w:color w:val="auto"/>
          <w:sz w:val="32"/>
          <w:szCs w:val="32"/>
        </w:rPr>
        <w:t>。</w:t>
      </w:r>
    </w:p>
    <w:p w14:paraId="718DF10A">
      <w:pPr>
        <w:spacing w:line="600" w:lineRule="exact"/>
        <w:rPr>
          <w:rFonts w:ascii="仿宋" w:hAnsi="仿宋" w:eastAsia="仿宋"/>
          <w:b/>
          <w:color w:val="auto"/>
          <w:sz w:val="32"/>
          <w:szCs w:val="32"/>
        </w:rPr>
      </w:pPr>
      <w:bookmarkStart w:id="30" w:name="_Toc15377212"/>
      <w:r>
        <w:rPr>
          <w:rFonts w:hint="eastAsia" w:ascii="仿宋" w:hAnsi="仿宋" w:eastAsia="仿宋"/>
          <w:b/>
          <w:color w:val="auto"/>
          <w:sz w:val="32"/>
          <w:szCs w:val="32"/>
        </w:rPr>
        <w:t>（三）一般公共预算财政拨款支出决算具体情况</w:t>
      </w:r>
      <w:bookmarkEnd w:id="30"/>
    </w:p>
    <w:p w14:paraId="4512E0F4">
      <w:pPr>
        <w:spacing w:line="600" w:lineRule="exact"/>
        <w:ind w:firstLine="643" w:firstLineChars="200"/>
        <w:outlineLvl w:val="2"/>
        <w:rPr>
          <w:rFonts w:ascii="仿宋" w:hAnsi="仿宋" w:eastAsia="仿宋"/>
          <w:color w:val="auto"/>
          <w:sz w:val="32"/>
          <w:szCs w:val="32"/>
        </w:rPr>
      </w:pPr>
      <w:bookmarkStart w:id="31" w:name="_Toc15378460"/>
      <w:bookmarkStart w:id="32" w:name="_Toc15377213"/>
      <w:bookmarkStart w:id="33" w:name="_Toc15377444"/>
      <w:r>
        <w:rPr>
          <w:rFonts w:hint="eastAsia" w:ascii="仿宋" w:hAnsi="仿宋" w:eastAsia="仿宋"/>
          <w:b/>
          <w:color w:val="auto"/>
          <w:sz w:val="32"/>
          <w:szCs w:val="32"/>
        </w:rPr>
        <w:t>2021年一般公共预算支出决算数为</w:t>
      </w:r>
      <w:r>
        <w:rPr>
          <w:rFonts w:hint="eastAsia" w:ascii="仿宋" w:hAnsi="仿宋" w:eastAsia="仿宋"/>
          <w:b/>
          <w:color w:val="auto"/>
          <w:sz w:val="32"/>
          <w:szCs w:val="32"/>
          <w:lang w:val="en-US" w:eastAsia="zh-CN"/>
        </w:rPr>
        <w:t>1148.31万元</w:t>
      </w:r>
      <w:r>
        <w:rPr>
          <w:rFonts w:hint="eastAsia" w:ascii="仿宋" w:hAnsi="仿宋" w:eastAsia="仿宋"/>
          <w:color w:val="auto"/>
          <w:sz w:val="32"/>
          <w:szCs w:val="32"/>
        </w:rPr>
        <w:t>，</w:t>
      </w:r>
      <w:r>
        <w:rPr>
          <w:rStyle w:val="19"/>
          <w:rFonts w:hint="eastAsia" w:ascii="仿宋" w:hAnsi="仿宋" w:eastAsia="仿宋"/>
          <w:bCs/>
          <w:color w:val="auto"/>
          <w:sz w:val="32"/>
          <w:szCs w:val="32"/>
        </w:rPr>
        <w:t>完成预算100</w:t>
      </w:r>
      <w:r>
        <w:rPr>
          <w:rStyle w:val="19"/>
          <w:rFonts w:ascii="仿宋" w:hAnsi="仿宋" w:eastAsia="仿宋"/>
          <w:bCs/>
          <w:color w:val="auto"/>
          <w:sz w:val="32"/>
          <w:szCs w:val="32"/>
        </w:rPr>
        <w:t>%</w:t>
      </w:r>
      <w:r>
        <w:rPr>
          <w:rStyle w:val="19"/>
          <w:rFonts w:hint="eastAsia" w:ascii="仿宋" w:hAnsi="仿宋" w:eastAsia="仿宋"/>
          <w:bCs/>
          <w:color w:val="auto"/>
          <w:sz w:val="32"/>
          <w:szCs w:val="32"/>
        </w:rPr>
        <w:t>。其中：</w:t>
      </w:r>
      <w:bookmarkEnd w:id="31"/>
      <w:bookmarkEnd w:id="32"/>
      <w:bookmarkEnd w:id="33"/>
    </w:p>
    <w:p w14:paraId="4BDF6784">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rPr>
        <w:t>1.教育205（类）普通教育02（款）小学教育02（项）</w:t>
      </w:r>
      <w:r>
        <w:rPr>
          <w:rStyle w:val="19"/>
          <w:rFonts w:ascii="仿宋" w:hAnsi="仿宋" w:eastAsia="仿宋"/>
          <w:bCs/>
          <w:color w:val="auto"/>
          <w:sz w:val="32"/>
          <w:szCs w:val="32"/>
        </w:rPr>
        <w:t>:</w:t>
      </w:r>
      <w:r>
        <w:rPr>
          <w:rStyle w:val="19"/>
          <w:rFonts w:ascii="仿宋" w:hAnsi="仿宋" w:eastAsia="仿宋"/>
          <w:b w:val="0"/>
          <w:bCs/>
          <w:color w:val="auto"/>
          <w:sz w:val="32"/>
          <w:szCs w:val="32"/>
        </w:rPr>
        <w:t xml:space="preserve"> </w:t>
      </w:r>
      <w:r>
        <w:rPr>
          <w:rStyle w:val="19"/>
          <w:rFonts w:hint="eastAsia" w:ascii="仿宋" w:hAnsi="仿宋" w:eastAsia="仿宋"/>
          <w:b w:val="0"/>
          <w:bCs/>
          <w:color w:val="auto"/>
          <w:sz w:val="32"/>
          <w:szCs w:val="32"/>
        </w:rPr>
        <w:t>支出决算为</w:t>
      </w:r>
      <w:r>
        <w:rPr>
          <w:rStyle w:val="19"/>
          <w:rFonts w:hint="eastAsia" w:ascii="仿宋" w:hAnsi="仿宋" w:eastAsia="仿宋"/>
          <w:b w:val="0"/>
          <w:bCs/>
          <w:color w:val="auto"/>
          <w:sz w:val="32"/>
          <w:szCs w:val="32"/>
          <w:lang w:val="en-US" w:eastAsia="zh-CN"/>
        </w:rPr>
        <w:t>808.31</w:t>
      </w:r>
      <w:r>
        <w:rPr>
          <w:rStyle w:val="19"/>
          <w:rFonts w:hint="eastAsia" w:ascii="仿宋" w:hAnsi="仿宋" w:eastAsia="仿宋"/>
          <w:b w:val="0"/>
          <w:bCs/>
          <w:color w:val="auto"/>
          <w:sz w:val="32"/>
          <w:szCs w:val="32"/>
        </w:rPr>
        <w:t>万元，完成预算100</w:t>
      </w:r>
      <w:r>
        <w:rPr>
          <w:rStyle w:val="19"/>
          <w:rFonts w:ascii="仿宋" w:hAnsi="仿宋" w:eastAsia="仿宋"/>
          <w:b w:val="0"/>
          <w:bCs/>
          <w:color w:val="auto"/>
          <w:sz w:val="32"/>
          <w:szCs w:val="32"/>
        </w:rPr>
        <w:t>%</w:t>
      </w:r>
      <w:r>
        <w:rPr>
          <w:rStyle w:val="19"/>
          <w:rFonts w:hint="eastAsia" w:ascii="仿宋" w:hAnsi="仿宋" w:eastAsia="仿宋"/>
          <w:b w:val="0"/>
          <w:bCs/>
          <w:color w:val="auto"/>
          <w:sz w:val="32"/>
          <w:szCs w:val="32"/>
          <w:lang w:eastAsia="zh-CN"/>
        </w:rPr>
        <w:t>，</w:t>
      </w:r>
      <w:r>
        <w:rPr>
          <w:rStyle w:val="19"/>
          <w:rFonts w:hint="eastAsia" w:ascii="仿宋" w:hAnsi="仿宋" w:eastAsia="仿宋"/>
          <w:b w:val="0"/>
          <w:bCs/>
          <w:color w:val="auto"/>
          <w:sz w:val="32"/>
          <w:szCs w:val="32"/>
          <w:highlight w:val="none"/>
        </w:rPr>
        <w:t>决算数等于预算数。</w:t>
      </w:r>
    </w:p>
    <w:p w14:paraId="1EC281E7">
      <w:pPr>
        <w:spacing w:line="600" w:lineRule="exact"/>
        <w:ind w:firstLine="643" w:firstLineChars="200"/>
        <w:rPr>
          <w:rStyle w:val="19"/>
          <w:rFonts w:ascii="仿宋" w:hAnsi="仿宋" w:eastAsia="仿宋"/>
          <w:b w:val="0"/>
          <w:bCs/>
          <w:color w:val="auto"/>
          <w:sz w:val="32"/>
          <w:szCs w:val="32"/>
        </w:rPr>
      </w:pPr>
      <w:r>
        <w:rPr>
          <w:rStyle w:val="19"/>
          <w:rFonts w:hint="eastAsia" w:ascii="仿宋" w:hAnsi="仿宋" w:eastAsia="仿宋"/>
          <w:bCs/>
          <w:color w:val="auto"/>
          <w:sz w:val="32"/>
          <w:szCs w:val="32"/>
        </w:rPr>
        <w:t>2</w:t>
      </w:r>
      <w:r>
        <w:rPr>
          <w:rStyle w:val="19"/>
          <w:rFonts w:ascii="仿宋" w:hAnsi="仿宋" w:eastAsia="仿宋"/>
          <w:bCs/>
          <w:color w:val="auto"/>
          <w:sz w:val="32"/>
          <w:szCs w:val="32"/>
        </w:rPr>
        <w:t>.</w:t>
      </w:r>
      <w:r>
        <w:rPr>
          <w:rStyle w:val="19"/>
          <w:rFonts w:hint="eastAsia" w:ascii="仿宋" w:hAnsi="仿宋" w:eastAsia="仿宋"/>
          <w:bCs/>
          <w:color w:val="auto"/>
          <w:sz w:val="32"/>
          <w:szCs w:val="32"/>
        </w:rPr>
        <w:t>教育205（类）普通教育02（款）</w:t>
      </w:r>
      <w:r>
        <w:rPr>
          <w:rStyle w:val="19"/>
          <w:rFonts w:hint="eastAsia" w:ascii="仿宋" w:hAnsi="仿宋" w:eastAsia="仿宋"/>
          <w:bCs/>
          <w:color w:val="auto"/>
          <w:sz w:val="32"/>
          <w:szCs w:val="32"/>
          <w:lang w:eastAsia="zh-CN"/>
        </w:rPr>
        <w:t>其他</w:t>
      </w:r>
      <w:r>
        <w:rPr>
          <w:rStyle w:val="19"/>
          <w:rFonts w:hint="eastAsia" w:ascii="仿宋" w:hAnsi="仿宋" w:eastAsia="仿宋"/>
          <w:bCs/>
          <w:color w:val="auto"/>
          <w:sz w:val="32"/>
          <w:szCs w:val="32"/>
          <w:lang w:val="en-US" w:eastAsia="zh-CN"/>
        </w:rPr>
        <w:t>普通</w:t>
      </w:r>
      <w:r>
        <w:rPr>
          <w:rStyle w:val="19"/>
          <w:rFonts w:hint="eastAsia" w:ascii="仿宋" w:hAnsi="仿宋" w:eastAsia="仿宋"/>
          <w:bCs/>
          <w:color w:val="auto"/>
          <w:sz w:val="32"/>
          <w:szCs w:val="32"/>
        </w:rPr>
        <w:t>教育</w:t>
      </w:r>
      <w:r>
        <w:rPr>
          <w:rStyle w:val="19"/>
          <w:rFonts w:hint="eastAsia" w:ascii="仿宋" w:hAnsi="仿宋" w:eastAsia="仿宋"/>
          <w:bCs/>
          <w:color w:val="auto"/>
          <w:sz w:val="32"/>
          <w:szCs w:val="32"/>
          <w:lang w:val="en-US" w:eastAsia="zh-CN"/>
        </w:rPr>
        <w:t>99</w:t>
      </w:r>
      <w:r>
        <w:rPr>
          <w:rStyle w:val="19"/>
          <w:rFonts w:hint="eastAsia" w:ascii="仿宋" w:hAnsi="仿宋" w:eastAsia="仿宋"/>
          <w:bCs/>
          <w:color w:val="auto"/>
          <w:sz w:val="32"/>
          <w:szCs w:val="32"/>
        </w:rPr>
        <w:t>（项）</w:t>
      </w:r>
      <w:r>
        <w:rPr>
          <w:rStyle w:val="19"/>
          <w:rFonts w:ascii="仿宋" w:hAnsi="仿宋" w:eastAsia="仿宋"/>
          <w:bCs/>
          <w:color w:val="auto"/>
          <w:sz w:val="32"/>
          <w:szCs w:val="32"/>
        </w:rPr>
        <w:t>:</w:t>
      </w:r>
      <w:r>
        <w:rPr>
          <w:rStyle w:val="19"/>
          <w:rFonts w:ascii="仿宋" w:hAnsi="仿宋" w:eastAsia="仿宋"/>
          <w:b w:val="0"/>
          <w:bCs/>
          <w:color w:val="auto"/>
          <w:sz w:val="32"/>
          <w:szCs w:val="32"/>
        </w:rPr>
        <w:t xml:space="preserve"> </w:t>
      </w:r>
      <w:r>
        <w:rPr>
          <w:rStyle w:val="19"/>
          <w:rFonts w:hint="eastAsia" w:ascii="仿宋" w:hAnsi="仿宋" w:eastAsia="仿宋"/>
          <w:b w:val="0"/>
          <w:bCs/>
          <w:color w:val="auto"/>
          <w:sz w:val="32"/>
          <w:szCs w:val="32"/>
        </w:rPr>
        <w:t>支出决算为</w:t>
      </w:r>
      <w:r>
        <w:rPr>
          <w:rStyle w:val="19"/>
          <w:rFonts w:hint="eastAsia" w:ascii="仿宋" w:hAnsi="仿宋" w:eastAsia="仿宋"/>
          <w:b w:val="0"/>
          <w:bCs/>
          <w:color w:val="auto"/>
          <w:sz w:val="32"/>
          <w:szCs w:val="32"/>
          <w:lang w:val="en-US" w:eastAsia="zh-CN"/>
        </w:rPr>
        <w:t>340.00</w:t>
      </w:r>
      <w:r>
        <w:rPr>
          <w:rStyle w:val="19"/>
          <w:rFonts w:hint="eastAsia" w:ascii="仿宋" w:hAnsi="仿宋" w:eastAsia="仿宋"/>
          <w:b w:val="0"/>
          <w:bCs/>
          <w:color w:val="auto"/>
          <w:sz w:val="32"/>
          <w:szCs w:val="32"/>
        </w:rPr>
        <w:t>万元，完成预算100</w:t>
      </w:r>
      <w:r>
        <w:rPr>
          <w:rStyle w:val="19"/>
          <w:rFonts w:ascii="仿宋" w:hAnsi="仿宋" w:eastAsia="仿宋"/>
          <w:b w:val="0"/>
          <w:bCs/>
          <w:color w:val="auto"/>
          <w:sz w:val="32"/>
          <w:szCs w:val="32"/>
        </w:rPr>
        <w:t>%</w:t>
      </w:r>
      <w:r>
        <w:rPr>
          <w:rStyle w:val="19"/>
          <w:rFonts w:hint="eastAsia" w:ascii="仿宋" w:hAnsi="仿宋" w:eastAsia="仿宋"/>
          <w:b w:val="0"/>
          <w:bCs/>
          <w:color w:val="auto"/>
          <w:sz w:val="32"/>
          <w:szCs w:val="32"/>
        </w:rPr>
        <w:t>。</w:t>
      </w:r>
      <w:r>
        <w:rPr>
          <w:rStyle w:val="19"/>
          <w:rFonts w:hint="eastAsia" w:ascii="仿宋" w:hAnsi="仿宋" w:eastAsia="仿宋"/>
          <w:b w:val="0"/>
          <w:bCs/>
          <w:color w:val="auto"/>
          <w:sz w:val="32"/>
          <w:szCs w:val="32"/>
          <w:lang w:eastAsia="zh-CN"/>
        </w:rPr>
        <w:t>，</w:t>
      </w:r>
      <w:r>
        <w:rPr>
          <w:rStyle w:val="19"/>
          <w:rFonts w:hint="eastAsia" w:ascii="仿宋" w:hAnsi="仿宋" w:eastAsia="仿宋"/>
          <w:b w:val="0"/>
          <w:bCs/>
          <w:color w:val="auto"/>
          <w:sz w:val="32"/>
          <w:szCs w:val="32"/>
          <w:highlight w:val="none"/>
        </w:rPr>
        <w:t>决算数等于预算数。</w:t>
      </w:r>
    </w:p>
    <w:p w14:paraId="7FFF6419">
      <w:pPr>
        <w:pStyle w:val="16"/>
        <w:rPr>
          <w:color w:val="auto"/>
        </w:rPr>
      </w:pPr>
    </w:p>
    <w:p w14:paraId="31B10678">
      <w:pPr>
        <w:tabs>
          <w:tab w:val="right" w:pos="8306"/>
        </w:tabs>
        <w:spacing w:line="600" w:lineRule="exact"/>
        <w:ind w:firstLine="640"/>
        <w:outlineLvl w:val="1"/>
        <w:rPr>
          <w:rStyle w:val="30"/>
          <w:color w:val="auto"/>
        </w:rPr>
      </w:pPr>
      <w:bookmarkStart w:id="34" w:name="_Toc15396608"/>
      <w:bookmarkStart w:id="35" w:name="_Toc15377214"/>
      <w:r>
        <w:rPr>
          <w:rFonts w:hint="eastAsia" w:ascii="黑体" w:eastAsia="黑体"/>
          <w:color w:val="auto"/>
          <w:sz w:val="32"/>
          <w:szCs w:val="32"/>
        </w:rPr>
        <w:t>六</w:t>
      </w:r>
      <w:r>
        <w:rPr>
          <w:rFonts w:hint="eastAsia" w:ascii="黑体" w:eastAsia="黑体"/>
          <w:b/>
          <w:color w:val="auto"/>
          <w:sz w:val="32"/>
          <w:szCs w:val="32"/>
        </w:rPr>
        <w:t>、</w:t>
      </w:r>
      <w:r>
        <w:rPr>
          <w:rFonts w:hint="eastAsia" w:ascii="黑体" w:hAnsi="黑体" w:eastAsia="黑体"/>
          <w:b/>
          <w:color w:val="auto"/>
          <w:sz w:val="32"/>
          <w:szCs w:val="32"/>
        </w:rPr>
        <w:t>一</w:t>
      </w:r>
      <w:r>
        <w:rPr>
          <w:rStyle w:val="30"/>
          <w:rFonts w:hint="eastAsia" w:ascii="黑体" w:hAnsi="黑体" w:eastAsia="黑体"/>
          <w:b w:val="0"/>
          <w:color w:val="auto"/>
        </w:rPr>
        <w:t>般公共预算财政拨款基本支出决算情况说明</w:t>
      </w:r>
      <w:bookmarkEnd w:id="34"/>
      <w:bookmarkEnd w:id="35"/>
      <w:r>
        <w:rPr>
          <w:rStyle w:val="30"/>
          <w:rFonts w:ascii="黑体" w:hAnsi="黑体" w:eastAsia="黑体"/>
          <w:b w:val="0"/>
          <w:color w:val="auto"/>
        </w:rPr>
        <w:tab/>
      </w:r>
    </w:p>
    <w:p w14:paraId="6468E283">
      <w:pPr>
        <w:spacing w:line="600" w:lineRule="exact"/>
        <w:ind w:firstLine="645"/>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21年一般公共预算财政拨款基本支出</w:t>
      </w:r>
      <w:r>
        <w:rPr>
          <w:rFonts w:hint="eastAsia" w:ascii="仿宋" w:hAnsi="仿宋" w:eastAsia="仿宋"/>
          <w:color w:val="auto"/>
          <w:sz w:val="32"/>
          <w:szCs w:val="32"/>
          <w:lang w:val="en-US" w:eastAsia="zh-CN"/>
        </w:rPr>
        <w:t>808.31</w:t>
      </w:r>
      <w:r>
        <w:rPr>
          <w:rFonts w:hint="eastAsia" w:ascii="仿宋" w:hAnsi="仿宋" w:eastAsia="仿宋"/>
          <w:color w:val="auto"/>
          <w:sz w:val="32"/>
          <w:szCs w:val="32"/>
        </w:rPr>
        <w:t>万元，其中：</w:t>
      </w:r>
    </w:p>
    <w:p w14:paraId="6BB06986">
      <w:pPr>
        <w:spacing w:line="600" w:lineRule="exact"/>
        <w:ind w:firstLine="645"/>
        <w:rPr>
          <w:rFonts w:ascii="仿宋" w:hAnsi="仿宋" w:eastAsia="仿宋"/>
          <w:color w:val="auto"/>
          <w:sz w:val="32"/>
          <w:szCs w:val="32"/>
        </w:rPr>
      </w:pPr>
      <w:r>
        <w:rPr>
          <w:rFonts w:hint="eastAsia" w:ascii="仿宋" w:hAnsi="仿宋" w:eastAsia="仿宋"/>
          <w:color w:val="auto"/>
          <w:sz w:val="32"/>
          <w:szCs w:val="32"/>
        </w:rPr>
        <w:t>人员经费</w:t>
      </w:r>
      <w:r>
        <w:rPr>
          <w:rFonts w:hint="eastAsia" w:ascii="仿宋" w:hAnsi="仿宋" w:eastAsia="仿宋"/>
          <w:color w:val="auto"/>
          <w:sz w:val="32"/>
          <w:szCs w:val="32"/>
          <w:lang w:val="en-US" w:eastAsia="zh-CN"/>
        </w:rPr>
        <w:t>749.44</w:t>
      </w:r>
      <w:r>
        <w:rPr>
          <w:rFonts w:hint="eastAsia" w:ascii="仿宋" w:hAnsi="仿宋" w:eastAsia="仿宋"/>
          <w:color w:val="auto"/>
          <w:sz w:val="32"/>
          <w:szCs w:val="32"/>
        </w:rPr>
        <w:t>万元，主要包括：基本工资、津贴补贴、绩效工资、机关事业单位基本养老保险缴费、职业年金缴费、职工基本医疗保险缴费</w:t>
      </w:r>
      <w:r>
        <w:rPr>
          <w:rFonts w:hint="eastAsia" w:ascii="仿宋" w:hAnsi="仿宋" w:eastAsia="仿宋"/>
          <w:color w:val="auto"/>
          <w:sz w:val="32"/>
          <w:szCs w:val="32"/>
          <w:lang w:eastAsia="zh-CN"/>
        </w:rPr>
        <w:t>、</w:t>
      </w:r>
      <w:r>
        <w:rPr>
          <w:rFonts w:hint="eastAsia" w:ascii="仿宋" w:hAnsi="仿宋" w:eastAsia="仿宋"/>
          <w:color w:val="auto"/>
          <w:sz w:val="32"/>
          <w:szCs w:val="32"/>
        </w:rPr>
        <w:t>其他社会保障缴费、其他工资福利支出、生活补助、奖励金、住房公积金。</w:t>
      </w:r>
    </w:p>
    <w:p w14:paraId="41E02972">
      <w:pPr>
        <w:spacing w:line="600" w:lineRule="exact"/>
        <w:ind w:firstLine="645"/>
        <w:rPr>
          <w:rFonts w:ascii="仿宋" w:hAnsi="仿宋" w:eastAsia="仿宋"/>
          <w:b/>
          <w:color w:val="auto"/>
          <w:sz w:val="32"/>
          <w:szCs w:val="32"/>
        </w:rPr>
      </w:pP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58.88</w:t>
      </w:r>
      <w:r>
        <w:rPr>
          <w:rFonts w:hint="eastAsia" w:ascii="仿宋" w:hAnsi="仿宋" w:eastAsia="仿宋"/>
          <w:color w:val="auto"/>
          <w:sz w:val="32"/>
          <w:szCs w:val="32"/>
        </w:rPr>
        <w:t>万元，主要包括：办公费、印刷费、手续费、水费、电费、邮电费、差旅费、维修（护）费、培训费、公务接待费、工会经费等。</w:t>
      </w:r>
    </w:p>
    <w:p w14:paraId="44E8C52F">
      <w:pPr>
        <w:spacing w:line="600" w:lineRule="exact"/>
        <w:ind w:firstLine="640"/>
        <w:outlineLvl w:val="1"/>
        <w:rPr>
          <w:rStyle w:val="30"/>
          <w:rFonts w:ascii="黑体" w:hAnsi="黑体" w:eastAsia="黑体"/>
          <w:b w:val="0"/>
          <w:color w:val="auto"/>
        </w:rPr>
      </w:pPr>
      <w:bookmarkStart w:id="36" w:name="_Toc15396609"/>
      <w:bookmarkStart w:id="37" w:name="_Toc15377215"/>
      <w:r>
        <w:rPr>
          <w:rFonts w:hint="eastAsia" w:ascii="黑体" w:eastAsia="黑体"/>
          <w:color w:val="auto"/>
          <w:sz w:val="32"/>
          <w:szCs w:val="32"/>
        </w:rPr>
        <w:t>七、</w:t>
      </w:r>
      <w:r>
        <w:rPr>
          <w:rStyle w:val="30"/>
          <w:rFonts w:hint="eastAsia" w:ascii="黑体" w:hAnsi="黑体" w:eastAsia="黑体"/>
          <w:color w:val="auto"/>
        </w:rPr>
        <w:t>“</w:t>
      </w:r>
      <w:r>
        <w:rPr>
          <w:rStyle w:val="30"/>
          <w:rFonts w:hint="eastAsia" w:ascii="黑体" w:hAnsi="黑体" w:eastAsia="黑体"/>
          <w:b w:val="0"/>
          <w:color w:val="auto"/>
        </w:rPr>
        <w:t>三公”经费财政拨款支出决算情况说明</w:t>
      </w:r>
      <w:bookmarkEnd w:id="36"/>
      <w:bookmarkEnd w:id="37"/>
    </w:p>
    <w:p w14:paraId="292B08C8">
      <w:pPr>
        <w:spacing w:line="600" w:lineRule="exact"/>
        <w:ind w:firstLine="640"/>
        <w:outlineLvl w:val="2"/>
        <w:rPr>
          <w:rFonts w:ascii="仿宋" w:hAnsi="仿宋" w:eastAsia="仿宋"/>
          <w:b/>
          <w:color w:val="auto"/>
          <w:sz w:val="32"/>
          <w:szCs w:val="32"/>
        </w:rPr>
      </w:pPr>
      <w:bookmarkStart w:id="38" w:name="_Toc15377216"/>
      <w:r>
        <w:rPr>
          <w:rFonts w:hint="eastAsia" w:ascii="仿宋" w:hAnsi="仿宋" w:eastAsia="仿宋"/>
          <w:b/>
          <w:color w:val="auto"/>
          <w:sz w:val="32"/>
          <w:szCs w:val="32"/>
        </w:rPr>
        <w:t>（一）“三公”经费财政拨款支出决算总体情况说明</w:t>
      </w:r>
      <w:bookmarkEnd w:id="38"/>
    </w:p>
    <w:p w14:paraId="4CC655C7">
      <w:pPr>
        <w:spacing w:line="600" w:lineRule="exact"/>
        <w:ind w:firstLine="640"/>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21年“三公”经费财政拨款支出决算为</w:t>
      </w:r>
      <w:r>
        <w:rPr>
          <w:rFonts w:hint="eastAsia" w:ascii="仿宋" w:hAnsi="仿宋" w:eastAsia="仿宋"/>
          <w:color w:val="auto"/>
          <w:sz w:val="32"/>
          <w:szCs w:val="32"/>
          <w:lang w:val="en-US" w:eastAsia="zh-CN"/>
        </w:rPr>
        <w:t>0.74</w:t>
      </w:r>
      <w:r>
        <w:rPr>
          <w:rFonts w:hint="eastAsia" w:ascii="仿宋" w:hAnsi="仿宋" w:eastAsia="仿宋"/>
          <w:color w:val="auto"/>
          <w:sz w:val="32"/>
          <w:szCs w:val="32"/>
        </w:rPr>
        <w:t>万元，完成预算</w:t>
      </w:r>
      <w:r>
        <w:rPr>
          <w:rFonts w:hint="eastAsia" w:ascii="仿宋" w:hAnsi="仿宋" w:eastAsia="仿宋"/>
          <w:color w:val="auto"/>
          <w:sz w:val="32"/>
          <w:szCs w:val="32"/>
          <w:lang w:val="en-US" w:eastAsia="zh-CN"/>
        </w:rPr>
        <w:t>91.36</w:t>
      </w:r>
      <w:r>
        <w:rPr>
          <w:rFonts w:ascii="仿宋" w:hAnsi="仿宋" w:eastAsia="仿宋"/>
          <w:color w:val="auto"/>
          <w:sz w:val="32"/>
          <w:szCs w:val="32"/>
        </w:rPr>
        <w:t>%</w:t>
      </w:r>
      <w:r>
        <w:rPr>
          <w:rFonts w:hint="eastAsia" w:ascii="仿宋" w:hAnsi="仿宋" w:eastAsia="仿宋"/>
          <w:color w:val="auto"/>
          <w:sz w:val="32"/>
          <w:szCs w:val="32"/>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auto"/>
          <w:sz w:val="32"/>
          <w:szCs w:val="32"/>
          <w:lang w:eastAsia="zh-CN"/>
        </w:rPr>
        <w:t>认真贯彻落实中央八项规定精神，采取有效措施严格控制接待范围和接待标准</w:t>
      </w:r>
      <w:r>
        <w:rPr>
          <w:rFonts w:hint="eastAsia" w:ascii="仿宋" w:hAnsi="仿宋" w:eastAsia="仿宋"/>
          <w:color w:val="auto"/>
          <w:sz w:val="32"/>
          <w:szCs w:val="32"/>
        </w:rPr>
        <w:t>。</w:t>
      </w:r>
    </w:p>
    <w:p w14:paraId="7A661A94">
      <w:pPr>
        <w:spacing w:line="600" w:lineRule="exact"/>
        <w:ind w:firstLine="640"/>
        <w:outlineLvl w:val="2"/>
        <w:rPr>
          <w:rFonts w:ascii="仿宋" w:hAnsi="仿宋" w:eastAsia="仿宋"/>
          <w:b/>
          <w:color w:val="auto"/>
          <w:sz w:val="32"/>
          <w:szCs w:val="32"/>
        </w:rPr>
      </w:pPr>
      <w:bookmarkStart w:id="39" w:name="_Toc15377217"/>
      <w:r>
        <w:rPr>
          <w:rFonts w:hint="eastAsia" w:ascii="仿宋" w:hAnsi="仿宋" w:eastAsia="仿宋"/>
          <w:b/>
          <w:color w:val="auto"/>
          <w:sz w:val="32"/>
          <w:szCs w:val="32"/>
        </w:rPr>
        <w:t>（二）“三公”经费财政拨款支出决算具体情况说明</w:t>
      </w:r>
      <w:bookmarkEnd w:id="39"/>
    </w:p>
    <w:p w14:paraId="0AFC41BC">
      <w:pPr>
        <w:spacing w:line="600" w:lineRule="exact"/>
        <w:ind w:firstLine="640" w:firstLineChars="200"/>
        <w:rPr>
          <w:rFonts w:hint="eastAsia" w:ascii="仿宋" w:hAnsi="仿宋" w:eastAsia="仿宋"/>
          <w:b/>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21年“三公”经费财政拨款支出决算中，因公出国（境）费支出决算0万元，当年未安排</w:t>
      </w:r>
      <w:r>
        <w:rPr>
          <w:rFonts w:hint="eastAsia" w:ascii="仿宋" w:hAnsi="仿宋" w:eastAsia="仿宋"/>
          <w:color w:val="auto"/>
          <w:sz w:val="32"/>
          <w:szCs w:val="32"/>
          <w:lang w:eastAsia="zh-CN"/>
        </w:rPr>
        <w:t>预算</w:t>
      </w:r>
      <w:r>
        <w:rPr>
          <w:rFonts w:hint="eastAsia" w:ascii="Times New Roman" w:hAnsi="Times New Roman" w:eastAsia="仿宋" w:cs="Times New Roman"/>
          <w:color w:val="auto"/>
          <w:sz w:val="32"/>
          <w:szCs w:val="32"/>
          <w:lang w:val="en-US" w:eastAsia="zh-CN"/>
        </w:rPr>
        <w:t>，与上年持平</w:t>
      </w:r>
      <w:r>
        <w:rPr>
          <w:rFonts w:hint="default" w:ascii="Times New Roman" w:hAnsi="Times New Roman" w:eastAsia="仿宋" w:cs="Times New Roman"/>
          <w:color w:val="auto"/>
          <w:sz w:val="32"/>
          <w:szCs w:val="32"/>
        </w:rPr>
        <w:t>；</w:t>
      </w:r>
      <w:r>
        <w:rPr>
          <w:rFonts w:hint="eastAsia" w:ascii="仿宋" w:hAnsi="仿宋" w:eastAsia="仿宋"/>
          <w:color w:val="auto"/>
          <w:sz w:val="32"/>
          <w:szCs w:val="32"/>
        </w:rPr>
        <w:t>公务用车购置及运行维护费支出决算0万元，当年未安排</w:t>
      </w:r>
      <w:r>
        <w:rPr>
          <w:rFonts w:hint="eastAsia" w:ascii="仿宋" w:hAnsi="仿宋" w:eastAsia="仿宋"/>
          <w:color w:val="auto"/>
          <w:sz w:val="32"/>
          <w:szCs w:val="32"/>
          <w:lang w:eastAsia="zh-CN"/>
        </w:rPr>
        <w:t>预算</w:t>
      </w:r>
      <w:r>
        <w:rPr>
          <w:rFonts w:hint="eastAsia" w:ascii="Times New Roman" w:hAnsi="Times New Roman" w:eastAsia="仿宋" w:cs="Times New Roman"/>
          <w:color w:val="auto"/>
          <w:sz w:val="32"/>
          <w:szCs w:val="32"/>
          <w:lang w:val="en-US" w:eastAsia="zh-CN"/>
        </w:rPr>
        <w:t>，与上年持平</w:t>
      </w:r>
      <w:r>
        <w:rPr>
          <w:rFonts w:hint="default" w:ascii="Times New Roman" w:hAnsi="Times New Roman" w:eastAsia="仿宋" w:cs="Times New Roman"/>
          <w:color w:val="auto"/>
          <w:sz w:val="32"/>
          <w:szCs w:val="32"/>
        </w:rPr>
        <w:t>；</w:t>
      </w:r>
      <w:r>
        <w:rPr>
          <w:rFonts w:hint="eastAsia" w:ascii="仿宋" w:hAnsi="仿宋" w:eastAsia="仿宋"/>
          <w:color w:val="auto"/>
          <w:sz w:val="32"/>
          <w:szCs w:val="32"/>
        </w:rPr>
        <w:t>公务接待费支出决算</w:t>
      </w:r>
      <w:r>
        <w:rPr>
          <w:rFonts w:hint="eastAsia" w:ascii="仿宋" w:hAnsi="仿宋" w:eastAsia="仿宋"/>
          <w:color w:val="auto"/>
          <w:sz w:val="32"/>
          <w:szCs w:val="32"/>
          <w:lang w:val="en-US" w:eastAsia="zh-CN"/>
        </w:rPr>
        <w:t>0.74</w:t>
      </w:r>
      <w:r>
        <w:rPr>
          <w:rFonts w:hint="eastAsia" w:ascii="仿宋" w:hAnsi="仿宋" w:eastAsia="仿宋"/>
          <w:color w:val="auto"/>
          <w:sz w:val="32"/>
          <w:szCs w:val="32"/>
        </w:rPr>
        <w:t>万元，占100</w:t>
      </w:r>
      <w:r>
        <w:rPr>
          <w:rFonts w:ascii="仿宋" w:hAnsi="仿宋" w:eastAsia="仿宋"/>
          <w:color w:val="auto"/>
          <w:sz w:val="32"/>
          <w:szCs w:val="32"/>
        </w:rPr>
        <w:t>%</w:t>
      </w:r>
      <w:r>
        <w:rPr>
          <w:rFonts w:hint="eastAsia" w:ascii="仿宋" w:hAnsi="仿宋" w:eastAsia="仿宋"/>
          <w:color w:val="auto"/>
          <w:sz w:val="32"/>
          <w:szCs w:val="32"/>
        </w:rPr>
        <w:t>。具体情况如下：</w:t>
      </w:r>
    </w:p>
    <w:p w14:paraId="3D1B66F0">
      <w:pPr>
        <w:spacing w:line="600" w:lineRule="exact"/>
        <w:ind w:firstLine="640"/>
        <w:rPr>
          <w:rFonts w:hint="eastAsia" w:ascii="仿宋_GB2312" w:eastAsia="仿宋_GB2312" w:cs="仿宋_GB2312"/>
          <w:b/>
          <w:bCs w:val="0"/>
          <w:color w:val="auto"/>
          <w:sz w:val="32"/>
          <w:szCs w:val="32"/>
          <w:lang w:val="en-US"/>
        </w:rPr>
      </w:pPr>
      <w:r>
        <w:rPr>
          <w:rFonts w:hint="eastAsia" w:ascii="仿宋" w:hAnsi="仿宋" w:eastAsia="仿宋"/>
          <w:color w:val="auto"/>
          <w:sz w:val="32"/>
          <w:szCs w:val="32"/>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Times New Roman" w:eastAsia="仿宋_GB2312" w:cs="仿宋_GB2312"/>
          <w:b/>
          <w:bCs w:val="0"/>
          <w:color w:val="auto"/>
          <w:kern w:val="2"/>
          <w:sz w:val="32"/>
          <w:szCs w:val="32"/>
          <w:lang w:val="en-US" w:eastAsia="zh-CN" w:bidi="ar"/>
        </w:rPr>
        <w:t>1.因公出国（境）经费支出</w:t>
      </w:r>
      <w:r>
        <w:rPr>
          <w:rFonts w:hint="eastAsia" w:ascii="仿宋_GB2312" w:hAnsi="Times New Roman" w:eastAsia="仿宋_GB2312" w:cs="仿宋_GB2312"/>
          <w:color w:val="auto"/>
          <w:kern w:val="2"/>
          <w:sz w:val="32"/>
          <w:szCs w:val="32"/>
          <w:lang w:val="en-US" w:eastAsia="zh-CN" w:bidi="ar"/>
        </w:rPr>
        <w:t>0万元，</w:t>
      </w:r>
      <w:r>
        <w:rPr>
          <w:rStyle w:val="19"/>
          <w:rFonts w:hint="eastAsia" w:ascii="仿宋" w:hAnsi="仿宋" w:eastAsia="仿宋" w:cs="仿宋"/>
          <w:b w:val="0"/>
          <w:bCs/>
          <w:color w:val="auto"/>
          <w:kern w:val="2"/>
          <w:sz w:val="32"/>
          <w:szCs w:val="32"/>
          <w:lang w:val="en-US" w:eastAsia="zh-CN" w:bidi="ar"/>
        </w:rPr>
        <w:t>年初未安排预算，与上年数持平。</w:t>
      </w:r>
    </w:p>
    <w:p w14:paraId="0339A662">
      <w:pPr>
        <w:spacing w:line="600" w:lineRule="exact"/>
        <w:ind w:firstLine="640"/>
        <w:rPr>
          <w:rFonts w:hint="eastAsia" w:ascii="仿宋_GB2312" w:eastAsia="仿宋_GB2312" w:cs="仿宋_GB2312"/>
          <w:b/>
          <w:bCs w:val="0"/>
          <w:color w:val="auto"/>
          <w:sz w:val="32"/>
          <w:szCs w:val="32"/>
          <w:lang w:val="en-US"/>
        </w:rPr>
      </w:pPr>
      <w:r>
        <w:rPr>
          <w:rFonts w:hint="eastAsia" w:ascii="仿宋_GB2312" w:hAnsi="Times New Roman" w:eastAsia="仿宋_GB2312" w:cs="仿宋_GB2312"/>
          <w:b/>
          <w:bCs w:val="0"/>
          <w:color w:val="auto"/>
          <w:kern w:val="2"/>
          <w:sz w:val="32"/>
          <w:szCs w:val="32"/>
          <w:lang w:val="en-US" w:eastAsia="zh-CN" w:bidi="ar"/>
        </w:rPr>
        <w:t>2.公务用车购置及运行维护费支出</w:t>
      </w:r>
      <w:r>
        <w:rPr>
          <w:rFonts w:hint="eastAsia" w:ascii="仿宋_GB2312" w:hAnsi="Times New Roman" w:eastAsia="仿宋_GB2312" w:cs="仿宋_GB2312"/>
          <w:color w:val="auto"/>
          <w:kern w:val="2"/>
          <w:sz w:val="32"/>
          <w:szCs w:val="32"/>
          <w:lang w:val="en-US" w:eastAsia="zh-CN" w:bidi="ar"/>
        </w:rPr>
        <w:t>0万元,</w:t>
      </w:r>
      <w:r>
        <w:rPr>
          <w:rStyle w:val="19"/>
          <w:rFonts w:hint="eastAsia" w:ascii="仿宋" w:hAnsi="仿宋" w:eastAsia="仿宋" w:cs="仿宋"/>
          <w:b w:val="0"/>
          <w:bCs/>
          <w:color w:val="auto"/>
          <w:kern w:val="2"/>
          <w:sz w:val="32"/>
          <w:szCs w:val="32"/>
          <w:lang w:val="en-US" w:eastAsia="zh-CN" w:bidi="ar"/>
        </w:rPr>
        <w:t>年初未安排预算，与上年数持平。</w:t>
      </w:r>
    </w:p>
    <w:p w14:paraId="1F734F44">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lang w:val="en-US"/>
        </w:rPr>
      </w:pPr>
    </w:p>
    <w:p w14:paraId="429CCEA6">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lang w:val="en-US"/>
        </w:rPr>
      </w:pPr>
      <w:r>
        <w:rPr>
          <w:rFonts w:hint="eastAsia" w:ascii="仿宋_GB2312" w:hAnsi="Times New Roman" w:eastAsia="仿宋_GB2312" w:cs="仿宋_GB2312"/>
          <w:b/>
          <w:bCs/>
          <w:color w:val="auto"/>
          <w:kern w:val="2"/>
          <w:sz w:val="32"/>
          <w:szCs w:val="32"/>
          <w:lang w:val="en-US" w:eastAsia="zh-CN" w:bidi="ar"/>
        </w:rPr>
        <w:t>其中：</w:t>
      </w:r>
      <w:r>
        <w:rPr>
          <w:rFonts w:hint="eastAsia" w:ascii="仿宋_GB2312" w:hAnsi="Times New Roman" w:eastAsia="仿宋_GB2312" w:cs="仿宋_GB2312"/>
          <w:b/>
          <w:bCs w:val="0"/>
          <w:color w:val="auto"/>
          <w:kern w:val="2"/>
          <w:sz w:val="32"/>
          <w:szCs w:val="32"/>
          <w:lang w:val="en-US" w:eastAsia="zh-CN" w:bidi="ar"/>
        </w:rPr>
        <w:t>公务用车购置支出</w:t>
      </w:r>
      <w:r>
        <w:rPr>
          <w:rFonts w:hint="eastAsia" w:ascii="仿宋_GB2312" w:hAnsi="Times New Roman" w:eastAsia="仿宋_GB2312" w:cs="仿宋_GB2312"/>
          <w:bCs/>
          <w:color w:val="auto"/>
          <w:kern w:val="2"/>
          <w:sz w:val="32"/>
          <w:szCs w:val="32"/>
          <w:lang w:val="en-US" w:eastAsia="zh-CN" w:bidi="ar"/>
        </w:rPr>
        <w:t>0万元。</w:t>
      </w:r>
      <w:r>
        <w:rPr>
          <w:rFonts w:hint="eastAsia" w:ascii="仿宋_GB2312" w:eastAsia="仿宋_GB2312" w:cs="仿宋_GB2312"/>
          <w:bCs/>
          <w:color w:val="auto"/>
          <w:kern w:val="2"/>
          <w:sz w:val="32"/>
          <w:szCs w:val="32"/>
          <w:lang w:val="en-US" w:eastAsia="zh-CN" w:bidi="ar"/>
        </w:rPr>
        <w:t>全年按规定更新购置公务用车0辆，</w:t>
      </w:r>
      <w:r>
        <w:rPr>
          <w:rFonts w:hint="eastAsia" w:ascii="仿宋_GB2312" w:eastAsia="仿宋_GB2312" w:cs="仿宋_GB2312"/>
          <w:color w:val="auto"/>
          <w:kern w:val="2"/>
          <w:sz w:val="32"/>
          <w:szCs w:val="32"/>
          <w:lang w:val="en-US" w:eastAsia="zh-CN" w:bidi="ar"/>
        </w:rPr>
        <w:t>主要原因是我单位未购置公务用车。</w:t>
      </w:r>
      <w:r>
        <w:rPr>
          <w:rFonts w:hint="eastAsia" w:ascii="仿宋_GB2312" w:eastAsia="仿宋_GB2312" w:cs="仿宋_GB2312"/>
          <w:bCs/>
          <w:color w:val="auto"/>
          <w:kern w:val="2"/>
          <w:sz w:val="32"/>
          <w:szCs w:val="32"/>
          <w:lang w:val="en-US" w:eastAsia="zh-CN" w:bidi="ar"/>
        </w:rPr>
        <w:t>截止2021年12月底，单位共有公务用车0辆。</w:t>
      </w:r>
    </w:p>
    <w:p w14:paraId="0B2E8494">
      <w:pPr>
        <w:keepNext w:val="0"/>
        <w:keepLines w:val="0"/>
        <w:widowControl w:val="0"/>
        <w:suppressLineNumbers w:val="0"/>
        <w:spacing w:before="0" w:beforeAutospacing="0" w:after="0" w:afterAutospacing="0" w:line="600" w:lineRule="exact"/>
        <w:ind w:right="0" w:firstLine="643" w:firstLineChars="200"/>
        <w:jc w:val="both"/>
        <w:rPr>
          <w:color w:val="auto"/>
        </w:rPr>
      </w:pPr>
      <w:r>
        <w:rPr>
          <w:rFonts w:hint="eastAsia" w:ascii="仿宋_GB2312" w:hAnsi="Times New Roman" w:eastAsia="仿宋_GB2312" w:cs="仿宋_GB2312"/>
          <w:b/>
          <w:bCs w:val="0"/>
          <w:color w:val="auto"/>
          <w:kern w:val="2"/>
          <w:sz w:val="32"/>
          <w:szCs w:val="32"/>
          <w:lang w:val="en-US" w:eastAsia="zh-CN" w:bidi="ar"/>
        </w:rPr>
        <w:t>公务用车运行维护费支出</w:t>
      </w:r>
      <w:r>
        <w:rPr>
          <w:rFonts w:hint="eastAsia" w:ascii="仿宋_GB2312" w:hAnsi="Times New Roman" w:eastAsia="仿宋_GB2312" w:cs="仿宋_GB2312"/>
          <w:color w:val="auto"/>
          <w:kern w:val="2"/>
          <w:sz w:val="32"/>
          <w:szCs w:val="32"/>
          <w:lang w:val="en-US" w:eastAsia="zh-CN" w:bidi="ar"/>
        </w:rPr>
        <w:t>0万元。</w:t>
      </w:r>
      <w:r>
        <w:rPr>
          <w:rFonts w:hint="eastAsia" w:ascii="仿宋_GB2312" w:eastAsia="仿宋_GB2312" w:cs="仿宋_GB2312"/>
          <w:color w:val="auto"/>
          <w:kern w:val="2"/>
          <w:sz w:val="32"/>
          <w:szCs w:val="32"/>
          <w:lang w:val="en-US" w:eastAsia="zh-CN" w:bidi="ar"/>
        </w:rPr>
        <w:t>主要原因是我单位无公务用车。</w:t>
      </w:r>
    </w:p>
    <w:p w14:paraId="68F9F441">
      <w:pPr>
        <w:spacing w:line="600" w:lineRule="exact"/>
        <w:ind w:firstLine="640"/>
        <w:rPr>
          <w:rFonts w:hint="default" w:ascii="Times New Roman" w:hAnsi="Times New Roman" w:eastAsia="仿宋" w:cs="Times New Roman"/>
          <w:color w:val="auto"/>
          <w:sz w:val="32"/>
          <w:szCs w:val="32"/>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0.74</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91.36</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。公务接待费支出决算</w:t>
      </w:r>
      <w:r>
        <w:rPr>
          <w:rFonts w:hint="eastAsia" w:ascii="仿宋_GB2312" w:eastAsia="仿宋_GB2312"/>
          <w:color w:val="auto"/>
          <w:sz w:val="32"/>
          <w:szCs w:val="32"/>
          <w:highlight w:val="none"/>
          <w:lang w:val="en-US" w:eastAsia="zh-CN"/>
        </w:rPr>
        <w:t>比2020年下降0.06万元</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lang w:eastAsia="zh-CN"/>
        </w:rPr>
        <w:t>主要原因是</w:t>
      </w:r>
      <w:r>
        <w:rPr>
          <w:rFonts w:hint="eastAsia" w:ascii="仿宋" w:hAnsi="仿宋" w:eastAsia="仿宋"/>
          <w:color w:val="auto"/>
          <w:sz w:val="32"/>
          <w:szCs w:val="32"/>
          <w:lang w:eastAsia="zh-CN"/>
        </w:rPr>
        <w:t>认真贯彻落实中央八项规定精神，采取有效措施严格控制接待范围和接待标准</w:t>
      </w:r>
      <w:r>
        <w:rPr>
          <w:rFonts w:hint="eastAsia" w:ascii="仿宋" w:hAnsi="仿宋" w:eastAsia="仿宋"/>
          <w:color w:val="auto"/>
          <w:sz w:val="32"/>
          <w:szCs w:val="32"/>
        </w:rPr>
        <w:t>。</w:t>
      </w:r>
      <w:r>
        <w:rPr>
          <w:rFonts w:hint="default" w:ascii="Times New Roman" w:hAnsi="Times New Roman" w:eastAsia="仿宋" w:cs="Times New Roman"/>
          <w:color w:val="auto"/>
          <w:sz w:val="32"/>
          <w:szCs w:val="32"/>
        </w:rPr>
        <w:t>其中：</w:t>
      </w:r>
    </w:p>
    <w:p w14:paraId="54710139">
      <w:pPr>
        <w:spacing w:line="600" w:lineRule="exact"/>
        <w:ind w:firstLine="640"/>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b/>
          <w:bCs/>
          <w:color w:val="auto"/>
          <w:sz w:val="32"/>
          <w:szCs w:val="32"/>
        </w:rPr>
        <w:t>国内公务接待支出</w:t>
      </w:r>
      <w:r>
        <w:rPr>
          <w:rFonts w:hint="eastAsia" w:eastAsia="仿宋" w:cs="Times New Roman"/>
          <w:color w:val="FF0000"/>
          <w:sz w:val="32"/>
          <w:szCs w:val="32"/>
          <w:lang w:val="en-US" w:eastAsia="zh-CN"/>
        </w:rPr>
        <w:t>0.74</w:t>
      </w:r>
      <w:r>
        <w:rPr>
          <w:rFonts w:hint="default" w:ascii="Times New Roman" w:hAnsi="Times New Roman" w:eastAsia="仿宋" w:cs="Times New Roman"/>
          <w:color w:val="auto"/>
          <w:sz w:val="32"/>
          <w:szCs w:val="32"/>
        </w:rPr>
        <w:t>万元，主要用于</w:t>
      </w:r>
      <w:r>
        <w:rPr>
          <w:rFonts w:hint="eastAsia" w:ascii="Times New Roman" w:hAnsi="Times New Roman" w:eastAsia="仿宋" w:cs="Times New Roman"/>
          <w:color w:val="auto"/>
          <w:sz w:val="32"/>
          <w:szCs w:val="32"/>
          <w:lang w:eastAsia="zh-CN"/>
        </w:rPr>
        <w:t>接待上级来访、</w:t>
      </w:r>
      <w:r>
        <w:rPr>
          <w:rFonts w:hint="eastAsia" w:ascii="仿宋_GB2312" w:hAnsi="Times New Roman" w:eastAsia="仿宋_GB2312" w:cs="Times New Roman"/>
          <w:color w:val="auto"/>
          <w:kern w:val="2"/>
          <w:sz w:val="32"/>
          <w:szCs w:val="32"/>
          <w:lang w:val="en-US" w:eastAsia="zh-CN" w:bidi="ar"/>
        </w:rPr>
        <w:t>教育教学活动</w:t>
      </w:r>
      <w:r>
        <w:rPr>
          <w:rFonts w:hint="eastAsia" w:ascii="仿宋_GB2312" w:eastAsia="仿宋_GB2312" w:cs="Times New Roman"/>
          <w:color w:val="auto"/>
          <w:kern w:val="2"/>
          <w:sz w:val="32"/>
          <w:szCs w:val="32"/>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rPr>
        <w:t>。国内公务接</w:t>
      </w:r>
      <w:r>
        <w:rPr>
          <w:rFonts w:hint="default" w:ascii="Times New Roman" w:hAnsi="Times New Roman" w:eastAsia="仿宋" w:cs="Times New Roman"/>
          <w:color w:val="auto"/>
          <w:sz w:val="32"/>
          <w:szCs w:val="32"/>
          <w:highlight w:val="none"/>
        </w:rPr>
        <w:t>待</w:t>
      </w:r>
      <w:r>
        <w:rPr>
          <w:rFonts w:hint="eastAsia" w:eastAsia="仿宋" w:cs="Times New Roman"/>
          <w:color w:val="auto"/>
          <w:sz w:val="32"/>
          <w:szCs w:val="32"/>
          <w:highlight w:val="none"/>
          <w:lang w:val="en-US" w:eastAsia="zh-CN"/>
        </w:rPr>
        <w:t>26</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167</w:t>
      </w:r>
      <w:r>
        <w:rPr>
          <w:rFonts w:hint="default" w:ascii="Times New Roman" w:hAnsi="Times New Roman" w:eastAsia="仿宋" w:cs="Times New Roman"/>
          <w:color w:val="auto"/>
          <w:sz w:val="32"/>
          <w:szCs w:val="32"/>
          <w:highlight w:val="none"/>
        </w:rPr>
        <w:t>人次</w:t>
      </w:r>
      <w:r>
        <w:rPr>
          <w:rFonts w:hint="default" w:ascii="Times New Roman" w:hAnsi="Times New Roman" w:eastAsia="仿宋" w:cs="Times New Roman"/>
          <w:color w:val="auto"/>
          <w:sz w:val="32"/>
          <w:szCs w:val="32"/>
        </w:rPr>
        <w:t>（不包括陪同人员），共计支出</w:t>
      </w:r>
      <w:r>
        <w:rPr>
          <w:rFonts w:hint="eastAsia" w:eastAsia="仿宋" w:cs="Times New Roman"/>
          <w:color w:val="auto"/>
          <w:sz w:val="32"/>
          <w:szCs w:val="32"/>
          <w:lang w:val="en-US" w:eastAsia="zh-CN"/>
        </w:rPr>
        <w:t>0.74</w:t>
      </w:r>
      <w:r>
        <w:rPr>
          <w:rFonts w:hint="default" w:ascii="Times New Roman" w:hAnsi="Times New Roman" w:eastAsia="仿宋" w:cs="Times New Roman"/>
          <w:color w:val="auto"/>
          <w:sz w:val="32"/>
          <w:szCs w:val="32"/>
        </w:rPr>
        <w:t>万元</w:t>
      </w:r>
      <w:r>
        <w:rPr>
          <w:rFonts w:hint="eastAsia" w:eastAsia="仿宋" w:cs="Times New Roman"/>
          <w:color w:val="auto"/>
          <w:sz w:val="32"/>
          <w:szCs w:val="32"/>
          <w:lang w:eastAsia="zh-CN"/>
        </w:rPr>
        <w:t>，具体内容包括</w:t>
      </w:r>
      <w:r>
        <w:rPr>
          <w:rFonts w:hint="eastAsia" w:ascii="Times New Roman" w:hAnsi="Times New Roman" w:eastAsia="仿宋" w:cs="Times New Roman"/>
          <w:color w:val="auto"/>
          <w:sz w:val="32"/>
          <w:szCs w:val="32"/>
          <w:lang w:eastAsia="zh-CN"/>
        </w:rPr>
        <w:t>接待上级来访</w:t>
      </w:r>
      <w:r>
        <w:rPr>
          <w:rFonts w:hint="eastAsia" w:eastAsia="仿宋" w:cs="Times New Roman"/>
          <w:color w:val="auto"/>
          <w:sz w:val="32"/>
          <w:szCs w:val="32"/>
          <w:lang w:val="en-US" w:eastAsia="zh-CN"/>
        </w:rPr>
        <w:t>0.2万元</w:t>
      </w:r>
      <w:r>
        <w:rPr>
          <w:rFonts w:hint="eastAsia" w:ascii="Times New Roman" w:hAnsi="Times New Roman" w:eastAsia="仿宋" w:cs="Times New Roman"/>
          <w:color w:val="auto"/>
          <w:sz w:val="32"/>
          <w:szCs w:val="32"/>
          <w:lang w:eastAsia="zh-CN"/>
        </w:rPr>
        <w:t>、</w:t>
      </w:r>
      <w:r>
        <w:rPr>
          <w:rFonts w:hint="eastAsia" w:ascii="仿宋_GB2312" w:hAnsi="Times New Roman" w:eastAsia="仿宋_GB2312" w:cs="Times New Roman"/>
          <w:color w:val="auto"/>
          <w:kern w:val="2"/>
          <w:sz w:val="32"/>
          <w:szCs w:val="32"/>
          <w:lang w:val="en-US" w:eastAsia="zh-CN" w:bidi="ar"/>
        </w:rPr>
        <w:t>教育教学活动</w:t>
      </w:r>
      <w:r>
        <w:rPr>
          <w:rFonts w:hint="eastAsia" w:ascii="仿宋_GB2312" w:eastAsia="仿宋_GB2312" w:cs="Times New Roman"/>
          <w:color w:val="auto"/>
          <w:kern w:val="2"/>
          <w:sz w:val="32"/>
          <w:szCs w:val="32"/>
          <w:lang w:val="en-US" w:eastAsia="zh-CN" w:bidi="ar"/>
        </w:rPr>
        <w:t>交流0.2万元、</w:t>
      </w:r>
      <w:r>
        <w:rPr>
          <w:rFonts w:hint="eastAsia" w:ascii="仿宋_GB2312" w:eastAsia="仿宋_GB2312"/>
          <w:color w:val="auto"/>
          <w:sz w:val="32"/>
          <w:szCs w:val="32"/>
          <w:highlight w:val="none"/>
          <w:lang w:val="en-US" w:eastAsia="zh-CN"/>
        </w:rPr>
        <w:t>学生活动费及运动会学生用餐、交通费、体检费等0.34万元。</w:t>
      </w:r>
    </w:p>
    <w:p w14:paraId="2A48B418">
      <w:pPr>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rPr>
        <w:t>外事接待支出</w:t>
      </w:r>
      <w:r>
        <w:rPr>
          <w:rFonts w:hint="eastAsia" w:ascii="仿宋_GB2312" w:hAnsi="Times New Roman" w:eastAsia="仿宋_GB2312" w:cs="仿宋_GB2312"/>
          <w:color w:val="auto"/>
          <w:kern w:val="2"/>
          <w:sz w:val="32"/>
          <w:szCs w:val="32"/>
          <w:lang w:val="en-US" w:eastAsia="zh-CN" w:bidi="ar"/>
        </w:rPr>
        <w:t>决算与2020年持平</w:t>
      </w:r>
      <w:r>
        <w:rPr>
          <w:rFonts w:hint="eastAsia" w:ascii="Times New Roman" w:hAnsi="Times New Roman" w:eastAsia="仿宋" w:cs="Times New Roman"/>
          <w:color w:val="auto"/>
          <w:sz w:val="32"/>
          <w:szCs w:val="32"/>
        </w:rPr>
        <w:t>。</w:t>
      </w:r>
    </w:p>
    <w:p w14:paraId="4344CFE4">
      <w:pPr>
        <w:spacing w:line="600" w:lineRule="exact"/>
        <w:outlineLvl w:val="1"/>
        <w:rPr>
          <w:rFonts w:ascii="黑体" w:eastAsia="黑体"/>
          <w:color w:val="auto"/>
          <w:sz w:val="32"/>
          <w:szCs w:val="32"/>
        </w:rPr>
      </w:pPr>
      <w:bookmarkStart w:id="40" w:name="_Toc15377218"/>
      <w:bookmarkStart w:id="41" w:name="_Toc15396610"/>
    </w:p>
    <w:p w14:paraId="66F1B83E">
      <w:pPr>
        <w:spacing w:line="600" w:lineRule="exact"/>
        <w:ind w:firstLine="640"/>
        <w:outlineLvl w:val="1"/>
        <w:rPr>
          <w:rStyle w:val="30"/>
          <w:rFonts w:ascii="黑体" w:hAnsi="黑体" w:eastAsia="黑体"/>
          <w:color w:val="auto"/>
        </w:rPr>
      </w:pPr>
      <w:r>
        <w:rPr>
          <w:rFonts w:hint="eastAsia" w:ascii="黑体" w:eastAsia="黑体"/>
          <w:color w:val="auto"/>
          <w:sz w:val="32"/>
          <w:szCs w:val="32"/>
        </w:rPr>
        <w:t>八、</w:t>
      </w:r>
      <w:r>
        <w:rPr>
          <w:rStyle w:val="30"/>
          <w:rFonts w:hint="eastAsia" w:ascii="黑体" w:hAnsi="黑体" w:eastAsia="黑体"/>
          <w:b w:val="0"/>
          <w:color w:val="auto"/>
        </w:rPr>
        <w:t>政府性基金预算支出决算情况说明</w:t>
      </w:r>
      <w:bookmarkEnd w:id="40"/>
      <w:bookmarkEnd w:id="41"/>
    </w:p>
    <w:p w14:paraId="57E1B843">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rPr>
        <w:t>20</w:t>
      </w:r>
      <w:r>
        <w:rPr>
          <w:rFonts w:hint="eastAsia" w:ascii="仿宋_GB2312" w:eastAsia="仿宋_GB2312"/>
          <w:color w:val="auto"/>
          <w:sz w:val="32"/>
          <w:szCs w:val="32"/>
        </w:rPr>
        <w:t>21年政府性基金预算财政拨款支出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万元。202</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年本单位未在政府性基金预算拨款安排“三公”经费支出</w:t>
      </w:r>
      <w:r>
        <w:rPr>
          <w:rFonts w:hint="eastAsia" w:ascii="仿宋_GB2312" w:eastAsia="仿宋_GB2312"/>
          <w:color w:val="auto"/>
          <w:sz w:val="32"/>
          <w:szCs w:val="32"/>
          <w:highlight w:val="none"/>
        </w:rPr>
        <w:t>。</w:t>
      </w:r>
    </w:p>
    <w:p w14:paraId="482F3B76">
      <w:pPr>
        <w:pStyle w:val="16"/>
        <w:rPr>
          <w:color w:val="auto"/>
        </w:rPr>
      </w:pPr>
    </w:p>
    <w:p w14:paraId="2EE12B96">
      <w:pPr>
        <w:numPr>
          <w:ilvl w:val="0"/>
          <w:numId w:val="3"/>
        </w:numPr>
        <w:spacing w:line="600" w:lineRule="exact"/>
        <w:ind w:firstLine="640"/>
        <w:outlineLvl w:val="1"/>
        <w:rPr>
          <w:rStyle w:val="30"/>
          <w:rFonts w:ascii="黑体" w:hAnsi="黑体" w:eastAsia="黑体"/>
          <w:b w:val="0"/>
          <w:color w:val="auto"/>
        </w:rPr>
      </w:pPr>
      <w:bookmarkStart w:id="42" w:name="_Toc15377219"/>
      <w:bookmarkStart w:id="43" w:name="_Toc15396611"/>
      <w:r>
        <w:rPr>
          <w:rStyle w:val="30"/>
          <w:rFonts w:hint="eastAsia" w:ascii="黑体" w:hAnsi="黑体" w:eastAsia="黑体"/>
          <w:b w:val="0"/>
          <w:color w:val="auto"/>
        </w:rPr>
        <w:t>国有资本经营预算支出决算情况说明</w:t>
      </w:r>
      <w:bookmarkEnd w:id="42"/>
      <w:bookmarkEnd w:id="43"/>
    </w:p>
    <w:p w14:paraId="00C1F21E">
      <w:pPr>
        <w:spacing w:line="600" w:lineRule="exact"/>
        <w:ind w:firstLine="640"/>
        <w:rPr>
          <w:rFonts w:ascii="仿宋_GB2312" w:eastAsia="仿宋_GB2312"/>
          <w:color w:val="auto"/>
          <w:sz w:val="32"/>
          <w:szCs w:val="32"/>
        </w:rPr>
      </w:pPr>
      <w:r>
        <w:rPr>
          <w:rFonts w:ascii="仿宋_GB2312" w:eastAsia="仿宋_GB2312"/>
          <w:color w:val="auto"/>
          <w:sz w:val="32"/>
          <w:szCs w:val="32"/>
        </w:rPr>
        <w:t>20</w:t>
      </w:r>
      <w:r>
        <w:rPr>
          <w:rFonts w:hint="eastAsia" w:ascii="仿宋_GB2312" w:eastAsia="仿宋_GB2312"/>
          <w:color w:val="auto"/>
          <w:sz w:val="32"/>
          <w:szCs w:val="32"/>
        </w:rPr>
        <w:t>21年国有资本经营预算财政拨款支出0万元，年初未安排预算。</w:t>
      </w:r>
    </w:p>
    <w:p w14:paraId="5326B169">
      <w:pPr>
        <w:spacing w:line="580" w:lineRule="exact"/>
        <w:rPr>
          <w:rFonts w:ascii="方正小标宋简体" w:hAnsi="方正小标宋简体" w:eastAsia="方正小标宋简体" w:cs="方正小标宋简体"/>
          <w:color w:val="auto"/>
          <w:sz w:val="44"/>
          <w:szCs w:val="44"/>
        </w:rPr>
      </w:pPr>
    </w:p>
    <w:p w14:paraId="7BC152CD">
      <w:pPr>
        <w:numPr>
          <w:ilvl w:val="0"/>
          <w:numId w:val="3"/>
        </w:numPr>
        <w:spacing w:line="600" w:lineRule="exact"/>
        <w:ind w:firstLine="640"/>
        <w:outlineLvl w:val="1"/>
        <w:rPr>
          <w:rStyle w:val="30"/>
          <w:rFonts w:ascii="黑体" w:hAnsi="黑体" w:eastAsia="黑体"/>
          <w:b w:val="0"/>
          <w:color w:val="auto"/>
        </w:rPr>
      </w:pPr>
      <w:bookmarkStart w:id="44" w:name="_Toc15377221"/>
      <w:bookmarkStart w:id="45" w:name="_Toc15396612"/>
      <w:r>
        <w:rPr>
          <w:rStyle w:val="30"/>
          <w:rFonts w:hint="eastAsia" w:ascii="黑体" w:hAnsi="黑体" w:eastAsia="黑体"/>
          <w:b w:val="0"/>
          <w:color w:val="auto"/>
        </w:rPr>
        <w:t>预算绩效管理情况</w:t>
      </w:r>
    </w:p>
    <w:p w14:paraId="685BE1BF">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对追加预算校舍</w:t>
      </w:r>
      <w:r>
        <w:rPr>
          <w:rFonts w:hint="eastAsia" w:ascii="仿宋_GB2312" w:hAnsi="仿宋_GB2312" w:eastAsia="仿宋_GB2312" w:cs="仿宋_GB2312"/>
          <w:color w:val="auto"/>
          <w:sz w:val="32"/>
          <w:szCs w:val="32"/>
          <w:highlight w:val="none"/>
          <w:lang w:val="en-US" w:eastAsia="zh-CN"/>
        </w:rPr>
        <w:t>安全保障</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14:paraId="7F065D7D">
      <w:pPr>
        <w:pStyle w:val="2"/>
        <w:spacing w:before="93"/>
        <w:rPr>
          <w:color w:val="auto"/>
        </w:rPr>
      </w:pPr>
    </w:p>
    <w:p w14:paraId="1332512F">
      <w:pPr>
        <w:numPr>
          <w:ilvl w:val="0"/>
          <w:numId w:val="3"/>
        </w:numPr>
        <w:spacing w:line="600" w:lineRule="exact"/>
        <w:ind w:firstLine="640"/>
        <w:outlineLvl w:val="1"/>
        <w:rPr>
          <w:rStyle w:val="30"/>
          <w:rFonts w:ascii="黑体" w:hAnsi="黑体" w:eastAsia="黑体"/>
          <w:b w:val="0"/>
          <w:color w:val="auto"/>
        </w:rPr>
      </w:pPr>
      <w:r>
        <w:rPr>
          <w:rStyle w:val="30"/>
          <w:rFonts w:hint="eastAsia" w:ascii="黑体" w:hAnsi="黑体" w:eastAsia="黑体"/>
          <w:b w:val="0"/>
          <w:color w:val="auto"/>
        </w:rPr>
        <w:t>其他重要事项的情况说明</w:t>
      </w:r>
      <w:bookmarkEnd w:id="44"/>
      <w:bookmarkEnd w:id="45"/>
    </w:p>
    <w:p w14:paraId="5BBDD3AB">
      <w:pPr>
        <w:spacing w:line="600" w:lineRule="exact"/>
        <w:ind w:firstLine="643" w:firstLineChars="200"/>
        <w:outlineLvl w:val="2"/>
        <w:rPr>
          <w:rFonts w:ascii="仿宋" w:hAnsi="仿宋" w:eastAsia="仿宋"/>
          <w:color w:val="auto"/>
          <w:sz w:val="32"/>
          <w:szCs w:val="32"/>
        </w:rPr>
      </w:pPr>
      <w:bookmarkStart w:id="46" w:name="_Toc15377222"/>
      <w:r>
        <w:rPr>
          <w:rFonts w:hint="eastAsia" w:ascii="仿宋" w:hAnsi="仿宋" w:eastAsia="仿宋"/>
          <w:b/>
          <w:color w:val="auto"/>
          <w:sz w:val="32"/>
          <w:szCs w:val="32"/>
        </w:rPr>
        <w:t>（一）机关运行经费支出情况</w:t>
      </w:r>
      <w:bookmarkEnd w:id="46"/>
    </w:p>
    <w:p w14:paraId="66717C01">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lang w:val="en-US"/>
        </w:rPr>
      </w:pPr>
      <w:bookmarkStart w:id="47" w:name="_Toc15377223"/>
      <w:r>
        <w:rPr>
          <w:rFonts w:hint="eastAsia" w:ascii="仿宋_GB2312" w:hAnsi="Times New Roman" w:eastAsia="仿宋_GB2312" w:cs="仿宋_GB2312"/>
          <w:color w:val="auto"/>
          <w:kern w:val="2"/>
          <w:sz w:val="32"/>
          <w:szCs w:val="32"/>
          <w:lang w:val="en-US" w:eastAsia="zh-CN" w:bidi="ar"/>
        </w:rPr>
        <w:t>202</w:t>
      </w:r>
      <w:r>
        <w:rPr>
          <w:rFonts w:hint="eastAsia" w:ascii="仿宋_GB2312" w:eastAsia="仿宋_GB2312" w:cs="仿宋_GB2312"/>
          <w:color w:val="auto"/>
          <w:kern w:val="2"/>
          <w:sz w:val="32"/>
          <w:szCs w:val="32"/>
          <w:lang w:val="en-US" w:eastAsia="zh-CN" w:bidi="ar"/>
        </w:rPr>
        <w:t>1</w:t>
      </w:r>
      <w:r>
        <w:rPr>
          <w:rFonts w:hint="eastAsia" w:ascii="仿宋_GB2312" w:hAnsi="Times New Roman" w:eastAsia="仿宋_GB2312" w:cs="仿宋_GB2312"/>
          <w:color w:val="auto"/>
          <w:kern w:val="2"/>
          <w:sz w:val="32"/>
          <w:szCs w:val="32"/>
          <w:lang w:val="en-US" w:eastAsia="zh-CN" w:bidi="ar"/>
        </w:rPr>
        <w:t>年，我部门</w:t>
      </w:r>
      <w:r>
        <w:rPr>
          <w:rFonts w:hint="eastAsia" w:ascii="仿宋_GB2312" w:eastAsia="仿宋_GB2312" w:cs="仿宋_GB2312"/>
          <w:color w:val="auto"/>
          <w:kern w:val="2"/>
          <w:sz w:val="32"/>
          <w:szCs w:val="32"/>
          <w:lang w:val="en-US" w:eastAsia="zh-CN" w:bidi="ar"/>
        </w:rPr>
        <w:t>机关</w:t>
      </w:r>
      <w:r>
        <w:rPr>
          <w:rFonts w:hint="eastAsia" w:ascii="仿宋_GB2312" w:hAnsi="Times New Roman" w:eastAsia="仿宋_GB2312" w:cs="仿宋_GB2312"/>
          <w:color w:val="auto"/>
          <w:kern w:val="2"/>
          <w:sz w:val="32"/>
          <w:szCs w:val="32"/>
          <w:lang w:val="en-US" w:eastAsia="zh-CN" w:bidi="ar"/>
        </w:rPr>
        <w:t>运行经费支出0元，</w:t>
      </w:r>
      <w:r>
        <w:rPr>
          <w:rFonts w:hint="eastAsia" w:ascii="仿宋_GB2312" w:eastAsia="仿宋_GB2312" w:cs="仿宋_GB2312"/>
          <w:color w:val="auto"/>
          <w:kern w:val="2"/>
          <w:sz w:val="32"/>
          <w:szCs w:val="32"/>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lang w:val="en-US" w:eastAsia="zh-CN" w:bidi="ar"/>
        </w:rPr>
        <w:t>。主要原因是本单位为事业单位，</w:t>
      </w:r>
      <w:r>
        <w:rPr>
          <w:rFonts w:hint="eastAsia" w:ascii="仿宋_GB2312" w:eastAsia="仿宋_GB2312" w:cs="仿宋_GB2312"/>
          <w:color w:val="auto"/>
          <w:kern w:val="2"/>
          <w:sz w:val="32"/>
          <w:szCs w:val="32"/>
          <w:lang w:val="en-US" w:eastAsia="zh-CN" w:bidi="ar"/>
        </w:rPr>
        <w:t>未发生</w:t>
      </w:r>
      <w:r>
        <w:rPr>
          <w:rFonts w:hint="eastAsia" w:ascii="仿宋_GB2312" w:hAnsi="Times New Roman" w:eastAsia="仿宋_GB2312" w:cs="仿宋_GB2312"/>
          <w:color w:val="auto"/>
          <w:kern w:val="2"/>
          <w:sz w:val="32"/>
          <w:szCs w:val="32"/>
          <w:lang w:val="en-US" w:eastAsia="zh-CN" w:bidi="ar"/>
        </w:rPr>
        <w:t>机关运行经费支出。</w:t>
      </w:r>
    </w:p>
    <w:p w14:paraId="4D011A4C">
      <w:pPr>
        <w:autoSpaceDE w:val="0"/>
        <w:autoSpaceDN w:val="0"/>
        <w:adjustRightInd w:val="0"/>
        <w:spacing w:line="600" w:lineRule="exact"/>
        <w:ind w:firstLine="643" w:firstLineChars="200"/>
        <w:jc w:val="left"/>
        <w:outlineLvl w:val="2"/>
        <w:rPr>
          <w:rFonts w:ascii="仿宋" w:hAnsi="仿宋" w:eastAsia="仿宋"/>
          <w:b/>
          <w:color w:val="auto"/>
          <w:sz w:val="32"/>
          <w:szCs w:val="32"/>
        </w:rPr>
      </w:pPr>
      <w:r>
        <w:rPr>
          <w:rFonts w:hint="eastAsia" w:ascii="仿宋" w:hAnsi="仿宋" w:eastAsia="仿宋"/>
          <w:b/>
          <w:color w:val="auto"/>
          <w:sz w:val="32"/>
          <w:szCs w:val="32"/>
        </w:rPr>
        <w:t>（二）政府采购支出情况</w:t>
      </w:r>
      <w:bookmarkEnd w:id="47"/>
    </w:p>
    <w:p w14:paraId="04B43807">
      <w:pPr>
        <w:spacing w:line="600" w:lineRule="exact"/>
        <w:ind w:firstLine="640" w:firstLineChars="200"/>
        <w:rPr>
          <w:rFonts w:hint="default" w:ascii="仿宋_GB2312" w:eastAsia="仿宋_GB2312"/>
          <w:color w:val="auto"/>
          <w:sz w:val="32"/>
          <w:szCs w:val="32"/>
          <w:highlight w:val="yellow"/>
          <w:lang w:val="en-US" w:eastAsia="zh-CN"/>
        </w:rPr>
      </w:pPr>
      <w:r>
        <w:rPr>
          <w:rFonts w:ascii="仿宋_GB2312" w:eastAsia="仿宋_GB2312"/>
          <w:color w:val="auto"/>
          <w:sz w:val="32"/>
          <w:szCs w:val="32"/>
        </w:rPr>
        <w:t>20</w:t>
      </w:r>
      <w:r>
        <w:rPr>
          <w:rFonts w:hint="eastAsia" w:ascii="仿宋_GB2312" w:eastAsia="仿宋_GB2312"/>
          <w:color w:val="auto"/>
          <w:sz w:val="32"/>
          <w:szCs w:val="32"/>
        </w:rPr>
        <w:t>21年，我单位政府采购支出</w:t>
      </w:r>
      <w:r>
        <w:rPr>
          <w:rFonts w:hint="eastAsia" w:ascii="仿宋_GB2312" w:eastAsia="仿宋_GB2312"/>
          <w:color w:val="auto"/>
          <w:sz w:val="32"/>
          <w:szCs w:val="32"/>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lang w:val="en-US" w:eastAsia="zh-CN" w:bidi="ar"/>
        </w:rPr>
        <w:t>。</w:t>
      </w:r>
    </w:p>
    <w:p w14:paraId="75B65D87">
      <w:pPr>
        <w:autoSpaceDE w:val="0"/>
        <w:autoSpaceDN w:val="0"/>
        <w:adjustRightInd w:val="0"/>
        <w:spacing w:line="600" w:lineRule="exact"/>
        <w:ind w:firstLine="643" w:firstLineChars="200"/>
        <w:jc w:val="left"/>
        <w:outlineLvl w:val="2"/>
        <w:rPr>
          <w:rFonts w:ascii="仿宋" w:hAnsi="仿宋" w:eastAsia="仿宋"/>
          <w:b/>
          <w:color w:val="auto"/>
          <w:sz w:val="32"/>
          <w:szCs w:val="32"/>
        </w:rPr>
      </w:pPr>
      <w:bookmarkStart w:id="48" w:name="_Toc15377224"/>
      <w:r>
        <w:rPr>
          <w:rFonts w:hint="eastAsia" w:ascii="仿宋" w:hAnsi="仿宋" w:eastAsia="仿宋"/>
          <w:b/>
          <w:color w:val="auto"/>
          <w:sz w:val="32"/>
          <w:szCs w:val="32"/>
        </w:rPr>
        <w:t>（三）国有资产占有使用情况</w:t>
      </w:r>
      <w:bookmarkEnd w:id="48"/>
    </w:p>
    <w:p w14:paraId="67ADBB5C">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1BC2BDA4">
      <w:pPr>
        <w:pStyle w:val="2"/>
        <w:spacing w:before="93"/>
        <w:rPr>
          <w:color w:val="auto"/>
          <w:highlight w:val="yellow"/>
        </w:rPr>
      </w:pPr>
    </w:p>
    <w:p w14:paraId="4210E3C1">
      <w:pPr>
        <w:widowControl/>
        <w:jc w:val="left"/>
        <w:rPr>
          <w:rFonts w:ascii="仿宋_GB2312" w:eastAsia="仿宋_GB2312"/>
          <w:b/>
          <w:color w:val="auto"/>
          <w:sz w:val="32"/>
          <w:szCs w:val="32"/>
        </w:rPr>
      </w:pPr>
      <w:r>
        <w:rPr>
          <w:rFonts w:ascii="仿宋_GB2312" w:eastAsia="仿宋_GB2312"/>
          <w:b/>
          <w:color w:val="auto"/>
          <w:sz w:val="32"/>
          <w:szCs w:val="32"/>
        </w:rPr>
        <w:br w:type="page"/>
      </w:r>
    </w:p>
    <w:p w14:paraId="6EA73670">
      <w:pPr>
        <w:numPr>
          <w:ilvl w:val="0"/>
          <w:numId w:val="4"/>
        </w:numPr>
        <w:spacing w:line="600" w:lineRule="exact"/>
        <w:ind w:firstLine="660" w:firstLineChars="150"/>
        <w:jc w:val="center"/>
        <w:outlineLvl w:val="0"/>
        <w:rPr>
          <w:rStyle w:val="29"/>
          <w:rFonts w:ascii="黑体" w:hAnsi="黑体" w:eastAsia="黑体"/>
          <w:b w:val="0"/>
          <w:color w:val="auto"/>
        </w:rPr>
      </w:pPr>
      <w:bookmarkStart w:id="49" w:name="_Toc15377225"/>
      <w:bookmarkStart w:id="50" w:name="_Toc15396613"/>
      <w:r>
        <w:rPr>
          <w:rFonts w:hint="eastAsia" w:ascii="黑体" w:hAnsi="黑体" w:eastAsia="黑体"/>
          <w:color w:val="auto"/>
          <w:sz w:val="44"/>
          <w:szCs w:val="44"/>
        </w:rPr>
        <w:t>名</w:t>
      </w:r>
      <w:r>
        <w:rPr>
          <w:rStyle w:val="29"/>
          <w:rFonts w:hint="eastAsia" w:ascii="黑体" w:hAnsi="黑体" w:eastAsia="黑体"/>
          <w:b w:val="0"/>
          <w:color w:val="auto"/>
        </w:rPr>
        <w:t>词解释</w:t>
      </w:r>
      <w:bookmarkEnd w:id="49"/>
      <w:bookmarkEnd w:id="50"/>
    </w:p>
    <w:p w14:paraId="4ADC10AD">
      <w:pPr>
        <w:spacing w:line="600" w:lineRule="exact"/>
        <w:jc w:val="left"/>
        <w:rPr>
          <w:rFonts w:ascii="宋体"/>
          <w:b/>
          <w:color w:val="auto"/>
          <w:sz w:val="44"/>
          <w:szCs w:val="44"/>
        </w:rPr>
      </w:pPr>
    </w:p>
    <w:p w14:paraId="3EB30E3B">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567725A9">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14:paraId="4B920724">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15CAB583">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4</w:t>
      </w:r>
      <w:r>
        <w:rPr>
          <w:rFonts w:ascii="仿宋_GB2312" w:eastAsia="仿宋_GB2312"/>
          <w:color w:val="auto"/>
          <w:sz w:val="32"/>
          <w:szCs w:val="32"/>
        </w:rPr>
        <w:t>.</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49C1B66F">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5</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年末结转和结余：指单位按有关规定结转到下年或以后年度继续使用的资金。</w:t>
      </w:r>
    </w:p>
    <w:p w14:paraId="70727EFE">
      <w:pPr>
        <w:ind w:firstLine="640" w:firstLineChars="200"/>
        <w:rPr>
          <w:rFonts w:ascii="仿宋_GB2312" w:eastAsia="仿宋_GB2312"/>
          <w:color w:val="auto"/>
          <w:sz w:val="32"/>
          <w:szCs w:val="32"/>
        </w:rPr>
      </w:pPr>
      <w:r>
        <w:rPr>
          <w:rFonts w:hint="eastAsia" w:ascii="仿宋_GB2312" w:eastAsia="仿宋_GB2312"/>
          <w:color w:val="auto"/>
          <w:sz w:val="32"/>
          <w:szCs w:val="32"/>
        </w:rPr>
        <w:t>6</w:t>
      </w:r>
      <w:r>
        <w:rPr>
          <w:rFonts w:ascii="仿宋_GB2312" w:eastAsia="仿宋_GB2312"/>
          <w:color w:val="auto"/>
          <w:sz w:val="32"/>
          <w:szCs w:val="32"/>
        </w:rPr>
        <w:t>.</w:t>
      </w:r>
      <w:r>
        <w:rPr>
          <w:rFonts w:hint="eastAsia" w:ascii="仿宋_GB2312" w:eastAsia="仿宋_GB2312"/>
          <w:color w:val="auto"/>
          <w:sz w:val="32"/>
          <w:szCs w:val="32"/>
        </w:rPr>
        <w:t>教育（类）普通教育（款）小学教育（项）：指小学教育</w:t>
      </w:r>
      <w:r>
        <w:rPr>
          <w:rFonts w:hint="eastAsia" w:ascii="仿宋_GB2312" w:eastAsia="仿宋_GB2312"/>
          <w:color w:val="auto"/>
          <w:sz w:val="32"/>
          <w:szCs w:val="32"/>
          <w:lang w:eastAsia="zh-CN"/>
        </w:rPr>
        <w:t>支出</w:t>
      </w:r>
      <w:r>
        <w:rPr>
          <w:rFonts w:hint="eastAsia" w:ascii="仿宋_GB2312" w:eastAsia="仿宋_GB2312"/>
          <w:color w:val="auto"/>
          <w:sz w:val="32"/>
          <w:szCs w:val="32"/>
        </w:rPr>
        <w:t>。</w:t>
      </w:r>
    </w:p>
    <w:p w14:paraId="7850A21B">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7.教育（类）普通教育（款）其他</w:t>
      </w:r>
      <w:r>
        <w:rPr>
          <w:rFonts w:hint="eastAsia" w:ascii="仿宋_GB2312" w:eastAsia="仿宋_GB2312"/>
          <w:color w:val="auto"/>
          <w:sz w:val="32"/>
          <w:szCs w:val="32"/>
          <w:lang w:val="en-US" w:eastAsia="zh-CN"/>
        </w:rPr>
        <w:t>普通</w:t>
      </w:r>
      <w:r>
        <w:rPr>
          <w:rFonts w:hint="eastAsia" w:ascii="仿宋_GB2312" w:eastAsia="仿宋_GB2312"/>
          <w:color w:val="auto"/>
          <w:sz w:val="32"/>
          <w:szCs w:val="32"/>
        </w:rPr>
        <w:t>教育（项）：</w:t>
      </w:r>
      <w:r>
        <w:rPr>
          <w:rFonts w:hint="eastAsia" w:ascii="仿宋_GB2312" w:eastAsia="仿宋_GB2312"/>
          <w:color w:val="auto"/>
          <w:sz w:val="32"/>
          <w:szCs w:val="32"/>
          <w:lang w:val="en-US" w:eastAsia="zh-CN"/>
        </w:rPr>
        <w:t>指</w:t>
      </w:r>
      <w:r>
        <w:rPr>
          <w:rFonts w:hint="eastAsia" w:ascii="仿宋_GB2312" w:eastAsia="仿宋_GB2312"/>
          <w:color w:val="auto"/>
          <w:sz w:val="32"/>
          <w:szCs w:val="32"/>
        </w:rPr>
        <w:t>其他</w:t>
      </w:r>
      <w:r>
        <w:rPr>
          <w:rFonts w:hint="eastAsia" w:ascii="仿宋_GB2312" w:eastAsia="仿宋_GB2312"/>
          <w:color w:val="auto"/>
          <w:sz w:val="32"/>
          <w:szCs w:val="32"/>
          <w:lang w:val="en-US" w:eastAsia="zh-CN"/>
        </w:rPr>
        <w:t>普通</w:t>
      </w:r>
      <w:r>
        <w:rPr>
          <w:rFonts w:hint="eastAsia" w:ascii="仿宋_GB2312" w:eastAsia="仿宋_GB2312"/>
          <w:color w:val="auto"/>
          <w:sz w:val="32"/>
          <w:szCs w:val="32"/>
        </w:rPr>
        <w:t>教育。</w:t>
      </w:r>
    </w:p>
    <w:p w14:paraId="63D69C45">
      <w:pPr>
        <w:numPr>
          <w:ilvl w:val="0"/>
          <w:numId w:val="0"/>
        </w:num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8.社会保障和就业支出（类）行政事业单位养老支出（款）机关事业单位基本养老保险缴费支出（项）: 指机关事业单位实施养老保险制度由单位缴纳的基本养老保险费支出。</w:t>
      </w:r>
    </w:p>
    <w:p w14:paraId="4816B6DA">
      <w:pPr>
        <w:pStyle w:val="16"/>
        <w:ind w:left="0" w:leftChars="0" w:firstLine="640" w:firstLineChars="200"/>
        <w:rPr>
          <w:rFonts w:hint="eastAsia"/>
          <w:color w:val="auto"/>
          <w:lang w:val="en-US" w:eastAsia="zh-CN"/>
        </w:rPr>
      </w:pPr>
      <w:r>
        <w:rPr>
          <w:rFonts w:hint="eastAsia" w:ascii="仿宋_GB2312" w:hAnsi="Calibri" w:eastAsia="仿宋_GB2312" w:cs="仿宋"/>
          <w:color w:val="auto"/>
          <w:kern w:val="0"/>
          <w:sz w:val="32"/>
          <w:szCs w:val="32"/>
          <w:lang w:val="en-US" w:eastAsia="zh-CN" w:bidi="ar-SA"/>
        </w:rPr>
        <w:t>9.社会保障和就业支出（类）其他社会保障和就业支出（款）其他社会保障和就业支出（项）: 指其他用于社会保障和就业方面的支出。</w:t>
      </w:r>
    </w:p>
    <w:p w14:paraId="51789D22">
      <w:pPr>
        <w:pStyle w:val="2"/>
        <w:ind w:firstLine="640" w:firstLineChars="200"/>
        <w:rPr>
          <w:color w:val="auto"/>
        </w:rPr>
      </w:pPr>
      <w:r>
        <w:rPr>
          <w:rFonts w:hint="eastAsia" w:hAnsi="Calibri" w:cs="仿宋"/>
          <w:color w:val="auto"/>
          <w:kern w:val="0"/>
          <w:sz w:val="32"/>
          <w:szCs w:val="32"/>
          <w:lang w:val="en-US" w:eastAsia="zh-CN"/>
        </w:rPr>
        <w:t>10.</w:t>
      </w:r>
      <w:r>
        <w:rPr>
          <w:rFonts w:hint="eastAsia" w:ascii="仿宋_GB2312" w:hAnsi="Calibri" w:eastAsia="仿宋_GB2312" w:cs="仿宋"/>
          <w:color w:val="auto"/>
          <w:kern w:val="0"/>
          <w:sz w:val="32"/>
          <w:szCs w:val="32"/>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14:paraId="337CFB29">
      <w:pPr>
        <w:pStyle w:val="2"/>
        <w:ind w:firstLine="640" w:firstLineChars="200"/>
        <w:rPr>
          <w:color w:val="auto"/>
        </w:rPr>
      </w:pPr>
      <w:r>
        <w:rPr>
          <w:rFonts w:hint="eastAsia" w:hAnsi="Calibri" w:cs="仿宋"/>
          <w:color w:val="auto"/>
          <w:kern w:val="0"/>
          <w:sz w:val="32"/>
          <w:szCs w:val="32"/>
          <w:lang w:val="en-US" w:eastAsia="zh-CN"/>
        </w:rPr>
        <w:t>11.</w:t>
      </w:r>
      <w:r>
        <w:rPr>
          <w:rFonts w:hint="eastAsia" w:ascii="仿宋_GB2312" w:hAnsi="Calibri" w:eastAsia="仿宋_GB2312" w:cs="仿宋"/>
          <w:color w:val="auto"/>
          <w:kern w:val="0"/>
          <w:sz w:val="32"/>
          <w:szCs w:val="32"/>
          <w:lang w:val="en-US" w:eastAsia="zh-CN"/>
        </w:rPr>
        <w:t>住房保障支出（类）住房改革支出（款）住房公积金（项）：指行政事业单位按人力资源和社会保障部、财政部规定的基本工资和津贴补贴以及规定比例为职工缴纳的住房公积金。</w:t>
      </w:r>
    </w:p>
    <w:p w14:paraId="300524F2">
      <w:pPr>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12</w:t>
      </w:r>
      <w:r>
        <w:rPr>
          <w:rFonts w:ascii="仿宋_GB2312" w:eastAsia="仿宋_GB2312"/>
          <w:color w:val="auto"/>
          <w:sz w:val="32"/>
          <w:szCs w:val="32"/>
        </w:rPr>
        <w:t>.</w:t>
      </w:r>
      <w:r>
        <w:rPr>
          <w:rFonts w:hint="eastAsia" w:ascii="仿宋_GB2312" w:eastAsia="仿宋_GB2312"/>
          <w:color w:val="auto"/>
          <w:sz w:val="32"/>
          <w:szCs w:val="32"/>
        </w:rPr>
        <w:t>基本支出：指为保障机构正常运转、完成日常工作任务而发生的人员支出和公用支出。</w:t>
      </w:r>
    </w:p>
    <w:p w14:paraId="35B176FA">
      <w:pPr>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3</w:t>
      </w:r>
      <w:r>
        <w:rPr>
          <w:rFonts w:ascii="仿宋_GB2312" w:eastAsia="仿宋_GB2312"/>
          <w:color w:val="auto"/>
          <w:sz w:val="32"/>
          <w:szCs w:val="32"/>
        </w:rPr>
        <w:t>.</w:t>
      </w:r>
      <w:r>
        <w:rPr>
          <w:rFonts w:hint="eastAsia" w:ascii="仿宋_GB2312" w:eastAsia="仿宋_GB2312"/>
          <w:color w:val="auto"/>
          <w:sz w:val="32"/>
          <w:szCs w:val="32"/>
        </w:rPr>
        <w:t>项目支出：指在基本支出之外为完成特定行政任务和事业发展目标所发生的支出。</w:t>
      </w:r>
      <w:r>
        <w:rPr>
          <w:rFonts w:ascii="仿宋_GB2312" w:eastAsia="仿宋_GB2312"/>
          <w:color w:val="auto"/>
          <w:sz w:val="32"/>
          <w:szCs w:val="32"/>
        </w:rPr>
        <w:t xml:space="preserve"> </w:t>
      </w:r>
    </w:p>
    <w:p w14:paraId="06930C21">
      <w:pPr>
        <w:pStyle w:val="27"/>
        <w:spacing w:line="56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4</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14:paraId="042D056B">
      <w:pPr>
        <w:pStyle w:val="27"/>
        <w:spacing w:line="560" w:lineRule="exact"/>
        <w:ind w:firstLine="883" w:firstLineChars="200"/>
        <w:jc w:val="center"/>
        <w:rPr>
          <w:rStyle w:val="29"/>
          <w:rFonts w:ascii="黑体" w:hAnsi="黑体" w:eastAsia="黑体"/>
          <w:b w:val="0"/>
          <w:color w:val="auto"/>
        </w:rPr>
      </w:pPr>
      <w:r>
        <w:rPr>
          <w:rFonts w:ascii="宋体"/>
          <w:b/>
          <w:color w:val="auto"/>
          <w:sz w:val="44"/>
          <w:szCs w:val="44"/>
        </w:rPr>
        <w:br w:type="page"/>
      </w:r>
      <w:bookmarkStart w:id="52" w:name="_Toc15396614"/>
      <w:r>
        <w:rPr>
          <w:rFonts w:hint="eastAsia" w:ascii="黑体" w:hAnsi="黑体" w:eastAsia="黑体"/>
          <w:color w:val="auto"/>
          <w:sz w:val="44"/>
          <w:szCs w:val="44"/>
        </w:rPr>
        <w:t>第</w:t>
      </w:r>
      <w:r>
        <w:rPr>
          <w:rStyle w:val="29"/>
          <w:rFonts w:hint="eastAsia" w:ascii="黑体" w:hAnsi="黑体" w:eastAsia="黑体"/>
          <w:b w:val="0"/>
          <w:color w:val="auto"/>
        </w:rPr>
        <w:t>四部分 附件</w:t>
      </w:r>
      <w:bookmarkEnd w:id="52"/>
    </w:p>
    <w:p w14:paraId="2922F9FE">
      <w:pPr>
        <w:spacing w:line="572" w:lineRule="exact"/>
        <w:jc w:val="left"/>
        <w:outlineLvl w:val="0"/>
        <w:rPr>
          <w:rFonts w:hint="eastAsia" w:ascii="仿宋_GB2312" w:hAnsi="仿宋_GB2312" w:eastAsia="黑体" w:cs="仿宋_GB2312"/>
          <w:color w:val="auto"/>
          <w:sz w:val="32"/>
          <w:szCs w:val="32"/>
          <w:lang w:val="en-US" w:eastAsia="zh-CN"/>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1</w:t>
      </w:r>
      <w:bookmarkStart w:id="53" w:name="_Toc15396618"/>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7C3B49D5">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25E547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lang w:eastAsia="zh-CN"/>
              </w:rPr>
            </w:pPr>
            <w:r>
              <w:rPr>
                <w:rFonts w:hint="eastAsia" w:ascii="宋体" w:hAnsi="宋体" w:cs="宋体"/>
                <w:b/>
                <w:color w:val="auto"/>
                <w:sz w:val="32"/>
                <w:szCs w:val="32"/>
              </w:rPr>
              <w:t>2021年部门预算项目绩效目标自评</w:t>
            </w:r>
            <w:r>
              <w:rPr>
                <w:rFonts w:hint="eastAsia" w:ascii="宋体" w:hAnsi="宋体" w:cs="宋体"/>
                <w:b/>
                <w:color w:val="auto"/>
                <w:sz w:val="32"/>
                <w:szCs w:val="32"/>
                <w:lang w:eastAsia="zh-CN"/>
              </w:rPr>
              <w:t>（校舍</w:t>
            </w:r>
            <w:r>
              <w:rPr>
                <w:rFonts w:hint="eastAsia" w:ascii="宋体" w:hAnsi="宋体" w:cs="宋体"/>
                <w:b/>
                <w:color w:val="auto"/>
                <w:sz w:val="32"/>
                <w:szCs w:val="32"/>
                <w:lang w:val="en-US" w:eastAsia="zh-CN"/>
              </w:rPr>
              <w:t>安全保障</w:t>
            </w:r>
            <w:r>
              <w:rPr>
                <w:rFonts w:hint="eastAsia" w:ascii="宋体" w:hAnsi="宋体" w:cs="宋体"/>
                <w:b/>
                <w:color w:val="auto"/>
                <w:sz w:val="32"/>
                <w:szCs w:val="32"/>
                <w:lang w:eastAsia="zh-CN"/>
              </w:rPr>
              <w:t>）</w:t>
            </w:r>
          </w:p>
        </w:tc>
        <w:tc>
          <w:tcPr>
            <w:tcW w:w="236" w:type="dxa"/>
            <w:tcBorders>
              <w:top w:val="nil"/>
              <w:left w:val="nil"/>
              <w:bottom w:val="nil"/>
              <w:right w:val="nil"/>
            </w:tcBorders>
            <w:shd w:val="clear" w:color="auto" w:fill="auto"/>
            <w:vAlign w:val="center"/>
          </w:tcPr>
          <w:p w14:paraId="04133FB0">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rPr>
            </w:pPr>
          </w:p>
        </w:tc>
      </w:tr>
      <w:tr w14:paraId="39FDEDE6">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32F3A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779D8">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360309</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2C406">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6959F">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lang w:eastAsia="zh-CN"/>
              </w:rPr>
            </w:pPr>
            <w:r>
              <w:rPr>
                <w:rFonts w:hint="eastAsia" w:ascii="宋体" w:hAnsi="宋体" w:cs="宋体"/>
                <w:color w:val="auto"/>
                <w:sz w:val="24"/>
                <w:lang w:eastAsia="zh-CN"/>
              </w:rPr>
              <w:t>广元市昭化区实验小学</w:t>
            </w:r>
          </w:p>
        </w:tc>
      </w:tr>
      <w:tr w14:paraId="0A3742FE">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EA22E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rPr>
            </w:pPr>
            <w:r>
              <w:rPr>
                <w:rFonts w:hint="eastAsia" w:ascii="宋体" w:hAnsi="宋体" w:cs="宋体"/>
                <w:color w:val="auto"/>
                <w:kern w:val="0"/>
                <w:sz w:val="24"/>
              </w:rPr>
              <w:t>项目预算</w:t>
            </w:r>
          </w:p>
          <w:p w14:paraId="3F5D87BC">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rPr>
            </w:pPr>
            <w:r>
              <w:rPr>
                <w:rFonts w:hint="eastAsia" w:ascii="宋体" w:hAnsi="宋体" w:cs="宋体"/>
                <w:color w:val="auto"/>
                <w:kern w:val="0"/>
                <w:sz w:val="24"/>
              </w:rPr>
              <w:t>执行情况</w:t>
            </w:r>
          </w:p>
          <w:p w14:paraId="60A452AA">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8D202">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765ED">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340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A26EB">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A2AE8">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340</w:t>
            </w:r>
          </w:p>
        </w:tc>
      </w:tr>
      <w:tr w14:paraId="68F2DDC7">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00BAD">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4A819">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rPr>
            </w:pPr>
            <w:r>
              <w:rPr>
                <w:rFonts w:hint="eastAsia" w:ascii="宋体" w:hAnsi="宋体" w:cs="宋体"/>
                <w:color w:val="auto"/>
                <w:kern w:val="0"/>
                <w:sz w:val="24"/>
              </w:rPr>
              <w:t>其中：</w:t>
            </w:r>
          </w:p>
          <w:p w14:paraId="66BDBF72">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AAF5">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lang w:val="en-US"/>
              </w:rPr>
            </w:pPr>
            <w:r>
              <w:rPr>
                <w:rFonts w:hint="eastAsia" w:ascii="宋体" w:hAnsi="宋体" w:cs="宋体"/>
                <w:color w:val="auto"/>
                <w:sz w:val="24"/>
                <w:lang w:val="en-US" w:eastAsia="zh-CN"/>
              </w:rPr>
              <w:t>340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68A0">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rPr>
            </w:pPr>
            <w:r>
              <w:rPr>
                <w:rFonts w:hint="eastAsia" w:ascii="宋体" w:hAnsi="宋体" w:cs="宋体"/>
                <w:color w:val="auto"/>
                <w:kern w:val="0"/>
                <w:sz w:val="24"/>
              </w:rPr>
              <w:t>其中：</w:t>
            </w:r>
          </w:p>
          <w:p w14:paraId="5277446C">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71CA">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lang w:val="en-US"/>
              </w:rPr>
            </w:pPr>
            <w:r>
              <w:rPr>
                <w:rFonts w:hint="eastAsia" w:ascii="宋体" w:hAnsi="宋体" w:cs="宋体"/>
                <w:color w:val="auto"/>
                <w:sz w:val="24"/>
                <w:lang w:val="en-US" w:eastAsia="zh-CN"/>
              </w:rPr>
              <w:t>340</w:t>
            </w:r>
          </w:p>
        </w:tc>
      </w:tr>
      <w:tr w14:paraId="3540F402">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F8FFB">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FA979">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50B4">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D0F06">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rPr>
            </w:pPr>
            <w:r>
              <w:rPr>
                <w:rFonts w:hint="eastAsia" w:ascii="宋体" w:hAnsi="宋体" w:cs="宋体"/>
                <w:color w:val="auto"/>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8D021">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lang w:val="en-US" w:eastAsia="zh-CN"/>
              </w:rPr>
            </w:pPr>
          </w:p>
        </w:tc>
      </w:tr>
      <w:tr w14:paraId="6DB66A50">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174CC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rPr>
            </w:pPr>
            <w:r>
              <w:rPr>
                <w:rFonts w:hint="eastAsia" w:ascii="宋体" w:hAnsi="宋体" w:cs="宋体"/>
                <w:color w:val="auto"/>
                <w:kern w:val="0"/>
                <w:sz w:val="24"/>
              </w:rPr>
              <w:t>年度总体目标</w:t>
            </w:r>
          </w:p>
          <w:p w14:paraId="2159EF5F">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43754C">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E76E86">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rPr>
            </w:pPr>
            <w:r>
              <w:rPr>
                <w:rFonts w:hint="eastAsia" w:ascii="宋体" w:hAnsi="宋体" w:cs="宋体"/>
                <w:color w:val="auto"/>
                <w:kern w:val="0"/>
                <w:sz w:val="24"/>
              </w:rPr>
              <w:t>目标实际完成情况</w:t>
            </w:r>
          </w:p>
        </w:tc>
      </w:tr>
      <w:tr w14:paraId="61F8AEC3">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285C9">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69EA2119">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lang w:eastAsia="zh-CN"/>
              </w:rPr>
            </w:pPr>
            <w:r>
              <w:rPr>
                <w:rFonts w:hint="eastAsia" w:ascii="宋体" w:hAnsi="宋体" w:cs="宋体"/>
                <w:color w:val="auto"/>
                <w:sz w:val="22"/>
                <w:szCs w:val="22"/>
                <w:lang w:eastAsia="zh-CN"/>
              </w:rPr>
              <w:t>校舍维修面积</w:t>
            </w:r>
            <w:r>
              <w:rPr>
                <w:rFonts w:hint="eastAsia" w:ascii="宋体" w:hAnsi="宋体" w:cs="宋体"/>
                <w:color w:val="auto"/>
                <w:sz w:val="22"/>
                <w:szCs w:val="22"/>
                <w:lang w:val="en-US" w:eastAsia="zh-CN"/>
              </w:rPr>
              <w:t>4304</w:t>
            </w:r>
            <w:r>
              <w:rPr>
                <w:rFonts w:hint="default" w:ascii="宋体" w:hAnsi="宋体" w:cs="宋体"/>
                <w:color w:val="auto"/>
                <w:sz w:val="22"/>
                <w:szCs w:val="22"/>
              </w:rPr>
              <w:t>平方米，改善学校办学条件和基础设施配套，提供高质量硬件设施设备，营造良好的学习氛围</w:t>
            </w:r>
            <w:r>
              <w:rPr>
                <w:rFonts w:hint="eastAsia" w:ascii="宋体" w:hAnsi="宋体" w:cs="宋体"/>
                <w:color w:val="auto"/>
                <w:sz w:val="22"/>
                <w:szCs w:val="22"/>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2CA4A026">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lang w:eastAsia="zh-CN"/>
              </w:rPr>
            </w:pPr>
            <w:r>
              <w:rPr>
                <w:rFonts w:hint="eastAsia" w:ascii="宋体" w:hAnsi="宋体" w:eastAsia="宋体" w:cs="宋体"/>
                <w:color w:val="auto"/>
                <w:sz w:val="22"/>
                <w:szCs w:val="22"/>
                <w:lang w:eastAsia="zh-CN"/>
              </w:rPr>
              <w:t>完成</w:t>
            </w:r>
            <w:r>
              <w:rPr>
                <w:rFonts w:hint="eastAsia" w:ascii="宋体" w:hAnsi="宋体" w:cs="宋体"/>
                <w:color w:val="auto"/>
                <w:sz w:val="22"/>
                <w:szCs w:val="22"/>
                <w:lang w:val="en-US" w:eastAsia="zh-CN"/>
              </w:rPr>
              <w:t>4304</w:t>
            </w:r>
            <w:r>
              <w:rPr>
                <w:rFonts w:hint="default" w:ascii="宋体" w:hAnsi="宋体" w:cs="宋体"/>
                <w:color w:val="auto"/>
                <w:sz w:val="22"/>
                <w:szCs w:val="22"/>
              </w:rPr>
              <w:t>平方米</w:t>
            </w:r>
            <w:r>
              <w:rPr>
                <w:rFonts w:hint="eastAsia" w:ascii="宋体" w:hAnsi="宋体" w:cs="宋体"/>
                <w:color w:val="auto"/>
                <w:sz w:val="22"/>
                <w:szCs w:val="22"/>
                <w:lang w:eastAsia="zh-CN"/>
              </w:rPr>
              <w:t>的校舍维修，</w:t>
            </w:r>
            <w:r>
              <w:rPr>
                <w:rFonts w:hint="default" w:ascii="宋体" w:hAnsi="宋体" w:cs="宋体"/>
                <w:color w:val="auto"/>
                <w:sz w:val="22"/>
                <w:szCs w:val="22"/>
              </w:rPr>
              <w:t>改善</w:t>
            </w:r>
            <w:r>
              <w:rPr>
                <w:rFonts w:hint="eastAsia" w:ascii="宋体" w:hAnsi="宋体" w:cs="宋体"/>
                <w:color w:val="auto"/>
                <w:sz w:val="22"/>
                <w:szCs w:val="22"/>
                <w:lang w:eastAsia="zh-CN"/>
              </w:rPr>
              <w:t>了</w:t>
            </w:r>
            <w:r>
              <w:rPr>
                <w:rFonts w:hint="default" w:ascii="宋体" w:hAnsi="宋体" w:cs="宋体"/>
                <w:color w:val="auto"/>
                <w:sz w:val="22"/>
                <w:szCs w:val="22"/>
              </w:rPr>
              <w:t>学校办学条件和基础设施配套，提供</w:t>
            </w:r>
            <w:r>
              <w:rPr>
                <w:rFonts w:hint="eastAsia" w:ascii="宋体" w:hAnsi="宋体" w:cs="宋体"/>
                <w:color w:val="auto"/>
                <w:sz w:val="22"/>
                <w:szCs w:val="22"/>
                <w:lang w:eastAsia="zh-CN"/>
              </w:rPr>
              <w:t>了</w:t>
            </w:r>
            <w:r>
              <w:rPr>
                <w:rFonts w:hint="default" w:ascii="宋体" w:hAnsi="宋体" w:cs="宋体"/>
                <w:color w:val="auto"/>
                <w:sz w:val="22"/>
                <w:szCs w:val="22"/>
              </w:rPr>
              <w:t>高质量硬件设施设备，营造</w:t>
            </w:r>
            <w:r>
              <w:rPr>
                <w:rFonts w:hint="eastAsia" w:ascii="宋体" w:hAnsi="宋体" w:cs="宋体"/>
                <w:color w:val="auto"/>
                <w:sz w:val="22"/>
                <w:szCs w:val="22"/>
                <w:lang w:eastAsia="zh-CN"/>
              </w:rPr>
              <w:t>了</w:t>
            </w:r>
            <w:r>
              <w:rPr>
                <w:rFonts w:hint="default" w:ascii="宋体" w:hAnsi="宋体" w:cs="宋体"/>
                <w:color w:val="auto"/>
                <w:sz w:val="22"/>
                <w:szCs w:val="22"/>
              </w:rPr>
              <w:t>良好的学习氛围</w:t>
            </w:r>
            <w:r>
              <w:rPr>
                <w:rFonts w:hint="eastAsia" w:ascii="宋体" w:hAnsi="宋体" w:cs="宋体"/>
                <w:color w:val="auto"/>
                <w:sz w:val="22"/>
                <w:szCs w:val="22"/>
                <w:lang w:eastAsia="zh-CN"/>
              </w:rPr>
              <w:t>，</w:t>
            </w:r>
            <w:r>
              <w:rPr>
                <w:rFonts w:hint="eastAsia" w:ascii="宋体" w:hAnsi="宋体" w:eastAsia="宋体" w:cs="宋体"/>
                <w:color w:val="auto"/>
                <w:sz w:val="22"/>
                <w:szCs w:val="22"/>
                <w:lang w:eastAsia="zh-CN"/>
              </w:rPr>
              <w:t>惠及</w:t>
            </w:r>
            <w:r>
              <w:rPr>
                <w:rFonts w:hint="eastAsia" w:ascii="宋体" w:hAnsi="宋体" w:cs="宋体"/>
                <w:color w:val="auto"/>
                <w:sz w:val="22"/>
                <w:szCs w:val="22"/>
                <w:lang w:val="en-US" w:eastAsia="zh-CN"/>
              </w:rPr>
              <w:t>642</w:t>
            </w:r>
            <w:r>
              <w:rPr>
                <w:rFonts w:hint="eastAsia" w:ascii="宋体" w:hAnsi="宋体" w:eastAsia="宋体" w:cs="宋体"/>
                <w:color w:val="auto"/>
                <w:sz w:val="22"/>
                <w:szCs w:val="22"/>
                <w:lang w:eastAsia="zh-CN"/>
              </w:rPr>
              <w:t>名学生。</w:t>
            </w:r>
          </w:p>
        </w:tc>
      </w:tr>
      <w:tr w14:paraId="599F67D8">
        <w:tblPrEx>
          <w:tblCellMar>
            <w:top w:w="0" w:type="dxa"/>
            <w:left w:w="108" w:type="dxa"/>
            <w:bottom w:w="0" w:type="dxa"/>
            <w:right w:w="108" w:type="dxa"/>
          </w:tblCellMar>
        </w:tblPrEx>
        <w:trPr>
          <w:gridAfter w:val="1"/>
          <w:wAfter w:w="236" w:type="dxa"/>
          <w:trHeight w:val="64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1C63EC12">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5B2FE9CA">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一级</w:t>
            </w:r>
          </w:p>
          <w:p w14:paraId="29D909F5">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62F2">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二级</w:t>
            </w:r>
          </w:p>
          <w:p w14:paraId="61C8E9D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AB153">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三级</w:t>
            </w:r>
          </w:p>
          <w:p w14:paraId="4E9B7107">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82FAE">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366E">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实际完成指标值</w:t>
            </w:r>
          </w:p>
        </w:tc>
      </w:tr>
      <w:tr w14:paraId="32669917">
        <w:tblPrEx>
          <w:tblCellMar>
            <w:top w:w="0" w:type="dxa"/>
            <w:left w:w="108" w:type="dxa"/>
            <w:bottom w:w="0" w:type="dxa"/>
            <w:right w:w="108" w:type="dxa"/>
          </w:tblCellMar>
        </w:tblPrEx>
        <w:trPr>
          <w:gridAfter w:val="1"/>
          <w:wAfter w:w="236" w:type="dxa"/>
          <w:trHeight w:val="491" w:hRule="atLeast"/>
        </w:trPr>
        <w:tc>
          <w:tcPr>
            <w:tcW w:w="1113" w:type="dxa"/>
            <w:vMerge w:val="continue"/>
            <w:tcBorders>
              <w:left w:val="single" w:color="000000" w:sz="4" w:space="0"/>
              <w:right w:val="single" w:color="000000" w:sz="4" w:space="0"/>
            </w:tcBorders>
            <w:shd w:val="clear" w:color="auto" w:fill="auto"/>
            <w:vAlign w:val="center"/>
          </w:tcPr>
          <w:p w14:paraId="2F545BA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E2DF4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完成</w:t>
            </w:r>
          </w:p>
          <w:p w14:paraId="1C77B4B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06D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1E132">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495C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4304m²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D6F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4304m²</w:t>
            </w:r>
          </w:p>
        </w:tc>
      </w:tr>
      <w:tr w14:paraId="7B9BD2F2">
        <w:tblPrEx>
          <w:tblCellMar>
            <w:top w:w="0" w:type="dxa"/>
            <w:left w:w="108" w:type="dxa"/>
            <w:bottom w:w="0" w:type="dxa"/>
            <w:right w:w="108" w:type="dxa"/>
          </w:tblCellMar>
        </w:tblPrEx>
        <w:trPr>
          <w:gridAfter w:val="1"/>
          <w:wAfter w:w="236" w:type="dxa"/>
          <w:trHeight w:val="535" w:hRule="atLeast"/>
        </w:trPr>
        <w:tc>
          <w:tcPr>
            <w:tcW w:w="1113" w:type="dxa"/>
            <w:vMerge w:val="continue"/>
            <w:tcBorders>
              <w:left w:val="single" w:color="000000" w:sz="4" w:space="0"/>
              <w:right w:val="single" w:color="000000" w:sz="4" w:space="0"/>
            </w:tcBorders>
            <w:shd w:val="clear" w:color="auto" w:fill="auto"/>
            <w:vAlign w:val="center"/>
          </w:tcPr>
          <w:p w14:paraId="72F5304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F884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436878F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E2041">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校舍安全保障</w:t>
            </w:r>
            <w:r>
              <w:rPr>
                <w:rFonts w:hint="default" w:ascii="仿宋_GB2312" w:hAnsi="仿宋_GB2312" w:eastAsia="仿宋_GB2312" w:cs="仿宋_GB2312"/>
                <w:color w:val="auto"/>
                <w:sz w:val="20"/>
                <w:szCs w:val="20"/>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0450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9C46">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sz w:val="20"/>
                <w:szCs w:val="20"/>
                <w:lang w:val="en-US" w:eastAsia="zh-CN"/>
              </w:rPr>
              <w:t>100%</w:t>
            </w:r>
          </w:p>
        </w:tc>
      </w:tr>
      <w:tr w14:paraId="50A3BFC2">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14:paraId="2BA31CC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AF59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vMerge w:val="continue"/>
            <w:tcBorders>
              <w:left w:val="single" w:color="000000" w:sz="4" w:space="0"/>
              <w:right w:val="single" w:color="000000" w:sz="4" w:space="0"/>
            </w:tcBorders>
            <w:shd w:val="clear" w:color="auto" w:fill="auto"/>
            <w:vAlign w:val="center"/>
          </w:tcPr>
          <w:p w14:paraId="76D79BF3">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D1BA7">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校舍安全保障</w:t>
            </w:r>
            <w:r>
              <w:rPr>
                <w:rFonts w:hint="default" w:ascii="仿宋_GB2312" w:hAnsi="仿宋_GB2312" w:eastAsia="仿宋_GB2312" w:cs="仿宋_GB2312"/>
                <w:color w:val="auto"/>
                <w:sz w:val="20"/>
                <w:szCs w:val="20"/>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05C5F">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lang w:val="en-US" w:eastAsia="zh-CN" w:bidi="ar-SA"/>
              </w:rPr>
            </w:pPr>
            <w:r>
              <w:rPr>
                <w:rFonts w:hint="default" w:ascii="仿宋_GB2312" w:hAnsi="仿宋_GB2312" w:eastAsia="仿宋_GB2312" w:cs="仿宋_GB2312"/>
                <w:color w:val="auto"/>
                <w:sz w:val="20"/>
                <w:szCs w:val="20"/>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6DA64">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lang w:val="en-US" w:eastAsia="zh-CN" w:bidi="ar-SA"/>
              </w:rPr>
            </w:pPr>
            <w:r>
              <w:rPr>
                <w:rFonts w:hint="default" w:ascii="仿宋_GB2312" w:hAnsi="仿宋_GB2312" w:eastAsia="仿宋_GB2312" w:cs="仿宋_GB2312"/>
                <w:color w:val="auto"/>
                <w:sz w:val="20"/>
                <w:szCs w:val="20"/>
              </w:rPr>
              <w:t>合格</w:t>
            </w:r>
          </w:p>
        </w:tc>
      </w:tr>
      <w:tr w14:paraId="6561E850">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1A90B53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B9BA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25BCBC72">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2684">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2419">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lang w:val="en-US" w:eastAsia="zh-CN" w:bidi="ar-SA"/>
              </w:rPr>
            </w:pPr>
            <w:r>
              <w:rPr>
                <w:rFonts w:hint="default" w:ascii="仿宋_GB2312" w:hAnsi="仿宋_GB2312" w:eastAsia="仿宋_GB2312" w:cs="仿宋_GB2312"/>
                <w:color w:val="auto"/>
                <w:sz w:val="20"/>
                <w:szCs w:val="20"/>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9C4B0">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lang w:val="en-US" w:eastAsia="zh-CN" w:bidi="ar-SA"/>
              </w:rPr>
            </w:pPr>
            <w:r>
              <w:rPr>
                <w:rFonts w:hint="default" w:ascii="仿宋_GB2312" w:hAnsi="仿宋_GB2312" w:eastAsia="仿宋_GB2312" w:cs="仿宋_GB2312"/>
                <w:color w:val="auto"/>
                <w:sz w:val="20"/>
                <w:szCs w:val="20"/>
              </w:rPr>
              <w:t>合格</w:t>
            </w:r>
          </w:p>
        </w:tc>
      </w:tr>
      <w:tr w14:paraId="7AA8D3E1">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14:paraId="07D34D9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918D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481C37C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9C584">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校舍安全保障建设周期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62ED1">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1E1A">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1年</w:t>
            </w:r>
          </w:p>
        </w:tc>
      </w:tr>
      <w:tr w14:paraId="7A4D21E0">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14:paraId="223E0E8C">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F50A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5475143C">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DA5F5">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0A8DE">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6个月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96360">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6个月</w:t>
            </w:r>
          </w:p>
        </w:tc>
      </w:tr>
      <w:tr w14:paraId="266481A5">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14:paraId="6FDFD2A2">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3833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77A3AF3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DE10C">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校舍安全保障</w:t>
            </w:r>
            <w:r>
              <w:rPr>
                <w:rFonts w:hint="default" w:ascii="仿宋_GB2312" w:hAnsi="仿宋_GB2312" w:eastAsia="仿宋_GB2312" w:cs="仿宋_GB2312"/>
                <w:color w:val="auto"/>
                <w:sz w:val="20"/>
                <w:szCs w:val="20"/>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CD9C4">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7758">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lang w:val="en-US"/>
              </w:rPr>
            </w:pPr>
            <w:r>
              <w:rPr>
                <w:rFonts w:hint="eastAsia" w:ascii="仿宋_GB2312" w:hAnsi="仿宋_GB2312" w:eastAsia="仿宋_GB2312" w:cs="仿宋_GB2312"/>
                <w:color w:val="auto"/>
                <w:sz w:val="20"/>
                <w:szCs w:val="20"/>
                <w:lang w:val="en-US" w:eastAsia="zh-CN"/>
              </w:rPr>
              <w:t>790元</w:t>
            </w:r>
          </w:p>
        </w:tc>
      </w:tr>
      <w:tr w14:paraId="03A3E631">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4AAD8BF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082A036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效益</w:t>
            </w:r>
          </w:p>
          <w:p w14:paraId="34834CE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2CFACE9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3925657A">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AE5A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073A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有效</w:t>
            </w:r>
          </w:p>
        </w:tc>
      </w:tr>
      <w:tr w14:paraId="3DDF95F0">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6863F2BF">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left w:val="single" w:color="000000" w:sz="4" w:space="0"/>
              <w:right w:val="single" w:color="auto" w:sz="4" w:space="0"/>
            </w:tcBorders>
            <w:shd w:val="clear" w:color="auto" w:fill="auto"/>
            <w:vAlign w:val="center"/>
          </w:tcPr>
          <w:p w14:paraId="2AAD3182">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31560AA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生态效益</w:t>
            </w:r>
          </w:p>
          <w:p w14:paraId="63972A8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119B04FB">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9F2F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6D60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有效</w:t>
            </w:r>
          </w:p>
        </w:tc>
      </w:tr>
      <w:tr w14:paraId="68C79CBD">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1C5EC8F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332D141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1945F80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65829FD3">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3E8E4">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EC90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有效</w:t>
            </w:r>
          </w:p>
        </w:tc>
      </w:tr>
      <w:tr w14:paraId="7813BF8C">
        <w:tblPrEx>
          <w:tblCellMar>
            <w:top w:w="0" w:type="dxa"/>
            <w:left w:w="108" w:type="dxa"/>
            <w:bottom w:w="0" w:type="dxa"/>
            <w:right w:w="108" w:type="dxa"/>
          </w:tblCellMar>
        </w:tblPrEx>
        <w:trPr>
          <w:gridAfter w:val="1"/>
          <w:wAfter w:w="236" w:type="dxa"/>
          <w:trHeight w:val="610" w:hRule="atLeast"/>
        </w:trPr>
        <w:tc>
          <w:tcPr>
            <w:tcW w:w="1113" w:type="dxa"/>
            <w:vMerge w:val="continue"/>
            <w:tcBorders>
              <w:left w:val="single" w:color="000000" w:sz="4" w:space="0"/>
              <w:right w:val="single" w:color="000000" w:sz="4" w:space="0"/>
            </w:tcBorders>
            <w:shd w:val="clear" w:color="auto" w:fill="auto"/>
            <w:vAlign w:val="center"/>
          </w:tcPr>
          <w:p w14:paraId="3054735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4D140A6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满意</w:t>
            </w:r>
          </w:p>
          <w:p w14:paraId="444FB0B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CD622D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满意度</w:t>
            </w:r>
          </w:p>
          <w:p w14:paraId="0C346D6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8B7C">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404B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6F6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96%</w:t>
            </w:r>
          </w:p>
        </w:tc>
      </w:tr>
      <w:tr w14:paraId="406A130F">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4CD6C75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06F8694F">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36A5EB">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2280">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F52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rPr>
            </w:pPr>
            <w:r>
              <w:rPr>
                <w:rFonts w:hint="default" w:ascii="仿宋_GB2312" w:hAnsi="仿宋_GB2312" w:eastAsia="仿宋_GB2312" w:cs="仿宋_GB2312"/>
                <w:color w:val="auto"/>
                <w:sz w:val="20"/>
                <w:szCs w:val="20"/>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920D3">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97%</w:t>
            </w:r>
          </w:p>
        </w:tc>
      </w:tr>
    </w:tbl>
    <w:p w14:paraId="2C6AD3A1">
      <w:pPr>
        <w:spacing w:line="600" w:lineRule="exact"/>
        <w:jc w:val="center"/>
        <w:outlineLvl w:val="0"/>
        <w:rPr>
          <w:rFonts w:ascii="仿宋" w:hAnsi="仿宋" w:eastAsia="仿宋"/>
          <w:color w:val="auto"/>
        </w:rPr>
      </w:pPr>
      <w:r>
        <w:rPr>
          <w:rFonts w:hint="eastAsia" w:ascii="黑体" w:hAnsi="黑体" w:eastAsia="黑体"/>
          <w:color w:val="auto"/>
          <w:sz w:val="44"/>
          <w:szCs w:val="44"/>
        </w:rPr>
        <w:t>第</w:t>
      </w:r>
      <w:r>
        <w:rPr>
          <w:rStyle w:val="29"/>
          <w:rFonts w:hint="eastAsia" w:ascii="黑体" w:hAnsi="黑体" w:eastAsia="黑体"/>
          <w:b w:val="0"/>
          <w:color w:val="auto"/>
        </w:rPr>
        <w:t>五部分 附表</w:t>
      </w:r>
      <w:bookmarkEnd w:id="51"/>
      <w:bookmarkEnd w:id="53"/>
      <w:bookmarkStart w:id="54" w:name="_Toc15396619"/>
    </w:p>
    <w:p w14:paraId="22D741D4">
      <w:pPr>
        <w:pStyle w:val="4"/>
        <w:rPr>
          <w:rFonts w:ascii="仿宋" w:hAnsi="仿宋" w:eastAsia="仿宋"/>
          <w:color w:val="auto"/>
        </w:rPr>
      </w:pPr>
      <w:r>
        <w:rPr>
          <w:rFonts w:hint="eastAsia" w:ascii="仿宋" w:hAnsi="仿宋" w:eastAsia="仿宋"/>
          <w:b w:val="0"/>
          <w:color w:val="auto"/>
        </w:rPr>
        <w:t>一、收</w:t>
      </w:r>
      <w:r>
        <w:rPr>
          <w:rStyle w:val="30"/>
          <w:rFonts w:hint="eastAsia" w:ascii="仿宋" w:hAnsi="仿宋" w:eastAsia="仿宋"/>
          <w:b w:val="0"/>
          <w:bCs w:val="0"/>
          <w:color w:val="auto"/>
        </w:rPr>
        <w:t>入支出决算总表</w:t>
      </w:r>
      <w:bookmarkEnd w:id="54"/>
    </w:p>
    <w:p w14:paraId="7476B84D">
      <w:pPr>
        <w:pStyle w:val="4"/>
        <w:rPr>
          <w:rFonts w:ascii="仿宋" w:hAnsi="仿宋" w:eastAsia="仿宋"/>
          <w:color w:val="auto"/>
        </w:rPr>
      </w:pPr>
      <w:bookmarkStart w:id="55" w:name="_Toc15396620"/>
      <w:r>
        <w:rPr>
          <w:rFonts w:hint="eastAsia" w:ascii="仿宋" w:hAnsi="仿宋" w:eastAsia="仿宋"/>
          <w:b w:val="0"/>
          <w:color w:val="auto"/>
        </w:rPr>
        <w:t>二、收</w:t>
      </w:r>
      <w:r>
        <w:rPr>
          <w:rStyle w:val="30"/>
          <w:rFonts w:hint="eastAsia" w:ascii="仿宋" w:hAnsi="仿宋" w:eastAsia="仿宋"/>
          <w:b w:val="0"/>
          <w:bCs w:val="0"/>
          <w:color w:val="auto"/>
        </w:rPr>
        <w:t>入决算表</w:t>
      </w:r>
      <w:bookmarkEnd w:id="55"/>
    </w:p>
    <w:p w14:paraId="1D64BF4A">
      <w:pPr>
        <w:pStyle w:val="4"/>
        <w:rPr>
          <w:rFonts w:ascii="仿宋" w:hAnsi="仿宋" w:eastAsia="仿宋"/>
          <w:color w:val="auto"/>
        </w:rPr>
      </w:pPr>
      <w:bookmarkStart w:id="56" w:name="_Toc15396621"/>
      <w:r>
        <w:rPr>
          <w:rStyle w:val="30"/>
          <w:rFonts w:hint="eastAsia" w:ascii="仿宋" w:hAnsi="仿宋" w:eastAsia="仿宋"/>
          <w:b w:val="0"/>
          <w:bCs w:val="0"/>
          <w:color w:val="auto"/>
        </w:rPr>
        <w:t>三、</w:t>
      </w:r>
      <w:r>
        <w:rPr>
          <w:rFonts w:hint="eastAsia" w:ascii="仿宋" w:hAnsi="仿宋" w:eastAsia="仿宋"/>
          <w:b w:val="0"/>
          <w:color w:val="auto"/>
        </w:rPr>
        <w:t>支</w:t>
      </w:r>
      <w:r>
        <w:rPr>
          <w:rStyle w:val="30"/>
          <w:rFonts w:hint="eastAsia" w:ascii="仿宋" w:hAnsi="仿宋" w:eastAsia="仿宋"/>
          <w:b w:val="0"/>
          <w:bCs w:val="0"/>
          <w:color w:val="auto"/>
        </w:rPr>
        <w:t>出决算表</w:t>
      </w:r>
      <w:bookmarkEnd w:id="56"/>
    </w:p>
    <w:p w14:paraId="7FB8CA55">
      <w:pPr>
        <w:pStyle w:val="4"/>
        <w:rPr>
          <w:rFonts w:ascii="仿宋" w:hAnsi="仿宋" w:eastAsia="仿宋"/>
          <w:b w:val="0"/>
          <w:color w:val="auto"/>
        </w:rPr>
      </w:pPr>
      <w:bookmarkStart w:id="57" w:name="_Toc15396622"/>
      <w:r>
        <w:rPr>
          <w:rStyle w:val="30"/>
          <w:rFonts w:hint="eastAsia" w:ascii="仿宋" w:hAnsi="仿宋" w:eastAsia="仿宋"/>
          <w:b w:val="0"/>
          <w:bCs w:val="0"/>
          <w:color w:val="auto"/>
        </w:rPr>
        <w:t>四、</w:t>
      </w:r>
      <w:r>
        <w:rPr>
          <w:rFonts w:hint="eastAsia" w:ascii="仿宋" w:hAnsi="仿宋" w:eastAsia="仿宋"/>
          <w:b w:val="0"/>
          <w:color w:val="auto"/>
        </w:rPr>
        <w:t>财</w:t>
      </w:r>
      <w:r>
        <w:rPr>
          <w:rStyle w:val="30"/>
          <w:rFonts w:hint="eastAsia" w:ascii="仿宋" w:hAnsi="仿宋" w:eastAsia="仿宋"/>
          <w:b w:val="0"/>
          <w:bCs w:val="0"/>
          <w:color w:val="auto"/>
        </w:rPr>
        <w:t>政拨款收入支出决算总表</w:t>
      </w:r>
      <w:bookmarkEnd w:id="57"/>
    </w:p>
    <w:p w14:paraId="102F5C12">
      <w:pPr>
        <w:pStyle w:val="4"/>
        <w:rPr>
          <w:rStyle w:val="30"/>
          <w:rFonts w:ascii="仿宋" w:hAnsi="仿宋" w:eastAsia="仿宋"/>
          <w:b w:val="0"/>
          <w:bCs w:val="0"/>
          <w:color w:val="auto"/>
        </w:rPr>
      </w:pPr>
      <w:bookmarkStart w:id="58" w:name="_Toc15396623"/>
      <w:r>
        <w:rPr>
          <w:rStyle w:val="30"/>
          <w:rFonts w:hint="eastAsia" w:ascii="仿宋" w:hAnsi="仿宋" w:eastAsia="仿宋"/>
          <w:b w:val="0"/>
          <w:bCs w:val="0"/>
          <w:color w:val="auto"/>
        </w:rPr>
        <w:t>五、</w:t>
      </w:r>
      <w:r>
        <w:rPr>
          <w:rFonts w:hint="eastAsia" w:ascii="仿宋" w:hAnsi="仿宋" w:eastAsia="仿宋"/>
          <w:b w:val="0"/>
          <w:color w:val="auto"/>
        </w:rPr>
        <w:t>财</w:t>
      </w:r>
      <w:r>
        <w:rPr>
          <w:rStyle w:val="30"/>
          <w:rFonts w:hint="eastAsia" w:ascii="仿宋" w:hAnsi="仿宋" w:eastAsia="仿宋"/>
          <w:b w:val="0"/>
          <w:bCs w:val="0"/>
          <w:color w:val="auto"/>
        </w:rPr>
        <w:t>政拨款支出决算明细表</w:t>
      </w:r>
      <w:bookmarkEnd w:id="58"/>
      <w:bookmarkStart w:id="59" w:name="_Toc15396624"/>
    </w:p>
    <w:p w14:paraId="7E2AF9C8">
      <w:pPr>
        <w:pStyle w:val="4"/>
        <w:rPr>
          <w:rFonts w:ascii="仿宋" w:hAnsi="仿宋" w:eastAsia="仿宋"/>
          <w:color w:val="auto"/>
        </w:rPr>
      </w:pPr>
      <w:r>
        <w:rPr>
          <w:rStyle w:val="30"/>
          <w:rFonts w:hint="eastAsia" w:ascii="仿宋" w:hAnsi="仿宋" w:eastAsia="仿宋"/>
          <w:b w:val="0"/>
          <w:bCs w:val="0"/>
          <w:color w:val="auto"/>
        </w:rPr>
        <w:t>六、</w:t>
      </w:r>
      <w:r>
        <w:rPr>
          <w:rFonts w:hint="eastAsia" w:ascii="仿宋" w:hAnsi="仿宋" w:eastAsia="仿宋"/>
          <w:b w:val="0"/>
          <w:color w:val="auto"/>
        </w:rPr>
        <w:t>一</w:t>
      </w:r>
      <w:r>
        <w:rPr>
          <w:rStyle w:val="30"/>
          <w:rFonts w:hint="eastAsia" w:ascii="仿宋" w:hAnsi="仿宋" w:eastAsia="仿宋"/>
          <w:b w:val="0"/>
          <w:bCs w:val="0"/>
          <w:color w:val="auto"/>
        </w:rPr>
        <w:t>般公共预算财政拨款支出决算表</w:t>
      </w:r>
      <w:bookmarkEnd w:id="59"/>
    </w:p>
    <w:p w14:paraId="5D21A887">
      <w:pPr>
        <w:pStyle w:val="4"/>
        <w:rPr>
          <w:rFonts w:ascii="仿宋" w:hAnsi="仿宋" w:eastAsia="仿宋"/>
          <w:color w:val="auto"/>
        </w:rPr>
      </w:pPr>
      <w:bookmarkStart w:id="60" w:name="_Toc15396625"/>
      <w:r>
        <w:rPr>
          <w:rStyle w:val="30"/>
          <w:rFonts w:hint="eastAsia" w:ascii="仿宋" w:hAnsi="仿宋" w:eastAsia="仿宋"/>
          <w:b w:val="0"/>
          <w:bCs w:val="0"/>
          <w:color w:val="auto"/>
        </w:rPr>
        <w:t>七、</w:t>
      </w:r>
      <w:r>
        <w:rPr>
          <w:rFonts w:hint="eastAsia" w:ascii="仿宋" w:hAnsi="仿宋" w:eastAsia="仿宋"/>
          <w:b w:val="0"/>
          <w:color w:val="auto"/>
        </w:rPr>
        <w:t>一</w:t>
      </w:r>
      <w:r>
        <w:rPr>
          <w:rStyle w:val="30"/>
          <w:rFonts w:hint="eastAsia" w:ascii="仿宋" w:hAnsi="仿宋" w:eastAsia="仿宋"/>
          <w:b w:val="0"/>
          <w:bCs w:val="0"/>
          <w:color w:val="auto"/>
        </w:rPr>
        <w:t>般公共预算财政拨款支出决算明细表</w:t>
      </w:r>
      <w:bookmarkEnd w:id="60"/>
    </w:p>
    <w:p w14:paraId="0C6F6C7E">
      <w:pPr>
        <w:pStyle w:val="4"/>
        <w:rPr>
          <w:rFonts w:ascii="仿宋" w:hAnsi="仿宋" w:eastAsia="仿宋"/>
          <w:color w:val="auto"/>
        </w:rPr>
      </w:pPr>
      <w:bookmarkStart w:id="61" w:name="_Toc15396626"/>
      <w:r>
        <w:rPr>
          <w:rStyle w:val="30"/>
          <w:rFonts w:hint="eastAsia" w:ascii="仿宋" w:hAnsi="仿宋" w:eastAsia="仿宋"/>
          <w:b w:val="0"/>
          <w:bCs w:val="0"/>
          <w:color w:val="auto"/>
        </w:rPr>
        <w:t>八、</w:t>
      </w:r>
      <w:r>
        <w:rPr>
          <w:rFonts w:hint="eastAsia" w:ascii="仿宋" w:hAnsi="仿宋" w:eastAsia="仿宋"/>
          <w:b w:val="0"/>
          <w:color w:val="auto"/>
        </w:rPr>
        <w:t>一</w:t>
      </w:r>
      <w:r>
        <w:rPr>
          <w:rStyle w:val="30"/>
          <w:rFonts w:hint="eastAsia" w:ascii="仿宋" w:hAnsi="仿宋" w:eastAsia="仿宋"/>
          <w:b w:val="0"/>
          <w:bCs w:val="0"/>
          <w:color w:val="auto"/>
        </w:rPr>
        <w:t>般公共预算财政拨款基本支出决算表</w:t>
      </w:r>
      <w:bookmarkEnd w:id="61"/>
    </w:p>
    <w:p w14:paraId="450CEF00">
      <w:pPr>
        <w:pStyle w:val="4"/>
        <w:rPr>
          <w:rFonts w:ascii="仿宋" w:hAnsi="仿宋" w:eastAsia="仿宋"/>
          <w:color w:val="auto"/>
        </w:rPr>
      </w:pPr>
      <w:bookmarkStart w:id="62" w:name="_Toc15396627"/>
      <w:r>
        <w:rPr>
          <w:rStyle w:val="30"/>
          <w:rFonts w:hint="eastAsia" w:ascii="仿宋" w:hAnsi="仿宋" w:eastAsia="仿宋"/>
          <w:b w:val="0"/>
          <w:bCs w:val="0"/>
          <w:color w:val="auto"/>
        </w:rPr>
        <w:t>九、</w:t>
      </w:r>
      <w:r>
        <w:rPr>
          <w:rFonts w:hint="eastAsia" w:ascii="仿宋" w:hAnsi="仿宋" w:eastAsia="仿宋"/>
          <w:b w:val="0"/>
          <w:color w:val="auto"/>
        </w:rPr>
        <w:t>一</w:t>
      </w:r>
      <w:r>
        <w:rPr>
          <w:rStyle w:val="30"/>
          <w:rFonts w:hint="eastAsia" w:ascii="仿宋" w:hAnsi="仿宋" w:eastAsia="仿宋"/>
          <w:b w:val="0"/>
          <w:bCs w:val="0"/>
          <w:color w:val="auto"/>
        </w:rPr>
        <w:t>般公共预算财政拨款项目支出决算表</w:t>
      </w:r>
      <w:bookmarkEnd w:id="62"/>
    </w:p>
    <w:p w14:paraId="0521E0EF">
      <w:pPr>
        <w:pStyle w:val="4"/>
        <w:rPr>
          <w:rFonts w:ascii="仿宋" w:hAnsi="仿宋" w:eastAsia="仿宋"/>
          <w:color w:val="auto"/>
        </w:rPr>
      </w:pPr>
      <w:bookmarkStart w:id="63" w:name="_Toc15396628"/>
      <w:r>
        <w:rPr>
          <w:rStyle w:val="30"/>
          <w:rFonts w:hint="eastAsia" w:ascii="仿宋" w:hAnsi="仿宋" w:eastAsia="仿宋"/>
          <w:b w:val="0"/>
          <w:bCs w:val="0"/>
          <w:color w:val="auto"/>
        </w:rPr>
        <w:t>十、</w:t>
      </w:r>
      <w:r>
        <w:rPr>
          <w:rFonts w:hint="eastAsia" w:ascii="仿宋" w:hAnsi="仿宋" w:eastAsia="仿宋"/>
          <w:b w:val="0"/>
          <w:color w:val="auto"/>
        </w:rPr>
        <w:t>一</w:t>
      </w:r>
      <w:r>
        <w:rPr>
          <w:rStyle w:val="30"/>
          <w:rFonts w:hint="eastAsia" w:ascii="仿宋" w:hAnsi="仿宋" w:eastAsia="仿宋"/>
          <w:b w:val="0"/>
          <w:bCs w:val="0"/>
          <w:color w:val="auto"/>
        </w:rPr>
        <w:t>般公共预算财政拨款“三公”经费支出决算表</w:t>
      </w:r>
      <w:bookmarkEnd w:id="63"/>
    </w:p>
    <w:p w14:paraId="70BC04AA">
      <w:pPr>
        <w:pStyle w:val="4"/>
        <w:rPr>
          <w:rFonts w:ascii="仿宋" w:hAnsi="仿宋" w:eastAsia="仿宋"/>
          <w:color w:val="auto"/>
        </w:rPr>
      </w:pPr>
      <w:bookmarkStart w:id="64" w:name="_Toc15396629"/>
      <w:r>
        <w:rPr>
          <w:rStyle w:val="30"/>
          <w:rFonts w:hint="eastAsia" w:ascii="仿宋" w:hAnsi="仿宋" w:eastAsia="仿宋"/>
          <w:b w:val="0"/>
          <w:bCs w:val="0"/>
          <w:color w:val="auto"/>
        </w:rPr>
        <w:t>十一、</w:t>
      </w:r>
      <w:r>
        <w:rPr>
          <w:rFonts w:hint="eastAsia" w:ascii="仿宋" w:hAnsi="仿宋" w:eastAsia="仿宋"/>
          <w:b w:val="0"/>
          <w:color w:val="auto"/>
        </w:rPr>
        <w:t>政</w:t>
      </w:r>
      <w:r>
        <w:rPr>
          <w:rStyle w:val="30"/>
          <w:rFonts w:hint="eastAsia" w:ascii="仿宋" w:hAnsi="仿宋" w:eastAsia="仿宋"/>
          <w:b w:val="0"/>
          <w:bCs w:val="0"/>
          <w:color w:val="auto"/>
        </w:rPr>
        <w:t>府性基金预算财政拨款收入支出决算表</w:t>
      </w:r>
      <w:bookmarkEnd w:id="64"/>
    </w:p>
    <w:p w14:paraId="6E3A9E16">
      <w:pPr>
        <w:pStyle w:val="4"/>
        <w:rPr>
          <w:rFonts w:ascii="仿宋" w:hAnsi="仿宋" w:eastAsia="仿宋"/>
          <w:color w:val="auto"/>
        </w:rPr>
      </w:pPr>
      <w:bookmarkStart w:id="65" w:name="_Toc15396630"/>
      <w:r>
        <w:rPr>
          <w:rStyle w:val="30"/>
          <w:rFonts w:hint="eastAsia" w:ascii="仿宋" w:hAnsi="仿宋" w:eastAsia="仿宋"/>
          <w:b w:val="0"/>
          <w:bCs w:val="0"/>
          <w:color w:val="auto"/>
        </w:rPr>
        <w:t>十二、</w:t>
      </w:r>
      <w:r>
        <w:rPr>
          <w:rFonts w:hint="eastAsia" w:ascii="仿宋" w:hAnsi="仿宋" w:eastAsia="仿宋"/>
          <w:b w:val="0"/>
          <w:color w:val="auto"/>
        </w:rPr>
        <w:t>政</w:t>
      </w:r>
      <w:r>
        <w:rPr>
          <w:rStyle w:val="30"/>
          <w:rFonts w:hint="eastAsia" w:ascii="仿宋" w:hAnsi="仿宋" w:eastAsia="仿宋"/>
          <w:b w:val="0"/>
          <w:bCs w:val="0"/>
          <w:color w:val="auto"/>
        </w:rPr>
        <w:t>府性基金预算财政拨款“三公”经费支出决算表</w:t>
      </w:r>
      <w:bookmarkEnd w:id="65"/>
    </w:p>
    <w:p w14:paraId="7A55BF99">
      <w:pPr>
        <w:pStyle w:val="4"/>
        <w:rPr>
          <w:rStyle w:val="30"/>
          <w:rFonts w:ascii="仿宋" w:hAnsi="仿宋" w:eastAsia="仿宋"/>
          <w:b w:val="0"/>
          <w:bCs w:val="0"/>
          <w:color w:val="auto"/>
        </w:rPr>
      </w:pPr>
      <w:bookmarkStart w:id="66" w:name="_Toc15396631"/>
      <w:r>
        <w:rPr>
          <w:rStyle w:val="30"/>
          <w:rFonts w:hint="eastAsia" w:ascii="仿宋" w:hAnsi="仿宋" w:eastAsia="仿宋"/>
          <w:b w:val="0"/>
          <w:bCs w:val="0"/>
          <w:color w:val="auto"/>
        </w:rPr>
        <w:t>十三、</w:t>
      </w:r>
      <w:r>
        <w:rPr>
          <w:rFonts w:hint="eastAsia" w:ascii="仿宋" w:hAnsi="仿宋" w:eastAsia="仿宋"/>
          <w:b w:val="0"/>
          <w:color w:val="auto"/>
        </w:rPr>
        <w:t>国</w:t>
      </w:r>
      <w:r>
        <w:rPr>
          <w:rStyle w:val="30"/>
          <w:rFonts w:hint="eastAsia" w:ascii="仿宋" w:hAnsi="仿宋" w:eastAsia="仿宋"/>
          <w:b w:val="0"/>
          <w:bCs w:val="0"/>
          <w:color w:val="auto"/>
        </w:rPr>
        <w:t>有资本经营预算财政拨款收入支出决算表</w:t>
      </w:r>
      <w:bookmarkEnd w:id="66"/>
    </w:p>
    <w:p w14:paraId="03AFCE05">
      <w:pPr>
        <w:rPr>
          <w:rFonts w:eastAsia="仿宋"/>
          <w:color w:val="auto"/>
        </w:rPr>
      </w:pPr>
      <w:r>
        <w:rPr>
          <w:rStyle w:val="30"/>
          <w:rFonts w:hint="eastAsia" w:ascii="仿宋" w:hAnsi="仿宋" w:eastAsia="仿宋"/>
          <w:b w:val="0"/>
          <w:bCs w:val="0"/>
          <w:color w:val="auto"/>
        </w:rPr>
        <w:t>十四、国有资本经营预算财政拨款支出决算表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12AD37-24FC-428F-A0C8-B254C20BE3B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52F0B08-748D-402A-941A-BFA84C63201C}"/>
  </w:font>
  <w:font w:name="Cambria">
    <w:panose1 w:val="02040503050406030204"/>
    <w:charset w:val="00"/>
    <w:family w:val="roman"/>
    <w:pitch w:val="default"/>
    <w:sig w:usb0="E00006FF" w:usb1="420024FF" w:usb2="02000000" w:usb3="00000000" w:csb0="2000019F" w:csb1="00000000"/>
    <w:embedRegular r:id="rId3" w:fontKey="{B31CFC52-27E1-4942-BAA3-0D65ABD4B19B}"/>
  </w:font>
  <w:font w:name="仿宋_GB2312">
    <w:altName w:val="仿宋"/>
    <w:panose1 w:val="00000000000000000000"/>
    <w:charset w:val="86"/>
    <w:family w:val="modern"/>
    <w:pitch w:val="default"/>
    <w:sig w:usb0="00000000" w:usb1="00000000" w:usb2="00000000" w:usb3="00000000" w:csb0="00040000" w:csb1="00000000"/>
    <w:embedRegular r:id="rId4" w:fontKey="{09CF1E70-1AD9-44F2-9921-14BEE5745F25}"/>
  </w:font>
  <w:font w:name="仿宋">
    <w:panose1 w:val="02010609060101010101"/>
    <w:charset w:val="86"/>
    <w:family w:val="auto"/>
    <w:pitch w:val="default"/>
    <w:sig w:usb0="800002BF" w:usb1="38CF7CFA" w:usb2="00000016" w:usb3="00000000" w:csb0="00040001" w:csb1="00000000"/>
    <w:embedRegular r:id="rId5" w:fontKey="{1AB798D8-8DCD-4AAF-85FE-59827D6752AF}"/>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6" w:fontKey="{F7F0C501-96AC-4A7D-A0A2-8240D768F8B5}"/>
  </w:font>
  <w:font w:name="方正小标宋_GBK">
    <w:panose1 w:val="02000000000000000000"/>
    <w:charset w:val="86"/>
    <w:family w:val="auto"/>
    <w:pitch w:val="default"/>
    <w:sig w:usb0="A00002BF" w:usb1="38CF7CFA" w:usb2="00082016" w:usb3="00000000" w:csb0="00040001" w:csb1="00000000"/>
    <w:embedRegular r:id="rId7" w:fontKey="{B770E286-087D-4C7E-BCF6-2A4AFD74257E}"/>
  </w:font>
  <w:font w:name="楷体_GB2312">
    <w:panose1 w:val="02010609030101010101"/>
    <w:charset w:val="86"/>
    <w:family w:val="modern"/>
    <w:pitch w:val="default"/>
    <w:sig w:usb0="00000001" w:usb1="080E0000" w:usb2="00000000" w:usb3="00000000" w:csb0="00040000" w:csb1="00000000"/>
    <w:embedRegular r:id="rId8" w:fontKey="{0F2D4764-BA5D-49A0-BC0A-9C1DFED0B2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532B813B">
        <w:pPr>
          <w:pStyle w:val="11"/>
          <w:jc w:val="center"/>
        </w:pPr>
        <w:r>
          <w:fldChar w:fldCharType="begin"/>
        </w:r>
        <w:r>
          <w:instrText xml:space="preserve">PAGE   \* MERGEFORMAT</w:instrText>
        </w:r>
        <w:r>
          <w:fldChar w:fldCharType="separate"/>
        </w:r>
        <w:r>
          <w:rPr>
            <w:lang w:val="zh-CN"/>
          </w:rPr>
          <w:t>12</w:t>
        </w:r>
        <w:r>
          <w:fldChar w:fldCharType="end"/>
        </w:r>
      </w:p>
    </w:sdtContent>
  </w:sdt>
  <w:p w14:paraId="767B0FD8">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0F764">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xM2Y4NGI5MTg4NGU4YmQ5Y2VjMzM5Y2JkZGU0OTI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E8505A"/>
    <w:rsid w:val="07AD2313"/>
    <w:rsid w:val="0A2032A3"/>
    <w:rsid w:val="0B5F2031"/>
    <w:rsid w:val="0B8A37D8"/>
    <w:rsid w:val="0E9F6A72"/>
    <w:rsid w:val="0EC71F0D"/>
    <w:rsid w:val="10C055FF"/>
    <w:rsid w:val="11164575"/>
    <w:rsid w:val="112C7A85"/>
    <w:rsid w:val="118107EC"/>
    <w:rsid w:val="11DD6519"/>
    <w:rsid w:val="12910332"/>
    <w:rsid w:val="157E27B0"/>
    <w:rsid w:val="16BB723D"/>
    <w:rsid w:val="177D300F"/>
    <w:rsid w:val="179B3F36"/>
    <w:rsid w:val="18015F3F"/>
    <w:rsid w:val="1BE8440E"/>
    <w:rsid w:val="1D155CEE"/>
    <w:rsid w:val="1D7E5E8C"/>
    <w:rsid w:val="20F57F95"/>
    <w:rsid w:val="23066A21"/>
    <w:rsid w:val="23C9303F"/>
    <w:rsid w:val="240371BF"/>
    <w:rsid w:val="24D54B4E"/>
    <w:rsid w:val="25C741E6"/>
    <w:rsid w:val="26AF1DD7"/>
    <w:rsid w:val="2745349C"/>
    <w:rsid w:val="27842671"/>
    <w:rsid w:val="29FD04D3"/>
    <w:rsid w:val="2ABE7A3E"/>
    <w:rsid w:val="2BAE4DE0"/>
    <w:rsid w:val="2C0D4D5A"/>
    <w:rsid w:val="2EFA178C"/>
    <w:rsid w:val="2FA8323D"/>
    <w:rsid w:val="30B46D73"/>
    <w:rsid w:val="319F7F4E"/>
    <w:rsid w:val="32E05DEF"/>
    <w:rsid w:val="353C0D20"/>
    <w:rsid w:val="36BD7C93"/>
    <w:rsid w:val="39AE70AB"/>
    <w:rsid w:val="3C0C0783"/>
    <w:rsid w:val="3F795B0E"/>
    <w:rsid w:val="3F9F3A96"/>
    <w:rsid w:val="40EC2740"/>
    <w:rsid w:val="48F25739"/>
    <w:rsid w:val="493C27E9"/>
    <w:rsid w:val="496F39ED"/>
    <w:rsid w:val="49DC3DB7"/>
    <w:rsid w:val="49FF41D3"/>
    <w:rsid w:val="4A185DC8"/>
    <w:rsid w:val="4B15132F"/>
    <w:rsid w:val="4BE068DB"/>
    <w:rsid w:val="4BF6002B"/>
    <w:rsid w:val="4ECE2238"/>
    <w:rsid w:val="4FD61684"/>
    <w:rsid w:val="503645ED"/>
    <w:rsid w:val="508F3649"/>
    <w:rsid w:val="51DB4B86"/>
    <w:rsid w:val="52FB5859"/>
    <w:rsid w:val="54E029AD"/>
    <w:rsid w:val="55333C3E"/>
    <w:rsid w:val="55B70916"/>
    <w:rsid w:val="58737E60"/>
    <w:rsid w:val="59D83BFB"/>
    <w:rsid w:val="5E940E16"/>
    <w:rsid w:val="5EEF25B2"/>
    <w:rsid w:val="60EE7955"/>
    <w:rsid w:val="61120392"/>
    <w:rsid w:val="648315CB"/>
    <w:rsid w:val="64A80084"/>
    <w:rsid w:val="64CA39A1"/>
    <w:rsid w:val="65B126BB"/>
    <w:rsid w:val="695452C0"/>
    <w:rsid w:val="6B2313EE"/>
    <w:rsid w:val="6C131793"/>
    <w:rsid w:val="6C4A05C8"/>
    <w:rsid w:val="6C6E6699"/>
    <w:rsid w:val="6EDA0CDC"/>
    <w:rsid w:val="72734D90"/>
    <w:rsid w:val="727D7081"/>
    <w:rsid w:val="72E456B5"/>
    <w:rsid w:val="73F41B79"/>
    <w:rsid w:val="74E366CA"/>
    <w:rsid w:val="79E7B28D"/>
    <w:rsid w:val="7AC82E51"/>
    <w:rsid w:val="7B390C4C"/>
    <w:rsid w:val="7BFA24EA"/>
    <w:rsid w:val="7CAB154F"/>
    <w:rsid w:val="7EB6055A"/>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1369.18</c:v>
                </c:pt>
                <c:pt idx="1">
                  <c:v>1148.31</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1369.18</c:v>
                </c:pt>
                <c:pt idx="1">
                  <c:v>1148.31</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b4b700ab-9d2b-48be-b0ee-56e189870162}"/>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strCache>
            </c:strRef>
          </c:cat>
          <c:val>
            <c:numRef>
              <c:f>Sheet1!$B$2:$B$3</c:f>
              <c:numCache>
                <c:formatCode>0.00%</c:formatCode>
                <c:ptCount val="2"/>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c513a02-d66a-4f8d-af45-46875f16a1d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70.39</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29.61</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808.31</c:v>
                </c:pt>
                <c:pt idx="1">
                  <c:v>340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b1d098fe-e16f-4abc-9786-5af882ab98a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1369.18</c:v>
                </c:pt>
                <c:pt idx="1">
                  <c:v>1148.31</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1369.18</c:v>
                </c:pt>
                <c:pt idx="1">
                  <c:v>1148.31</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e4073a87-b247-4340-b0c7-997f0c75f6f4}"/>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1369.18</c:v>
                </c:pt>
                <c:pt idx="1">
                  <c:v>1148.31</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fda4084-742a-44a4-8009-a7c8c7f6f493}"/>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a9d15d4-aaa4-46d8-9b2d-9998fb8d7b42}"/>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37553a89-6bf6-48e8-8f8e-a419005af194}"/>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4760</Words>
  <Characters>5054</Characters>
  <Lines>47</Lines>
  <Paragraphs>13</Paragraphs>
  <TotalTime>14</TotalTime>
  <ScaleCrop>false</ScaleCrop>
  <LinksUpToDate>false</LinksUpToDate>
  <CharactersWithSpaces>5114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2024-12-18T01:17:33Z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D632DBFC831C41A99AAF1C394CCA78F6_13</vt:lpwstr>
  </property>
</Properties>
</file>