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auto"/>
          <w:sz w:val="72"/>
          <w:szCs w:val="72"/>
          <w:highlight w:val="none"/>
        </w:rPr>
      </w:pPr>
      <w:bookmarkStart w:id="0" w:name="_Toc15306267"/>
      <w:bookmarkStart w:id="67" w:name="_GoBack"/>
      <w:bookmarkEnd w:id="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96475"/>
      <w:bookmarkStart w:id="2" w:name="_Toc15396597"/>
      <w:bookmarkStart w:id="3" w:name="_Toc15377425"/>
      <w:bookmarkStart w:id="4" w:name="_Toc15378441"/>
      <w:bookmarkStart w:id="5" w:name="_Toc15377193"/>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6" w:name="_Toc15378442"/>
      <w:bookmarkStart w:id="7" w:name="_Toc15396598"/>
      <w:bookmarkStart w:id="8" w:name="_Toc15377194"/>
      <w:bookmarkStart w:id="9" w:name="_Toc15396476"/>
      <w:bookmarkStart w:id="10" w:name="_Toc15377426"/>
      <w:r>
        <w:rPr>
          <w:rFonts w:hint="eastAsia" w:ascii="方正小标宋_GBK" w:hAnsi="方正小标宋_GBK" w:eastAsia="方正小标宋_GBK" w:cs="方正小标宋_GBK"/>
          <w:color w:val="auto"/>
          <w:sz w:val="72"/>
          <w:szCs w:val="72"/>
          <w:highlight w:val="none"/>
        </w:rPr>
        <w:t>四川省</w:t>
      </w:r>
      <w:bookmarkEnd w:id="0"/>
      <w:bookmarkStart w:id="11" w:name="_Toc15306268"/>
      <w:r>
        <w:rPr>
          <w:rFonts w:hint="eastAsia" w:ascii="方正小标宋_GBK" w:hAnsi="方正小标宋_GBK" w:eastAsia="方正小标宋_GBK" w:cs="方正小标宋_GBK"/>
          <w:color w:val="auto"/>
          <w:sz w:val="72"/>
          <w:szCs w:val="72"/>
          <w:highlight w:val="none"/>
        </w:rPr>
        <w:t>广元市昭化区</w:t>
      </w:r>
      <w:r>
        <w:rPr>
          <w:rFonts w:hint="eastAsia" w:ascii="方正小标宋_GBK" w:hAnsi="方正小标宋_GBK" w:eastAsia="方正小标宋_GBK" w:cs="方正小标宋_GBK"/>
          <w:color w:val="auto"/>
          <w:sz w:val="72"/>
          <w:szCs w:val="72"/>
          <w:highlight w:val="none"/>
          <w:lang w:eastAsia="zh-CN"/>
        </w:rPr>
        <w:t>元坝镇第一小学</w:t>
      </w:r>
      <w:r>
        <w:rPr>
          <w:rFonts w:hint="eastAsia" w:ascii="方正小标宋_GBK" w:hAnsi="方正小标宋_GBK" w:eastAsia="方正小标宋_GBK" w:cs="方正小标宋_GBK"/>
          <w:color w:val="auto"/>
          <w:sz w:val="72"/>
          <w:szCs w:val="72"/>
          <w:highlight w:val="none"/>
        </w:rPr>
        <w:t>单位决算</w:t>
      </w:r>
      <w:bookmarkEnd w:id="6"/>
      <w:bookmarkEnd w:id="7"/>
      <w:bookmarkEnd w:id="8"/>
      <w:bookmarkEnd w:id="9"/>
      <w:bookmarkEnd w:id="10"/>
      <w:bookmarkEnd w:id="11"/>
    </w:p>
    <w:p>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3"/>
        <w:jc w:val="both"/>
        <w:rPr>
          <w:color w:val="auto"/>
          <w:highlight w:val="none"/>
        </w:rPr>
      </w:pPr>
    </w:p>
    <w:p>
      <w:pPr>
        <w:rPr>
          <w:color w:val="auto"/>
          <w:highlight w:val="none"/>
        </w:rPr>
      </w:pPr>
    </w:p>
    <w:p>
      <w:pPr>
        <w:pStyle w:val="13"/>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4"/>
          <w:szCs w:val="24"/>
          <w:highlight w:val="none"/>
          <w:lang w:val="en-US" w:eastAsia="zh-CN"/>
        </w:rPr>
      </w:pPr>
      <w:bookmarkStart w:id="12" w:name="_Toc15377196"/>
      <w:bookmarkStart w:id="13" w:name="_Toc15396599"/>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单位</w:t>
      </w:r>
      <w:r>
        <w:rPr>
          <w:rFonts w:hint="eastAsia"/>
          <w:color w:val="auto"/>
          <w:sz w:val="24"/>
          <w:highlight w:val="none"/>
        </w:rPr>
        <w:t>概况</w:t>
      </w:r>
      <w:r>
        <w:rPr>
          <w:rFonts w:hint="eastAsia"/>
          <w:color w:val="auto"/>
          <w:sz w:val="24"/>
          <w:highlight w:val="none"/>
          <w:lang w:val="en-US" w:eastAsia="zh-CN"/>
        </w:rPr>
        <w:tab/>
      </w:r>
      <w:r>
        <w:rPr>
          <w:rFonts w:hint="eastAsia"/>
          <w:color w:val="auto"/>
          <w:sz w:val="24"/>
          <w:highlight w:val="none"/>
          <w:lang w:val="en-US" w:eastAsia="zh-CN"/>
        </w:rPr>
        <w:t>4</w:t>
      </w:r>
    </w:p>
    <w:p>
      <w:pPr>
        <w:pStyle w:val="14"/>
        <w:adjustRightInd w:val="0"/>
        <w:snapToGrid w:val="0"/>
        <w:spacing w:line="440" w:lineRule="exact"/>
        <w:jc w:val="distribute"/>
        <w:rPr>
          <w:rFonts w:hint="default" w:eastAsia="宋体"/>
          <w:color w:val="auto"/>
          <w:sz w:val="24"/>
          <w:highlight w:val="none"/>
          <w:lang w:val="en-US" w:eastAsia="zh-CN"/>
        </w:rPr>
      </w:pPr>
      <w:r>
        <w:rPr>
          <w:rFonts w:hint="eastAsia"/>
          <w:color w:val="auto"/>
          <w:sz w:val="24"/>
          <w:highlight w:val="none"/>
        </w:rPr>
        <w:t>一、职能</w:t>
      </w:r>
      <w:r>
        <w:rPr>
          <w:rFonts w:hint="eastAsia"/>
          <w:color w:val="auto"/>
          <w:sz w:val="24"/>
          <w:highlight w:val="none"/>
          <w:lang w:eastAsia="zh-CN"/>
        </w:rPr>
        <w:t>简介</w:t>
      </w:r>
      <w:r>
        <w:rPr>
          <w:rFonts w:hint="eastAsia"/>
          <w:color w:val="auto"/>
          <w:sz w:val="24"/>
          <w:highlight w:val="none"/>
          <w:lang w:val="en-US" w:eastAsia="zh-CN"/>
        </w:rPr>
        <w:tab/>
      </w:r>
      <w:r>
        <w:rPr>
          <w:rFonts w:hint="eastAsia"/>
          <w:color w:val="auto"/>
          <w:sz w:val="24"/>
          <w:highlight w:val="none"/>
          <w:lang w:val="en-US" w:eastAsia="zh-CN"/>
        </w:rPr>
        <w:t>4</w:t>
      </w:r>
    </w:p>
    <w:p>
      <w:pPr>
        <w:pStyle w:val="14"/>
        <w:adjustRightInd w:val="0"/>
        <w:snapToGrid w:val="0"/>
        <w:spacing w:line="440" w:lineRule="exact"/>
        <w:jc w:val="distribute"/>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二、</w:t>
      </w:r>
      <w:r>
        <w:rPr>
          <w:rFonts w:hint="eastAsia" w:asciiTheme="minorEastAsia" w:hAnsiTheme="minorEastAsia" w:eastAsiaTheme="minorEastAsia" w:cstheme="minorEastAsia"/>
          <w:color w:val="auto"/>
          <w:sz w:val="24"/>
          <w:highlight w:val="none"/>
          <w:lang w:val="en-US" w:eastAsia="zh-CN"/>
        </w:rPr>
        <w:t>2021年重点</w:t>
      </w:r>
      <w:r>
        <w:rPr>
          <w:rFonts w:hint="eastAsia" w:asciiTheme="minorEastAsia" w:hAnsiTheme="minorEastAsia" w:eastAsiaTheme="minorEastAsia" w:cstheme="minorEastAsia"/>
          <w:color w:val="auto"/>
          <w:sz w:val="24"/>
          <w:highlight w:val="none"/>
        </w:rPr>
        <w:t>工作</w:t>
      </w:r>
      <w:r>
        <w:rPr>
          <w:rFonts w:hint="eastAsia" w:asciiTheme="minorEastAsia" w:hAnsiTheme="minorEastAsia" w:eastAsiaTheme="minorEastAsia" w:cstheme="minorEastAsia"/>
          <w:color w:val="auto"/>
          <w:sz w:val="24"/>
          <w:highlight w:val="none"/>
          <w:lang w:eastAsia="zh-CN"/>
        </w:rPr>
        <w:t>完成情况</w:t>
      </w:r>
      <w:r>
        <w:rPr>
          <w:rFonts w:hint="eastAsia"/>
          <w:color w:val="auto"/>
          <w:sz w:val="24"/>
          <w:highlight w:val="none"/>
          <w:lang w:val="en-US" w:eastAsia="zh-CN"/>
        </w:rPr>
        <w:tab/>
      </w:r>
      <w:r>
        <w:rPr>
          <w:rFonts w:hint="eastAsia"/>
          <w:color w:val="auto"/>
          <w:sz w:val="24"/>
          <w:highlight w:val="none"/>
          <w:lang w:val="en-US" w:eastAsia="zh-CN"/>
        </w:rPr>
        <w:t>5</w:t>
      </w:r>
    </w:p>
    <w:p>
      <w:pPr>
        <w:pStyle w:val="13"/>
        <w:adjustRightInd w:val="0"/>
        <w:snapToGrid w:val="0"/>
        <w:spacing w:before="0" w:line="440" w:lineRule="exact"/>
        <w:jc w:val="left"/>
        <w:rPr>
          <w:rFonts w:hint="default"/>
          <w:color w:val="auto"/>
          <w:sz w:val="24"/>
          <w:szCs w:val="24"/>
          <w:highlight w:val="none"/>
          <w:lang w:val="en-US"/>
        </w:rPr>
      </w:pPr>
      <w:r>
        <w:rPr>
          <w:rFonts w:hint="eastAsia"/>
          <w:color w:val="auto"/>
          <w:sz w:val="24"/>
          <w:highlight w:val="none"/>
        </w:rPr>
        <w:t>第二部分</w:t>
      </w:r>
      <w:r>
        <w:rPr>
          <w:rFonts w:hint="eastAsia"/>
          <w:color w:val="auto"/>
          <w:sz w:val="24"/>
          <w:highlight w:val="none"/>
          <w:lang w:val="en-US" w:eastAsia="zh-CN"/>
        </w:rPr>
        <w:t xml:space="preserve"> 2021年度</w:t>
      </w:r>
      <w:r>
        <w:rPr>
          <w:rFonts w:hint="eastAsia"/>
          <w:color w:val="auto"/>
          <w:sz w:val="24"/>
          <w:highlight w:val="none"/>
          <w:lang w:eastAsia="zh-CN"/>
        </w:rPr>
        <w:t>单位</w:t>
      </w:r>
      <w:r>
        <w:rPr>
          <w:rFonts w:hint="eastAsia"/>
          <w:color w:val="auto"/>
          <w:sz w:val="24"/>
          <w:highlight w:val="none"/>
        </w:rPr>
        <w:t>决算情况说明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一、收入支出决算总体情况说明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4"/>
        <w:adjustRightInd w:val="0"/>
        <w:snapToGrid w:val="0"/>
        <w:spacing w:line="440" w:lineRule="exact"/>
        <w:jc w:val="distribute"/>
        <w:rPr>
          <w:rFonts w:ascii="仿宋" w:hAnsi="仿宋" w:eastAsia="仿宋" w:cstheme="minorBidi"/>
          <w:color w:val="auto"/>
          <w:sz w:val="24"/>
          <w:highlight w:val="none"/>
        </w:rPr>
      </w:pPr>
      <w:r>
        <w:rPr>
          <w:rFonts w:hint="eastAsia"/>
          <w:color w:val="auto"/>
          <w:sz w:val="24"/>
          <w:highlight w:val="none"/>
        </w:rPr>
        <w:t>二、收入决算情况说明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三、支出决算情况说明</w:t>
      </w:r>
      <w:r>
        <w:rPr>
          <w:rFonts w:hint="eastAsia"/>
          <w:color w:val="auto"/>
          <w:sz w:val="24"/>
          <w:highlight w:val="none"/>
          <w:lang w:val="en-US" w:eastAsia="zh-CN"/>
        </w:rPr>
        <w:tab/>
      </w:r>
      <w:r>
        <w:rPr>
          <w:rFonts w:hint="eastAsia"/>
          <w:color w:val="auto"/>
          <w:sz w:val="24"/>
          <w:highlight w:val="none"/>
          <w:lang w:val="en-US" w:eastAsia="zh-CN"/>
        </w:rPr>
        <w:t>10</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四、财政拨款收入支出决算总体情况说明</w:t>
      </w:r>
      <w:r>
        <w:rPr>
          <w:rFonts w:hint="eastAsia"/>
          <w:color w:val="auto"/>
          <w:sz w:val="24"/>
          <w:highlight w:val="none"/>
          <w:lang w:val="en-US" w:eastAsia="zh-CN"/>
        </w:rPr>
        <w:tab/>
      </w:r>
      <w:r>
        <w:rPr>
          <w:rFonts w:hint="eastAsia"/>
          <w:color w:val="auto"/>
          <w:sz w:val="24"/>
          <w:highlight w:val="none"/>
          <w:lang w:val="en-US" w:eastAsia="zh-CN"/>
        </w:rPr>
        <w:t>10</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五、一般公共预算财政拨款支出决算情况说明</w:t>
      </w:r>
      <w:r>
        <w:rPr>
          <w:rFonts w:hint="eastAsia"/>
          <w:color w:val="auto"/>
          <w:sz w:val="24"/>
          <w:highlight w:val="none"/>
          <w:lang w:val="en-US" w:eastAsia="zh-CN"/>
        </w:rPr>
        <w:tab/>
      </w:r>
      <w:r>
        <w:rPr>
          <w:rFonts w:hint="eastAsia"/>
          <w:color w:val="auto"/>
          <w:sz w:val="24"/>
          <w:highlight w:val="none"/>
          <w:lang w:val="en-US" w:eastAsia="zh-CN"/>
        </w:rPr>
        <w:t>11</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六、一般公共预算财政拨款基本支出决算情况说明</w:t>
      </w:r>
      <w:r>
        <w:rPr>
          <w:rFonts w:hint="eastAsia"/>
          <w:color w:val="auto"/>
          <w:sz w:val="24"/>
          <w:highlight w:val="none"/>
          <w:lang w:val="en-US" w:eastAsia="zh-CN"/>
        </w:rPr>
        <w:tab/>
      </w:r>
      <w:r>
        <w:rPr>
          <w:rFonts w:hint="eastAsia"/>
          <w:color w:val="auto"/>
          <w:sz w:val="24"/>
          <w:highlight w:val="none"/>
          <w:lang w:val="en-US" w:eastAsia="zh-CN"/>
        </w:rPr>
        <w:t>12</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七、</w:t>
      </w:r>
      <w:r>
        <w:rPr>
          <w:rFonts w:hint="eastAsia"/>
          <w:color w:val="auto"/>
          <w:sz w:val="24"/>
          <w:highlight w:val="none"/>
          <w:lang w:eastAsia="zh-CN"/>
        </w:rPr>
        <w:t>“</w:t>
      </w:r>
      <w:r>
        <w:rPr>
          <w:rFonts w:hint="eastAsia"/>
          <w:color w:val="auto"/>
          <w:sz w:val="24"/>
          <w:highlight w:val="none"/>
        </w:rPr>
        <w:t>三公”经费财政拨款支出决算情况说明</w:t>
      </w:r>
      <w:r>
        <w:rPr>
          <w:rFonts w:hint="eastAsia"/>
          <w:color w:val="auto"/>
          <w:sz w:val="24"/>
          <w:highlight w:val="none"/>
          <w:lang w:val="en-US" w:eastAsia="zh-CN"/>
        </w:rPr>
        <w:tab/>
      </w:r>
      <w:r>
        <w:rPr>
          <w:rFonts w:hint="eastAsia"/>
          <w:color w:val="auto"/>
          <w:sz w:val="24"/>
          <w:highlight w:val="none"/>
          <w:lang w:val="en-US" w:eastAsia="zh-CN"/>
        </w:rPr>
        <w:t>12</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八、政府性基金预算支出决算情况说明</w:t>
      </w:r>
      <w:r>
        <w:rPr>
          <w:rFonts w:hint="eastAsia"/>
          <w:color w:val="auto"/>
          <w:sz w:val="24"/>
          <w:highlight w:val="none"/>
          <w:lang w:val="en-US" w:eastAsia="zh-CN"/>
        </w:rPr>
        <w:tab/>
      </w:r>
      <w:r>
        <w:rPr>
          <w:rFonts w:hint="eastAsia"/>
          <w:color w:val="auto"/>
          <w:sz w:val="24"/>
          <w:highlight w:val="none"/>
          <w:lang w:val="en-US" w:eastAsia="zh-CN"/>
        </w:rPr>
        <w:t>14</w:t>
      </w:r>
    </w:p>
    <w:p>
      <w:pPr>
        <w:pStyle w:val="14"/>
        <w:adjustRightInd w:val="0"/>
        <w:snapToGrid w:val="0"/>
        <w:spacing w:line="440" w:lineRule="exact"/>
        <w:jc w:val="distribute"/>
        <w:rPr>
          <w:rFonts w:hint="eastAsia"/>
          <w:color w:val="auto"/>
          <w:sz w:val="24"/>
          <w:highlight w:val="none"/>
        </w:rPr>
      </w:pPr>
      <w:r>
        <w:rPr>
          <w:rFonts w:hint="eastAsia"/>
          <w:color w:val="auto"/>
          <w:sz w:val="24"/>
          <w:highlight w:val="none"/>
        </w:rPr>
        <w:t>九、国有资本经营预算支出决算情况说明</w:t>
      </w:r>
      <w:r>
        <w:rPr>
          <w:rFonts w:hint="eastAsia"/>
          <w:color w:val="auto"/>
          <w:sz w:val="24"/>
          <w:highlight w:val="none"/>
          <w:lang w:val="en-US" w:eastAsia="zh-CN"/>
        </w:rPr>
        <w:tab/>
      </w:r>
      <w:r>
        <w:rPr>
          <w:rFonts w:hint="eastAsia"/>
          <w:color w:val="auto"/>
          <w:sz w:val="24"/>
          <w:highlight w:val="none"/>
          <w:lang w:val="en-US" w:eastAsia="zh-CN"/>
        </w:rPr>
        <w:t>14</w:t>
      </w:r>
    </w:p>
    <w:p>
      <w:pPr>
        <w:pStyle w:val="14"/>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rPr>
        <w:t>十、</w:t>
      </w:r>
      <w:r>
        <w:rPr>
          <w:rFonts w:hint="eastAsia" w:asciiTheme="minorEastAsia" w:hAnsiTheme="minorEastAsia" w:eastAsiaTheme="minorEastAsia" w:cstheme="minorEastAsia"/>
          <w:color w:val="auto"/>
          <w:sz w:val="24"/>
          <w:highlight w:val="none"/>
          <w:lang w:val="en-US" w:eastAsia="zh-CN"/>
        </w:rPr>
        <w:t>预算绩效管理情况</w:t>
      </w:r>
      <w:r>
        <w:rPr>
          <w:rFonts w:hint="eastAsia"/>
          <w:color w:val="auto"/>
          <w:sz w:val="24"/>
          <w:highlight w:val="none"/>
          <w:lang w:val="en-US" w:eastAsia="zh-CN"/>
        </w:rPr>
        <w:tab/>
      </w:r>
      <w:r>
        <w:rPr>
          <w:rFonts w:hint="eastAsia"/>
          <w:color w:val="auto"/>
          <w:sz w:val="24"/>
          <w:highlight w:val="none"/>
          <w:lang w:val="en-US" w:eastAsia="zh-CN"/>
        </w:rPr>
        <w:t>15</w:t>
      </w:r>
    </w:p>
    <w:p>
      <w:pPr>
        <w:pStyle w:val="14"/>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lang w:val="en-US" w:eastAsia="zh-CN"/>
        </w:rPr>
        <w:t>十一、</w:t>
      </w:r>
      <w:r>
        <w:rPr>
          <w:rFonts w:hint="eastAsia"/>
          <w:color w:val="auto"/>
          <w:sz w:val="24"/>
          <w:highlight w:val="none"/>
        </w:rPr>
        <w:t>其他重要事项的情况说明</w:t>
      </w:r>
      <w:r>
        <w:rPr>
          <w:rFonts w:hint="eastAsia"/>
          <w:color w:val="auto"/>
          <w:sz w:val="24"/>
          <w:highlight w:val="none"/>
          <w:lang w:val="en-US" w:eastAsia="zh-CN"/>
        </w:rPr>
        <w:tab/>
      </w:r>
      <w:r>
        <w:rPr>
          <w:rFonts w:hint="eastAsia"/>
          <w:color w:val="auto"/>
          <w:sz w:val="24"/>
          <w:highlight w:val="none"/>
          <w:lang w:val="en-US" w:eastAsia="zh-CN"/>
        </w:rPr>
        <w:t>15</w:t>
      </w:r>
    </w:p>
    <w:p>
      <w:pPr>
        <w:pStyle w:val="13"/>
        <w:adjustRightInd w:val="0"/>
        <w:snapToGrid w:val="0"/>
        <w:spacing w:before="0" w:line="440" w:lineRule="exact"/>
        <w:jc w:val="left"/>
        <w:rPr>
          <w:rFonts w:hint="default"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16</w:t>
      </w:r>
    </w:p>
    <w:p>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4"/>
        <w:adjustRightInd w:val="0"/>
        <w:snapToGrid w:val="0"/>
        <w:spacing w:line="440" w:lineRule="exact"/>
        <w:jc w:val="left"/>
        <w:rPr>
          <w:rFonts w:hint="default"/>
          <w:color w:val="auto"/>
          <w:sz w:val="24"/>
          <w:highlight w:val="none"/>
          <w:lang w:val="en-US"/>
        </w:rPr>
      </w:pPr>
      <w:r>
        <w:rPr>
          <w:rFonts w:hint="eastAsia"/>
          <w:color w:val="auto"/>
          <w:sz w:val="24"/>
          <w:highlight w:val="none"/>
        </w:rPr>
        <w:t>一、收入支出决算总表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二、收入决算表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三、支出决算表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四、财政拨款收入支出决算总表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五、财政拨款支出决算明细表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六、一般公共预算财政拨款支出决算表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七、一般公共预算财政拨款支出决算明细表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八、一般公共预算财政拨款基本支出决算表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九、一般公共预算财政拨款项目支出决算表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十、一般公共预算财政拨款“三公”经费支出决算表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十一、政府性基金预算财政拨款收入支出决算表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十二、政府性基金预算财政拨款“三公”经费支出决算表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十三、国有资本经营预算</w:t>
      </w:r>
      <w:r>
        <w:rPr>
          <w:rFonts w:hint="eastAsia"/>
          <w:color w:val="auto"/>
          <w:sz w:val="24"/>
          <w:highlight w:val="none"/>
          <w:lang w:eastAsia="zh-CN"/>
        </w:rPr>
        <w:t>财政拨款收入</w:t>
      </w:r>
      <w:r>
        <w:rPr>
          <w:rFonts w:hint="eastAsia"/>
          <w:color w:val="auto"/>
          <w:sz w:val="24"/>
          <w:highlight w:val="none"/>
        </w:rPr>
        <w:t>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ascii="仿宋" w:hAnsi="仿宋" w:eastAsia="仿宋"/>
          <w:bCs/>
          <w:color w:val="auto"/>
          <w:kern w:val="44"/>
          <w:sz w:val="24"/>
          <w:highlight w:val="none"/>
        </w:rPr>
      </w:pPr>
      <w:r>
        <w:rPr>
          <w:rFonts w:hint="eastAsia"/>
          <w:color w:val="auto"/>
          <w:sz w:val="24"/>
          <w:highlight w:val="none"/>
          <w:lang w:val="en-US" w:eastAsia="zh-CN"/>
        </w:rPr>
        <w:t>十四、国有资本经营预算财政拨款支出决算表</w:t>
      </w:r>
      <w:r>
        <w:rPr>
          <w:rFonts w:hint="eastAsia"/>
          <w:color w:val="auto"/>
          <w:sz w:val="24"/>
          <w:highlight w:val="none"/>
          <w:lang w:val="en-US" w:eastAsia="zh-CN"/>
        </w:rPr>
        <w:tab/>
      </w:r>
      <w:r>
        <w:rPr>
          <w:rFonts w:hint="eastAsia"/>
          <w:color w:val="auto"/>
          <w:sz w:val="24"/>
          <w:highlight w:val="none"/>
          <w:lang w:val="en-US" w:eastAsia="zh-CN"/>
        </w:rPr>
        <w:t>20</w:t>
      </w:r>
      <w:r>
        <w:rPr>
          <w:rFonts w:ascii="仿宋" w:hAnsi="仿宋" w:eastAsia="仿宋"/>
          <w:b/>
          <w:color w:val="auto"/>
          <w:sz w:val="24"/>
          <w:highlight w:val="none"/>
        </w:rPr>
        <w:br w:type="page"/>
      </w:r>
    </w:p>
    <w:p>
      <w:pPr>
        <w:pStyle w:val="3"/>
        <w:jc w:val="center"/>
        <w:rPr>
          <w:rStyle w:val="29"/>
          <w:rFonts w:ascii="黑体" w:hAnsi="黑体" w:eastAsia="黑体"/>
          <w:b/>
          <w:bCs w:val="0"/>
          <w:color w:val="auto"/>
          <w:highlight w:val="none"/>
        </w:rPr>
      </w:pPr>
      <w:r>
        <w:rPr>
          <w:rFonts w:hint="eastAsia" w:ascii="黑体" w:hAnsi="黑体" w:eastAsia="黑体"/>
          <w:b w:val="0"/>
          <w:color w:val="auto"/>
          <w:highlight w:val="none"/>
        </w:rPr>
        <w:t>第一部分 单位</w:t>
      </w:r>
      <w:r>
        <w:rPr>
          <w:rStyle w:val="29"/>
          <w:rFonts w:hint="eastAsia" w:ascii="黑体" w:hAnsi="黑体" w:eastAsia="黑体"/>
          <w:b w:val="0"/>
          <w:bCs w:val="0"/>
          <w:color w:val="auto"/>
          <w:highlight w:val="none"/>
        </w:rPr>
        <w:t>概况</w:t>
      </w:r>
      <w:bookmarkEnd w:id="12"/>
      <w:bookmarkEnd w:id="13"/>
    </w:p>
    <w:p>
      <w:pPr>
        <w:widowControl/>
        <w:jc w:val="left"/>
        <w:rPr>
          <w:rFonts w:ascii="黑体" w:eastAsia="黑体"/>
          <w:color w:val="auto"/>
          <w:sz w:val="32"/>
          <w:szCs w:val="32"/>
          <w:highlight w:val="none"/>
        </w:rPr>
      </w:pPr>
    </w:p>
    <w:p>
      <w:pPr>
        <w:pStyle w:val="4"/>
        <w:numPr>
          <w:ilvl w:val="0"/>
          <w:numId w:val="1"/>
        </w:numPr>
        <w:rPr>
          <w:rStyle w:val="30"/>
          <w:rFonts w:ascii="黑体" w:hAnsi="黑体" w:eastAsia="黑体"/>
          <w:b w:val="0"/>
          <w:bCs w:val="0"/>
          <w:color w:val="auto"/>
          <w:highlight w:val="none"/>
        </w:rPr>
      </w:pPr>
      <w:bookmarkStart w:id="14" w:name="_Toc15377197"/>
      <w:bookmarkStart w:id="15" w:name="_Toc15396600"/>
      <w:r>
        <w:rPr>
          <w:rStyle w:val="30"/>
          <w:rFonts w:hint="eastAsia" w:ascii="黑体" w:hAnsi="黑体" w:eastAsia="黑体"/>
          <w:b w:val="0"/>
          <w:bCs w:val="0"/>
          <w:color w:val="auto"/>
          <w:highlight w:val="none"/>
        </w:rPr>
        <w:t>职能简介</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6.</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负责学籍管理并对学生实施奖励或处分。</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负责依法制定本校教师及其他职工聘任办法并对教师及其他员工实施包括奖励、处分</w:t>
      </w:r>
      <w:r>
        <w:rPr>
          <w:rFonts w:hint="eastAsia" w:ascii="仿宋" w:hAnsi="仿宋" w:eastAsia="仿宋" w:cs="仿宋"/>
          <w:color w:val="auto"/>
          <w:sz w:val="32"/>
          <w:szCs w:val="32"/>
          <w:highlight w:val="none"/>
        </w:rPr>
        <w:t>在内的具体管理活动。</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8. 负责科学管理、合理使用学校的设施和经费，并积极筹措资金，改善办学条件。</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依法接受各级教育行政部门的检查指导和人民群众的监督。</w:t>
      </w:r>
    </w:p>
    <w:p>
      <w:pPr>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pPr>
        <w:pStyle w:val="4"/>
        <w:rPr>
          <w:rFonts w:ascii="黑体" w:hAnsi="黑体" w:eastAsia="黑体"/>
          <w:b w:val="0"/>
          <w:color w:val="auto"/>
          <w:highlight w:val="none"/>
        </w:rPr>
      </w:pPr>
      <w:r>
        <w:rPr>
          <w:rFonts w:hint="eastAsia" w:ascii="黑体" w:hAnsi="黑体" w:eastAsia="黑体"/>
          <w:b w:val="0"/>
          <w:color w:val="auto"/>
          <w:highlight w:val="none"/>
        </w:rPr>
        <w:t>二、2021年重点工作</w:t>
      </w:r>
      <w:bookmarkEnd w:id="14"/>
      <w:bookmarkEnd w:id="15"/>
      <w:r>
        <w:rPr>
          <w:rFonts w:hint="eastAsia" w:ascii="黑体" w:hAnsi="黑体" w:eastAsia="黑体"/>
          <w:b w:val="0"/>
          <w:color w:val="auto"/>
          <w:highlight w:val="none"/>
        </w:rPr>
        <w:t>完成情况</w:t>
      </w:r>
    </w:p>
    <w:p>
      <w:pPr>
        <w:ind w:firstLine="643" w:firstLineChars="200"/>
        <w:rPr>
          <w:rFonts w:ascii="楷体_GB2312" w:hAnsi="楷体_GB2312" w:eastAsia="楷体_GB2312" w:cs="楷体_GB2312"/>
          <w:b/>
          <w:color w:val="auto"/>
          <w:sz w:val="32"/>
          <w:szCs w:val="32"/>
          <w:highlight w:val="none"/>
        </w:rPr>
      </w:pPr>
      <w:r>
        <w:rPr>
          <w:rFonts w:hint="eastAsia" w:ascii="楷体_GB2312" w:hAnsi="楷体_GB2312" w:eastAsia="楷体_GB2312" w:cs="楷体_GB2312"/>
          <w:b/>
          <w:color w:val="auto"/>
          <w:sz w:val="32"/>
          <w:szCs w:val="32"/>
          <w:highlight w:val="none"/>
        </w:rPr>
        <w:t>（一）夯实党建工作</w:t>
      </w:r>
    </w:p>
    <w:p>
      <w:pPr>
        <w:spacing w:line="576" w:lineRule="exact"/>
        <w:ind w:firstLine="643" w:firstLineChars="200"/>
        <w:rPr>
          <w:rFonts w:ascii="仿宋_GB2312" w:hAnsi="仿宋_GB2312" w:eastAsia="仿宋_GB2312" w:cs="仿宋_GB2312"/>
          <w:color w:val="auto"/>
          <w:sz w:val="32"/>
          <w:szCs w:val="32"/>
          <w:highlight w:val="none"/>
        </w:rPr>
      </w:pPr>
      <w:r>
        <w:rPr>
          <w:rFonts w:hint="eastAsia" w:ascii="仿宋_GB2312" w:hAnsi="仿宋" w:eastAsia="仿宋_GB2312" w:cs="楷体_GB2312"/>
          <w:b/>
          <w:color w:val="auto"/>
          <w:sz w:val="32"/>
          <w:szCs w:val="32"/>
          <w:highlight w:val="none"/>
        </w:rPr>
        <w:t>一是</w:t>
      </w:r>
      <w:r>
        <w:rPr>
          <w:rFonts w:hint="eastAsia" w:ascii="仿宋_GB2312" w:hAnsi="仿宋" w:eastAsia="仿宋_GB2312" w:cs="楷体_GB2312"/>
          <w:bCs/>
          <w:color w:val="auto"/>
          <w:sz w:val="32"/>
          <w:szCs w:val="32"/>
          <w:highlight w:val="none"/>
        </w:rPr>
        <w:t>坚持</w:t>
      </w:r>
      <w:r>
        <w:rPr>
          <w:rFonts w:hint="eastAsia" w:ascii="仿宋_GB2312" w:hAnsi="仿宋" w:eastAsia="仿宋_GB2312" w:cs="仿宋_GB2312"/>
          <w:color w:val="auto"/>
          <w:sz w:val="32"/>
          <w:szCs w:val="32"/>
          <w:highlight w:val="none"/>
        </w:rPr>
        <w:t>用“四好”支部（班子建设好，党员管理好，活动开展好，作用发挥好）的要求引领党建工作。</w:t>
      </w:r>
      <w:r>
        <w:rPr>
          <w:rFonts w:hint="eastAsia" w:ascii="仿宋_GB2312" w:hAnsi="仿宋" w:eastAsia="仿宋_GB2312" w:cs="仿宋_GB2312"/>
          <w:b/>
          <w:bCs/>
          <w:color w:val="auto"/>
          <w:sz w:val="32"/>
          <w:szCs w:val="32"/>
          <w:highlight w:val="none"/>
        </w:rPr>
        <w:t>二是</w:t>
      </w:r>
      <w:r>
        <w:rPr>
          <w:rFonts w:hint="eastAsia" w:ascii="仿宋_GB2312" w:hAnsi="仿宋" w:eastAsia="仿宋_GB2312" w:cs="仿宋_GB2312"/>
          <w:color w:val="auto"/>
          <w:sz w:val="32"/>
          <w:szCs w:val="32"/>
          <w:highlight w:val="none"/>
        </w:rPr>
        <w:t>严格执行“三会一课”制度，认真开展党日活动。</w:t>
      </w:r>
      <w:r>
        <w:rPr>
          <w:rFonts w:hint="eastAsia" w:ascii="仿宋_GB2312" w:hAnsi="仿宋" w:eastAsia="仿宋_GB2312"/>
          <w:b/>
          <w:bCs/>
          <w:color w:val="auto"/>
          <w:sz w:val="32"/>
          <w:szCs w:val="32"/>
          <w:highlight w:val="none"/>
        </w:rPr>
        <w:t>三是</w:t>
      </w:r>
      <w:r>
        <w:rPr>
          <w:rFonts w:hint="eastAsia" w:ascii="仿宋_GB2312" w:hAnsi="仿宋" w:eastAsia="仿宋_GB2312"/>
          <w:color w:val="auto"/>
          <w:sz w:val="32"/>
          <w:szCs w:val="32"/>
          <w:highlight w:val="none"/>
        </w:rPr>
        <w:t>深入开展纪律作风整顿及“以案促改”工作。</w:t>
      </w:r>
      <w:r>
        <w:rPr>
          <w:rFonts w:hint="eastAsia" w:ascii="仿宋_GB2312" w:hAnsi="宋体" w:eastAsia="仿宋_GB2312"/>
          <w:b/>
          <w:bCs/>
          <w:color w:val="auto"/>
          <w:sz w:val="32"/>
          <w:szCs w:val="32"/>
          <w:highlight w:val="none"/>
        </w:rPr>
        <w:t>四是</w:t>
      </w:r>
      <w:r>
        <w:rPr>
          <w:rFonts w:hint="eastAsia" w:ascii="仿宋_GB2312" w:hAnsi="宋体" w:eastAsia="仿宋_GB2312"/>
          <w:color w:val="auto"/>
          <w:sz w:val="32"/>
          <w:szCs w:val="32"/>
          <w:highlight w:val="none"/>
        </w:rPr>
        <w:t>丰富党建活动。</w:t>
      </w:r>
      <w:r>
        <w:rPr>
          <w:rFonts w:hint="eastAsia" w:ascii="仿宋_GB2312" w:hAnsi="仿宋_GB2312" w:eastAsia="仿宋_GB2312" w:cs="仿宋_GB2312"/>
          <w:color w:val="auto"/>
          <w:sz w:val="32"/>
          <w:szCs w:val="32"/>
          <w:highlight w:val="none"/>
        </w:rPr>
        <w:t>同时，完成2021年党费收缴工作，党员“学习强国”学习全覆盖。</w:t>
      </w:r>
    </w:p>
    <w:p>
      <w:pPr>
        <w:spacing w:line="576"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本年度，党员教师雷志、刘沛分别被表彰为区教育系统优秀党务工作着、优秀共产党员。学校支部被评为全市先进基层党组织。</w:t>
      </w:r>
    </w:p>
    <w:p>
      <w:pPr>
        <w:spacing w:line="560" w:lineRule="exact"/>
        <w:ind w:left="105" w:leftChars="50" w:firstLine="643" w:firstLineChars="200"/>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（二）加强班子建设</w:t>
      </w:r>
    </w:p>
    <w:p>
      <w:pPr>
        <w:pStyle w:val="16"/>
        <w:spacing w:line="576" w:lineRule="exact"/>
        <w:ind w:left="0" w:leftChars="0" w:firstLine="643"/>
        <w:rPr>
          <w:rFonts w:ascii="仿宋_GB2312" w:hAnsi="仿宋" w:eastAsia="仿宋_GB2312"/>
          <w:color w:val="auto"/>
          <w:sz w:val="32"/>
          <w:szCs w:val="32"/>
          <w:highlight w:val="none"/>
        </w:rPr>
      </w:pPr>
      <w:r>
        <w:rPr>
          <w:rFonts w:hint="eastAsia" w:ascii="仿宋_GB2312" w:hAnsi="仿宋" w:eastAsia="仿宋_GB2312"/>
          <w:b/>
          <w:bCs/>
          <w:color w:val="auto"/>
          <w:sz w:val="32"/>
          <w:szCs w:val="32"/>
          <w:highlight w:val="none"/>
        </w:rPr>
        <w:t>一是</w:t>
      </w:r>
      <w:r>
        <w:rPr>
          <w:rFonts w:hint="eastAsia" w:ascii="仿宋_GB2312" w:hAnsi="仿宋_GB2312" w:eastAsia="仿宋_GB2312" w:cs="仿宋_GB2312"/>
          <w:color w:val="auto"/>
          <w:sz w:val="32"/>
          <w:szCs w:val="32"/>
          <w:highlight w:val="none"/>
        </w:rPr>
        <w:t>加强四种能力建设，即实践操作能力、语言表达能力、文字写作能力、综合协调能力历练，</w:t>
      </w:r>
      <w:r>
        <w:rPr>
          <w:rFonts w:hint="eastAsia" w:ascii="仿宋_GB2312" w:hAnsi="仿宋" w:eastAsia="仿宋_GB2312"/>
          <w:color w:val="auto"/>
          <w:sz w:val="32"/>
          <w:szCs w:val="32"/>
          <w:highlight w:val="none"/>
        </w:rPr>
        <w:t>每个同志在工作中都能独当一面。</w:t>
      </w:r>
      <w:r>
        <w:rPr>
          <w:rFonts w:hint="eastAsia" w:ascii="仿宋_GB2312" w:hAnsi="仿宋_GB2312" w:eastAsia="仿宋_GB2312" w:cs="仿宋_GB2312"/>
          <w:b/>
          <w:bCs/>
          <w:color w:val="auto"/>
          <w:sz w:val="32"/>
          <w:szCs w:val="32"/>
          <w:highlight w:val="none"/>
        </w:rPr>
        <w:t>二是</w:t>
      </w:r>
      <w:r>
        <w:rPr>
          <w:rFonts w:hint="eastAsia" w:ascii="仿宋_GB2312" w:hAnsi="仿宋_GB2312" w:eastAsia="仿宋_GB2312" w:cs="仿宋_GB2312"/>
          <w:color w:val="auto"/>
          <w:sz w:val="32"/>
          <w:szCs w:val="32"/>
          <w:highlight w:val="none"/>
        </w:rPr>
        <w:t>提供学习锻炼机会。</w:t>
      </w:r>
      <w:r>
        <w:rPr>
          <w:rFonts w:hint="eastAsia" w:ascii="仿宋_GB2312" w:hAnsi="仿宋" w:eastAsia="仿宋_GB2312"/>
          <w:color w:val="auto"/>
          <w:sz w:val="32"/>
          <w:szCs w:val="32"/>
          <w:highlight w:val="none"/>
        </w:rPr>
        <w:t>班子成员先后被派往南充、重庆、成都、河北等地培训学习8次，在校内外举办讲座10次。</w:t>
      </w:r>
      <w:r>
        <w:rPr>
          <w:rFonts w:hint="eastAsia" w:ascii="仿宋_GB2312" w:hAnsi="仿宋" w:eastAsia="仿宋_GB2312"/>
          <w:b/>
          <w:bCs/>
          <w:color w:val="auto"/>
          <w:sz w:val="32"/>
          <w:szCs w:val="32"/>
          <w:highlight w:val="none"/>
        </w:rPr>
        <w:t>三是</w:t>
      </w:r>
      <w:r>
        <w:rPr>
          <w:rFonts w:hint="eastAsia" w:ascii="仿宋_GB2312" w:hAnsi="仿宋" w:eastAsia="仿宋_GB2312"/>
          <w:color w:val="auto"/>
          <w:sz w:val="32"/>
          <w:szCs w:val="32"/>
          <w:highlight w:val="none"/>
        </w:rPr>
        <w:t>班子成员率先垂范。他们分别承担语文、数学、英语、科学、体育等学科教学。2021年春季全区教学质量检测，班子成员中有6人次获得奖励（3个第一、3个第二）。</w:t>
      </w:r>
    </w:p>
    <w:p>
      <w:pPr>
        <w:pStyle w:val="16"/>
        <w:spacing w:line="576" w:lineRule="exact"/>
        <w:ind w:left="0" w:leftChars="0" w:firstLine="640"/>
        <w:rPr>
          <w:rFonts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本年度，黄海、李薇被评为第四届区名师；常正容、何仕地分别被评为市骨干教师、区骨干教师；何仕地、李薇分别当选为</w:t>
      </w:r>
      <w:r>
        <w:rPr>
          <w:rFonts w:hint="eastAsia" w:ascii="仿宋_GB2312" w:hAnsi="仿宋" w:eastAsia="仿宋_GB2312" w:cs="仿宋_GB2312"/>
          <w:color w:val="auto"/>
          <w:sz w:val="32"/>
          <w:szCs w:val="32"/>
          <w:highlight w:val="none"/>
        </w:rPr>
        <w:t>广元市第八届政协委员、昭化区第七届政协委员。</w:t>
      </w:r>
    </w:p>
    <w:p>
      <w:pPr>
        <w:ind w:firstLine="643" w:firstLineChars="200"/>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（三）狠抓教师队伍</w:t>
      </w:r>
    </w:p>
    <w:p>
      <w:pPr>
        <w:ind w:firstLine="643" w:firstLineChars="200"/>
        <w:rPr>
          <w:rFonts w:ascii="仿宋_GB2312" w:hAnsi="仿宋" w:eastAsia="仿宋_GB2312"/>
          <w:color w:val="auto"/>
          <w:sz w:val="32"/>
          <w:szCs w:val="32"/>
          <w:highlight w:val="none"/>
        </w:rPr>
      </w:pPr>
      <w:r>
        <w:rPr>
          <w:rFonts w:hint="eastAsia" w:ascii="仿宋_GB2312" w:hAnsi="仿宋" w:eastAsia="仿宋_GB2312"/>
          <w:b/>
          <w:bCs/>
          <w:color w:val="auto"/>
          <w:sz w:val="32"/>
          <w:szCs w:val="32"/>
          <w:highlight w:val="none"/>
        </w:rPr>
        <w:t>一是</w:t>
      </w:r>
      <w:r>
        <w:rPr>
          <w:rFonts w:hint="eastAsia" w:ascii="仿宋_GB2312" w:hAnsi="仿宋" w:eastAsia="仿宋_GB2312"/>
          <w:color w:val="auto"/>
          <w:sz w:val="32"/>
          <w:szCs w:val="32"/>
          <w:highlight w:val="none"/>
        </w:rPr>
        <w:t>强化师德修养。组织教职工深入学习《习近平新时代中国特色社会主义思想》，</w:t>
      </w:r>
      <w:r>
        <w:rPr>
          <w:rFonts w:hint="eastAsia" w:ascii="仿宋_GB2312" w:hAnsi="仿宋_GB2312" w:eastAsia="仿宋_GB2312" w:cs="仿宋_GB2312"/>
          <w:color w:val="auto"/>
          <w:kern w:val="0"/>
          <w:sz w:val="32"/>
          <w:szCs w:val="32"/>
          <w:highlight w:val="none"/>
        </w:rPr>
        <w:t>举行师德师风宣誓仪式，开展</w:t>
      </w:r>
      <w:r>
        <w:rPr>
          <w:rFonts w:hint="eastAsia" w:ascii="仿宋_GB2312" w:hAnsi="宋体" w:eastAsia="仿宋_GB2312"/>
          <w:color w:val="auto"/>
          <w:sz w:val="32"/>
          <w:szCs w:val="32"/>
          <w:highlight w:val="none"/>
        </w:rPr>
        <w:t>师德师风专题教育学习。</w:t>
      </w:r>
      <w:r>
        <w:rPr>
          <w:rFonts w:hint="eastAsia" w:ascii="仿宋_GB2312" w:hAnsi="仿宋_GB2312" w:eastAsia="仿宋_GB2312" w:cs="仿宋_GB2312"/>
          <w:b/>
          <w:bCs/>
          <w:color w:val="auto"/>
          <w:kern w:val="0"/>
          <w:sz w:val="32"/>
          <w:szCs w:val="32"/>
          <w:highlight w:val="none"/>
        </w:rPr>
        <w:t>二是</w:t>
      </w:r>
      <w:r>
        <w:rPr>
          <w:rFonts w:hint="eastAsia" w:ascii="仿宋_GB2312" w:hAnsi="仿宋_GB2312" w:eastAsia="仿宋_GB2312" w:cs="仿宋_GB2312"/>
          <w:color w:val="auto"/>
          <w:sz w:val="32"/>
          <w:szCs w:val="32"/>
          <w:highlight w:val="none"/>
        </w:rPr>
        <w:t>规范教育行为。出台了“33321”一日教育常规。</w:t>
      </w:r>
      <w:r>
        <w:rPr>
          <w:rFonts w:hint="eastAsia" w:ascii="仿宋_GB2312" w:hAnsi="仿宋_GB2312" w:eastAsia="仿宋_GB2312" w:cs="仿宋_GB2312"/>
          <w:b/>
          <w:bCs/>
          <w:color w:val="auto"/>
          <w:sz w:val="32"/>
          <w:szCs w:val="32"/>
          <w:highlight w:val="none"/>
        </w:rPr>
        <w:t>三是</w:t>
      </w:r>
      <w:r>
        <w:rPr>
          <w:rFonts w:hint="eastAsia" w:ascii="仿宋_GB2312" w:hAnsi="仿宋" w:eastAsia="仿宋_GB2312" w:cs="仿宋"/>
          <w:color w:val="auto"/>
          <w:sz w:val="32"/>
          <w:szCs w:val="32"/>
          <w:highlight w:val="none"/>
        </w:rPr>
        <w:t>夯实“四名工程”（名党员、名班主任、名教师、名师工作室）。</w:t>
      </w:r>
      <w:r>
        <w:rPr>
          <w:rFonts w:hint="eastAsia" w:ascii="仿宋_GB2312" w:hAnsi="仿宋" w:eastAsia="仿宋_GB2312"/>
          <w:b/>
          <w:bCs/>
          <w:color w:val="auto"/>
          <w:sz w:val="32"/>
          <w:szCs w:val="32"/>
          <w:highlight w:val="none"/>
        </w:rPr>
        <w:t>四是</w:t>
      </w:r>
      <w:r>
        <w:rPr>
          <w:rFonts w:hint="eastAsia" w:ascii="仿宋_GB2312" w:hAnsi="仿宋" w:eastAsia="仿宋_GB2312"/>
          <w:color w:val="auto"/>
          <w:sz w:val="32"/>
          <w:szCs w:val="32"/>
          <w:highlight w:val="none"/>
        </w:rPr>
        <w:t>着眼教师发展。加强青年教师培养，继续坚持教师结对帮扶制度，组织教师参加“一师一优课”和各级竞教竞技活动，20余人获奖。</w:t>
      </w:r>
    </w:p>
    <w:p>
      <w:pPr>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本年度，1人被评为广元市第二届“立德树人关爱学生好老师”，1人被评为</w:t>
      </w:r>
      <w:r>
        <w:rPr>
          <w:rFonts w:hint="eastAsia" w:ascii="仿宋_GB2312" w:hAnsi="仿宋" w:eastAsia="仿宋_GB2312"/>
          <w:color w:val="auto"/>
          <w:sz w:val="32"/>
          <w:szCs w:val="32"/>
          <w:highlight w:val="none"/>
        </w:rPr>
        <w:t>第四届区名班主任，</w:t>
      </w:r>
      <w:r>
        <w:rPr>
          <w:rFonts w:hint="eastAsia" w:ascii="仿宋_GB2312" w:hAnsi="仿宋_GB2312" w:eastAsia="仿宋_GB2312" w:cs="仿宋_GB2312"/>
          <w:color w:val="auto"/>
          <w:sz w:val="32"/>
          <w:szCs w:val="32"/>
          <w:highlight w:val="none"/>
        </w:rPr>
        <w:t>3人被评为优秀班主任、优秀教师、立德树人关爱学生好老师。</w:t>
      </w:r>
    </w:p>
    <w:p>
      <w:pPr>
        <w:tabs>
          <w:tab w:val="left" w:pos="5811"/>
        </w:tabs>
        <w:spacing w:line="560" w:lineRule="exact"/>
        <w:ind w:firstLine="643" w:firstLineChars="200"/>
        <w:jc w:val="left"/>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（四）坚持立德树人</w:t>
      </w:r>
    </w:p>
    <w:p>
      <w:pPr>
        <w:spacing w:line="576"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一是</w:t>
      </w:r>
      <w:r>
        <w:rPr>
          <w:rFonts w:hint="eastAsia" w:ascii="仿宋_GB2312" w:hAnsi="仿宋_GB2312" w:eastAsia="仿宋_GB2312" w:cs="仿宋_GB2312"/>
          <w:color w:val="auto"/>
          <w:sz w:val="32"/>
          <w:szCs w:val="32"/>
          <w:highlight w:val="none"/>
        </w:rPr>
        <w:t>推进“四自教育”（生活自理、学习自主、行为自律、思想自信），评选表彰了第五届阳光少年。</w:t>
      </w:r>
      <w:r>
        <w:rPr>
          <w:rFonts w:hint="eastAsia" w:ascii="仿宋_GB2312" w:hAnsi="仿宋_GB2312" w:eastAsia="仿宋_GB2312" w:cs="仿宋_GB2312"/>
          <w:b/>
          <w:bCs/>
          <w:color w:val="auto"/>
          <w:sz w:val="32"/>
          <w:szCs w:val="32"/>
          <w:highlight w:val="none"/>
        </w:rPr>
        <w:t>二是</w:t>
      </w:r>
      <w:r>
        <w:rPr>
          <w:rFonts w:hint="eastAsia" w:ascii="仿宋_GB2312" w:hAnsi="仿宋_GB2312" w:eastAsia="仿宋_GB2312" w:cs="仿宋_GB2312"/>
          <w:color w:val="auto"/>
          <w:sz w:val="32"/>
          <w:szCs w:val="32"/>
          <w:highlight w:val="none"/>
        </w:rPr>
        <w:t>丰富活动内容。本年度开展了“学雷锋”进社区、防震减灾演练、</w:t>
      </w:r>
      <w:r>
        <w:rPr>
          <w:rFonts w:hint="eastAsia" w:ascii="仿宋_GB2312" w:hAnsi="仿宋" w:eastAsia="仿宋_GB2312" w:cs="仿宋_GB2312"/>
          <w:color w:val="auto"/>
          <w:sz w:val="32"/>
          <w:szCs w:val="32"/>
          <w:highlight w:val="none"/>
        </w:rPr>
        <w:t>心理健康教育、禁毒教育、</w:t>
      </w:r>
      <w:r>
        <w:rPr>
          <w:rFonts w:hint="eastAsia" w:ascii="仿宋_GB2312" w:hAnsi="仿宋_GB2312" w:eastAsia="仿宋_GB2312" w:cs="仿宋_GB2312"/>
          <w:color w:val="auto"/>
          <w:sz w:val="32"/>
          <w:szCs w:val="32"/>
          <w:highlight w:val="none"/>
        </w:rPr>
        <w:t>研学旅行、“六一”庆祝、</w:t>
      </w:r>
      <w:r>
        <w:rPr>
          <w:rFonts w:hint="eastAsia" w:ascii="仿宋_GB2312" w:hAnsi="仿宋" w:eastAsia="仿宋_GB2312"/>
          <w:color w:val="auto"/>
          <w:sz w:val="32"/>
          <w:szCs w:val="32"/>
          <w:highlight w:val="none"/>
        </w:rPr>
        <w:t>六年级毕业典礼、一年级新生入学仪式等活动。</w:t>
      </w:r>
      <w:r>
        <w:rPr>
          <w:rFonts w:hint="eastAsia" w:ascii="仿宋_GB2312" w:hAnsi="仿宋_GB2312" w:eastAsia="仿宋_GB2312" w:cs="仿宋_GB2312"/>
          <w:b/>
          <w:bCs/>
          <w:color w:val="auto"/>
          <w:sz w:val="32"/>
          <w:szCs w:val="32"/>
          <w:highlight w:val="none"/>
        </w:rPr>
        <w:t>三是</w:t>
      </w:r>
      <w:r>
        <w:rPr>
          <w:rFonts w:hint="eastAsia" w:ascii="仿宋_GB2312" w:hAnsi="仿宋" w:eastAsia="仿宋_GB2312"/>
          <w:color w:val="auto"/>
          <w:sz w:val="32"/>
          <w:szCs w:val="32"/>
          <w:highlight w:val="none"/>
        </w:rPr>
        <w:t>德育研讨。</w:t>
      </w:r>
      <w:r>
        <w:rPr>
          <w:rFonts w:hint="eastAsia" w:ascii="仿宋_GB2312" w:eastAsia="仿宋_GB2312"/>
          <w:color w:val="auto"/>
          <w:sz w:val="32"/>
          <w:szCs w:val="32"/>
          <w:highlight w:val="none"/>
        </w:rPr>
        <w:t>与昭化小学联合召开班级管理研讨会，</w:t>
      </w:r>
      <w:r>
        <w:rPr>
          <w:rFonts w:hint="eastAsia" w:ascii="仿宋_GB2312" w:hAnsi="仿宋" w:eastAsia="仿宋_GB2312"/>
          <w:color w:val="auto"/>
          <w:sz w:val="32"/>
          <w:szCs w:val="32"/>
          <w:highlight w:val="none"/>
        </w:rPr>
        <w:t>借鉴东辰教育集团“德育小会”模式。</w:t>
      </w:r>
      <w:r>
        <w:rPr>
          <w:rFonts w:hint="eastAsia" w:ascii="仿宋_GB2312" w:hAnsi="仿宋_GB2312" w:eastAsia="仿宋_GB2312" w:cs="仿宋_GB2312"/>
          <w:b/>
          <w:bCs/>
          <w:color w:val="auto"/>
          <w:sz w:val="32"/>
          <w:szCs w:val="32"/>
          <w:highlight w:val="none"/>
        </w:rPr>
        <w:t>四是</w:t>
      </w:r>
      <w:r>
        <w:rPr>
          <w:rFonts w:hint="eastAsia" w:ascii="仿宋_GB2312" w:hAnsi="仿宋_GB2312" w:eastAsia="仿宋_GB2312" w:cs="仿宋_GB2312"/>
          <w:color w:val="auto"/>
          <w:sz w:val="32"/>
          <w:szCs w:val="32"/>
          <w:highlight w:val="none"/>
        </w:rPr>
        <w:t>安全教育。通过集会、班会、宣传栏、LED强调疫情防控、交通安全、活动安全、食品卫生安全、防火防电防溺水防校园欺凌等。一年来，无重大安全事故发生。</w:t>
      </w:r>
    </w:p>
    <w:p>
      <w:pPr>
        <w:spacing w:line="576"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本年度，学校获广元市星星火炬奖，四位同学、两个中队被广元市少工委表彰。</w:t>
      </w:r>
    </w:p>
    <w:p>
      <w:pPr>
        <w:spacing w:line="560" w:lineRule="exact"/>
        <w:ind w:firstLine="643" w:firstLineChars="200"/>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（五）体卫艺科并重</w:t>
      </w:r>
    </w:p>
    <w:p>
      <w:pPr>
        <w:spacing w:line="560" w:lineRule="exact"/>
        <w:ind w:firstLine="640" w:firstLineChars="200"/>
        <w:jc w:val="left"/>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学校按部编计划开齐开足课程，隆重召开全校冬季运动会，每周升旗仪式上各班轮流才艺展示，开展少年宫社团活动，与延时服务的能力拓展结合。组织参加省市艺术人才大赛，认真搞好学生体质健康测试。完善疫情防控“两案九制”，加强日常防控。搞好艾滋病和结核病预防宣传教育。</w:t>
      </w:r>
    </w:p>
    <w:p>
      <w:pPr>
        <w:spacing w:line="560" w:lineRule="exact"/>
        <w:ind w:firstLine="640"/>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（六）强化教学教研</w:t>
      </w:r>
    </w:p>
    <w:p>
      <w:pPr>
        <w:spacing w:line="576" w:lineRule="exact"/>
        <w:ind w:firstLine="640" w:firstLineChars="200"/>
        <w:jc w:val="left"/>
        <w:rPr>
          <w:rFonts w:ascii="仿宋_GB2312" w:hAnsi="仿宋" w:eastAsia="仿宋_GB2312" w:cs="仿宋_GB2312"/>
          <w:color w:val="auto"/>
          <w:sz w:val="32"/>
          <w:szCs w:val="32"/>
          <w:highlight w:val="none"/>
        </w:rPr>
      </w:pPr>
      <w:r>
        <w:rPr>
          <w:rFonts w:hint="eastAsia" w:ascii="仿宋_GB2312" w:hAnsi="仿宋" w:eastAsia="仿宋_GB2312"/>
          <w:color w:val="auto"/>
          <w:sz w:val="32"/>
          <w:szCs w:val="32"/>
          <w:highlight w:val="none"/>
        </w:rPr>
        <w:t>坚持教学为中心，制定全校及各年级各科全区教学质量检测排位目标。每月一次教学“六认真”检查与通报，每学期一次学情调查。师生结对帮扶到位，培优辅差措施得力。学校“五项管理”和“双减”工作取得一定成效。</w:t>
      </w:r>
    </w:p>
    <w:p>
      <w:pPr>
        <w:spacing w:line="576" w:lineRule="exact"/>
        <w:ind w:firstLine="640" w:firstLineChars="200"/>
        <w:jc w:val="left"/>
        <w:rPr>
          <w:rFonts w:ascii="仿宋_GB2312" w:hAnsi="仿宋_GB2312" w:eastAsia="仿宋_GB2312" w:cs="仿宋_GB2312"/>
          <w:bCs/>
          <w:color w:val="auto"/>
          <w:sz w:val="32"/>
          <w:szCs w:val="32"/>
          <w:highlight w:val="none"/>
        </w:rPr>
      </w:pPr>
      <w:r>
        <w:rPr>
          <w:rFonts w:hint="eastAsia" w:ascii="仿宋_GB2312" w:hAnsi="仿宋" w:eastAsia="仿宋_GB2312"/>
          <w:color w:val="auto"/>
          <w:sz w:val="32"/>
          <w:szCs w:val="32"/>
          <w:highlight w:val="none"/>
        </w:rPr>
        <w:t>学校5个省市级科研课题有序推进。定期举办“阳光讲堂”。学校“四乐”教学模式成效凸显</w:t>
      </w:r>
      <w:r>
        <w:rPr>
          <w:rFonts w:hint="eastAsia" w:ascii="仿宋_GB2312" w:hAnsi="仿宋_GB2312" w:eastAsia="仿宋_GB2312" w:cs="仿宋_GB2312"/>
          <w:bCs/>
          <w:color w:val="auto"/>
          <w:sz w:val="32"/>
          <w:szCs w:val="32"/>
          <w:highlight w:val="none"/>
        </w:rPr>
        <w:t>，教学质量检测连续七年获区内小学第一名。</w:t>
      </w:r>
    </w:p>
    <w:p>
      <w:pPr>
        <w:ind w:firstLine="643" w:firstLineChars="200"/>
        <w:jc w:val="left"/>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 xml:space="preserve">（七）突显安全维稳 </w:t>
      </w:r>
    </w:p>
    <w:p>
      <w:pPr>
        <w:spacing w:line="560" w:lineRule="exact"/>
        <w:ind w:firstLine="643" w:firstLineChars="200"/>
        <w:jc w:val="left"/>
        <w:rPr>
          <w:rFonts w:ascii="仿宋_GB2312" w:hAnsi="仿宋" w:eastAsia="仿宋_GB2312" w:cs="仿宋_GB2312"/>
          <w:bCs/>
          <w:color w:val="auto"/>
          <w:sz w:val="32"/>
          <w:szCs w:val="32"/>
          <w:highlight w:val="none"/>
        </w:rPr>
      </w:pPr>
      <w:r>
        <w:rPr>
          <w:rFonts w:hint="eastAsia" w:ascii="仿宋_GB2312" w:hAnsi="仿宋_GB2312" w:eastAsia="仿宋_GB2312" w:cs="仿宋_GB2312"/>
          <w:b/>
          <w:bCs/>
          <w:color w:val="auto"/>
          <w:sz w:val="32"/>
          <w:szCs w:val="32"/>
          <w:highlight w:val="none"/>
        </w:rPr>
        <w:t>一是</w:t>
      </w:r>
      <w:r>
        <w:rPr>
          <w:rFonts w:hint="eastAsia" w:ascii="仿宋_GB2312" w:hAnsi="仿宋_GB2312" w:eastAsia="仿宋_GB2312" w:cs="仿宋_GB2312"/>
          <w:color w:val="auto"/>
          <w:sz w:val="32"/>
          <w:szCs w:val="32"/>
          <w:highlight w:val="none"/>
        </w:rPr>
        <w:t>制定各项安全制度，建立各种安全预案，层层签订安全责任书，发放红头安全管理责任清单。</w:t>
      </w:r>
      <w:r>
        <w:rPr>
          <w:rFonts w:hint="eastAsia" w:ascii="仿宋_GB2312" w:hAnsi="仿宋_GB2312" w:eastAsia="仿宋_GB2312" w:cs="仿宋_GB2312"/>
          <w:b/>
          <w:bCs/>
          <w:color w:val="auto"/>
          <w:sz w:val="32"/>
          <w:szCs w:val="32"/>
          <w:highlight w:val="none"/>
        </w:rPr>
        <w:t>二是</w:t>
      </w:r>
      <w:r>
        <w:rPr>
          <w:rFonts w:hint="eastAsia" w:ascii="仿宋_GB2312" w:hAnsi="仿宋_GB2312" w:eastAsia="仿宋_GB2312" w:cs="仿宋_GB2312"/>
          <w:color w:val="auto"/>
          <w:sz w:val="32"/>
          <w:szCs w:val="32"/>
          <w:highlight w:val="none"/>
        </w:rPr>
        <w:t>校内安有多个电子摄像头，及时进行</w:t>
      </w:r>
      <w:r>
        <w:rPr>
          <w:rFonts w:hint="eastAsia" w:ascii="仿宋_GB2312" w:hAnsi="仿宋" w:eastAsia="仿宋_GB2312" w:cs="仿宋_GB2312"/>
          <w:bCs/>
          <w:color w:val="auto"/>
          <w:sz w:val="32"/>
          <w:szCs w:val="32"/>
          <w:highlight w:val="none"/>
        </w:rPr>
        <w:t>校舍维修，定期环境消杀，防患于未然。</w:t>
      </w:r>
      <w:r>
        <w:rPr>
          <w:rFonts w:hint="eastAsia" w:ascii="仿宋_GB2312" w:hAnsi="仿宋" w:eastAsia="仿宋_GB2312" w:cs="仿宋_GB2312"/>
          <w:b/>
          <w:color w:val="auto"/>
          <w:sz w:val="32"/>
          <w:szCs w:val="32"/>
          <w:highlight w:val="none"/>
        </w:rPr>
        <w:t>三是</w:t>
      </w:r>
      <w:r>
        <w:rPr>
          <w:rFonts w:hint="eastAsia" w:ascii="仿宋_GB2312" w:hAnsi="仿宋" w:eastAsia="仿宋_GB2312" w:cs="仿宋_GB2312"/>
          <w:bCs/>
          <w:color w:val="auto"/>
          <w:sz w:val="32"/>
          <w:szCs w:val="32"/>
          <w:highlight w:val="none"/>
        </w:rPr>
        <w:t>建好应急处突队伍，备齐备足应急物资，抓实应急演练，搞好值班值守。</w:t>
      </w:r>
      <w:r>
        <w:rPr>
          <w:rFonts w:hint="eastAsia" w:ascii="仿宋_GB2312" w:hAnsi="仿宋" w:eastAsia="仿宋_GB2312" w:cs="仿宋_GB2312"/>
          <w:b/>
          <w:color w:val="auto"/>
          <w:sz w:val="32"/>
          <w:szCs w:val="32"/>
          <w:highlight w:val="none"/>
        </w:rPr>
        <w:t>四是</w:t>
      </w:r>
      <w:r>
        <w:rPr>
          <w:rFonts w:hint="eastAsia" w:ascii="仿宋_GB2312" w:hAnsi="仿宋" w:eastAsia="仿宋_GB2312" w:cs="仿宋_GB2312"/>
          <w:bCs/>
          <w:color w:val="auto"/>
          <w:sz w:val="32"/>
          <w:szCs w:val="32"/>
          <w:highlight w:val="none"/>
        </w:rPr>
        <w:t>上好安全课，开展各类安全主题教育活动，及时上报资料。</w:t>
      </w:r>
      <w:r>
        <w:rPr>
          <w:rFonts w:hint="eastAsia" w:ascii="仿宋_GB2312" w:hAnsi="仿宋" w:eastAsia="仿宋_GB2312" w:cs="仿宋_GB2312"/>
          <w:b/>
          <w:color w:val="auto"/>
          <w:sz w:val="32"/>
          <w:szCs w:val="32"/>
          <w:highlight w:val="none"/>
        </w:rPr>
        <w:t>五是</w:t>
      </w:r>
      <w:r>
        <w:rPr>
          <w:rFonts w:hint="eastAsia" w:ascii="仿宋_GB2312" w:hAnsi="仿宋" w:eastAsia="仿宋_GB2312" w:cs="仿宋_GB2312"/>
          <w:color w:val="auto"/>
          <w:sz w:val="32"/>
          <w:szCs w:val="32"/>
          <w:highlight w:val="none"/>
        </w:rPr>
        <w:t>学校重大事项上会研究并记录在“三重一大”活页记录表上。</w:t>
      </w:r>
      <w:r>
        <w:rPr>
          <w:rFonts w:hint="eastAsia" w:ascii="仿宋_GB2312" w:hAnsi="仿宋" w:eastAsia="仿宋_GB2312" w:cs="仿宋_GB2312"/>
          <w:b/>
          <w:bCs/>
          <w:color w:val="auto"/>
          <w:sz w:val="32"/>
          <w:szCs w:val="32"/>
          <w:highlight w:val="none"/>
        </w:rPr>
        <w:t>六是</w:t>
      </w:r>
      <w:r>
        <w:rPr>
          <w:rFonts w:hint="eastAsia" w:ascii="仿宋_GB2312" w:hAnsi="仿宋" w:eastAsia="仿宋_GB2312" w:cs="仿宋_GB2312"/>
          <w:bCs/>
          <w:color w:val="auto"/>
          <w:sz w:val="32"/>
          <w:szCs w:val="32"/>
          <w:highlight w:val="none"/>
        </w:rPr>
        <w:t>纪检委员牵头师德师风建设，审核经费收支事项，财务报账把关签字等。</w:t>
      </w:r>
      <w:r>
        <w:rPr>
          <w:rFonts w:hint="eastAsia" w:ascii="仿宋_GB2312" w:hAnsi="仿宋" w:eastAsia="仿宋_GB2312" w:cs="仿宋_GB2312"/>
          <w:b/>
          <w:color w:val="auto"/>
          <w:sz w:val="32"/>
          <w:szCs w:val="32"/>
          <w:highlight w:val="none"/>
        </w:rPr>
        <w:t>七是</w:t>
      </w:r>
      <w:r>
        <w:rPr>
          <w:rFonts w:hint="eastAsia" w:ascii="仿宋_GB2312" w:hAnsi="仿宋" w:eastAsia="仿宋_GB2312" w:cs="仿宋_GB2312"/>
          <w:bCs/>
          <w:color w:val="auto"/>
          <w:sz w:val="32"/>
          <w:szCs w:val="32"/>
          <w:highlight w:val="none"/>
        </w:rPr>
        <w:t>评职晋级、评优选先公开公平公正，有方案、有记录、有公示。本年度，学校安全零事故，无违规违纪事件发生。</w:t>
      </w:r>
    </w:p>
    <w:p>
      <w:pPr>
        <w:spacing w:line="576" w:lineRule="exact"/>
        <w:ind w:firstLine="643" w:firstLineChars="200"/>
        <w:rPr>
          <w:rFonts w:ascii="仿宋_GB2312" w:hAnsi="仿宋" w:eastAsia="仿宋_GB2312" w:cs="仿宋_GB2312"/>
          <w:color w:val="auto"/>
          <w:sz w:val="32"/>
          <w:szCs w:val="32"/>
          <w:highlight w:val="none"/>
        </w:rPr>
      </w:pPr>
      <w:r>
        <w:rPr>
          <w:rFonts w:hint="eastAsia" w:ascii="楷体_GB2312" w:hAnsi="仿宋" w:eastAsia="楷体_GB2312" w:cs="楷体_GB2312"/>
          <w:b/>
          <w:bCs/>
          <w:color w:val="auto"/>
          <w:sz w:val="32"/>
          <w:szCs w:val="32"/>
          <w:highlight w:val="none"/>
        </w:rPr>
        <w:t>（</w:t>
      </w:r>
      <w:r>
        <w:rPr>
          <w:rFonts w:hint="eastAsia" w:ascii="楷体_GB2312" w:hAnsi="楷体_GB2312" w:eastAsia="楷体_GB2312" w:cs="楷体_GB2312"/>
          <w:b/>
          <w:bCs/>
          <w:color w:val="auto"/>
          <w:sz w:val="32"/>
          <w:szCs w:val="32"/>
          <w:highlight w:val="none"/>
        </w:rPr>
        <w:t>八</w:t>
      </w:r>
      <w:r>
        <w:rPr>
          <w:rFonts w:hint="eastAsia" w:ascii="楷体_GB2312" w:hAnsi="仿宋" w:eastAsia="楷体_GB2312" w:cs="楷体_GB2312"/>
          <w:b/>
          <w:bCs/>
          <w:color w:val="auto"/>
          <w:sz w:val="32"/>
          <w:szCs w:val="32"/>
          <w:highlight w:val="none"/>
        </w:rPr>
        <w:t>）重视</w:t>
      </w:r>
      <w:r>
        <w:rPr>
          <w:rFonts w:hint="eastAsia" w:ascii="楷体_GB2312" w:hAnsi="仿宋" w:eastAsia="楷体_GB2312" w:cs="仿宋_GB2312"/>
          <w:b/>
          <w:bCs/>
          <w:color w:val="auto"/>
          <w:sz w:val="32"/>
          <w:szCs w:val="32"/>
          <w:highlight w:val="none"/>
        </w:rPr>
        <w:t>工会工作。</w:t>
      </w:r>
      <w:r>
        <w:rPr>
          <w:rFonts w:hint="eastAsia" w:ascii="仿宋_GB2312" w:hAnsi="仿宋" w:eastAsia="仿宋_GB2312" w:cs="仿宋_GB2312"/>
          <w:bCs/>
          <w:color w:val="auto"/>
          <w:sz w:val="32"/>
          <w:szCs w:val="32"/>
          <w:highlight w:val="none"/>
        </w:rPr>
        <w:t>工会及时反映教职工合理诉求和建议，牵头绩效考核和评先晋级等工作。管理基建和项目工作，看望慰问困难教职工并寻求困难补助。按时收交会费和</w:t>
      </w:r>
      <w:r>
        <w:rPr>
          <w:rFonts w:hint="eastAsia" w:ascii="仿宋_GB2312" w:hAnsi="仿宋" w:eastAsia="仿宋_GB2312" w:cs="仿宋_GB2312"/>
          <w:color w:val="auto"/>
          <w:sz w:val="32"/>
          <w:szCs w:val="32"/>
          <w:highlight w:val="none"/>
        </w:rPr>
        <w:t>互助保障金</w:t>
      </w:r>
      <w:r>
        <w:rPr>
          <w:rFonts w:hint="eastAsia" w:ascii="仿宋_GB2312" w:hAnsi="仿宋" w:eastAsia="仿宋_GB2312" w:cs="仿宋_GB2312"/>
          <w:bCs/>
          <w:color w:val="auto"/>
          <w:sz w:val="32"/>
          <w:szCs w:val="32"/>
          <w:highlight w:val="none"/>
        </w:rPr>
        <w:t>，按国家政策为教职工谋取福利。</w:t>
      </w:r>
      <w:r>
        <w:rPr>
          <w:rFonts w:hint="eastAsia" w:ascii="仿宋_GB2312" w:hAnsi="仿宋" w:eastAsia="仿宋_GB2312" w:cs="仿宋_GB2312"/>
          <w:color w:val="auto"/>
          <w:sz w:val="32"/>
          <w:szCs w:val="32"/>
          <w:highlight w:val="none"/>
        </w:rPr>
        <w:t>一年来，工会为40余名退休教师、两名住院教师送去组织的关心和慰问。</w:t>
      </w:r>
    </w:p>
    <w:p>
      <w:pPr>
        <w:ind w:firstLine="640" w:firstLineChars="200"/>
        <w:rPr>
          <w:rFonts w:ascii="仿宋_GB2312" w:hAnsi="仿宋" w:eastAsia="黑体"/>
          <w:color w:val="auto"/>
          <w:sz w:val="32"/>
          <w:szCs w:val="32"/>
          <w:highlight w:val="none"/>
        </w:rPr>
      </w:pPr>
      <w:r>
        <w:rPr>
          <w:rFonts w:hint="eastAsia" w:ascii="黑体" w:hAnsi="黑体" w:eastAsia="黑体" w:cs="黑体"/>
          <w:bCs/>
          <w:color w:val="auto"/>
          <w:sz w:val="32"/>
          <w:szCs w:val="32"/>
          <w:highlight w:val="none"/>
        </w:rPr>
        <w:t>二、工作成效</w:t>
      </w:r>
    </w:p>
    <w:p>
      <w:pPr>
        <w:spacing w:line="576" w:lineRule="exact"/>
        <w:ind w:firstLine="640" w:firstLineChars="200"/>
        <w:rPr>
          <w:rFonts w:eastAsia="仿宋_GB2312"/>
          <w:bCs/>
          <w:color w:val="auto"/>
          <w:sz w:val="32"/>
          <w:szCs w:val="32"/>
          <w:highlight w:val="none"/>
        </w:rPr>
      </w:pPr>
      <w:r>
        <w:rPr>
          <w:rFonts w:hint="eastAsia" w:ascii="仿宋_GB2312" w:hAnsi="仿宋_GB2312" w:eastAsia="仿宋_GB2312" w:cs="仿宋_GB2312"/>
          <w:color w:val="auto"/>
          <w:sz w:val="32"/>
          <w:szCs w:val="32"/>
          <w:highlight w:val="none"/>
        </w:rPr>
        <w:t>本年度，学校荣获四川省书法水平测试工作先进集体、四川省第16届中小学生优秀艺术人才大赛（广元赛区）先进单位，广元市先进基层党组织、广元市教育宣传信息工作先进单位，区目标考核先进单位、教学质量二等奖、保生保学先进集体、校本研修先进集体、德育教育先进集体、教育信息化管理与应用先进集体、第24届全国推普周先进集体等荣誉和奖励。</w:t>
      </w:r>
    </w:p>
    <w:p>
      <w:pPr>
        <w:widowControl/>
        <w:jc w:val="left"/>
        <w:rPr>
          <w:rFonts w:ascii="仿宋" w:hAnsi="仿宋" w:eastAsia="仿宋"/>
          <w:color w:val="auto"/>
          <w:kern w:val="0"/>
          <w:sz w:val="32"/>
          <w:szCs w:val="32"/>
          <w:highlight w:val="none"/>
        </w:rPr>
      </w:pPr>
    </w:p>
    <w:p>
      <w:pPr>
        <w:pStyle w:val="16"/>
        <w:rPr>
          <w:color w:val="auto"/>
          <w:highlight w:val="none"/>
        </w:rPr>
      </w:pPr>
    </w:p>
    <w:p>
      <w:pPr>
        <w:rPr>
          <w:rFonts w:hint="eastAsia" w:ascii="黑体" w:hAnsi="黑体" w:eastAsia="黑体"/>
          <w:b w:val="0"/>
          <w:color w:val="auto"/>
          <w:highlight w:val="none"/>
        </w:rPr>
      </w:pPr>
      <w:bookmarkStart w:id="16" w:name="_Toc15396602"/>
      <w:bookmarkStart w:id="17" w:name="_Toc15377204"/>
      <w:r>
        <w:rPr>
          <w:rFonts w:hint="eastAsia" w:ascii="黑体" w:hAnsi="黑体" w:eastAsia="黑体"/>
          <w:b w:val="0"/>
          <w:color w:val="auto"/>
          <w:highlight w:val="none"/>
        </w:rPr>
        <w:br w:type="page"/>
      </w:r>
    </w:p>
    <w:p>
      <w:pPr>
        <w:pStyle w:val="3"/>
        <w:ind w:right="440"/>
        <w:jc w:val="center"/>
        <w:rPr>
          <w:rStyle w:val="29"/>
          <w:rFonts w:ascii="黑体" w:hAnsi="黑体" w:eastAsia="黑体"/>
          <w:b w:val="0"/>
          <w:bCs/>
          <w:color w:val="auto"/>
          <w:highlight w:val="none"/>
        </w:rPr>
      </w:pPr>
      <w:r>
        <w:rPr>
          <w:rFonts w:hint="eastAsia" w:ascii="黑体" w:hAnsi="黑体" w:eastAsia="黑体"/>
          <w:b w:val="0"/>
          <w:color w:val="auto"/>
          <w:highlight w:val="none"/>
        </w:rPr>
        <w:t>第二部分 2021年度</w:t>
      </w:r>
      <w:r>
        <w:rPr>
          <w:rStyle w:val="29"/>
          <w:rFonts w:hint="eastAsia" w:ascii="黑体" w:hAnsi="黑体" w:eastAsia="黑体"/>
          <w:b w:val="0"/>
          <w:bCs/>
          <w:color w:val="auto"/>
          <w:highlight w:val="none"/>
        </w:rPr>
        <w:t>单位决算情况说明</w:t>
      </w:r>
      <w:bookmarkEnd w:id="16"/>
      <w:bookmarkEnd w:id="17"/>
    </w:p>
    <w:p>
      <w:pPr>
        <w:rPr>
          <w:color w:val="auto"/>
          <w:highlight w:val="none"/>
        </w:rPr>
      </w:pPr>
    </w:p>
    <w:p>
      <w:pPr>
        <w:pStyle w:val="28"/>
        <w:numPr>
          <w:ilvl w:val="0"/>
          <w:numId w:val="2"/>
        </w:numPr>
        <w:spacing w:line="600" w:lineRule="exact"/>
        <w:ind w:firstLineChars="0"/>
        <w:outlineLvl w:val="1"/>
        <w:rPr>
          <w:rStyle w:val="30"/>
          <w:rFonts w:ascii="黑体" w:hAnsi="黑体" w:eastAsia="黑体"/>
          <w:b w:val="0"/>
          <w:color w:val="auto"/>
          <w:highlight w:val="none"/>
        </w:rPr>
      </w:pPr>
      <w:bookmarkStart w:id="18" w:name="_Toc15396603"/>
      <w:bookmarkStart w:id="19" w:name="_Toc15377205"/>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入支出决算总体情况说明</w:t>
      </w:r>
      <w:bookmarkEnd w:id="18"/>
      <w:bookmarkEnd w:id="19"/>
    </w:p>
    <w:p>
      <w:pPr>
        <w:spacing w:line="600" w:lineRule="exact"/>
        <w:ind w:firstLine="640" w:firstLineChars="200"/>
        <w:outlineLvl w:val="1"/>
        <w:rPr>
          <w:rFonts w:hint="eastAsia" w:eastAsia="宋体"/>
          <w:color w:val="auto"/>
          <w:highlight w:val="none"/>
          <w:lang w:eastAsia="zh-CN"/>
        </w:rPr>
      </w:pPr>
      <w:r>
        <w:rPr>
          <w:rFonts w:hint="eastAsia" w:ascii="仿宋" w:hAnsi="仿宋" w:eastAsia="仿宋"/>
          <w:color w:val="auto"/>
          <w:sz w:val="32"/>
          <w:szCs w:val="32"/>
          <w:highlight w:val="none"/>
        </w:rPr>
        <w:t>2021年度收、支总计1909.78万元。与2020年相比，收、支总计各增加</w:t>
      </w:r>
      <w:r>
        <w:rPr>
          <w:rFonts w:hint="eastAsia" w:ascii="仿宋" w:hAnsi="仿宋" w:eastAsia="仿宋"/>
          <w:color w:val="auto"/>
          <w:sz w:val="32"/>
          <w:szCs w:val="32"/>
          <w:highlight w:val="none"/>
          <w:lang w:val="en-US" w:eastAsia="zh-CN"/>
        </w:rPr>
        <w:t>608.04</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46.71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。主要变动原因是项目支出增加。</w:t>
      </w:r>
    </w:p>
    <w:p>
      <w:pPr>
        <w:pStyle w:val="28"/>
        <w:numPr>
          <w:ilvl w:val="0"/>
          <w:numId w:val="2"/>
        </w:numPr>
        <w:spacing w:line="600" w:lineRule="exact"/>
        <w:ind w:firstLineChars="0"/>
        <w:outlineLvl w:val="1"/>
        <w:rPr>
          <w:rStyle w:val="30"/>
          <w:rFonts w:ascii="黑体" w:hAnsi="黑体" w:eastAsia="黑体"/>
          <w:b w:val="0"/>
          <w:color w:val="auto"/>
          <w:highlight w:val="none"/>
        </w:rPr>
      </w:pPr>
      <w:bookmarkStart w:id="20" w:name="_Toc15377206"/>
      <w:bookmarkStart w:id="21" w:name="_Toc15396604"/>
      <w:r>
        <w:rPr>
          <w:rFonts w:hint="eastAsia" w:eastAsia="宋体"/>
          <w:color w:val="auto"/>
          <w:highlight w:val="none"/>
          <w:lang w:eastAsia="zh-CN"/>
        </w:rPr>
        <w:drawing>
          <wp:anchor distT="0" distB="0" distL="114300" distR="114300" simplePos="0" relativeHeight="251660288" behindDoc="0" locked="0" layoutInCell="1" allowOverlap="1">
            <wp:simplePos x="0" y="0"/>
            <wp:positionH relativeFrom="column">
              <wp:posOffset>23495</wp:posOffset>
            </wp:positionH>
            <wp:positionV relativeFrom="paragraph">
              <wp:posOffset>22860</wp:posOffset>
            </wp:positionV>
            <wp:extent cx="52705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入决算情况说明</w:t>
      </w:r>
      <w:bookmarkEnd w:id="20"/>
      <w:bookmarkEnd w:id="21"/>
    </w:p>
    <w:p>
      <w:pPr>
        <w:spacing w:line="600" w:lineRule="exact"/>
        <w:ind w:firstLine="640" w:firstLineChars="200"/>
        <w:outlineLvl w:val="1"/>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21年本年收入合计1909.78万元，其中：一般公共预算财政拨款收入1908.27万元，占99.</w:t>
      </w:r>
      <w:r>
        <w:rPr>
          <w:rFonts w:hint="eastAsia" w:ascii="仿宋" w:hAnsi="仿宋" w:eastAsia="仿宋"/>
          <w:color w:val="auto"/>
          <w:sz w:val="32"/>
          <w:szCs w:val="32"/>
          <w:highlight w:val="none"/>
          <w:lang w:val="en-US" w:eastAsia="zh-CN"/>
        </w:rPr>
        <w:t>92</w:t>
      </w:r>
      <w:r>
        <w:rPr>
          <w:rFonts w:ascii="仿宋" w:hAnsi="仿宋" w:eastAsia="仿宋"/>
          <w:color w:val="auto"/>
          <w:sz w:val="32"/>
          <w:szCs w:val="32"/>
          <w:highlight w:val="none"/>
        </w:rPr>
        <w:t>%</w:t>
      </w:r>
      <w:r>
        <w:rPr>
          <w:rFonts w:hint="eastAsia" w:ascii="仿宋" w:hAnsi="仿宋" w:eastAsia="仿宋"/>
          <w:color w:val="auto"/>
          <w:sz w:val="32"/>
          <w:szCs w:val="32"/>
          <w:highlight w:val="none"/>
        </w:rPr>
        <w:t>；政府性基金预算财政拨款收入1.51万元，占0.</w:t>
      </w:r>
      <w:r>
        <w:rPr>
          <w:rFonts w:hint="eastAsia" w:ascii="仿宋" w:hAnsi="仿宋" w:eastAsia="仿宋"/>
          <w:color w:val="auto"/>
          <w:sz w:val="32"/>
          <w:szCs w:val="32"/>
          <w:highlight w:val="none"/>
          <w:lang w:val="en-US" w:eastAsia="zh-CN"/>
        </w:rPr>
        <w:t>08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16"/>
        <w:rPr>
          <w:rFonts w:hint="eastAsia" w:eastAsia="宋体"/>
          <w:color w:val="auto"/>
          <w:highlight w:val="none"/>
          <w:lang w:eastAsia="zh-CN"/>
        </w:rPr>
      </w:pPr>
      <w:r>
        <w:rPr>
          <w:rFonts w:hint="eastAsia" w:eastAsia="宋体"/>
          <w:color w:val="auto"/>
          <w:highlight w:val="none"/>
          <w:lang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27305</wp:posOffset>
            </wp:positionV>
            <wp:extent cx="5584825" cy="2352040"/>
            <wp:effectExtent l="5080" t="4445" r="10795"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16"/>
        <w:ind w:left="0" w:leftChars="0" w:firstLine="640" w:firstLineChars="200"/>
        <w:rPr>
          <w:rStyle w:val="30"/>
          <w:rFonts w:ascii="黑体" w:hAnsi="黑体" w:eastAsia="黑体"/>
          <w:b w:val="0"/>
          <w:color w:val="auto"/>
          <w:highlight w:val="none"/>
        </w:rPr>
      </w:pPr>
      <w:bookmarkStart w:id="22" w:name="_Toc15396605"/>
      <w:bookmarkStart w:id="23" w:name="_Toc15377207"/>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30"/>
          <w:rFonts w:hint="eastAsia" w:ascii="黑体" w:hAnsi="黑体" w:eastAsia="黑体"/>
          <w:b w:val="0"/>
          <w:color w:val="auto"/>
          <w:highlight w:val="none"/>
        </w:rPr>
        <w:t>出决算情况说明</w:t>
      </w:r>
      <w:bookmarkEnd w:id="22"/>
      <w:bookmarkEnd w:id="23"/>
    </w:p>
    <w:p>
      <w:pPr>
        <w:spacing w:line="600" w:lineRule="exact"/>
        <w:ind w:firstLine="640" w:firstLineChars="200"/>
        <w:outlineLvl w:val="1"/>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21年本年支出合计1909.78万元，其中：基本支出</w:t>
      </w:r>
      <w:r>
        <w:rPr>
          <w:rFonts w:hint="eastAsia" w:ascii="仿宋" w:hAnsi="仿宋" w:eastAsia="仿宋"/>
          <w:color w:val="auto"/>
          <w:sz w:val="32"/>
          <w:szCs w:val="32"/>
          <w:highlight w:val="none"/>
          <w:lang w:val="en-US" w:eastAsia="zh-CN"/>
        </w:rPr>
        <w:t>948.27</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49.65</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；项目支出961.51万元，占</w:t>
      </w:r>
      <w:r>
        <w:rPr>
          <w:rFonts w:hint="eastAsia" w:ascii="仿宋" w:hAnsi="仿宋" w:eastAsia="仿宋"/>
          <w:color w:val="auto"/>
          <w:sz w:val="32"/>
          <w:szCs w:val="32"/>
          <w:highlight w:val="none"/>
          <w:lang w:val="en-US" w:eastAsia="zh-CN"/>
        </w:rPr>
        <w:t>50.35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firstLineChars="200"/>
        <w:outlineLvl w:val="1"/>
        <w:rPr>
          <w:rStyle w:val="30"/>
          <w:rFonts w:ascii="黑体" w:hAnsi="黑体" w:eastAsia="黑体"/>
          <w:b w:val="0"/>
          <w:color w:val="auto"/>
          <w:highlight w:val="none"/>
        </w:rPr>
      </w:pPr>
      <w:bookmarkStart w:id="24" w:name="_Toc15377208"/>
      <w:bookmarkStart w:id="25" w:name="_Toc15396606"/>
      <w:r>
        <w:rPr>
          <w:rFonts w:hint="eastAsia" w:ascii="仿宋" w:hAnsi="仿宋" w:eastAsia="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118110</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黑体" w:hAnsi="黑体" w:eastAsia="黑体"/>
          <w:color w:val="auto"/>
          <w:sz w:val="32"/>
          <w:szCs w:val="32"/>
          <w:highlight w:val="none"/>
        </w:rPr>
        <w:t>四、财</w:t>
      </w:r>
      <w:r>
        <w:rPr>
          <w:rStyle w:val="30"/>
          <w:rFonts w:hint="eastAsia" w:ascii="黑体" w:hAnsi="黑体" w:eastAsia="黑体"/>
          <w:b w:val="0"/>
          <w:color w:val="auto"/>
          <w:highlight w:val="none"/>
        </w:rPr>
        <w:t>政拨款收入支出决算总体情况说明</w:t>
      </w:r>
      <w:bookmarkEnd w:id="24"/>
      <w:bookmarkEnd w:id="25"/>
    </w:p>
    <w:p>
      <w:pPr>
        <w:spacing w:line="600" w:lineRule="exact"/>
        <w:ind w:firstLine="420" w:firstLineChars="200"/>
        <w:outlineLvl w:val="1"/>
        <w:rPr>
          <w:color w:val="auto"/>
          <w:highlight w:val="none"/>
        </w:rPr>
      </w:pPr>
      <w:r>
        <w:rPr>
          <w:rFonts w:hint="eastAsia" w:eastAsia="宋体"/>
          <w:color w:val="auto"/>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1313180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21年财政拨款收、支总计1909.78万元。与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20年相比，财政拨款收、支总计各增加</w:t>
      </w:r>
      <w:r>
        <w:rPr>
          <w:rFonts w:hint="eastAsia" w:ascii="仿宋" w:hAnsi="仿宋" w:eastAsia="仿宋"/>
          <w:color w:val="auto"/>
          <w:sz w:val="32"/>
          <w:szCs w:val="32"/>
          <w:highlight w:val="none"/>
          <w:lang w:val="en-US" w:eastAsia="zh-CN"/>
        </w:rPr>
        <w:t>608.04</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46.71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。主要变动原因是项目支出增加。</w:t>
      </w:r>
    </w:p>
    <w:p>
      <w:pPr>
        <w:spacing w:line="600" w:lineRule="exact"/>
        <w:ind w:firstLine="640" w:firstLineChars="200"/>
        <w:outlineLvl w:val="1"/>
        <w:rPr>
          <w:rStyle w:val="30"/>
          <w:rFonts w:ascii="黑体" w:hAnsi="黑体" w:eastAsia="黑体"/>
          <w:b w:val="0"/>
          <w:color w:val="auto"/>
          <w:highlight w:val="none"/>
        </w:rPr>
      </w:pPr>
      <w:bookmarkStart w:id="26" w:name="_Toc15377209"/>
      <w:bookmarkStart w:id="27"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般公共预算财政拨款支出决算情况说明</w:t>
      </w:r>
      <w:bookmarkEnd w:id="26"/>
      <w:bookmarkEnd w:id="27"/>
    </w:p>
    <w:p>
      <w:pPr>
        <w:spacing w:line="600" w:lineRule="exact"/>
        <w:ind w:firstLine="643" w:firstLineChars="200"/>
        <w:outlineLvl w:val="2"/>
        <w:rPr>
          <w:rFonts w:ascii="仿宋" w:hAnsi="仿宋" w:eastAsia="仿宋"/>
          <w:b/>
          <w:color w:val="auto"/>
          <w:sz w:val="32"/>
          <w:szCs w:val="32"/>
          <w:highlight w:val="none"/>
        </w:rPr>
      </w:pPr>
      <w:bookmarkStart w:id="28" w:name="_Toc15377210"/>
      <w:r>
        <w:rPr>
          <w:rFonts w:hint="eastAsia" w:ascii="仿宋" w:hAnsi="仿宋" w:eastAsia="仿宋"/>
          <w:b/>
          <w:color w:val="auto"/>
          <w:sz w:val="32"/>
          <w:szCs w:val="32"/>
          <w:highlight w:val="none"/>
        </w:rPr>
        <w:t>（一）一般公共预算财政拨款支出决算总体情况</w:t>
      </w:r>
      <w:bookmarkEnd w:id="28"/>
    </w:p>
    <w:p>
      <w:pPr>
        <w:spacing w:line="600" w:lineRule="exact"/>
        <w:ind w:firstLine="640"/>
        <w:rPr>
          <w:rFonts w:hint="eastAsia" w:ascii="仿宋" w:hAnsi="仿宋" w:eastAsia="仿宋"/>
          <w:b/>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1908.27</w:t>
      </w:r>
      <w:r>
        <w:rPr>
          <w:rFonts w:hint="eastAsia" w:ascii="仿宋" w:hAnsi="仿宋" w:eastAsia="仿宋"/>
          <w:color w:val="auto"/>
          <w:sz w:val="32"/>
          <w:szCs w:val="32"/>
          <w:highlight w:val="none"/>
        </w:rPr>
        <w:t>万元，占本年支出合计的99.</w:t>
      </w:r>
      <w:r>
        <w:rPr>
          <w:rFonts w:hint="eastAsia" w:ascii="仿宋" w:hAnsi="仿宋" w:eastAsia="仿宋"/>
          <w:color w:val="auto"/>
          <w:sz w:val="32"/>
          <w:szCs w:val="32"/>
          <w:highlight w:val="none"/>
          <w:lang w:val="en-US" w:eastAsia="zh-CN"/>
        </w:rPr>
        <w:t>92</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20年1298.74</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相比，一般公共预算财政拨款支出增加</w:t>
      </w:r>
      <w:r>
        <w:rPr>
          <w:rFonts w:hint="eastAsia" w:ascii="仿宋" w:hAnsi="仿宋" w:eastAsia="仿宋"/>
          <w:color w:val="auto"/>
          <w:sz w:val="32"/>
          <w:szCs w:val="32"/>
          <w:highlight w:val="none"/>
          <w:lang w:val="en-US" w:eastAsia="zh-CN"/>
        </w:rPr>
        <w:t>609.83</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46.93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。主要变动原因是项目支出增加。</w:t>
      </w:r>
    </w:p>
    <w:p>
      <w:pPr>
        <w:spacing w:line="600" w:lineRule="exact"/>
        <w:ind w:firstLine="643" w:firstLineChars="200"/>
        <w:outlineLvl w:val="2"/>
        <w:rPr>
          <w:rFonts w:ascii="仿宋" w:hAnsi="仿宋" w:eastAsia="仿宋"/>
          <w:b/>
          <w:color w:val="auto"/>
          <w:sz w:val="32"/>
          <w:szCs w:val="32"/>
          <w:highlight w:val="none"/>
        </w:rPr>
      </w:pPr>
      <w:bookmarkStart w:id="29" w:name="_Toc15377211"/>
      <w:r>
        <w:rPr>
          <w:rFonts w:hint="eastAsia" w:ascii="仿宋" w:hAnsi="仿宋" w:eastAsia="仿宋"/>
          <w:b/>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b/>
          <w:color w:val="auto"/>
          <w:sz w:val="32"/>
          <w:szCs w:val="32"/>
          <w:highlight w:val="none"/>
        </w:rPr>
        <w:t>（二）一般公共预算财政拨款支出决算结构情况</w:t>
      </w:r>
      <w:bookmarkEnd w:id="29"/>
    </w:p>
    <w:p>
      <w:pPr>
        <w:spacing w:line="600" w:lineRule="exact"/>
        <w:ind w:firstLine="640"/>
        <w:rPr>
          <w:rFonts w:ascii="仿宋" w:hAnsi="仿宋" w:eastAsia="仿宋"/>
          <w:color w:val="auto"/>
          <w:sz w:val="32"/>
          <w:szCs w:val="32"/>
          <w:highlight w:val="none"/>
        </w:rPr>
      </w:pPr>
      <w:r>
        <w:rPr>
          <w:rFonts w:hint="eastAsia" w:ascii="仿宋" w:hAnsi="仿宋" w:eastAsia="仿宋"/>
          <w:b/>
          <w:color w:val="auto"/>
          <w:sz w:val="32"/>
          <w:szCs w:val="32"/>
          <w:highlight w:val="none"/>
        </w:rPr>
        <w:drawing>
          <wp:anchor distT="0" distB="0" distL="114300" distR="114300" simplePos="0" relativeHeight="251664384"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1908.27</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教育支出（类）</w:t>
      </w:r>
      <w:r>
        <w:rPr>
          <w:rFonts w:hint="eastAsia" w:ascii="仿宋" w:hAnsi="仿宋" w:eastAsia="仿宋"/>
          <w:color w:val="auto"/>
          <w:sz w:val="32"/>
          <w:szCs w:val="32"/>
          <w:highlight w:val="none"/>
          <w:lang w:val="en-US" w:eastAsia="zh-CN"/>
        </w:rPr>
        <w:t>1908.27</w:t>
      </w:r>
      <w:r>
        <w:rPr>
          <w:rFonts w:hint="eastAsia" w:ascii="仿宋" w:hAnsi="仿宋" w:eastAsia="仿宋"/>
          <w:color w:val="auto"/>
          <w:sz w:val="32"/>
          <w:szCs w:val="32"/>
          <w:highlight w:val="none"/>
        </w:rPr>
        <w:t>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rPr>
          <w:rFonts w:ascii="仿宋" w:hAnsi="仿宋" w:eastAsia="仿宋"/>
          <w:b/>
          <w:color w:val="auto"/>
          <w:sz w:val="32"/>
          <w:szCs w:val="32"/>
          <w:highlight w:val="none"/>
        </w:rPr>
      </w:pPr>
      <w:bookmarkStart w:id="30" w:name="_Toc15377212"/>
      <w:r>
        <w:rPr>
          <w:rFonts w:hint="eastAsia" w:ascii="仿宋" w:hAnsi="仿宋" w:eastAsia="仿宋"/>
          <w:b/>
          <w:color w:val="auto"/>
          <w:sz w:val="32"/>
          <w:szCs w:val="32"/>
          <w:highlight w:val="none"/>
        </w:rPr>
        <w:t>（三）一般公共预算财政拨款支出决算具体情况</w:t>
      </w:r>
      <w:bookmarkEnd w:id="30"/>
    </w:p>
    <w:p>
      <w:pPr>
        <w:spacing w:line="600" w:lineRule="exact"/>
        <w:ind w:firstLine="643" w:firstLineChars="200"/>
        <w:outlineLvl w:val="2"/>
        <w:rPr>
          <w:rFonts w:ascii="仿宋" w:hAnsi="仿宋" w:eastAsia="仿宋"/>
          <w:color w:val="auto"/>
          <w:sz w:val="32"/>
          <w:szCs w:val="32"/>
          <w:highlight w:val="none"/>
        </w:rPr>
      </w:pPr>
      <w:bookmarkStart w:id="31" w:name="_Toc15377444"/>
      <w:bookmarkStart w:id="32" w:name="_Toc15377213"/>
      <w:bookmarkStart w:id="33" w:name="_Toc15378460"/>
      <w:r>
        <w:rPr>
          <w:rFonts w:hint="eastAsia" w:ascii="仿宋" w:hAnsi="仿宋" w:eastAsia="仿宋"/>
          <w:b/>
          <w:color w:val="auto"/>
          <w:sz w:val="32"/>
          <w:szCs w:val="32"/>
          <w:highlight w:val="none"/>
        </w:rPr>
        <w:t>2021年一般公共预算支出决算数为</w:t>
      </w:r>
      <w:r>
        <w:rPr>
          <w:rFonts w:hint="eastAsia" w:ascii="仿宋" w:hAnsi="仿宋" w:eastAsia="仿宋"/>
          <w:b/>
          <w:color w:val="auto"/>
          <w:sz w:val="32"/>
          <w:szCs w:val="32"/>
          <w:highlight w:val="none"/>
          <w:lang w:val="en-US" w:eastAsia="zh-CN"/>
        </w:rPr>
        <w:t>1908.27万元</w:t>
      </w:r>
      <w:r>
        <w:rPr>
          <w:rFonts w:hint="eastAsia" w:ascii="仿宋" w:hAnsi="仿宋" w:eastAsia="仿宋"/>
          <w:color w:val="auto"/>
          <w:sz w:val="32"/>
          <w:szCs w:val="32"/>
          <w:highlight w:val="none"/>
        </w:rPr>
        <w:t>，</w:t>
      </w:r>
      <w:r>
        <w:rPr>
          <w:rStyle w:val="19"/>
          <w:rFonts w:hint="eastAsia" w:ascii="仿宋" w:hAnsi="仿宋" w:eastAsia="仿宋"/>
          <w:bCs/>
          <w:color w:val="auto"/>
          <w:sz w:val="32"/>
          <w:szCs w:val="32"/>
          <w:highlight w:val="none"/>
        </w:rPr>
        <w:t>完成预算100</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。其中：</w:t>
      </w:r>
      <w:bookmarkEnd w:id="31"/>
      <w:bookmarkEnd w:id="32"/>
      <w:bookmarkEnd w:id="33"/>
    </w:p>
    <w:p>
      <w:pPr>
        <w:spacing w:line="600" w:lineRule="exact"/>
        <w:ind w:firstLine="643" w:firstLineChars="200"/>
        <w:rPr>
          <w:rFonts w:ascii="仿宋" w:hAnsi="仿宋" w:eastAsia="仿宋"/>
          <w:b/>
          <w:color w:val="auto"/>
          <w:sz w:val="32"/>
          <w:szCs w:val="32"/>
          <w:highlight w:val="none"/>
        </w:rPr>
      </w:pPr>
      <w:r>
        <w:rPr>
          <w:rStyle w:val="19"/>
          <w:rFonts w:hint="eastAsia" w:ascii="仿宋" w:hAnsi="仿宋" w:eastAsia="仿宋"/>
          <w:bCs/>
          <w:color w:val="auto"/>
          <w:sz w:val="32"/>
          <w:szCs w:val="32"/>
          <w:highlight w:val="none"/>
        </w:rPr>
        <w:t>1.教育205（类）普通教育02（款）小学教育02（项）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948.27</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pPr>
        <w:spacing w:line="600" w:lineRule="exact"/>
        <w:ind w:firstLine="643" w:firstLineChars="200"/>
        <w:rPr>
          <w:rStyle w:val="19"/>
          <w:rFonts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2</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教育205（类）</w:t>
      </w:r>
      <w:r>
        <w:rPr>
          <w:rStyle w:val="19"/>
          <w:rFonts w:hint="eastAsia" w:ascii="仿宋" w:hAnsi="仿宋" w:eastAsia="仿宋"/>
          <w:bCs/>
          <w:color w:val="auto"/>
          <w:sz w:val="32"/>
          <w:szCs w:val="32"/>
          <w:highlight w:val="none"/>
          <w:lang w:eastAsia="zh-CN"/>
        </w:rPr>
        <w:t>其他</w:t>
      </w:r>
      <w:r>
        <w:rPr>
          <w:rStyle w:val="19"/>
          <w:rFonts w:hint="eastAsia" w:ascii="仿宋" w:hAnsi="仿宋" w:eastAsia="仿宋"/>
          <w:bCs/>
          <w:color w:val="auto"/>
          <w:sz w:val="32"/>
          <w:szCs w:val="32"/>
          <w:highlight w:val="none"/>
        </w:rPr>
        <w:t>教育</w:t>
      </w:r>
      <w:r>
        <w:rPr>
          <w:rStyle w:val="19"/>
          <w:rFonts w:hint="eastAsia" w:ascii="仿宋" w:hAnsi="仿宋" w:eastAsia="仿宋"/>
          <w:bCs/>
          <w:color w:val="auto"/>
          <w:sz w:val="32"/>
          <w:szCs w:val="32"/>
          <w:highlight w:val="none"/>
          <w:lang w:val="en-US" w:eastAsia="zh-CN"/>
        </w:rPr>
        <w:t>9</w:t>
      </w:r>
      <w:r>
        <w:rPr>
          <w:rStyle w:val="19"/>
          <w:rFonts w:hint="eastAsia" w:ascii="仿宋" w:hAnsi="仿宋" w:eastAsia="仿宋"/>
          <w:bCs/>
          <w:color w:val="auto"/>
          <w:sz w:val="32"/>
          <w:szCs w:val="32"/>
          <w:highlight w:val="none"/>
        </w:rPr>
        <w:t>9（款）</w:t>
      </w:r>
      <w:r>
        <w:rPr>
          <w:rStyle w:val="19"/>
          <w:rFonts w:hint="eastAsia" w:ascii="仿宋" w:hAnsi="仿宋" w:eastAsia="仿宋"/>
          <w:bCs/>
          <w:color w:val="auto"/>
          <w:sz w:val="32"/>
          <w:szCs w:val="32"/>
          <w:highlight w:val="none"/>
          <w:lang w:eastAsia="zh-CN"/>
        </w:rPr>
        <w:t>其他</w:t>
      </w:r>
      <w:r>
        <w:rPr>
          <w:rStyle w:val="19"/>
          <w:rFonts w:hint="eastAsia" w:ascii="仿宋" w:hAnsi="仿宋" w:eastAsia="仿宋"/>
          <w:bCs/>
          <w:color w:val="auto"/>
          <w:sz w:val="32"/>
          <w:szCs w:val="32"/>
          <w:highlight w:val="none"/>
        </w:rPr>
        <w:t>教育</w:t>
      </w:r>
      <w:r>
        <w:rPr>
          <w:rStyle w:val="19"/>
          <w:rFonts w:hint="eastAsia" w:ascii="仿宋" w:hAnsi="仿宋" w:eastAsia="仿宋"/>
          <w:bCs/>
          <w:color w:val="auto"/>
          <w:sz w:val="32"/>
          <w:szCs w:val="32"/>
          <w:highlight w:val="none"/>
          <w:lang w:eastAsia="zh-CN"/>
        </w:rPr>
        <w:t>支出</w:t>
      </w:r>
      <w:r>
        <w:rPr>
          <w:rStyle w:val="19"/>
          <w:rFonts w:hint="eastAsia" w:ascii="仿宋" w:hAnsi="仿宋" w:eastAsia="仿宋"/>
          <w:bCs/>
          <w:color w:val="auto"/>
          <w:sz w:val="32"/>
          <w:szCs w:val="32"/>
          <w:highlight w:val="none"/>
        </w:rPr>
        <w:t>02（项）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960.00</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pPr>
        <w:pStyle w:val="16"/>
        <w:rPr>
          <w:color w:val="auto"/>
          <w:highlight w:val="none"/>
        </w:rPr>
      </w:pPr>
    </w:p>
    <w:p>
      <w:pPr>
        <w:tabs>
          <w:tab w:val="right" w:pos="8306"/>
        </w:tabs>
        <w:spacing w:line="600" w:lineRule="exact"/>
        <w:ind w:firstLine="640"/>
        <w:outlineLvl w:val="1"/>
        <w:rPr>
          <w:rStyle w:val="30"/>
          <w:color w:val="auto"/>
          <w:highlight w:val="none"/>
        </w:rPr>
      </w:pPr>
      <w:bookmarkStart w:id="34" w:name="_Toc15377214"/>
      <w:bookmarkStart w:id="35"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般公共预算财政拨款基本支出决算情况说明</w:t>
      </w:r>
      <w:bookmarkEnd w:id="34"/>
      <w:bookmarkEnd w:id="35"/>
      <w:r>
        <w:rPr>
          <w:rStyle w:val="30"/>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21年一般公共预算财政拨款基本支出</w:t>
      </w:r>
      <w:r>
        <w:rPr>
          <w:rFonts w:hint="eastAsia" w:ascii="仿宋" w:hAnsi="仿宋" w:eastAsia="仿宋"/>
          <w:color w:val="auto"/>
          <w:sz w:val="32"/>
          <w:szCs w:val="32"/>
          <w:highlight w:val="none"/>
          <w:lang w:val="en-US" w:eastAsia="zh-CN"/>
        </w:rPr>
        <w:t>948.27</w:t>
      </w:r>
      <w:r>
        <w:rPr>
          <w:rFonts w:hint="eastAsia" w:ascii="仿宋" w:hAnsi="仿宋" w:eastAsia="仿宋"/>
          <w:color w:val="auto"/>
          <w:sz w:val="32"/>
          <w:szCs w:val="32"/>
          <w:highlight w:val="none"/>
        </w:rPr>
        <w:t>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840.60</w:t>
      </w:r>
      <w:r>
        <w:rPr>
          <w:rFonts w:hint="eastAsia" w:ascii="仿宋" w:hAnsi="仿宋" w:eastAsia="仿宋"/>
          <w:color w:val="auto"/>
          <w:sz w:val="32"/>
          <w:szCs w:val="32"/>
          <w:highlight w:val="none"/>
        </w:rPr>
        <w:t>万元，主要包括：基本工资、津贴补贴、绩效工资、机关事业单位基本养老保险缴费、职业年金缴费、职工基本医疗保险缴费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其他社会保障缴费、其他工资福利支出、生活补助、助学金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奖励金、住房公积金、其他对个人和家庭的补助支出等。</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107.07</w:t>
      </w:r>
      <w:r>
        <w:rPr>
          <w:rFonts w:hint="eastAsia" w:ascii="仿宋" w:hAnsi="仿宋" w:eastAsia="仿宋"/>
          <w:color w:val="auto"/>
          <w:sz w:val="32"/>
          <w:szCs w:val="32"/>
          <w:highlight w:val="none"/>
        </w:rPr>
        <w:t>万元，主要包括：办公费、印刷费、手续费、水费、电费、邮电费、差旅费、维修（护）费、培训费、公务接待费、工会经费等。</w:t>
      </w:r>
    </w:p>
    <w:p>
      <w:pPr>
        <w:spacing w:line="600" w:lineRule="exact"/>
        <w:ind w:firstLine="640"/>
        <w:outlineLvl w:val="1"/>
        <w:rPr>
          <w:rStyle w:val="30"/>
          <w:rFonts w:ascii="黑体" w:hAnsi="黑体" w:eastAsia="黑体"/>
          <w:b w:val="0"/>
          <w:color w:val="auto"/>
          <w:highlight w:val="none"/>
        </w:rPr>
      </w:pPr>
      <w:bookmarkStart w:id="36" w:name="_Toc15377215"/>
      <w:bookmarkStart w:id="37" w:name="_Toc15396609"/>
      <w:r>
        <w:rPr>
          <w:rFonts w:hint="eastAsia" w:ascii="黑体" w:eastAsia="黑体"/>
          <w:color w:val="auto"/>
          <w:sz w:val="32"/>
          <w:szCs w:val="32"/>
          <w:highlight w:val="none"/>
        </w:rPr>
        <w:t>七、</w:t>
      </w:r>
      <w:r>
        <w:rPr>
          <w:rStyle w:val="30"/>
          <w:rFonts w:hint="eastAsia" w:ascii="黑体" w:hAnsi="黑体" w:eastAsia="黑体"/>
          <w:color w:val="auto"/>
          <w:highlight w:val="none"/>
        </w:rPr>
        <w:t>“</w:t>
      </w:r>
      <w:r>
        <w:rPr>
          <w:rStyle w:val="30"/>
          <w:rFonts w:hint="eastAsia" w:ascii="黑体" w:hAnsi="黑体" w:eastAsia="黑体"/>
          <w:b w:val="0"/>
          <w:color w:val="auto"/>
          <w:highlight w:val="none"/>
        </w:rPr>
        <w:t>三公”经费财政拨款支出决算情况说明</w:t>
      </w:r>
      <w:bookmarkEnd w:id="36"/>
      <w:bookmarkEnd w:id="37"/>
    </w:p>
    <w:p>
      <w:pPr>
        <w:spacing w:line="600" w:lineRule="exact"/>
        <w:ind w:firstLine="640"/>
        <w:outlineLvl w:val="2"/>
        <w:rPr>
          <w:rFonts w:ascii="仿宋" w:hAnsi="仿宋" w:eastAsia="仿宋"/>
          <w:b/>
          <w:color w:val="auto"/>
          <w:sz w:val="32"/>
          <w:szCs w:val="32"/>
          <w:highlight w:val="none"/>
        </w:rPr>
      </w:pPr>
      <w:bookmarkStart w:id="38" w:name="_Toc15377216"/>
      <w:r>
        <w:rPr>
          <w:rFonts w:hint="eastAsia" w:ascii="仿宋" w:hAnsi="仿宋" w:eastAsia="仿宋"/>
          <w:b/>
          <w:color w:val="auto"/>
          <w:sz w:val="32"/>
          <w:szCs w:val="32"/>
          <w:highlight w:val="none"/>
        </w:rPr>
        <w:t>（一）“三公”经费财政拨款支出决算总体情况说明</w:t>
      </w:r>
      <w:bookmarkEnd w:id="3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21年“三公”经费财政拨款支出决算为1.</w:t>
      </w:r>
      <w:r>
        <w:rPr>
          <w:rFonts w:hint="eastAsia" w:ascii="仿宋" w:hAnsi="仿宋" w:eastAsia="仿宋"/>
          <w:color w:val="auto"/>
          <w:sz w:val="32"/>
          <w:szCs w:val="32"/>
          <w:highlight w:val="none"/>
          <w:lang w:val="en-US" w:eastAsia="zh-CN"/>
        </w:rPr>
        <w:t>33</w:t>
      </w:r>
      <w:r>
        <w:rPr>
          <w:rFonts w:hint="eastAsia" w:ascii="仿宋" w:hAnsi="仿宋" w:eastAsia="仿宋"/>
          <w:color w:val="auto"/>
          <w:sz w:val="32"/>
          <w:szCs w:val="32"/>
          <w:highlight w:val="none"/>
        </w:rPr>
        <w:t>万元，完成预算9</w:t>
      </w:r>
      <w:r>
        <w:rPr>
          <w:rFonts w:hint="eastAsia" w:ascii="仿宋" w:hAnsi="仿宋" w:eastAsia="仿宋"/>
          <w:color w:val="auto"/>
          <w:sz w:val="32"/>
          <w:szCs w:val="32"/>
          <w:highlight w:val="none"/>
          <w:lang w:val="en-US" w:eastAsia="zh-CN"/>
        </w:rPr>
        <w:t>5</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00</w:t>
      </w:r>
      <w:r>
        <w:rPr>
          <w:rFonts w:ascii="仿宋" w:hAnsi="仿宋" w:eastAsia="仿宋"/>
          <w:color w:val="auto"/>
          <w:sz w:val="32"/>
          <w:szCs w:val="32"/>
          <w:highlight w:val="none"/>
        </w:rPr>
        <w:t>%</w:t>
      </w:r>
      <w:r>
        <w:rPr>
          <w:rFonts w:hint="eastAsia" w:ascii="仿宋" w:hAnsi="仿宋" w:eastAsia="仿宋"/>
          <w:color w:val="auto"/>
          <w:sz w:val="32"/>
          <w:szCs w:val="32"/>
          <w:highlight w:val="none"/>
        </w:rPr>
        <w:t>，决算数小于预算数的主要原因</w:t>
      </w:r>
      <w:r>
        <w:rPr>
          <w:rFonts w:hint="eastAsia" w:ascii="仿宋" w:hAnsi="仿宋" w:eastAsia="仿宋"/>
          <w:color w:val="auto"/>
          <w:sz w:val="32"/>
          <w:szCs w:val="32"/>
          <w:highlight w:val="none"/>
        </w:rPr>
        <w:t>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39" w:name="_Toc15377217"/>
      <w:r>
        <w:rPr>
          <w:rFonts w:hint="eastAsia" w:ascii="仿宋" w:hAnsi="仿宋" w:eastAsia="仿宋"/>
          <w:b/>
          <w:color w:val="auto"/>
          <w:sz w:val="32"/>
          <w:szCs w:val="32"/>
          <w:highlight w:val="none"/>
        </w:rPr>
        <w:t>（二）“三公”经费财政拨款支出决算具体情况说明</w:t>
      </w:r>
      <w:bookmarkEnd w:id="39"/>
    </w:p>
    <w:p>
      <w:pPr>
        <w:spacing w:line="600" w:lineRule="exact"/>
        <w:ind w:firstLine="640" w:firstLineChars="20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21年“三公”经费财政拨款支出决算中，因公出国（境）费支出决算0万元，</w:t>
      </w:r>
      <w:r>
        <w:rPr>
          <w:rFonts w:hint="eastAsia" w:ascii="仿宋" w:hAnsi="仿宋" w:eastAsia="仿宋"/>
          <w:color w:val="auto"/>
          <w:sz w:val="32"/>
          <w:szCs w:val="32"/>
          <w:highlight w:val="none"/>
        </w:rPr>
        <w:t>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公务用车购置及运行维护费支出决算0万元，</w:t>
      </w:r>
      <w:r>
        <w:rPr>
          <w:rFonts w:hint="eastAsia" w:ascii="仿宋" w:hAnsi="仿宋" w:eastAsia="仿宋"/>
          <w:color w:val="auto"/>
          <w:sz w:val="32"/>
          <w:szCs w:val="32"/>
          <w:highlight w:val="none"/>
        </w:rPr>
        <w:t>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公务接待费支出决算1.</w:t>
      </w:r>
      <w:r>
        <w:rPr>
          <w:rFonts w:hint="eastAsia" w:ascii="仿宋" w:hAnsi="仿宋" w:eastAsia="仿宋"/>
          <w:color w:val="auto"/>
          <w:sz w:val="32"/>
          <w:szCs w:val="32"/>
          <w:highlight w:val="none"/>
          <w:lang w:val="en-US" w:eastAsia="zh-CN"/>
        </w:rPr>
        <w:t>33</w:t>
      </w:r>
      <w:r>
        <w:rPr>
          <w:rFonts w:hint="eastAsia" w:ascii="仿宋" w:hAnsi="仿宋" w:eastAsia="仿宋"/>
          <w:color w:val="auto"/>
          <w:sz w:val="32"/>
          <w:szCs w:val="32"/>
          <w:highlight w:val="none"/>
        </w:rPr>
        <w:t>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 w:hAnsi="仿宋" w:eastAsia="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301942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仿宋_GB2312" w:hAnsi="Times New Roman" w:eastAsia="仿宋_GB2312" w:cs="仿宋_GB2312"/>
          <w:b/>
          <w:bCs w:val="0"/>
          <w:color w:val="auto"/>
          <w:kern w:val="2"/>
          <w:sz w:val="32"/>
          <w:szCs w:val="32"/>
          <w:highlight w:val="none"/>
          <w:lang w:val="en-US" w:eastAsia="zh-CN" w:bidi="ar"/>
        </w:rPr>
        <w:t>1.因公出国（境）经费支出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2.公务用车购置及运行维护费支出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highlight w:val="none"/>
          <w:lang w:val="en-US"/>
        </w:rPr>
      </w:pPr>
      <w:r>
        <w:rPr>
          <w:rFonts w:hint="eastAsia" w:ascii="仿宋_GB2312" w:hAnsi="Times New Roman" w:eastAsia="仿宋_GB2312" w:cs="仿宋_GB2312"/>
          <w:b/>
          <w:bCs/>
          <w:color w:val="auto"/>
          <w:kern w:val="2"/>
          <w:sz w:val="32"/>
          <w:szCs w:val="32"/>
          <w:highlight w:val="none"/>
          <w:lang w:val="en-US" w:eastAsia="zh-CN" w:bidi="ar"/>
        </w:rPr>
        <w:t>其中：</w:t>
      </w:r>
      <w:r>
        <w:rPr>
          <w:rFonts w:hint="eastAsia" w:ascii="仿宋_GB2312" w:hAnsi="Times New Roman" w:eastAsia="仿宋_GB2312" w:cs="仿宋_GB2312"/>
          <w:b/>
          <w:bCs w:val="0"/>
          <w:color w:val="auto"/>
          <w:kern w:val="2"/>
          <w:sz w:val="32"/>
          <w:szCs w:val="32"/>
          <w:highlight w:val="none"/>
          <w:lang w:val="en-US" w:eastAsia="zh-CN" w:bidi="ar"/>
        </w:rPr>
        <w:t>公务用车购置支出</w:t>
      </w:r>
      <w:r>
        <w:rPr>
          <w:rFonts w:hint="eastAsia" w:ascii="仿宋_GB2312" w:hAnsi="Times New Roman" w:eastAsia="仿宋_GB2312" w:cs="仿宋_GB2312"/>
          <w:bCs/>
          <w:color w:val="auto"/>
          <w:kern w:val="2"/>
          <w:sz w:val="32"/>
          <w:szCs w:val="32"/>
          <w:highlight w:val="none"/>
          <w:lang w:val="en-US" w:eastAsia="zh-CN" w:bidi="ar"/>
        </w:rPr>
        <w:t>0万元。</w:t>
      </w:r>
      <w:r>
        <w:rPr>
          <w:rFonts w:hint="eastAsia" w:ascii="仿宋_GB2312" w:eastAsia="仿宋_GB2312" w:cs="仿宋_GB2312"/>
          <w:bCs/>
          <w:color w:val="auto"/>
          <w:kern w:val="2"/>
          <w:sz w:val="32"/>
          <w:szCs w:val="32"/>
          <w:highlight w:val="none"/>
          <w:lang w:val="en-US" w:eastAsia="zh-CN" w:bidi="ar"/>
        </w:rPr>
        <w:t>全年按规定更新购置公务用车0辆，</w:t>
      </w:r>
      <w:r>
        <w:rPr>
          <w:rFonts w:hint="eastAsia" w:ascii="仿宋_GB2312" w:eastAsia="仿宋_GB2312" w:cs="仿宋_GB2312"/>
          <w:color w:val="auto"/>
          <w:kern w:val="2"/>
          <w:sz w:val="32"/>
          <w:szCs w:val="32"/>
          <w:highlight w:val="none"/>
          <w:lang w:val="en-US" w:eastAsia="zh-CN" w:bidi="ar"/>
        </w:rPr>
        <w:t>主要原因是我单位未购置公务用车。</w:t>
      </w:r>
      <w:r>
        <w:rPr>
          <w:rFonts w:hint="eastAsia" w:ascii="仿宋_GB2312" w:eastAsia="仿宋_GB2312" w:cs="仿宋_GB2312"/>
          <w:bCs/>
          <w:color w:val="auto"/>
          <w:kern w:val="2"/>
          <w:sz w:val="32"/>
          <w:szCs w:val="32"/>
          <w:highlight w:val="none"/>
          <w:lang w:val="en-US" w:eastAsia="zh-CN" w:bidi="ar"/>
        </w:rPr>
        <w:t>截止2021年12月底，单位共有公务用车0辆。</w:t>
      </w:r>
    </w:p>
    <w:p>
      <w:pPr>
        <w:keepNext w:val="0"/>
        <w:keepLines w:val="0"/>
        <w:widowControl w:val="0"/>
        <w:suppressLineNumbers w:val="0"/>
        <w:spacing w:before="0" w:beforeAutospacing="0" w:after="0" w:afterAutospacing="0" w:line="600" w:lineRule="exact"/>
        <w:ind w:right="0" w:firstLine="643" w:firstLineChars="200"/>
        <w:jc w:val="both"/>
        <w:rPr>
          <w:color w:val="auto"/>
          <w:highlight w:val="none"/>
        </w:rPr>
      </w:pPr>
      <w:r>
        <w:rPr>
          <w:rFonts w:hint="eastAsia" w:ascii="仿宋_GB2312" w:hAnsi="Times New Roman" w:eastAsia="仿宋_GB2312" w:cs="仿宋_GB2312"/>
          <w:b/>
          <w:bCs w:val="0"/>
          <w:color w:val="auto"/>
          <w:kern w:val="2"/>
          <w:sz w:val="32"/>
          <w:szCs w:val="32"/>
          <w:highlight w:val="none"/>
          <w:lang w:val="en-US" w:eastAsia="zh-CN" w:bidi="ar"/>
        </w:rPr>
        <w:t>公务用车运行维护费支出</w:t>
      </w:r>
      <w:r>
        <w:rPr>
          <w:rFonts w:hint="eastAsia" w:ascii="仿宋_GB2312" w:hAnsi="Times New Roman" w:eastAsia="仿宋_GB2312" w:cs="仿宋_GB2312"/>
          <w:color w:val="auto"/>
          <w:kern w:val="2"/>
          <w:sz w:val="32"/>
          <w:szCs w:val="32"/>
          <w:highlight w:val="none"/>
          <w:lang w:val="en-US" w:eastAsia="zh-CN" w:bidi="ar"/>
        </w:rPr>
        <w:t>0万元。</w:t>
      </w:r>
      <w:r>
        <w:rPr>
          <w:rFonts w:hint="eastAsia" w:ascii="仿宋_GB2312" w:eastAsia="仿宋_GB2312" w:cs="仿宋_GB2312"/>
          <w:color w:val="auto"/>
          <w:kern w:val="2"/>
          <w:sz w:val="32"/>
          <w:szCs w:val="32"/>
          <w:highlight w:val="none"/>
          <w:lang w:val="en-US" w:eastAsia="zh-CN" w:bidi="ar"/>
        </w:rPr>
        <w:t>主要原因是我单位无公务用车。</w:t>
      </w:r>
    </w:p>
    <w:p>
      <w:pPr>
        <w:spacing w:line="600" w:lineRule="exact"/>
        <w:ind w:firstLine="640"/>
        <w:rPr>
          <w:rFonts w:hint="default" w:ascii="Times New Roman" w:hAnsi="Times New Roman" w:eastAsia="仿宋" w:cs="Times New Roman"/>
          <w:color w:val="auto"/>
          <w:sz w:val="32"/>
          <w:szCs w:val="32"/>
          <w:highlight w:val="none"/>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rPr>
        <w:t>1.</w:t>
      </w:r>
      <w:r>
        <w:rPr>
          <w:rFonts w:hint="eastAsia" w:ascii="仿宋" w:hAnsi="仿宋" w:eastAsia="仿宋"/>
          <w:color w:val="auto"/>
          <w:sz w:val="32"/>
          <w:szCs w:val="32"/>
          <w:highlight w:val="none"/>
          <w:lang w:val="en-US" w:eastAsia="zh-CN"/>
        </w:rPr>
        <w:t>33</w:t>
      </w:r>
      <w:r>
        <w:rPr>
          <w:rFonts w:hint="eastAsia" w:ascii="仿宋" w:hAnsi="仿宋" w:eastAsia="仿宋"/>
          <w:color w:val="auto"/>
          <w:sz w:val="32"/>
          <w:szCs w:val="32"/>
          <w:highlight w:val="none"/>
        </w:rPr>
        <w:t>万元，完成预算9</w:t>
      </w:r>
      <w:r>
        <w:rPr>
          <w:rFonts w:hint="eastAsia" w:ascii="仿宋" w:hAnsi="仿宋" w:eastAsia="仿宋"/>
          <w:color w:val="auto"/>
          <w:sz w:val="32"/>
          <w:szCs w:val="32"/>
          <w:highlight w:val="none"/>
          <w:lang w:val="en-US" w:eastAsia="zh-CN"/>
        </w:rPr>
        <w:t>5</w:t>
      </w:r>
      <w:r>
        <w:rPr>
          <w:rFonts w:hint="eastAsia" w:ascii="仿宋" w:hAnsi="仿宋" w:eastAsia="仿宋"/>
          <w:color w:val="auto"/>
          <w:sz w:val="32"/>
          <w:szCs w:val="32"/>
          <w:highlight w:val="none"/>
        </w:rPr>
        <w:t>.5</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0.07</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0.05</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r>
        <w:rPr>
          <w:rFonts w:hint="eastAsia" w:ascii="Times New Roman" w:hAnsi="Times New Roman" w:eastAsia="仿宋" w:cs="Times New Roman"/>
          <w:color w:val="auto"/>
          <w:sz w:val="32"/>
          <w:szCs w:val="32"/>
          <w:highlight w:val="none"/>
          <w:lang w:eastAsia="zh-CN"/>
        </w:rPr>
        <w:t>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其中：</w:t>
      </w:r>
    </w:p>
    <w:p>
      <w:pPr>
        <w:spacing w:line="600" w:lineRule="exact"/>
        <w:ind w:firstLine="64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b/>
          <w:bCs/>
          <w:color w:val="auto"/>
          <w:sz w:val="32"/>
          <w:szCs w:val="32"/>
          <w:highlight w:val="none"/>
        </w:rPr>
        <w:t>国内公务接待支出</w:t>
      </w:r>
      <w:r>
        <w:rPr>
          <w:rFonts w:hint="eastAsia" w:ascii="仿宋" w:hAnsi="仿宋" w:eastAsia="仿宋"/>
          <w:color w:val="auto"/>
          <w:sz w:val="32"/>
          <w:szCs w:val="32"/>
          <w:highlight w:val="none"/>
        </w:rPr>
        <w:t>1.</w:t>
      </w:r>
      <w:r>
        <w:rPr>
          <w:rFonts w:hint="eastAsia" w:ascii="仿宋" w:hAnsi="仿宋" w:eastAsia="仿宋"/>
          <w:color w:val="auto"/>
          <w:sz w:val="32"/>
          <w:szCs w:val="32"/>
          <w:highlight w:val="none"/>
          <w:lang w:val="en-US" w:eastAsia="zh-CN"/>
        </w:rPr>
        <w:t>33</w:t>
      </w:r>
      <w:r>
        <w:rPr>
          <w:rFonts w:hint="default" w:ascii="Times New Roman" w:hAnsi="Times New Roman" w:eastAsia="仿宋" w:cs="Times New Roman"/>
          <w:color w:val="auto"/>
          <w:sz w:val="32"/>
          <w:szCs w:val="32"/>
          <w:highlight w:val="none"/>
        </w:rPr>
        <w:t>万元，主要用于</w:t>
      </w:r>
      <w:r>
        <w:rPr>
          <w:rFonts w:hint="eastAsia" w:ascii="Times New Roman" w:hAnsi="Times New Roman" w:eastAsia="仿宋" w:cs="Times New Roman"/>
          <w:color w:val="auto"/>
          <w:sz w:val="32"/>
          <w:szCs w:val="32"/>
          <w:highlight w:val="none"/>
          <w:lang w:eastAsia="zh-CN"/>
        </w:rPr>
        <w:t>接待上级来访、</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color w:val="auto"/>
          <w:sz w:val="32"/>
          <w:szCs w:val="32"/>
          <w:highlight w:val="none"/>
        </w:rPr>
        <w:t>。国内公务接待</w:t>
      </w:r>
      <w:r>
        <w:rPr>
          <w:rFonts w:hint="eastAsia" w:ascii="Times New Roman" w:hAnsi="Times New Roman" w:eastAsia="仿宋" w:cs="Times New Roman"/>
          <w:color w:val="auto"/>
          <w:sz w:val="32"/>
          <w:szCs w:val="32"/>
          <w:highlight w:val="none"/>
          <w:lang w:val="en-US" w:eastAsia="zh-CN"/>
        </w:rPr>
        <w:t>4</w:t>
      </w:r>
      <w:r>
        <w:rPr>
          <w:rFonts w:hint="eastAsia" w:eastAsia="仿宋" w:cs="Times New Roman"/>
          <w:color w:val="auto"/>
          <w:sz w:val="32"/>
          <w:szCs w:val="32"/>
          <w:highlight w:val="none"/>
          <w:lang w:val="en-US" w:eastAsia="zh-CN"/>
        </w:rPr>
        <w:t>5</w:t>
      </w:r>
      <w:r>
        <w:rPr>
          <w:rFonts w:hint="default" w:ascii="Times New Roman" w:hAnsi="Times New Roman" w:eastAsia="仿宋" w:cs="Times New Roman"/>
          <w:color w:val="auto"/>
          <w:sz w:val="32"/>
          <w:szCs w:val="32"/>
          <w:highlight w:val="none"/>
        </w:rPr>
        <w:t>批次，</w:t>
      </w:r>
      <w:r>
        <w:rPr>
          <w:rFonts w:hint="eastAsia" w:eastAsia="仿宋" w:cs="Times New Roman"/>
          <w:color w:val="auto"/>
          <w:sz w:val="32"/>
          <w:szCs w:val="32"/>
          <w:highlight w:val="none"/>
          <w:lang w:val="en-US" w:eastAsia="zh-CN"/>
        </w:rPr>
        <w:t>312</w:t>
      </w:r>
      <w:r>
        <w:rPr>
          <w:rFonts w:hint="default" w:ascii="Times New Roman" w:hAnsi="Times New Roman" w:eastAsia="仿宋" w:cs="Times New Roman"/>
          <w:color w:val="auto"/>
          <w:sz w:val="32"/>
          <w:szCs w:val="32"/>
          <w:highlight w:val="none"/>
        </w:rPr>
        <w:t>人次（不包括陪同人员），共计支出</w:t>
      </w:r>
      <w:r>
        <w:rPr>
          <w:rFonts w:hint="eastAsia" w:ascii="Times New Roman" w:hAnsi="Times New Roman" w:eastAsia="仿宋" w:cs="Times New Roman"/>
          <w:color w:val="auto"/>
          <w:sz w:val="32"/>
          <w:szCs w:val="32"/>
          <w:highlight w:val="none"/>
          <w:lang w:val="en-US" w:eastAsia="zh-CN"/>
        </w:rPr>
        <w:t>1.</w:t>
      </w:r>
      <w:r>
        <w:rPr>
          <w:rFonts w:hint="eastAsia" w:ascii="仿宋" w:hAnsi="仿宋" w:eastAsia="仿宋"/>
          <w:color w:val="auto"/>
          <w:sz w:val="32"/>
          <w:szCs w:val="32"/>
          <w:highlight w:val="none"/>
          <w:lang w:val="en-US" w:eastAsia="zh-CN"/>
        </w:rPr>
        <w:t>33</w:t>
      </w:r>
      <w:r>
        <w:rPr>
          <w:rFonts w:hint="default" w:ascii="Times New Roman" w:hAnsi="Times New Roman" w:eastAsia="仿宋" w:cs="Times New Roman"/>
          <w:color w:val="auto"/>
          <w:sz w:val="32"/>
          <w:szCs w:val="32"/>
          <w:highlight w:val="none"/>
        </w:rPr>
        <w:t>万元</w:t>
      </w:r>
      <w:r>
        <w:rPr>
          <w:rFonts w:hint="eastAsia" w:eastAsia="仿宋" w:cs="Times New Roman"/>
          <w:color w:val="auto"/>
          <w:sz w:val="32"/>
          <w:szCs w:val="32"/>
          <w:highlight w:val="none"/>
          <w:lang w:eastAsia="zh-CN"/>
        </w:rPr>
        <w:t>，具体内容包括</w:t>
      </w:r>
      <w:r>
        <w:rPr>
          <w:rFonts w:hint="eastAsia" w:ascii="Times New Roman" w:hAnsi="Times New Roman" w:eastAsia="仿宋" w:cs="Times New Roman"/>
          <w:color w:val="auto"/>
          <w:sz w:val="32"/>
          <w:szCs w:val="32"/>
          <w:highlight w:val="none"/>
          <w:lang w:eastAsia="zh-CN"/>
        </w:rPr>
        <w:t>接待上级来访</w:t>
      </w:r>
      <w:r>
        <w:rPr>
          <w:rFonts w:hint="eastAsia" w:eastAsia="仿宋" w:cs="Times New Roman"/>
          <w:color w:val="auto"/>
          <w:sz w:val="32"/>
          <w:szCs w:val="32"/>
          <w:highlight w:val="none"/>
          <w:lang w:val="en-US" w:eastAsia="zh-CN"/>
        </w:rPr>
        <w:t>0.18万元</w:t>
      </w:r>
      <w:r>
        <w:rPr>
          <w:rFonts w:hint="eastAsia" w:ascii="Times New Roman" w:hAnsi="Times New Roman" w:eastAsia="仿宋" w:cs="Times New Roman"/>
          <w:color w:val="auto"/>
          <w:sz w:val="32"/>
          <w:szCs w:val="32"/>
          <w:highlight w:val="none"/>
          <w:lang w:eastAsia="zh-CN"/>
        </w:rPr>
        <w:t>、</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交流0.22万元、</w:t>
      </w:r>
      <w:r>
        <w:rPr>
          <w:rFonts w:hint="eastAsia" w:ascii="仿宋_GB2312" w:eastAsia="仿宋_GB2312"/>
          <w:color w:val="auto"/>
          <w:sz w:val="32"/>
          <w:szCs w:val="32"/>
          <w:highlight w:val="none"/>
          <w:lang w:val="en-US" w:eastAsia="zh-CN"/>
        </w:rPr>
        <w:t>学生活动费及运动会学生用餐、交通费、体检费等0.93万元。</w:t>
      </w:r>
    </w:p>
    <w:p>
      <w:pPr>
        <w:spacing w:line="600" w:lineRule="exact"/>
        <w:ind w:firstLine="640" w:firstLineChars="200"/>
        <w:rPr>
          <w:rFonts w:ascii="黑体" w:eastAsia="黑体"/>
          <w:color w:val="auto"/>
          <w:sz w:val="32"/>
          <w:szCs w:val="32"/>
          <w:highlight w:val="none"/>
        </w:rPr>
      </w:pPr>
      <w:r>
        <w:rPr>
          <w:rFonts w:hint="default" w:ascii="Times New Roman" w:hAnsi="Times New Roman" w:eastAsia="仿宋" w:cs="Times New Roman"/>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highlight w:val="none"/>
        </w:rPr>
        <w:t>外事接待支出</w:t>
      </w:r>
      <w:r>
        <w:rPr>
          <w:rFonts w:hint="eastAsia" w:ascii="仿宋_GB2312" w:hAnsi="Times New Roman" w:eastAsia="仿宋_GB2312" w:cs="仿宋_GB2312"/>
          <w:color w:val="auto"/>
          <w:kern w:val="2"/>
          <w:sz w:val="32"/>
          <w:szCs w:val="32"/>
          <w:highlight w:val="none"/>
          <w:lang w:val="en-US" w:eastAsia="zh-CN" w:bidi="ar"/>
        </w:rPr>
        <w:t>决算与2020年持平</w:t>
      </w:r>
      <w:r>
        <w:rPr>
          <w:rFonts w:hint="eastAsia" w:ascii="Times New Roman" w:hAnsi="Times New Roman" w:eastAsia="仿宋" w:cs="Times New Roman"/>
          <w:color w:val="auto"/>
          <w:sz w:val="32"/>
          <w:szCs w:val="32"/>
          <w:highlight w:val="none"/>
        </w:rPr>
        <w:t>。</w:t>
      </w:r>
      <w:bookmarkStart w:id="40" w:name="_Toc15377218"/>
      <w:bookmarkStart w:id="41" w:name="_Toc15396610"/>
    </w:p>
    <w:p>
      <w:pPr>
        <w:spacing w:line="600" w:lineRule="exact"/>
        <w:ind w:firstLine="640"/>
        <w:outlineLvl w:val="1"/>
        <w:rPr>
          <w:rStyle w:val="30"/>
          <w:rFonts w:ascii="黑体" w:hAnsi="黑体" w:eastAsia="黑体"/>
          <w:color w:val="auto"/>
          <w:highlight w:val="none"/>
        </w:rPr>
      </w:pPr>
      <w:r>
        <w:rPr>
          <w:rFonts w:hint="eastAsia" w:ascii="黑体" w:eastAsia="黑体"/>
          <w:color w:val="auto"/>
          <w:sz w:val="32"/>
          <w:szCs w:val="32"/>
          <w:highlight w:val="none"/>
        </w:rPr>
        <w:t>八、</w:t>
      </w:r>
      <w:r>
        <w:rPr>
          <w:rStyle w:val="30"/>
          <w:rFonts w:hint="eastAsia" w:ascii="黑体" w:hAnsi="黑体" w:eastAsia="黑体"/>
          <w:b w:val="0"/>
          <w:color w:val="auto"/>
          <w:highlight w:val="none"/>
        </w:rPr>
        <w:t>政府性基金预算支出决算情况说明</w:t>
      </w:r>
      <w:bookmarkEnd w:id="40"/>
      <w:bookmarkEnd w:id="41"/>
    </w:p>
    <w:p>
      <w:pPr>
        <w:spacing w:line="600" w:lineRule="exact"/>
        <w:ind w:firstLine="640"/>
        <w:rPr>
          <w:color w:val="auto"/>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21年政府性基金预算财政拨款支出1.51万元。</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年本单位未在政府性基金预算拨款安排“三公”经费支出</w:t>
      </w:r>
      <w:r>
        <w:rPr>
          <w:rFonts w:hint="eastAsia" w:ascii="仿宋_GB2312" w:eastAsia="仿宋_GB2312"/>
          <w:color w:val="auto"/>
          <w:sz w:val="32"/>
          <w:szCs w:val="32"/>
          <w:highlight w:val="none"/>
        </w:rPr>
        <w:t>。</w:t>
      </w:r>
    </w:p>
    <w:p>
      <w:pPr>
        <w:numPr>
          <w:ilvl w:val="0"/>
          <w:numId w:val="3"/>
        </w:numPr>
        <w:spacing w:line="600" w:lineRule="exact"/>
        <w:ind w:firstLine="640"/>
        <w:outlineLvl w:val="1"/>
        <w:rPr>
          <w:rStyle w:val="30"/>
          <w:rFonts w:ascii="黑体" w:hAnsi="黑体" w:eastAsia="黑体"/>
          <w:b w:val="0"/>
          <w:color w:val="auto"/>
          <w:highlight w:val="none"/>
        </w:rPr>
      </w:pPr>
      <w:bookmarkStart w:id="42" w:name="_Toc15377219"/>
      <w:bookmarkStart w:id="43" w:name="_Toc15396611"/>
      <w:r>
        <w:rPr>
          <w:rStyle w:val="30"/>
          <w:rFonts w:hint="eastAsia" w:ascii="黑体" w:hAnsi="黑体" w:eastAsia="黑体"/>
          <w:b w:val="0"/>
          <w:color w:val="auto"/>
          <w:highlight w:val="none"/>
        </w:rPr>
        <w:t>国有资本经营预算支出决算情况说明</w:t>
      </w:r>
      <w:bookmarkEnd w:id="42"/>
      <w:bookmarkEnd w:id="43"/>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21年国有资本经营预算财政拨款支出0万元，年初未安排预算。</w:t>
      </w:r>
    </w:p>
    <w:p>
      <w:pPr>
        <w:numPr>
          <w:ilvl w:val="0"/>
          <w:numId w:val="3"/>
        </w:numPr>
        <w:spacing w:line="600" w:lineRule="exact"/>
        <w:ind w:firstLine="640"/>
        <w:outlineLvl w:val="1"/>
        <w:rPr>
          <w:rStyle w:val="30"/>
          <w:rFonts w:ascii="黑体" w:hAnsi="黑体" w:eastAsia="黑体"/>
          <w:b w:val="0"/>
          <w:color w:val="auto"/>
          <w:highlight w:val="none"/>
        </w:rPr>
      </w:pPr>
      <w:bookmarkStart w:id="44" w:name="_Toc15396612"/>
      <w:bookmarkStart w:id="45" w:name="_Toc15377221"/>
      <w:r>
        <w:rPr>
          <w:rStyle w:val="30"/>
          <w:rFonts w:hint="eastAsia" w:ascii="黑体" w:hAnsi="黑体" w:eastAsia="黑体"/>
          <w:b w:val="0"/>
          <w:color w:val="auto"/>
          <w:highlight w:val="none"/>
        </w:rPr>
        <w:t>预算绩效管理情况</w:t>
      </w:r>
    </w:p>
    <w:p>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color w:val="auto"/>
          <w:sz w:val="32"/>
          <w:szCs w:val="32"/>
          <w:highlight w:val="none"/>
          <w:lang w:eastAsia="zh-CN"/>
        </w:rPr>
        <w:t>对追加预算</w:t>
      </w:r>
      <w:r>
        <w:rPr>
          <w:rFonts w:hint="eastAsia" w:ascii="仿宋_GB2312" w:hAnsi="仿宋_GB2312" w:eastAsia="仿宋_GB2312" w:cs="仿宋_GB2312"/>
          <w:color w:val="auto"/>
          <w:sz w:val="32"/>
          <w:szCs w:val="32"/>
          <w:highlight w:val="none"/>
          <w:lang w:eastAsia="zh-CN"/>
        </w:rPr>
        <w:t>乡村少年宫运行经费</w:t>
      </w:r>
      <w:r>
        <w:rPr>
          <w:rFonts w:hint="eastAsia" w:ascii="仿宋_GB2312" w:hAnsi="仿宋_GB2312" w:eastAsia="仿宋_GB2312" w:cs="仿宋_GB2312"/>
          <w:color w:val="auto"/>
          <w:sz w:val="32"/>
          <w:szCs w:val="32"/>
          <w:highlight w:val="none"/>
          <w:lang w:eastAsia="zh-CN"/>
        </w:rPr>
        <w:t>项目和</w:t>
      </w:r>
      <w:r>
        <w:rPr>
          <w:rFonts w:hint="eastAsia" w:ascii="仿宋_GB2312" w:hAnsi="仿宋_GB2312" w:eastAsia="仿宋_GB2312" w:cs="仿宋_GB2312"/>
          <w:color w:val="auto"/>
          <w:sz w:val="32"/>
          <w:szCs w:val="32"/>
          <w:highlight w:val="none"/>
          <w:lang w:eastAsia="zh-CN"/>
        </w:rPr>
        <w:t>元坝镇第一小学综合楼建设项目</w:t>
      </w:r>
      <w:r>
        <w:rPr>
          <w:rFonts w:hint="eastAsia" w:ascii="仿宋_GB2312" w:hAnsi="仿宋_GB2312" w:eastAsia="仿宋_GB2312" w:cs="仿宋_GB2312"/>
          <w:color w:val="auto"/>
          <w:sz w:val="32"/>
          <w:szCs w:val="32"/>
          <w:highlight w:val="none"/>
          <w:lang w:eastAsia="zh-CN"/>
        </w:rPr>
        <w:t>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w:t>
      </w:r>
      <w:r>
        <w:rPr>
          <w:color w:val="auto"/>
          <w:highlight w:val="none"/>
        </w:rPr>
        <w:commentReference w:id="0"/>
      </w:r>
      <w:r>
        <w:rPr>
          <w:rFonts w:hint="eastAsia" w:ascii="仿宋_GB2312" w:hAnsi="仿宋_GB2312" w:eastAsia="仿宋_GB2312" w:cs="仿宋_GB2312"/>
          <w:color w:val="auto"/>
          <w:sz w:val="32"/>
          <w:szCs w:val="32"/>
          <w:highlight w:val="none"/>
        </w:rPr>
        <w:t>后，对</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pPr>
        <w:pStyle w:val="2"/>
        <w:spacing w:before="93"/>
        <w:rPr>
          <w:color w:val="auto"/>
          <w:highlight w:val="none"/>
        </w:rPr>
      </w:pPr>
    </w:p>
    <w:p>
      <w:pPr>
        <w:numPr>
          <w:ilvl w:val="0"/>
          <w:numId w:val="3"/>
        </w:numPr>
        <w:spacing w:line="600" w:lineRule="exact"/>
        <w:ind w:firstLine="640"/>
        <w:outlineLvl w:val="1"/>
        <w:rPr>
          <w:rStyle w:val="30"/>
          <w:rFonts w:ascii="黑体" w:hAnsi="黑体" w:eastAsia="黑体"/>
          <w:b w:val="0"/>
          <w:color w:val="auto"/>
          <w:highlight w:val="none"/>
        </w:rPr>
      </w:pPr>
      <w:r>
        <w:rPr>
          <w:rStyle w:val="30"/>
          <w:rFonts w:hint="eastAsia" w:ascii="黑体" w:hAnsi="黑体" w:eastAsia="黑体"/>
          <w:b w:val="0"/>
          <w:color w:val="auto"/>
          <w:highlight w:val="none"/>
        </w:rPr>
        <w:t>其他重要事项的情况说明</w:t>
      </w:r>
      <w:bookmarkEnd w:id="44"/>
      <w:bookmarkEnd w:id="45"/>
    </w:p>
    <w:p>
      <w:pPr>
        <w:spacing w:line="600" w:lineRule="exact"/>
        <w:ind w:firstLine="643" w:firstLineChars="200"/>
        <w:outlineLvl w:val="2"/>
        <w:rPr>
          <w:rFonts w:ascii="仿宋" w:hAnsi="仿宋" w:eastAsia="仿宋"/>
          <w:color w:val="auto"/>
          <w:sz w:val="32"/>
          <w:szCs w:val="32"/>
          <w:highlight w:val="none"/>
        </w:rPr>
      </w:pPr>
      <w:bookmarkStart w:id="46" w:name="_Toc15377222"/>
      <w:r>
        <w:rPr>
          <w:rFonts w:hint="eastAsia" w:ascii="仿宋" w:hAnsi="仿宋" w:eastAsia="仿宋"/>
          <w:b/>
          <w:color w:val="auto"/>
          <w:sz w:val="32"/>
          <w:szCs w:val="32"/>
          <w:highlight w:val="none"/>
        </w:rPr>
        <w:t>（一）机关运行经费支出情况</w:t>
      </w:r>
      <w:bookmarkEnd w:id="46"/>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auto"/>
          <w:sz w:val="32"/>
          <w:szCs w:val="32"/>
          <w:highlight w:val="none"/>
          <w:lang w:val="en-US"/>
        </w:rPr>
      </w:pPr>
      <w:bookmarkStart w:id="47" w:name="_Toc15377223"/>
      <w:r>
        <w:rPr>
          <w:rFonts w:hint="eastAsia" w:ascii="仿宋_GB2312" w:hAnsi="Times New Roman" w:eastAsia="仿宋_GB2312" w:cs="仿宋_GB2312"/>
          <w:color w:val="auto"/>
          <w:kern w:val="2"/>
          <w:sz w:val="32"/>
          <w:szCs w:val="32"/>
          <w:highlight w:val="none"/>
          <w:lang w:val="en-US" w:eastAsia="zh-CN" w:bidi="ar"/>
        </w:rPr>
        <w:t>202</w:t>
      </w:r>
      <w:r>
        <w:rPr>
          <w:rFonts w:hint="eastAsia" w:ascii="仿宋_GB2312" w:eastAsia="仿宋_GB2312" w:cs="仿宋_GB2312"/>
          <w:color w:val="auto"/>
          <w:kern w:val="2"/>
          <w:sz w:val="32"/>
          <w:szCs w:val="32"/>
          <w:highlight w:val="none"/>
          <w:lang w:val="en-US" w:eastAsia="zh-CN" w:bidi="ar"/>
        </w:rPr>
        <w:t>1</w:t>
      </w:r>
      <w:r>
        <w:rPr>
          <w:rFonts w:hint="eastAsia" w:ascii="仿宋_GB2312" w:hAnsi="Times New Roman" w:eastAsia="仿宋_GB2312" w:cs="仿宋_GB2312"/>
          <w:color w:val="auto"/>
          <w:kern w:val="2"/>
          <w:sz w:val="32"/>
          <w:szCs w:val="32"/>
          <w:highlight w:val="none"/>
          <w:lang w:val="en-US" w:eastAsia="zh-CN" w:bidi="ar"/>
        </w:rPr>
        <w:t>年，</w:t>
      </w:r>
      <w:r>
        <w:rPr>
          <w:rFonts w:hint="eastAsia" w:ascii="仿宋_GB2312" w:hAnsi="Times New Roman" w:eastAsia="仿宋_GB2312" w:cs="仿宋_GB2312"/>
          <w:color w:val="auto"/>
          <w:kern w:val="2"/>
          <w:sz w:val="32"/>
          <w:szCs w:val="32"/>
          <w:highlight w:val="none"/>
          <w:lang w:val="en-US" w:eastAsia="zh-CN" w:bidi="ar"/>
        </w:rPr>
        <w:t>我部门</w:t>
      </w:r>
      <w:r>
        <w:rPr>
          <w:rFonts w:hint="eastAsia" w:ascii="仿宋_GB2312" w:eastAsia="仿宋_GB2312" w:cs="仿宋_GB2312"/>
          <w:color w:val="auto"/>
          <w:kern w:val="2"/>
          <w:sz w:val="32"/>
          <w:szCs w:val="32"/>
          <w:highlight w:val="none"/>
          <w:lang w:val="en-US" w:eastAsia="zh-CN" w:bidi="ar"/>
        </w:rPr>
        <w:t>机关</w:t>
      </w:r>
      <w:r>
        <w:rPr>
          <w:rFonts w:hint="eastAsia" w:ascii="仿宋_GB2312" w:hAnsi="Times New Roman" w:eastAsia="仿宋_GB2312" w:cs="仿宋_GB2312"/>
          <w:color w:val="auto"/>
          <w:kern w:val="2"/>
          <w:sz w:val="32"/>
          <w:szCs w:val="32"/>
          <w:highlight w:val="none"/>
          <w:lang w:val="en-US" w:eastAsia="zh-CN" w:bidi="ar"/>
        </w:rPr>
        <w:t>运行经费支出0元，</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。主要原因是本单位为事业单位，</w:t>
      </w:r>
      <w:r>
        <w:rPr>
          <w:rFonts w:hint="eastAsia" w:ascii="仿宋_GB2312" w:eastAsia="仿宋_GB2312" w:cs="仿宋_GB2312"/>
          <w:color w:val="auto"/>
          <w:kern w:val="2"/>
          <w:sz w:val="32"/>
          <w:szCs w:val="32"/>
          <w:highlight w:val="none"/>
          <w:lang w:val="en-US" w:eastAsia="zh-CN" w:bidi="ar"/>
        </w:rPr>
        <w:t>未发生</w:t>
      </w:r>
      <w:r>
        <w:rPr>
          <w:rFonts w:hint="eastAsia" w:ascii="仿宋_GB2312" w:hAnsi="Times New Roman" w:eastAsia="仿宋_GB2312" w:cs="仿宋_GB2312"/>
          <w:color w:val="auto"/>
          <w:kern w:val="2"/>
          <w:sz w:val="32"/>
          <w:szCs w:val="32"/>
          <w:highlight w:val="none"/>
          <w:lang w:val="en-US" w:eastAsia="zh-CN" w:bidi="ar"/>
        </w:rPr>
        <w:t>机关运行经费支出。</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47"/>
    </w:p>
    <w:p>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21年，我单位政府采购支出</w:t>
      </w:r>
      <w:r>
        <w:rPr>
          <w:rFonts w:hint="eastAsia" w:ascii="仿宋_GB2312" w:eastAsia="仿宋_GB2312"/>
          <w:color w:val="auto"/>
          <w:sz w:val="32"/>
          <w:szCs w:val="32"/>
          <w:highlight w:val="none"/>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8" w:name="_Toc15377224"/>
      <w:r>
        <w:rPr>
          <w:rFonts w:hint="eastAsia" w:ascii="仿宋" w:hAnsi="仿宋" w:eastAsia="仿宋"/>
          <w:b/>
          <w:color w:val="auto"/>
          <w:sz w:val="32"/>
          <w:szCs w:val="32"/>
          <w:highlight w:val="none"/>
        </w:rPr>
        <w:t>（三）国有资产占有使用情况</w:t>
      </w:r>
      <w:bookmarkEnd w:id="48"/>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pStyle w:val="2"/>
        <w:spacing w:before="93"/>
        <w:rPr>
          <w:color w:val="auto"/>
          <w:highlight w:val="none"/>
        </w:rPr>
      </w:pP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4"/>
        </w:numPr>
        <w:spacing w:line="600" w:lineRule="exact"/>
        <w:ind w:firstLine="660" w:firstLineChars="150"/>
        <w:jc w:val="center"/>
        <w:outlineLvl w:val="0"/>
        <w:rPr>
          <w:rStyle w:val="29"/>
          <w:rFonts w:ascii="黑体" w:hAnsi="黑体" w:eastAsia="黑体"/>
          <w:b w:val="0"/>
          <w:color w:val="auto"/>
          <w:highlight w:val="none"/>
        </w:rPr>
      </w:pPr>
      <w:bookmarkStart w:id="49" w:name="_Toc15396613"/>
      <w:bookmarkStart w:id="50" w:name="_Toc15377225"/>
      <w:r>
        <w:rPr>
          <w:rFonts w:hint="eastAsia" w:ascii="黑体" w:hAnsi="黑体" w:eastAsia="黑体"/>
          <w:color w:val="auto"/>
          <w:sz w:val="44"/>
          <w:szCs w:val="44"/>
          <w:highlight w:val="none"/>
        </w:rPr>
        <w:t>名</w:t>
      </w:r>
      <w:r>
        <w:rPr>
          <w:rStyle w:val="29"/>
          <w:rFonts w:hint="eastAsia" w:ascii="黑体" w:hAnsi="黑体" w:eastAsia="黑体"/>
          <w:b w:val="0"/>
          <w:color w:val="auto"/>
          <w:highlight w:val="none"/>
        </w:rPr>
        <w:t>词解释</w:t>
      </w:r>
      <w:bookmarkEnd w:id="49"/>
      <w:bookmarkEnd w:id="50"/>
    </w:p>
    <w:p>
      <w:pPr>
        <w:spacing w:line="600" w:lineRule="exact"/>
        <w:jc w:val="left"/>
        <w:rPr>
          <w:rFonts w:ascii="宋体"/>
          <w:b/>
          <w:color w:val="auto"/>
          <w:sz w:val="44"/>
          <w:szCs w:val="44"/>
          <w:highlight w:val="none"/>
        </w:rPr>
      </w:pPr>
    </w:p>
    <w:p>
      <w:pPr>
        <w:pStyle w:val="2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使用非财政拨款结余：指事业单位使用以前年度积累的非财政拨款结余弥补当年收支差额的金额。</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结余分配：指事业单位按照会计制度规定缴纳的所得税、提取的专用结余以及转入非财政拨款结余的金额等。</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教育（类）普通教育（款）小学教育（项）：指小学教育。</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7.教育（类）教育费附加安排（款）其他教育费附加安排（项）：其他教育费附加安排。</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8.</w:t>
      </w:r>
      <w:r>
        <w:rPr>
          <w:rFonts w:hint="eastAsia" w:ascii="仿宋_GB2312" w:hAnsi="Calibri" w:eastAsia="仿宋_GB2312" w:cs="仿宋"/>
          <w:color w:val="auto"/>
          <w:kern w:val="0"/>
          <w:sz w:val="32"/>
          <w:szCs w:val="32"/>
          <w:highlight w:val="none"/>
          <w:lang w:val="en-US" w:eastAsia="zh-CN" w:bidi="ar-SA"/>
        </w:rPr>
        <w:t>其他支出（类）彩票公益金安排的支出（款）用于体育事业的彩票公益金支出（项）：指</w:t>
      </w:r>
      <w:r>
        <w:rPr>
          <w:rFonts w:hint="eastAsia" w:ascii="仿宋_GB2312" w:hAnsi="Calibri" w:eastAsia="仿宋_GB2312" w:cs="仿宋"/>
          <w:color w:val="auto"/>
          <w:kern w:val="0"/>
          <w:sz w:val="32"/>
          <w:szCs w:val="32"/>
          <w:highlight w:val="none"/>
          <w:lang w:val="en-US" w:eastAsia="zh-CN"/>
        </w:rPr>
        <w:t>用于体育事业的彩票公益金支出。</w:t>
      </w:r>
    </w:p>
    <w:p>
      <w:pPr>
        <w:numPr>
          <w:ilvl w:val="0"/>
          <w:numId w:val="0"/>
        </w:numPr>
        <w:spacing w:line="600" w:lineRule="exact"/>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9.社会保障和就业支出（类）行政事业单位养老支出（款）机关事业单位基本养老保险缴费支出（项）: 指机关事业单位实施养老保险制度由单位缴纳的基本养老保险费支出。</w:t>
      </w:r>
    </w:p>
    <w:p>
      <w:pPr>
        <w:pStyle w:val="16"/>
        <w:ind w:left="0" w:leftChars="0" w:firstLine="640" w:firstLineChars="200"/>
        <w:rPr>
          <w:rFonts w:hint="eastAsia"/>
          <w:color w:val="auto"/>
          <w:highlight w:val="none"/>
          <w:lang w:val="en-US" w:eastAsia="zh-CN"/>
        </w:rPr>
      </w:pPr>
      <w:r>
        <w:rPr>
          <w:rFonts w:hint="eastAsia" w:ascii="仿宋_GB2312" w:hAnsi="Calibri" w:eastAsia="仿宋_GB2312" w:cs="仿宋"/>
          <w:color w:val="auto"/>
          <w:kern w:val="0"/>
          <w:sz w:val="32"/>
          <w:szCs w:val="32"/>
          <w:highlight w:val="none"/>
          <w:lang w:val="en-US" w:eastAsia="zh-CN" w:bidi="ar-SA"/>
        </w:rPr>
        <w:t>10.社会保障和就业支出（类）其他社会保障和就业支出（款）其他社会保障和就业支出（项）: 指其他用于社会保障和就业方面的支出。</w:t>
      </w:r>
    </w:p>
    <w:p>
      <w:pPr>
        <w:pStyle w:val="2"/>
        <w:ind w:firstLine="640" w:firstLineChars="200"/>
        <w:rPr>
          <w:color w:val="auto"/>
          <w:highlight w:val="none"/>
        </w:rPr>
      </w:pPr>
      <w:r>
        <w:rPr>
          <w:rFonts w:hint="eastAsia" w:hAnsi="Calibri" w:cs="仿宋"/>
          <w:color w:val="auto"/>
          <w:kern w:val="0"/>
          <w:sz w:val="32"/>
          <w:szCs w:val="32"/>
          <w:highlight w:val="none"/>
          <w:lang w:val="en-US" w:eastAsia="zh-CN"/>
        </w:rPr>
        <w:t>11.</w:t>
      </w:r>
      <w:r>
        <w:rPr>
          <w:rFonts w:hint="eastAsia" w:ascii="仿宋_GB2312" w:hAnsi="Calibri" w:eastAsia="仿宋_GB2312" w:cs="仿宋"/>
          <w:color w:val="auto"/>
          <w:kern w:val="0"/>
          <w:sz w:val="32"/>
          <w:szCs w:val="32"/>
          <w:highlight w:val="none"/>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pPr>
        <w:pStyle w:val="2"/>
        <w:ind w:firstLine="640" w:firstLineChars="200"/>
        <w:rPr>
          <w:color w:val="auto"/>
          <w:highlight w:val="none"/>
        </w:rPr>
      </w:pPr>
      <w:r>
        <w:rPr>
          <w:rFonts w:hint="eastAsia" w:hAnsi="Calibri" w:cs="仿宋"/>
          <w:color w:val="auto"/>
          <w:kern w:val="0"/>
          <w:sz w:val="32"/>
          <w:szCs w:val="32"/>
          <w:highlight w:val="none"/>
          <w:lang w:val="en-US" w:eastAsia="zh-CN"/>
        </w:rPr>
        <w:t>12.</w:t>
      </w:r>
      <w:r>
        <w:rPr>
          <w:rFonts w:hint="eastAsia" w:ascii="仿宋_GB2312" w:hAnsi="Calibri" w:eastAsia="仿宋_GB2312" w:cs="仿宋"/>
          <w:color w:val="auto"/>
          <w:kern w:val="0"/>
          <w:sz w:val="32"/>
          <w:szCs w:val="32"/>
          <w:highlight w:val="none"/>
          <w:lang w:val="en-US" w:eastAsia="zh-CN"/>
        </w:rPr>
        <w:t>住房保障支出（类）住房改革支出（款）住房公积金（项）：指行政事业单位按人力资源和社会保障部、财政部规定的基本工资和津贴补贴以及规定比例为职工缴纳的住房公积金。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7"/>
        <w:spacing w:line="56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1" w:name="_Toc15377226"/>
    </w:p>
    <w:p>
      <w:pPr>
        <w:pStyle w:val="27"/>
        <w:spacing w:line="560" w:lineRule="exact"/>
        <w:ind w:firstLine="883" w:firstLineChars="200"/>
        <w:jc w:val="center"/>
        <w:rPr>
          <w:rStyle w:val="29"/>
          <w:rFonts w:ascii="黑体" w:hAnsi="黑体" w:eastAsia="黑体"/>
          <w:b w:val="0"/>
          <w:color w:val="auto"/>
          <w:highlight w:val="none"/>
        </w:rPr>
      </w:pPr>
      <w:r>
        <w:rPr>
          <w:rFonts w:ascii="宋体"/>
          <w:b/>
          <w:color w:val="auto"/>
          <w:sz w:val="44"/>
          <w:szCs w:val="44"/>
          <w:highlight w:val="none"/>
        </w:rPr>
        <w:br w:type="page"/>
      </w:r>
      <w:bookmarkStart w:id="52" w:name="_Toc15396614"/>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四部分 附件</w:t>
      </w:r>
      <w:bookmarkEnd w:id="52"/>
    </w:p>
    <w:p>
      <w:pPr>
        <w:spacing w:line="572" w:lineRule="exact"/>
        <w:jc w:val="left"/>
        <w:outlineLvl w:val="0"/>
        <w:rPr>
          <w:rFonts w:hint="eastAsia" w:ascii="仿宋_GB2312" w:hAnsi="仿宋_GB2312" w:eastAsia="黑体" w:cs="仿宋_GB2312"/>
          <w:color w:val="auto"/>
          <w:sz w:val="32"/>
          <w:szCs w:val="32"/>
          <w:highlight w:val="none"/>
          <w:lang w:val="en-US" w:eastAsia="zh-CN"/>
        </w:rPr>
      </w:pP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bookmarkStart w:id="53" w:name="_Toc15396618"/>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（乡村少年宫运行经费）</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360301</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广元市昭化区元坝镇第一小学</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1.51</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1.51</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1.51</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1.51</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default" w:ascii="宋体" w:hAnsi="宋体" w:cs="宋体"/>
                <w:color w:val="auto"/>
                <w:sz w:val="24"/>
                <w:highlight w:val="none"/>
              </w:rPr>
            </w:pPr>
            <w:r>
              <w:rPr>
                <w:rFonts w:hint="default" w:ascii="宋体" w:hAnsi="宋体" w:cs="宋体"/>
                <w:color w:val="auto"/>
                <w:sz w:val="22"/>
                <w:szCs w:val="22"/>
                <w:highlight w:val="none"/>
              </w:rPr>
              <w:t>保障乡村少年宫正常运转。将“乡村学校少年宫”建设成满足学生精神文化需求、促进学生全面发展、深化学生素质教育的有效载体，建设成家长认可、布局合理、功能完备的未成年人教育阵地。</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2"/>
                <w:szCs w:val="22"/>
                <w:highlight w:val="none"/>
                <w:lang w:eastAsia="zh-CN"/>
              </w:rPr>
              <w:t>保障了乡村</w:t>
            </w:r>
            <w:r>
              <w:rPr>
                <w:rFonts w:hint="default" w:ascii="宋体" w:hAnsi="宋体" w:eastAsia="宋体" w:cs="宋体"/>
                <w:color w:val="auto"/>
                <w:sz w:val="22"/>
                <w:szCs w:val="22"/>
                <w:highlight w:val="none"/>
              </w:rPr>
              <w:t>少年宫</w:t>
            </w:r>
            <w:r>
              <w:rPr>
                <w:rFonts w:hint="eastAsia" w:ascii="宋体" w:hAnsi="宋体" w:eastAsia="宋体" w:cs="宋体"/>
                <w:color w:val="auto"/>
                <w:sz w:val="22"/>
                <w:szCs w:val="22"/>
                <w:highlight w:val="none"/>
                <w:lang w:eastAsia="zh-CN"/>
              </w:rPr>
              <w:t>的</w:t>
            </w:r>
            <w:r>
              <w:rPr>
                <w:rFonts w:hint="default" w:ascii="宋体" w:hAnsi="宋体" w:eastAsia="宋体" w:cs="宋体"/>
                <w:color w:val="auto"/>
                <w:sz w:val="22"/>
                <w:szCs w:val="22"/>
                <w:highlight w:val="none"/>
              </w:rPr>
              <w:t>正常运转。满足</w:t>
            </w:r>
            <w:r>
              <w:rPr>
                <w:rFonts w:hint="eastAsia" w:ascii="宋体" w:hAnsi="宋体" w:eastAsia="宋体" w:cs="宋体"/>
                <w:color w:val="auto"/>
                <w:sz w:val="22"/>
                <w:szCs w:val="22"/>
                <w:highlight w:val="none"/>
                <w:lang w:eastAsia="zh-CN"/>
              </w:rPr>
              <w:t>了</w:t>
            </w:r>
            <w:r>
              <w:rPr>
                <w:rFonts w:hint="default" w:ascii="宋体" w:hAnsi="宋体" w:eastAsia="宋体" w:cs="宋体"/>
                <w:color w:val="auto"/>
                <w:sz w:val="22"/>
                <w:szCs w:val="22"/>
                <w:highlight w:val="none"/>
              </w:rPr>
              <w:t>学生精神文化需求、促进</w:t>
            </w:r>
            <w:r>
              <w:rPr>
                <w:rFonts w:hint="eastAsia" w:ascii="宋体" w:hAnsi="宋体" w:eastAsia="宋体" w:cs="宋体"/>
                <w:color w:val="auto"/>
                <w:sz w:val="22"/>
                <w:szCs w:val="22"/>
                <w:highlight w:val="none"/>
                <w:lang w:eastAsia="zh-CN"/>
              </w:rPr>
              <w:t>了</w:t>
            </w:r>
            <w:r>
              <w:rPr>
                <w:rFonts w:hint="default" w:ascii="宋体" w:hAnsi="宋体" w:eastAsia="宋体" w:cs="宋体"/>
                <w:color w:val="auto"/>
                <w:sz w:val="22"/>
                <w:szCs w:val="22"/>
                <w:highlight w:val="none"/>
              </w:rPr>
              <w:t>学生全面发展</w:t>
            </w:r>
            <w:r>
              <w:rPr>
                <w:rFonts w:hint="eastAsia" w:ascii="宋体" w:hAnsi="宋体" w:eastAsia="宋体" w:cs="宋体"/>
                <w:color w:val="auto"/>
                <w:sz w:val="22"/>
                <w:szCs w:val="22"/>
                <w:highlight w:val="none"/>
                <w:lang w:eastAsia="zh-CN"/>
              </w:rPr>
              <w:t>，是</w:t>
            </w:r>
            <w:r>
              <w:rPr>
                <w:rFonts w:hint="default" w:ascii="宋体" w:hAnsi="宋体" w:eastAsia="宋体" w:cs="宋体"/>
                <w:color w:val="auto"/>
                <w:sz w:val="22"/>
                <w:szCs w:val="22"/>
                <w:highlight w:val="none"/>
              </w:rPr>
              <w:t>家长认可、布局合理、功能完备的未成年人教育阵地。</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乡村少年宫数量</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1所</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1所</w:t>
            </w:r>
          </w:p>
        </w:tc>
      </w:tr>
      <w:tr>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default" w:ascii="仿宋_GB2312" w:hAnsi="仿宋_GB2312" w:eastAsia="仿宋_GB2312" w:cs="仿宋_GB2312"/>
                <w:color w:val="auto"/>
                <w:sz w:val="20"/>
                <w:szCs w:val="20"/>
                <w:highlight w:val="none"/>
              </w:rPr>
              <w:t>科学设置项目</w:t>
            </w:r>
            <w:r>
              <w:rPr>
                <w:rFonts w:hint="eastAsia" w:ascii="仿宋_GB2312" w:hAnsi="仿宋_GB2312" w:eastAsia="仿宋_GB2312" w:cs="仿宋_GB2312"/>
                <w:color w:val="auto"/>
                <w:sz w:val="20"/>
                <w:szCs w:val="20"/>
                <w:highlight w:val="none"/>
                <w:lang w:eastAsia="zh-CN"/>
              </w:rPr>
              <w:t>，</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扎实开展活动</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60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乡村少年宫正常运转</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正常运转</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正常运转</w:t>
            </w:r>
          </w:p>
        </w:tc>
      </w:tr>
      <w:tr>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按照财务管理制度规定，资金实行专项管理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专款专账</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专款专账</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运行</w:t>
            </w:r>
            <w:r>
              <w:rPr>
                <w:rFonts w:hint="default" w:ascii="仿宋_GB2312" w:hAnsi="仿宋_GB2312" w:eastAsia="仿宋_GB2312" w:cs="仿宋_GB2312"/>
                <w:color w:val="auto"/>
                <w:sz w:val="20"/>
                <w:szCs w:val="20"/>
                <w:highlight w:val="none"/>
              </w:rPr>
              <w:t>经费保障期限</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运行经费</w:t>
            </w:r>
            <w:r>
              <w:rPr>
                <w:rFonts w:hint="eastAsia" w:ascii="仿宋_GB2312" w:hAnsi="仿宋_GB2312" w:eastAsia="仿宋_GB2312" w:cs="仿宋_GB2312"/>
                <w:color w:val="auto"/>
                <w:sz w:val="20"/>
                <w:szCs w:val="20"/>
                <w:highlight w:val="none"/>
                <w:lang w:eastAsia="zh-CN"/>
              </w:rPr>
              <w:t>年</w:t>
            </w:r>
            <w:r>
              <w:rPr>
                <w:rFonts w:hint="default" w:ascii="仿宋_GB2312" w:hAnsi="仿宋_GB2312" w:eastAsia="仿宋_GB2312" w:cs="仿宋_GB2312"/>
                <w:color w:val="auto"/>
                <w:sz w:val="20"/>
                <w:szCs w:val="20"/>
                <w:highlight w:val="none"/>
              </w:rPr>
              <w:t>补助标准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1.51万元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1.51万元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社会效益  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提升学生综合素质</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丰富学生课余生活</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96%</w:t>
            </w:r>
          </w:p>
        </w:tc>
      </w:tr>
    </w:tbl>
    <w:p>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pPr>
        <w:spacing w:line="572" w:lineRule="exact"/>
        <w:jc w:val="left"/>
        <w:outlineLvl w:val="0"/>
        <w:rPr>
          <w:rFonts w:hint="eastAsia" w:ascii="仿宋_GB2312" w:hAnsi="仿宋_GB2312" w:eastAsia="黑体" w:cs="仿宋_GB2312"/>
          <w:color w:val="auto"/>
          <w:sz w:val="32"/>
          <w:szCs w:val="32"/>
          <w:highlight w:val="none"/>
          <w:lang w:val="en-US" w:eastAsia="zh-CN"/>
        </w:rPr>
      </w:pP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2</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2021年部门预算项目绩效目标自评</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lang w:eastAsia="zh-CN"/>
              </w:rPr>
              <w:t>（元坝镇第一小学综合楼建设项目）</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360301</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16"/>
                <w:szCs w:val="16"/>
                <w:highlight w:val="none"/>
                <w:lang w:eastAsia="zh-CN"/>
              </w:rPr>
              <w:t>广元市昭化区元坝镇第一小学</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960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960</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960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960</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default" w:ascii="宋体" w:hAnsi="宋体" w:cs="宋体"/>
                <w:color w:val="auto"/>
                <w:sz w:val="21"/>
                <w:szCs w:val="21"/>
                <w:highlight w:val="none"/>
              </w:rPr>
              <w:t>支持欠发达地区特别是“三区三州”等原深度贫困地区巩固教育脱贫攻坚成果，积极扩大基础教育学位供给，提高义务教育巩固率，保障群众受教育权利，加快缩小与其他地区教育差距，阻断贫困代际传递。</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2"/>
                <w:szCs w:val="22"/>
                <w:highlight w:val="none"/>
                <w:lang w:eastAsia="zh-CN"/>
              </w:rPr>
              <w:t>项目涵盖</w:t>
            </w:r>
            <w:r>
              <w:rPr>
                <w:rFonts w:hint="eastAsia" w:ascii="宋体" w:hAnsi="宋体" w:cs="宋体"/>
                <w:color w:val="auto"/>
                <w:sz w:val="22"/>
                <w:szCs w:val="22"/>
                <w:highlight w:val="none"/>
                <w:lang w:val="en-US" w:eastAsia="zh-CN"/>
              </w:rPr>
              <w:t>1</w:t>
            </w:r>
            <w:r>
              <w:rPr>
                <w:rFonts w:hint="eastAsia" w:ascii="宋体" w:hAnsi="宋体" w:eastAsia="宋体" w:cs="宋体"/>
                <w:color w:val="auto"/>
                <w:sz w:val="22"/>
                <w:szCs w:val="22"/>
                <w:highlight w:val="none"/>
                <w:lang w:eastAsia="zh-CN"/>
              </w:rPr>
              <w:t>所学校，惠及</w:t>
            </w:r>
            <w:r>
              <w:rPr>
                <w:rFonts w:hint="eastAsia" w:ascii="宋体" w:hAnsi="宋体" w:cs="宋体"/>
                <w:color w:val="auto"/>
                <w:sz w:val="22"/>
                <w:szCs w:val="22"/>
                <w:highlight w:val="none"/>
                <w:lang w:val="en-US" w:eastAsia="zh-CN"/>
              </w:rPr>
              <w:t>836</w:t>
            </w:r>
            <w:r>
              <w:rPr>
                <w:rFonts w:hint="eastAsia" w:ascii="宋体" w:hAnsi="宋体" w:eastAsia="宋体" w:cs="宋体"/>
                <w:color w:val="auto"/>
                <w:sz w:val="22"/>
                <w:szCs w:val="22"/>
                <w:highlight w:val="none"/>
                <w:lang w:eastAsia="zh-CN"/>
              </w:rPr>
              <w:t>名学生。提义务教育巩固率，保障群众受教育权利，加快缩小与其他地区教育差距。</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32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项目涵盖学校</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1所</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1所</w:t>
            </w:r>
          </w:p>
        </w:tc>
      </w:tr>
      <w:tr>
        <w:tblPrEx>
          <w:tblCellMar>
            <w:top w:w="0" w:type="dxa"/>
            <w:left w:w="108" w:type="dxa"/>
            <w:bottom w:w="0" w:type="dxa"/>
            <w:right w:w="108" w:type="dxa"/>
          </w:tblCellMar>
        </w:tblPrEx>
        <w:trPr>
          <w:gridAfter w:val="1"/>
          <w:wAfter w:w="236" w:type="dxa"/>
          <w:trHeight w:val="30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惠及学生人数</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836人</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836人</w:t>
            </w:r>
          </w:p>
        </w:tc>
      </w:tr>
      <w:tr>
        <w:tblPrEx>
          <w:tblCellMar>
            <w:top w:w="0" w:type="dxa"/>
            <w:left w:w="108" w:type="dxa"/>
            <w:bottom w:w="0" w:type="dxa"/>
            <w:right w:w="108" w:type="dxa"/>
          </w:tblCellMar>
        </w:tblPrEx>
        <w:trPr>
          <w:gridAfter w:val="1"/>
          <w:wAfter w:w="236" w:type="dxa"/>
          <w:trHeight w:val="64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审计、督查、巡视等指出问题项目比例</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0%</w:t>
            </w:r>
          </w:p>
        </w:tc>
      </w:tr>
      <w:tr>
        <w:tblPrEx>
          <w:tblCellMar>
            <w:top w:w="0" w:type="dxa"/>
            <w:left w:w="108" w:type="dxa"/>
            <w:bottom w:w="0" w:type="dxa"/>
            <w:right w:w="108" w:type="dxa"/>
          </w:tblCellMar>
        </w:tblPrEx>
        <w:trPr>
          <w:gridAfter w:val="1"/>
          <w:wAfter w:w="236" w:type="dxa"/>
          <w:trHeight w:val="36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项目工程质量合格率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100%</w:t>
            </w:r>
          </w:p>
        </w:tc>
      </w:tr>
      <w:tr>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“两个责任”按项目落实到位率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default" w:ascii="仿宋_GB2312" w:hAnsi="仿宋_GB2312" w:eastAsia="仿宋_GB2312" w:cs="仿宋_GB2312"/>
                <w:color w:val="auto"/>
                <w:sz w:val="20"/>
                <w:szCs w:val="20"/>
                <w:highlight w:val="none"/>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100%</w:t>
            </w:r>
          </w:p>
        </w:tc>
      </w:tr>
      <w:tr>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项目开工率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eastAsia="zh-CN"/>
              </w:rPr>
            </w:pPr>
            <w:r>
              <w:rPr>
                <w:rFonts w:hint="default" w:ascii="仿宋_GB2312" w:hAnsi="仿宋_GB2312" w:eastAsia="仿宋_GB2312" w:cs="仿宋_GB2312"/>
                <w:color w:val="auto"/>
                <w:sz w:val="20"/>
                <w:szCs w:val="20"/>
                <w:highlight w:val="none"/>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default" w:ascii="仿宋_GB2312" w:hAnsi="仿宋_GB2312" w:eastAsia="仿宋_GB2312" w:cs="仿宋_GB2312"/>
                <w:color w:val="auto"/>
                <w:sz w:val="20"/>
                <w:szCs w:val="20"/>
                <w:highlight w:val="none"/>
              </w:rPr>
              <w:t>100%</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超规模、超标准、超概算项目比例</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val="en-US" w:eastAsia="zh-CN"/>
              </w:rPr>
              <w:t>0%</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经济</w:t>
            </w:r>
            <w:r>
              <w:rPr>
                <w:rFonts w:hint="eastAsia" w:ascii="仿宋_GB2312" w:hAnsi="仿宋_GB2312" w:eastAsia="仿宋_GB2312" w:cs="仿宋_GB2312"/>
                <w:color w:val="auto"/>
                <w:sz w:val="20"/>
                <w:szCs w:val="20"/>
                <w:highlight w:val="none"/>
              </w:rPr>
              <w:t>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带动地区经济，巩固教育脱贫攻坚成果</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社会</w:t>
            </w:r>
            <w:r>
              <w:rPr>
                <w:rFonts w:hint="default" w:ascii="仿宋_GB2312" w:hAnsi="仿宋_GB2312" w:eastAsia="仿宋_GB2312" w:cs="仿宋_GB2312"/>
                <w:color w:val="auto"/>
                <w:sz w:val="20"/>
                <w:szCs w:val="20"/>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提高义务教育巩固率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缩小与其他地区教育差距</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学生及家长满意度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96%</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97%</w:t>
            </w:r>
          </w:p>
        </w:tc>
      </w:tr>
    </w:tbl>
    <w:p>
      <w:pPr>
        <w:spacing w:line="600" w:lineRule="exact"/>
        <w:jc w:val="center"/>
        <w:outlineLvl w:val="0"/>
        <w:rPr>
          <w:rFonts w:ascii="仿宋" w:hAnsi="仿宋" w:eastAsia="仿宋"/>
          <w:color w:val="auto"/>
          <w:highlight w:val="none"/>
        </w:rPr>
      </w:pPr>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五部分 附表</w:t>
      </w:r>
      <w:bookmarkEnd w:id="51"/>
      <w:bookmarkEnd w:id="53"/>
      <w:bookmarkStart w:id="54" w:name="_Toc15396619"/>
    </w:p>
    <w:p>
      <w:pPr>
        <w:pStyle w:val="4"/>
        <w:rPr>
          <w:rFonts w:ascii="仿宋" w:hAnsi="仿宋" w:eastAsia="仿宋"/>
          <w:color w:val="auto"/>
          <w:highlight w:val="none"/>
        </w:rPr>
      </w:pPr>
      <w:r>
        <w:rPr>
          <w:rFonts w:hint="eastAsia" w:ascii="仿宋" w:hAnsi="仿宋" w:eastAsia="仿宋"/>
          <w:b w:val="0"/>
          <w:color w:val="auto"/>
          <w:highlight w:val="none"/>
        </w:rPr>
        <w:t>一、收</w:t>
      </w:r>
      <w:r>
        <w:rPr>
          <w:rStyle w:val="30"/>
          <w:rFonts w:hint="eastAsia" w:ascii="仿宋" w:hAnsi="仿宋" w:eastAsia="仿宋"/>
          <w:b w:val="0"/>
          <w:bCs w:val="0"/>
          <w:color w:val="auto"/>
          <w:highlight w:val="none"/>
        </w:rPr>
        <w:t>入支出决算总表</w:t>
      </w:r>
      <w:bookmarkEnd w:id="54"/>
    </w:p>
    <w:p>
      <w:pPr>
        <w:pStyle w:val="4"/>
        <w:rPr>
          <w:rFonts w:ascii="仿宋" w:hAnsi="仿宋" w:eastAsia="仿宋"/>
          <w:color w:val="auto"/>
          <w:highlight w:val="none"/>
        </w:rPr>
      </w:pPr>
      <w:bookmarkStart w:id="55" w:name="_Toc15396620"/>
      <w:r>
        <w:rPr>
          <w:rFonts w:hint="eastAsia" w:ascii="仿宋" w:hAnsi="仿宋" w:eastAsia="仿宋"/>
          <w:b w:val="0"/>
          <w:color w:val="auto"/>
          <w:highlight w:val="none"/>
        </w:rPr>
        <w:t>二、收</w:t>
      </w:r>
      <w:r>
        <w:rPr>
          <w:rStyle w:val="30"/>
          <w:rFonts w:hint="eastAsia" w:ascii="仿宋" w:hAnsi="仿宋" w:eastAsia="仿宋"/>
          <w:b w:val="0"/>
          <w:bCs w:val="0"/>
          <w:color w:val="auto"/>
          <w:highlight w:val="none"/>
        </w:rPr>
        <w:t>入决算表</w:t>
      </w:r>
      <w:bookmarkEnd w:id="55"/>
    </w:p>
    <w:p>
      <w:pPr>
        <w:pStyle w:val="4"/>
        <w:rPr>
          <w:rFonts w:ascii="仿宋" w:hAnsi="仿宋" w:eastAsia="仿宋"/>
          <w:color w:val="auto"/>
          <w:highlight w:val="none"/>
        </w:rPr>
      </w:pPr>
      <w:bookmarkStart w:id="56" w:name="_Toc15396621"/>
      <w:r>
        <w:rPr>
          <w:rStyle w:val="30"/>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0"/>
          <w:rFonts w:hint="eastAsia" w:ascii="仿宋" w:hAnsi="仿宋" w:eastAsia="仿宋"/>
          <w:b w:val="0"/>
          <w:bCs w:val="0"/>
          <w:color w:val="auto"/>
          <w:highlight w:val="none"/>
        </w:rPr>
        <w:t>出决算表</w:t>
      </w:r>
      <w:bookmarkEnd w:id="56"/>
    </w:p>
    <w:p>
      <w:pPr>
        <w:pStyle w:val="4"/>
        <w:rPr>
          <w:rFonts w:ascii="仿宋" w:hAnsi="仿宋" w:eastAsia="仿宋"/>
          <w:b w:val="0"/>
          <w:color w:val="auto"/>
          <w:highlight w:val="none"/>
        </w:rPr>
      </w:pPr>
      <w:bookmarkStart w:id="57" w:name="_Toc15396622"/>
      <w:r>
        <w:rPr>
          <w:rStyle w:val="30"/>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政拨款收入支出决算总表</w:t>
      </w:r>
      <w:bookmarkEnd w:id="57"/>
    </w:p>
    <w:p>
      <w:pPr>
        <w:pStyle w:val="4"/>
        <w:rPr>
          <w:rStyle w:val="30"/>
          <w:rFonts w:ascii="仿宋" w:hAnsi="仿宋" w:eastAsia="仿宋"/>
          <w:b w:val="0"/>
          <w:bCs w:val="0"/>
          <w:color w:val="auto"/>
          <w:highlight w:val="none"/>
        </w:rPr>
      </w:pPr>
      <w:bookmarkStart w:id="58" w:name="_Toc15396623"/>
      <w:r>
        <w:rPr>
          <w:rStyle w:val="30"/>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政拨款支出决算明细表</w:t>
      </w:r>
      <w:bookmarkEnd w:id="58"/>
      <w:bookmarkStart w:id="59" w:name="_Toc15396624"/>
    </w:p>
    <w:p>
      <w:pPr>
        <w:pStyle w:val="4"/>
        <w:rPr>
          <w:rFonts w:ascii="仿宋" w:hAnsi="仿宋" w:eastAsia="仿宋"/>
          <w:color w:val="auto"/>
          <w:highlight w:val="none"/>
        </w:rPr>
      </w:pPr>
      <w:r>
        <w:rPr>
          <w:rStyle w:val="30"/>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般公共预算财政拨款支出决算表</w:t>
      </w:r>
      <w:bookmarkEnd w:id="59"/>
    </w:p>
    <w:p>
      <w:pPr>
        <w:pStyle w:val="4"/>
        <w:rPr>
          <w:rFonts w:ascii="仿宋" w:hAnsi="仿宋" w:eastAsia="仿宋"/>
          <w:color w:val="auto"/>
          <w:highlight w:val="none"/>
        </w:rPr>
      </w:pPr>
      <w:bookmarkStart w:id="60" w:name="_Toc15396625"/>
      <w:r>
        <w:rPr>
          <w:rStyle w:val="30"/>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般公共预算财政拨款支出决算明细表</w:t>
      </w:r>
      <w:bookmarkEnd w:id="60"/>
    </w:p>
    <w:p>
      <w:pPr>
        <w:pStyle w:val="4"/>
        <w:rPr>
          <w:rFonts w:ascii="仿宋" w:hAnsi="仿宋" w:eastAsia="仿宋"/>
          <w:color w:val="auto"/>
          <w:highlight w:val="none"/>
        </w:rPr>
      </w:pPr>
      <w:bookmarkStart w:id="61" w:name="_Toc15396626"/>
      <w:r>
        <w:rPr>
          <w:rStyle w:val="30"/>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般公共预算财政拨款基本支出决算表</w:t>
      </w:r>
      <w:bookmarkEnd w:id="61"/>
    </w:p>
    <w:p>
      <w:pPr>
        <w:pStyle w:val="4"/>
        <w:rPr>
          <w:rFonts w:ascii="仿宋" w:hAnsi="仿宋" w:eastAsia="仿宋"/>
          <w:color w:val="auto"/>
          <w:highlight w:val="none"/>
        </w:rPr>
      </w:pPr>
      <w:bookmarkStart w:id="62" w:name="_Toc15396627"/>
      <w:r>
        <w:rPr>
          <w:rStyle w:val="30"/>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般公共预算财政拨款项目支出决算表</w:t>
      </w:r>
      <w:bookmarkEnd w:id="62"/>
    </w:p>
    <w:p>
      <w:pPr>
        <w:pStyle w:val="4"/>
        <w:rPr>
          <w:rFonts w:ascii="仿宋" w:hAnsi="仿宋" w:eastAsia="仿宋"/>
          <w:color w:val="auto"/>
          <w:highlight w:val="none"/>
        </w:rPr>
      </w:pPr>
      <w:bookmarkStart w:id="63" w:name="_Toc15396628"/>
      <w:r>
        <w:rPr>
          <w:rStyle w:val="30"/>
          <w:rFonts w:hint="eastAsia" w:ascii="仿宋" w:hAnsi="仿宋" w:eastAsia="仿宋"/>
          <w:b w:val="0"/>
          <w:bCs w:val="0"/>
          <w:color w:val="auto"/>
          <w:highlight w:val="none"/>
        </w:rPr>
        <w:t>十、</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般公共预算财政拨款“三公”经费支出决算表</w:t>
      </w:r>
      <w:bookmarkEnd w:id="63"/>
    </w:p>
    <w:p>
      <w:pPr>
        <w:pStyle w:val="4"/>
        <w:rPr>
          <w:rFonts w:ascii="仿宋" w:hAnsi="仿宋" w:eastAsia="仿宋"/>
          <w:color w:val="auto"/>
          <w:highlight w:val="none"/>
        </w:rPr>
      </w:pPr>
      <w:bookmarkStart w:id="64" w:name="_Toc15396629"/>
      <w:r>
        <w:rPr>
          <w:rStyle w:val="30"/>
          <w:rFonts w:hint="eastAsia" w:ascii="仿宋" w:hAnsi="仿宋" w:eastAsia="仿宋"/>
          <w:b w:val="0"/>
          <w:bCs w:val="0"/>
          <w:color w:val="auto"/>
          <w:highlight w:val="none"/>
        </w:rPr>
        <w:t>十一、</w:t>
      </w:r>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府性基金预算财政拨款收入支出决算表</w:t>
      </w:r>
      <w:bookmarkEnd w:id="64"/>
    </w:p>
    <w:p>
      <w:pPr>
        <w:pStyle w:val="4"/>
        <w:rPr>
          <w:rFonts w:ascii="仿宋" w:hAnsi="仿宋" w:eastAsia="仿宋"/>
          <w:color w:val="auto"/>
          <w:highlight w:val="none"/>
        </w:rPr>
      </w:pPr>
      <w:bookmarkStart w:id="65" w:name="_Toc15396630"/>
      <w:r>
        <w:rPr>
          <w:rStyle w:val="30"/>
          <w:rFonts w:hint="eastAsia" w:ascii="仿宋" w:hAnsi="仿宋" w:eastAsia="仿宋"/>
          <w:b w:val="0"/>
          <w:bCs w:val="0"/>
          <w:color w:val="auto"/>
          <w:highlight w:val="none"/>
        </w:rPr>
        <w:t>十二、</w:t>
      </w:r>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府性基金预算财政拨款“三公”经费支出决算表</w:t>
      </w:r>
      <w:bookmarkEnd w:id="65"/>
    </w:p>
    <w:p>
      <w:pPr>
        <w:pStyle w:val="4"/>
        <w:rPr>
          <w:rStyle w:val="30"/>
          <w:rFonts w:ascii="仿宋" w:hAnsi="仿宋" w:eastAsia="仿宋"/>
          <w:b w:val="0"/>
          <w:bCs w:val="0"/>
          <w:color w:val="auto"/>
          <w:highlight w:val="none"/>
        </w:rPr>
      </w:pPr>
      <w:bookmarkStart w:id="66" w:name="_Toc15396631"/>
      <w:r>
        <w:rPr>
          <w:rStyle w:val="30"/>
          <w:rFonts w:hint="eastAsia" w:ascii="仿宋" w:hAnsi="仿宋" w:eastAsia="仿宋"/>
          <w:b w:val="0"/>
          <w:bCs w:val="0"/>
          <w:color w:val="auto"/>
          <w:highlight w:val="none"/>
        </w:rPr>
        <w:t>十三、</w:t>
      </w:r>
      <w:r>
        <w:rPr>
          <w:rFonts w:hint="eastAsia" w:ascii="仿宋" w:hAnsi="仿宋" w:eastAsia="仿宋"/>
          <w:b w:val="0"/>
          <w:color w:val="auto"/>
          <w:highlight w:val="none"/>
        </w:rPr>
        <w:t>国</w:t>
      </w:r>
      <w:r>
        <w:rPr>
          <w:rStyle w:val="30"/>
          <w:rFonts w:hint="eastAsia" w:ascii="仿宋" w:hAnsi="仿宋" w:eastAsia="仿宋"/>
          <w:b w:val="0"/>
          <w:bCs w:val="0"/>
          <w:color w:val="auto"/>
          <w:highlight w:val="none"/>
        </w:rPr>
        <w:t>有资本经营预算财政拨款收入支出决算表</w:t>
      </w:r>
      <w:bookmarkEnd w:id="66"/>
    </w:p>
    <w:p>
      <w:pPr>
        <w:rPr>
          <w:rFonts w:eastAsia="仿宋"/>
          <w:color w:val="auto"/>
          <w:highlight w:val="none"/>
        </w:rPr>
      </w:pPr>
      <w:r>
        <w:rPr>
          <w:rStyle w:val="30"/>
          <w:rFonts w:hint="eastAsia" w:ascii="仿宋" w:hAnsi="仿宋" w:eastAsia="仿宋"/>
          <w:b w:val="0"/>
          <w:bCs w:val="0"/>
          <w:color w:val="auto"/>
          <w:highlight w:val="none"/>
        </w:rPr>
        <w:t>十四、国有资本经营预算财政拨款支出决算表</w:t>
      </w:r>
    </w:p>
    <w:sectPr>
      <w:headerReference r:id="rId5" w:type="default"/>
      <w:footerReference r:id="rId6" w:type="default"/>
      <w:pgSz w:w="11906" w:h="16838"/>
      <w:pgMar w:top="1440" w:right="1800" w:bottom="1440" w:left="1800" w:header="851" w:footer="992" w:gutter="0"/>
      <w:pgNumType w:start="1"/>
      <w:cols w:space="425" w:num="1"/>
      <w:titlePg/>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佳" w:date="2022-09-27T14:40:55Z" w:initials="佳">
    <w:p w14:paraId="78656669">
      <w:pPr>
        <w:pStyle w:val="6"/>
        <w:rPr>
          <w:rFonts w:hint="default" w:eastAsia="仿宋_GB2312"/>
          <w:lang w:val="en-US" w:eastAsia="zh-CN"/>
        </w:rPr>
      </w:pPr>
      <w:r>
        <w:rPr>
          <w:rFonts w:hint="eastAsia" w:ascii="仿宋_GB2312" w:hAnsi="仿宋_GB2312" w:eastAsia="仿宋_GB2312" w:cs="仿宋_GB2312"/>
          <w:sz w:val="32"/>
          <w:szCs w:val="32"/>
          <w:highlight w:val="yellow"/>
        </w:rPr>
        <w:t>根据预算绩效管理要求，本单位在2021年度预算编制阶段，</w:t>
      </w:r>
      <w:r>
        <w:rPr>
          <w:rFonts w:hint="eastAsia" w:ascii="仿宋_GB2312" w:hAnsi="仿宋_GB2312" w:eastAsia="仿宋_GB2312" w:cs="仿宋_GB2312"/>
          <w:sz w:val="32"/>
          <w:szCs w:val="32"/>
          <w:highlight w:val="yellow"/>
          <w:lang w:val="en-US" w:eastAsia="zh-CN"/>
        </w:rPr>
        <w:t>不涉及事前评估项目，对   几个（）重点基本支出）编制了绩效目标，在</w:t>
      </w:r>
      <w:r>
        <w:rPr>
          <w:rFonts w:hint="eastAsia" w:ascii="仿宋_GB2312" w:hAnsi="仿宋_GB2312" w:eastAsia="仿宋_GB2312" w:cs="仿宋_GB2312"/>
          <w:sz w:val="32"/>
          <w:szCs w:val="32"/>
          <w:highlight w:val="yellow"/>
        </w:rPr>
        <w:t>预算执行过程中，</w:t>
      </w:r>
      <w:r>
        <w:rPr>
          <w:rFonts w:hint="eastAsia" w:ascii="仿宋_GB2312" w:hAnsi="仿宋_GB2312" w:eastAsia="仿宋_GB2312" w:cs="仿宋_GB2312"/>
          <w:sz w:val="32"/>
          <w:szCs w:val="32"/>
          <w:highlight w:val="yellow"/>
          <w:lang w:val="en-US" w:eastAsia="zh-CN"/>
        </w:rPr>
        <w:t>对  开展了绩效自评，</w:t>
      </w:r>
      <w:r>
        <w:rPr>
          <w:rFonts w:hint="eastAsia" w:ascii="仿宋_GB2312" w:hAnsi="仿宋_GB2312" w:eastAsia="仿宋_GB2312" w:cs="仿宋_GB2312"/>
          <w:sz w:val="32"/>
          <w:szCs w:val="32"/>
          <w:highlight w:val="yellow"/>
        </w:rPr>
        <w:t>2021年部门预算项目绩效目标自评表见主管单位附件</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865666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1"/>
          <w:jc w:val="center"/>
        </w:pPr>
        <w:r>
          <w:fldChar w:fldCharType="begin"/>
        </w:r>
        <w:r>
          <w:instrText xml:space="preserve">PAGE   \* MERGEFORMAT</w:instrText>
        </w:r>
        <w:r>
          <w:fldChar w:fldCharType="separate"/>
        </w:r>
        <w:r>
          <w:rPr>
            <w:lang w:val="zh-CN"/>
          </w:rPr>
          <w:t>12</w:t>
        </w:r>
        <w: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92B4FE"/>
    <w:multiLevelType w:val="singleLevel"/>
    <w:tmpl w:val="6492B4F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佳">
    <w15:presenceInfo w15:providerId="None" w15:userId="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A2032A3"/>
    <w:rsid w:val="0B8A37D8"/>
    <w:rsid w:val="0DB17280"/>
    <w:rsid w:val="0EC71F0D"/>
    <w:rsid w:val="10C055FF"/>
    <w:rsid w:val="112C7A85"/>
    <w:rsid w:val="118107EC"/>
    <w:rsid w:val="11DD6519"/>
    <w:rsid w:val="12910332"/>
    <w:rsid w:val="157E27B0"/>
    <w:rsid w:val="16BB723D"/>
    <w:rsid w:val="177D300F"/>
    <w:rsid w:val="18015F3F"/>
    <w:rsid w:val="1BE8440E"/>
    <w:rsid w:val="1D155CEE"/>
    <w:rsid w:val="1DFB0BEC"/>
    <w:rsid w:val="20F57F95"/>
    <w:rsid w:val="23066A21"/>
    <w:rsid w:val="240371BF"/>
    <w:rsid w:val="24D54B4E"/>
    <w:rsid w:val="25C741E6"/>
    <w:rsid w:val="27842671"/>
    <w:rsid w:val="29FD04D3"/>
    <w:rsid w:val="2ABE7A3E"/>
    <w:rsid w:val="2BAE4DE0"/>
    <w:rsid w:val="2C0D4D5A"/>
    <w:rsid w:val="2EFA178C"/>
    <w:rsid w:val="30B46D73"/>
    <w:rsid w:val="319F7F4E"/>
    <w:rsid w:val="32E05DEF"/>
    <w:rsid w:val="353C0D20"/>
    <w:rsid w:val="39AE70AB"/>
    <w:rsid w:val="3C0C0783"/>
    <w:rsid w:val="3F795B0E"/>
    <w:rsid w:val="3F9F3A96"/>
    <w:rsid w:val="493C27E9"/>
    <w:rsid w:val="496F39ED"/>
    <w:rsid w:val="49FF41D3"/>
    <w:rsid w:val="4A185DC8"/>
    <w:rsid w:val="4BE068DB"/>
    <w:rsid w:val="4BF6002B"/>
    <w:rsid w:val="4ECE2238"/>
    <w:rsid w:val="4FD61684"/>
    <w:rsid w:val="503645ED"/>
    <w:rsid w:val="508F3649"/>
    <w:rsid w:val="51DB4B86"/>
    <w:rsid w:val="52FB5859"/>
    <w:rsid w:val="55333C3E"/>
    <w:rsid w:val="569A6B8C"/>
    <w:rsid w:val="58737E60"/>
    <w:rsid w:val="5EEF25B2"/>
    <w:rsid w:val="64A80084"/>
    <w:rsid w:val="64CA39A1"/>
    <w:rsid w:val="65B126BB"/>
    <w:rsid w:val="6C4A05C8"/>
    <w:rsid w:val="6C6E6699"/>
    <w:rsid w:val="6EDA0CDC"/>
    <w:rsid w:val="72734D90"/>
    <w:rsid w:val="727D7081"/>
    <w:rsid w:val="72E456B5"/>
    <w:rsid w:val="74E366CA"/>
    <w:rsid w:val="79E7B28D"/>
    <w:rsid w:val="7AC82E51"/>
    <w:rsid w:val="7BFA24EA"/>
    <w:rsid w:val="7CAB154F"/>
    <w:rsid w:val="7E0D21A7"/>
    <w:rsid w:val="7F011089"/>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4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ascii="等线 Light" w:hAnsi="等线 Light" w:eastAsia="等线 Light"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1301.74</c:v>
                </c:pt>
                <c:pt idx="1">
                  <c:v>1909.78</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1301.74</c:v>
                </c:pt>
                <c:pt idx="1">
                  <c:v>1909.78</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政府性基金预算财政拨款收入</c:v>
                </c:pt>
              </c:strCache>
            </c:strRef>
          </c:cat>
          <c:val>
            <c:numRef>
              <c:f>Sheet1!$B$2:$B$3</c:f>
              <c:numCache>
                <c:formatCode>0.00%</c:formatCode>
                <c:ptCount val="2"/>
                <c:pt idx="0">
                  <c:v>0.9992</c:v>
                </c:pt>
                <c:pt idx="1">
                  <c:v>0.0008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49.65</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50.35</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948.27</c:v>
                </c:pt>
                <c:pt idx="1">
                  <c:v>961.51</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1301.74</c:v>
                </c:pt>
                <c:pt idx="1">
                  <c:v>1909.78</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1301.74</c:v>
                </c:pt>
                <c:pt idx="1">
                  <c:v>1909.78</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1298.74</c:v>
                </c:pt>
                <c:pt idx="1">
                  <c:v>1908.27</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20</Pages>
  <Words>6899</Words>
  <Characters>7389</Characters>
  <Lines>47</Lines>
  <Paragraphs>13</Paragraphs>
  <TotalTime>8</TotalTime>
  <ScaleCrop>false</ScaleCrop>
  <LinksUpToDate>false</LinksUpToDate>
  <CharactersWithSpaces>7454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king</cp:lastModifiedBy>
  <cp:lastPrinted>2022-09-27T03:56:00Z</cp:lastPrinted>
  <dcterms:modified xsi:type="dcterms:W3CDTF">2022-09-30T14:25:16Z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90E9467CCEFE4D188C1A3EBDCF3991AB</vt:lpwstr>
  </property>
</Properties>
</file>