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rPr>
      </w:pPr>
      <w:bookmarkStart w:id="0" w:name="_Toc15306267"/>
    </w:p>
    <w:p>
      <w:pPr>
        <w:spacing w:line="600" w:lineRule="exact"/>
        <w:jc w:val="center"/>
        <w:outlineLvl w:val="0"/>
        <w:rPr>
          <w:rFonts w:ascii="方正小标宋简体" w:hAnsi="宋体" w:eastAsia="方正小标宋简体"/>
          <w:color w:val="auto"/>
          <w:sz w:val="72"/>
          <w:szCs w:val="72"/>
        </w:rPr>
      </w:pPr>
    </w:p>
    <w:p>
      <w:pPr>
        <w:spacing w:line="600" w:lineRule="exact"/>
        <w:jc w:val="center"/>
        <w:outlineLvl w:val="0"/>
        <w:rPr>
          <w:rFonts w:ascii="方正小标宋简体" w:hAnsi="宋体" w:eastAsia="方正小标宋简体"/>
          <w:color w:val="auto"/>
          <w:sz w:val="72"/>
          <w:szCs w:val="72"/>
        </w:rPr>
      </w:pPr>
    </w:p>
    <w:p>
      <w:pPr>
        <w:spacing w:line="600" w:lineRule="exact"/>
        <w:jc w:val="center"/>
        <w:outlineLvl w:val="0"/>
        <w:rPr>
          <w:rFonts w:ascii="方正小标宋简体" w:hAnsi="宋体" w:eastAsia="方正小标宋简体"/>
          <w:color w:val="auto"/>
          <w:sz w:val="72"/>
          <w:szCs w:val="72"/>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rPr>
      </w:pPr>
      <w:bookmarkStart w:id="1" w:name="_Toc15396475"/>
      <w:bookmarkStart w:id="2" w:name="_Toc15377425"/>
      <w:bookmarkStart w:id="3" w:name="_Toc15378441"/>
      <w:bookmarkStart w:id="4" w:name="_Toc15377193"/>
      <w:bookmarkStart w:id="5" w:name="_Toc15396597"/>
      <w:r>
        <w:rPr>
          <w:rFonts w:hint="eastAsia" w:ascii="方正小标宋_GBK" w:hAnsi="方正小标宋_GBK" w:eastAsia="方正小标宋_GBK" w:cs="方正小标宋_GBK"/>
          <w:color w:val="auto"/>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color w:val="auto"/>
          <w:sz w:val="72"/>
          <w:szCs w:val="72"/>
        </w:rPr>
      </w:pPr>
      <w:bookmarkStart w:id="6" w:name="_Toc15396598"/>
      <w:bookmarkStart w:id="7" w:name="_Toc15396476"/>
      <w:bookmarkStart w:id="8" w:name="_Toc15377194"/>
      <w:bookmarkStart w:id="9" w:name="_Toc15378442"/>
      <w:bookmarkStart w:id="10" w:name="_Toc15377426"/>
      <w:r>
        <w:rPr>
          <w:rFonts w:hint="eastAsia" w:ascii="方正小标宋_GBK" w:hAnsi="方正小标宋_GBK" w:eastAsia="方正小标宋_GBK" w:cs="方正小标宋_GBK"/>
          <w:color w:val="auto"/>
          <w:sz w:val="72"/>
          <w:szCs w:val="72"/>
        </w:rPr>
        <w:t>四川省</w:t>
      </w:r>
      <w:bookmarkEnd w:id="0"/>
      <w:bookmarkStart w:id="11" w:name="_Toc15306268"/>
      <w:r>
        <w:rPr>
          <w:rFonts w:hint="eastAsia" w:ascii="方正小标宋_GBK" w:hAnsi="方正小标宋_GBK" w:eastAsia="方正小标宋_GBK" w:cs="方正小标宋_GBK"/>
          <w:color w:val="auto"/>
          <w:sz w:val="72"/>
          <w:szCs w:val="72"/>
        </w:rPr>
        <w:t>广元市昭化区</w:t>
      </w:r>
      <w:r>
        <w:rPr>
          <w:rFonts w:hint="eastAsia" w:ascii="方正小标宋_GBK" w:hAnsi="方正小标宋_GBK" w:eastAsia="方正小标宋_GBK" w:cs="方正小标宋_GBK"/>
          <w:color w:val="auto"/>
          <w:sz w:val="72"/>
          <w:szCs w:val="72"/>
          <w:lang w:eastAsia="zh-CN"/>
        </w:rPr>
        <w:t>昭化初级中学</w:t>
      </w:r>
      <w:r>
        <w:rPr>
          <w:rFonts w:hint="eastAsia" w:ascii="方正小标宋_GBK" w:hAnsi="方正小标宋_GBK" w:eastAsia="方正小标宋_GBK" w:cs="方正小标宋_GBK"/>
          <w:color w:val="auto"/>
          <w:sz w:val="72"/>
          <w:szCs w:val="72"/>
        </w:rPr>
        <w:t>单位决算</w:t>
      </w:r>
      <w:bookmarkEnd w:id="6"/>
      <w:bookmarkEnd w:id="7"/>
      <w:bookmarkEnd w:id="8"/>
      <w:bookmarkEnd w:id="9"/>
      <w:bookmarkEnd w:id="10"/>
      <w:bookmarkEnd w:id="11"/>
    </w:p>
    <w:p>
      <w:pPr>
        <w:widowControl/>
        <w:jc w:val="center"/>
        <w:rPr>
          <w:rFonts w:ascii="黑体" w:hAnsi="黑体" w:eastAsia="黑体"/>
          <w:color w:val="auto"/>
          <w:sz w:val="48"/>
          <w:szCs w:val="48"/>
        </w:rPr>
      </w:pPr>
      <w:r>
        <w:rPr>
          <w:rFonts w:ascii="方正小标宋简体" w:hAnsi="宋体" w:eastAsia="方正小标宋简体"/>
          <w:color w:val="auto"/>
          <w:sz w:val="36"/>
          <w:szCs w:val="36"/>
        </w:rPr>
        <w:br w:type="page"/>
      </w:r>
      <w:r>
        <w:rPr>
          <w:rFonts w:hint="eastAsia" w:ascii="黑体" w:hAnsi="黑体" w:eastAsia="黑体"/>
          <w:color w:val="auto"/>
          <w:sz w:val="48"/>
          <w:szCs w:val="48"/>
        </w:rPr>
        <w:t>目录</w:t>
      </w:r>
    </w:p>
    <w:p>
      <w:pPr>
        <w:pStyle w:val="13"/>
        <w:jc w:val="both"/>
        <w:rPr>
          <w:color w:val="auto"/>
        </w:rPr>
      </w:pPr>
    </w:p>
    <w:p>
      <w:pPr>
        <w:rPr>
          <w:color w:val="auto"/>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16</w:t>
      </w:r>
    </w:p>
    <w:p>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16</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ascii="仿宋" w:hAnsi="仿宋" w:eastAsia="仿宋"/>
          <w:bCs/>
          <w:color w:val="auto"/>
          <w:kern w:val="44"/>
          <w:sz w:val="24"/>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rPr>
        <w:br w:type="page"/>
      </w:r>
    </w:p>
    <w:p>
      <w:pPr>
        <w:pStyle w:val="3"/>
        <w:jc w:val="center"/>
        <w:rPr>
          <w:rStyle w:val="29"/>
          <w:rFonts w:ascii="黑体" w:hAnsi="黑体" w:eastAsia="黑体"/>
          <w:b/>
          <w:bCs w:val="0"/>
          <w:color w:val="auto"/>
        </w:rPr>
      </w:pPr>
      <w:r>
        <w:rPr>
          <w:rFonts w:hint="eastAsia" w:ascii="黑体" w:hAnsi="黑体" w:eastAsia="黑体"/>
          <w:b w:val="0"/>
          <w:color w:val="auto"/>
        </w:rPr>
        <w:t>第一部分 单位</w:t>
      </w:r>
      <w:r>
        <w:rPr>
          <w:rStyle w:val="29"/>
          <w:rFonts w:hint="eastAsia" w:ascii="黑体" w:hAnsi="黑体" w:eastAsia="黑体"/>
          <w:b w:val="0"/>
          <w:bCs w:val="0"/>
          <w:color w:val="auto"/>
        </w:rPr>
        <w:t>概况</w:t>
      </w:r>
      <w:bookmarkEnd w:id="12"/>
      <w:bookmarkEnd w:id="13"/>
    </w:p>
    <w:p>
      <w:pPr>
        <w:widowControl/>
        <w:jc w:val="left"/>
        <w:rPr>
          <w:rFonts w:ascii="黑体" w:eastAsia="黑体"/>
          <w:color w:val="auto"/>
          <w:sz w:val="32"/>
          <w:szCs w:val="32"/>
        </w:rPr>
      </w:pPr>
    </w:p>
    <w:p>
      <w:pPr>
        <w:pStyle w:val="4"/>
        <w:numPr>
          <w:ilvl w:val="0"/>
          <w:numId w:val="1"/>
        </w:numPr>
        <w:rPr>
          <w:rStyle w:val="30"/>
          <w:rFonts w:ascii="黑体" w:hAnsi="黑体" w:eastAsia="黑体"/>
          <w:b w:val="0"/>
          <w:bCs w:val="0"/>
          <w:color w:val="auto"/>
        </w:rPr>
      </w:pPr>
      <w:bookmarkStart w:id="14" w:name="_Toc15396600"/>
      <w:bookmarkStart w:id="15" w:name="_Toc15377197"/>
      <w:r>
        <w:rPr>
          <w:rStyle w:val="30"/>
          <w:rFonts w:hint="eastAsia" w:ascii="黑体" w:hAnsi="黑体" w:eastAsia="黑体"/>
          <w:b w:val="0"/>
          <w:bCs w:val="0"/>
          <w:color w:val="auto"/>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6.</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color w:val="auto"/>
          <w:sz w:val="32"/>
          <w:szCs w:val="32"/>
        </w:rPr>
        <w:t>7.</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10.</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依法接受各级教育行政部门的检查指导和人民群众的监督。</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11.承办上级交办的其他事项。</w:t>
      </w:r>
    </w:p>
    <w:p>
      <w:pPr>
        <w:pStyle w:val="4"/>
        <w:rPr>
          <w:rFonts w:ascii="黑体" w:hAnsi="黑体" w:eastAsia="黑体"/>
          <w:b w:val="0"/>
          <w:color w:val="auto"/>
        </w:rPr>
      </w:pPr>
      <w:r>
        <w:rPr>
          <w:rFonts w:hint="eastAsia" w:ascii="黑体" w:hAnsi="黑体" w:eastAsia="黑体"/>
          <w:b w:val="0"/>
          <w:color w:val="auto"/>
        </w:rPr>
        <w:t>二、2021年重点工作</w:t>
      </w:r>
      <w:bookmarkEnd w:id="14"/>
      <w:bookmarkEnd w:id="15"/>
      <w:r>
        <w:rPr>
          <w:rFonts w:hint="eastAsia" w:ascii="黑体" w:hAnsi="黑体" w:eastAsia="黑体"/>
          <w:b w:val="0"/>
          <w:color w:val="auto"/>
        </w:rPr>
        <w:t>完成情况</w:t>
      </w:r>
    </w:p>
    <w:p>
      <w:pPr>
        <w:pStyle w:val="4"/>
        <w:keepNext/>
        <w:keepLines/>
        <w:pageBreakBefore w:val="0"/>
        <w:widowControl w:val="0"/>
        <w:numPr>
          <w:ilvl w:val="0"/>
          <w:numId w:val="0"/>
        </w:numPr>
        <w:kinsoku/>
        <w:wordWrap/>
        <w:overflowPunct/>
        <w:topLinePunct w:val="0"/>
        <w:autoSpaceDE/>
        <w:autoSpaceDN/>
        <w:bidi w:val="0"/>
        <w:adjustRightInd/>
        <w:snapToGrid/>
        <w:spacing w:line="240" w:lineRule="auto"/>
        <w:textAlignment w:val="auto"/>
        <w:rPr>
          <w:rFonts w:ascii="仿宋_GB2312" w:hAnsi="微软雅黑" w:eastAsia="仿宋_GB2312"/>
          <w:color w:val="auto"/>
          <w:sz w:val="30"/>
          <w:szCs w:val="30"/>
        </w:rPr>
      </w:pPr>
      <w:r>
        <w:rPr>
          <w:rFonts w:hint="eastAsia" w:ascii="仿宋_GB2312" w:hAnsi="微软雅黑" w:eastAsia="仿宋_GB2312"/>
          <w:color w:val="auto"/>
          <w:sz w:val="30"/>
          <w:szCs w:val="30"/>
          <w:lang w:eastAsia="zh-CN"/>
        </w:rPr>
        <w:t>（</w:t>
      </w:r>
      <w:r>
        <w:rPr>
          <w:rFonts w:hint="eastAsia" w:ascii="仿宋_GB2312" w:hAnsi="微软雅黑" w:eastAsia="仿宋_GB2312"/>
          <w:color w:val="auto"/>
          <w:sz w:val="30"/>
          <w:szCs w:val="30"/>
          <w:lang w:val="en-US" w:eastAsia="zh-CN"/>
        </w:rPr>
        <w:t>一</w:t>
      </w:r>
      <w:r>
        <w:rPr>
          <w:rFonts w:hint="eastAsia" w:ascii="仿宋_GB2312" w:hAnsi="微软雅黑" w:eastAsia="仿宋_GB2312"/>
          <w:color w:val="auto"/>
          <w:sz w:val="30"/>
          <w:szCs w:val="30"/>
          <w:lang w:eastAsia="zh-CN"/>
        </w:rPr>
        <w:t>）</w:t>
      </w:r>
      <w:r>
        <w:rPr>
          <w:rFonts w:hint="eastAsia" w:ascii="黑体" w:hAnsi="黑体" w:eastAsia="黑体"/>
          <w:color w:val="auto"/>
          <w:sz w:val="30"/>
          <w:szCs w:val="30"/>
          <w:lang w:eastAsia="zh-CN"/>
        </w:rPr>
        <w:t>共同</w:t>
      </w:r>
      <w:r>
        <w:rPr>
          <w:rFonts w:hint="eastAsia" w:ascii="黑体" w:hAnsi="黑体" w:eastAsia="黑体"/>
          <w:color w:val="auto"/>
          <w:sz w:val="30"/>
          <w:szCs w:val="30"/>
        </w:rPr>
        <w:t>目标完成情况</w:t>
      </w:r>
    </w:p>
    <w:p>
      <w:pPr>
        <w:keepNext w:val="0"/>
        <w:keepLines w:val="0"/>
        <w:pageBreakBefore w:val="0"/>
        <w:kinsoku/>
        <w:wordWrap/>
        <w:overflowPunct/>
        <w:topLinePunct w:val="0"/>
        <w:autoSpaceDE/>
        <w:autoSpaceDN/>
        <w:bidi w:val="0"/>
        <w:adjustRightInd/>
        <w:snapToGrid/>
        <w:spacing w:line="510" w:lineRule="exact"/>
        <w:ind w:firstLine="751" w:firstLineChars="250"/>
        <w:textAlignment w:val="auto"/>
        <w:rPr>
          <w:rFonts w:hint="eastAsia" w:ascii="华文楷体" w:hAnsi="华文楷体" w:eastAsia="华文楷体" w:cs="华文楷体"/>
          <w:b/>
          <w:bCs/>
          <w:color w:val="auto"/>
          <w:sz w:val="30"/>
          <w:szCs w:val="30"/>
          <w:lang w:eastAsia="zh-CN"/>
        </w:rPr>
      </w:pPr>
      <w:r>
        <w:rPr>
          <w:rFonts w:hint="eastAsia" w:ascii="华文楷体" w:hAnsi="华文楷体" w:eastAsia="华文楷体" w:cs="华文楷体"/>
          <w:b/>
          <w:bCs/>
          <w:color w:val="auto"/>
          <w:sz w:val="30"/>
          <w:szCs w:val="30"/>
          <w:lang w:val="en-US" w:eastAsia="zh-CN"/>
        </w:rPr>
        <w:t>1.</w:t>
      </w:r>
      <w:r>
        <w:rPr>
          <w:rFonts w:hint="eastAsia" w:ascii="华文楷体" w:hAnsi="华文楷体" w:eastAsia="华文楷体" w:cs="华文楷体"/>
          <w:b/>
          <w:bCs/>
          <w:color w:val="auto"/>
          <w:sz w:val="30"/>
          <w:szCs w:val="30"/>
          <w:lang w:eastAsia="zh-CN"/>
        </w:rPr>
        <w:t>凸党建，</w:t>
      </w:r>
      <w:r>
        <w:rPr>
          <w:rFonts w:hint="eastAsia" w:ascii="华文楷体" w:hAnsi="华文楷体" w:eastAsia="华文楷体" w:cs="华文楷体"/>
          <w:b/>
          <w:bCs/>
          <w:color w:val="auto"/>
          <w:sz w:val="30"/>
          <w:szCs w:val="30"/>
        </w:rPr>
        <w:t>充分发挥党组织的战斗堡垒作用</w:t>
      </w:r>
    </w:p>
    <w:p>
      <w:pPr>
        <w:keepNext w:val="0"/>
        <w:keepLines w:val="0"/>
        <w:pageBreakBefore w:val="0"/>
        <w:kinsoku/>
        <w:wordWrap/>
        <w:overflowPunct/>
        <w:topLinePunct w:val="0"/>
        <w:autoSpaceDE/>
        <w:autoSpaceDN/>
        <w:bidi w:val="0"/>
        <w:adjustRightInd/>
        <w:snapToGrid/>
        <w:spacing w:line="510" w:lineRule="exact"/>
        <w:ind w:firstLine="750" w:firstLineChars="250"/>
        <w:textAlignment w:val="auto"/>
        <w:rPr>
          <w:rFonts w:ascii="仿宋_GB2312" w:hAnsi="微软雅黑" w:eastAsia="仿宋_GB2312"/>
          <w:color w:val="auto"/>
          <w:sz w:val="30"/>
          <w:szCs w:val="30"/>
        </w:rPr>
      </w:pPr>
      <w:r>
        <w:rPr>
          <w:rFonts w:hint="eastAsia" w:ascii="仿宋_GB2312" w:hAnsi="仿宋_GB2312" w:eastAsia="仿宋_GB2312" w:cs="仿宋_GB2312"/>
          <w:b w:val="0"/>
          <w:bCs w:val="0"/>
          <w:color w:val="auto"/>
          <w:sz w:val="30"/>
          <w:szCs w:val="30"/>
          <w:lang w:eastAsia="zh-CN"/>
        </w:rPr>
        <w:t>一是</w:t>
      </w:r>
      <w:r>
        <w:rPr>
          <w:rFonts w:hint="eastAsia" w:ascii="仿宋_GB2312" w:hAnsi="仿宋_GB2312" w:eastAsia="仿宋_GB2312" w:cs="仿宋_GB2312"/>
          <w:color w:val="auto"/>
          <w:sz w:val="30"/>
          <w:szCs w:val="30"/>
          <w:lang w:eastAsia="zh-CN"/>
        </w:rPr>
        <w:t>严格落实</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三会一课</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制度，抓实“三个一”活动，推进支部规范化建设。</w:t>
      </w:r>
      <w:r>
        <w:rPr>
          <w:rFonts w:hint="eastAsia" w:ascii="仿宋_GB2312" w:hAnsi="仿宋_GB2312" w:eastAsia="仿宋_GB2312" w:cs="仿宋_GB2312"/>
          <w:b w:val="0"/>
          <w:bCs w:val="0"/>
          <w:color w:val="auto"/>
          <w:sz w:val="30"/>
          <w:szCs w:val="30"/>
          <w:lang w:eastAsia="zh-CN"/>
        </w:rPr>
        <w:t>二是以三史为重点，认真开展党史学习教育</w:t>
      </w:r>
      <w:bookmarkStart w:id="67" w:name="_GoBack"/>
      <w:bookmarkEnd w:id="67"/>
      <w:r>
        <w:rPr>
          <w:rFonts w:hint="eastAsia" w:ascii="仿宋_GB2312" w:hAnsi="仿宋_GB2312" w:eastAsia="仿宋_GB2312" w:cs="仿宋_GB2312"/>
          <w:b w:val="0"/>
          <w:bCs w:val="0"/>
          <w:color w:val="auto"/>
          <w:sz w:val="30"/>
          <w:szCs w:val="30"/>
          <w:lang w:eastAsia="zh-CN"/>
        </w:rPr>
        <w:t>，提高党员干部思想认识和理论水平。三是以干部纪律作风整顿和付健违法违纪案以案促改为抓手，</w:t>
      </w:r>
      <w:r>
        <w:rPr>
          <w:rFonts w:hint="eastAsia" w:ascii="仿宋_GB2312" w:hAnsi="仿宋_GB2312" w:eastAsia="仿宋_GB2312" w:cs="仿宋_GB2312"/>
          <w:color w:val="auto"/>
          <w:sz w:val="30"/>
          <w:szCs w:val="30"/>
          <w:lang w:eastAsia="zh-CN"/>
        </w:rPr>
        <w:t>加强</w:t>
      </w:r>
      <w:r>
        <w:rPr>
          <w:rFonts w:hint="eastAsia" w:ascii="仿宋_GB2312" w:hAnsi="仿宋_GB2312" w:eastAsia="仿宋_GB2312" w:cs="仿宋_GB2312"/>
          <w:color w:val="auto"/>
          <w:sz w:val="30"/>
          <w:szCs w:val="30"/>
        </w:rPr>
        <w:t>党风廉政建设</w:t>
      </w:r>
      <w:r>
        <w:rPr>
          <w:rFonts w:hint="eastAsia" w:ascii="仿宋_GB2312" w:hAnsi="仿宋_GB2312" w:eastAsia="仿宋_GB2312" w:cs="仿宋_GB2312"/>
          <w:color w:val="auto"/>
          <w:sz w:val="30"/>
          <w:szCs w:val="30"/>
          <w:lang w:eastAsia="zh-CN"/>
        </w:rPr>
        <w:t>，落实作风建设各项规定。</w:t>
      </w:r>
      <w:r>
        <w:rPr>
          <w:rFonts w:hint="eastAsia" w:ascii="仿宋_GB2312" w:hAnsi="仿宋_GB2312" w:eastAsia="仿宋_GB2312" w:cs="仿宋_GB2312"/>
          <w:color w:val="auto"/>
          <w:sz w:val="30"/>
          <w:szCs w:val="30"/>
          <w:lang w:val="en-US" w:eastAsia="zh-CN"/>
        </w:rPr>
        <w:t>2021年4月我支部全体党员同志和学生到太公红军山进行“学党史、缅怀先烈、不忘初心”的思想教育活动。</w:t>
      </w:r>
      <w:r>
        <w:rPr>
          <w:rFonts w:hint="eastAsia" w:ascii="仿宋_GB2312" w:hAnsi="仿宋_GB2312" w:eastAsia="仿宋_GB2312" w:cs="仿宋_GB2312"/>
          <w:b w:val="0"/>
          <w:bCs w:val="0"/>
          <w:color w:val="auto"/>
          <w:sz w:val="30"/>
          <w:szCs w:val="30"/>
          <w:lang w:val="en-US" w:eastAsia="zh-CN"/>
        </w:rPr>
        <w:t>四是</w:t>
      </w:r>
      <w:r>
        <w:rPr>
          <w:rFonts w:hint="eastAsia" w:ascii="仿宋_GB2312" w:hAnsi="仿宋_GB2312" w:eastAsia="仿宋_GB2312" w:cs="仿宋_GB2312"/>
          <w:color w:val="auto"/>
          <w:sz w:val="30"/>
          <w:szCs w:val="30"/>
          <w:lang w:val="en-US" w:eastAsia="zh-CN"/>
        </w:rPr>
        <w:t>加强意识形态工作。</w:t>
      </w:r>
      <w:r>
        <w:rPr>
          <w:rFonts w:hint="eastAsia" w:ascii="仿宋_GB2312" w:hAnsi="仿宋_GB2312" w:eastAsia="仿宋_GB2312" w:cs="仿宋_GB2312"/>
          <w:color w:val="auto"/>
          <w:sz w:val="30"/>
          <w:szCs w:val="30"/>
          <w:lang w:eastAsia="zh-CN"/>
        </w:rPr>
        <w:t>邀请区、镇领导上好思政课，支委成员</w:t>
      </w:r>
      <w:r>
        <w:rPr>
          <w:rFonts w:hint="eastAsia" w:ascii="仿宋_GB2312" w:hAnsi="仿宋_GB2312" w:eastAsia="仿宋_GB2312" w:cs="仿宋_GB2312"/>
          <w:color w:val="auto"/>
          <w:sz w:val="30"/>
          <w:szCs w:val="30"/>
          <w:lang w:val="en-US" w:eastAsia="zh-CN"/>
        </w:rPr>
        <w:t>上党课，学习习近平总书记的一系列讲话精神，强化舆论引导</w:t>
      </w:r>
      <w:r>
        <w:rPr>
          <w:rFonts w:hint="eastAsia" w:ascii="仿宋_GB2312" w:hAnsi="仿宋_GB2312" w:eastAsia="仿宋_GB2312" w:cs="仿宋_GB2312"/>
          <w:color w:val="auto"/>
          <w:sz w:val="30"/>
          <w:szCs w:val="30"/>
          <w:lang w:eastAsia="zh-CN"/>
        </w:rPr>
        <w:t>。五是抓实党建带团建队建工作。</w:t>
      </w:r>
      <w:r>
        <w:rPr>
          <w:rFonts w:hint="eastAsia" w:ascii="仿宋_GB2312" w:hAnsi="仿宋_GB2312" w:eastAsia="仿宋_GB2312" w:cs="仿宋_GB2312"/>
          <w:color w:val="auto"/>
          <w:sz w:val="30"/>
          <w:szCs w:val="30"/>
          <w:lang w:val="en-US" w:eastAsia="zh-CN"/>
        </w:rPr>
        <w:t>2021年，推优入团6人，发展少先队员30人。</w:t>
      </w:r>
      <w:r>
        <w:rPr>
          <w:rFonts w:hint="eastAsia" w:ascii="仿宋_GB2312" w:hAnsi="仿宋_GB2312" w:eastAsia="仿宋_GB2312" w:cs="仿宋_GB2312"/>
          <w:color w:val="auto"/>
          <w:sz w:val="30"/>
          <w:szCs w:val="30"/>
        </w:rPr>
        <w:t>2021</w:t>
      </w:r>
      <w:r>
        <w:rPr>
          <w:rFonts w:hint="eastAsia" w:ascii="仿宋_GB2312" w:hAnsi="仿宋_GB2312" w:eastAsia="仿宋_GB2312" w:cs="仿宋_GB2312"/>
          <w:color w:val="auto"/>
          <w:sz w:val="30"/>
          <w:szCs w:val="30"/>
          <w:lang w:eastAsia="zh-CN"/>
        </w:rPr>
        <w:t>年</w:t>
      </w:r>
      <w:r>
        <w:rPr>
          <w:rFonts w:hint="eastAsia" w:ascii="仿宋_GB2312" w:hAnsi="仿宋_GB2312" w:eastAsia="仿宋_GB2312" w:cs="仿宋_GB2312"/>
          <w:color w:val="auto"/>
          <w:sz w:val="30"/>
          <w:szCs w:val="30"/>
        </w:rPr>
        <w:t>7</w:t>
      </w:r>
      <w:r>
        <w:rPr>
          <w:rFonts w:hint="eastAsia" w:ascii="仿宋_GB2312" w:hAnsi="仿宋_GB2312" w:eastAsia="仿宋_GB2312" w:cs="仿宋_GB2312"/>
          <w:color w:val="auto"/>
          <w:sz w:val="30"/>
          <w:szCs w:val="30"/>
          <w:lang w:eastAsia="zh-CN"/>
        </w:rPr>
        <w:t>月，我校</w:t>
      </w:r>
      <w:r>
        <w:rPr>
          <w:rFonts w:hint="eastAsia" w:ascii="仿宋_GB2312" w:hAnsi="仿宋_GB2312" w:eastAsia="仿宋_GB2312" w:cs="仿宋_GB2312"/>
          <w:color w:val="auto"/>
          <w:sz w:val="30"/>
          <w:szCs w:val="30"/>
        </w:rPr>
        <w:t>获2021年度“昭化区星星火炬奖（学校）</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1个中队荣获</w:t>
      </w:r>
      <w:r>
        <w:rPr>
          <w:rFonts w:hint="eastAsia" w:ascii="仿宋_GB2312" w:hAnsi="仿宋_GB2312" w:eastAsia="仿宋_GB2312" w:cs="仿宋_GB2312"/>
          <w:color w:val="auto"/>
          <w:sz w:val="30"/>
          <w:szCs w:val="30"/>
        </w:rPr>
        <w:t>昭化区少先队中队“二星章”</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8名少先队员</w:t>
      </w:r>
      <w:r>
        <w:rPr>
          <w:rFonts w:hint="eastAsia" w:ascii="仿宋_GB2312" w:hAnsi="仿宋_GB2312" w:eastAsia="仿宋_GB2312" w:cs="仿宋_GB2312"/>
          <w:color w:val="auto"/>
          <w:sz w:val="30"/>
          <w:szCs w:val="30"/>
        </w:rPr>
        <w:t>获昭化区少先队员“二星章”</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napToGrid w:val="0"/>
          <w:color w:val="auto"/>
          <w:sz w:val="30"/>
          <w:szCs w:val="30"/>
          <w:lang w:val="en-US" w:eastAsia="zh-CN"/>
        </w:rPr>
        <w:t>少先队员王灵巧代表全区少先队员参加四川省少年先锋队第八次代表大会。</w:t>
      </w:r>
      <w:r>
        <w:rPr>
          <w:rFonts w:hint="eastAsia" w:ascii="仿宋_GB2312" w:hAnsi="仿宋_GB2312" w:eastAsia="仿宋_GB2312" w:cs="仿宋_GB2312"/>
          <w:color w:val="auto"/>
          <w:sz w:val="30"/>
          <w:szCs w:val="30"/>
          <w:lang w:val="en-US" w:eastAsia="zh-CN"/>
        </w:rPr>
        <w:t>11月9日，我校《以团带队助力特色建设扎实推进少先队工作再上台阶》经验材料在区委落实《四川省中长期青年发</w:t>
      </w:r>
      <w:r>
        <w:rPr>
          <w:rFonts w:hint="eastAsia" w:ascii="仿宋_GB2312" w:hAnsi="微软雅黑" w:eastAsia="仿宋_GB2312"/>
          <w:color w:val="auto"/>
          <w:sz w:val="30"/>
          <w:szCs w:val="30"/>
          <w:lang w:val="en-US" w:eastAsia="zh-CN"/>
        </w:rPr>
        <w:t>展规划（2017-2025）》工作联席会议第三次全体会议上交流。</w:t>
      </w:r>
    </w:p>
    <w:p>
      <w:pPr>
        <w:keepNext w:val="0"/>
        <w:keepLines w:val="0"/>
        <w:pageBreakBefore w:val="0"/>
        <w:numPr>
          <w:ilvl w:val="0"/>
          <w:numId w:val="0"/>
        </w:numPr>
        <w:kinsoku/>
        <w:wordWrap/>
        <w:overflowPunct/>
        <w:topLinePunct w:val="0"/>
        <w:autoSpaceDE/>
        <w:autoSpaceDN/>
        <w:bidi w:val="0"/>
        <w:adjustRightInd/>
        <w:snapToGrid/>
        <w:spacing w:line="510" w:lineRule="exact"/>
        <w:ind w:left="630" w:leftChars="0"/>
        <w:textAlignment w:val="auto"/>
        <w:rPr>
          <w:rFonts w:hint="eastAsia" w:ascii="华文楷体" w:hAnsi="华文楷体" w:eastAsia="华文楷体" w:cs="华文楷体"/>
          <w:color w:val="auto"/>
          <w:sz w:val="30"/>
          <w:szCs w:val="30"/>
          <w:lang w:eastAsia="zh-CN"/>
        </w:rPr>
      </w:pPr>
      <w:r>
        <w:rPr>
          <w:rFonts w:hint="eastAsia" w:ascii="华文楷体" w:hAnsi="华文楷体" w:eastAsia="华文楷体" w:cs="华文楷体"/>
          <w:b/>
          <w:bCs/>
          <w:color w:val="auto"/>
          <w:sz w:val="30"/>
          <w:szCs w:val="30"/>
          <w:lang w:val="en-US" w:eastAsia="zh-CN"/>
        </w:rPr>
        <w:t>2.</w:t>
      </w:r>
      <w:r>
        <w:rPr>
          <w:rFonts w:hint="eastAsia" w:ascii="华文楷体" w:hAnsi="华文楷体" w:eastAsia="华文楷体" w:cs="华文楷体"/>
          <w:b/>
          <w:bCs/>
          <w:color w:val="auto"/>
          <w:sz w:val="30"/>
          <w:szCs w:val="30"/>
          <w:lang w:eastAsia="zh-CN"/>
        </w:rPr>
        <w:t>强法治，做知法守法的教育明白人</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（1）严格执行国家、省、市和上级教育管部门办法的各项规定，做到不违规、不逾矩。学校无乱收费、乱办班、乱买教辅、乱补课、无体罚和变相体罚学生的现象。</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2）开展“法治护航守护明天”活动，增强师生法治意识。本年度，共开展了“禁毒教育进校园”、“交通安全法规进校园”、“保护未成年人法制教育进校园”、“预防青少年犯罪知识讲座”、“1号检察令”宣讲等普法活动，同时利用教职工例会进行法律法规的学习和教育，强化了师生法治观念。</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ascii="仿宋_GB2312" w:hAnsi="微软雅黑" w:eastAsia="仿宋_GB2312"/>
          <w:color w:val="auto"/>
          <w:sz w:val="30"/>
          <w:szCs w:val="30"/>
        </w:rPr>
      </w:pPr>
      <w:r>
        <w:rPr>
          <w:rFonts w:hint="eastAsia" w:ascii="仿宋_GB2312" w:hAnsi="微软雅黑" w:eastAsia="仿宋_GB2312"/>
          <w:color w:val="auto"/>
          <w:sz w:val="30"/>
          <w:szCs w:val="30"/>
          <w:lang w:val="en-US" w:eastAsia="zh-CN"/>
        </w:rPr>
        <w:t>（3）执行“三重一大”决策，坚持校务公开制度。开展民主治校，群策群力，</w:t>
      </w:r>
      <w:r>
        <w:rPr>
          <w:rFonts w:hint="eastAsia" w:ascii="仿宋_GB2312" w:hAnsi="微软雅黑" w:eastAsia="仿宋_GB2312"/>
          <w:color w:val="auto"/>
          <w:sz w:val="30"/>
          <w:szCs w:val="30"/>
        </w:rPr>
        <w:t>调动了教师的工作积极性</w:t>
      </w:r>
      <w:r>
        <w:rPr>
          <w:rFonts w:hint="eastAsia" w:ascii="仿宋_GB2312" w:hAnsi="微软雅黑" w:eastAsia="仿宋_GB2312"/>
          <w:color w:val="auto"/>
          <w:sz w:val="30"/>
          <w:szCs w:val="30"/>
          <w:lang w:eastAsia="zh-CN"/>
        </w:rPr>
        <w:t>，</w:t>
      </w:r>
      <w:r>
        <w:rPr>
          <w:rFonts w:hint="eastAsia" w:ascii="仿宋_GB2312" w:hAnsi="微软雅黑" w:eastAsia="仿宋_GB2312"/>
          <w:color w:val="auto"/>
          <w:sz w:val="30"/>
          <w:szCs w:val="30"/>
        </w:rPr>
        <w:t>参与学校各项制度的建设。</w:t>
      </w:r>
    </w:p>
    <w:p>
      <w:pPr>
        <w:keepNext w:val="0"/>
        <w:keepLines w:val="0"/>
        <w:pageBreakBefore w:val="0"/>
        <w:numPr>
          <w:ilvl w:val="0"/>
          <w:numId w:val="0"/>
        </w:numPr>
        <w:kinsoku/>
        <w:wordWrap/>
        <w:overflowPunct/>
        <w:topLinePunct w:val="0"/>
        <w:autoSpaceDE/>
        <w:autoSpaceDN/>
        <w:bidi w:val="0"/>
        <w:adjustRightInd/>
        <w:snapToGrid/>
        <w:spacing w:line="510" w:lineRule="exact"/>
        <w:textAlignment w:val="auto"/>
        <w:rPr>
          <w:rFonts w:hint="eastAsia" w:ascii="华文楷体" w:hAnsi="华文楷体" w:eastAsia="华文楷体" w:cs="华文楷体"/>
          <w:b/>
          <w:bCs/>
          <w:color w:val="auto"/>
          <w:sz w:val="30"/>
          <w:szCs w:val="30"/>
          <w:lang w:val="en-US" w:eastAsia="zh-CN"/>
        </w:rPr>
      </w:pPr>
      <w:r>
        <w:rPr>
          <w:rFonts w:hint="eastAsia" w:ascii="仿宋_GB2312" w:hAnsi="微软雅黑" w:eastAsia="仿宋_GB2312"/>
          <w:color w:val="auto"/>
          <w:sz w:val="30"/>
          <w:szCs w:val="30"/>
          <w:lang w:val="en-US" w:eastAsia="zh-CN"/>
        </w:rPr>
        <w:t xml:space="preserve">   </w:t>
      </w:r>
      <w:r>
        <w:rPr>
          <w:rFonts w:hint="eastAsia" w:ascii="华文楷体" w:hAnsi="华文楷体" w:eastAsia="华文楷体" w:cs="华文楷体"/>
          <w:color w:val="auto"/>
          <w:sz w:val="30"/>
          <w:szCs w:val="30"/>
          <w:lang w:val="en-US" w:eastAsia="zh-CN"/>
        </w:rPr>
        <w:t xml:space="preserve"> </w:t>
      </w:r>
      <w:r>
        <w:rPr>
          <w:rFonts w:hint="eastAsia" w:ascii="华文楷体" w:hAnsi="华文楷体" w:eastAsia="华文楷体" w:cs="华文楷体"/>
          <w:b/>
          <w:bCs/>
          <w:color w:val="auto"/>
          <w:sz w:val="30"/>
          <w:szCs w:val="30"/>
          <w:lang w:val="en-US" w:eastAsia="zh-CN"/>
        </w:rPr>
        <w:t>3.带队伍，提升班子成员和教师思想及教学业务素质</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kern w:val="0"/>
          <w:sz w:val="30"/>
          <w:szCs w:val="30"/>
          <w:lang w:val="en-US" w:eastAsia="zh-CN"/>
        </w:rPr>
      </w:pPr>
      <w:r>
        <w:rPr>
          <w:rFonts w:hint="eastAsia" w:ascii="仿宋_GB2312" w:hAnsi="微软雅黑" w:eastAsia="仿宋_GB2312"/>
          <w:color w:val="auto"/>
          <w:sz w:val="30"/>
          <w:szCs w:val="30"/>
          <w:lang w:val="en-US" w:eastAsia="zh-CN"/>
        </w:rPr>
        <w:t>（1）</w:t>
      </w:r>
      <w:r>
        <w:rPr>
          <w:rFonts w:hint="eastAsia" w:ascii="仿宋_GB2312" w:hAnsi="微软雅黑" w:eastAsia="仿宋_GB2312"/>
          <w:color w:val="auto"/>
          <w:sz w:val="30"/>
          <w:szCs w:val="30"/>
        </w:rPr>
        <w:t>学校班子成员分工明确、团结协作、勤政廉洁、务实创新，有向心力、凝聚力和执行力。</w:t>
      </w:r>
      <w:r>
        <w:rPr>
          <w:rFonts w:hint="eastAsia" w:ascii="仿宋_GB2312" w:hAnsi="仿宋_GB2312" w:eastAsia="仿宋_GB2312" w:cs="仿宋_GB2312"/>
          <w:color w:val="auto"/>
          <w:kern w:val="0"/>
          <w:sz w:val="30"/>
          <w:szCs w:val="30"/>
          <w:lang w:eastAsia="zh-CN"/>
        </w:rPr>
        <w:t>本年度班子成员举办了《特色学校与文化建设》、《教师人文素养》、《衡量一个好教师的十个标准》、《教师如何提高自身的职业幸福感》等</w:t>
      </w:r>
      <w:r>
        <w:rPr>
          <w:rFonts w:hint="eastAsia" w:ascii="仿宋_GB2312" w:hAnsi="仿宋_GB2312" w:eastAsia="仿宋_GB2312" w:cs="仿宋_GB2312"/>
          <w:color w:val="auto"/>
          <w:kern w:val="0"/>
          <w:sz w:val="30"/>
          <w:szCs w:val="30"/>
          <w:lang w:val="en-US" w:eastAsia="zh-CN"/>
        </w:rPr>
        <w:t>22次。</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（2）建立教师激励机制，充分调动教师教书育人的积极性。</w:t>
      </w:r>
    </w:p>
    <w:p>
      <w:pPr>
        <w:keepNext w:val="0"/>
        <w:keepLines w:val="0"/>
        <w:pageBreakBefore w:val="0"/>
        <w:kinsoku/>
        <w:wordWrap/>
        <w:overflowPunct/>
        <w:topLinePunct w:val="0"/>
        <w:autoSpaceDE/>
        <w:autoSpaceDN/>
        <w:bidi w:val="0"/>
        <w:adjustRightInd/>
        <w:snapToGrid/>
        <w:spacing w:line="510" w:lineRule="exact"/>
        <w:textAlignment w:val="auto"/>
        <w:rPr>
          <w:rFonts w:hint="default"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一是学校不断修改和完善《昭化中学绩效考核制度》，充分体现“多劳多得”、“优绩优酬”的原则。二是建立与《昭化区教育教学质量定向财力补助办法（试行）》相适应的奖励办法，鼓励先进。</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shd w:val="clear" w:color="auto" w:fill="FFFFFF"/>
        </w:rPr>
      </w:pPr>
      <w:r>
        <w:rPr>
          <w:rFonts w:hint="eastAsia" w:ascii="仿宋_GB2312" w:hAnsi="仿宋_GB2312" w:eastAsia="仿宋_GB2312" w:cs="仿宋_GB2312"/>
          <w:color w:val="auto"/>
          <w:sz w:val="30"/>
          <w:szCs w:val="30"/>
          <w:shd w:val="clear" w:color="auto" w:fill="FFFFFF"/>
          <w:lang w:val="en-US" w:eastAsia="zh-CN"/>
        </w:rPr>
        <w:t>（3）</w:t>
      </w:r>
      <w:r>
        <w:rPr>
          <w:rFonts w:hint="eastAsia" w:ascii="仿宋_GB2312" w:hAnsi="仿宋_GB2312" w:eastAsia="仿宋_GB2312" w:cs="仿宋_GB2312"/>
          <w:color w:val="auto"/>
          <w:sz w:val="30"/>
          <w:szCs w:val="30"/>
          <w:shd w:val="clear" w:color="auto" w:fill="FFFFFF"/>
        </w:rPr>
        <w:t>强化教师培训工作。</w:t>
      </w:r>
      <w:r>
        <w:rPr>
          <w:rFonts w:hint="eastAsia" w:ascii="仿宋_GB2312" w:hAnsi="仿宋_GB2312" w:eastAsia="仿宋_GB2312" w:cs="仿宋_GB2312"/>
          <w:color w:val="auto"/>
          <w:sz w:val="30"/>
          <w:szCs w:val="30"/>
          <w:shd w:val="clear" w:color="auto" w:fill="FFFFFF"/>
          <w:lang w:val="en-US" w:eastAsia="zh-CN"/>
        </w:rPr>
        <w:t>2021</w:t>
      </w:r>
      <w:r>
        <w:rPr>
          <w:rFonts w:hint="eastAsia" w:ascii="仿宋_GB2312" w:hAnsi="仿宋_GB2312" w:eastAsia="仿宋_GB2312" w:cs="仿宋_GB2312"/>
          <w:color w:val="auto"/>
          <w:sz w:val="30"/>
          <w:szCs w:val="30"/>
          <w:shd w:val="clear" w:color="auto" w:fill="FFFFFF"/>
        </w:rPr>
        <w:t>年我校派出的各级各类观摩、学习的教师达到了三分之一以上，为教师创设平台，拓宽了眼界，丰富了专业知识，提高了教学技能。</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shd w:val="clear" w:color="auto" w:fill="FFFFFF"/>
        </w:rPr>
      </w:pPr>
      <w:r>
        <w:rPr>
          <w:rFonts w:hint="eastAsia" w:ascii="仿宋_GB2312" w:hAnsi="仿宋_GB2312" w:eastAsia="仿宋_GB2312" w:cs="仿宋_GB2312"/>
          <w:color w:val="auto"/>
          <w:sz w:val="30"/>
          <w:szCs w:val="30"/>
          <w:shd w:val="clear" w:color="auto" w:fill="FFFFFF"/>
          <w:lang w:val="en-US" w:eastAsia="zh-CN"/>
        </w:rPr>
        <w:t>（4）</w:t>
      </w:r>
      <w:r>
        <w:rPr>
          <w:rFonts w:hint="eastAsia" w:ascii="仿宋_GB2312" w:hAnsi="仿宋_GB2312" w:eastAsia="仿宋_GB2312" w:cs="仿宋_GB2312"/>
          <w:color w:val="auto"/>
          <w:sz w:val="30"/>
          <w:szCs w:val="30"/>
          <w:shd w:val="clear" w:color="auto" w:fill="FFFFFF"/>
        </w:rPr>
        <w:t>重视青年教师的成长。</w:t>
      </w:r>
      <w:r>
        <w:rPr>
          <w:rFonts w:hint="eastAsia" w:ascii="仿宋_GB2312" w:hAnsi="仿宋_GB2312" w:eastAsia="仿宋_GB2312" w:cs="仿宋_GB2312"/>
          <w:color w:val="auto"/>
          <w:sz w:val="30"/>
          <w:szCs w:val="30"/>
          <w:shd w:val="clear" w:color="auto" w:fill="FFFFFF"/>
          <w:lang w:eastAsia="zh-CN"/>
        </w:rPr>
        <w:t>胡晶晶、李婧、张静玲、李燕</w:t>
      </w:r>
      <w:r>
        <w:rPr>
          <w:rFonts w:hint="eastAsia" w:ascii="仿宋_GB2312" w:hAnsi="仿宋_GB2312" w:eastAsia="仿宋_GB2312" w:cs="仿宋_GB2312"/>
          <w:color w:val="auto"/>
          <w:sz w:val="30"/>
          <w:szCs w:val="30"/>
          <w:shd w:val="clear" w:color="auto" w:fill="FFFFFF"/>
        </w:rPr>
        <w:t>等</w:t>
      </w:r>
      <w:r>
        <w:rPr>
          <w:rFonts w:hint="eastAsia" w:ascii="仿宋_GB2312" w:hAnsi="仿宋_GB2312" w:eastAsia="仿宋_GB2312" w:cs="仿宋_GB2312"/>
          <w:color w:val="auto"/>
          <w:sz w:val="30"/>
          <w:szCs w:val="30"/>
          <w:shd w:val="clear" w:color="auto" w:fill="FFFFFF"/>
          <w:lang w:eastAsia="zh-CN"/>
        </w:rPr>
        <w:t>老师在市区教师教学比武中成绩优秀，分获一、二等奖</w:t>
      </w:r>
      <w:r>
        <w:rPr>
          <w:rFonts w:hint="eastAsia" w:ascii="仿宋_GB2312" w:hAnsi="仿宋_GB2312" w:eastAsia="仿宋_GB2312" w:cs="仿宋_GB2312"/>
          <w:color w:val="auto"/>
          <w:sz w:val="30"/>
          <w:szCs w:val="30"/>
          <w:shd w:val="clear" w:color="auto" w:fill="FFFFFF"/>
        </w:rPr>
        <w:t>。</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仿宋_GB2312" w:eastAsia="仿宋_GB2312" w:cs="仿宋_GB2312"/>
          <w:color w:val="auto"/>
          <w:sz w:val="30"/>
          <w:szCs w:val="30"/>
          <w:shd w:val="clear" w:color="auto" w:fill="FFFFFF"/>
          <w:lang w:val="en-US" w:eastAsia="zh-CN"/>
        </w:rPr>
        <w:t>（5）</w:t>
      </w:r>
      <w:r>
        <w:rPr>
          <w:rFonts w:hint="eastAsia" w:ascii="仿宋_GB2312" w:hAnsi="仿宋_GB2312" w:eastAsia="仿宋_GB2312" w:cs="仿宋_GB2312"/>
          <w:color w:val="auto"/>
          <w:sz w:val="30"/>
          <w:szCs w:val="30"/>
          <w:shd w:val="clear" w:color="auto" w:fill="FFFFFF"/>
        </w:rPr>
        <w:t>加强师德建设</w:t>
      </w:r>
      <w:r>
        <w:rPr>
          <w:rFonts w:hint="eastAsia" w:ascii="仿宋_GB2312" w:hAnsi="仿宋_GB2312" w:eastAsia="仿宋_GB2312" w:cs="仿宋_GB2312"/>
          <w:color w:val="auto"/>
          <w:sz w:val="30"/>
          <w:szCs w:val="30"/>
          <w:shd w:val="clear" w:color="auto" w:fill="FFFFFF"/>
          <w:lang w:eastAsia="zh-CN"/>
        </w:rPr>
        <w:t>。每学期开学时举行“师德师风宣誓承诺”活动</w:t>
      </w:r>
      <w:r>
        <w:rPr>
          <w:rFonts w:hint="eastAsia" w:ascii="仿宋_GB2312" w:hAnsi="仿宋_GB2312" w:eastAsia="仿宋_GB2312" w:cs="仿宋_GB2312"/>
          <w:color w:val="auto"/>
          <w:sz w:val="30"/>
          <w:szCs w:val="30"/>
          <w:shd w:val="clear" w:color="auto" w:fill="FFFFFF"/>
        </w:rPr>
        <w:t>。</w:t>
      </w:r>
      <w:r>
        <w:rPr>
          <w:rFonts w:hint="eastAsia" w:ascii="仿宋_GB2312" w:hAnsi="仿宋_GB2312" w:eastAsia="仿宋_GB2312" w:cs="仿宋_GB2312"/>
          <w:color w:val="auto"/>
          <w:sz w:val="30"/>
          <w:szCs w:val="30"/>
          <w:shd w:val="clear" w:color="auto" w:fill="FFFFFF"/>
          <w:lang w:eastAsia="zh-CN"/>
        </w:rPr>
        <w:t>建立了师德负面清单制，开展教师师德民主量化评分机制。</w:t>
      </w:r>
    </w:p>
    <w:p>
      <w:pPr>
        <w:keepNext w:val="0"/>
        <w:keepLines w:val="0"/>
        <w:pageBreakBefore w:val="0"/>
        <w:widowControl w:val="0"/>
        <w:kinsoku/>
        <w:wordWrap/>
        <w:overflowPunct/>
        <w:topLinePunct w:val="0"/>
        <w:autoSpaceDE/>
        <w:autoSpaceDN/>
        <w:bidi w:val="0"/>
        <w:adjustRightInd/>
        <w:snapToGrid/>
        <w:spacing w:line="510" w:lineRule="exact"/>
        <w:ind w:firstLine="601" w:firstLineChars="200"/>
        <w:textAlignment w:val="auto"/>
        <w:rPr>
          <w:rFonts w:hint="eastAsia" w:ascii="华文楷体" w:hAnsi="华文楷体" w:eastAsia="华文楷体" w:cs="华文楷体"/>
          <w:b/>
          <w:bCs/>
          <w:color w:val="auto"/>
          <w:sz w:val="30"/>
          <w:szCs w:val="30"/>
          <w:lang w:val="en-US" w:eastAsia="zh-CN"/>
        </w:rPr>
      </w:pPr>
      <w:r>
        <w:rPr>
          <w:rFonts w:hint="eastAsia" w:ascii="华文楷体" w:hAnsi="华文楷体" w:eastAsia="华文楷体" w:cs="华文楷体"/>
          <w:b/>
          <w:bCs/>
          <w:color w:val="auto"/>
          <w:sz w:val="30"/>
          <w:szCs w:val="30"/>
          <w:lang w:val="en-US" w:eastAsia="zh-CN"/>
        </w:rPr>
        <w:t>4.抓质量，落实教育教学管理，树立质量意识</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微软雅黑" w:eastAsia="仿宋_GB2312"/>
          <w:b w:val="0"/>
          <w:bCs w:val="0"/>
          <w:color w:val="auto"/>
          <w:sz w:val="30"/>
          <w:szCs w:val="30"/>
          <w:lang w:val="en-US" w:eastAsia="zh-CN"/>
        </w:rPr>
        <w:t>（1）</w:t>
      </w:r>
      <w:r>
        <w:rPr>
          <w:rFonts w:hint="eastAsia" w:ascii="仿宋_GB2312" w:hAnsi="微软雅黑" w:eastAsia="仿宋_GB2312"/>
          <w:b w:val="0"/>
          <w:bCs w:val="0"/>
          <w:color w:val="auto"/>
          <w:sz w:val="30"/>
          <w:szCs w:val="30"/>
          <w:lang w:eastAsia="zh-CN"/>
        </w:rPr>
        <w:t>重德育：一是</w:t>
      </w:r>
      <w:r>
        <w:rPr>
          <w:rFonts w:hint="eastAsia" w:ascii="仿宋_GB2312" w:hAnsi="微软雅黑" w:eastAsia="仿宋_GB2312"/>
          <w:color w:val="auto"/>
          <w:sz w:val="30"/>
          <w:szCs w:val="30"/>
          <w:lang w:eastAsia="zh-CN"/>
        </w:rPr>
        <w:t>开展“庆祝建党</w:t>
      </w:r>
      <w:r>
        <w:rPr>
          <w:rFonts w:hint="eastAsia" w:ascii="仿宋_GB2312" w:hAnsi="微软雅黑" w:eastAsia="仿宋_GB2312"/>
          <w:color w:val="auto"/>
          <w:sz w:val="30"/>
          <w:szCs w:val="30"/>
          <w:lang w:val="en-US" w:eastAsia="zh-CN"/>
        </w:rPr>
        <w:t>100周年</w:t>
      </w:r>
      <w:r>
        <w:rPr>
          <w:rFonts w:hint="eastAsia" w:ascii="仿宋_GB2312" w:hAnsi="微软雅黑" w:eastAsia="仿宋_GB2312"/>
          <w:color w:val="auto"/>
          <w:sz w:val="30"/>
          <w:szCs w:val="30"/>
          <w:lang w:eastAsia="zh-CN"/>
        </w:rPr>
        <w:t>”系列活动。</w:t>
      </w:r>
      <w:r>
        <w:rPr>
          <w:rFonts w:hint="eastAsia" w:ascii="仿宋" w:hAnsi="仿宋" w:eastAsia="仿宋" w:cs="仿宋"/>
          <w:snapToGrid w:val="0"/>
          <w:color w:val="auto"/>
          <w:sz w:val="30"/>
          <w:szCs w:val="30"/>
          <w:lang w:val="en-US" w:eastAsia="zh-CN"/>
        </w:rPr>
        <w:t>2021</w:t>
      </w:r>
      <w:r>
        <w:rPr>
          <w:rFonts w:hint="eastAsia" w:ascii="仿宋_GB2312" w:hAnsi="仿宋_GB2312" w:eastAsia="仿宋_GB2312" w:cs="仿宋_GB2312"/>
          <w:snapToGrid w:val="0"/>
          <w:color w:val="auto"/>
          <w:sz w:val="30"/>
          <w:szCs w:val="30"/>
          <w:lang w:val="en-US" w:eastAsia="zh-CN"/>
        </w:rPr>
        <w:t>年，学校获得四川省青少年文化艺术展演“少年红歌汇”中国西部合唱节广元市展演活动优秀组织奖。李婧、胡晶晶两位老师参加四川省职工合唱比赛《我把歌儿献给党》荣获第六名。谭清平老师教案《根续红色基因 争做新时代好少年》2021年优秀思政课。李兴远、辜睿等四位老师荣获广元市2021年度“青年大学习”先进标兵。赵敏等同学在“童心永向党童谣颂党恩”活动中荣获一等奖。</w:t>
      </w:r>
      <w:r>
        <w:rPr>
          <w:rFonts w:hint="eastAsia" w:ascii="仿宋_GB2312" w:hAnsi="仿宋_GB2312" w:eastAsia="仿宋_GB2312" w:cs="仿宋_GB2312"/>
          <w:color w:val="auto"/>
          <w:sz w:val="30"/>
          <w:szCs w:val="30"/>
          <w:lang w:eastAsia="zh-CN"/>
        </w:rPr>
        <w:t>二是抓住禁毒教育工作。青少年毒品预防教育达</w:t>
      </w:r>
      <w:r>
        <w:rPr>
          <w:rFonts w:hint="eastAsia" w:ascii="仿宋_GB2312" w:hAnsi="仿宋_GB2312" w:eastAsia="仿宋_GB2312" w:cs="仿宋_GB2312"/>
          <w:color w:val="auto"/>
          <w:sz w:val="30"/>
          <w:szCs w:val="30"/>
          <w:lang w:val="en-US" w:eastAsia="zh-CN"/>
        </w:rPr>
        <w:t>8节以上，全国禁毒教育数字平台学生注册率、学习完成率达100%。三是</w:t>
      </w:r>
      <w:r>
        <w:rPr>
          <w:rFonts w:hint="eastAsia" w:ascii="仿宋_GB2312" w:hAnsi="仿宋_GB2312" w:eastAsia="仿宋_GB2312" w:cs="仿宋_GB2312"/>
          <w:color w:val="auto"/>
          <w:sz w:val="30"/>
          <w:szCs w:val="30"/>
          <w:lang w:eastAsia="zh-CN"/>
        </w:rPr>
        <w:t>开展了研学教育实践活动，</w:t>
      </w:r>
      <w:r>
        <w:rPr>
          <w:rFonts w:hint="eastAsia" w:ascii="仿宋_GB2312" w:hAnsi="仿宋_GB2312" w:eastAsia="仿宋_GB2312" w:cs="仿宋_GB2312"/>
          <w:color w:val="auto"/>
          <w:sz w:val="30"/>
          <w:szCs w:val="30"/>
          <w:lang w:val="en-US" w:eastAsia="zh-CN"/>
        </w:rPr>
        <w:t>4月</w:t>
      </w:r>
      <w:r>
        <w:rPr>
          <w:rFonts w:hint="eastAsia" w:ascii="仿宋_GB2312" w:hAnsi="仿宋_GB2312" w:eastAsia="仿宋_GB2312" w:cs="仿宋_GB2312"/>
          <w:color w:val="auto"/>
          <w:sz w:val="30"/>
          <w:szCs w:val="30"/>
          <w:lang w:eastAsia="zh-CN"/>
        </w:rPr>
        <w:t>组织学生到区内教育实践基地精心研学活动。四是抓好师生心理安全教育，定期对学生进行心理疾病的排查、疏导。五是启动了东辰德育模式进校园工作。</w:t>
      </w:r>
    </w:p>
    <w:p>
      <w:pPr>
        <w:keepNext w:val="0"/>
        <w:keepLines w:val="0"/>
        <w:pageBreakBefore w:val="0"/>
        <w:widowControl w:val="0"/>
        <w:kinsoku/>
        <w:wordWrap/>
        <w:overflowPunct/>
        <w:topLinePunct w:val="0"/>
        <w:autoSpaceDE/>
        <w:autoSpaceDN/>
        <w:bidi w:val="0"/>
        <w:adjustRightInd/>
        <w:snapToGrid/>
        <w:spacing w:line="510" w:lineRule="exac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 xml:space="preserve">    （2）抓好卫生艺术体育科技教育。开足上齐体育与健康、艺术、劳动技术课程；我校在艺术人才大赛上共有100多人次获奖，学校获得了</w:t>
      </w:r>
      <w:r>
        <w:rPr>
          <w:rFonts w:hint="eastAsia" w:ascii="仿宋_GB2312" w:hAnsi="仿宋_GB2312" w:eastAsia="仿宋_GB2312" w:cs="仿宋_GB2312"/>
          <w:color w:val="auto"/>
          <w:sz w:val="30"/>
          <w:szCs w:val="30"/>
        </w:rPr>
        <w:t>新时代蜀少年四川省青少年文化艺术展演广元展演活动优秀组织奖</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昭化区第三十六届青少年科技创新大赛优秀组织奖、广元市书法水平测试优秀组织奖。按要求完成了学生体质健康标准测试并及时上报。</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lang w:eastAsia="zh-CN"/>
        </w:rPr>
        <w:t>教育科研方面。一是狠抓教学管理，把“教学六认真”工作落实落细</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形成毕业班和修业班齐抓共管。二是承研各级各类课题。</w:t>
      </w:r>
      <w:r>
        <w:rPr>
          <w:rFonts w:hint="eastAsia" w:ascii="仿宋_GB2312" w:hAnsi="仿宋_GB2312" w:eastAsia="仿宋_GB2312" w:cs="仿宋_GB2312"/>
          <w:color w:val="auto"/>
          <w:sz w:val="30"/>
          <w:szCs w:val="30"/>
          <w:lang w:val="en-US" w:eastAsia="zh-CN"/>
        </w:rPr>
        <w:t>2021年</w:t>
      </w:r>
      <w:r>
        <w:rPr>
          <w:rFonts w:hint="eastAsia" w:ascii="仿宋_GB2312" w:hAnsi="仿宋_GB2312" w:eastAsia="仿宋_GB2312" w:cs="仿宋_GB2312"/>
          <w:color w:val="auto"/>
          <w:sz w:val="30"/>
          <w:szCs w:val="30"/>
          <w:lang w:eastAsia="zh-CN"/>
        </w:rPr>
        <w:t>，教科室组织教研组开展了“高级教师示范课”、“骨干教师观摩课”、“新进教师入职课”、“同科教师研讨课”等公开课。李成勇、郭红梅老师完成了参研的市级课题《初中地理学科力建设》并获得二等奖。学校</w:t>
      </w:r>
      <w:r>
        <w:rPr>
          <w:rFonts w:hint="eastAsia" w:ascii="仿宋_GB2312" w:hAnsi="仿宋_GB2312" w:eastAsia="仿宋_GB2312" w:cs="仿宋_GB2312"/>
          <w:color w:val="auto"/>
          <w:sz w:val="30"/>
          <w:szCs w:val="30"/>
          <w:lang w:val="en-US" w:eastAsia="zh-CN"/>
        </w:rPr>
        <w:t>实施了省级课题--</w:t>
      </w:r>
      <w:r>
        <w:rPr>
          <w:rFonts w:hint="eastAsia" w:ascii="仿宋_GB2312" w:hAnsi="仿宋_GB2312" w:eastAsia="仿宋_GB2312" w:cs="仿宋_GB2312"/>
          <w:color w:val="auto"/>
          <w:sz w:val="30"/>
          <w:szCs w:val="30"/>
        </w:rPr>
        <w:t>基于古镇文化的校本艺术活动课程建设策略研究</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完成了葭萌系列校本教材之《葭萌艺术》和《葭萌吟诵》，并结题。成功申报立项省级信息化课题《</w:t>
      </w:r>
      <w:r>
        <w:rPr>
          <w:rFonts w:hint="eastAsia" w:ascii="仿宋_GB2312" w:hAnsi="仿宋_GB2312" w:eastAsia="仿宋_GB2312" w:cs="仿宋_GB2312"/>
          <w:color w:val="auto"/>
          <w:sz w:val="30"/>
          <w:szCs w:val="30"/>
        </w:rPr>
        <w:t>农村初中民间音乐微课教学策略的研究</w:t>
      </w:r>
      <w:r>
        <w:rPr>
          <w:rFonts w:hint="eastAsia" w:ascii="仿宋_GB2312" w:hAnsi="仿宋_GB2312" w:eastAsia="仿宋_GB2312" w:cs="仿宋_GB2312"/>
          <w:color w:val="auto"/>
          <w:sz w:val="30"/>
          <w:szCs w:val="30"/>
          <w:lang w:val="en-US" w:eastAsia="zh-CN"/>
        </w:rPr>
        <w:t>》。</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（4）教育技术装备管理与运用。2021年，我校率先完成信息化2.0建设，安装新型电教设备18套，校内网络全改造，</w:t>
      </w:r>
      <w:r>
        <w:rPr>
          <w:rFonts w:hint="eastAsia" w:ascii="仿宋_GB2312" w:hAnsi="仿宋_GB2312" w:eastAsia="仿宋_GB2312" w:cs="仿宋_GB2312"/>
          <w:color w:val="auto"/>
          <w:sz w:val="30"/>
          <w:szCs w:val="30"/>
        </w:rPr>
        <w:t>实现了网络</w:t>
      </w:r>
      <w:r>
        <w:rPr>
          <w:rFonts w:hint="eastAsia" w:ascii="仿宋_GB2312" w:hAnsi="仿宋_GB2312" w:eastAsia="仿宋_GB2312" w:cs="仿宋_GB2312"/>
          <w:color w:val="auto"/>
          <w:sz w:val="30"/>
          <w:szCs w:val="30"/>
          <w:lang w:eastAsia="zh-CN"/>
        </w:rPr>
        <w:t>全</w:t>
      </w:r>
      <w:r>
        <w:rPr>
          <w:rFonts w:hint="eastAsia" w:ascii="仿宋_GB2312" w:hAnsi="仿宋_GB2312" w:eastAsia="仿宋_GB2312" w:cs="仿宋_GB2312"/>
          <w:color w:val="auto"/>
          <w:sz w:val="30"/>
          <w:szCs w:val="30"/>
        </w:rPr>
        <w:t>覆盖。</w:t>
      </w:r>
    </w:p>
    <w:p>
      <w:pPr>
        <w:keepNext w:val="0"/>
        <w:keepLines w:val="0"/>
        <w:pageBreakBefore w:val="0"/>
        <w:kinsoku/>
        <w:wordWrap/>
        <w:overflowPunct/>
        <w:topLinePunct w:val="0"/>
        <w:autoSpaceDE/>
        <w:autoSpaceDN/>
        <w:bidi w:val="0"/>
        <w:adjustRightInd/>
        <w:snapToGrid/>
        <w:spacing w:line="510" w:lineRule="exact"/>
        <w:textAlignment w:val="auto"/>
        <w:rPr>
          <w:rFonts w:hint="eastAsia" w:ascii="仿宋_GB2312" w:hAnsi="微软雅黑" w:eastAsia="仿宋_GB2312"/>
          <w:b/>
          <w:bCs/>
          <w:color w:val="auto"/>
          <w:sz w:val="30"/>
          <w:szCs w:val="30"/>
          <w:lang w:eastAsia="zh-CN"/>
        </w:rPr>
      </w:pPr>
      <w:r>
        <w:rPr>
          <w:rFonts w:hint="eastAsia" w:ascii="华文楷体" w:hAnsi="华文楷体" w:eastAsia="华文楷体" w:cs="华文楷体"/>
          <w:color w:val="auto"/>
          <w:sz w:val="30"/>
          <w:szCs w:val="30"/>
        </w:rPr>
        <w:t xml:space="preserve"> </w:t>
      </w:r>
      <w:r>
        <w:rPr>
          <w:rFonts w:hint="eastAsia" w:ascii="华文楷体" w:hAnsi="华文楷体" w:eastAsia="华文楷体" w:cs="华文楷体"/>
          <w:color w:val="auto"/>
          <w:sz w:val="30"/>
          <w:szCs w:val="30"/>
          <w:lang w:val="en-US" w:eastAsia="zh-CN"/>
        </w:rPr>
        <w:t xml:space="preserve">  </w:t>
      </w:r>
      <w:r>
        <w:rPr>
          <w:rFonts w:hint="eastAsia" w:ascii="华文楷体" w:hAnsi="华文楷体" w:eastAsia="华文楷体" w:cs="华文楷体"/>
          <w:color w:val="auto"/>
          <w:sz w:val="30"/>
          <w:szCs w:val="30"/>
        </w:rPr>
        <w:t xml:space="preserve"> </w:t>
      </w:r>
      <w:r>
        <w:rPr>
          <w:rFonts w:hint="eastAsia" w:ascii="华文楷体" w:hAnsi="华文楷体" w:eastAsia="华文楷体" w:cs="华文楷体"/>
          <w:color w:val="auto"/>
          <w:sz w:val="30"/>
          <w:szCs w:val="30"/>
          <w:lang w:val="en-US" w:eastAsia="zh-CN"/>
        </w:rPr>
        <w:t>5.</w:t>
      </w:r>
      <w:r>
        <w:rPr>
          <w:rFonts w:hint="eastAsia" w:ascii="华文楷体" w:hAnsi="华文楷体" w:eastAsia="华文楷体" w:cs="华文楷体"/>
          <w:b/>
          <w:bCs/>
          <w:color w:val="auto"/>
          <w:sz w:val="30"/>
          <w:szCs w:val="30"/>
          <w:lang w:eastAsia="zh-CN"/>
        </w:rPr>
        <w:t>稳安全，构建和谐校园</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eastAsia="zh-CN"/>
        </w:rPr>
      </w:pPr>
      <w:r>
        <w:rPr>
          <w:rFonts w:hint="eastAsia" w:ascii="仿宋_GB2312" w:hAnsi="微软雅黑" w:eastAsia="仿宋_GB2312"/>
          <w:color w:val="auto"/>
          <w:sz w:val="30"/>
          <w:szCs w:val="30"/>
          <w:lang w:val="en-US" w:eastAsia="zh-CN"/>
        </w:rPr>
        <w:t>（1）</w:t>
      </w:r>
      <w:r>
        <w:rPr>
          <w:rFonts w:hint="eastAsia" w:ascii="仿宋_GB2312" w:hAnsi="微软雅黑" w:eastAsia="仿宋_GB2312"/>
          <w:color w:val="auto"/>
          <w:sz w:val="30"/>
          <w:szCs w:val="30"/>
        </w:rPr>
        <w:t>学校安全工作：</w:t>
      </w:r>
      <w:r>
        <w:rPr>
          <w:rFonts w:hint="eastAsia" w:ascii="仿宋_GB2312" w:hAnsi="微软雅黑" w:eastAsia="仿宋_GB2312"/>
          <w:color w:val="auto"/>
          <w:sz w:val="30"/>
          <w:szCs w:val="30"/>
          <w:lang w:eastAsia="zh-CN"/>
        </w:rPr>
        <w:t>完善了安防设备设施。</w:t>
      </w:r>
      <w:r>
        <w:rPr>
          <w:rFonts w:hint="eastAsia" w:ascii="仿宋_GB2312" w:hAnsi="微软雅黑" w:eastAsia="仿宋_GB2312"/>
          <w:color w:val="auto"/>
          <w:sz w:val="30"/>
          <w:szCs w:val="30"/>
        </w:rPr>
        <w:t>严格执行教师每天值班制度，</w:t>
      </w:r>
      <w:r>
        <w:rPr>
          <w:rFonts w:hint="eastAsia" w:ascii="仿宋_GB2312" w:hAnsi="宋体" w:eastAsia="仿宋_GB2312" w:cs="Times New Roman"/>
          <w:color w:val="auto"/>
          <w:sz w:val="30"/>
          <w:szCs w:val="30"/>
        </w:rPr>
        <w:t>本学年度共召开了6次学生家长会，4次防灾应急演练，与昭化派出所一起进行了2次防恐防爆应急模拟演练，被《中国公安网》刊登报道。1</w:t>
      </w:r>
      <w:r>
        <w:rPr>
          <w:rFonts w:hint="eastAsia" w:ascii="仿宋_GB2312" w:hAnsi="宋体" w:eastAsia="仿宋_GB2312"/>
          <w:color w:val="auto"/>
          <w:sz w:val="30"/>
          <w:szCs w:val="30"/>
        </w:rPr>
        <w:t>6</w:t>
      </w:r>
      <w:r>
        <w:rPr>
          <w:rFonts w:hint="eastAsia" w:ascii="仿宋_GB2312" w:hAnsi="宋体" w:eastAsia="仿宋_GB2312" w:cs="Times New Roman"/>
          <w:color w:val="auto"/>
          <w:sz w:val="30"/>
          <w:szCs w:val="30"/>
        </w:rPr>
        <w:t>次班级主题教育活动，2次法制教育知识讲座，8次安全教育知识讲座。</w:t>
      </w:r>
      <w:r>
        <w:rPr>
          <w:rFonts w:hint="eastAsia" w:ascii="仿宋_GB2312" w:hAnsi="微软雅黑" w:eastAsia="仿宋_GB2312"/>
          <w:color w:val="auto"/>
          <w:sz w:val="30"/>
          <w:szCs w:val="30"/>
        </w:rPr>
        <w:t>学校无安全事故和安全责任事故发生。市级</w:t>
      </w:r>
      <w:r>
        <w:rPr>
          <w:rFonts w:hint="eastAsia" w:ascii="仿宋_GB2312" w:hAnsi="微软雅黑" w:eastAsia="仿宋_GB2312"/>
          <w:color w:val="auto"/>
          <w:sz w:val="30"/>
          <w:szCs w:val="30"/>
          <w:lang w:eastAsia="zh-CN"/>
        </w:rPr>
        <w:t>文明单位复检</w:t>
      </w:r>
      <w:r>
        <w:rPr>
          <w:rFonts w:hint="eastAsia" w:ascii="仿宋_GB2312" w:hAnsi="微软雅黑" w:eastAsia="仿宋_GB2312"/>
          <w:color w:val="auto"/>
          <w:sz w:val="30"/>
          <w:szCs w:val="30"/>
        </w:rPr>
        <w:t>合格。</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（2）新冠疫情防控常态化，严格按照疫情防控要求及流程进行布控、布防；</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textAlignment w:val="auto"/>
        <w:rPr>
          <w:rFonts w:hint="default"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（3）争取川北高速出资120万元，更换静音防躁玻璃，基本解决了20余年困扰办学的噪音污染问题。</w:t>
      </w:r>
    </w:p>
    <w:p>
      <w:pPr>
        <w:keepNext w:val="0"/>
        <w:keepLines w:val="0"/>
        <w:pageBreakBefore w:val="0"/>
        <w:kinsoku/>
        <w:wordWrap/>
        <w:overflowPunct/>
        <w:topLinePunct w:val="0"/>
        <w:autoSpaceDE/>
        <w:autoSpaceDN/>
        <w:bidi w:val="0"/>
        <w:adjustRightInd/>
        <w:snapToGrid/>
        <w:spacing w:line="510" w:lineRule="exact"/>
        <w:ind w:firstLine="601" w:firstLineChars="200"/>
        <w:textAlignment w:val="auto"/>
        <w:rPr>
          <w:rFonts w:hint="eastAsia" w:ascii="华文楷体" w:hAnsi="华文楷体" w:eastAsia="华文楷体" w:cs="华文楷体"/>
          <w:b/>
          <w:bCs/>
          <w:color w:val="auto"/>
          <w:sz w:val="30"/>
          <w:szCs w:val="30"/>
          <w:lang w:eastAsia="zh-CN"/>
        </w:rPr>
      </w:pPr>
      <w:r>
        <w:rPr>
          <w:rFonts w:hint="eastAsia" w:ascii="华文楷体" w:hAnsi="华文楷体" w:eastAsia="华文楷体" w:cs="华文楷体"/>
          <w:b/>
          <w:bCs/>
          <w:color w:val="auto"/>
          <w:sz w:val="30"/>
          <w:szCs w:val="30"/>
          <w:lang w:val="en-US" w:eastAsia="zh-CN"/>
        </w:rPr>
        <w:t>6.</w:t>
      </w:r>
      <w:r>
        <w:rPr>
          <w:rFonts w:hint="eastAsia" w:ascii="华文楷体" w:hAnsi="华文楷体" w:eastAsia="华文楷体" w:cs="华文楷体"/>
          <w:b/>
          <w:bCs/>
          <w:color w:val="auto"/>
          <w:sz w:val="30"/>
          <w:szCs w:val="30"/>
          <w:lang w:eastAsia="zh-CN"/>
        </w:rPr>
        <w:t>重宣传，为学校持续发展营造外部氛围</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1）积极在国家、省、市、区级刊物以及微信公众号上发表我校的重大消息和教学经验、师生美文、师生美书等。本年度在《四川教育》、《广元日报》、《留守儿童报》、《昭化教育》等发表50余篇。圆满的完成上级教育主管部门下达的任务。</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default" w:ascii="仿宋_GB2312" w:hAnsi="微软雅黑" w:eastAsia="仿宋_GB2312"/>
          <w:color w:val="auto"/>
          <w:sz w:val="30"/>
          <w:szCs w:val="30"/>
          <w:lang w:val="en-US" w:eastAsia="zh-CN"/>
        </w:rPr>
      </w:pPr>
      <w:r>
        <w:rPr>
          <w:rFonts w:hint="eastAsia" w:ascii="仿宋_GB2312" w:hAnsi="微软雅黑" w:eastAsia="仿宋_GB2312"/>
          <w:color w:val="auto"/>
          <w:sz w:val="30"/>
          <w:szCs w:val="30"/>
          <w:lang w:val="en-US" w:eastAsia="zh-CN"/>
        </w:rPr>
        <w:t>（2）2021年报刊征订圆满完成教育局下达的任务。</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1" w:firstLineChars="200"/>
        <w:textAlignment w:val="auto"/>
        <w:rPr>
          <w:rFonts w:hint="eastAsia" w:ascii="华文楷体" w:hAnsi="华文楷体" w:eastAsia="华文楷体" w:cs="华文楷体"/>
          <w:b/>
          <w:bCs/>
          <w:color w:val="auto"/>
          <w:sz w:val="30"/>
          <w:szCs w:val="30"/>
          <w:lang w:eastAsia="zh-CN"/>
        </w:rPr>
      </w:pPr>
      <w:r>
        <w:rPr>
          <w:rFonts w:hint="eastAsia" w:ascii="华文楷体" w:hAnsi="华文楷体" w:eastAsia="华文楷体" w:cs="华文楷体"/>
          <w:b/>
          <w:bCs/>
          <w:color w:val="auto"/>
          <w:sz w:val="30"/>
          <w:szCs w:val="30"/>
          <w:lang w:val="en-US" w:eastAsia="zh-CN"/>
        </w:rPr>
        <w:t>7.</w:t>
      </w:r>
      <w:r>
        <w:rPr>
          <w:rFonts w:hint="eastAsia" w:ascii="华文楷体" w:hAnsi="华文楷体" w:eastAsia="华文楷体" w:cs="华文楷体"/>
          <w:b/>
          <w:bCs/>
          <w:color w:val="auto"/>
          <w:sz w:val="30"/>
          <w:szCs w:val="30"/>
          <w:lang w:eastAsia="zh-CN"/>
        </w:rPr>
        <w:t>后勤保障，保学校正常运转</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ascii="仿宋_GB2312" w:hAnsi="微软雅黑" w:eastAsia="仿宋_GB2312"/>
          <w:color w:val="auto"/>
          <w:sz w:val="30"/>
          <w:szCs w:val="30"/>
        </w:rPr>
      </w:pPr>
      <w:r>
        <w:rPr>
          <w:rFonts w:hint="eastAsia" w:ascii="仿宋_GB2312" w:hAnsi="微软雅黑" w:eastAsia="仿宋_GB2312"/>
          <w:color w:val="auto"/>
          <w:sz w:val="30"/>
          <w:szCs w:val="30"/>
        </w:rPr>
        <w:t>教育经费、财务 、校产管理工作：校长、廉勤委、分管总务的副校长三人签字后才能报账。校产管理建立了校产入账、出账、报损报废制度。对建卡贫困生、精准扶贫户的帮助工作，资金落实情况良好，未发生上访现象。</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黑体" w:hAnsi="黑体" w:eastAsia="黑体"/>
          <w:color w:val="auto"/>
          <w:sz w:val="30"/>
          <w:szCs w:val="30"/>
          <w:lang w:eastAsia="zh-CN"/>
        </w:rPr>
      </w:pPr>
      <w:r>
        <w:rPr>
          <w:rFonts w:hint="eastAsia" w:ascii="黑体" w:hAnsi="黑体" w:eastAsia="黑体"/>
          <w:color w:val="auto"/>
          <w:sz w:val="30"/>
          <w:szCs w:val="30"/>
          <w:lang w:eastAsia="zh-CN"/>
        </w:rPr>
        <w:t>（</w:t>
      </w:r>
      <w:r>
        <w:rPr>
          <w:rFonts w:hint="eastAsia" w:ascii="黑体" w:hAnsi="黑体" w:eastAsia="黑体"/>
          <w:color w:val="auto"/>
          <w:sz w:val="30"/>
          <w:szCs w:val="30"/>
          <w:lang w:val="en-US" w:eastAsia="zh-CN"/>
        </w:rPr>
        <w:t>二</w:t>
      </w:r>
      <w:r>
        <w:rPr>
          <w:rFonts w:hint="eastAsia" w:ascii="黑体" w:hAnsi="黑体" w:eastAsia="黑体"/>
          <w:color w:val="auto"/>
          <w:sz w:val="30"/>
          <w:szCs w:val="30"/>
          <w:lang w:eastAsia="zh-CN"/>
        </w:rPr>
        <w:t>）职能目标</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 w:hAnsi="仿宋" w:eastAsia="仿宋" w:cs="仿宋"/>
          <w:color w:val="auto"/>
          <w:sz w:val="30"/>
          <w:szCs w:val="30"/>
          <w:lang w:val="en-US" w:eastAsia="zh-CN"/>
        </w:rPr>
      </w:pPr>
      <w:r>
        <w:rPr>
          <w:rFonts w:hint="eastAsia" w:ascii="仿宋_GB2312" w:hAnsi="宋体" w:eastAsia="仿宋_GB2312"/>
          <w:color w:val="auto"/>
          <w:sz w:val="30"/>
          <w:szCs w:val="30"/>
          <w:lang w:val="en-US" w:eastAsia="zh-CN"/>
        </w:rPr>
        <w:t>1.取得市级及以上德育专项活动表彰获奖人次多：仲晓语荣获四川省“森林草原防灭火”优秀奖；罗智鑫、何瑾瑜在“百年光辉历程 全面建成小康”读书教育活动中分获省级二等奖、三等奖；杨烛灵等3名同学在广元市2021年中华经典诵写讲演系列活动获得三等奖；赵莉婷等12名同学在广元市2021年爱国主义教育电影经典片段模仿中获得二等奖、三等奖。</w:t>
      </w:r>
      <w:r>
        <w:rPr>
          <w:rFonts w:hint="eastAsia" w:ascii="仿宋" w:hAnsi="仿宋" w:eastAsia="仿宋" w:cs="仿宋"/>
          <w:color w:val="auto"/>
          <w:sz w:val="30"/>
          <w:szCs w:val="30"/>
        </w:rPr>
        <w:t>2021</w:t>
      </w:r>
      <w:r>
        <w:rPr>
          <w:rFonts w:hint="eastAsia" w:ascii="仿宋" w:hAnsi="仿宋" w:eastAsia="仿宋" w:cs="仿宋"/>
          <w:color w:val="auto"/>
          <w:sz w:val="30"/>
          <w:szCs w:val="30"/>
          <w:lang w:eastAsia="zh-CN"/>
        </w:rPr>
        <w:t>年</w:t>
      </w:r>
      <w:r>
        <w:rPr>
          <w:rFonts w:hint="eastAsia" w:ascii="仿宋" w:hAnsi="仿宋" w:eastAsia="仿宋" w:cs="仿宋"/>
          <w:color w:val="auto"/>
          <w:sz w:val="30"/>
          <w:szCs w:val="30"/>
        </w:rPr>
        <w:t>12 </w:t>
      </w:r>
      <w:r>
        <w:rPr>
          <w:rFonts w:hint="eastAsia" w:ascii="仿宋" w:hAnsi="仿宋" w:eastAsia="仿宋" w:cs="仿宋"/>
          <w:color w:val="auto"/>
          <w:sz w:val="30"/>
          <w:szCs w:val="30"/>
          <w:lang w:eastAsia="zh-CN"/>
        </w:rPr>
        <w:t>月，</w:t>
      </w:r>
      <w:r>
        <w:rPr>
          <w:rFonts w:hint="eastAsia" w:ascii="仿宋_GB2312" w:hAnsi="仿宋_GB2312" w:eastAsia="仿宋_GB2312" w:cs="仿宋_GB2312"/>
          <w:color w:val="auto"/>
          <w:sz w:val="30"/>
          <w:szCs w:val="30"/>
        </w:rPr>
        <w:t>新时代蜀少年四川省青少年文化艺术展演广元展演活动优秀组织奖</w:t>
      </w:r>
      <w:r>
        <w:rPr>
          <w:rFonts w:hint="eastAsia" w:ascii="仿宋_GB2312" w:hAnsi="仿宋_GB2312" w:eastAsia="仿宋_GB2312" w:cs="仿宋_GB2312"/>
          <w:color w:val="auto"/>
          <w:sz w:val="30"/>
          <w:szCs w:val="30"/>
          <w:lang w:eastAsia="zh-CN"/>
        </w:rPr>
        <w:t>。</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lang w:val="en-US" w:eastAsia="zh-CN"/>
        </w:rPr>
      </w:pPr>
      <w:r>
        <w:rPr>
          <w:rFonts w:hint="eastAsia" w:ascii="仿宋_GB2312" w:hAnsi="宋体" w:eastAsia="仿宋_GB2312"/>
          <w:color w:val="auto"/>
          <w:sz w:val="30"/>
          <w:szCs w:val="30"/>
          <w:lang w:val="en-US" w:eastAsia="zh-CN"/>
        </w:rPr>
        <w:t>2.</w:t>
      </w:r>
      <w:r>
        <w:rPr>
          <w:rFonts w:hint="eastAsia" w:ascii="仿宋_GB2312" w:hAnsi="仿宋_GB2312" w:eastAsia="仿宋_GB2312" w:cs="仿宋_GB2312"/>
          <w:color w:val="auto"/>
          <w:sz w:val="30"/>
          <w:szCs w:val="30"/>
          <w:lang w:val="en-US" w:eastAsia="zh-CN"/>
        </w:rPr>
        <w:t>积极创建广元市艺术特色学校。由葭萌艺术和葭萌吟诵两个学生社团实施的参研省级课题《农村中小学综合实践活动课程实施现状与区域推进策略研究——以广元市为例》子课题</w:t>
      </w:r>
      <w:r>
        <w:rPr>
          <w:rFonts w:hint="eastAsia" w:ascii="仿宋_GB2312" w:hAnsi="仿宋_GB2312" w:eastAsia="仿宋_GB2312" w:cs="仿宋_GB2312"/>
          <w:b w:val="0"/>
          <w:bCs w:val="0"/>
          <w:color w:val="auto"/>
          <w:sz w:val="30"/>
          <w:szCs w:val="30"/>
          <w:lang w:val="en-US" w:eastAsia="zh-CN"/>
        </w:rPr>
        <w:t>《基于古镇文化的校本艺术活动课程建设策略研究》结题</w:t>
      </w:r>
      <w:r>
        <w:rPr>
          <w:rFonts w:hint="eastAsia" w:ascii="仿宋_GB2312" w:hAnsi="仿宋_GB2312" w:eastAsia="仿宋_GB2312" w:cs="仿宋_GB2312"/>
          <w:color w:val="auto"/>
          <w:sz w:val="30"/>
          <w:szCs w:val="30"/>
          <w:lang w:val="en-US" w:eastAsia="zh-CN"/>
        </w:rPr>
        <w:t>。《葭萌吟诵》社团选送的节目荣获省级表彰。</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3.开展足球特色学校创建活动，成功申</w:t>
      </w:r>
      <w:r>
        <w:rPr>
          <w:rFonts w:hint="eastAsia" w:ascii="仿宋_GB2312" w:hAnsi="仿宋_GB2312" w:eastAsia="仿宋_GB2312" w:cs="仿宋_GB2312"/>
          <w:b w:val="0"/>
          <w:bCs w:val="0"/>
          <w:color w:val="auto"/>
          <w:sz w:val="30"/>
          <w:szCs w:val="30"/>
          <w:lang w:val="en-US" w:eastAsia="zh-CN"/>
        </w:rPr>
        <w:t>报</w:t>
      </w:r>
      <w:r>
        <w:rPr>
          <w:rFonts w:hint="eastAsia" w:ascii="仿宋_GB2312" w:hAnsi="仿宋_GB2312" w:eastAsia="仿宋_GB2312" w:cs="仿宋_GB2312"/>
          <w:b/>
          <w:bCs/>
          <w:color w:val="auto"/>
          <w:sz w:val="30"/>
          <w:szCs w:val="30"/>
          <w:lang w:val="en-US" w:eastAsia="zh-CN"/>
        </w:rPr>
        <w:t>2022年杭州亚运足球梦想学校</w:t>
      </w:r>
      <w:r>
        <w:rPr>
          <w:rFonts w:hint="eastAsia" w:ascii="仿宋_GB2312" w:hAnsi="仿宋_GB2312" w:eastAsia="仿宋_GB2312" w:cs="仿宋_GB2312"/>
          <w:color w:val="auto"/>
          <w:sz w:val="30"/>
          <w:szCs w:val="30"/>
          <w:lang w:val="en-US" w:eastAsia="zh-CN"/>
        </w:rPr>
        <w:t>。</w:t>
      </w:r>
    </w:p>
    <w:p>
      <w:pPr>
        <w:keepNext w:val="0"/>
        <w:keepLines w:val="0"/>
        <w:pageBreakBefore w:val="0"/>
        <w:kinsoku/>
        <w:wordWrap/>
        <w:overflowPunct/>
        <w:topLinePunct w:val="0"/>
        <w:autoSpaceDE/>
        <w:autoSpaceDN/>
        <w:bidi w:val="0"/>
        <w:adjustRightInd/>
        <w:snapToGrid/>
        <w:spacing w:line="510" w:lineRule="exact"/>
        <w:ind w:firstLine="600" w:firstLineChars="200"/>
        <w:textAlignment w:val="auto"/>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4.学业水平测试，完成年初预定目标。小学部上升7个名次，位列小学总排名第19位，在200人以上规模小学中排列第三位；初中部实现单中第3，上升3个名次。</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301" w:firstLineChars="100"/>
        <w:textAlignment w:val="auto"/>
        <w:rPr>
          <w:rFonts w:hint="eastAsia" w:ascii="黑体" w:hAnsi="黑体" w:eastAsia="黑体" w:cs="黑体"/>
          <w:color w:val="auto"/>
          <w:sz w:val="30"/>
          <w:szCs w:val="30"/>
          <w:lang w:eastAsia="zh-CN"/>
        </w:rPr>
      </w:pPr>
      <w:r>
        <w:rPr>
          <w:rFonts w:hint="eastAsia" w:ascii="黑体" w:hAnsi="黑体" w:eastAsia="黑体" w:cs="黑体"/>
          <w:b/>
          <w:bCs/>
          <w:color w:val="auto"/>
          <w:sz w:val="30"/>
          <w:szCs w:val="30"/>
          <w:lang w:eastAsia="zh-CN"/>
        </w:rPr>
        <w:t>（</w:t>
      </w:r>
      <w:r>
        <w:rPr>
          <w:rFonts w:hint="eastAsia" w:ascii="黑体" w:hAnsi="黑体" w:eastAsia="黑体" w:cs="黑体"/>
          <w:b/>
          <w:bCs/>
          <w:color w:val="auto"/>
          <w:sz w:val="30"/>
          <w:szCs w:val="30"/>
          <w:lang w:val="en-US" w:eastAsia="zh-CN"/>
        </w:rPr>
        <w:t>三</w:t>
      </w:r>
      <w:r>
        <w:rPr>
          <w:rFonts w:hint="eastAsia" w:ascii="黑体" w:hAnsi="黑体" w:eastAsia="黑体" w:cs="黑体"/>
          <w:b/>
          <w:bCs/>
          <w:color w:val="auto"/>
          <w:sz w:val="30"/>
          <w:szCs w:val="30"/>
          <w:lang w:eastAsia="zh-CN"/>
        </w:rPr>
        <w:t>）专项目标</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1.教育扶贫</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按规定动作，抓好落实，实现了应享尽享，无遗漏，无上</w:t>
      </w:r>
    </w:p>
    <w:p>
      <w:pPr>
        <w:keepNext w:val="0"/>
        <w:keepLines w:val="0"/>
        <w:pageBreakBefore w:val="0"/>
        <w:numPr>
          <w:ilvl w:val="0"/>
          <w:numId w:val="0"/>
        </w:numPr>
        <w:kinsoku/>
        <w:wordWrap/>
        <w:overflowPunct/>
        <w:topLinePunct w:val="0"/>
        <w:autoSpaceDE/>
        <w:autoSpaceDN/>
        <w:bidi w:val="0"/>
        <w:adjustRightInd/>
        <w:snapToGrid/>
        <w:spacing w:line="510" w:lineRule="exact"/>
        <w:textAlignment w:val="auto"/>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访。</w:t>
      </w:r>
    </w:p>
    <w:p>
      <w:pPr>
        <w:keepNext w:val="0"/>
        <w:keepLines w:val="0"/>
        <w:pageBreakBefore w:val="0"/>
        <w:numPr>
          <w:ilvl w:val="0"/>
          <w:numId w:val="0"/>
        </w:numPr>
        <w:kinsoku/>
        <w:wordWrap/>
        <w:overflowPunct/>
        <w:topLinePunct w:val="0"/>
        <w:autoSpaceDE/>
        <w:autoSpaceDN/>
        <w:bidi w:val="0"/>
        <w:adjustRightInd/>
        <w:snapToGrid/>
        <w:spacing w:line="510" w:lineRule="exact"/>
        <w:ind w:firstLine="600" w:firstLineChars="200"/>
        <w:textAlignment w:val="auto"/>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2.保生保学</w:t>
      </w:r>
    </w:p>
    <w:p>
      <w:pPr>
        <w:keepNext w:val="0"/>
        <w:keepLines w:val="0"/>
        <w:pageBreakBefore w:val="0"/>
        <w:numPr>
          <w:ilvl w:val="0"/>
          <w:numId w:val="0"/>
        </w:numPr>
        <w:kinsoku/>
        <w:wordWrap/>
        <w:overflowPunct/>
        <w:topLinePunct w:val="0"/>
        <w:autoSpaceDE/>
        <w:autoSpaceDN/>
        <w:bidi w:val="0"/>
        <w:adjustRightInd/>
        <w:snapToGrid/>
        <w:spacing w:line="510" w:lineRule="exact"/>
        <w:textAlignment w:val="auto"/>
        <w:rPr>
          <w:rFonts w:hint="default"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 xml:space="preserve">    适龄儿童无辍学。较圆满完成高中阶段送生工作。从外区市引进学生8人。在校学生人数继续增加，较上年度增加10人。</w:t>
      </w:r>
    </w:p>
    <w:p>
      <w:pPr>
        <w:widowControl/>
        <w:jc w:val="left"/>
        <w:rPr>
          <w:rFonts w:ascii="仿宋" w:hAnsi="仿宋" w:eastAsia="仿宋"/>
          <w:color w:val="auto"/>
          <w:kern w:val="0"/>
          <w:sz w:val="32"/>
          <w:szCs w:val="32"/>
        </w:rPr>
      </w:pPr>
    </w:p>
    <w:p>
      <w:pPr>
        <w:pStyle w:val="16"/>
        <w:rPr>
          <w:color w:val="auto"/>
        </w:rPr>
      </w:pPr>
    </w:p>
    <w:p>
      <w:pPr>
        <w:rPr>
          <w:rFonts w:hint="eastAsia" w:ascii="黑体" w:hAnsi="黑体" w:eastAsia="黑体"/>
          <w:b w:val="0"/>
          <w:color w:val="auto"/>
        </w:rPr>
      </w:pPr>
      <w:bookmarkStart w:id="16" w:name="_Toc15377204"/>
      <w:bookmarkStart w:id="17" w:name="_Toc15396602"/>
      <w:r>
        <w:rPr>
          <w:rFonts w:hint="eastAsia" w:ascii="黑体" w:hAnsi="黑体" w:eastAsia="黑体"/>
          <w:b w:val="0"/>
          <w:color w:val="auto"/>
        </w:rPr>
        <w:br w:type="page"/>
      </w:r>
    </w:p>
    <w:p>
      <w:pPr>
        <w:pStyle w:val="3"/>
        <w:ind w:right="440"/>
        <w:jc w:val="center"/>
        <w:rPr>
          <w:rStyle w:val="29"/>
          <w:rFonts w:ascii="黑体" w:hAnsi="黑体" w:eastAsia="黑体"/>
          <w:b w:val="0"/>
          <w:bCs/>
          <w:color w:val="auto"/>
        </w:rPr>
      </w:pPr>
      <w:r>
        <w:rPr>
          <w:rFonts w:hint="eastAsia" w:ascii="黑体" w:hAnsi="黑体" w:eastAsia="黑体"/>
          <w:b w:val="0"/>
          <w:color w:val="auto"/>
        </w:rPr>
        <w:t>第二部分 2021年度</w:t>
      </w:r>
      <w:r>
        <w:rPr>
          <w:rStyle w:val="29"/>
          <w:rFonts w:hint="eastAsia" w:ascii="黑体" w:hAnsi="黑体" w:eastAsia="黑体"/>
          <w:b w:val="0"/>
          <w:bCs/>
          <w:color w:val="auto"/>
        </w:rPr>
        <w:t>单位决算情况说明</w:t>
      </w:r>
      <w:bookmarkEnd w:id="16"/>
      <w:bookmarkEnd w:id="17"/>
    </w:p>
    <w:p>
      <w:pPr>
        <w:rPr>
          <w:color w:val="auto"/>
        </w:rPr>
      </w:pPr>
    </w:p>
    <w:p>
      <w:pPr>
        <w:pStyle w:val="28"/>
        <w:numPr>
          <w:ilvl w:val="0"/>
          <w:numId w:val="2"/>
        </w:numPr>
        <w:spacing w:line="600" w:lineRule="exact"/>
        <w:ind w:firstLineChars="0"/>
        <w:outlineLvl w:val="1"/>
        <w:rPr>
          <w:rStyle w:val="30"/>
          <w:rFonts w:ascii="黑体" w:hAnsi="黑体" w:eastAsia="黑体"/>
          <w:b w:val="0"/>
          <w:color w:val="auto"/>
        </w:rPr>
      </w:pPr>
      <w:bookmarkStart w:id="18" w:name="_Toc15396603"/>
      <w:bookmarkStart w:id="19" w:name="_Toc15377205"/>
      <w:r>
        <w:rPr>
          <w:rFonts w:hint="eastAsia" w:ascii="黑体" w:hAnsi="黑体" w:eastAsia="黑体"/>
          <w:color w:val="auto"/>
          <w:sz w:val="32"/>
          <w:szCs w:val="32"/>
        </w:rPr>
        <w:t>收</w:t>
      </w:r>
      <w:r>
        <w:rPr>
          <w:rStyle w:val="30"/>
          <w:rFonts w:hint="eastAsia" w:ascii="黑体" w:hAnsi="黑体" w:eastAsia="黑体"/>
          <w:b w:val="0"/>
          <w:color w:val="auto"/>
        </w:rPr>
        <w:t>入支出决算总体情况说明</w:t>
      </w:r>
      <w:bookmarkEnd w:id="18"/>
      <w:bookmarkEnd w:id="19"/>
    </w:p>
    <w:p>
      <w:pPr>
        <w:spacing w:line="600" w:lineRule="exact"/>
        <w:ind w:firstLine="640" w:firstLineChars="200"/>
        <w:outlineLvl w:val="1"/>
        <w:rPr>
          <w:rFonts w:hint="eastAsia" w:eastAsia="宋体"/>
          <w:color w:val="auto"/>
          <w:lang w:eastAsia="zh-CN"/>
        </w:rPr>
      </w:pPr>
      <w:r>
        <w:rPr>
          <w:rFonts w:hint="eastAsia" w:ascii="仿宋" w:hAnsi="仿宋" w:eastAsia="仿宋"/>
          <w:color w:val="auto"/>
          <w:sz w:val="32"/>
          <w:szCs w:val="32"/>
        </w:rPr>
        <w:t>2021年度收、支总计</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万元。与2020年相比，收、支总计各</w:t>
      </w:r>
      <w:r>
        <w:rPr>
          <w:rFonts w:hint="eastAsia" w:ascii="仿宋" w:hAnsi="仿宋" w:eastAsia="仿宋"/>
          <w:color w:val="auto"/>
          <w:sz w:val="32"/>
          <w:szCs w:val="32"/>
          <w:lang w:val="en-US" w:eastAsia="zh-CN"/>
        </w:rPr>
        <w:t>减少169.74</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下降11.43</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b w:val="0"/>
          <w:bCs w:val="0"/>
          <w:color w:val="auto"/>
          <w:sz w:val="32"/>
          <w:szCs w:val="32"/>
          <w:highlight w:val="none"/>
          <w:lang w:eastAsia="zh-CN"/>
        </w:rPr>
        <w:t>基本支出减少</w:t>
      </w:r>
      <w:r>
        <w:rPr>
          <w:rFonts w:hint="eastAsia" w:ascii="仿宋" w:hAnsi="仿宋" w:eastAsia="仿宋"/>
          <w:color w:val="auto"/>
          <w:sz w:val="32"/>
          <w:szCs w:val="32"/>
        </w:rPr>
        <w:t>。</w:t>
      </w:r>
    </w:p>
    <w:p>
      <w:pPr>
        <w:pStyle w:val="28"/>
        <w:numPr>
          <w:ilvl w:val="0"/>
          <w:numId w:val="2"/>
        </w:numPr>
        <w:spacing w:line="600" w:lineRule="exact"/>
        <w:ind w:firstLineChars="0"/>
        <w:outlineLvl w:val="1"/>
        <w:rPr>
          <w:rStyle w:val="30"/>
          <w:rFonts w:ascii="黑体" w:hAnsi="黑体" w:eastAsia="黑体"/>
          <w:b w:val="0"/>
          <w:color w:val="auto"/>
        </w:rPr>
      </w:pPr>
      <w:bookmarkStart w:id="20" w:name="_Toc15377206"/>
      <w:bookmarkStart w:id="21" w:name="_Toc15396604"/>
      <w:r>
        <w:rPr>
          <w:rFonts w:hint="eastAsia" w:eastAsia="宋体"/>
          <w:color w:val="auto"/>
          <w:highlight w:val="yellow"/>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color w:val="auto"/>
          <w:sz w:val="32"/>
          <w:szCs w:val="32"/>
        </w:rPr>
        <w:t>收</w:t>
      </w:r>
      <w:r>
        <w:rPr>
          <w:rStyle w:val="30"/>
          <w:rFonts w:hint="eastAsia" w:ascii="黑体" w:hAnsi="黑体" w:eastAsia="黑体"/>
          <w:b w:val="0"/>
          <w:color w:val="auto"/>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21年本年收入合计</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万元，其中：一般公共预算财政拨款收入</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w:t>
      </w:r>
    </w:p>
    <w:p>
      <w:pPr>
        <w:pStyle w:val="16"/>
        <w:rPr>
          <w:rFonts w:hint="eastAsia" w:eastAsia="宋体"/>
          <w:color w:val="auto"/>
          <w:lang w:eastAsia="zh-CN"/>
        </w:rPr>
      </w:pPr>
      <w:r>
        <w:rPr>
          <w:rFonts w:hint="eastAsia" w:eastAsia="宋体"/>
          <w:color w:val="auto"/>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52349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16"/>
        <w:ind w:left="0" w:leftChars="0" w:firstLine="640" w:firstLineChars="200"/>
        <w:rPr>
          <w:rStyle w:val="30"/>
          <w:rFonts w:ascii="黑体" w:hAnsi="黑体" w:eastAsia="黑体"/>
          <w:b w:val="0"/>
          <w:color w:val="auto"/>
        </w:rPr>
      </w:pPr>
      <w:bookmarkStart w:id="22" w:name="_Toc15377207"/>
      <w:bookmarkStart w:id="23" w:name="_Toc15396605"/>
      <w:r>
        <w:rPr>
          <w:rFonts w:hint="eastAsia" w:ascii="黑体" w:hAnsi="黑体" w:eastAsia="黑体"/>
          <w:color w:val="auto"/>
          <w:sz w:val="32"/>
          <w:szCs w:val="32"/>
          <w:lang w:eastAsia="zh-CN"/>
        </w:rPr>
        <w:t>三、</w:t>
      </w:r>
      <w:r>
        <w:rPr>
          <w:rFonts w:hint="eastAsia" w:ascii="黑体" w:hAnsi="黑体" w:eastAsia="黑体"/>
          <w:color w:val="auto"/>
          <w:sz w:val="32"/>
          <w:szCs w:val="32"/>
        </w:rPr>
        <w:t>支</w:t>
      </w:r>
      <w:r>
        <w:rPr>
          <w:rStyle w:val="30"/>
          <w:rFonts w:hint="eastAsia" w:ascii="黑体" w:hAnsi="黑体" w:eastAsia="黑体"/>
          <w:b w:val="0"/>
          <w:color w:val="auto"/>
        </w:rPr>
        <w:t>出决算情况说明</w:t>
      </w:r>
      <w:bookmarkEnd w:id="22"/>
      <w:bookmarkEnd w:id="23"/>
    </w:p>
    <w:p>
      <w:pPr>
        <w:spacing w:line="600" w:lineRule="exact"/>
        <w:ind w:firstLine="640" w:firstLineChars="200"/>
        <w:outlineLvl w:val="1"/>
        <w:rPr>
          <w:rFonts w:ascii="仿宋" w:hAnsi="仿宋" w:eastAsia="仿宋"/>
          <w:color w:val="auto"/>
          <w:sz w:val="32"/>
          <w:szCs w:val="32"/>
        </w:rPr>
      </w:pPr>
      <w:r>
        <w:rPr>
          <w:rFonts w:hint="eastAsia" w:ascii="仿宋" w:hAnsi="仿宋" w:eastAsia="仿宋"/>
          <w:color w:val="auto"/>
          <w:sz w:val="32"/>
          <w:szCs w:val="32"/>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rPr>
        <w:t>20</w:t>
      </w:r>
      <w:r>
        <w:rPr>
          <w:rFonts w:hint="eastAsia" w:ascii="仿宋" w:hAnsi="仿宋" w:eastAsia="仿宋"/>
          <w:color w:val="auto"/>
          <w:sz w:val="32"/>
          <w:szCs w:val="32"/>
        </w:rPr>
        <w:t>21年本年支出合计</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835.77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63.52</w:t>
      </w:r>
      <w:r>
        <w:rPr>
          <w:rFonts w:ascii="仿宋" w:hAnsi="仿宋" w:eastAsia="仿宋"/>
          <w:color w:val="auto"/>
          <w:sz w:val="32"/>
          <w:szCs w:val="32"/>
        </w:rPr>
        <w:t>%</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480.00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36.48</w:t>
      </w:r>
      <w:r>
        <w:rPr>
          <w:rFonts w:ascii="仿宋" w:hAnsi="仿宋" w:eastAsia="仿宋"/>
          <w:color w:val="auto"/>
          <w:sz w:val="32"/>
          <w:szCs w:val="32"/>
        </w:rPr>
        <w:t>%</w:t>
      </w:r>
      <w:r>
        <w:rPr>
          <w:rFonts w:hint="eastAsia" w:ascii="仿宋" w:hAnsi="仿宋" w:eastAsia="仿宋"/>
          <w:color w:val="auto"/>
          <w:sz w:val="32"/>
          <w:szCs w:val="32"/>
        </w:rPr>
        <w:t>。</w:t>
      </w:r>
    </w:p>
    <w:p>
      <w:pPr>
        <w:spacing w:line="600" w:lineRule="exact"/>
        <w:ind w:firstLine="640" w:firstLineChars="200"/>
        <w:outlineLvl w:val="1"/>
        <w:rPr>
          <w:rStyle w:val="30"/>
          <w:rFonts w:ascii="黑体" w:hAnsi="黑体" w:eastAsia="黑体"/>
          <w:b w:val="0"/>
          <w:color w:val="auto"/>
        </w:rPr>
      </w:pPr>
      <w:bookmarkStart w:id="24" w:name="_Toc15377208"/>
      <w:bookmarkStart w:id="25" w:name="_Toc15396606"/>
      <w:r>
        <w:rPr>
          <w:rFonts w:hint="eastAsia" w:ascii="黑体" w:hAnsi="黑体" w:eastAsia="黑体"/>
          <w:color w:val="auto"/>
          <w:sz w:val="32"/>
          <w:szCs w:val="32"/>
        </w:rPr>
        <w:t>四、财</w:t>
      </w:r>
      <w:r>
        <w:rPr>
          <w:rStyle w:val="30"/>
          <w:rFonts w:hint="eastAsia" w:ascii="黑体" w:hAnsi="黑体" w:eastAsia="黑体"/>
          <w:b w:val="0"/>
          <w:color w:val="auto"/>
        </w:rPr>
        <w:t>政拨款收入支出决算总体情况说明</w:t>
      </w:r>
      <w:bookmarkEnd w:id="24"/>
      <w:bookmarkEnd w:id="25"/>
    </w:p>
    <w:p>
      <w:pP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21年财政拨款收、支总计</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万元。与</w:t>
      </w:r>
      <w:r>
        <w:rPr>
          <w:rFonts w:ascii="仿宋" w:hAnsi="仿宋" w:eastAsia="仿宋"/>
          <w:color w:val="auto"/>
          <w:sz w:val="32"/>
          <w:szCs w:val="32"/>
        </w:rPr>
        <w:t>20</w:t>
      </w:r>
      <w:r>
        <w:rPr>
          <w:rFonts w:hint="eastAsia" w:ascii="仿宋" w:hAnsi="仿宋" w:eastAsia="仿宋"/>
          <w:color w:val="auto"/>
          <w:sz w:val="32"/>
          <w:szCs w:val="32"/>
        </w:rPr>
        <w:t>20年相比，财政拨款收、支总计各</w:t>
      </w:r>
      <w:r>
        <w:rPr>
          <w:rFonts w:hint="eastAsia" w:ascii="仿宋" w:hAnsi="仿宋" w:eastAsia="仿宋"/>
          <w:color w:val="auto"/>
          <w:sz w:val="32"/>
          <w:szCs w:val="32"/>
          <w:lang w:val="en-US" w:eastAsia="zh-CN"/>
        </w:rPr>
        <w:t>减少169.74</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下降11.43</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color w:val="auto"/>
          <w:sz w:val="32"/>
          <w:szCs w:val="32"/>
          <w:lang w:val="en-US" w:eastAsia="zh-CN"/>
        </w:rPr>
        <w:t>基本支出减少</w:t>
      </w:r>
      <w:r>
        <w:rPr>
          <w:rFonts w:hint="eastAsia" w:ascii="仿宋" w:hAnsi="仿宋" w:eastAsia="仿宋"/>
          <w:color w:val="auto"/>
          <w:sz w:val="32"/>
          <w:szCs w:val="32"/>
        </w:rPr>
        <w:t>。</w:t>
      </w:r>
    </w:p>
    <w:p>
      <w:pPr>
        <w:pStyle w:val="16"/>
        <w:rPr>
          <w:color w:val="auto"/>
        </w:rPr>
      </w:pPr>
    </w:p>
    <w:p>
      <w:pPr>
        <w:spacing w:line="600" w:lineRule="exact"/>
        <w:ind w:firstLine="420" w:firstLineChars="200"/>
        <w:outlineLvl w:val="1"/>
        <w:rPr>
          <w:rStyle w:val="30"/>
          <w:rFonts w:ascii="黑体" w:hAnsi="黑体" w:eastAsia="黑体"/>
          <w:b w:val="0"/>
          <w:color w:val="auto"/>
        </w:rPr>
      </w:pPr>
      <w:bookmarkStart w:id="26" w:name="_Toc15377209"/>
      <w:bookmarkStart w:id="27" w:name="_Toc15396607"/>
      <w:r>
        <w:rPr>
          <w:rFonts w:hint="eastAsia" w:eastAsia="宋体"/>
          <w:color w:val="auto"/>
          <w:lang w:eastAsia="zh-CN"/>
        </w:rPr>
        <w:drawing>
          <wp:anchor distT="0" distB="0" distL="114300" distR="114300" simplePos="0" relativeHeight="251662336" behindDoc="0" locked="0" layoutInCell="1" allowOverlap="1">
            <wp:simplePos x="0" y="0"/>
            <wp:positionH relativeFrom="column">
              <wp:posOffset>-5080</wp:posOffset>
            </wp:positionH>
            <wp:positionV relativeFrom="paragraph">
              <wp:posOffset>10160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30"/>
          <w:rFonts w:hint="eastAsia" w:ascii="黑体" w:hAnsi="黑体" w:eastAsia="黑体"/>
          <w:b w:val="0"/>
          <w:color w:val="auto"/>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rPr>
      </w:pPr>
      <w:bookmarkStart w:id="28" w:name="_Toc15377210"/>
      <w:r>
        <w:rPr>
          <w:rFonts w:hint="eastAsia" w:ascii="仿宋" w:hAnsi="仿宋" w:eastAsia="仿宋"/>
          <w:b/>
          <w:color w:val="auto"/>
          <w:sz w:val="32"/>
          <w:szCs w:val="32"/>
        </w:rPr>
        <w:t>（一）一般公共预算财政拨款支出决算总体情况</w:t>
      </w:r>
      <w:bookmarkEnd w:id="28"/>
    </w:p>
    <w:p>
      <w:pPr>
        <w:spacing w:line="600" w:lineRule="exact"/>
        <w:ind w:firstLine="640"/>
        <w:rPr>
          <w:rFonts w:hint="eastAsia" w:ascii="仿宋" w:hAnsi="仿宋" w:eastAsia="仿宋"/>
          <w:b/>
          <w:color w:val="auto"/>
          <w:sz w:val="32"/>
          <w:szCs w:val="32"/>
          <w:lang w:eastAsia="zh-CN"/>
        </w:rPr>
      </w:pPr>
      <w:r>
        <w:rPr>
          <w:rFonts w:ascii="仿宋" w:hAnsi="仿宋" w:eastAsia="仿宋"/>
          <w:color w:val="auto"/>
          <w:sz w:val="32"/>
          <w:szCs w:val="32"/>
        </w:rPr>
        <w:t>20</w:t>
      </w:r>
      <w:r>
        <w:rPr>
          <w:rFonts w:hint="eastAsia" w:ascii="仿宋" w:hAnsi="仿宋" w:eastAsia="仿宋"/>
          <w:color w:val="auto"/>
          <w:sz w:val="32"/>
          <w:szCs w:val="32"/>
        </w:rPr>
        <w:t>21年一般公共预算财政拨款支出</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万元，占本年支出合计的</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。与</w:t>
      </w:r>
      <w:r>
        <w:rPr>
          <w:rFonts w:ascii="仿宋" w:hAnsi="仿宋" w:eastAsia="仿宋"/>
          <w:color w:val="auto"/>
          <w:sz w:val="32"/>
          <w:szCs w:val="32"/>
        </w:rPr>
        <w:t>20</w:t>
      </w:r>
      <w:r>
        <w:rPr>
          <w:rFonts w:hint="eastAsia" w:ascii="仿宋" w:hAnsi="仿宋" w:eastAsia="仿宋"/>
          <w:color w:val="auto"/>
          <w:sz w:val="32"/>
          <w:szCs w:val="32"/>
        </w:rPr>
        <w:t>20年</w:t>
      </w:r>
      <w:r>
        <w:rPr>
          <w:rFonts w:hint="eastAsia" w:ascii="仿宋" w:hAnsi="仿宋" w:eastAsia="仿宋"/>
          <w:color w:val="auto"/>
          <w:sz w:val="32"/>
          <w:szCs w:val="32"/>
          <w:lang w:val="en-US" w:eastAsia="zh-CN"/>
        </w:rPr>
        <w:t>1485.51</w:t>
      </w:r>
      <w:r>
        <w:rPr>
          <w:rFonts w:hint="eastAsia" w:ascii="仿宋" w:hAnsi="仿宋" w:eastAsia="仿宋"/>
          <w:color w:val="auto"/>
          <w:sz w:val="32"/>
          <w:szCs w:val="32"/>
          <w:lang w:eastAsia="zh-CN"/>
        </w:rPr>
        <w:t>万元</w:t>
      </w:r>
      <w:r>
        <w:rPr>
          <w:rFonts w:hint="eastAsia" w:ascii="仿宋" w:hAnsi="仿宋" w:eastAsia="仿宋"/>
          <w:color w:val="auto"/>
          <w:sz w:val="32"/>
          <w:szCs w:val="32"/>
        </w:rPr>
        <w:t>相比，一般公共预算财政拨款支出</w:t>
      </w:r>
      <w:r>
        <w:rPr>
          <w:rFonts w:hint="eastAsia" w:ascii="仿宋" w:hAnsi="仿宋" w:eastAsia="仿宋"/>
          <w:color w:val="auto"/>
          <w:sz w:val="32"/>
          <w:szCs w:val="32"/>
          <w:lang w:val="en-US" w:eastAsia="zh-CN"/>
        </w:rPr>
        <w:t>减少169.74</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下降11.43</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color w:val="auto"/>
          <w:sz w:val="32"/>
          <w:szCs w:val="32"/>
          <w:lang w:val="en-US" w:eastAsia="zh-CN"/>
        </w:rPr>
        <w:t>基本</w:t>
      </w:r>
      <w:r>
        <w:rPr>
          <w:rFonts w:hint="eastAsia" w:ascii="仿宋" w:hAnsi="仿宋" w:eastAsia="仿宋"/>
          <w:color w:val="auto"/>
          <w:sz w:val="32"/>
          <w:szCs w:val="32"/>
        </w:rPr>
        <w:t>支出</w:t>
      </w:r>
      <w:r>
        <w:rPr>
          <w:rFonts w:hint="eastAsia" w:ascii="仿宋" w:hAnsi="仿宋" w:eastAsia="仿宋"/>
          <w:color w:val="auto"/>
          <w:sz w:val="32"/>
          <w:szCs w:val="32"/>
          <w:lang w:val="en-US" w:eastAsia="zh-CN"/>
        </w:rPr>
        <w:t>减少</w:t>
      </w:r>
      <w:r>
        <w:rPr>
          <w:rFonts w:hint="eastAsia" w:ascii="仿宋" w:hAnsi="仿宋" w:eastAsia="仿宋"/>
          <w:color w:val="auto"/>
          <w:sz w:val="32"/>
          <w:szCs w:val="32"/>
        </w:rPr>
        <w:t>。</w:t>
      </w:r>
    </w:p>
    <w:p>
      <w:pPr>
        <w:spacing w:line="600" w:lineRule="exact"/>
        <w:ind w:firstLine="643" w:firstLineChars="200"/>
        <w:outlineLvl w:val="2"/>
        <w:rPr>
          <w:rFonts w:ascii="仿宋" w:hAnsi="仿宋" w:eastAsia="仿宋"/>
          <w:b/>
          <w:color w:val="auto"/>
          <w:sz w:val="32"/>
          <w:szCs w:val="32"/>
        </w:rPr>
      </w:pPr>
      <w:bookmarkStart w:id="29" w:name="_Toc15377211"/>
      <w:r>
        <w:rPr>
          <w:rFonts w:hint="eastAsia" w:ascii="仿宋" w:hAnsi="仿宋" w:eastAsia="仿宋"/>
          <w:b/>
          <w:color w:val="auto"/>
          <w:sz w:val="32"/>
          <w:szCs w:val="32"/>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rPr>
        <w:t>（二）一般公共预算财政拨款支出决算结构情况</w:t>
      </w:r>
      <w:bookmarkEnd w:id="29"/>
    </w:p>
    <w:p>
      <w:pPr>
        <w:spacing w:line="600" w:lineRule="exact"/>
        <w:ind w:firstLine="640"/>
        <w:rPr>
          <w:rFonts w:ascii="仿宋" w:hAnsi="仿宋" w:eastAsia="仿宋"/>
          <w:color w:val="auto"/>
          <w:sz w:val="32"/>
          <w:szCs w:val="32"/>
        </w:rPr>
      </w:pPr>
      <w:r>
        <w:rPr>
          <w:rFonts w:hint="eastAsia" w:ascii="仿宋" w:hAnsi="仿宋" w:eastAsia="仿宋"/>
          <w:b/>
          <w:color w:val="auto"/>
          <w:sz w:val="32"/>
          <w:szCs w:val="32"/>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rPr>
        <w:t>20</w:t>
      </w:r>
      <w:r>
        <w:rPr>
          <w:rFonts w:hint="eastAsia" w:ascii="仿宋" w:hAnsi="仿宋" w:eastAsia="仿宋"/>
          <w:color w:val="auto"/>
          <w:sz w:val="32"/>
          <w:szCs w:val="32"/>
        </w:rPr>
        <w:t>21年一般公共预算财政拨款支出</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万元，主要用于以下方面</w:t>
      </w:r>
      <w:r>
        <w:rPr>
          <w:rFonts w:ascii="仿宋" w:hAnsi="仿宋" w:eastAsia="仿宋"/>
          <w:color w:val="auto"/>
          <w:sz w:val="32"/>
          <w:szCs w:val="32"/>
        </w:rPr>
        <w:t>:</w:t>
      </w:r>
      <w:r>
        <w:rPr>
          <w:rFonts w:hint="eastAsia" w:ascii="仿宋" w:hAnsi="仿宋" w:eastAsia="仿宋"/>
          <w:b/>
          <w:color w:val="auto"/>
          <w:sz w:val="32"/>
          <w:szCs w:val="32"/>
        </w:rPr>
        <w:t>教育支出（类）</w:t>
      </w:r>
      <w:r>
        <w:rPr>
          <w:rFonts w:hint="eastAsia" w:ascii="仿宋" w:hAnsi="仿宋" w:eastAsia="仿宋"/>
          <w:color w:val="auto"/>
          <w:sz w:val="32"/>
          <w:szCs w:val="32"/>
          <w:lang w:val="en-US" w:eastAsia="zh-CN"/>
        </w:rPr>
        <w:t>1315.77</w:t>
      </w:r>
      <w:r>
        <w:rPr>
          <w:rFonts w:hint="eastAsia" w:ascii="仿宋" w:hAnsi="仿宋" w:eastAsia="仿宋"/>
          <w:color w:val="auto"/>
          <w:sz w:val="32"/>
          <w:szCs w:val="32"/>
        </w:rPr>
        <w:t>万元，占100</w:t>
      </w:r>
      <w:r>
        <w:rPr>
          <w:rFonts w:ascii="仿宋" w:hAnsi="仿宋" w:eastAsia="仿宋"/>
          <w:color w:val="auto"/>
          <w:sz w:val="32"/>
          <w:szCs w:val="32"/>
        </w:rPr>
        <w:t>%</w:t>
      </w:r>
      <w:r>
        <w:rPr>
          <w:rFonts w:hint="eastAsia" w:ascii="仿宋" w:hAnsi="仿宋" w:eastAsia="仿宋"/>
          <w:color w:val="auto"/>
          <w:sz w:val="32"/>
          <w:szCs w:val="32"/>
        </w:rPr>
        <w:t>。</w:t>
      </w:r>
    </w:p>
    <w:p>
      <w:pPr>
        <w:spacing w:line="600" w:lineRule="exact"/>
        <w:rPr>
          <w:rFonts w:ascii="仿宋" w:hAnsi="仿宋" w:eastAsia="仿宋"/>
          <w:b/>
          <w:color w:val="auto"/>
          <w:sz w:val="32"/>
          <w:szCs w:val="32"/>
        </w:rPr>
      </w:pPr>
      <w:bookmarkStart w:id="30" w:name="_Toc15377212"/>
      <w:r>
        <w:rPr>
          <w:rFonts w:hint="eastAsia" w:ascii="仿宋" w:hAnsi="仿宋" w:eastAsia="仿宋"/>
          <w:b/>
          <w:color w:val="auto"/>
          <w:sz w:val="32"/>
          <w:szCs w:val="32"/>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rPr>
      </w:pPr>
      <w:bookmarkStart w:id="31" w:name="_Toc15378460"/>
      <w:bookmarkStart w:id="32" w:name="_Toc15377213"/>
      <w:bookmarkStart w:id="33" w:name="_Toc15377444"/>
      <w:r>
        <w:rPr>
          <w:rFonts w:hint="eastAsia" w:ascii="仿宋" w:hAnsi="仿宋" w:eastAsia="仿宋"/>
          <w:b/>
          <w:color w:val="auto"/>
          <w:sz w:val="32"/>
          <w:szCs w:val="32"/>
        </w:rPr>
        <w:t>2021年一般公共预算支出决算数为</w:t>
      </w:r>
      <w:r>
        <w:rPr>
          <w:rFonts w:hint="eastAsia" w:ascii="仿宋" w:hAnsi="仿宋" w:eastAsia="仿宋"/>
          <w:b/>
          <w:color w:val="auto"/>
          <w:sz w:val="32"/>
          <w:szCs w:val="32"/>
          <w:lang w:val="en-US" w:eastAsia="zh-CN"/>
        </w:rPr>
        <w:t>1315.77万元</w:t>
      </w:r>
      <w:r>
        <w:rPr>
          <w:rFonts w:hint="eastAsia" w:ascii="仿宋" w:hAnsi="仿宋" w:eastAsia="仿宋"/>
          <w:color w:val="auto"/>
          <w:sz w:val="32"/>
          <w:szCs w:val="32"/>
        </w:rPr>
        <w:t>，</w:t>
      </w:r>
      <w:r>
        <w:rPr>
          <w:rStyle w:val="19"/>
          <w:rFonts w:hint="eastAsia" w:ascii="仿宋" w:hAnsi="仿宋" w:eastAsia="仿宋"/>
          <w:bCs/>
          <w:color w:val="auto"/>
          <w:sz w:val="32"/>
          <w:szCs w:val="32"/>
        </w:rPr>
        <w:t>完成预算100</w:t>
      </w:r>
      <w:r>
        <w:rPr>
          <w:rStyle w:val="19"/>
          <w:rFonts w:ascii="仿宋" w:hAnsi="仿宋" w:eastAsia="仿宋"/>
          <w:bCs/>
          <w:color w:val="auto"/>
          <w:sz w:val="32"/>
          <w:szCs w:val="32"/>
        </w:rPr>
        <w:t>%</w:t>
      </w:r>
      <w:r>
        <w:rPr>
          <w:rStyle w:val="19"/>
          <w:rFonts w:hint="eastAsia" w:ascii="仿宋" w:hAnsi="仿宋" w:eastAsia="仿宋"/>
          <w:bCs/>
          <w:color w:val="auto"/>
          <w:sz w:val="32"/>
          <w:szCs w:val="32"/>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rPr>
        <w:t>1.教育205（类）普通教育02（款）</w:t>
      </w:r>
      <w:r>
        <w:rPr>
          <w:rStyle w:val="19"/>
          <w:rFonts w:hint="eastAsia" w:ascii="仿宋" w:hAnsi="仿宋" w:eastAsia="仿宋"/>
          <w:bCs/>
          <w:color w:val="auto"/>
          <w:sz w:val="32"/>
          <w:szCs w:val="32"/>
          <w:lang w:val="en-US" w:eastAsia="zh-CN"/>
        </w:rPr>
        <w:t>初中</w:t>
      </w:r>
      <w:r>
        <w:rPr>
          <w:rStyle w:val="19"/>
          <w:rFonts w:hint="eastAsia" w:ascii="仿宋" w:hAnsi="仿宋" w:eastAsia="仿宋"/>
          <w:bCs/>
          <w:color w:val="auto"/>
          <w:sz w:val="32"/>
          <w:szCs w:val="32"/>
        </w:rPr>
        <w:t>教育0</w:t>
      </w:r>
      <w:r>
        <w:rPr>
          <w:rStyle w:val="19"/>
          <w:rFonts w:hint="eastAsia" w:ascii="仿宋" w:hAnsi="仿宋" w:eastAsia="仿宋"/>
          <w:bCs/>
          <w:color w:val="auto"/>
          <w:sz w:val="32"/>
          <w:szCs w:val="32"/>
          <w:lang w:val="en-US" w:eastAsia="zh-CN"/>
        </w:rPr>
        <w:t>3</w:t>
      </w:r>
      <w:r>
        <w:rPr>
          <w:rStyle w:val="19"/>
          <w:rFonts w:hint="eastAsia" w:ascii="仿宋" w:hAnsi="仿宋" w:eastAsia="仿宋"/>
          <w:bCs/>
          <w:color w:val="auto"/>
          <w:sz w:val="32"/>
          <w:szCs w:val="32"/>
        </w:rPr>
        <w:t>（项）</w:t>
      </w:r>
      <w:r>
        <w:rPr>
          <w:rStyle w:val="19"/>
          <w:rFonts w:ascii="仿宋" w:hAnsi="仿宋" w:eastAsia="仿宋"/>
          <w:bCs/>
          <w:color w:val="auto"/>
          <w:sz w:val="32"/>
          <w:szCs w:val="32"/>
        </w:rPr>
        <w:t>:</w:t>
      </w:r>
      <w:r>
        <w:rPr>
          <w:rStyle w:val="19"/>
          <w:rFonts w:ascii="仿宋" w:hAnsi="仿宋" w:eastAsia="仿宋"/>
          <w:b w:val="0"/>
          <w:bCs/>
          <w:color w:val="auto"/>
          <w:sz w:val="32"/>
          <w:szCs w:val="32"/>
        </w:rPr>
        <w:t xml:space="preserve"> </w:t>
      </w:r>
      <w:r>
        <w:rPr>
          <w:rStyle w:val="19"/>
          <w:rFonts w:hint="eastAsia" w:ascii="仿宋" w:hAnsi="仿宋" w:eastAsia="仿宋"/>
          <w:b w:val="0"/>
          <w:bCs/>
          <w:color w:val="auto"/>
          <w:sz w:val="32"/>
          <w:szCs w:val="32"/>
        </w:rPr>
        <w:t>支出决算为</w:t>
      </w:r>
      <w:r>
        <w:rPr>
          <w:rStyle w:val="19"/>
          <w:rFonts w:hint="eastAsia" w:ascii="仿宋" w:hAnsi="仿宋" w:eastAsia="仿宋"/>
          <w:b w:val="0"/>
          <w:bCs/>
          <w:color w:val="auto"/>
          <w:sz w:val="32"/>
          <w:szCs w:val="32"/>
          <w:lang w:val="en-US" w:eastAsia="zh-CN"/>
        </w:rPr>
        <w:t>835.77</w:t>
      </w:r>
      <w:r>
        <w:rPr>
          <w:rStyle w:val="19"/>
          <w:rFonts w:hint="eastAsia" w:ascii="仿宋" w:hAnsi="仿宋" w:eastAsia="仿宋"/>
          <w:b w:val="0"/>
          <w:bCs/>
          <w:color w:val="auto"/>
          <w:sz w:val="32"/>
          <w:szCs w:val="32"/>
        </w:rPr>
        <w:t>万元，完成预算100</w:t>
      </w:r>
      <w:r>
        <w:rPr>
          <w:rStyle w:val="19"/>
          <w:rFonts w:ascii="仿宋" w:hAnsi="仿宋" w:eastAsia="仿宋"/>
          <w:b w:val="0"/>
          <w:bCs/>
          <w:color w:val="auto"/>
          <w:sz w:val="32"/>
          <w:szCs w:val="32"/>
        </w:rPr>
        <w:t>%</w:t>
      </w:r>
      <w:r>
        <w:rPr>
          <w:rStyle w:val="19"/>
          <w:rFonts w:hint="eastAsia" w:ascii="仿宋" w:hAnsi="仿宋" w:eastAsia="仿宋"/>
          <w:b w:val="0"/>
          <w:bCs/>
          <w:color w:val="auto"/>
          <w:sz w:val="32"/>
          <w:szCs w:val="32"/>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rPr>
      </w:pPr>
      <w:r>
        <w:rPr>
          <w:rStyle w:val="19"/>
          <w:rFonts w:hint="eastAsia" w:ascii="仿宋" w:hAnsi="仿宋" w:eastAsia="仿宋"/>
          <w:bCs/>
          <w:color w:val="auto"/>
          <w:sz w:val="32"/>
          <w:szCs w:val="32"/>
        </w:rPr>
        <w:t>2</w:t>
      </w:r>
      <w:r>
        <w:rPr>
          <w:rStyle w:val="19"/>
          <w:rFonts w:ascii="仿宋" w:hAnsi="仿宋" w:eastAsia="仿宋"/>
          <w:bCs/>
          <w:color w:val="auto"/>
          <w:sz w:val="32"/>
          <w:szCs w:val="32"/>
        </w:rPr>
        <w:t>.</w:t>
      </w:r>
      <w:r>
        <w:rPr>
          <w:rStyle w:val="19"/>
          <w:rFonts w:hint="eastAsia" w:ascii="仿宋" w:hAnsi="仿宋" w:eastAsia="仿宋"/>
          <w:bCs/>
          <w:color w:val="auto"/>
          <w:sz w:val="32"/>
          <w:szCs w:val="32"/>
        </w:rPr>
        <w:t>教育205（类）普通教育02（款）</w:t>
      </w:r>
      <w:r>
        <w:rPr>
          <w:rStyle w:val="19"/>
          <w:rFonts w:hint="eastAsia" w:ascii="仿宋" w:hAnsi="仿宋" w:eastAsia="仿宋"/>
          <w:bCs/>
          <w:color w:val="auto"/>
          <w:sz w:val="32"/>
          <w:szCs w:val="32"/>
          <w:lang w:eastAsia="zh-CN"/>
        </w:rPr>
        <w:t>其他</w:t>
      </w:r>
      <w:r>
        <w:rPr>
          <w:rStyle w:val="19"/>
          <w:rFonts w:hint="eastAsia" w:ascii="仿宋" w:hAnsi="仿宋" w:eastAsia="仿宋"/>
          <w:bCs/>
          <w:color w:val="auto"/>
          <w:sz w:val="32"/>
          <w:szCs w:val="32"/>
          <w:lang w:val="en-US" w:eastAsia="zh-CN"/>
        </w:rPr>
        <w:t>普通</w:t>
      </w:r>
      <w:r>
        <w:rPr>
          <w:rStyle w:val="19"/>
          <w:rFonts w:hint="eastAsia" w:ascii="仿宋" w:hAnsi="仿宋" w:eastAsia="仿宋"/>
          <w:bCs/>
          <w:color w:val="auto"/>
          <w:sz w:val="32"/>
          <w:szCs w:val="32"/>
        </w:rPr>
        <w:t>教育</w:t>
      </w:r>
      <w:r>
        <w:rPr>
          <w:rStyle w:val="19"/>
          <w:rFonts w:hint="eastAsia" w:ascii="仿宋" w:hAnsi="仿宋" w:eastAsia="仿宋"/>
          <w:bCs/>
          <w:color w:val="auto"/>
          <w:sz w:val="32"/>
          <w:szCs w:val="32"/>
          <w:lang w:val="en-US" w:eastAsia="zh-CN"/>
        </w:rPr>
        <w:t>支出99</w:t>
      </w:r>
      <w:r>
        <w:rPr>
          <w:rStyle w:val="19"/>
          <w:rFonts w:hint="eastAsia" w:ascii="仿宋" w:hAnsi="仿宋" w:eastAsia="仿宋"/>
          <w:bCs/>
          <w:color w:val="auto"/>
          <w:sz w:val="32"/>
          <w:szCs w:val="32"/>
        </w:rPr>
        <w:t>（项）</w:t>
      </w:r>
      <w:r>
        <w:rPr>
          <w:rStyle w:val="19"/>
          <w:rFonts w:ascii="仿宋" w:hAnsi="仿宋" w:eastAsia="仿宋"/>
          <w:bCs/>
          <w:color w:val="auto"/>
          <w:sz w:val="32"/>
          <w:szCs w:val="32"/>
        </w:rPr>
        <w:t>:</w:t>
      </w:r>
      <w:r>
        <w:rPr>
          <w:rStyle w:val="19"/>
          <w:rFonts w:ascii="仿宋" w:hAnsi="仿宋" w:eastAsia="仿宋"/>
          <w:b w:val="0"/>
          <w:bCs/>
          <w:color w:val="auto"/>
          <w:sz w:val="32"/>
          <w:szCs w:val="32"/>
        </w:rPr>
        <w:t xml:space="preserve"> </w:t>
      </w:r>
      <w:r>
        <w:rPr>
          <w:rStyle w:val="19"/>
          <w:rFonts w:hint="eastAsia" w:ascii="仿宋" w:hAnsi="仿宋" w:eastAsia="仿宋"/>
          <w:b w:val="0"/>
          <w:bCs/>
          <w:color w:val="auto"/>
          <w:sz w:val="32"/>
          <w:szCs w:val="32"/>
        </w:rPr>
        <w:t>支出决算为</w:t>
      </w:r>
      <w:r>
        <w:rPr>
          <w:rStyle w:val="19"/>
          <w:rFonts w:hint="eastAsia" w:ascii="仿宋" w:hAnsi="仿宋" w:eastAsia="仿宋"/>
          <w:b w:val="0"/>
          <w:bCs/>
          <w:color w:val="auto"/>
          <w:sz w:val="32"/>
          <w:szCs w:val="32"/>
          <w:lang w:val="en-US" w:eastAsia="zh-CN"/>
        </w:rPr>
        <w:t>480.00</w:t>
      </w:r>
      <w:r>
        <w:rPr>
          <w:rStyle w:val="19"/>
          <w:rFonts w:hint="eastAsia" w:ascii="仿宋" w:hAnsi="仿宋" w:eastAsia="仿宋"/>
          <w:b w:val="0"/>
          <w:bCs/>
          <w:color w:val="auto"/>
          <w:sz w:val="32"/>
          <w:szCs w:val="32"/>
        </w:rPr>
        <w:t>万元，完成预算100</w:t>
      </w:r>
      <w:r>
        <w:rPr>
          <w:rStyle w:val="19"/>
          <w:rFonts w:ascii="仿宋" w:hAnsi="仿宋" w:eastAsia="仿宋"/>
          <w:b w:val="0"/>
          <w:bCs/>
          <w:color w:val="auto"/>
          <w:sz w:val="32"/>
          <w:szCs w:val="32"/>
        </w:rPr>
        <w:t>%</w:t>
      </w:r>
      <w:r>
        <w:rPr>
          <w:rStyle w:val="19"/>
          <w:rFonts w:hint="eastAsia" w:ascii="仿宋" w:hAnsi="仿宋" w:eastAsia="仿宋"/>
          <w:b w:val="0"/>
          <w:bCs/>
          <w:color w:val="auto"/>
          <w:sz w:val="32"/>
          <w:szCs w:val="32"/>
        </w:rPr>
        <w:t>。</w:t>
      </w:r>
      <w:r>
        <w:rPr>
          <w:rStyle w:val="19"/>
          <w:rFonts w:hint="eastAsia" w:ascii="仿宋" w:hAnsi="仿宋" w:eastAsia="仿宋"/>
          <w:b w:val="0"/>
          <w:bCs/>
          <w:color w:val="auto"/>
          <w:sz w:val="32"/>
          <w:szCs w:val="32"/>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rPr>
      </w:pPr>
    </w:p>
    <w:p>
      <w:pPr>
        <w:tabs>
          <w:tab w:val="right" w:pos="8306"/>
        </w:tabs>
        <w:spacing w:line="600" w:lineRule="exact"/>
        <w:ind w:firstLine="640"/>
        <w:outlineLvl w:val="1"/>
        <w:rPr>
          <w:rStyle w:val="30"/>
          <w:color w:val="auto"/>
        </w:rPr>
      </w:pPr>
      <w:bookmarkStart w:id="34" w:name="_Toc15377214"/>
      <w:bookmarkStart w:id="35" w:name="_Toc15396608"/>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30"/>
          <w:rFonts w:hint="eastAsia" w:ascii="黑体" w:hAnsi="黑体" w:eastAsia="黑体"/>
          <w:b w:val="0"/>
          <w:color w:val="auto"/>
        </w:rPr>
        <w:t>般公共预算财政拨款基本支出决算情况说明</w:t>
      </w:r>
      <w:bookmarkEnd w:id="34"/>
      <w:bookmarkEnd w:id="35"/>
      <w:r>
        <w:rPr>
          <w:rStyle w:val="30"/>
          <w:rFonts w:ascii="黑体" w:hAnsi="黑体" w:eastAsia="黑体"/>
          <w:b w:val="0"/>
          <w:color w:val="auto"/>
        </w:rPr>
        <w:tab/>
      </w:r>
    </w:p>
    <w:p>
      <w:pPr>
        <w:spacing w:line="600" w:lineRule="exact"/>
        <w:ind w:firstLine="645"/>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21年一般公共预算财政拨款基本支出</w:t>
      </w:r>
      <w:r>
        <w:rPr>
          <w:rFonts w:hint="eastAsia" w:ascii="仿宋" w:hAnsi="仿宋" w:eastAsia="仿宋"/>
          <w:color w:val="auto"/>
          <w:sz w:val="32"/>
          <w:szCs w:val="32"/>
          <w:lang w:val="en-US" w:eastAsia="zh-CN"/>
        </w:rPr>
        <w:t>835.78</w:t>
      </w:r>
      <w:r>
        <w:rPr>
          <w:rFonts w:hint="eastAsia" w:ascii="仿宋" w:hAnsi="仿宋" w:eastAsia="仿宋"/>
          <w:color w:val="auto"/>
          <w:sz w:val="32"/>
          <w:szCs w:val="32"/>
        </w:rPr>
        <w:t>万元，其中：</w:t>
      </w:r>
    </w:p>
    <w:p>
      <w:pPr>
        <w:spacing w:line="600" w:lineRule="exact"/>
        <w:ind w:firstLine="645"/>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741.18</w:t>
      </w:r>
      <w:r>
        <w:rPr>
          <w:rFonts w:hint="eastAsia" w:ascii="仿宋" w:hAnsi="仿宋" w:eastAsia="仿宋"/>
          <w:color w:val="auto"/>
          <w:sz w:val="32"/>
          <w:szCs w:val="32"/>
        </w:rPr>
        <w:t>万元，主要包括：基本工资、津贴补贴、绩效工资、机关事业单位基本养老保险缴费、职业年金缴费、职工基本医疗保险缴费</w:t>
      </w:r>
      <w:r>
        <w:rPr>
          <w:rFonts w:hint="eastAsia" w:ascii="仿宋" w:hAnsi="仿宋" w:eastAsia="仿宋"/>
          <w:color w:val="auto"/>
          <w:sz w:val="32"/>
          <w:szCs w:val="32"/>
          <w:lang w:eastAsia="zh-CN"/>
        </w:rPr>
        <w:t>、</w:t>
      </w:r>
      <w:r>
        <w:rPr>
          <w:rFonts w:hint="eastAsia" w:ascii="仿宋" w:hAnsi="仿宋" w:eastAsia="仿宋"/>
          <w:color w:val="auto"/>
          <w:sz w:val="32"/>
          <w:szCs w:val="32"/>
        </w:rPr>
        <w:t>其他社会保障缴费、其他工资福利支出、生活补助、助学金</w:t>
      </w:r>
      <w:r>
        <w:rPr>
          <w:rFonts w:hint="eastAsia" w:ascii="仿宋" w:hAnsi="仿宋" w:eastAsia="仿宋"/>
          <w:color w:val="auto"/>
          <w:sz w:val="32"/>
          <w:szCs w:val="32"/>
          <w:lang w:eastAsia="zh-CN"/>
        </w:rPr>
        <w:t>、</w:t>
      </w:r>
      <w:r>
        <w:rPr>
          <w:rFonts w:hint="eastAsia" w:ascii="仿宋" w:hAnsi="仿宋" w:eastAsia="仿宋"/>
          <w:color w:val="auto"/>
          <w:sz w:val="32"/>
          <w:szCs w:val="32"/>
        </w:rPr>
        <w:t>奖励金、住房公积金等。</w:t>
      </w:r>
    </w:p>
    <w:p>
      <w:pPr>
        <w:spacing w:line="600" w:lineRule="exact"/>
        <w:ind w:firstLine="645"/>
        <w:rPr>
          <w:rFonts w:ascii="仿宋" w:hAnsi="仿宋" w:eastAsia="仿宋"/>
          <w:b/>
          <w:color w:val="auto"/>
          <w:sz w:val="32"/>
          <w:szCs w:val="32"/>
        </w:rPr>
      </w:pPr>
      <w:r>
        <w:rPr>
          <w:rFonts w:hint="eastAsia" w:ascii="仿宋" w:hAnsi="仿宋" w:eastAsia="仿宋"/>
          <w:color w:val="auto"/>
          <w:sz w:val="32"/>
          <w:szCs w:val="32"/>
        </w:rPr>
        <w:t>公用经费94.</w:t>
      </w:r>
      <w:r>
        <w:rPr>
          <w:rFonts w:hint="eastAsia" w:ascii="仿宋" w:hAnsi="仿宋" w:eastAsia="仿宋"/>
          <w:color w:val="auto"/>
          <w:sz w:val="32"/>
          <w:szCs w:val="32"/>
          <w:lang w:val="en-US" w:eastAsia="zh-CN"/>
        </w:rPr>
        <w:t>60</w:t>
      </w:r>
      <w:r>
        <w:rPr>
          <w:rFonts w:hint="eastAsia" w:ascii="仿宋" w:hAnsi="仿宋" w:eastAsia="仿宋"/>
          <w:color w:val="auto"/>
          <w:sz w:val="32"/>
          <w:szCs w:val="32"/>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rPr>
      </w:pPr>
      <w:bookmarkStart w:id="36" w:name="_Toc15377215"/>
      <w:bookmarkStart w:id="37" w:name="_Toc15396609"/>
      <w:r>
        <w:rPr>
          <w:rFonts w:hint="eastAsia" w:ascii="黑体" w:eastAsia="黑体"/>
          <w:color w:val="auto"/>
          <w:sz w:val="32"/>
          <w:szCs w:val="32"/>
        </w:rPr>
        <w:t>七、</w:t>
      </w:r>
      <w:r>
        <w:rPr>
          <w:rStyle w:val="30"/>
          <w:rFonts w:hint="eastAsia" w:ascii="黑体" w:hAnsi="黑体" w:eastAsia="黑体"/>
          <w:color w:val="auto"/>
        </w:rPr>
        <w:t>“</w:t>
      </w:r>
      <w:r>
        <w:rPr>
          <w:rStyle w:val="30"/>
          <w:rFonts w:hint="eastAsia" w:ascii="黑体" w:hAnsi="黑体" w:eastAsia="黑体"/>
          <w:b w:val="0"/>
          <w:color w:val="auto"/>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rPr>
      </w:pPr>
      <w:bookmarkStart w:id="38" w:name="_Toc15377216"/>
      <w:r>
        <w:rPr>
          <w:rFonts w:hint="eastAsia" w:ascii="仿宋" w:hAnsi="仿宋" w:eastAsia="仿宋"/>
          <w:b/>
          <w:color w:val="auto"/>
          <w:sz w:val="32"/>
          <w:szCs w:val="32"/>
        </w:rPr>
        <w:t>（一）“三公”经费财政拨款支出决算总体情况说明</w:t>
      </w:r>
      <w:bookmarkEnd w:id="38"/>
    </w:p>
    <w:p>
      <w:pP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21年“三公”经费财政拨款支出决算为</w:t>
      </w:r>
      <w:r>
        <w:rPr>
          <w:rFonts w:hint="eastAsia" w:ascii="仿宋" w:hAnsi="仿宋" w:eastAsia="仿宋"/>
          <w:color w:val="auto"/>
          <w:sz w:val="32"/>
          <w:szCs w:val="32"/>
          <w:lang w:val="en-US" w:eastAsia="zh-CN"/>
        </w:rPr>
        <w:t>2.63</w:t>
      </w:r>
      <w:r>
        <w:rPr>
          <w:rFonts w:hint="eastAsia" w:ascii="仿宋" w:hAnsi="仿宋" w:eastAsia="仿宋"/>
          <w:color w:val="auto"/>
          <w:sz w:val="32"/>
          <w:szCs w:val="32"/>
        </w:rPr>
        <w:t>万元，完成预算</w:t>
      </w:r>
      <w:r>
        <w:rPr>
          <w:rFonts w:hint="eastAsia" w:ascii="仿宋" w:hAnsi="仿宋" w:eastAsia="仿宋"/>
          <w:color w:val="auto"/>
          <w:sz w:val="32"/>
          <w:szCs w:val="32"/>
          <w:lang w:val="en-US" w:eastAsia="zh-CN"/>
        </w:rPr>
        <w:t>97.41</w:t>
      </w:r>
      <w:r>
        <w:rPr>
          <w:rFonts w:ascii="仿宋" w:hAnsi="仿宋" w:eastAsia="仿宋"/>
          <w:color w:val="auto"/>
          <w:sz w:val="32"/>
          <w:szCs w:val="32"/>
        </w:rPr>
        <w:t>%</w:t>
      </w:r>
      <w:r>
        <w:rPr>
          <w:rFonts w:hint="eastAsia" w:ascii="仿宋" w:hAnsi="仿宋" w:eastAsia="仿宋"/>
          <w:color w:val="auto"/>
          <w:sz w:val="32"/>
          <w:szCs w:val="32"/>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lang w:eastAsia="zh-CN"/>
        </w:rPr>
        <w:t>认真贯彻落实中央八项规定精神，采取有效措施严格控制接待范围和接待标准</w:t>
      </w:r>
      <w:r>
        <w:rPr>
          <w:rFonts w:hint="eastAsia" w:ascii="仿宋" w:hAnsi="仿宋" w:eastAsia="仿宋"/>
          <w:color w:val="auto"/>
          <w:sz w:val="32"/>
          <w:szCs w:val="32"/>
        </w:rPr>
        <w:t>。</w:t>
      </w:r>
    </w:p>
    <w:p>
      <w:pPr>
        <w:spacing w:line="600" w:lineRule="exact"/>
        <w:ind w:firstLine="640"/>
        <w:outlineLvl w:val="2"/>
        <w:rPr>
          <w:rFonts w:ascii="仿宋" w:hAnsi="仿宋" w:eastAsia="仿宋"/>
          <w:b/>
          <w:color w:val="auto"/>
          <w:sz w:val="32"/>
          <w:szCs w:val="32"/>
        </w:rPr>
      </w:pPr>
      <w:bookmarkStart w:id="39" w:name="_Toc15377217"/>
      <w:r>
        <w:rPr>
          <w:rFonts w:hint="eastAsia" w:ascii="仿宋" w:hAnsi="仿宋" w:eastAsia="仿宋"/>
          <w:b/>
          <w:color w:val="auto"/>
          <w:sz w:val="32"/>
          <w:szCs w:val="32"/>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21年“三公”经费财政拨款支出决算中，因公出国（境）费支出决算0万元，当年未安排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公务用车购置及运行维护费支出决算0万元，当年未安排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2.63</w:t>
      </w:r>
      <w:r>
        <w:rPr>
          <w:rFonts w:hint="eastAsia" w:ascii="仿宋" w:hAnsi="仿宋" w:eastAsia="仿宋"/>
          <w:color w:val="auto"/>
          <w:sz w:val="32"/>
          <w:szCs w:val="32"/>
        </w:rPr>
        <w:t>万元，占100</w:t>
      </w:r>
      <w:r>
        <w:rPr>
          <w:rFonts w:ascii="仿宋" w:hAnsi="仿宋" w:eastAsia="仿宋"/>
          <w:color w:val="auto"/>
          <w:sz w:val="32"/>
          <w:szCs w:val="32"/>
        </w:rPr>
        <w:t>%</w:t>
      </w:r>
      <w:r>
        <w:rPr>
          <w:rFonts w:hint="eastAsia" w:ascii="仿宋" w:hAnsi="仿宋" w:eastAsia="仿宋"/>
          <w:color w:val="auto"/>
          <w:sz w:val="32"/>
          <w:szCs w:val="32"/>
        </w:rPr>
        <w:t>。具体情况如下：</w:t>
      </w:r>
    </w:p>
    <w:p>
      <w:pPr>
        <w:spacing w:line="600" w:lineRule="exact"/>
        <w:ind w:firstLine="640"/>
        <w:rPr>
          <w:rFonts w:hint="eastAsia" w:ascii="仿宋_GB2312" w:eastAsia="仿宋_GB2312" w:cs="仿宋_GB2312"/>
          <w:b/>
          <w:bCs w:val="0"/>
          <w:color w:val="auto"/>
          <w:sz w:val="32"/>
          <w:szCs w:val="32"/>
          <w:lang w:val="en-US"/>
        </w:rPr>
      </w:pPr>
      <w:r>
        <w:rPr>
          <w:rFonts w:hint="eastAsia" w:ascii="仿宋" w:hAnsi="仿宋" w:eastAsia="仿宋"/>
          <w:color w:val="auto"/>
          <w:sz w:val="32"/>
          <w:szCs w:val="32"/>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lang w:val="en-US" w:eastAsia="zh-CN" w:bidi="ar"/>
        </w:rPr>
        <w:t>1.因公出国（境）经费支出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lang w:val="en-US"/>
        </w:rPr>
      </w:pPr>
      <w:r>
        <w:rPr>
          <w:rFonts w:hint="eastAsia" w:ascii="仿宋_GB2312" w:hAnsi="Times New Roman" w:eastAsia="仿宋_GB2312" w:cs="仿宋_GB2312"/>
          <w:b/>
          <w:bCs w:val="0"/>
          <w:color w:val="auto"/>
          <w:kern w:val="2"/>
          <w:sz w:val="32"/>
          <w:szCs w:val="32"/>
          <w:lang w:val="en-US" w:eastAsia="zh-CN" w:bidi="ar"/>
        </w:rPr>
        <w:t>2.公务用车购置及运行维护费支出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lang w:val="en-US"/>
        </w:rPr>
      </w:pPr>
      <w:r>
        <w:rPr>
          <w:rFonts w:hint="eastAsia" w:ascii="仿宋_GB2312" w:hAnsi="Times New Roman" w:eastAsia="仿宋_GB2312" w:cs="仿宋_GB2312"/>
          <w:b/>
          <w:bCs/>
          <w:color w:val="auto"/>
          <w:kern w:val="2"/>
          <w:sz w:val="32"/>
          <w:szCs w:val="32"/>
          <w:lang w:val="en-US" w:eastAsia="zh-CN" w:bidi="ar"/>
        </w:rPr>
        <w:t>其中：</w:t>
      </w:r>
      <w:r>
        <w:rPr>
          <w:rFonts w:hint="eastAsia" w:ascii="仿宋_GB2312" w:hAnsi="Times New Roman" w:eastAsia="仿宋_GB2312" w:cs="仿宋_GB2312"/>
          <w:b/>
          <w:bCs w:val="0"/>
          <w:color w:val="auto"/>
          <w:kern w:val="2"/>
          <w:sz w:val="32"/>
          <w:szCs w:val="32"/>
          <w:lang w:val="en-US" w:eastAsia="zh-CN" w:bidi="ar"/>
        </w:rPr>
        <w:t>公务用车购置支出</w:t>
      </w:r>
      <w:r>
        <w:rPr>
          <w:rFonts w:hint="eastAsia" w:ascii="仿宋_GB2312" w:hAnsi="Times New Roman" w:eastAsia="仿宋_GB2312" w:cs="仿宋_GB2312"/>
          <w:bCs/>
          <w:color w:val="auto"/>
          <w:kern w:val="2"/>
          <w:sz w:val="32"/>
          <w:szCs w:val="32"/>
          <w:lang w:val="en-US" w:eastAsia="zh-CN" w:bidi="ar"/>
        </w:rPr>
        <w:t>0万元。</w:t>
      </w:r>
      <w:r>
        <w:rPr>
          <w:rFonts w:hint="eastAsia" w:ascii="仿宋_GB2312" w:eastAsia="仿宋_GB2312" w:cs="仿宋_GB2312"/>
          <w:bCs/>
          <w:color w:val="auto"/>
          <w:kern w:val="2"/>
          <w:sz w:val="32"/>
          <w:szCs w:val="32"/>
          <w:lang w:val="en-US" w:eastAsia="zh-CN" w:bidi="ar"/>
        </w:rPr>
        <w:t>全年按规定更新购置公务用车0辆，</w:t>
      </w:r>
      <w:r>
        <w:rPr>
          <w:rFonts w:hint="eastAsia" w:ascii="仿宋_GB2312" w:eastAsia="仿宋_GB2312" w:cs="仿宋_GB2312"/>
          <w:color w:val="auto"/>
          <w:kern w:val="2"/>
          <w:sz w:val="32"/>
          <w:szCs w:val="32"/>
          <w:lang w:val="en-US" w:eastAsia="zh-CN" w:bidi="ar"/>
        </w:rPr>
        <w:t>主要原因是我单位未购置公务用车。</w:t>
      </w:r>
      <w:r>
        <w:rPr>
          <w:rFonts w:hint="eastAsia" w:ascii="仿宋_GB2312" w:eastAsia="仿宋_GB2312" w:cs="仿宋_GB2312"/>
          <w:bCs/>
          <w:color w:val="auto"/>
          <w:kern w:val="2"/>
          <w:sz w:val="32"/>
          <w:szCs w:val="32"/>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rPr>
      </w:pPr>
      <w:r>
        <w:rPr>
          <w:rFonts w:hint="eastAsia" w:ascii="仿宋_GB2312" w:hAnsi="Times New Roman" w:eastAsia="仿宋_GB2312" w:cs="仿宋_GB2312"/>
          <w:b/>
          <w:bCs w:val="0"/>
          <w:color w:val="auto"/>
          <w:kern w:val="2"/>
          <w:sz w:val="32"/>
          <w:szCs w:val="32"/>
          <w:lang w:val="en-US" w:eastAsia="zh-CN" w:bidi="ar"/>
        </w:rPr>
        <w:t>公务用车运行维护费支出</w:t>
      </w:r>
      <w:r>
        <w:rPr>
          <w:rFonts w:hint="eastAsia" w:ascii="仿宋_GB2312" w:hAnsi="Times New Roman" w:eastAsia="仿宋_GB2312" w:cs="仿宋_GB2312"/>
          <w:color w:val="auto"/>
          <w:kern w:val="2"/>
          <w:sz w:val="32"/>
          <w:szCs w:val="32"/>
          <w:lang w:val="en-US" w:eastAsia="zh-CN" w:bidi="ar"/>
        </w:rPr>
        <w:t>0万元。</w:t>
      </w:r>
      <w:r>
        <w:rPr>
          <w:rFonts w:hint="eastAsia" w:ascii="仿宋_GB2312" w:eastAsia="仿宋_GB2312" w:cs="仿宋_GB2312"/>
          <w:color w:val="auto"/>
          <w:kern w:val="2"/>
          <w:sz w:val="32"/>
          <w:szCs w:val="32"/>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2.63</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97.41</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比2020减少0.06万元，下降2.23%</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w:t>
      </w:r>
      <w:r>
        <w:rPr>
          <w:rFonts w:hint="eastAsia" w:ascii="Times New Roman" w:hAnsi="Times New Roman" w:eastAsia="仿宋" w:cs="Times New Roman"/>
          <w:color w:val="auto"/>
          <w:sz w:val="32"/>
          <w:szCs w:val="32"/>
          <w:lang w:eastAsia="zh-CN"/>
        </w:rPr>
        <w:t>要原因是</w:t>
      </w:r>
      <w:r>
        <w:rPr>
          <w:rFonts w:hint="eastAsia" w:ascii="仿宋" w:hAnsi="仿宋" w:eastAsia="仿宋"/>
          <w:color w:val="auto"/>
          <w:sz w:val="32"/>
          <w:szCs w:val="32"/>
          <w:lang w:eastAsia="zh-CN"/>
        </w:rPr>
        <w:t>认真贯彻落实中央八项规定精神，采取有效措施严格控制接待范围和接待标准</w:t>
      </w:r>
      <w:r>
        <w:rPr>
          <w:rFonts w:hint="eastAsia" w:ascii="仿宋" w:hAnsi="仿宋" w:eastAsia="仿宋"/>
          <w:color w:val="auto"/>
          <w:sz w:val="32"/>
          <w:szCs w:val="32"/>
        </w:rPr>
        <w:t>。</w:t>
      </w:r>
      <w:r>
        <w:rPr>
          <w:rFonts w:hint="default" w:ascii="Times New Roman" w:hAnsi="Times New Roman" w:eastAsia="仿宋" w:cs="Times New Roman"/>
          <w:color w:val="auto"/>
          <w:sz w:val="32"/>
          <w:szCs w:val="32"/>
        </w:rPr>
        <w:t>其中：</w:t>
      </w:r>
    </w:p>
    <w:p>
      <w:pPr>
        <w:spacing w:line="600" w:lineRule="exact"/>
        <w:ind w:firstLine="640"/>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b/>
          <w:bCs/>
          <w:color w:val="auto"/>
          <w:sz w:val="32"/>
          <w:szCs w:val="32"/>
        </w:rPr>
        <w:t>国内公务接待支出</w:t>
      </w:r>
      <w:r>
        <w:rPr>
          <w:rFonts w:hint="eastAsia" w:eastAsia="仿宋" w:cs="Times New Roman"/>
          <w:color w:val="auto"/>
          <w:sz w:val="32"/>
          <w:szCs w:val="32"/>
          <w:lang w:val="en-US" w:eastAsia="zh-CN"/>
        </w:rPr>
        <w:t>2.63</w:t>
      </w:r>
      <w:r>
        <w:rPr>
          <w:rFonts w:hint="default" w:ascii="Times New Roman" w:hAnsi="Times New Roman" w:eastAsia="仿宋" w:cs="Times New Roman"/>
          <w:color w:val="auto"/>
          <w:sz w:val="32"/>
          <w:szCs w:val="32"/>
        </w:rPr>
        <w:t>万元，主要用于</w:t>
      </w:r>
      <w:r>
        <w:rPr>
          <w:rFonts w:hint="eastAsia" w:ascii="Times New Roman" w:hAnsi="Times New Roman" w:eastAsia="仿宋" w:cs="Times New Roman"/>
          <w:color w:val="auto"/>
          <w:sz w:val="32"/>
          <w:szCs w:val="32"/>
          <w:lang w:eastAsia="zh-CN"/>
        </w:rPr>
        <w:t>接待上级来访、</w:t>
      </w:r>
      <w:r>
        <w:rPr>
          <w:rFonts w:hint="eastAsia" w:ascii="仿宋_GB2312" w:hAnsi="Times New Roman" w:eastAsia="仿宋_GB2312" w:cs="Times New Roman"/>
          <w:color w:val="auto"/>
          <w:kern w:val="2"/>
          <w:sz w:val="32"/>
          <w:szCs w:val="32"/>
          <w:lang w:val="en-US" w:eastAsia="zh-CN" w:bidi="ar"/>
        </w:rPr>
        <w:t>教育教学活动</w:t>
      </w:r>
      <w:r>
        <w:rPr>
          <w:rFonts w:hint="eastAsia" w:ascii="仿宋_GB2312" w:eastAsia="仿宋_GB2312" w:cs="Times New Roman"/>
          <w:color w:val="auto"/>
          <w:kern w:val="2"/>
          <w:sz w:val="32"/>
          <w:szCs w:val="32"/>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rPr>
        <w:t>。国内公务接待</w:t>
      </w:r>
      <w:r>
        <w:rPr>
          <w:rFonts w:hint="eastAsia" w:eastAsia="仿宋" w:cs="Times New Roman"/>
          <w:color w:val="auto"/>
          <w:sz w:val="32"/>
          <w:szCs w:val="32"/>
          <w:highlight w:val="none"/>
          <w:lang w:val="en-US" w:eastAsia="zh-CN"/>
        </w:rPr>
        <w:t>54</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491</w:t>
      </w:r>
      <w:r>
        <w:rPr>
          <w:rFonts w:hint="default" w:ascii="Times New Roman" w:hAnsi="Times New Roman" w:eastAsia="仿宋" w:cs="Times New Roman"/>
          <w:color w:val="auto"/>
          <w:sz w:val="32"/>
          <w:szCs w:val="32"/>
          <w:highlight w:val="none"/>
        </w:rPr>
        <w:t>人</w:t>
      </w:r>
      <w:r>
        <w:rPr>
          <w:rFonts w:hint="default" w:ascii="Times New Roman" w:hAnsi="Times New Roman" w:eastAsia="仿宋" w:cs="Times New Roman"/>
          <w:color w:val="auto"/>
          <w:sz w:val="32"/>
          <w:szCs w:val="32"/>
        </w:rPr>
        <w:t>次（不包括陪同人员），共计支出</w:t>
      </w:r>
      <w:r>
        <w:rPr>
          <w:rFonts w:hint="eastAsia" w:eastAsia="仿宋" w:cs="Times New Roman"/>
          <w:color w:val="auto"/>
          <w:sz w:val="32"/>
          <w:szCs w:val="32"/>
          <w:lang w:val="en-US" w:eastAsia="zh-CN"/>
        </w:rPr>
        <w:t>2.63</w:t>
      </w:r>
      <w:r>
        <w:rPr>
          <w:rFonts w:hint="default" w:ascii="Times New Roman" w:hAnsi="Times New Roman" w:eastAsia="仿宋" w:cs="Times New Roman"/>
          <w:color w:val="auto"/>
          <w:sz w:val="32"/>
          <w:szCs w:val="32"/>
        </w:rPr>
        <w:t>万元</w:t>
      </w:r>
      <w:r>
        <w:rPr>
          <w:rFonts w:hint="eastAsia" w:eastAsia="仿宋" w:cs="Times New Roman"/>
          <w:color w:val="auto"/>
          <w:sz w:val="32"/>
          <w:szCs w:val="32"/>
          <w:lang w:eastAsia="zh-CN"/>
        </w:rPr>
        <w:t>，具体内容包括</w:t>
      </w:r>
      <w:r>
        <w:rPr>
          <w:rFonts w:hint="eastAsia" w:ascii="Times New Roman" w:hAnsi="Times New Roman" w:eastAsia="仿宋" w:cs="Times New Roman"/>
          <w:color w:val="auto"/>
          <w:sz w:val="32"/>
          <w:szCs w:val="32"/>
          <w:lang w:eastAsia="zh-CN"/>
        </w:rPr>
        <w:t>接待上级来访</w:t>
      </w:r>
      <w:r>
        <w:rPr>
          <w:rFonts w:hint="eastAsia" w:eastAsia="仿宋" w:cs="Times New Roman"/>
          <w:color w:val="auto"/>
          <w:sz w:val="32"/>
          <w:szCs w:val="32"/>
          <w:lang w:val="en-US" w:eastAsia="zh-CN"/>
        </w:rPr>
        <w:t>0.5万元</w:t>
      </w:r>
      <w:r>
        <w:rPr>
          <w:rFonts w:hint="eastAsia" w:ascii="Times New Roman" w:hAnsi="Times New Roman" w:eastAsia="仿宋" w:cs="Times New Roman"/>
          <w:color w:val="auto"/>
          <w:sz w:val="32"/>
          <w:szCs w:val="32"/>
          <w:lang w:eastAsia="zh-CN"/>
        </w:rPr>
        <w:t>、</w:t>
      </w:r>
      <w:r>
        <w:rPr>
          <w:rFonts w:hint="eastAsia" w:ascii="仿宋_GB2312" w:hAnsi="Times New Roman" w:eastAsia="仿宋_GB2312" w:cs="Times New Roman"/>
          <w:color w:val="auto"/>
          <w:kern w:val="2"/>
          <w:sz w:val="32"/>
          <w:szCs w:val="32"/>
          <w:lang w:val="en-US" w:eastAsia="zh-CN" w:bidi="ar"/>
        </w:rPr>
        <w:t>教育教学活动</w:t>
      </w:r>
      <w:r>
        <w:rPr>
          <w:rFonts w:hint="eastAsia" w:ascii="仿宋_GB2312" w:eastAsia="仿宋_GB2312" w:cs="Times New Roman"/>
          <w:color w:val="auto"/>
          <w:kern w:val="2"/>
          <w:sz w:val="32"/>
          <w:szCs w:val="32"/>
          <w:lang w:val="en-US" w:eastAsia="zh-CN" w:bidi="ar"/>
        </w:rPr>
        <w:t>交流0.95万元、</w:t>
      </w:r>
      <w:r>
        <w:rPr>
          <w:rFonts w:hint="eastAsia" w:ascii="仿宋_GB2312" w:eastAsia="仿宋_GB2312"/>
          <w:color w:val="auto"/>
          <w:sz w:val="32"/>
          <w:szCs w:val="32"/>
          <w:highlight w:val="none"/>
          <w:lang w:val="en-US" w:eastAsia="zh-CN"/>
        </w:rPr>
        <w:t>学生活动费及运动会学生用餐、交通费、体检费等1.18万元。</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rPr>
        <w:t>外事接待支出</w:t>
      </w:r>
      <w:r>
        <w:rPr>
          <w:rFonts w:hint="eastAsia" w:ascii="仿宋_GB2312" w:hAnsi="Times New Roman" w:eastAsia="仿宋_GB2312" w:cs="仿宋_GB2312"/>
          <w:color w:val="auto"/>
          <w:kern w:val="2"/>
          <w:sz w:val="32"/>
          <w:szCs w:val="32"/>
          <w:lang w:val="en-US" w:eastAsia="zh-CN" w:bidi="ar"/>
        </w:rPr>
        <w:t>决算与2020年持平</w:t>
      </w:r>
      <w:r>
        <w:rPr>
          <w:rFonts w:hint="eastAsia" w:ascii="Times New Roman" w:hAnsi="Times New Roman" w:eastAsia="仿宋" w:cs="Times New Roman"/>
          <w:color w:val="auto"/>
          <w:sz w:val="32"/>
          <w:szCs w:val="32"/>
        </w:rPr>
        <w:t>。</w:t>
      </w:r>
    </w:p>
    <w:p>
      <w:pPr>
        <w:spacing w:line="600" w:lineRule="exact"/>
        <w:outlineLvl w:val="1"/>
        <w:rPr>
          <w:rFonts w:ascii="黑体" w:eastAsia="黑体"/>
          <w:color w:val="auto"/>
          <w:sz w:val="32"/>
          <w:szCs w:val="32"/>
        </w:rPr>
      </w:pPr>
      <w:bookmarkStart w:id="40" w:name="_Toc15377218"/>
      <w:bookmarkStart w:id="41" w:name="_Toc15396610"/>
    </w:p>
    <w:p>
      <w:pPr>
        <w:spacing w:line="600" w:lineRule="exact"/>
        <w:ind w:firstLine="640"/>
        <w:outlineLvl w:val="1"/>
        <w:rPr>
          <w:rStyle w:val="30"/>
          <w:rFonts w:ascii="黑体" w:hAnsi="黑体" w:eastAsia="黑体"/>
          <w:color w:val="auto"/>
        </w:rPr>
      </w:pPr>
      <w:r>
        <w:rPr>
          <w:rFonts w:hint="eastAsia" w:ascii="黑体" w:eastAsia="黑体"/>
          <w:color w:val="auto"/>
          <w:sz w:val="32"/>
          <w:szCs w:val="32"/>
        </w:rPr>
        <w:t>八、</w:t>
      </w:r>
      <w:r>
        <w:rPr>
          <w:rStyle w:val="30"/>
          <w:rFonts w:hint="eastAsia" w:ascii="黑体" w:hAnsi="黑体" w:eastAsia="黑体"/>
          <w:b w:val="0"/>
          <w:color w:val="auto"/>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rPr>
        <w:t>20</w:t>
      </w:r>
      <w:r>
        <w:rPr>
          <w:rFonts w:hint="eastAsia" w:ascii="仿宋_GB2312" w:eastAsia="仿宋_GB2312"/>
          <w:color w:val="auto"/>
          <w:sz w:val="32"/>
          <w:szCs w:val="32"/>
        </w:rPr>
        <w:t>21年政府性基金预算财政拨款支出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万元。202</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年本单位未在政府性基金预算拨款安排“三公”经费支出</w:t>
      </w:r>
      <w:r>
        <w:rPr>
          <w:rFonts w:hint="eastAsia" w:ascii="仿宋_GB2312" w:eastAsia="仿宋_GB2312"/>
          <w:color w:val="auto"/>
          <w:sz w:val="32"/>
          <w:szCs w:val="32"/>
          <w:highlight w:val="none"/>
        </w:rPr>
        <w:t>。</w:t>
      </w:r>
    </w:p>
    <w:p>
      <w:pPr>
        <w:pStyle w:val="16"/>
        <w:rPr>
          <w:color w:val="auto"/>
        </w:rPr>
      </w:pPr>
    </w:p>
    <w:p>
      <w:pPr>
        <w:numPr>
          <w:ilvl w:val="0"/>
          <w:numId w:val="3"/>
        </w:numPr>
        <w:spacing w:line="600" w:lineRule="exact"/>
        <w:ind w:firstLine="640"/>
        <w:outlineLvl w:val="1"/>
        <w:rPr>
          <w:rStyle w:val="30"/>
          <w:rFonts w:ascii="黑体" w:hAnsi="黑体" w:eastAsia="黑体"/>
          <w:b w:val="0"/>
          <w:color w:val="auto"/>
        </w:rPr>
      </w:pPr>
      <w:bookmarkStart w:id="42" w:name="_Toc15377219"/>
      <w:bookmarkStart w:id="43" w:name="_Toc15396611"/>
      <w:r>
        <w:rPr>
          <w:rStyle w:val="30"/>
          <w:rFonts w:hint="eastAsia" w:ascii="黑体" w:hAnsi="黑体" w:eastAsia="黑体"/>
          <w:b w:val="0"/>
          <w:color w:val="auto"/>
        </w:rPr>
        <w:t>国有资本经营预算支出决算情况说明</w:t>
      </w:r>
      <w:bookmarkEnd w:id="42"/>
      <w:bookmarkEnd w:id="43"/>
    </w:p>
    <w:p>
      <w:pPr>
        <w:spacing w:line="600" w:lineRule="exact"/>
        <w:ind w:firstLine="64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rPr>
      </w:pPr>
    </w:p>
    <w:p>
      <w:pPr>
        <w:numPr>
          <w:ilvl w:val="0"/>
          <w:numId w:val="3"/>
        </w:numPr>
        <w:spacing w:line="600" w:lineRule="exact"/>
        <w:ind w:firstLine="640"/>
        <w:outlineLvl w:val="1"/>
        <w:rPr>
          <w:rStyle w:val="30"/>
          <w:rFonts w:ascii="黑体" w:hAnsi="黑体" w:eastAsia="黑体"/>
          <w:b w:val="0"/>
          <w:color w:val="auto"/>
        </w:rPr>
      </w:pPr>
      <w:bookmarkStart w:id="44" w:name="_Toc15396612"/>
      <w:bookmarkStart w:id="45" w:name="_Toc15377221"/>
      <w:r>
        <w:rPr>
          <w:rStyle w:val="30"/>
          <w:rFonts w:hint="eastAsia" w:ascii="黑体" w:hAnsi="黑体" w:eastAsia="黑体"/>
          <w:b w:val="0"/>
          <w:color w:val="auto"/>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对追加预算校舍</w:t>
      </w:r>
      <w:r>
        <w:rPr>
          <w:rFonts w:hint="eastAsia" w:ascii="仿宋_GB2312" w:hAnsi="仿宋_GB2312" w:eastAsia="仿宋_GB2312" w:cs="仿宋_GB2312"/>
          <w:color w:val="auto"/>
          <w:sz w:val="32"/>
          <w:szCs w:val="32"/>
          <w:highlight w:val="none"/>
          <w:lang w:val="en-US" w:eastAsia="zh-CN"/>
        </w:rPr>
        <w:t>安全保障</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rPr>
      </w:pPr>
    </w:p>
    <w:p>
      <w:pPr>
        <w:numPr>
          <w:ilvl w:val="0"/>
          <w:numId w:val="3"/>
        </w:numPr>
        <w:spacing w:line="600" w:lineRule="exact"/>
        <w:ind w:firstLine="640"/>
        <w:outlineLvl w:val="1"/>
        <w:rPr>
          <w:rStyle w:val="30"/>
          <w:rFonts w:ascii="黑体" w:hAnsi="黑体" w:eastAsia="黑体"/>
          <w:b w:val="0"/>
          <w:color w:val="auto"/>
        </w:rPr>
      </w:pPr>
      <w:r>
        <w:rPr>
          <w:rStyle w:val="30"/>
          <w:rFonts w:hint="eastAsia" w:ascii="黑体" w:hAnsi="黑体" w:eastAsia="黑体"/>
          <w:b w:val="0"/>
          <w:color w:val="auto"/>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rPr>
      </w:pPr>
      <w:bookmarkStart w:id="46" w:name="_Toc15377222"/>
      <w:r>
        <w:rPr>
          <w:rFonts w:hint="eastAsia" w:ascii="仿宋" w:hAnsi="仿宋" w:eastAsia="仿宋"/>
          <w:b/>
          <w:color w:val="auto"/>
          <w:sz w:val="32"/>
          <w:szCs w:val="32"/>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lang w:val="en-US"/>
        </w:rPr>
      </w:pPr>
      <w:bookmarkStart w:id="47" w:name="_Toc15377223"/>
      <w:r>
        <w:rPr>
          <w:rFonts w:hint="eastAsia" w:ascii="仿宋_GB2312" w:hAnsi="Times New Roman" w:eastAsia="仿宋_GB2312" w:cs="仿宋_GB2312"/>
          <w:color w:val="auto"/>
          <w:kern w:val="2"/>
          <w:sz w:val="32"/>
          <w:szCs w:val="32"/>
          <w:lang w:val="en-US" w:eastAsia="zh-CN" w:bidi="ar"/>
        </w:rPr>
        <w:t>202</w:t>
      </w:r>
      <w:r>
        <w:rPr>
          <w:rFonts w:hint="eastAsia" w:ascii="仿宋_GB2312" w:eastAsia="仿宋_GB2312" w:cs="仿宋_GB2312"/>
          <w:color w:val="auto"/>
          <w:kern w:val="2"/>
          <w:sz w:val="32"/>
          <w:szCs w:val="32"/>
          <w:lang w:val="en-US" w:eastAsia="zh-CN" w:bidi="ar"/>
        </w:rPr>
        <w:t>1</w:t>
      </w:r>
      <w:r>
        <w:rPr>
          <w:rFonts w:hint="eastAsia" w:ascii="仿宋_GB2312" w:hAnsi="Times New Roman" w:eastAsia="仿宋_GB2312" w:cs="仿宋_GB2312"/>
          <w:color w:val="auto"/>
          <w:kern w:val="2"/>
          <w:sz w:val="32"/>
          <w:szCs w:val="32"/>
          <w:lang w:val="en-US" w:eastAsia="zh-CN" w:bidi="ar"/>
        </w:rPr>
        <w:t>年，我部门</w:t>
      </w:r>
      <w:r>
        <w:rPr>
          <w:rFonts w:hint="eastAsia" w:ascii="仿宋_GB2312" w:eastAsia="仿宋_GB2312" w:cs="仿宋_GB2312"/>
          <w:color w:val="auto"/>
          <w:kern w:val="2"/>
          <w:sz w:val="32"/>
          <w:szCs w:val="32"/>
          <w:lang w:val="en-US" w:eastAsia="zh-CN" w:bidi="ar"/>
        </w:rPr>
        <w:t>机关</w:t>
      </w:r>
      <w:r>
        <w:rPr>
          <w:rFonts w:hint="eastAsia" w:ascii="仿宋_GB2312" w:hAnsi="Times New Roman" w:eastAsia="仿宋_GB2312" w:cs="仿宋_GB2312"/>
          <w:color w:val="auto"/>
          <w:kern w:val="2"/>
          <w:sz w:val="32"/>
          <w:szCs w:val="32"/>
          <w:lang w:val="en-US" w:eastAsia="zh-CN" w:bidi="ar"/>
        </w:rPr>
        <w:t>运行经费支出0元，</w:t>
      </w:r>
      <w:r>
        <w:rPr>
          <w:rFonts w:hint="eastAsia" w:ascii="仿宋_GB2312" w:eastAsia="仿宋_GB2312" w:cs="仿宋_GB2312"/>
          <w:color w:val="auto"/>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lang w:val="en-US" w:eastAsia="zh-CN" w:bidi="ar"/>
        </w:rPr>
        <w:t>。主要原因是本单位为事业单位，</w:t>
      </w:r>
      <w:r>
        <w:rPr>
          <w:rFonts w:hint="eastAsia" w:ascii="仿宋_GB2312" w:eastAsia="仿宋_GB2312" w:cs="仿宋_GB2312"/>
          <w:color w:val="auto"/>
          <w:kern w:val="2"/>
          <w:sz w:val="32"/>
          <w:szCs w:val="32"/>
          <w:lang w:val="en-US" w:eastAsia="zh-CN" w:bidi="ar"/>
        </w:rPr>
        <w:t>未发生</w:t>
      </w:r>
      <w:r>
        <w:rPr>
          <w:rFonts w:hint="eastAsia" w:ascii="仿宋_GB2312" w:hAnsi="Times New Roman" w:eastAsia="仿宋_GB2312" w:cs="仿宋_GB2312"/>
          <w:color w:val="auto"/>
          <w:kern w:val="2"/>
          <w:sz w:val="32"/>
          <w:szCs w:val="32"/>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rPr>
      </w:pPr>
      <w:r>
        <w:rPr>
          <w:rFonts w:hint="eastAsia" w:ascii="仿宋" w:hAnsi="仿宋" w:eastAsia="仿宋"/>
          <w:b/>
          <w:color w:val="auto"/>
          <w:sz w:val="32"/>
          <w:szCs w:val="32"/>
        </w:rPr>
        <w:t>（二）政府采购支出情况</w:t>
      </w:r>
      <w:bookmarkEnd w:id="47"/>
    </w:p>
    <w:p>
      <w:pPr>
        <w:spacing w:line="600" w:lineRule="exact"/>
        <w:ind w:firstLine="640" w:firstLineChars="200"/>
        <w:rPr>
          <w:rFonts w:hint="default" w:ascii="仿宋_GB2312" w:eastAsia="仿宋_GB2312"/>
          <w:color w:val="auto"/>
          <w:sz w:val="32"/>
          <w:szCs w:val="32"/>
          <w:highlight w:val="yellow"/>
          <w:lang w:val="en-US" w:eastAsia="zh-CN"/>
        </w:rPr>
      </w:pPr>
      <w:r>
        <w:rPr>
          <w:rFonts w:ascii="仿宋_GB2312" w:eastAsia="仿宋_GB2312"/>
          <w:color w:val="auto"/>
          <w:sz w:val="32"/>
          <w:szCs w:val="32"/>
        </w:rPr>
        <w:t>20</w:t>
      </w:r>
      <w:r>
        <w:rPr>
          <w:rFonts w:hint="eastAsia" w:ascii="仿宋_GB2312" w:eastAsia="仿宋_GB2312"/>
          <w:color w:val="auto"/>
          <w:sz w:val="32"/>
          <w:szCs w:val="32"/>
        </w:rPr>
        <w:t>21年，我单位政府采购支出</w:t>
      </w:r>
      <w:r>
        <w:rPr>
          <w:rFonts w:hint="eastAsia" w:ascii="仿宋_GB2312" w:eastAsia="仿宋_GB2312"/>
          <w:color w:val="auto"/>
          <w:sz w:val="32"/>
          <w:szCs w:val="32"/>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48" w:name="_Toc15377224"/>
      <w:r>
        <w:rPr>
          <w:rFonts w:hint="eastAsia" w:ascii="仿宋" w:hAnsi="仿宋" w:eastAsia="仿宋"/>
          <w:b/>
          <w:color w:val="auto"/>
          <w:sz w:val="32"/>
          <w:szCs w:val="32"/>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yellow"/>
        </w:rPr>
      </w:pPr>
    </w:p>
    <w:p>
      <w:pPr>
        <w:widowControl/>
        <w:jc w:val="left"/>
        <w:rPr>
          <w:rFonts w:ascii="仿宋_GB2312" w:eastAsia="仿宋_GB2312"/>
          <w:b/>
          <w:color w:val="auto"/>
          <w:sz w:val="32"/>
          <w:szCs w:val="32"/>
        </w:rPr>
      </w:pPr>
      <w:r>
        <w:rPr>
          <w:rFonts w:ascii="仿宋_GB2312" w:eastAsia="仿宋_GB2312"/>
          <w:b/>
          <w:color w:val="auto"/>
          <w:sz w:val="32"/>
          <w:szCs w:val="32"/>
        </w:rPr>
        <w:br w:type="page"/>
      </w:r>
    </w:p>
    <w:p>
      <w:pPr>
        <w:numPr>
          <w:ilvl w:val="0"/>
          <w:numId w:val="4"/>
        </w:numPr>
        <w:spacing w:line="600" w:lineRule="exact"/>
        <w:ind w:firstLine="660" w:firstLineChars="150"/>
        <w:jc w:val="center"/>
        <w:outlineLvl w:val="0"/>
        <w:rPr>
          <w:rStyle w:val="29"/>
          <w:rFonts w:ascii="黑体" w:hAnsi="黑体" w:eastAsia="黑体"/>
          <w:b w:val="0"/>
          <w:color w:val="auto"/>
        </w:rPr>
      </w:pPr>
      <w:bookmarkStart w:id="49" w:name="_Toc15377225"/>
      <w:bookmarkStart w:id="50" w:name="_Toc15396613"/>
      <w:r>
        <w:rPr>
          <w:rFonts w:hint="eastAsia" w:ascii="黑体" w:hAnsi="黑体" w:eastAsia="黑体"/>
          <w:color w:val="auto"/>
          <w:sz w:val="44"/>
          <w:szCs w:val="44"/>
        </w:rPr>
        <w:t>名</w:t>
      </w:r>
      <w:r>
        <w:rPr>
          <w:rStyle w:val="29"/>
          <w:rFonts w:hint="eastAsia" w:ascii="黑体" w:hAnsi="黑体" w:eastAsia="黑体"/>
          <w:b w:val="0"/>
          <w:color w:val="auto"/>
        </w:rPr>
        <w:t>词解释</w:t>
      </w:r>
      <w:bookmarkEnd w:id="49"/>
      <w:bookmarkEnd w:id="50"/>
    </w:p>
    <w:p>
      <w:pPr>
        <w:spacing w:line="600" w:lineRule="exact"/>
        <w:jc w:val="left"/>
        <w:rPr>
          <w:rFonts w:ascii="宋体"/>
          <w:b/>
          <w:color w:val="auto"/>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6</w:t>
      </w:r>
      <w:r>
        <w:rPr>
          <w:rFonts w:ascii="仿宋_GB2312" w:eastAsia="仿宋_GB2312"/>
          <w:color w:val="auto"/>
          <w:sz w:val="32"/>
          <w:szCs w:val="32"/>
        </w:rPr>
        <w:t>.</w:t>
      </w:r>
      <w:r>
        <w:rPr>
          <w:rFonts w:hint="eastAsia" w:ascii="仿宋_GB2312" w:eastAsia="仿宋_GB2312"/>
          <w:color w:val="auto"/>
          <w:sz w:val="32"/>
          <w:szCs w:val="32"/>
        </w:rPr>
        <w:t>教育（类）普通教育（款）小学教育（项）：指小学教育</w:t>
      </w:r>
      <w:r>
        <w:rPr>
          <w:rFonts w:hint="eastAsia" w:ascii="仿宋_GB2312" w:eastAsia="仿宋_GB2312"/>
          <w:color w:val="auto"/>
          <w:sz w:val="32"/>
          <w:szCs w:val="32"/>
          <w:lang w:eastAsia="zh-CN"/>
        </w:rPr>
        <w:t>支出</w:t>
      </w:r>
      <w:r>
        <w:rPr>
          <w:rFonts w:hint="eastAsia" w:ascii="仿宋_GB2312" w:eastAsia="仿宋_GB2312"/>
          <w:color w:val="auto"/>
          <w:sz w:val="32"/>
          <w:szCs w:val="32"/>
        </w:rPr>
        <w:t>。</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7.教育（类）普通教育（款）其他</w:t>
      </w:r>
      <w:r>
        <w:rPr>
          <w:rFonts w:hint="eastAsia" w:ascii="仿宋_GB2312" w:eastAsia="仿宋_GB2312"/>
          <w:color w:val="auto"/>
          <w:sz w:val="32"/>
          <w:szCs w:val="32"/>
          <w:lang w:val="en-US" w:eastAsia="zh-CN"/>
        </w:rPr>
        <w:t>普通</w:t>
      </w:r>
      <w:r>
        <w:rPr>
          <w:rFonts w:hint="eastAsia" w:ascii="仿宋_GB2312" w:eastAsia="仿宋_GB2312"/>
          <w:color w:val="auto"/>
          <w:sz w:val="32"/>
          <w:szCs w:val="32"/>
        </w:rPr>
        <w:t>教育（项）：</w:t>
      </w:r>
      <w:r>
        <w:rPr>
          <w:rFonts w:hint="eastAsia" w:ascii="仿宋_GB2312" w:eastAsia="仿宋_GB2312"/>
          <w:color w:val="auto"/>
          <w:sz w:val="32"/>
          <w:szCs w:val="32"/>
          <w:lang w:val="en-US" w:eastAsia="zh-CN"/>
        </w:rPr>
        <w:t>指</w:t>
      </w:r>
      <w:r>
        <w:rPr>
          <w:rFonts w:hint="eastAsia" w:ascii="仿宋_GB2312" w:eastAsia="仿宋_GB2312"/>
          <w:color w:val="auto"/>
          <w:sz w:val="32"/>
          <w:szCs w:val="32"/>
        </w:rPr>
        <w:t>其他</w:t>
      </w:r>
      <w:r>
        <w:rPr>
          <w:rFonts w:hint="eastAsia" w:ascii="仿宋_GB2312" w:eastAsia="仿宋_GB2312"/>
          <w:color w:val="auto"/>
          <w:sz w:val="32"/>
          <w:szCs w:val="32"/>
          <w:lang w:val="en-US" w:eastAsia="zh-CN"/>
        </w:rPr>
        <w:t>普通</w:t>
      </w:r>
      <w:r>
        <w:rPr>
          <w:rFonts w:hint="eastAsia" w:ascii="仿宋_GB2312" w:eastAsia="仿宋_GB2312"/>
          <w:color w:val="auto"/>
          <w:sz w:val="32"/>
          <w:szCs w:val="32"/>
        </w:rPr>
        <w:t>教育</w:t>
      </w:r>
      <w:r>
        <w:rPr>
          <w:rFonts w:hint="eastAsia" w:ascii="仿宋_GB2312" w:eastAsia="仿宋_GB2312"/>
          <w:color w:val="auto"/>
          <w:sz w:val="32"/>
          <w:szCs w:val="32"/>
          <w:lang w:val="en-US" w:eastAsia="zh-CN"/>
        </w:rPr>
        <w:t>支出</w:t>
      </w:r>
      <w:r>
        <w:rPr>
          <w:rFonts w:hint="eastAsia" w:ascii="仿宋_GB2312" w:eastAsia="仿宋_GB2312"/>
          <w:color w:val="auto"/>
          <w:sz w:val="32"/>
          <w:szCs w:val="32"/>
        </w:rPr>
        <w:t>。</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lang w:val="en-US" w:eastAsia="zh-CN"/>
        </w:rPr>
      </w:pPr>
      <w:r>
        <w:rPr>
          <w:rFonts w:hint="eastAsia" w:ascii="仿宋_GB2312" w:hAnsi="Calibri" w:eastAsia="仿宋_GB2312" w:cs="仿宋"/>
          <w:color w:val="auto"/>
          <w:kern w:val="0"/>
          <w:sz w:val="32"/>
          <w:szCs w:val="32"/>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rPr>
      </w:pPr>
      <w:r>
        <w:rPr>
          <w:rFonts w:hint="eastAsia" w:hAnsi="Calibri" w:cs="仿宋"/>
          <w:color w:val="auto"/>
          <w:kern w:val="0"/>
          <w:sz w:val="32"/>
          <w:szCs w:val="32"/>
          <w:lang w:val="en-US" w:eastAsia="zh-CN"/>
        </w:rPr>
        <w:t>10.</w:t>
      </w:r>
      <w:r>
        <w:rPr>
          <w:rFonts w:hint="eastAsia" w:ascii="仿宋_GB2312" w:hAnsi="Calibri" w:eastAsia="仿宋_GB2312" w:cs="仿宋"/>
          <w:color w:val="auto"/>
          <w:kern w:val="0"/>
          <w:sz w:val="32"/>
          <w:szCs w:val="32"/>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rPr>
      </w:pPr>
      <w:r>
        <w:rPr>
          <w:rFonts w:hint="eastAsia" w:hAnsi="Calibri" w:cs="仿宋"/>
          <w:color w:val="auto"/>
          <w:kern w:val="0"/>
          <w:sz w:val="32"/>
          <w:szCs w:val="32"/>
          <w:lang w:val="en-US" w:eastAsia="zh-CN"/>
        </w:rPr>
        <w:t>11.</w:t>
      </w:r>
      <w:r>
        <w:rPr>
          <w:rFonts w:hint="eastAsia" w:ascii="仿宋_GB2312" w:hAnsi="Calibri" w:eastAsia="仿宋_GB2312" w:cs="仿宋"/>
          <w:color w:val="auto"/>
          <w:kern w:val="0"/>
          <w:sz w:val="32"/>
          <w:szCs w:val="32"/>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12</w:t>
      </w:r>
      <w:r>
        <w:rPr>
          <w:rFonts w:ascii="仿宋_GB2312" w:eastAsia="仿宋_GB2312"/>
          <w:color w:val="auto"/>
          <w:sz w:val="32"/>
          <w:szCs w:val="32"/>
        </w:rPr>
        <w:t>.</w:t>
      </w:r>
      <w:r>
        <w:rPr>
          <w:rFonts w:hint="eastAsia" w:ascii="仿宋_GB2312" w:eastAsia="仿宋_GB2312"/>
          <w:color w:val="auto"/>
          <w:sz w:val="32"/>
          <w:szCs w:val="32"/>
        </w:rPr>
        <w:t>基本支出：指为保障机构正常运转、完成日常工作任务而发生的人员支出和公用支出。</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项目支出：指在基本支出之外为完成特定行政任务和事业发展目标所发生的支出。</w:t>
      </w:r>
      <w:r>
        <w:rPr>
          <w:rFonts w:ascii="仿宋_GB2312" w:eastAsia="仿宋_GB2312"/>
          <w:color w:val="auto"/>
          <w:sz w:val="32"/>
          <w:szCs w:val="32"/>
        </w:rPr>
        <w:t xml:space="preserve"> </w:t>
      </w:r>
    </w:p>
    <w:p>
      <w:pPr>
        <w:pStyle w:val="27"/>
        <w:spacing w:line="56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hint="eastAsia" w:ascii="黑体" w:hAnsi="黑体" w:eastAsia="黑体"/>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9"/>
          <w:rFonts w:hint="eastAsia" w:ascii="黑体" w:hAnsi="黑体" w:eastAsia="黑体"/>
          <w:b w:val="0"/>
          <w:color w:val="auto"/>
        </w:rPr>
        <w:t>四部分 附件</w:t>
      </w:r>
      <w:bookmarkEnd w:id="52"/>
      <w:bookmarkStart w:id="53" w:name="_Toc15396618"/>
    </w:p>
    <w:p>
      <w:pPr>
        <w:pStyle w:val="27"/>
        <w:spacing w:line="560" w:lineRule="exact"/>
        <w:ind w:firstLine="640" w:firstLineChars="200"/>
        <w:jc w:val="both"/>
        <w:rPr>
          <w:rFonts w:hint="eastAsia" w:ascii="仿宋_GB2312" w:hAnsi="仿宋_GB2312" w:eastAsia="黑体" w:cs="仿宋_GB2312"/>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lang w:eastAsia="zh-CN"/>
              </w:rPr>
            </w:pPr>
            <w:r>
              <w:rPr>
                <w:rFonts w:hint="eastAsia" w:ascii="宋体" w:hAnsi="宋体" w:cs="宋体"/>
                <w:b/>
                <w:color w:val="auto"/>
                <w:sz w:val="32"/>
                <w:szCs w:val="32"/>
              </w:rPr>
              <w:t>2021年部门预算项目绩效目标自评</w:t>
            </w:r>
            <w:r>
              <w:rPr>
                <w:rFonts w:hint="eastAsia" w:ascii="宋体" w:hAnsi="宋体" w:cs="宋体"/>
                <w:b/>
                <w:color w:val="auto"/>
                <w:sz w:val="32"/>
                <w:szCs w:val="32"/>
                <w:lang w:eastAsia="zh-CN"/>
              </w:rPr>
              <w:t>（校舍</w:t>
            </w:r>
            <w:r>
              <w:rPr>
                <w:rFonts w:hint="eastAsia" w:ascii="宋体" w:hAnsi="宋体" w:cs="宋体"/>
                <w:b/>
                <w:color w:val="auto"/>
                <w:sz w:val="32"/>
                <w:szCs w:val="32"/>
                <w:lang w:val="en-US" w:eastAsia="zh-CN"/>
              </w:rPr>
              <w:t>安全保障</w:t>
            </w:r>
            <w:r>
              <w:rPr>
                <w:rFonts w:hint="eastAsia" w:ascii="宋体" w:hAnsi="宋体" w:cs="宋体"/>
                <w:b/>
                <w:color w:val="auto"/>
                <w:sz w:val="32"/>
                <w:szCs w:val="32"/>
                <w:lang w:eastAsia="zh-CN"/>
              </w:rPr>
              <w:t>）</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360306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lang w:eastAsia="zh-CN"/>
              </w:rPr>
            </w:pPr>
            <w:r>
              <w:rPr>
                <w:rFonts w:hint="eastAsia" w:ascii="宋体" w:hAnsi="宋体" w:cs="宋体"/>
                <w:color w:val="auto"/>
                <w:sz w:val="24"/>
                <w:lang w:eastAsia="zh-CN"/>
              </w:rPr>
              <w:t>广元市昭化区昭化初级中学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480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480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rPr>
            </w:pPr>
            <w:r>
              <w:rPr>
                <w:rFonts w:hint="eastAsia" w:ascii="宋体" w:hAnsi="宋体" w:cs="宋体"/>
                <w:color w:val="auto"/>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sz w:val="24"/>
                <w:lang w:val="en-US" w:eastAsia="zh-CN"/>
              </w:rPr>
              <w:t>480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rPr>
            </w:pPr>
            <w:r>
              <w:rPr>
                <w:rFonts w:hint="eastAsia" w:ascii="宋体" w:hAnsi="宋体" w:cs="宋体"/>
                <w:color w:val="auto"/>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sz w:val="24"/>
                <w:lang w:val="en-US" w:eastAsia="zh-CN"/>
              </w:rPr>
              <w:t>480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lang w:val="en-US" w:eastAsia="zh-CN"/>
              </w:rPr>
            </w:pPr>
          </w:p>
        </w:tc>
      </w:tr>
      <w:tr>
        <w:tblPrEx>
          <w:tblCellMar>
            <w:top w:w="0" w:type="dxa"/>
            <w:left w:w="108" w:type="dxa"/>
            <w:bottom w:w="0" w:type="dxa"/>
            <w:right w:w="108" w:type="dxa"/>
          </w:tblCellMar>
        </w:tblPrEx>
        <w:trPr>
          <w:gridAfter w:val="1"/>
          <w:wAfter w:w="236" w:type="dxa"/>
          <w:trHeight w:val="41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lang w:eastAsia="zh-CN"/>
              </w:rPr>
            </w:pPr>
            <w:r>
              <w:rPr>
                <w:rFonts w:hint="default" w:ascii="宋体" w:hAnsi="宋体" w:cs="宋体"/>
                <w:color w:val="auto"/>
                <w:sz w:val="22"/>
                <w:szCs w:val="22"/>
              </w:rPr>
              <w:t>校舍</w:t>
            </w:r>
            <w:r>
              <w:rPr>
                <w:rFonts w:hint="eastAsia" w:ascii="宋体" w:hAnsi="宋体" w:cs="宋体"/>
                <w:color w:val="auto"/>
                <w:sz w:val="22"/>
                <w:szCs w:val="22"/>
                <w:lang w:eastAsia="zh-CN"/>
              </w:rPr>
              <w:t>安全维修面积</w:t>
            </w:r>
            <w:r>
              <w:rPr>
                <w:rFonts w:hint="eastAsia" w:ascii="宋体" w:hAnsi="宋体" w:cs="宋体"/>
                <w:color w:val="auto"/>
                <w:sz w:val="22"/>
                <w:szCs w:val="22"/>
                <w:lang w:val="en-US" w:eastAsia="zh-CN"/>
              </w:rPr>
              <w:t>5800</w:t>
            </w:r>
            <w:r>
              <w:rPr>
                <w:rFonts w:hint="default" w:ascii="宋体" w:hAnsi="宋体" w:cs="宋体"/>
                <w:color w:val="auto"/>
                <w:sz w:val="22"/>
                <w:szCs w:val="22"/>
              </w:rPr>
              <w:t>平方米，改善学校办学条件和基础设施配套，提供高质量硬件设施设备，营造良好的学习氛围</w:t>
            </w:r>
            <w:r>
              <w:rPr>
                <w:rFonts w:hint="eastAsia" w:ascii="宋体" w:hAnsi="宋体" w:cs="宋体"/>
                <w:color w:val="auto"/>
                <w:sz w:val="22"/>
                <w:szCs w:val="22"/>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lang w:eastAsia="zh-CN"/>
              </w:rPr>
            </w:pPr>
            <w:r>
              <w:rPr>
                <w:rFonts w:hint="eastAsia" w:ascii="宋体" w:hAnsi="宋体" w:eastAsia="宋体" w:cs="宋体"/>
                <w:color w:val="auto"/>
                <w:sz w:val="22"/>
                <w:szCs w:val="22"/>
                <w:lang w:eastAsia="zh-CN"/>
              </w:rPr>
              <w:t>完成</w:t>
            </w:r>
            <w:r>
              <w:rPr>
                <w:rFonts w:hint="eastAsia" w:ascii="宋体" w:hAnsi="宋体" w:cs="宋体"/>
                <w:color w:val="auto"/>
                <w:sz w:val="22"/>
                <w:szCs w:val="22"/>
                <w:lang w:val="en-US" w:eastAsia="zh-CN"/>
              </w:rPr>
              <w:t>6000</w:t>
            </w:r>
            <w:r>
              <w:rPr>
                <w:rFonts w:hint="default" w:ascii="宋体" w:hAnsi="宋体" w:cs="宋体"/>
                <w:color w:val="auto"/>
                <w:sz w:val="22"/>
                <w:szCs w:val="22"/>
              </w:rPr>
              <w:t>平方米</w:t>
            </w:r>
            <w:r>
              <w:rPr>
                <w:rFonts w:hint="eastAsia" w:ascii="宋体" w:hAnsi="宋体" w:cs="宋体"/>
                <w:color w:val="auto"/>
                <w:sz w:val="22"/>
                <w:szCs w:val="22"/>
                <w:lang w:eastAsia="zh-CN"/>
              </w:rPr>
              <w:t>的</w:t>
            </w:r>
            <w:r>
              <w:rPr>
                <w:rFonts w:hint="default" w:ascii="宋体" w:hAnsi="宋体" w:cs="宋体"/>
                <w:color w:val="auto"/>
                <w:sz w:val="22"/>
                <w:szCs w:val="22"/>
              </w:rPr>
              <w:t>校舍</w:t>
            </w:r>
            <w:r>
              <w:rPr>
                <w:rFonts w:hint="eastAsia" w:ascii="宋体" w:hAnsi="宋体" w:cs="宋体"/>
                <w:color w:val="auto"/>
                <w:sz w:val="22"/>
                <w:szCs w:val="22"/>
                <w:lang w:eastAsia="zh-CN"/>
              </w:rPr>
              <w:t>维修和设备购置，</w:t>
            </w:r>
            <w:r>
              <w:rPr>
                <w:rFonts w:hint="default" w:ascii="宋体" w:hAnsi="宋体" w:cs="宋体"/>
                <w:color w:val="auto"/>
                <w:sz w:val="22"/>
                <w:szCs w:val="22"/>
              </w:rPr>
              <w:t>改善</w:t>
            </w:r>
            <w:r>
              <w:rPr>
                <w:rFonts w:hint="eastAsia" w:ascii="宋体" w:hAnsi="宋体" w:cs="宋体"/>
                <w:color w:val="auto"/>
                <w:sz w:val="22"/>
                <w:szCs w:val="22"/>
                <w:lang w:eastAsia="zh-CN"/>
              </w:rPr>
              <w:t>了</w:t>
            </w:r>
            <w:r>
              <w:rPr>
                <w:rFonts w:hint="default" w:ascii="宋体" w:hAnsi="宋体" w:cs="宋体"/>
                <w:color w:val="auto"/>
                <w:sz w:val="22"/>
                <w:szCs w:val="22"/>
              </w:rPr>
              <w:t>学校办学条件和基础设施配套，提供</w:t>
            </w:r>
            <w:r>
              <w:rPr>
                <w:rFonts w:hint="eastAsia" w:ascii="宋体" w:hAnsi="宋体" w:cs="宋体"/>
                <w:color w:val="auto"/>
                <w:sz w:val="22"/>
                <w:szCs w:val="22"/>
                <w:lang w:eastAsia="zh-CN"/>
              </w:rPr>
              <w:t>了</w:t>
            </w:r>
            <w:r>
              <w:rPr>
                <w:rFonts w:hint="default" w:ascii="宋体" w:hAnsi="宋体" w:cs="宋体"/>
                <w:color w:val="auto"/>
                <w:sz w:val="22"/>
                <w:szCs w:val="22"/>
              </w:rPr>
              <w:t>高质量硬件设施设备，营造</w:t>
            </w:r>
            <w:r>
              <w:rPr>
                <w:rFonts w:hint="eastAsia" w:ascii="宋体" w:hAnsi="宋体" w:cs="宋体"/>
                <w:color w:val="auto"/>
                <w:sz w:val="22"/>
                <w:szCs w:val="22"/>
                <w:lang w:eastAsia="zh-CN"/>
              </w:rPr>
              <w:t>了</w:t>
            </w:r>
            <w:r>
              <w:rPr>
                <w:rFonts w:hint="default" w:ascii="宋体" w:hAnsi="宋体" w:cs="宋体"/>
                <w:color w:val="auto"/>
                <w:sz w:val="22"/>
                <w:szCs w:val="22"/>
              </w:rPr>
              <w:t>良好的学习氛围</w:t>
            </w:r>
            <w:r>
              <w:rPr>
                <w:rFonts w:hint="eastAsia" w:ascii="宋体" w:hAnsi="宋体" w:cs="宋体"/>
                <w:color w:val="auto"/>
                <w:sz w:val="22"/>
                <w:szCs w:val="22"/>
                <w:lang w:eastAsia="zh-CN"/>
              </w:rPr>
              <w:t>。</w:t>
            </w:r>
            <w:r>
              <w:rPr>
                <w:rFonts w:hint="eastAsia" w:ascii="宋体" w:hAnsi="宋体" w:eastAsia="宋体" w:cs="宋体"/>
                <w:color w:val="auto"/>
                <w:sz w:val="22"/>
                <w:szCs w:val="22"/>
                <w:highlight w:val="none"/>
                <w:lang w:eastAsia="zh-CN"/>
              </w:rPr>
              <w:t>惠及</w:t>
            </w:r>
            <w:r>
              <w:rPr>
                <w:rFonts w:hint="eastAsia" w:ascii="宋体" w:hAnsi="宋体" w:cs="宋体"/>
                <w:color w:val="auto"/>
                <w:sz w:val="22"/>
                <w:szCs w:val="22"/>
                <w:highlight w:val="none"/>
                <w:lang w:val="en-US" w:eastAsia="zh-CN"/>
              </w:rPr>
              <w:t>274</w:t>
            </w:r>
            <w:r>
              <w:rPr>
                <w:rFonts w:hint="eastAsia" w:ascii="宋体" w:hAnsi="宋体" w:eastAsia="宋体" w:cs="宋体"/>
                <w:color w:val="auto"/>
                <w:sz w:val="22"/>
                <w:szCs w:val="22"/>
                <w:highlight w:val="none"/>
                <w:lang w:eastAsia="zh-CN"/>
              </w:rPr>
              <w:t>名学生。</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实际完成指标值</w:t>
            </w:r>
          </w:p>
        </w:tc>
      </w:tr>
      <w:tr>
        <w:tblPrEx>
          <w:tblCellMar>
            <w:top w:w="0" w:type="dxa"/>
            <w:left w:w="108" w:type="dxa"/>
            <w:bottom w:w="0" w:type="dxa"/>
            <w:right w:w="108" w:type="dxa"/>
          </w:tblCellMar>
        </w:tblPrEx>
        <w:trPr>
          <w:gridAfter w:val="1"/>
          <w:wAfter w:w="236" w:type="dxa"/>
          <w:trHeight w:val="49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6000m²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6000m²</w:t>
            </w:r>
          </w:p>
        </w:tc>
      </w:tr>
      <w:tr>
        <w:tblPrEx>
          <w:tblCellMar>
            <w:top w:w="0" w:type="dxa"/>
            <w:left w:w="108" w:type="dxa"/>
            <w:bottom w:w="0" w:type="dxa"/>
            <w:right w:w="108" w:type="dxa"/>
          </w:tblCellMar>
        </w:tblPrEx>
        <w:trPr>
          <w:gridAfter w:val="1"/>
          <w:wAfter w:w="236" w:type="dxa"/>
          <w:trHeight w:val="520"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校舍安全保障</w:t>
            </w:r>
            <w:r>
              <w:rPr>
                <w:rFonts w:hint="default" w:ascii="仿宋_GB2312" w:hAnsi="仿宋_GB2312" w:eastAsia="仿宋_GB2312" w:cs="仿宋_GB2312"/>
                <w:color w:val="auto"/>
                <w:sz w:val="20"/>
                <w:szCs w:val="20"/>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sz w:val="20"/>
                <w:szCs w:val="20"/>
                <w:lang w:val="en-US" w:eastAsia="zh-CN"/>
              </w:rPr>
              <w:t>100%</w:t>
            </w:r>
          </w:p>
        </w:tc>
      </w:tr>
      <w:tr>
        <w:tblPrEx>
          <w:tblCellMar>
            <w:top w:w="0" w:type="dxa"/>
            <w:left w:w="108" w:type="dxa"/>
            <w:bottom w:w="0" w:type="dxa"/>
            <w:right w:w="108" w:type="dxa"/>
          </w:tblCellMar>
        </w:tblPrEx>
        <w:trPr>
          <w:gridAfter w:val="1"/>
          <w:wAfter w:w="236" w:type="dxa"/>
          <w:trHeight w:val="36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w:t>
            </w:r>
            <w:r>
              <w:rPr>
                <w:rFonts w:hint="default" w:ascii="仿宋_GB2312" w:hAnsi="仿宋_GB2312" w:eastAsia="仿宋_GB2312" w:cs="仿宋_GB2312"/>
                <w:color w:val="auto"/>
                <w:sz w:val="20"/>
                <w:szCs w:val="20"/>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r>
      <w:tr>
        <w:tblPrEx>
          <w:tblCellMar>
            <w:top w:w="0" w:type="dxa"/>
            <w:left w:w="108" w:type="dxa"/>
            <w:bottom w:w="0" w:type="dxa"/>
            <w:right w:w="108" w:type="dxa"/>
          </w:tblCellMar>
        </w:tblPrEx>
        <w:trPr>
          <w:gridAfter w:val="1"/>
          <w:wAfter w:w="236" w:type="dxa"/>
          <w:trHeight w:val="3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r>
      <w:tr>
        <w:tblPrEx>
          <w:tblCellMar>
            <w:top w:w="0" w:type="dxa"/>
            <w:left w:w="108" w:type="dxa"/>
            <w:bottom w:w="0" w:type="dxa"/>
            <w:right w:w="108" w:type="dxa"/>
          </w:tblCellMar>
        </w:tblPrEx>
        <w:trPr>
          <w:gridAfter w:val="1"/>
          <w:wAfter w:w="236" w:type="dxa"/>
          <w:trHeight w:val="30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w:t>
            </w:r>
            <w:r>
              <w:rPr>
                <w:rFonts w:hint="default" w:ascii="仿宋_GB2312" w:hAnsi="仿宋_GB2312" w:eastAsia="仿宋_GB2312" w:cs="仿宋_GB2312"/>
                <w:color w:val="auto"/>
                <w:sz w:val="20"/>
                <w:szCs w:val="20"/>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lang w:val="en-US"/>
              </w:rPr>
            </w:pPr>
            <w:r>
              <w:rPr>
                <w:rFonts w:hint="eastAsia" w:ascii="仿宋_GB2312" w:hAnsi="仿宋_GB2312" w:eastAsia="仿宋_GB2312" w:cs="仿宋_GB2312"/>
                <w:color w:val="auto"/>
                <w:sz w:val="20"/>
                <w:szCs w:val="20"/>
                <w:lang w:val="en-US" w:eastAsia="zh-CN"/>
              </w:rPr>
              <w:t>762元</w:t>
            </w:r>
          </w:p>
        </w:tc>
      </w:tr>
      <w:tr>
        <w:tblPrEx>
          <w:tblCellMar>
            <w:top w:w="0" w:type="dxa"/>
            <w:left w:w="108" w:type="dxa"/>
            <w:bottom w:w="0" w:type="dxa"/>
            <w:right w:w="108" w:type="dxa"/>
          </w:tblCellMar>
        </w:tblPrEx>
        <w:trPr>
          <w:gridAfter w:val="1"/>
          <w:wAfter w:w="236" w:type="dxa"/>
          <w:trHeight w:val="5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有效</w:t>
            </w:r>
          </w:p>
        </w:tc>
      </w:tr>
      <w:tr>
        <w:tblPrEx>
          <w:tblCellMar>
            <w:top w:w="0" w:type="dxa"/>
            <w:left w:w="108" w:type="dxa"/>
            <w:bottom w:w="0" w:type="dxa"/>
            <w:right w:w="108" w:type="dxa"/>
          </w:tblCellMar>
        </w:tblPrEx>
        <w:trPr>
          <w:gridAfter w:val="1"/>
          <w:wAfter w:w="236" w:type="dxa"/>
          <w:trHeight w:val="550"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97%</w:t>
            </w:r>
          </w:p>
        </w:tc>
      </w:tr>
    </w:tbl>
    <w:p>
      <w:pPr>
        <w:spacing w:line="600" w:lineRule="exact"/>
        <w:jc w:val="center"/>
        <w:outlineLvl w:val="0"/>
        <w:rPr>
          <w:rFonts w:ascii="仿宋" w:hAnsi="仿宋" w:eastAsia="仿宋"/>
          <w:color w:val="auto"/>
        </w:rPr>
      </w:pPr>
      <w:r>
        <w:rPr>
          <w:rFonts w:hint="eastAsia" w:ascii="黑体" w:hAnsi="黑体" w:eastAsia="黑体"/>
          <w:color w:val="auto"/>
          <w:sz w:val="44"/>
          <w:szCs w:val="44"/>
        </w:rPr>
        <w:t>第</w:t>
      </w:r>
      <w:r>
        <w:rPr>
          <w:rStyle w:val="29"/>
          <w:rFonts w:hint="eastAsia" w:ascii="黑体" w:hAnsi="黑体" w:eastAsia="黑体"/>
          <w:b w:val="0"/>
          <w:color w:val="auto"/>
        </w:rPr>
        <w:t>五部分 附表</w:t>
      </w:r>
      <w:bookmarkEnd w:id="51"/>
      <w:bookmarkEnd w:id="53"/>
      <w:bookmarkStart w:id="54" w:name="_Toc15396619"/>
    </w:p>
    <w:p>
      <w:pPr>
        <w:pStyle w:val="4"/>
        <w:rPr>
          <w:rFonts w:ascii="仿宋" w:hAnsi="仿宋" w:eastAsia="仿宋"/>
          <w:color w:val="auto"/>
        </w:rPr>
      </w:pPr>
      <w:r>
        <w:rPr>
          <w:rFonts w:hint="eastAsia" w:ascii="仿宋" w:hAnsi="仿宋" w:eastAsia="仿宋"/>
          <w:b w:val="0"/>
          <w:color w:val="auto"/>
        </w:rPr>
        <w:t>一、收</w:t>
      </w:r>
      <w:r>
        <w:rPr>
          <w:rStyle w:val="30"/>
          <w:rFonts w:hint="eastAsia" w:ascii="仿宋" w:hAnsi="仿宋" w:eastAsia="仿宋"/>
          <w:b w:val="0"/>
          <w:bCs w:val="0"/>
          <w:color w:val="auto"/>
        </w:rPr>
        <w:t>入支出决算总表</w:t>
      </w:r>
      <w:bookmarkEnd w:id="54"/>
    </w:p>
    <w:p>
      <w:pPr>
        <w:pStyle w:val="4"/>
        <w:rPr>
          <w:rFonts w:ascii="仿宋" w:hAnsi="仿宋" w:eastAsia="仿宋"/>
          <w:color w:val="auto"/>
        </w:rPr>
      </w:pPr>
      <w:bookmarkStart w:id="55" w:name="_Toc15396620"/>
      <w:r>
        <w:rPr>
          <w:rFonts w:hint="eastAsia" w:ascii="仿宋" w:hAnsi="仿宋" w:eastAsia="仿宋"/>
          <w:b w:val="0"/>
          <w:color w:val="auto"/>
        </w:rPr>
        <w:t>二、收</w:t>
      </w:r>
      <w:r>
        <w:rPr>
          <w:rStyle w:val="30"/>
          <w:rFonts w:hint="eastAsia" w:ascii="仿宋" w:hAnsi="仿宋" w:eastAsia="仿宋"/>
          <w:b w:val="0"/>
          <w:bCs w:val="0"/>
          <w:color w:val="auto"/>
        </w:rPr>
        <w:t>入决算表</w:t>
      </w:r>
      <w:bookmarkEnd w:id="55"/>
    </w:p>
    <w:p>
      <w:pPr>
        <w:pStyle w:val="4"/>
        <w:rPr>
          <w:rFonts w:ascii="仿宋" w:hAnsi="仿宋" w:eastAsia="仿宋"/>
          <w:color w:val="auto"/>
        </w:rPr>
      </w:pPr>
      <w:bookmarkStart w:id="56" w:name="_Toc15396621"/>
      <w:r>
        <w:rPr>
          <w:rStyle w:val="30"/>
          <w:rFonts w:hint="eastAsia" w:ascii="仿宋" w:hAnsi="仿宋" w:eastAsia="仿宋"/>
          <w:b w:val="0"/>
          <w:bCs w:val="0"/>
          <w:color w:val="auto"/>
        </w:rPr>
        <w:t>三、</w:t>
      </w:r>
      <w:r>
        <w:rPr>
          <w:rFonts w:hint="eastAsia" w:ascii="仿宋" w:hAnsi="仿宋" w:eastAsia="仿宋"/>
          <w:b w:val="0"/>
          <w:color w:val="auto"/>
        </w:rPr>
        <w:t>支</w:t>
      </w:r>
      <w:r>
        <w:rPr>
          <w:rStyle w:val="30"/>
          <w:rFonts w:hint="eastAsia" w:ascii="仿宋" w:hAnsi="仿宋" w:eastAsia="仿宋"/>
          <w:b w:val="0"/>
          <w:bCs w:val="0"/>
          <w:color w:val="auto"/>
        </w:rPr>
        <w:t>出决算表</w:t>
      </w:r>
      <w:bookmarkEnd w:id="56"/>
    </w:p>
    <w:p>
      <w:pPr>
        <w:pStyle w:val="4"/>
        <w:rPr>
          <w:rFonts w:ascii="仿宋" w:hAnsi="仿宋" w:eastAsia="仿宋"/>
          <w:b w:val="0"/>
          <w:color w:val="auto"/>
        </w:rPr>
      </w:pPr>
      <w:bookmarkStart w:id="57" w:name="_Toc15396622"/>
      <w:r>
        <w:rPr>
          <w:rStyle w:val="30"/>
          <w:rFonts w:hint="eastAsia" w:ascii="仿宋" w:hAnsi="仿宋" w:eastAsia="仿宋"/>
          <w:b w:val="0"/>
          <w:bCs w:val="0"/>
          <w:color w:val="auto"/>
        </w:rPr>
        <w:t>四、</w:t>
      </w:r>
      <w:r>
        <w:rPr>
          <w:rFonts w:hint="eastAsia" w:ascii="仿宋" w:hAnsi="仿宋" w:eastAsia="仿宋"/>
          <w:b w:val="0"/>
          <w:color w:val="auto"/>
        </w:rPr>
        <w:t>财</w:t>
      </w:r>
      <w:r>
        <w:rPr>
          <w:rStyle w:val="30"/>
          <w:rFonts w:hint="eastAsia" w:ascii="仿宋" w:hAnsi="仿宋" w:eastAsia="仿宋"/>
          <w:b w:val="0"/>
          <w:bCs w:val="0"/>
          <w:color w:val="auto"/>
        </w:rPr>
        <w:t>政拨款收入支出决算总表</w:t>
      </w:r>
      <w:bookmarkEnd w:id="57"/>
    </w:p>
    <w:p>
      <w:pPr>
        <w:pStyle w:val="4"/>
        <w:rPr>
          <w:rStyle w:val="30"/>
          <w:rFonts w:ascii="仿宋" w:hAnsi="仿宋" w:eastAsia="仿宋"/>
          <w:b w:val="0"/>
          <w:bCs w:val="0"/>
          <w:color w:val="auto"/>
        </w:rPr>
      </w:pPr>
      <w:bookmarkStart w:id="58" w:name="_Toc15396623"/>
      <w:r>
        <w:rPr>
          <w:rStyle w:val="30"/>
          <w:rFonts w:hint="eastAsia" w:ascii="仿宋" w:hAnsi="仿宋" w:eastAsia="仿宋"/>
          <w:b w:val="0"/>
          <w:bCs w:val="0"/>
          <w:color w:val="auto"/>
        </w:rPr>
        <w:t>五、</w:t>
      </w:r>
      <w:r>
        <w:rPr>
          <w:rFonts w:hint="eastAsia" w:ascii="仿宋" w:hAnsi="仿宋" w:eastAsia="仿宋"/>
          <w:b w:val="0"/>
          <w:color w:val="auto"/>
        </w:rPr>
        <w:t>财</w:t>
      </w:r>
      <w:r>
        <w:rPr>
          <w:rStyle w:val="30"/>
          <w:rFonts w:hint="eastAsia" w:ascii="仿宋" w:hAnsi="仿宋" w:eastAsia="仿宋"/>
          <w:b w:val="0"/>
          <w:bCs w:val="0"/>
          <w:color w:val="auto"/>
        </w:rPr>
        <w:t>政拨款支出决算明细表</w:t>
      </w:r>
      <w:bookmarkEnd w:id="58"/>
      <w:bookmarkStart w:id="59" w:name="_Toc15396624"/>
    </w:p>
    <w:p>
      <w:pPr>
        <w:pStyle w:val="4"/>
        <w:rPr>
          <w:rFonts w:ascii="仿宋" w:hAnsi="仿宋" w:eastAsia="仿宋"/>
          <w:color w:val="auto"/>
        </w:rPr>
      </w:pPr>
      <w:r>
        <w:rPr>
          <w:rStyle w:val="30"/>
          <w:rFonts w:hint="eastAsia" w:ascii="仿宋" w:hAnsi="仿宋" w:eastAsia="仿宋"/>
          <w:b w:val="0"/>
          <w:bCs w:val="0"/>
          <w:color w:val="auto"/>
        </w:rPr>
        <w:t>六、</w:t>
      </w:r>
      <w:r>
        <w:rPr>
          <w:rFonts w:hint="eastAsia" w:ascii="仿宋" w:hAnsi="仿宋" w:eastAsia="仿宋"/>
          <w:b w:val="0"/>
          <w:color w:val="auto"/>
        </w:rPr>
        <w:t>一</w:t>
      </w:r>
      <w:r>
        <w:rPr>
          <w:rStyle w:val="30"/>
          <w:rFonts w:hint="eastAsia" w:ascii="仿宋" w:hAnsi="仿宋" w:eastAsia="仿宋"/>
          <w:b w:val="0"/>
          <w:bCs w:val="0"/>
          <w:color w:val="auto"/>
        </w:rPr>
        <w:t>般公共预算财政拨款支出决算表</w:t>
      </w:r>
      <w:bookmarkEnd w:id="59"/>
    </w:p>
    <w:p>
      <w:pPr>
        <w:pStyle w:val="4"/>
        <w:rPr>
          <w:rFonts w:ascii="仿宋" w:hAnsi="仿宋" w:eastAsia="仿宋"/>
          <w:color w:val="auto"/>
        </w:rPr>
      </w:pPr>
      <w:bookmarkStart w:id="60" w:name="_Toc15396625"/>
      <w:r>
        <w:rPr>
          <w:rStyle w:val="30"/>
          <w:rFonts w:hint="eastAsia" w:ascii="仿宋" w:hAnsi="仿宋" w:eastAsia="仿宋"/>
          <w:b w:val="0"/>
          <w:bCs w:val="0"/>
          <w:color w:val="auto"/>
        </w:rPr>
        <w:t>七、</w:t>
      </w:r>
      <w:r>
        <w:rPr>
          <w:rFonts w:hint="eastAsia" w:ascii="仿宋" w:hAnsi="仿宋" w:eastAsia="仿宋"/>
          <w:b w:val="0"/>
          <w:color w:val="auto"/>
        </w:rPr>
        <w:t>一</w:t>
      </w:r>
      <w:r>
        <w:rPr>
          <w:rStyle w:val="30"/>
          <w:rFonts w:hint="eastAsia" w:ascii="仿宋" w:hAnsi="仿宋" w:eastAsia="仿宋"/>
          <w:b w:val="0"/>
          <w:bCs w:val="0"/>
          <w:color w:val="auto"/>
        </w:rPr>
        <w:t>般公共预算财政拨款支出决算明细表</w:t>
      </w:r>
      <w:bookmarkEnd w:id="60"/>
    </w:p>
    <w:p>
      <w:pPr>
        <w:pStyle w:val="4"/>
        <w:rPr>
          <w:rFonts w:ascii="仿宋" w:hAnsi="仿宋" w:eastAsia="仿宋"/>
          <w:color w:val="auto"/>
        </w:rPr>
      </w:pPr>
      <w:bookmarkStart w:id="61" w:name="_Toc15396626"/>
      <w:r>
        <w:rPr>
          <w:rStyle w:val="30"/>
          <w:rFonts w:hint="eastAsia" w:ascii="仿宋" w:hAnsi="仿宋" w:eastAsia="仿宋"/>
          <w:b w:val="0"/>
          <w:bCs w:val="0"/>
          <w:color w:val="auto"/>
        </w:rPr>
        <w:t>八、</w:t>
      </w:r>
      <w:r>
        <w:rPr>
          <w:rFonts w:hint="eastAsia" w:ascii="仿宋" w:hAnsi="仿宋" w:eastAsia="仿宋"/>
          <w:b w:val="0"/>
          <w:color w:val="auto"/>
        </w:rPr>
        <w:t>一</w:t>
      </w:r>
      <w:r>
        <w:rPr>
          <w:rStyle w:val="30"/>
          <w:rFonts w:hint="eastAsia" w:ascii="仿宋" w:hAnsi="仿宋" w:eastAsia="仿宋"/>
          <w:b w:val="0"/>
          <w:bCs w:val="0"/>
          <w:color w:val="auto"/>
        </w:rPr>
        <w:t>般公共预算财政拨款基本支出决算表</w:t>
      </w:r>
      <w:bookmarkEnd w:id="61"/>
    </w:p>
    <w:p>
      <w:pPr>
        <w:pStyle w:val="4"/>
        <w:rPr>
          <w:rFonts w:ascii="仿宋" w:hAnsi="仿宋" w:eastAsia="仿宋"/>
          <w:color w:val="auto"/>
        </w:rPr>
      </w:pPr>
      <w:bookmarkStart w:id="62" w:name="_Toc15396627"/>
      <w:r>
        <w:rPr>
          <w:rStyle w:val="30"/>
          <w:rFonts w:hint="eastAsia" w:ascii="仿宋" w:hAnsi="仿宋" w:eastAsia="仿宋"/>
          <w:b w:val="0"/>
          <w:bCs w:val="0"/>
          <w:color w:val="auto"/>
        </w:rPr>
        <w:t>九、</w:t>
      </w:r>
      <w:r>
        <w:rPr>
          <w:rFonts w:hint="eastAsia" w:ascii="仿宋" w:hAnsi="仿宋" w:eastAsia="仿宋"/>
          <w:b w:val="0"/>
          <w:color w:val="auto"/>
        </w:rPr>
        <w:t>一</w:t>
      </w:r>
      <w:r>
        <w:rPr>
          <w:rStyle w:val="30"/>
          <w:rFonts w:hint="eastAsia" w:ascii="仿宋" w:hAnsi="仿宋" w:eastAsia="仿宋"/>
          <w:b w:val="0"/>
          <w:bCs w:val="0"/>
          <w:color w:val="auto"/>
        </w:rPr>
        <w:t>般公共预算财政拨款项目支出决算表</w:t>
      </w:r>
      <w:bookmarkEnd w:id="62"/>
    </w:p>
    <w:p>
      <w:pPr>
        <w:pStyle w:val="4"/>
        <w:rPr>
          <w:rFonts w:ascii="仿宋" w:hAnsi="仿宋" w:eastAsia="仿宋"/>
          <w:color w:val="auto"/>
        </w:rPr>
      </w:pPr>
      <w:bookmarkStart w:id="63" w:name="_Toc15396628"/>
      <w:r>
        <w:rPr>
          <w:rStyle w:val="30"/>
          <w:rFonts w:hint="eastAsia" w:ascii="仿宋" w:hAnsi="仿宋" w:eastAsia="仿宋"/>
          <w:b w:val="0"/>
          <w:bCs w:val="0"/>
          <w:color w:val="auto"/>
        </w:rPr>
        <w:t>十、</w:t>
      </w:r>
      <w:r>
        <w:rPr>
          <w:rFonts w:hint="eastAsia" w:ascii="仿宋" w:hAnsi="仿宋" w:eastAsia="仿宋"/>
          <w:b w:val="0"/>
          <w:color w:val="auto"/>
        </w:rPr>
        <w:t>一</w:t>
      </w:r>
      <w:r>
        <w:rPr>
          <w:rStyle w:val="30"/>
          <w:rFonts w:hint="eastAsia" w:ascii="仿宋" w:hAnsi="仿宋" w:eastAsia="仿宋"/>
          <w:b w:val="0"/>
          <w:bCs w:val="0"/>
          <w:color w:val="auto"/>
        </w:rPr>
        <w:t>般公共预算财政拨款“三公”经费支出决算表</w:t>
      </w:r>
      <w:bookmarkEnd w:id="63"/>
    </w:p>
    <w:p>
      <w:pPr>
        <w:pStyle w:val="4"/>
        <w:rPr>
          <w:rFonts w:ascii="仿宋" w:hAnsi="仿宋" w:eastAsia="仿宋"/>
          <w:color w:val="auto"/>
        </w:rPr>
      </w:pPr>
      <w:bookmarkStart w:id="64" w:name="_Toc15396629"/>
      <w:r>
        <w:rPr>
          <w:rStyle w:val="30"/>
          <w:rFonts w:hint="eastAsia" w:ascii="仿宋" w:hAnsi="仿宋" w:eastAsia="仿宋"/>
          <w:b w:val="0"/>
          <w:bCs w:val="0"/>
          <w:color w:val="auto"/>
        </w:rPr>
        <w:t>十一、</w:t>
      </w:r>
      <w:r>
        <w:rPr>
          <w:rFonts w:hint="eastAsia" w:ascii="仿宋" w:hAnsi="仿宋" w:eastAsia="仿宋"/>
          <w:b w:val="0"/>
          <w:color w:val="auto"/>
        </w:rPr>
        <w:t>政</w:t>
      </w:r>
      <w:r>
        <w:rPr>
          <w:rStyle w:val="30"/>
          <w:rFonts w:hint="eastAsia" w:ascii="仿宋" w:hAnsi="仿宋" w:eastAsia="仿宋"/>
          <w:b w:val="0"/>
          <w:bCs w:val="0"/>
          <w:color w:val="auto"/>
        </w:rPr>
        <w:t>府性基金预算财政拨款收入支出决算表</w:t>
      </w:r>
      <w:bookmarkEnd w:id="64"/>
    </w:p>
    <w:p>
      <w:pPr>
        <w:pStyle w:val="4"/>
        <w:rPr>
          <w:rFonts w:ascii="仿宋" w:hAnsi="仿宋" w:eastAsia="仿宋"/>
          <w:color w:val="auto"/>
        </w:rPr>
      </w:pPr>
      <w:bookmarkStart w:id="65" w:name="_Toc15396630"/>
      <w:r>
        <w:rPr>
          <w:rStyle w:val="30"/>
          <w:rFonts w:hint="eastAsia" w:ascii="仿宋" w:hAnsi="仿宋" w:eastAsia="仿宋"/>
          <w:b w:val="0"/>
          <w:bCs w:val="0"/>
          <w:color w:val="auto"/>
        </w:rPr>
        <w:t>十二、</w:t>
      </w:r>
      <w:r>
        <w:rPr>
          <w:rFonts w:hint="eastAsia" w:ascii="仿宋" w:hAnsi="仿宋" w:eastAsia="仿宋"/>
          <w:b w:val="0"/>
          <w:color w:val="auto"/>
        </w:rPr>
        <w:t>政</w:t>
      </w:r>
      <w:r>
        <w:rPr>
          <w:rStyle w:val="30"/>
          <w:rFonts w:hint="eastAsia" w:ascii="仿宋" w:hAnsi="仿宋" w:eastAsia="仿宋"/>
          <w:b w:val="0"/>
          <w:bCs w:val="0"/>
          <w:color w:val="auto"/>
        </w:rPr>
        <w:t>府性基金预算财政拨款“三公”经费支出决算表</w:t>
      </w:r>
      <w:bookmarkEnd w:id="65"/>
    </w:p>
    <w:p>
      <w:pPr>
        <w:pStyle w:val="4"/>
        <w:rPr>
          <w:rStyle w:val="30"/>
          <w:rFonts w:ascii="仿宋" w:hAnsi="仿宋" w:eastAsia="仿宋"/>
          <w:b w:val="0"/>
          <w:bCs w:val="0"/>
          <w:color w:val="auto"/>
        </w:rPr>
      </w:pPr>
      <w:bookmarkStart w:id="66" w:name="_Toc15396631"/>
      <w:r>
        <w:rPr>
          <w:rStyle w:val="30"/>
          <w:rFonts w:hint="eastAsia" w:ascii="仿宋" w:hAnsi="仿宋" w:eastAsia="仿宋"/>
          <w:b w:val="0"/>
          <w:bCs w:val="0"/>
          <w:color w:val="auto"/>
        </w:rPr>
        <w:t>十三、</w:t>
      </w:r>
      <w:r>
        <w:rPr>
          <w:rFonts w:hint="eastAsia" w:ascii="仿宋" w:hAnsi="仿宋" w:eastAsia="仿宋"/>
          <w:b w:val="0"/>
          <w:color w:val="auto"/>
        </w:rPr>
        <w:t>国</w:t>
      </w:r>
      <w:r>
        <w:rPr>
          <w:rStyle w:val="30"/>
          <w:rFonts w:hint="eastAsia" w:ascii="仿宋" w:hAnsi="仿宋" w:eastAsia="仿宋"/>
          <w:b w:val="0"/>
          <w:bCs w:val="0"/>
          <w:color w:val="auto"/>
        </w:rPr>
        <w:t>有资本经营预算财政拨款收入支出决算表</w:t>
      </w:r>
      <w:bookmarkEnd w:id="66"/>
    </w:p>
    <w:p>
      <w:pPr>
        <w:rPr>
          <w:rFonts w:eastAsia="仿宋"/>
          <w:color w:val="auto"/>
        </w:rPr>
      </w:pPr>
      <w:r>
        <w:rPr>
          <w:rStyle w:val="30"/>
          <w:rFonts w:hint="eastAsia" w:ascii="仿宋" w:hAnsi="仿宋" w:eastAsia="仿宋"/>
          <w:b w:val="0"/>
          <w:bCs w:val="0"/>
          <w:color w:val="auto"/>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2000000000000000000"/>
    <w:charset w:val="86"/>
    <w:family w:val="script"/>
    <w:pitch w:val="default"/>
    <w:sig w:usb0="00000000" w:usb1="00000000" w:usb2="00000000" w:usb3="00000000" w:csb0="00040000" w:csb1="00000000"/>
  </w:font>
  <w:font w:name="方正小标宋_GBK">
    <w:altName w:val="Arial Unicode MS"/>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9886B94"/>
    <w:rsid w:val="0A2032A3"/>
    <w:rsid w:val="0B444D3D"/>
    <w:rsid w:val="0B8A37D8"/>
    <w:rsid w:val="0EC71F0D"/>
    <w:rsid w:val="10C055FF"/>
    <w:rsid w:val="112C7A85"/>
    <w:rsid w:val="118107EC"/>
    <w:rsid w:val="11DD6519"/>
    <w:rsid w:val="12910332"/>
    <w:rsid w:val="146E6986"/>
    <w:rsid w:val="157E27B0"/>
    <w:rsid w:val="16BB723D"/>
    <w:rsid w:val="177D300F"/>
    <w:rsid w:val="18015F3F"/>
    <w:rsid w:val="199843D4"/>
    <w:rsid w:val="1BE8440E"/>
    <w:rsid w:val="1D155CEE"/>
    <w:rsid w:val="20F57F95"/>
    <w:rsid w:val="23066A21"/>
    <w:rsid w:val="240371BF"/>
    <w:rsid w:val="24D54B4E"/>
    <w:rsid w:val="24EB101E"/>
    <w:rsid w:val="25C741E6"/>
    <w:rsid w:val="27842671"/>
    <w:rsid w:val="29686748"/>
    <w:rsid w:val="29FD04D3"/>
    <w:rsid w:val="2ABE7A3E"/>
    <w:rsid w:val="2BAE4DE0"/>
    <w:rsid w:val="2C0D4D5A"/>
    <w:rsid w:val="2EFA178C"/>
    <w:rsid w:val="30B46D73"/>
    <w:rsid w:val="319F7F4E"/>
    <w:rsid w:val="32E05DEF"/>
    <w:rsid w:val="353C0D20"/>
    <w:rsid w:val="39AE70AB"/>
    <w:rsid w:val="39DA06B6"/>
    <w:rsid w:val="3C0C0783"/>
    <w:rsid w:val="3F795B0E"/>
    <w:rsid w:val="3F9F3A96"/>
    <w:rsid w:val="40EC682D"/>
    <w:rsid w:val="493C27E9"/>
    <w:rsid w:val="496F39ED"/>
    <w:rsid w:val="49FF41D3"/>
    <w:rsid w:val="4A185DC8"/>
    <w:rsid w:val="4BE068DB"/>
    <w:rsid w:val="4BF6002B"/>
    <w:rsid w:val="4E0D09E3"/>
    <w:rsid w:val="4ECE2238"/>
    <w:rsid w:val="4F824AB9"/>
    <w:rsid w:val="4FD61684"/>
    <w:rsid w:val="503645ED"/>
    <w:rsid w:val="508F3649"/>
    <w:rsid w:val="51DB4B86"/>
    <w:rsid w:val="52FB5859"/>
    <w:rsid w:val="55333C3E"/>
    <w:rsid w:val="565C7783"/>
    <w:rsid w:val="56A469A5"/>
    <w:rsid w:val="58737E60"/>
    <w:rsid w:val="58C779E0"/>
    <w:rsid w:val="596C4E2E"/>
    <w:rsid w:val="5AE67FC5"/>
    <w:rsid w:val="5EAC56AE"/>
    <w:rsid w:val="5EEF25B2"/>
    <w:rsid w:val="60EE7955"/>
    <w:rsid w:val="61251748"/>
    <w:rsid w:val="62966978"/>
    <w:rsid w:val="630C0E11"/>
    <w:rsid w:val="64A80084"/>
    <w:rsid w:val="64CA39A1"/>
    <w:rsid w:val="65B126BB"/>
    <w:rsid w:val="68F2524A"/>
    <w:rsid w:val="6BFA1AA9"/>
    <w:rsid w:val="6C4A05C8"/>
    <w:rsid w:val="6C6E6699"/>
    <w:rsid w:val="6EDA0CDC"/>
    <w:rsid w:val="6FEA6537"/>
    <w:rsid w:val="70231548"/>
    <w:rsid w:val="72734D90"/>
    <w:rsid w:val="727D7081"/>
    <w:rsid w:val="72E456B5"/>
    <w:rsid w:val="74E366CA"/>
    <w:rsid w:val="76815E56"/>
    <w:rsid w:val="7709593C"/>
    <w:rsid w:val="79E7B28D"/>
    <w:rsid w:val="7AC82E51"/>
    <w:rsid w:val="7B390C4C"/>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1485.51</c:v>
                </c:pt>
                <c:pt idx="1">
                  <c:v>1315.77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1485.51</c:v>
                </c:pt>
                <c:pt idx="1">
                  <c:v>1315.77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strCache>
            </c:strRef>
          </c:cat>
          <c:val>
            <c:numRef>
              <c:f>Sheet1!$B$2:$B$3</c:f>
              <c:numCache>
                <c:formatCode>0.00%</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63.52</a:t>
                    </a:r>
                    <a:endParaRPr lang="en-US" altLang="zh-CN"/>
                  </a:p>
                  <a:p>
                    <a:pPr defTabSz="914400">
                      <a:defRPr lang="zh-CN" sz="900" b="1" i="0" u="none" strike="noStrike" kern="1200" baseline="0">
                        <a:solidFill>
                          <a:schemeClr val="lt1"/>
                        </a:solidFill>
                        <a:latin typeface="+mn-lt"/>
                        <a:ea typeface="+mn-ea"/>
                        <a:cs typeface="+mn-cs"/>
                      </a:defRPr>
                    </a:pP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36.48</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835.77</c:v>
                </c:pt>
                <c:pt idx="1">
                  <c:v>480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1485.51</c:v>
                </c:pt>
                <c:pt idx="1">
                  <c:v>1315.77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1485.51</c:v>
                </c:pt>
                <c:pt idx="1">
                  <c:v>1315.77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1485.51</c:v>
                </c:pt>
                <c:pt idx="1">
                  <c:v>1315.77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20</Pages>
  <Words>7400</Words>
  <Characters>7915</Characters>
  <Lines>47</Lines>
  <Paragraphs>13</Paragraphs>
  <TotalTime>1</TotalTime>
  <ScaleCrop>false</ScaleCrop>
  <LinksUpToDate>false</LinksUpToDate>
  <CharactersWithSpaces>7995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DELL</cp:lastModifiedBy>
  <cp:lastPrinted>2022-09-27T03:56:00Z</cp:lastPrinted>
  <dcterms:modified xsi:type="dcterms:W3CDTF">2023-08-01T09:52:39Z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90E9467CCEFE4D188C1A3EBDCF3991AB</vt:lpwstr>
  </property>
</Properties>
</file>