
<file path=[Content_Types].xml><?xml version="1.0" encoding="utf-8"?>
<Types xmlns="http://schemas.openxmlformats.org/package/2006/content-types">
  <Default Extension="xlsx" ContentType="application/vnd.openxmlformats-officedocument.spreadsheetml.sheet"/>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F9F750">
      <w:pPr>
        <w:spacing w:line="600" w:lineRule="exact"/>
        <w:jc w:val="center"/>
        <w:outlineLvl w:val="0"/>
        <w:rPr>
          <w:rFonts w:ascii="方正小标宋简体" w:hAnsi="宋体" w:eastAsia="方正小标宋简体"/>
          <w:sz w:val="72"/>
          <w:szCs w:val="72"/>
        </w:rPr>
      </w:pPr>
      <w:bookmarkStart w:id="0" w:name="_Toc15306267"/>
    </w:p>
    <w:p w14:paraId="30E8DC53">
      <w:pPr>
        <w:spacing w:line="600" w:lineRule="exact"/>
        <w:jc w:val="center"/>
        <w:outlineLvl w:val="0"/>
        <w:rPr>
          <w:rFonts w:ascii="方正小标宋简体" w:hAnsi="宋体" w:eastAsia="方正小标宋简体"/>
          <w:sz w:val="72"/>
          <w:szCs w:val="72"/>
        </w:rPr>
      </w:pPr>
    </w:p>
    <w:p w14:paraId="43E9B320">
      <w:pPr>
        <w:spacing w:line="600" w:lineRule="exact"/>
        <w:jc w:val="center"/>
        <w:outlineLvl w:val="0"/>
        <w:rPr>
          <w:rFonts w:ascii="方正小标宋简体" w:hAnsi="宋体" w:eastAsia="方正小标宋简体"/>
          <w:sz w:val="72"/>
          <w:szCs w:val="72"/>
        </w:rPr>
      </w:pPr>
    </w:p>
    <w:p w14:paraId="0D1FCBC1">
      <w:pPr>
        <w:spacing w:line="600" w:lineRule="exact"/>
        <w:jc w:val="center"/>
        <w:outlineLvl w:val="0"/>
        <w:rPr>
          <w:rFonts w:ascii="方正小标宋简体" w:hAnsi="宋体" w:eastAsia="方正小标宋简体"/>
          <w:sz w:val="72"/>
          <w:szCs w:val="72"/>
        </w:rPr>
      </w:pPr>
    </w:p>
    <w:p w14:paraId="340B0FDA">
      <w:pPr>
        <w:adjustRightInd w:val="0"/>
        <w:snapToGrid w:val="0"/>
        <w:spacing w:line="360" w:lineRule="auto"/>
        <w:jc w:val="center"/>
        <w:outlineLvl w:val="0"/>
        <w:rPr>
          <w:rFonts w:ascii="方正小标宋_GBK" w:hAnsi="方正小标宋_GBK" w:eastAsia="方正小标宋_GBK" w:cs="方正小标宋_GBK"/>
          <w:sz w:val="72"/>
          <w:szCs w:val="72"/>
        </w:rPr>
      </w:pPr>
      <w:bookmarkStart w:id="1" w:name="_Toc15396475"/>
      <w:bookmarkStart w:id="2" w:name="_Toc15378441"/>
      <w:bookmarkStart w:id="3" w:name="_Toc15377193"/>
      <w:bookmarkStart w:id="4" w:name="_Toc15396597"/>
      <w:bookmarkStart w:id="5" w:name="_Toc15377425"/>
      <w:r>
        <w:rPr>
          <w:rFonts w:hint="eastAsia" w:ascii="方正小标宋_GBK" w:hAnsi="方正小标宋_GBK" w:eastAsia="方正小标宋_GBK" w:cs="方正小标宋_GBK"/>
          <w:sz w:val="72"/>
          <w:szCs w:val="72"/>
        </w:rPr>
        <w:t>2021年度</w:t>
      </w:r>
      <w:bookmarkEnd w:id="1"/>
      <w:bookmarkEnd w:id="2"/>
      <w:bookmarkEnd w:id="3"/>
      <w:bookmarkEnd w:id="4"/>
      <w:bookmarkEnd w:id="5"/>
    </w:p>
    <w:p w14:paraId="34F163F9">
      <w:pPr>
        <w:adjustRightInd w:val="0"/>
        <w:snapToGrid w:val="0"/>
        <w:spacing w:line="360" w:lineRule="auto"/>
        <w:jc w:val="center"/>
        <w:outlineLvl w:val="0"/>
        <w:rPr>
          <w:rFonts w:ascii="方正小标宋_GBK" w:hAnsi="方正小标宋_GBK" w:eastAsia="方正小标宋_GBK" w:cs="方正小标宋_GBK"/>
          <w:sz w:val="72"/>
          <w:szCs w:val="72"/>
        </w:rPr>
      </w:pPr>
      <w:bookmarkStart w:id="6" w:name="_Toc15378442"/>
      <w:bookmarkStart w:id="7" w:name="_Toc15396476"/>
      <w:bookmarkStart w:id="8" w:name="_Toc15377426"/>
      <w:bookmarkStart w:id="9" w:name="_Toc15377194"/>
      <w:bookmarkStart w:id="10" w:name="_Toc15396598"/>
      <w:r>
        <w:rPr>
          <w:rFonts w:hint="eastAsia" w:ascii="方正小标宋_GBK" w:hAnsi="方正小标宋_GBK" w:eastAsia="方正小标宋_GBK" w:cs="方正小标宋_GBK"/>
          <w:sz w:val="72"/>
          <w:szCs w:val="72"/>
        </w:rPr>
        <w:t>四川省</w:t>
      </w:r>
      <w:bookmarkEnd w:id="0"/>
      <w:bookmarkStart w:id="11" w:name="_Toc15306268"/>
      <w:r>
        <w:rPr>
          <w:rFonts w:hint="eastAsia" w:ascii="方正小标宋_GBK" w:hAnsi="方正小标宋_GBK" w:eastAsia="方正小标宋_GBK" w:cs="方正小标宋_GBK"/>
          <w:sz w:val="72"/>
          <w:szCs w:val="72"/>
        </w:rPr>
        <w:t>广元市昭化区</w:t>
      </w:r>
      <w:r>
        <w:rPr>
          <w:rFonts w:hint="eastAsia" w:ascii="方正小标宋_GBK" w:hAnsi="方正小标宋_GBK" w:eastAsia="方正小标宋_GBK" w:cs="方正小标宋_GBK"/>
          <w:sz w:val="72"/>
          <w:szCs w:val="72"/>
          <w:lang w:eastAsia="zh-CN"/>
        </w:rPr>
        <w:t>虎跳初级中学</w:t>
      </w:r>
      <w:r>
        <w:rPr>
          <w:rFonts w:hint="eastAsia" w:ascii="方正小标宋_GBK" w:hAnsi="方正小标宋_GBK" w:eastAsia="方正小标宋_GBK" w:cs="方正小标宋_GBK"/>
          <w:sz w:val="72"/>
          <w:szCs w:val="72"/>
        </w:rPr>
        <w:t>单位决算</w:t>
      </w:r>
      <w:bookmarkEnd w:id="6"/>
      <w:bookmarkEnd w:id="7"/>
      <w:bookmarkEnd w:id="8"/>
      <w:bookmarkEnd w:id="9"/>
      <w:bookmarkEnd w:id="10"/>
      <w:bookmarkEnd w:id="11"/>
    </w:p>
    <w:p w14:paraId="56F67C97">
      <w:pPr>
        <w:widowControl/>
        <w:jc w:val="center"/>
        <w:rPr>
          <w:rFonts w:ascii="黑体" w:hAnsi="黑体" w:eastAsia="黑体"/>
          <w:sz w:val="48"/>
          <w:szCs w:val="48"/>
        </w:rPr>
      </w:pPr>
      <w:r>
        <w:rPr>
          <w:rFonts w:ascii="方正小标宋简体" w:hAnsi="宋体" w:eastAsia="方正小标宋简体"/>
          <w:sz w:val="36"/>
          <w:szCs w:val="36"/>
        </w:rPr>
        <w:br w:type="page"/>
      </w:r>
      <w:r>
        <w:rPr>
          <w:rFonts w:hint="eastAsia" w:ascii="黑体" w:hAnsi="黑体" w:eastAsia="黑体"/>
          <w:sz w:val="48"/>
          <w:szCs w:val="48"/>
        </w:rPr>
        <w:t>目录</w:t>
      </w:r>
    </w:p>
    <w:p w14:paraId="5F5C6915">
      <w:pPr>
        <w:pStyle w:val="13"/>
        <w:jc w:val="both"/>
      </w:pPr>
    </w:p>
    <w:p w14:paraId="01FE9160"/>
    <w:p w14:paraId="26C29D23">
      <w:pPr>
        <w:pStyle w:val="13"/>
        <w:keepNext w:val="0"/>
        <w:keepLines w:val="0"/>
        <w:pageBreakBefore w:val="0"/>
        <w:widowControl w:val="0"/>
        <w:tabs>
          <w:tab w:val="right" w:leader="middleDot" w:pos="8296"/>
        </w:tabs>
        <w:kinsoku/>
        <w:wordWrap/>
        <w:overflowPunct/>
        <w:topLinePunct w:val="0"/>
        <w:autoSpaceDE/>
        <w:autoSpaceDN/>
        <w:bidi w:val="0"/>
        <w:adjustRightInd w:val="0"/>
        <w:snapToGrid w:val="0"/>
        <w:spacing w:before="0" w:line="440" w:lineRule="exact"/>
        <w:jc w:val="left"/>
        <w:textAlignment w:val="auto"/>
        <w:rPr>
          <w:rFonts w:hint="default" w:eastAsia="仿宋" w:cstheme="minorBidi"/>
          <w:color w:val="auto"/>
          <w:sz w:val="24"/>
          <w:szCs w:val="24"/>
          <w:highlight w:val="none"/>
          <w:lang w:val="en-US" w:eastAsia="zh-CN"/>
        </w:rPr>
      </w:pPr>
      <w:bookmarkStart w:id="12" w:name="_Toc15377196"/>
      <w:bookmarkStart w:id="13" w:name="_Toc15396599"/>
      <w:r>
        <w:rPr>
          <w:rFonts w:hint="eastAsia"/>
          <w:color w:val="auto"/>
          <w:sz w:val="24"/>
          <w:highlight w:val="none"/>
        </w:rPr>
        <w:t>第一部分</w:t>
      </w:r>
      <w:r>
        <w:rPr>
          <w:color w:val="auto"/>
          <w:sz w:val="24"/>
          <w:highlight w:val="none"/>
        </w:rPr>
        <w:t xml:space="preserve"> </w:t>
      </w:r>
      <w:r>
        <w:rPr>
          <w:rFonts w:hint="eastAsia"/>
          <w:color w:val="auto"/>
          <w:sz w:val="24"/>
          <w:highlight w:val="none"/>
          <w:lang w:eastAsia="zh-CN"/>
        </w:rPr>
        <w:t>单位</w:t>
      </w:r>
      <w:r>
        <w:rPr>
          <w:rFonts w:hint="eastAsia"/>
          <w:color w:val="auto"/>
          <w:sz w:val="24"/>
          <w:highlight w:val="none"/>
        </w:rPr>
        <w:t>概况</w:t>
      </w:r>
      <w:r>
        <w:rPr>
          <w:rFonts w:hint="eastAsia"/>
          <w:color w:val="auto"/>
          <w:sz w:val="24"/>
          <w:highlight w:val="none"/>
          <w:lang w:val="en-US" w:eastAsia="zh-CN"/>
        </w:rPr>
        <w:tab/>
      </w:r>
      <w:r>
        <w:rPr>
          <w:rFonts w:hint="eastAsia"/>
          <w:color w:val="auto"/>
          <w:sz w:val="24"/>
          <w:highlight w:val="none"/>
          <w:lang w:val="en-US" w:eastAsia="zh-CN"/>
        </w:rPr>
        <w:t>4</w:t>
      </w:r>
    </w:p>
    <w:p w14:paraId="41C30AF3">
      <w:pPr>
        <w:pStyle w:val="14"/>
        <w:adjustRightInd w:val="0"/>
        <w:snapToGrid w:val="0"/>
        <w:spacing w:line="440" w:lineRule="exact"/>
        <w:jc w:val="distribute"/>
        <w:rPr>
          <w:rFonts w:hint="default" w:eastAsia="宋体"/>
          <w:color w:val="auto"/>
          <w:sz w:val="24"/>
          <w:highlight w:val="none"/>
          <w:lang w:val="en-US" w:eastAsia="zh-CN"/>
        </w:rPr>
      </w:pPr>
      <w:r>
        <w:rPr>
          <w:rFonts w:hint="eastAsia"/>
          <w:color w:val="auto"/>
          <w:sz w:val="24"/>
          <w:highlight w:val="none"/>
        </w:rPr>
        <w:t>一、职能</w:t>
      </w:r>
      <w:r>
        <w:rPr>
          <w:rFonts w:hint="eastAsia"/>
          <w:color w:val="auto"/>
          <w:sz w:val="24"/>
          <w:highlight w:val="none"/>
          <w:lang w:eastAsia="zh-CN"/>
        </w:rPr>
        <w:t>简介</w:t>
      </w:r>
      <w:r>
        <w:rPr>
          <w:rFonts w:hint="eastAsia"/>
          <w:color w:val="auto"/>
          <w:sz w:val="24"/>
          <w:highlight w:val="none"/>
          <w:lang w:val="en-US" w:eastAsia="zh-CN"/>
        </w:rPr>
        <w:tab/>
      </w:r>
      <w:r>
        <w:rPr>
          <w:rFonts w:hint="eastAsia"/>
          <w:color w:val="auto"/>
          <w:sz w:val="24"/>
          <w:highlight w:val="none"/>
          <w:lang w:val="en-US" w:eastAsia="zh-CN"/>
        </w:rPr>
        <w:t>4</w:t>
      </w:r>
    </w:p>
    <w:p w14:paraId="2D6654B6">
      <w:pPr>
        <w:pStyle w:val="14"/>
        <w:adjustRightInd w:val="0"/>
        <w:snapToGrid w:val="0"/>
        <w:spacing w:line="440" w:lineRule="exact"/>
        <w:jc w:val="distribute"/>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eastAsia="zh-CN"/>
        </w:rPr>
        <w:t>二、</w:t>
      </w:r>
      <w:r>
        <w:rPr>
          <w:rFonts w:hint="eastAsia" w:asciiTheme="minorEastAsia" w:hAnsiTheme="minorEastAsia" w:eastAsiaTheme="minorEastAsia" w:cstheme="minorEastAsia"/>
          <w:color w:val="auto"/>
          <w:sz w:val="24"/>
          <w:highlight w:val="none"/>
          <w:lang w:val="en-US" w:eastAsia="zh-CN"/>
        </w:rPr>
        <w:t>2021年重点</w:t>
      </w:r>
      <w:r>
        <w:rPr>
          <w:rFonts w:hint="eastAsia" w:asciiTheme="minorEastAsia" w:hAnsiTheme="minorEastAsia" w:eastAsiaTheme="minorEastAsia" w:cstheme="minorEastAsia"/>
          <w:color w:val="auto"/>
          <w:sz w:val="24"/>
          <w:highlight w:val="none"/>
        </w:rPr>
        <w:t>工作</w:t>
      </w:r>
      <w:r>
        <w:rPr>
          <w:rFonts w:hint="eastAsia" w:asciiTheme="minorEastAsia" w:hAnsiTheme="minorEastAsia" w:eastAsiaTheme="minorEastAsia" w:cstheme="minorEastAsia"/>
          <w:color w:val="auto"/>
          <w:sz w:val="24"/>
          <w:highlight w:val="none"/>
          <w:lang w:eastAsia="zh-CN"/>
        </w:rPr>
        <w:t>完成情况</w:t>
      </w:r>
      <w:r>
        <w:rPr>
          <w:rFonts w:hint="eastAsia"/>
          <w:color w:val="auto"/>
          <w:sz w:val="24"/>
          <w:highlight w:val="none"/>
          <w:lang w:val="en-US" w:eastAsia="zh-CN"/>
        </w:rPr>
        <w:tab/>
      </w:r>
      <w:r>
        <w:rPr>
          <w:rFonts w:hint="eastAsia"/>
          <w:color w:val="auto"/>
          <w:sz w:val="24"/>
          <w:highlight w:val="none"/>
          <w:lang w:val="en-US" w:eastAsia="zh-CN"/>
        </w:rPr>
        <w:t>5</w:t>
      </w:r>
    </w:p>
    <w:p w14:paraId="70BF8771">
      <w:pPr>
        <w:pStyle w:val="13"/>
        <w:adjustRightInd w:val="0"/>
        <w:snapToGrid w:val="0"/>
        <w:spacing w:before="0" w:line="440" w:lineRule="exact"/>
        <w:jc w:val="left"/>
        <w:rPr>
          <w:rFonts w:hint="default"/>
          <w:color w:val="auto"/>
          <w:sz w:val="24"/>
          <w:szCs w:val="24"/>
          <w:highlight w:val="none"/>
          <w:lang w:val="en-US"/>
        </w:rPr>
      </w:pPr>
      <w:r>
        <w:rPr>
          <w:rFonts w:hint="eastAsia"/>
          <w:color w:val="auto"/>
          <w:sz w:val="24"/>
          <w:highlight w:val="none"/>
        </w:rPr>
        <w:t>第二部分</w:t>
      </w:r>
      <w:r>
        <w:rPr>
          <w:rFonts w:hint="eastAsia"/>
          <w:color w:val="auto"/>
          <w:sz w:val="24"/>
          <w:highlight w:val="none"/>
          <w:lang w:val="en-US" w:eastAsia="zh-CN"/>
        </w:rPr>
        <w:t xml:space="preserve"> 2021年度</w:t>
      </w:r>
      <w:r>
        <w:rPr>
          <w:rFonts w:hint="eastAsia"/>
          <w:color w:val="auto"/>
          <w:sz w:val="24"/>
          <w:highlight w:val="none"/>
          <w:lang w:eastAsia="zh-CN"/>
        </w:rPr>
        <w:t>单位</w:t>
      </w:r>
      <w:r>
        <w:rPr>
          <w:rFonts w:hint="eastAsia"/>
          <w:color w:val="auto"/>
          <w:sz w:val="24"/>
          <w:highlight w:val="none"/>
        </w:rPr>
        <w:t>决算情况说明</w:t>
      </w:r>
      <w:r>
        <w:rPr>
          <w:rFonts w:hint="eastAsia"/>
          <w:color w:val="auto"/>
          <w:sz w:val="24"/>
          <w:highlight w:val="none"/>
          <w:lang w:val="en-US" w:eastAsia="zh-CN"/>
        </w:rPr>
        <w:tab/>
      </w:r>
      <w:r>
        <w:rPr>
          <w:rFonts w:hint="eastAsia"/>
          <w:color w:val="auto"/>
          <w:sz w:val="24"/>
          <w:highlight w:val="none"/>
          <w:lang w:val="en-US" w:eastAsia="zh-CN"/>
        </w:rPr>
        <w:t>11</w:t>
      </w:r>
    </w:p>
    <w:p w14:paraId="2857FB57">
      <w:pPr>
        <w:pStyle w:val="14"/>
        <w:adjustRightInd w:val="0"/>
        <w:snapToGrid w:val="0"/>
        <w:spacing w:line="440" w:lineRule="exact"/>
        <w:jc w:val="distribute"/>
        <w:rPr>
          <w:rFonts w:hint="default" w:ascii="仿宋" w:hAnsi="仿宋" w:eastAsia="仿宋" w:cstheme="minorBidi"/>
          <w:color w:val="auto"/>
          <w:sz w:val="24"/>
          <w:highlight w:val="none"/>
          <w:lang w:val="en-US"/>
        </w:rPr>
      </w:pPr>
      <w:r>
        <w:rPr>
          <w:rFonts w:hint="eastAsia"/>
          <w:color w:val="auto"/>
          <w:sz w:val="24"/>
          <w:highlight w:val="none"/>
        </w:rPr>
        <w:t>一、收入支出决算总体情况说明</w:t>
      </w:r>
      <w:r>
        <w:rPr>
          <w:rFonts w:hint="eastAsia"/>
          <w:color w:val="auto"/>
          <w:sz w:val="24"/>
          <w:highlight w:val="none"/>
          <w:lang w:val="en-US" w:eastAsia="zh-CN"/>
        </w:rPr>
        <w:tab/>
      </w:r>
      <w:r>
        <w:rPr>
          <w:rFonts w:hint="eastAsia"/>
          <w:color w:val="auto"/>
          <w:sz w:val="24"/>
          <w:highlight w:val="none"/>
          <w:lang w:val="en-US" w:eastAsia="zh-CN"/>
        </w:rPr>
        <w:t>11</w:t>
      </w:r>
    </w:p>
    <w:p w14:paraId="59C065BA">
      <w:pPr>
        <w:pStyle w:val="14"/>
        <w:adjustRightInd w:val="0"/>
        <w:snapToGrid w:val="0"/>
        <w:spacing w:line="440" w:lineRule="exact"/>
        <w:jc w:val="distribute"/>
        <w:rPr>
          <w:rFonts w:hint="default" w:ascii="仿宋" w:hAnsi="仿宋" w:eastAsia="仿宋" w:cstheme="minorBidi"/>
          <w:color w:val="auto"/>
          <w:sz w:val="24"/>
          <w:highlight w:val="none"/>
          <w:lang w:val="en-US"/>
        </w:rPr>
      </w:pPr>
      <w:r>
        <w:rPr>
          <w:rFonts w:hint="eastAsia"/>
          <w:color w:val="auto"/>
          <w:sz w:val="24"/>
          <w:highlight w:val="none"/>
        </w:rPr>
        <w:t>二、收入决算情况说明</w:t>
      </w:r>
      <w:r>
        <w:rPr>
          <w:rFonts w:hint="eastAsia"/>
          <w:color w:val="auto"/>
          <w:sz w:val="24"/>
          <w:highlight w:val="none"/>
          <w:lang w:val="en-US" w:eastAsia="zh-CN"/>
        </w:rPr>
        <w:tab/>
      </w:r>
      <w:r>
        <w:rPr>
          <w:rFonts w:hint="eastAsia"/>
          <w:color w:val="auto"/>
          <w:sz w:val="24"/>
          <w:highlight w:val="none"/>
          <w:lang w:val="en-US" w:eastAsia="zh-CN"/>
        </w:rPr>
        <w:t>11</w:t>
      </w:r>
    </w:p>
    <w:p w14:paraId="155760EB">
      <w:pPr>
        <w:pStyle w:val="14"/>
        <w:adjustRightInd w:val="0"/>
        <w:snapToGrid w:val="0"/>
        <w:spacing w:line="440" w:lineRule="exact"/>
        <w:jc w:val="distribute"/>
        <w:rPr>
          <w:rFonts w:hint="default" w:ascii="仿宋" w:hAnsi="仿宋" w:eastAsia="仿宋" w:cstheme="minorBidi"/>
          <w:color w:val="auto"/>
          <w:sz w:val="24"/>
          <w:highlight w:val="none"/>
          <w:lang w:val="en-US"/>
        </w:rPr>
      </w:pPr>
      <w:r>
        <w:rPr>
          <w:rFonts w:hint="eastAsia"/>
          <w:color w:val="auto"/>
          <w:sz w:val="24"/>
          <w:highlight w:val="none"/>
        </w:rPr>
        <w:t>三、支出决算情况说明</w:t>
      </w:r>
      <w:r>
        <w:rPr>
          <w:rFonts w:hint="eastAsia"/>
          <w:color w:val="auto"/>
          <w:sz w:val="24"/>
          <w:highlight w:val="none"/>
          <w:lang w:val="en-US" w:eastAsia="zh-CN"/>
        </w:rPr>
        <w:tab/>
      </w:r>
      <w:r>
        <w:rPr>
          <w:rFonts w:hint="eastAsia"/>
          <w:color w:val="auto"/>
          <w:sz w:val="24"/>
          <w:highlight w:val="none"/>
          <w:lang w:val="en-US" w:eastAsia="zh-CN"/>
        </w:rPr>
        <w:t>11</w:t>
      </w:r>
    </w:p>
    <w:p w14:paraId="5FF502D6">
      <w:pPr>
        <w:pStyle w:val="14"/>
        <w:adjustRightInd w:val="0"/>
        <w:snapToGrid w:val="0"/>
        <w:spacing w:line="440" w:lineRule="exact"/>
        <w:jc w:val="distribute"/>
        <w:rPr>
          <w:rFonts w:hint="default" w:ascii="仿宋" w:hAnsi="仿宋" w:eastAsia="仿宋" w:cstheme="minorBidi"/>
          <w:color w:val="auto"/>
          <w:sz w:val="24"/>
          <w:highlight w:val="none"/>
          <w:lang w:val="en-US"/>
        </w:rPr>
      </w:pPr>
      <w:r>
        <w:rPr>
          <w:rFonts w:hint="eastAsia"/>
          <w:color w:val="auto"/>
          <w:sz w:val="24"/>
          <w:highlight w:val="none"/>
        </w:rPr>
        <w:t>四、财政拨款收入支出决算总体情况说明</w:t>
      </w:r>
      <w:r>
        <w:rPr>
          <w:rFonts w:hint="eastAsia"/>
          <w:color w:val="auto"/>
          <w:sz w:val="24"/>
          <w:highlight w:val="none"/>
          <w:lang w:val="en-US" w:eastAsia="zh-CN"/>
        </w:rPr>
        <w:tab/>
      </w:r>
      <w:r>
        <w:rPr>
          <w:rFonts w:hint="eastAsia"/>
          <w:color w:val="auto"/>
          <w:sz w:val="24"/>
          <w:highlight w:val="none"/>
          <w:lang w:val="en-US" w:eastAsia="zh-CN"/>
        </w:rPr>
        <w:t>12</w:t>
      </w:r>
    </w:p>
    <w:p w14:paraId="6852FFBE">
      <w:pPr>
        <w:pStyle w:val="14"/>
        <w:adjustRightInd w:val="0"/>
        <w:snapToGrid w:val="0"/>
        <w:spacing w:line="440" w:lineRule="exact"/>
        <w:jc w:val="distribute"/>
        <w:rPr>
          <w:rFonts w:hint="default" w:ascii="仿宋" w:hAnsi="仿宋" w:eastAsia="仿宋" w:cstheme="minorBidi"/>
          <w:color w:val="auto"/>
          <w:sz w:val="24"/>
          <w:highlight w:val="none"/>
          <w:lang w:val="en-US"/>
        </w:rPr>
      </w:pPr>
      <w:r>
        <w:rPr>
          <w:rFonts w:hint="eastAsia"/>
          <w:color w:val="auto"/>
          <w:sz w:val="24"/>
          <w:highlight w:val="none"/>
        </w:rPr>
        <w:t>五、一般公共预算财政拨款支出决算情况说明</w:t>
      </w:r>
      <w:r>
        <w:rPr>
          <w:rFonts w:hint="eastAsia"/>
          <w:color w:val="auto"/>
          <w:sz w:val="24"/>
          <w:highlight w:val="none"/>
          <w:lang w:val="en-US" w:eastAsia="zh-CN"/>
        </w:rPr>
        <w:tab/>
      </w:r>
      <w:r>
        <w:rPr>
          <w:rFonts w:hint="eastAsia"/>
          <w:color w:val="auto"/>
          <w:sz w:val="24"/>
          <w:highlight w:val="none"/>
          <w:lang w:val="en-US" w:eastAsia="zh-CN"/>
        </w:rPr>
        <w:t>12</w:t>
      </w:r>
    </w:p>
    <w:p w14:paraId="26830F6A">
      <w:pPr>
        <w:pStyle w:val="14"/>
        <w:adjustRightInd w:val="0"/>
        <w:snapToGrid w:val="0"/>
        <w:spacing w:line="440" w:lineRule="exact"/>
        <w:jc w:val="distribute"/>
        <w:rPr>
          <w:rFonts w:hint="default" w:ascii="仿宋" w:hAnsi="仿宋" w:eastAsia="仿宋" w:cstheme="minorBidi"/>
          <w:color w:val="auto"/>
          <w:sz w:val="24"/>
          <w:highlight w:val="none"/>
          <w:lang w:val="en-US"/>
        </w:rPr>
      </w:pPr>
      <w:r>
        <w:rPr>
          <w:rFonts w:hint="eastAsia"/>
          <w:color w:val="auto"/>
          <w:sz w:val="24"/>
          <w:highlight w:val="none"/>
        </w:rPr>
        <w:t>六、一般公共预算财政拨款基本支出决算情况说明</w:t>
      </w:r>
      <w:r>
        <w:rPr>
          <w:rFonts w:hint="eastAsia"/>
          <w:color w:val="auto"/>
          <w:sz w:val="24"/>
          <w:highlight w:val="none"/>
          <w:lang w:val="en-US" w:eastAsia="zh-CN"/>
        </w:rPr>
        <w:tab/>
      </w:r>
      <w:r>
        <w:rPr>
          <w:rFonts w:hint="eastAsia"/>
          <w:color w:val="auto"/>
          <w:sz w:val="24"/>
          <w:highlight w:val="none"/>
          <w:lang w:val="en-US" w:eastAsia="zh-CN"/>
        </w:rPr>
        <w:t>14</w:t>
      </w:r>
    </w:p>
    <w:p w14:paraId="0D2888A3">
      <w:pPr>
        <w:pStyle w:val="14"/>
        <w:adjustRightInd w:val="0"/>
        <w:snapToGrid w:val="0"/>
        <w:spacing w:line="440" w:lineRule="exact"/>
        <w:jc w:val="distribute"/>
        <w:rPr>
          <w:rFonts w:hint="default" w:ascii="仿宋" w:hAnsi="仿宋" w:eastAsia="仿宋" w:cstheme="minorBidi"/>
          <w:color w:val="auto"/>
          <w:sz w:val="24"/>
          <w:highlight w:val="none"/>
          <w:lang w:val="en-US"/>
        </w:rPr>
      </w:pPr>
      <w:r>
        <w:rPr>
          <w:rFonts w:hint="eastAsia"/>
          <w:color w:val="auto"/>
          <w:sz w:val="24"/>
          <w:highlight w:val="none"/>
        </w:rPr>
        <w:t>七、</w:t>
      </w:r>
      <w:r>
        <w:rPr>
          <w:rFonts w:hint="eastAsia"/>
          <w:color w:val="auto"/>
          <w:sz w:val="24"/>
          <w:highlight w:val="none"/>
          <w:lang w:eastAsia="zh-CN"/>
        </w:rPr>
        <w:t>“</w:t>
      </w:r>
      <w:r>
        <w:rPr>
          <w:rFonts w:hint="eastAsia"/>
          <w:color w:val="auto"/>
          <w:sz w:val="24"/>
          <w:highlight w:val="none"/>
        </w:rPr>
        <w:t>三公”经费财政拨款支出决算情况说明</w:t>
      </w:r>
      <w:r>
        <w:rPr>
          <w:rFonts w:hint="eastAsia"/>
          <w:color w:val="auto"/>
          <w:sz w:val="24"/>
          <w:highlight w:val="none"/>
          <w:lang w:val="en-US" w:eastAsia="zh-CN"/>
        </w:rPr>
        <w:tab/>
      </w:r>
      <w:r>
        <w:rPr>
          <w:rFonts w:hint="eastAsia"/>
          <w:color w:val="auto"/>
          <w:sz w:val="24"/>
          <w:highlight w:val="none"/>
          <w:lang w:val="en-US" w:eastAsia="zh-CN"/>
        </w:rPr>
        <w:t>14</w:t>
      </w:r>
    </w:p>
    <w:p w14:paraId="29F3A5E5">
      <w:pPr>
        <w:pStyle w:val="14"/>
        <w:adjustRightInd w:val="0"/>
        <w:snapToGrid w:val="0"/>
        <w:spacing w:line="440" w:lineRule="exact"/>
        <w:jc w:val="distribute"/>
        <w:rPr>
          <w:rFonts w:hint="default" w:ascii="仿宋" w:hAnsi="仿宋" w:eastAsia="仿宋" w:cstheme="minorBidi"/>
          <w:color w:val="auto"/>
          <w:sz w:val="24"/>
          <w:highlight w:val="none"/>
          <w:lang w:val="en-US"/>
        </w:rPr>
      </w:pPr>
      <w:r>
        <w:rPr>
          <w:rFonts w:hint="eastAsia"/>
          <w:color w:val="auto"/>
          <w:sz w:val="24"/>
          <w:highlight w:val="none"/>
        </w:rPr>
        <w:t>八、政府性基金预算支出决算情况说明</w:t>
      </w:r>
      <w:r>
        <w:rPr>
          <w:rFonts w:hint="eastAsia"/>
          <w:color w:val="auto"/>
          <w:sz w:val="24"/>
          <w:highlight w:val="none"/>
          <w:lang w:val="en-US" w:eastAsia="zh-CN"/>
        </w:rPr>
        <w:tab/>
      </w:r>
      <w:r>
        <w:rPr>
          <w:rFonts w:hint="eastAsia"/>
          <w:color w:val="auto"/>
          <w:sz w:val="24"/>
          <w:highlight w:val="none"/>
          <w:lang w:val="en-US" w:eastAsia="zh-CN"/>
        </w:rPr>
        <w:t>16</w:t>
      </w:r>
    </w:p>
    <w:p w14:paraId="5148A0E0">
      <w:pPr>
        <w:pStyle w:val="14"/>
        <w:adjustRightInd w:val="0"/>
        <w:snapToGrid w:val="0"/>
        <w:spacing w:line="440" w:lineRule="exact"/>
        <w:jc w:val="distribute"/>
        <w:rPr>
          <w:rFonts w:hint="eastAsia"/>
          <w:color w:val="auto"/>
          <w:sz w:val="24"/>
          <w:highlight w:val="none"/>
        </w:rPr>
      </w:pPr>
      <w:r>
        <w:rPr>
          <w:rFonts w:hint="eastAsia"/>
          <w:color w:val="auto"/>
          <w:sz w:val="24"/>
          <w:highlight w:val="none"/>
        </w:rPr>
        <w:t>九、国有资本经营预算支出决算情况说明</w:t>
      </w:r>
      <w:r>
        <w:rPr>
          <w:rFonts w:hint="eastAsia"/>
          <w:color w:val="auto"/>
          <w:sz w:val="24"/>
          <w:highlight w:val="none"/>
          <w:lang w:val="en-US" w:eastAsia="zh-CN"/>
        </w:rPr>
        <w:tab/>
      </w:r>
      <w:r>
        <w:rPr>
          <w:rFonts w:hint="eastAsia"/>
          <w:color w:val="auto"/>
          <w:sz w:val="24"/>
          <w:highlight w:val="none"/>
          <w:lang w:val="en-US" w:eastAsia="zh-CN"/>
        </w:rPr>
        <w:t>16</w:t>
      </w:r>
    </w:p>
    <w:p w14:paraId="67566C04">
      <w:pPr>
        <w:pStyle w:val="14"/>
        <w:adjustRightInd w:val="0"/>
        <w:snapToGrid w:val="0"/>
        <w:spacing w:line="440" w:lineRule="exact"/>
        <w:jc w:val="distribute"/>
        <w:rPr>
          <w:rFonts w:hint="default" w:eastAsia="宋体"/>
          <w:color w:val="auto"/>
          <w:lang w:val="en-US" w:eastAsia="zh-CN"/>
        </w:rPr>
      </w:pPr>
      <w:r>
        <w:rPr>
          <w:rFonts w:hint="eastAsia"/>
          <w:color w:val="auto"/>
          <w:sz w:val="24"/>
          <w:highlight w:val="none"/>
        </w:rPr>
        <w:t>十、</w:t>
      </w:r>
      <w:r>
        <w:rPr>
          <w:rFonts w:hint="eastAsia" w:asciiTheme="minorEastAsia" w:hAnsiTheme="minorEastAsia" w:eastAsiaTheme="minorEastAsia" w:cstheme="minorEastAsia"/>
          <w:color w:val="auto"/>
          <w:sz w:val="24"/>
          <w:highlight w:val="none"/>
          <w:lang w:val="en-US" w:eastAsia="zh-CN"/>
        </w:rPr>
        <w:t>预算绩效管理情况</w:t>
      </w:r>
      <w:r>
        <w:rPr>
          <w:rFonts w:hint="eastAsia"/>
          <w:color w:val="auto"/>
          <w:sz w:val="24"/>
          <w:highlight w:val="none"/>
          <w:lang w:val="en-US" w:eastAsia="zh-CN"/>
        </w:rPr>
        <w:tab/>
      </w:r>
      <w:r>
        <w:rPr>
          <w:rFonts w:hint="eastAsia"/>
          <w:color w:val="auto"/>
          <w:sz w:val="24"/>
          <w:highlight w:val="none"/>
          <w:lang w:val="en-US" w:eastAsia="zh-CN"/>
        </w:rPr>
        <w:t>17</w:t>
      </w:r>
    </w:p>
    <w:p w14:paraId="79BB6A2A">
      <w:pPr>
        <w:pStyle w:val="14"/>
        <w:adjustRightInd w:val="0"/>
        <w:snapToGrid w:val="0"/>
        <w:spacing w:line="440" w:lineRule="exact"/>
        <w:jc w:val="distribute"/>
        <w:rPr>
          <w:rFonts w:hint="default" w:eastAsia="宋体"/>
          <w:color w:val="auto"/>
          <w:lang w:val="en-US" w:eastAsia="zh-CN"/>
        </w:rPr>
      </w:pPr>
      <w:r>
        <w:rPr>
          <w:rFonts w:hint="eastAsia"/>
          <w:color w:val="auto"/>
          <w:sz w:val="24"/>
          <w:highlight w:val="none"/>
          <w:lang w:val="en-US" w:eastAsia="zh-CN"/>
        </w:rPr>
        <w:t>十一、</w:t>
      </w:r>
      <w:r>
        <w:rPr>
          <w:rFonts w:hint="eastAsia"/>
          <w:color w:val="auto"/>
          <w:sz w:val="24"/>
          <w:highlight w:val="none"/>
        </w:rPr>
        <w:t>其他重要事项的情况说明</w:t>
      </w:r>
      <w:r>
        <w:rPr>
          <w:rFonts w:hint="eastAsia"/>
          <w:color w:val="auto"/>
          <w:sz w:val="24"/>
          <w:highlight w:val="none"/>
          <w:lang w:val="en-US" w:eastAsia="zh-CN"/>
        </w:rPr>
        <w:tab/>
      </w:r>
      <w:r>
        <w:rPr>
          <w:rFonts w:hint="eastAsia"/>
          <w:color w:val="auto"/>
          <w:sz w:val="24"/>
          <w:highlight w:val="none"/>
          <w:lang w:val="en-US" w:eastAsia="zh-CN"/>
        </w:rPr>
        <w:t>17</w:t>
      </w:r>
    </w:p>
    <w:p w14:paraId="02339D59">
      <w:pPr>
        <w:pStyle w:val="13"/>
        <w:adjustRightInd w:val="0"/>
        <w:snapToGrid w:val="0"/>
        <w:spacing w:before="0" w:line="440" w:lineRule="exact"/>
        <w:jc w:val="left"/>
        <w:rPr>
          <w:rFonts w:hint="default" w:ascii="Times New Roman" w:hAnsi="Times New Roman" w:eastAsia="宋体" w:cs="Times New Roman"/>
          <w:color w:val="auto"/>
          <w:kern w:val="2"/>
          <w:sz w:val="24"/>
          <w:szCs w:val="24"/>
          <w:highlight w:val="none"/>
          <w:lang w:val="en-US" w:eastAsia="zh-CN" w:bidi="ar-SA"/>
        </w:rPr>
      </w:pPr>
      <w:r>
        <w:rPr>
          <w:rFonts w:hint="eastAsia"/>
          <w:color w:val="auto"/>
          <w:sz w:val="24"/>
          <w:highlight w:val="none"/>
        </w:rPr>
        <w:t>第三部分</w:t>
      </w:r>
      <w:r>
        <w:rPr>
          <w:color w:val="auto"/>
          <w:sz w:val="24"/>
          <w:highlight w:val="none"/>
        </w:rPr>
        <w:t xml:space="preserve"> </w:t>
      </w:r>
      <w:r>
        <w:rPr>
          <w:rFonts w:hint="eastAsia"/>
          <w:color w:val="auto"/>
          <w:sz w:val="24"/>
          <w:highlight w:val="none"/>
        </w:rPr>
        <w:t>名词解释</w:t>
      </w:r>
      <w:r>
        <w:rPr>
          <w:rFonts w:hint="eastAsia"/>
          <w:color w:val="auto"/>
          <w:sz w:val="24"/>
          <w:highlight w:val="none"/>
          <w:lang w:val="en-US" w:eastAsia="zh-CN"/>
        </w:rPr>
        <w:tab/>
      </w:r>
      <w:r>
        <w:rPr>
          <w:rFonts w:hint="eastAsia" w:ascii="Times New Roman" w:hAnsi="Times New Roman" w:eastAsia="宋体" w:cs="Times New Roman"/>
          <w:color w:val="auto"/>
          <w:kern w:val="2"/>
          <w:sz w:val="24"/>
          <w:szCs w:val="24"/>
          <w:highlight w:val="none"/>
          <w:lang w:val="en-US" w:eastAsia="zh-CN" w:bidi="ar-SA"/>
        </w:rPr>
        <w:t>18</w:t>
      </w:r>
    </w:p>
    <w:p w14:paraId="5A80C47C">
      <w:pPr>
        <w:pStyle w:val="13"/>
        <w:adjustRightInd w:val="0"/>
        <w:snapToGrid w:val="0"/>
        <w:spacing w:before="0" w:line="440" w:lineRule="exact"/>
        <w:jc w:val="left"/>
        <w:rPr>
          <w:rFonts w:hint="default" w:cstheme="minorBidi"/>
          <w:color w:val="auto"/>
          <w:sz w:val="24"/>
          <w:szCs w:val="24"/>
          <w:highlight w:val="none"/>
          <w:lang w:val="en-US"/>
        </w:rPr>
      </w:pPr>
      <w:r>
        <w:rPr>
          <w:rFonts w:hint="eastAsia"/>
          <w:color w:val="auto"/>
          <w:sz w:val="24"/>
          <w:highlight w:val="none"/>
        </w:rPr>
        <w:t>第四部分</w:t>
      </w:r>
      <w:r>
        <w:rPr>
          <w:color w:val="auto"/>
          <w:sz w:val="24"/>
          <w:highlight w:val="none"/>
        </w:rPr>
        <w:t xml:space="preserve"> </w:t>
      </w:r>
      <w:r>
        <w:rPr>
          <w:rFonts w:hint="eastAsia"/>
          <w:color w:val="auto"/>
          <w:sz w:val="24"/>
          <w:highlight w:val="none"/>
        </w:rPr>
        <w:t>附件</w:t>
      </w:r>
      <w:r>
        <w:rPr>
          <w:rFonts w:hint="eastAsia"/>
          <w:color w:val="auto"/>
          <w:sz w:val="24"/>
          <w:highlight w:val="none"/>
          <w:lang w:val="en-US" w:eastAsia="zh-CN"/>
        </w:rPr>
        <w:tab/>
      </w:r>
      <w:r>
        <w:rPr>
          <w:rFonts w:hint="eastAsia" w:ascii="Times New Roman" w:hAnsi="Times New Roman" w:eastAsia="宋体" w:cs="Times New Roman"/>
          <w:color w:val="auto"/>
          <w:kern w:val="2"/>
          <w:sz w:val="24"/>
          <w:szCs w:val="24"/>
          <w:highlight w:val="none"/>
          <w:lang w:val="en-US" w:eastAsia="zh-CN" w:bidi="ar-SA"/>
        </w:rPr>
        <w:t>20</w:t>
      </w:r>
    </w:p>
    <w:p w14:paraId="6A40F412">
      <w:pPr>
        <w:pStyle w:val="13"/>
        <w:adjustRightInd w:val="0"/>
        <w:snapToGrid w:val="0"/>
        <w:spacing w:before="0" w:line="440" w:lineRule="exact"/>
        <w:jc w:val="left"/>
        <w:rPr>
          <w:rFonts w:hint="default" w:cstheme="minorBidi"/>
          <w:color w:val="auto"/>
          <w:sz w:val="24"/>
          <w:szCs w:val="24"/>
          <w:highlight w:val="none"/>
          <w:lang w:val="en-US"/>
        </w:rPr>
      </w:pPr>
      <w:r>
        <w:rPr>
          <w:rFonts w:hint="eastAsia"/>
          <w:color w:val="auto"/>
          <w:sz w:val="24"/>
          <w:highlight w:val="none"/>
        </w:rPr>
        <w:t>第五部分</w:t>
      </w:r>
      <w:r>
        <w:rPr>
          <w:color w:val="auto"/>
          <w:sz w:val="24"/>
          <w:highlight w:val="none"/>
        </w:rPr>
        <w:t xml:space="preserve"> </w:t>
      </w:r>
      <w:r>
        <w:rPr>
          <w:rFonts w:hint="eastAsia"/>
          <w:color w:val="auto"/>
          <w:sz w:val="24"/>
          <w:highlight w:val="none"/>
        </w:rPr>
        <w:t>附表</w:t>
      </w:r>
      <w:r>
        <w:rPr>
          <w:rFonts w:hint="eastAsia"/>
          <w:color w:val="auto"/>
          <w:sz w:val="24"/>
          <w:highlight w:val="none"/>
          <w:lang w:val="en-US" w:eastAsia="zh-CN"/>
        </w:rPr>
        <w:tab/>
      </w:r>
      <w:r>
        <w:rPr>
          <w:rFonts w:hint="eastAsia" w:ascii="Times New Roman" w:hAnsi="Times New Roman" w:eastAsia="宋体" w:cs="Times New Roman"/>
          <w:color w:val="auto"/>
          <w:kern w:val="2"/>
          <w:sz w:val="24"/>
          <w:szCs w:val="24"/>
          <w:highlight w:val="none"/>
          <w:lang w:val="en-US" w:eastAsia="zh-CN" w:bidi="ar-SA"/>
        </w:rPr>
        <w:t>21</w:t>
      </w:r>
    </w:p>
    <w:p w14:paraId="27B9130D">
      <w:pPr>
        <w:pStyle w:val="14"/>
        <w:adjustRightInd w:val="0"/>
        <w:snapToGrid w:val="0"/>
        <w:spacing w:line="440" w:lineRule="exact"/>
        <w:jc w:val="left"/>
        <w:rPr>
          <w:rFonts w:hint="default"/>
          <w:color w:val="auto"/>
          <w:sz w:val="24"/>
          <w:highlight w:val="none"/>
          <w:lang w:val="en-US"/>
        </w:rPr>
      </w:pPr>
      <w:r>
        <w:rPr>
          <w:rFonts w:hint="eastAsia"/>
          <w:color w:val="auto"/>
          <w:sz w:val="24"/>
          <w:highlight w:val="none"/>
        </w:rPr>
        <w:t>一、收入支出决算总表</w:t>
      </w:r>
      <w:r>
        <w:rPr>
          <w:rFonts w:hint="eastAsia"/>
          <w:color w:val="auto"/>
          <w:sz w:val="24"/>
          <w:highlight w:val="none"/>
          <w:lang w:val="en-US" w:eastAsia="zh-CN"/>
        </w:rPr>
        <w:tab/>
      </w:r>
      <w:r>
        <w:rPr>
          <w:rFonts w:hint="eastAsia" w:ascii="Times New Roman" w:hAnsi="Times New Roman" w:eastAsia="宋体" w:cs="Times New Roman"/>
          <w:color w:val="auto"/>
          <w:kern w:val="2"/>
          <w:sz w:val="24"/>
          <w:szCs w:val="24"/>
          <w:highlight w:val="none"/>
          <w:lang w:val="en-US" w:eastAsia="zh-CN" w:bidi="ar-SA"/>
        </w:rPr>
        <w:t>2</w:t>
      </w:r>
      <w:r>
        <w:rPr>
          <w:rFonts w:hint="eastAsia" w:cs="Times New Roman"/>
          <w:color w:val="auto"/>
          <w:kern w:val="2"/>
          <w:sz w:val="24"/>
          <w:szCs w:val="24"/>
          <w:highlight w:val="none"/>
          <w:lang w:val="en-US" w:eastAsia="zh-CN" w:bidi="ar-SA"/>
        </w:rPr>
        <w:t>1</w:t>
      </w:r>
    </w:p>
    <w:p w14:paraId="1540073D">
      <w:pPr>
        <w:pStyle w:val="14"/>
        <w:adjustRightInd w:val="0"/>
        <w:snapToGrid w:val="0"/>
        <w:spacing w:line="440" w:lineRule="exact"/>
        <w:jc w:val="left"/>
        <w:rPr>
          <w:rFonts w:hint="eastAsia"/>
          <w:color w:val="auto"/>
          <w:sz w:val="24"/>
          <w:highlight w:val="none"/>
        </w:rPr>
      </w:pPr>
      <w:r>
        <w:rPr>
          <w:rFonts w:hint="eastAsia"/>
          <w:color w:val="auto"/>
          <w:sz w:val="24"/>
          <w:highlight w:val="none"/>
        </w:rPr>
        <w:t>二、收入决算表</w:t>
      </w:r>
      <w:r>
        <w:rPr>
          <w:rFonts w:hint="eastAsia"/>
          <w:color w:val="auto"/>
          <w:sz w:val="24"/>
          <w:highlight w:val="none"/>
          <w:lang w:val="en-US" w:eastAsia="zh-CN"/>
        </w:rPr>
        <w:tab/>
      </w:r>
      <w:r>
        <w:rPr>
          <w:rFonts w:hint="eastAsia"/>
          <w:color w:val="auto"/>
          <w:sz w:val="24"/>
          <w:highlight w:val="none"/>
          <w:lang w:val="en-US" w:eastAsia="zh-CN"/>
        </w:rPr>
        <w:t>21</w:t>
      </w:r>
    </w:p>
    <w:p w14:paraId="2DB0AE53">
      <w:pPr>
        <w:pStyle w:val="14"/>
        <w:adjustRightInd w:val="0"/>
        <w:snapToGrid w:val="0"/>
        <w:spacing w:line="440" w:lineRule="exact"/>
        <w:jc w:val="left"/>
        <w:rPr>
          <w:rFonts w:hint="eastAsia"/>
          <w:color w:val="auto"/>
          <w:sz w:val="24"/>
          <w:highlight w:val="none"/>
        </w:rPr>
      </w:pPr>
      <w:r>
        <w:rPr>
          <w:rFonts w:hint="eastAsia"/>
          <w:color w:val="auto"/>
          <w:sz w:val="24"/>
          <w:highlight w:val="none"/>
        </w:rPr>
        <w:t>三、支出决算表</w:t>
      </w:r>
      <w:r>
        <w:rPr>
          <w:rFonts w:hint="eastAsia"/>
          <w:color w:val="auto"/>
          <w:sz w:val="24"/>
          <w:highlight w:val="none"/>
          <w:lang w:val="en-US" w:eastAsia="zh-CN"/>
        </w:rPr>
        <w:tab/>
      </w:r>
      <w:r>
        <w:rPr>
          <w:rFonts w:hint="eastAsia"/>
          <w:color w:val="auto"/>
          <w:sz w:val="24"/>
          <w:highlight w:val="none"/>
          <w:lang w:val="en-US" w:eastAsia="zh-CN"/>
        </w:rPr>
        <w:t>21</w:t>
      </w:r>
    </w:p>
    <w:p w14:paraId="140A3DF9">
      <w:pPr>
        <w:pStyle w:val="14"/>
        <w:adjustRightInd w:val="0"/>
        <w:snapToGrid w:val="0"/>
        <w:spacing w:line="440" w:lineRule="exact"/>
        <w:jc w:val="left"/>
        <w:rPr>
          <w:rFonts w:hint="eastAsia"/>
          <w:color w:val="auto"/>
          <w:sz w:val="24"/>
          <w:highlight w:val="none"/>
        </w:rPr>
      </w:pPr>
      <w:r>
        <w:rPr>
          <w:rFonts w:hint="eastAsia"/>
          <w:color w:val="auto"/>
          <w:sz w:val="24"/>
          <w:highlight w:val="none"/>
        </w:rPr>
        <w:t>四、财政拨款收入支出决算总表</w:t>
      </w:r>
      <w:r>
        <w:rPr>
          <w:rFonts w:hint="eastAsia"/>
          <w:color w:val="auto"/>
          <w:sz w:val="24"/>
          <w:highlight w:val="none"/>
          <w:lang w:val="en-US" w:eastAsia="zh-CN"/>
        </w:rPr>
        <w:tab/>
      </w:r>
      <w:r>
        <w:rPr>
          <w:rFonts w:hint="eastAsia"/>
          <w:color w:val="auto"/>
          <w:sz w:val="24"/>
          <w:highlight w:val="none"/>
          <w:lang w:val="en-US" w:eastAsia="zh-CN"/>
        </w:rPr>
        <w:t>21</w:t>
      </w:r>
    </w:p>
    <w:p w14:paraId="380AB99B">
      <w:pPr>
        <w:pStyle w:val="14"/>
        <w:adjustRightInd w:val="0"/>
        <w:snapToGrid w:val="0"/>
        <w:spacing w:line="440" w:lineRule="exact"/>
        <w:jc w:val="left"/>
        <w:rPr>
          <w:rFonts w:hint="eastAsia"/>
          <w:color w:val="auto"/>
          <w:sz w:val="24"/>
          <w:highlight w:val="none"/>
        </w:rPr>
      </w:pPr>
      <w:r>
        <w:rPr>
          <w:rFonts w:hint="eastAsia"/>
          <w:color w:val="auto"/>
          <w:sz w:val="24"/>
          <w:highlight w:val="none"/>
        </w:rPr>
        <w:t>五、财政拨款支出决算明细表</w:t>
      </w:r>
      <w:r>
        <w:rPr>
          <w:rFonts w:hint="eastAsia"/>
          <w:color w:val="auto"/>
          <w:sz w:val="24"/>
          <w:highlight w:val="none"/>
          <w:lang w:val="en-US" w:eastAsia="zh-CN"/>
        </w:rPr>
        <w:tab/>
      </w:r>
      <w:r>
        <w:rPr>
          <w:rFonts w:hint="eastAsia"/>
          <w:color w:val="auto"/>
          <w:sz w:val="24"/>
          <w:highlight w:val="none"/>
          <w:lang w:val="en-US" w:eastAsia="zh-CN"/>
        </w:rPr>
        <w:t>21</w:t>
      </w:r>
    </w:p>
    <w:p w14:paraId="25C98F7A">
      <w:pPr>
        <w:pStyle w:val="14"/>
        <w:adjustRightInd w:val="0"/>
        <w:snapToGrid w:val="0"/>
        <w:spacing w:line="440" w:lineRule="exact"/>
        <w:jc w:val="left"/>
        <w:rPr>
          <w:rFonts w:hint="eastAsia"/>
          <w:color w:val="auto"/>
          <w:sz w:val="24"/>
          <w:highlight w:val="none"/>
        </w:rPr>
      </w:pPr>
      <w:r>
        <w:rPr>
          <w:rFonts w:hint="eastAsia"/>
          <w:color w:val="auto"/>
          <w:sz w:val="24"/>
          <w:highlight w:val="none"/>
        </w:rPr>
        <w:t>六、一般公共预算财政拨款支出决算表</w:t>
      </w:r>
      <w:r>
        <w:rPr>
          <w:rFonts w:hint="eastAsia"/>
          <w:color w:val="auto"/>
          <w:sz w:val="24"/>
          <w:highlight w:val="none"/>
          <w:lang w:val="en-US" w:eastAsia="zh-CN"/>
        </w:rPr>
        <w:tab/>
      </w:r>
      <w:r>
        <w:rPr>
          <w:rFonts w:hint="eastAsia"/>
          <w:color w:val="auto"/>
          <w:sz w:val="24"/>
          <w:highlight w:val="none"/>
          <w:lang w:val="en-US" w:eastAsia="zh-CN"/>
        </w:rPr>
        <w:t>21</w:t>
      </w:r>
    </w:p>
    <w:p w14:paraId="19FEAFF1">
      <w:pPr>
        <w:pStyle w:val="14"/>
        <w:adjustRightInd w:val="0"/>
        <w:snapToGrid w:val="0"/>
        <w:spacing w:line="440" w:lineRule="exact"/>
        <w:jc w:val="left"/>
        <w:rPr>
          <w:rFonts w:hint="eastAsia"/>
          <w:color w:val="auto"/>
          <w:sz w:val="24"/>
          <w:highlight w:val="none"/>
        </w:rPr>
      </w:pPr>
      <w:r>
        <w:rPr>
          <w:rFonts w:hint="eastAsia"/>
          <w:color w:val="auto"/>
          <w:sz w:val="24"/>
          <w:highlight w:val="none"/>
        </w:rPr>
        <w:t>七、一般公共预算财政拨款支出决算明细表</w:t>
      </w:r>
      <w:r>
        <w:rPr>
          <w:rFonts w:hint="eastAsia"/>
          <w:color w:val="auto"/>
          <w:sz w:val="24"/>
          <w:highlight w:val="none"/>
          <w:lang w:val="en-US" w:eastAsia="zh-CN"/>
        </w:rPr>
        <w:tab/>
      </w:r>
      <w:r>
        <w:rPr>
          <w:rFonts w:hint="eastAsia"/>
          <w:color w:val="auto"/>
          <w:sz w:val="24"/>
          <w:highlight w:val="none"/>
          <w:lang w:val="en-US" w:eastAsia="zh-CN"/>
        </w:rPr>
        <w:t>21</w:t>
      </w:r>
    </w:p>
    <w:p w14:paraId="2E548E98">
      <w:pPr>
        <w:pStyle w:val="14"/>
        <w:adjustRightInd w:val="0"/>
        <w:snapToGrid w:val="0"/>
        <w:spacing w:line="440" w:lineRule="exact"/>
        <w:jc w:val="left"/>
        <w:rPr>
          <w:rFonts w:hint="eastAsia"/>
          <w:color w:val="auto"/>
          <w:sz w:val="24"/>
          <w:highlight w:val="none"/>
        </w:rPr>
      </w:pPr>
      <w:r>
        <w:rPr>
          <w:rFonts w:hint="eastAsia"/>
          <w:color w:val="auto"/>
          <w:sz w:val="24"/>
          <w:highlight w:val="none"/>
        </w:rPr>
        <w:t>八、一般公共预算财政拨款基本支出决算表</w:t>
      </w:r>
      <w:r>
        <w:rPr>
          <w:rFonts w:hint="eastAsia"/>
          <w:color w:val="auto"/>
          <w:sz w:val="24"/>
          <w:highlight w:val="none"/>
          <w:lang w:val="en-US" w:eastAsia="zh-CN"/>
        </w:rPr>
        <w:tab/>
      </w:r>
      <w:r>
        <w:rPr>
          <w:rFonts w:hint="eastAsia"/>
          <w:color w:val="auto"/>
          <w:sz w:val="24"/>
          <w:highlight w:val="none"/>
          <w:lang w:val="en-US" w:eastAsia="zh-CN"/>
        </w:rPr>
        <w:t>21</w:t>
      </w:r>
    </w:p>
    <w:p w14:paraId="4AA94CE9">
      <w:pPr>
        <w:pStyle w:val="14"/>
        <w:adjustRightInd w:val="0"/>
        <w:snapToGrid w:val="0"/>
        <w:spacing w:line="440" w:lineRule="exact"/>
        <w:jc w:val="left"/>
        <w:rPr>
          <w:rFonts w:hint="eastAsia"/>
          <w:color w:val="auto"/>
          <w:sz w:val="24"/>
          <w:highlight w:val="none"/>
        </w:rPr>
      </w:pPr>
      <w:r>
        <w:rPr>
          <w:rFonts w:hint="eastAsia"/>
          <w:color w:val="auto"/>
          <w:sz w:val="24"/>
          <w:highlight w:val="none"/>
        </w:rPr>
        <w:t>九、一般公共预算财政拨款项目支出决算表</w:t>
      </w:r>
      <w:r>
        <w:rPr>
          <w:rFonts w:hint="eastAsia"/>
          <w:color w:val="auto"/>
          <w:sz w:val="24"/>
          <w:highlight w:val="none"/>
          <w:lang w:val="en-US" w:eastAsia="zh-CN"/>
        </w:rPr>
        <w:tab/>
      </w:r>
      <w:r>
        <w:rPr>
          <w:rFonts w:hint="eastAsia"/>
          <w:color w:val="auto"/>
          <w:sz w:val="24"/>
          <w:highlight w:val="none"/>
          <w:lang w:val="en-US" w:eastAsia="zh-CN"/>
        </w:rPr>
        <w:t>21</w:t>
      </w:r>
    </w:p>
    <w:p w14:paraId="5AFF6B7B">
      <w:pPr>
        <w:pStyle w:val="14"/>
        <w:adjustRightInd w:val="0"/>
        <w:snapToGrid w:val="0"/>
        <w:spacing w:line="440" w:lineRule="exact"/>
        <w:jc w:val="left"/>
        <w:rPr>
          <w:rFonts w:hint="eastAsia"/>
          <w:color w:val="auto"/>
          <w:sz w:val="24"/>
          <w:highlight w:val="none"/>
        </w:rPr>
      </w:pPr>
      <w:r>
        <w:rPr>
          <w:rFonts w:hint="eastAsia"/>
          <w:color w:val="auto"/>
          <w:sz w:val="24"/>
          <w:highlight w:val="none"/>
        </w:rPr>
        <w:t>十、一般公共预算财政拨款“三公”经费支出决算表</w:t>
      </w:r>
      <w:r>
        <w:rPr>
          <w:rFonts w:hint="eastAsia"/>
          <w:color w:val="auto"/>
          <w:sz w:val="24"/>
          <w:highlight w:val="none"/>
          <w:lang w:val="en-US" w:eastAsia="zh-CN"/>
        </w:rPr>
        <w:tab/>
      </w:r>
      <w:r>
        <w:rPr>
          <w:rFonts w:hint="eastAsia"/>
          <w:color w:val="auto"/>
          <w:sz w:val="24"/>
          <w:highlight w:val="none"/>
          <w:lang w:val="en-US" w:eastAsia="zh-CN"/>
        </w:rPr>
        <w:t>21</w:t>
      </w:r>
    </w:p>
    <w:p w14:paraId="663D96BC">
      <w:pPr>
        <w:pStyle w:val="14"/>
        <w:adjustRightInd w:val="0"/>
        <w:snapToGrid w:val="0"/>
        <w:spacing w:line="440" w:lineRule="exact"/>
        <w:jc w:val="left"/>
        <w:rPr>
          <w:rFonts w:hint="eastAsia"/>
          <w:color w:val="auto"/>
          <w:sz w:val="24"/>
          <w:highlight w:val="none"/>
        </w:rPr>
      </w:pPr>
      <w:r>
        <w:rPr>
          <w:rFonts w:hint="eastAsia"/>
          <w:color w:val="auto"/>
          <w:sz w:val="24"/>
          <w:highlight w:val="none"/>
        </w:rPr>
        <w:t>十一、政府性基金预算财政拨款收入支出决算表</w:t>
      </w:r>
      <w:r>
        <w:rPr>
          <w:rFonts w:hint="eastAsia"/>
          <w:color w:val="auto"/>
          <w:sz w:val="24"/>
          <w:highlight w:val="none"/>
          <w:lang w:val="en-US" w:eastAsia="zh-CN"/>
        </w:rPr>
        <w:tab/>
      </w:r>
      <w:r>
        <w:rPr>
          <w:rFonts w:hint="eastAsia"/>
          <w:color w:val="auto"/>
          <w:sz w:val="24"/>
          <w:highlight w:val="none"/>
          <w:lang w:val="en-US" w:eastAsia="zh-CN"/>
        </w:rPr>
        <w:t>21</w:t>
      </w:r>
    </w:p>
    <w:p w14:paraId="76EDFE02">
      <w:pPr>
        <w:pStyle w:val="14"/>
        <w:adjustRightInd w:val="0"/>
        <w:snapToGrid w:val="0"/>
        <w:spacing w:line="440" w:lineRule="exact"/>
        <w:jc w:val="left"/>
        <w:rPr>
          <w:rFonts w:hint="eastAsia"/>
          <w:color w:val="auto"/>
          <w:sz w:val="24"/>
          <w:highlight w:val="none"/>
        </w:rPr>
      </w:pPr>
      <w:r>
        <w:rPr>
          <w:rFonts w:hint="eastAsia"/>
          <w:color w:val="auto"/>
          <w:sz w:val="24"/>
          <w:highlight w:val="none"/>
        </w:rPr>
        <w:t>十二、政府性基金预算财政拨款“三公”经费支出决算表</w:t>
      </w:r>
      <w:r>
        <w:rPr>
          <w:rFonts w:hint="eastAsia"/>
          <w:color w:val="auto"/>
          <w:sz w:val="24"/>
          <w:highlight w:val="none"/>
          <w:lang w:val="en-US" w:eastAsia="zh-CN"/>
        </w:rPr>
        <w:tab/>
      </w:r>
      <w:r>
        <w:rPr>
          <w:rFonts w:hint="eastAsia"/>
          <w:color w:val="auto"/>
          <w:sz w:val="24"/>
          <w:highlight w:val="none"/>
          <w:lang w:val="en-US" w:eastAsia="zh-CN"/>
        </w:rPr>
        <w:t>21</w:t>
      </w:r>
    </w:p>
    <w:p w14:paraId="03BAE5A9">
      <w:pPr>
        <w:pStyle w:val="14"/>
        <w:adjustRightInd w:val="0"/>
        <w:snapToGrid w:val="0"/>
        <w:spacing w:line="440" w:lineRule="exact"/>
        <w:jc w:val="left"/>
        <w:rPr>
          <w:rFonts w:hint="eastAsia"/>
          <w:color w:val="auto"/>
          <w:sz w:val="24"/>
          <w:highlight w:val="none"/>
        </w:rPr>
      </w:pPr>
      <w:r>
        <w:rPr>
          <w:rFonts w:hint="eastAsia"/>
          <w:color w:val="auto"/>
          <w:sz w:val="24"/>
          <w:highlight w:val="none"/>
        </w:rPr>
        <w:t>十三、国有资本经营预算</w:t>
      </w:r>
      <w:r>
        <w:rPr>
          <w:rFonts w:hint="eastAsia"/>
          <w:color w:val="auto"/>
          <w:sz w:val="24"/>
          <w:highlight w:val="none"/>
          <w:lang w:eastAsia="zh-CN"/>
        </w:rPr>
        <w:t>财政拨款收入</w:t>
      </w:r>
      <w:r>
        <w:rPr>
          <w:rFonts w:hint="eastAsia"/>
          <w:color w:val="auto"/>
          <w:sz w:val="24"/>
          <w:highlight w:val="none"/>
        </w:rPr>
        <w:t>支出决算表</w:t>
      </w:r>
      <w:r>
        <w:rPr>
          <w:rFonts w:hint="eastAsia"/>
          <w:color w:val="auto"/>
          <w:sz w:val="24"/>
          <w:highlight w:val="none"/>
          <w:lang w:val="en-US" w:eastAsia="zh-CN"/>
        </w:rPr>
        <w:tab/>
      </w:r>
      <w:r>
        <w:rPr>
          <w:rFonts w:hint="eastAsia"/>
          <w:color w:val="auto"/>
          <w:sz w:val="24"/>
          <w:highlight w:val="none"/>
          <w:lang w:val="en-US" w:eastAsia="zh-CN"/>
        </w:rPr>
        <w:t>21</w:t>
      </w:r>
    </w:p>
    <w:p w14:paraId="07EB6603">
      <w:pPr>
        <w:pStyle w:val="14"/>
        <w:adjustRightInd w:val="0"/>
        <w:snapToGrid w:val="0"/>
        <w:spacing w:line="440" w:lineRule="exact"/>
        <w:jc w:val="left"/>
        <w:rPr>
          <w:rFonts w:ascii="仿宋" w:hAnsi="仿宋" w:eastAsia="仿宋"/>
          <w:bCs/>
          <w:kern w:val="44"/>
          <w:sz w:val="24"/>
        </w:rPr>
      </w:pPr>
      <w:r>
        <w:rPr>
          <w:rFonts w:hint="eastAsia"/>
          <w:color w:val="auto"/>
          <w:sz w:val="24"/>
          <w:highlight w:val="none"/>
          <w:lang w:val="en-US" w:eastAsia="zh-CN"/>
        </w:rPr>
        <w:t>十四、国有资本经营预算财政拨款支出决算表</w:t>
      </w:r>
      <w:r>
        <w:rPr>
          <w:rFonts w:hint="eastAsia"/>
          <w:color w:val="auto"/>
          <w:sz w:val="24"/>
          <w:highlight w:val="none"/>
          <w:lang w:val="en-US" w:eastAsia="zh-CN"/>
        </w:rPr>
        <w:tab/>
      </w:r>
      <w:r>
        <w:rPr>
          <w:rFonts w:hint="eastAsia"/>
          <w:color w:val="auto"/>
          <w:sz w:val="24"/>
          <w:highlight w:val="none"/>
          <w:lang w:val="en-US" w:eastAsia="zh-CN"/>
        </w:rPr>
        <w:t>21</w:t>
      </w:r>
      <w:r>
        <w:rPr>
          <w:rFonts w:ascii="仿宋" w:hAnsi="仿宋" w:eastAsia="仿宋"/>
          <w:b/>
          <w:sz w:val="24"/>
        </w:rPr>
        <w:br w:type="page"/>
      </w:r>
    </w:p>
    <w:p w14:paraId="0F6B849F">
      <w:pPr>
        <w:pStyle w:val="3"/>
        <w:jc w:val="center"/>
        <w:rPr>
          <w:rStyle w:val="29"/>
          <w:rFonts w:ascii="黑体" w:hAnsi="黑体" w:eastAsia="黑体"/>
          <w:b/>
          <w:bCs w:val="0"/>
        </w:rPr>
      </w:pPr>
      <w:r>
        <w:rPr>
          <w:rFonts w:hint="eastAsia" w:ascii="黑体" w:hAnsi="黑体" w:eastAsia="黑体"/>
          <w:b w:val="0"/>
        </w:rPr>
        <w:t>第一部分 单位</w:t>
      </w:r>
      <w:r>
        <w:rPr>
          <w:rStyle w:val="29"/>
          <w:rFonts w:hint="eastAsia" w:ascii="黑体" w:hAnsi="黑体" w:eastAsia="黑体"/>
          <w:b w:val="0"/>
          <w:bCs w:val="0"/>
        </w:rPr>
        <w:t>概况</w:t>
      </w:r>
      <w:bookmarkEnd w:id="12"/>
      <w:bookmarkEnd w:id="13"/>
    </w:p>
    <w:p w14:paraId="0F970805">
      <w:pPr>
        <w:widowControl/>
        <w:jc w:val="left"/>
        <w:rPr>
          <w:rFonts w:ascii="黑体" w:eastAsia="黑体"/>
          <w:sz w:val="32"/>
          <w:szCs w:val="32"/>
        </w:rPr>
      </w:pPr>
    </w:p>
    <w:p w14:paraId="7309EC7D">
      <w:pPr>
        <w:pStyle w:val="2"/>
        <w:numPr>
          <w:ilvl w:val="0"/>
          <w:numId w:val="1"/>
        </w:numPr>
        <w:rPr>
          <w:rStyle w:val="30"/>
          <w:rFonts w:ascii="黑体" w:hAnsi="黑体" w:eastAsia="黑体"/>
          <w:b w:val="0"/>
          <w:bCs w:val="0"/>
        </w:rPr>
      </w:pPr>
      <w:bookmarkStart w:id="14" w:name="_Toc15377197"/>
      <w:bookmarkStart w:id="15" w:name="_Toc15396600"/>
      <w:r>
        <w:rPr>
          <w:rStyle w:val="30"/>
          <w:rFonts w:hint="eastAsia" w:ascii="黑体" w:hAnsi="黑体" w:eastAsia="黑体"/>
          <w:b w:val="0"/>
          <w:bCs w:val="0"/>
        </w:rPr>
        <w:t>职能简介</w:t>
      </w:r>
    </w:p>
    <w:p w14:paraId="75B749D0">
      <w:pPr>
        <w:pStyle w:val="15"/>
        <w:adjustRightInd w:val="0"/>
        <w:spacing w:beforeLines="30" w:line="50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1.贯彻党的教育方针，坚持社会主义办学方向，实行教育与生产劳动相结合，对学生进行德育、智育、体育、美育和劳动等方面的教育。</w:t>
      </w:r>
    </w:p>
    <w:p w14:paraId="7E1D2B1F">
      <w:pPr>
        <w:pStyle w:val="15"/>
        <w:adjustRightInd w:val="0"/>
        <w:spacing w:beforeLines="30" w:line="50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2.负责配合政府依法动员、组织适龄儿童、少年入学，严格控制学生辍学，依法保证适龄儿童、少年接受九年义务教育。</w:t>
      </w:r>
    </w:p>
    <w:p w14:paraId="7F6F6F9D">
      <w:pPr>
        <w:pStyle w:val="15"/>
        <w:adjustRightInd w:val="0"/>
        <w:spacing w:beforeLines="30" w:line="50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3.负责依法制定学校章程，并按照章程自主管理。</w:t>
      </w:r>
    </w:p>
    <w:p w14:paraId="7FD4A227">
      <w:pPr>
        <w:pStyle w:val="15"/>
        <w:adjustRightInd w:val="0"/>
        <w:spacing w:beforeLines="30" w:line="50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4.负责制定学校教育发展规划，并抓好组织和实施工作。</w:t>
      </w:r>
    </w:p>
    <w:p w14:paraId="4EFCE958">
      <w:pPr>
        <w:pStyle w:val="15"/>
        <w:adjustRightInd w:val="0"/>
        <w:spacing w:beforeLines="30" w:line="50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5.负责按照教育主管部门发布的指导性教学计划、 教学大纲，组织实施教育教学活动。</w:t>
      </w:r>
    </w:p>
    <w:p w14:paraId="305EE1B3">
      <w:pPr>
        <w:pStyle w:val="15"/>
        <w:adjustRightInd w:val="0"/>
        <w:spacing w:beforeLines="30" w:line="50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6.</w:t>
      </w:r>
      <w:r>
        <w:rPr>
          <w:rFonts w:hint="eastAsia" w:ascii="仿宋_GB2312" w:eastAsia="仿宋_GB2312"/>
          <w:kern w:val="0"/>
          <w:szCs w:val="20"/>
        </w:rPr>
        <w:t xml:space="preserve"> </w:t>
      </w:r>
      <w:r>
        <w:rPr>
          <w:rFonts w:hint="eastAsia" w:ascii="仿宋" w:hAnsi="仿宋" w:eastAsia="仿宋" w:cs="仿宋"/>
          <w:sz w:val="32"/>
          <w:szCs w:val="32"/>
        </w:rPr>
        <w:t>负责学籍管理并对学生实施奖励或处分。</w:t>
      </w:r>
    </w:p>
    <w:p w14:paraId="4D02FD46">
      <w:pPr>
        <w:pStyle w:val="15"/>
        <w:adjustRightInd w:val="0"/>
        <w:spacing w:beforeLines="30" w:line="500" w:lineRule="exact"/>
        <w:ind w:firstLine="640" w:firstLineChars="200"/>
        <w:outlineLvl w:val="2"/>
        <w:rPr>
          <w:rFonts w:hint="eastAsia" w:ascii="仿宋" w:hAnsi="仿宋" w:eastAsia="仿宋" w:cs="仿宋"/>
          <w:color w:val="auto"/>
          <w:sz w:val="32"/>
          <w:szCs w:val="32"/>
        </w:rPr>
      </w:pPr>
      <w:r>
        <w:rPr>
          <w:rFonts w:hint="eastAsia" w:ascii="仿宋" w:hAnsi="仿宋" w:eastAsia="仿宋" w:cs="仿宋"/>
          <w:sz w:val="32"/>
          <w:szCs w:val="32"/>
        </w:rPr>
        <w:t>7.</w:t>
      </w:r>
      <w:r>
        <w:rPr>
          <w:rFonts w:hint="eastAsia" w:ascii="仿宋_GB2312" w:eastAsia="仿宋_GB2312"/>
          <w:kern w:val="0"/>
          <w:szCs w:val="20"/>
        </w:rPr>
        <w:t xml:space="preserve"> </w:t>
      </w:r>
      <w:r>
        <w:rPr>
          <w:rFonts w:hint="eastAsia" w:ascii="仿宋" w:hAnsi="仿宋" w:eastAsia="仿宋" w:cs="仿宋"/>
          <w:sz w:val="32"/>
          <w:szCs w:val="32"/>
        </w:rPr>
        <w:t>负责依法制定本校教师及其他职工聘任办法并对教师及其他员工实施包括奖励、处分</w:t>
      </w:r>
      <w:r>
        <w:rPr>
          <w:rFonts w:hint="eastAsia" w:ascii="仿宋" w:hAnsi="仿宋" w:eastAsia="仿宋" w:cs="仿宋"/>
          <w:color w:val="auto"/>
          <w:sz w:val="32"/>
          <w:szCs w:val="32"/>
        </w:rPr>
        <w:t>在内的具体管理活动。</w:t>
      </w:r>
    </w:p>
    <w:p w14:paraId="3FC94389">
      <w:pPr>
        <w:pStyle w:val="15"/>
        <w:adjustRightInd w:val="0"/>
        <w:spacing w:beforeLines="30" w:line="500" w:lineRule="exact"/>
        <w:ind w:firstLine="640" w:firstLineChars="200"/>
        <w:outlineLvl w:val="2"/>
        <w:rPr>
          <w:rFonts w:ascii="仿宋" w:hAnsi="仿宋" w:eastAsia="仿宋" w:cs="仿宋"/>
          <w:color w:val="auto"/>
          <w:sz w:val="32"/>
          <w:szCs w:val="32"/>
        </w:rPr>
      </w:pPr>
      <w:r>
        <w:rPr>
          <w:rFonts w:hint="eastAsia" w:ascii="仿宋" w:hAnsi="仿宋" w:eastAsia="仿宋" w:cs="仿宋"/>
          <w:color w:val="auto"/>
          <w:sz w:val="32"/>
          <w:szCs w:val="32"/>
        </w:rPr>
        <w:t>8. 负责科学管理、合理使用学校的设施和经费，并积极筹措资金，改善办学条件。</w:t>
      </w:r>
    </w:p>
    <w:p w14:paraId="444A540E">
      <w:pPr>
        <w:pStyle w:val="15"/>
        <w:adjustRightInd w:val="0"/>
        <w:spacing w:beforeLines="30" w:line="500" w:lineRule="exact"/>
        <w:ind w:firstLine="640" w:firstLineChars="200"/>
        <w:outlineLvl w:val="2"/>
        <w:rPr>
          <w:rFonts w:ascii="仿宋" w:hAnsi="仿宋" w:eastAsia="仿宋" w:cs="仿宋"/>
          <w:color w:val="auto"/>
          <w:sz w:val="32"/>
          <w:szCs w:val="32"/>
        </w:rPr>
      </w:pPr>
      <w:r>
        <w:rPr>
          <w:rFonts w:hint="eastAsia" w:ascii="仿宋" w:hAnsi="仿宋" w:eastAsia="仿宋" w:cs="仿宋"/>
          <w:color w:val="auto"/>
          <w:sz w:val="32"/>
          <w:szCs w:val="32"/>
        </w:rPr>
        <w:t>9. 负责维护学校、师生的合法权益，有权拒绝任何组织和个人对教育教学活动</w:t>
      </w:r>
      <w:r>
        <w:rPr>
          <w:rFonts w:hint="eastAsia" w:ascii="仿宋" w:hAnsi="仿宋" w:eastAsia="仿宋" w:cs="仿宋"/>
          <w:color w:val="auto"/>
          <w:sz w:val="32"/>
          <w:szCs w:val="32"/>
          <w:highlight w:val="none"/>
          <w:lang w:eastAsia="zh-CN"/>
        </w:rPr>
        <w:t>的</w:t>
      </w:r>
      <w:r>
        <w:rPr>
          <w:rFonts w:hint="eastAsia" w:ascii="仿宋" w:hAnsi="仿宋" w:eastAsia="仿宋" w:cs="仿宋"/>
          <w:color w:val="auto"/>
          <w:sz w:val="32"/>
          <w:szCs w:val="32"/>
        </w:rPr>
        <w:t>非法干扰。</w:t>
      </w:r>
    </w:p>
    <w:p w14:paraId="5580A012">
      <w:pPr>
        <w:pStyle w:val="15"/>
        <w:adjustRightInd w:val="0"/>
        <w:spacing w:beforeLines="30" w:line="50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10.</w:t>
      </w:r>
      <w:r>
        <w:rPr>
          <w:rFonts w:hint="eastAsia" w:ascii="仿宋_GB2312" w:eastAsia="仿宋_GB2312"/>
          <w:kern w:val="0"/>
          <w:szCs w:val="20"/>
        </w:rPr>
        <w:t xml:space="preserve"> </w:t>
      </w:r>
      <w:r>
        <w:rPr>
          <w:rFonts w:hint="eastAsia" w:ascii="仿宋" w:hAnsi="仿宋" w:eastAsia="仿宋" w:cs="仿宋"/>
          <w:sz w:val="32"/>
          <w:szCs w:val="32"/>
        </w:rPr>
        <w:t>依法接受各级教育行政部门的检查指导和人民群众的监督。</w:t>
      </w:r>
    </w:p>
    <w:p w14:paraId="6F86796D">
      <w:pPr>
        <w:ind w:firstLine="640" w:firstLineChars="200"/>
        <w:rPr>
          <w:rFonts w:ascii="仿宋" w:hAnsi="仿宋" w:eastAsia="仿宋" w:cs="仿宋"/>
          <w:sz w:val="32"/>
          <w:szCs w:val="32"/>
        </w:rPr>
      </w:pPr>
      <w:r>
        <w:rPr>
          <w:rFonts w:hint="eastAsia" w:ascii="仿宋" w:hAnsi="仿宋" w:eastAsia="仿宋" w:cs="仿宋"/>
          <w:sz w:val="32"/>
          <w:szCs w:val="32"/>
        </w:rPr>
        <w:t>11.承办上级交办的其他事项。</w:t>
      </w:r>
    </w:p>
    <w:p w14:paraId="72D58A5E">
      <w:pPr>
        <w:pStyle w:val="2"/>
        <w:rPr>
          <w:rFonts w:ascii="黑体" w:hAnsi="黑体" w:eastAsia="黑体"/>
          <w:b w:val="0"/>
        </w:rPr>
      </w:pPr>
      <w:r>
        <w:rPr>
          <w:rFonts w:hint="eastAsia" w:ascii="黑体" w:hAnsi="黑体" w:eastAsia="黑体"/>
          <w:b w:val="0"/>
        </w:rPr>
        <w:t>二、2021年重点工作</w:t>
      </w:r>
      <w:bookmarkEnd w:id="14"/>
      <w:bookmarkEnd w:id="15"/>
      <w:r>
        <w:rPr>
          <w:rFonts w:hint="eastAsia" w:ascii="黑体" w:hAnsi="黑体" w:eastAsia="黑体"/>
          <w:b w:val="0"/>
        </w:rPr>
        <w:t>完成情况</w:t>
      </w:r>
    </w:p>
    <w:p w14:paraId="51F190D0">
      <w:pPr>
        <w:spacing w:line="600" w:lineRule="exact"/>
        <w:ind w:firstLine="420" w:firstLineChars="200"/>
        <w:rPr>
          <w:rFonts w:ascii="楷体_GB2312" w:eastAsia="楷体_GB2312"/>
          <w:b/>
          <w:sz w:val="32"/>
          <w:szCs w:val="32"/>
        </w:rPr>
      </w:pPr>
      <w:r>
        <w:tab/>
      </w:r>
      <w:r>
        <w:rPr>
          <w:rFonts w:hint="eastAsia" w:ascii="楷体_GB2312" w:eastAsia="楷体_GB2312"/>
          <w:b/>
          <w:sz w:val="32"/>
          <w:szCs w:val="32"/>
        </w:rPr>
        <w:t>（一）支部本色一片红</w:t>
      </w:r>
    </w:p>
    <w:p w14:paraId="2618CAC3">
      <w:pPr>
        <w:spacing w:line="600" w:lineRule="exact"/>
        <w:ind w:firstLine="640" w:firstLineChars="200"/>
        <w:rPr>
          <w:rFonts w:eastAsia="仿宋_GB2312"/>
          <w:sz w:val="32"/>
          <w:szCs w:val="32"/>
        </w:rPr>
      </w:pPr>
      <w:r>
        <w:rPr>
          <w:rFonts w:hint="eastAsia" w:eastAsia="仿宋_GB2312"/>
          <w:sz w:val="32"/>
          <w:szCs w:val="32"/>
        </w:rPr>
        <w:t>党支部的核心引领作用和党员的模范带头作用撑起学校教育最坚强的臂膀，支部深入开展</w:t>
      </w:r>
      <w:r>
        <w:rPr>
          <w:rFonts w:hint="eastAsia" w:ascii="仿宋" w:hAnsi="仿宋" w:eastAsia="仿宋" w:cs="仿宋"/>
          <w:kern w:val="0"/>
          <w:sz w:val="32"/>
          <w:szCs w:val="32"/>
        </w:rPr>
        <w:t>“红色星期五”、“学党史、铸信仰”、党员教师“三个一”、</w:t>
      </w:r>
      <w:r>
        <w:rPr>
          <w:rFonts w:eastAsia="仿宋_GB2312"/>
          <w:sz w:val="32"/>
          <w:szCs w:val="32"/>
        </w:rPr>
        <w:t>“</w:t>
      </w:r>
      <w:r>
        <w:rPr>
          <w:rFonts w:hint="eastAsia" w:eastAsia="仿宋_GB2312"/>
          <w:sz w:val="32"/>
          <w:szCs w:val="32"/>
        </w:rPr>
        <w:t>庆祝建党一百周年</w:t>
      </w:r>
      <w:r>
        <w:rPr>
          <w:rFonts w:eastAsia="仿宋_GB2312"/>
          <w:sz w:val="32"/>
          <w:szCs w:val="32"/>
        </w:rPr>
        <w:t>”</w:t>
      </w:r>
      <w:r>
        <w:rPr>
          <w:rFonts w:hint="eastAsia" w:eastAsia="仿宋_GB2312"/>
          <w:sz w:val="32"/>
          <w:szCs w:val="32"/>
        </w:rPr>
        <w:t>、</w:t>
      </w:r>
      <w:r>
        <w:rPr>
          <w:rFonts w:hint="eastAsia" w:eastAsia="仿宋_GB2312"/>
          <w:sz w:val="32"/>
          <w:szCs w:val="32"/>
          <w:lang w:eastAsia="zh-CN"/>
        </w:rPr>
        <w:t>“不忘初心、牢记使命”主题教育</w:t>
      </w:r>
      <w:r>
        <w:rPr>
          <w:rFonts w:hint="eastAsia" w:eastAsia="仿宋_GB2312"/>
          <w:sz w:val="32"/>
          <w:szCs w:val="32"/>
        </w:rPr>
        <w:t>，继续坚持“学习强国”、“四川党建”、“昭化组工”等</w:t>
      </w:r>
      <w:r>
        <w:rPr>
          <w:rFonts w:eastAsia="仿宋_GB2312"/>
          <w:sz w:val="32"/>
          <w:szCs w:val="32"/>
        </w:rPr>
        <w:t>APP</w:t>
      </w:r>
      <w:r>
        <w:rPr>
          <w:rFonts w:hint="eastAsia" w:eastAsia="仿宋_GB2312"/>
          <w:sz w:val="32"/>
          <w:szCs w:val="32"/>
        </w:rPr>
        <w:t>的学习。补足了精神之钙，牢固了党员信仰，坚实了支部之基。党员同志坚持在教育一线，给师生办实事，为学校作贡献：徐长林副书记、刘支银副校长、张克明主席坚持一线数学教学、</w:t>
      </w:r>
      <w:r>
        <w:rPr>
          <w:rFonts w:eastAsia="仿宋_GB2312"/>
          <w:sz w:val="32"/>
          <w:szCs w:val="32"/>
        </w:rPr>
        <w:t>58</w:t>
      </w:r>
      <w:r>
        <w:rPr>
          <w:rFonts w:hint="eastAsia" w:eastAsia="仿宋_GB2312"/>
          <w:sz w:val="32"/>
          <w:szCs w:val="32"/>
        </w:rPr>
        <w:t>岁的费全林老师在毕业班历史教学中独领风骚，曹伟副校长在毕业班化学教学中续写传奇，马勇老师在教育系统建党</w:t>
      </w:r>
      <w:r>
        <w:rPr>
          <w:rFonts w:eastAsia="仿宋_GB2312"/>
          <w:sz w:val="32"/>
          <w:szCs w:val="32"/>
        </w:rPr>
        <w:t>100</w:t>
      </w:r>
      <w:r>
        <w:rPr>
          <w:rFonts w:hint="eastAsia" w:eastAsia="仿宋_GB2312"/>
          <w:sz w:val="32"/>
          <w:szCs w:val="32"/>
        </w:rPr>
        <w:t>周年表彰会上分享教育故事</w:t>
      </w:r>
      <w:r>
        <w:rPr>
          <w:rFonts w:ascii="Arial" w:hAnsi="Arial" w:eastAsia="仿宋_GB2312" w:cs="Arial"/>
          <w:sz w:val="32"/>
          <w:szCs w:val="32"/>
        </w:rPr>
        <w:t>……</w:t>
      </w:r>
      <w:r>
        <w:rPr>
          <w:rFonts w:hint="eastAsia" w:eastAsia="仿宋_GB2312"/>
          <w:sz w:val="32"/>
          <w:szCs w:val="32"/>
        </w:rPr>
        <w:t>。他们书写正能量，传递正能量，一点一</w:t>
      </w:r>
      <w:bookmarkStart w:id="66" w:name="_GoBack"/>
      <w:bookmarkEnd w:id="66"/>
      <w:r>
        <w:rPr>
          <w:rFonts w:hint="eastAsia" w:eastAsia="仿宋_GB2312"/>
          <w:sz w:val="32"/>
          <w:szCs w:val="32"/>
        </w:rPr>
        <w:t>滴的业绩让党旗更红，一早一夕的奋斗让支部更坚。</w:t>
      </w:r>
    </w:p>
    <w:p w14:paraId="0371FF36">
      <w:pPr>
        <w:widowControl/>
        <w:spacing w:line="576" w:lineRule="atLeast"/>
        <w:ind w:firstLine="643" w:firstLineChars="200"/>
        <w:jc w:val="left"/>
        <w:outlineLvl w:val="1"/>
        <w:rPr>
          <w:rFonts w:ascii="楷体" w:hAnsi="楷体" w:eastAsia="楷体" w:cs="楷体"/>
          <w:sz w:val="32"/>
          <w:szCs w:val="32"/>
        </w:rPr>
      </w:pPr>
      <w:r>
        <w:rPr>
          <w:rFonts w:hint="eastAsia" w:ascii="楷体" w:hAnsi="楷体" w:eastAsia="楷体" w:cs="楷体"/>
          <w:b/>
          <w:bCs/>
          <w:sz w:val="32"/>
          <w:szCs w:val="32"/>
        </w:rPr>
        <w:t>（二）班子勤奋显初心</w:t>
      </w:r>
    </w:p>
    <w:p w14:paraId="763C195B">
      <w:pPr>
        <w:ind w:firstLine="640" w:firstLineChars="200"/>
        <w:rPr>
          <w:rFonts w:ascii="仿宋" w:hAnsi="仿宋" w:eastAsia="仿宋" w:cs="仿宋"/>
          <w:color w:val="333333"/>
          <w:sz w:val="32"/>
          <w:szCs w:val="32"/>
          <w:shd w:val="clear" w:color="auto" w:fill="FFFFFF"/>
        </w:rPr>
      </w:pPr>
      <w:r>
        <w:rPr>
          <w:rFonts w:hint="eastAsia" w:eastAsia="仿宋_GB2312"/>
          <w:sz w:val="32"/>
          <w:szCs w:val="32"/>
        </w:rPr>
        <w:t>火车跑得快，全靠车头带</w:t>
      </w:r>
      <w:r>
        <w:rPr>
          <w:rFonts w:hint="eastAsia" w:ascii="仿宋" w:hAnsi="仿宋" w:eastAsia="仿宋" w:cs="仿宋"/>
          <w:sz w:val="32"/>
          <w:szCs w:val="32"/>
        </w:rPr>
        <w:t>。一年来，学校加大领导班子的建设力度。一是将班子成员的思想建设和作风建设放在首位，召开支委会</w:t>
      </w:r>
      <w:r>
        <w:rPr>
          <w:rFonts w:ascii="仿宋" w:hAnsi="仿宋" w:eastAsia="仿宋" w:cs="仿宋"/>
          <w:b/>
          <w:bCs/>
          <w:sz w:val="32"/>
          <w:szCs w:val="32"/>
        </w:rPr>
        <w:t>20</w:t>
      </w:r>
      <w:r>
        <w:rPr>
          <w:rFonts w:hint="eastAsia" w:ascii="仿宋" w:hAnsi="仿宋" w:eastAsia="仿宋" w:cs="仿宋"/>
          <w:sz w:val="32"/>
          <w:szCs w:val="32"/>
        </w:rPr>
        <w:t>余次，行政会</w:t>
      </w:r>
      <w:r>
        <w:rPr>
          <w:rFonts w:ascii="仿宋" w:hAnsi="仿宋" w:eastAsia="仿宋" w:cs="仿宋"/>
          <w:b/>
          <w:bCs/>
          <w:sz w:val="32"/>
          <w:szCs w:val="32"/>
        </w:rPr>
        <w:t>40</w:t>
      </w:r>
      <w:r>
        <w:rPr>
          <w:rFonts w:hint="eastAsia" w:ascii="仿宋" w:hAnsi="仿宋" w:eastAsia="仿宋" w:cs="仿宋"/>
          <w:sz w:val="32"/>
          <w:szCs w:val="32"/>
        </w:rPr>
        <w:t>余次，次次讲作风，会会凝思想。二是工作责任化，落实了部门责任清单，完善了领导岗位责任制和责任追究制度，进一步增强班子成员的责任感和使命感。三是增强领导班子模范作用，</w:t>
      </w:r>
      <w:r>
        <w:rPr>
          <w:rFonts w:hint="eastAsia" w:ascii="仿宋" w:hAnsi="仿宋" w:eastAsia="仿宋" w:cs="仿宋"/>
          <w:color w:val="333333"/>
          <w:sz w:val="32"/>
          <w:szCs w:val="32"/>
          <w:shd w:val="clear" w:color="auto" w:fill="FFFFFF"/>
        </w:rPr>
        <w:t>班子成员率先垂范，以身作则，勇挑重担</w:t>
      </w:r>
      <w:r>
        <w:rPr>
          <w:rFonts w:hint="eastAsia" w:ascii="仿宋" w:hAnsi="仿宋" w:eastAsia="仿宋" w:cs="仿宋"/>
          <w:sz w:val="32"/>
          <w:szCs w:val="32"/>
        </w:rPr>
        <w:t>。曹伟、仲鑫班主任工作义无反顾，张家坤、罗欢、韩杰秀毕业班教学任劳任怨。四是开展提升学习和培训，派出学习培训</w:t>
      </w:r>
      <w:r>
        <w:rPr>
          <w:rFonts w:ascii="仿宋" w:hAnsi="仿宋" w:eastAsia="仿宋" w:cs="仿宋"/>
          <w:b/>
          <w:bCs/>
          <w:sz w:val="32"/>
          <w:szCs w:val="32"/>
        </w:rPr>
        <w:t>30</w:t>
      </w:r>
      <w:r>
        <w:rPr>
          <w:rFonts w:hint="eastAsia" w:ascii="仿宋" w:hAnsi="仿宋" w:eastAsia="仿宋" w:cs="仿宋"/>
          <w:sz w:val="32"/>
          <w:szCs w:val="32"/>
        </w:rPr>
        <w:t>余次，全面提高班子成员的执政能力和管理水平。五是不断完善规章制度，使管理更科学，更规范，更有章可循。一年来，班子成员守土有责、守土尽责，历练出了欧阳、王燕华、朱新玉等管理岗位上的精兵强将，他们以“校兴我荣”的责任感圆满</w:t>
      </w:r>
      <w:r>
        <w:rPr>
          <w:rFonts w:hint="eastAsia" w:ascii="仿宋" w:hAnsi="仿宋" w:eastAsia="仿宋" w:cs="仿宋"/>
          <w:color w:val="333333"/>
          <w:sz w:val="32"/>
          <w:szCs w:val="32"/>
          <w:shd w:val="clear" w:color="auto" w:fill="FFFFFF"/>
        </w:rPr>
        <w:t>完成各项工作，用实际行动赢得了师生的尊重和敬仰。</w:t>
      </w:r>
    </w:p>
    <w:p w14:paraId="354259D4">
      <w:pPr>
        <w:ind w:firstLine="643" w:firstLineChars="200"/>
        <w:rPr>
          <w:rFonts w:ascii="楷体_GB2312" w:eastAsia="楷体_GB2312"/>
          <w:b/>
          <w:sz w:val="32"/>
          <w:szCs w:val="32"/>
        </w:rPr>
      </w:pPr>
      <w:r>
        <w:rPr>
          <w:rFonts w:hint="eastAsia" w:ascii="楷体_GB2312" w:eastAsia="楷体_GB2312"/>
          <w:b/>
          <w:sz w:val="32"/>
          <w:szCs w:val="32"/>
        </w:rPr>
        <w:t>（三）夯实常规践使命</w:t>
      </w:r>
    </w:p>
    <w:p w14:paraId="5A77D084">
      <w:pPr>
        <w:spacing w:line="600" w:lineRule="exact"/>
        <w:ind w:firstLine="640" w:firstLineChars="200"/>
        <w:rPr>
          <w:rFonts w:eastAsia="仿宋_GB2312"/>
          <w:sz w:val="32"/>
          <w:szCs w:val="32"/>
        </w:rPr>
      </w:pPr>
      <w:r>
        <w:rPr>
          <w:rFonts w:hint="eastAsia" w:eastAsia="仿宋_GB2312"/>
          <w:sz w:val="32"/>
          <w:szCs w:val="32"/>
        </w:rPr>
        <w:t>我们优化教师队伍，组建各年级教师“梦之队”，运用“沙丁鱼效应”来促动教师奋力前行：王振齐、李凤梅老师老当益壮，王平、李化才、易凤萍、代庚海中流砥柱，俞国金、韩杰秀业精于勤；实施公平教育，让每一位学生都不输在起跑线上；抓实抓细抓好毕业班教学，让学校不辜负每一位学生；教导处敢于亮剑，备课、辅导、作业批改让老师时常脸红心跳；“说</w:t>
      </w:r>
      <w:r>
        <w:rPr>
          <w:rFonts w:eastAsia="仿宋_GB2312"/>
          <w:sz w:val="32"/>
          <w:szCs w:val="32"/>
        </w:rPr>
        <w:t>-</w:t>
      </w:r>
      <w:r>
        <w:rPr>
          <w:rFonts w:hint="eastAsia" w:eastAsia="仿宋_GB2312"/>
          <w:sz w:val="32"/>
          <w:szCs w:val="32"/>
        </w:rPr>
        <w:t>讲</w:t>
      </w:r>
      <w:r>
        <w:rPr>
          <w:rFonts w:eastAsia="仿宋_GB2312"/>
          <w:sz w:val="32"/>
          <w:szCs w:val="32"/>
        </w:rPr>
        <w:t>-</w:t>
      </w:r>
      <w:r>
        <w:rPr>
          <w:rFonts w:hint="eastAsia" w:eastAsia="仿宋_GB2312"/>
          <w:sz w:val="32"/>
          <w:szCs w:val="32"/>
        </w:rPr>
        <w:t>评”教研活动让老年、中年、青年教师比肩前行；市级课题“农村初中学困生转化策略研究”、“农村中小学教师信息技术提升策略研究”让等老师沉心研究，教学相长；“青蓝工程”助力陈言军、陈显文等青年教师茁壮成长；“我陪校长来读书”的活动为书香校园奠定坚实基础。一年来，老师善言善教，学生敏而好学，校园一片繁忙的春耕图。</w:t>
      </w:r>
    </w:p>
    <w:p w14:paraId="25F012A2">
      <w:pPr>
        <w:spacing w:line="576" w:lineRule="atLeast"/>
        <w:ind w:firstLine="643" w:firstLineChars="200"/>
        <w:rPr>
          <w:rFonts w:ascii="楷体_GB2312" w:eastAsia="楷体_GB2312"/>
          <w:b/>
          <w:sz w:val="32"/>
          <w:szCs w:val="32"/>
        </w:rPr>
      </w:pPr>
      <w:r>
        <w:rPr>
          <w:rFonts w:hint="eastAsia" w:ascii="楷体_GB2312" w:eastAsia="楷体_GB2312"/>
          <w:b/>
          <w:sz w:val="32"/>
          <w:szCs w:val="32"/>
        </w:rPr>
        <w:t>（四）队伍建设提素质。</w:t>
      </w:r>
    </w:p>
    <w:p w14:paraId="300FCC6A">
      <w:pPr>
        <w:spacing w:line="576" w:lineRule="atLeast"/>
        <w:ind w:firstLine="640" w:firstLineChars="200"/>
        <w:rPr>
          <w:rFonts w:eastAsia="仿宋_GB2312"/>
          <w:sz w:val="32"/>
          <w:szCs w:val="32"/>
        </w:rPr>
      </w:pPr>
      <w:r>
        <w:rPr>
          <w:rFonts w:hint="eastAsia" w:ascii="仿宋" w:hAnsi="仿宋" w:eastAsia="仿宋" w:cs="仿宋"/>
          <w:sz w:val="32"/>
          <w:szCs w:val="32"/>
        </w:rPr>
        <w:t>问渠那得清如许，为有源头活水来</w:t>
      </w:r>
      <w:r>
        <w:rPr>
          <w:rFonts w:hint="eastAsia" w:eastAsia="仿宋_GB2312"/>
          <w:sz w:val="32"/>
          <w:szCs w:val="32"/>
        </w:rPr>
        <w:t>。通过班主任培训、实地研修、集体学习等方式，锤炼了班主任管理能力，提升了治班水平，让冯子阳、马勇等优秀班主任活力换发，激情不减，班主任工作再攀新高，也培育了张燕、罗贵蓉、余静等班主任岗位上的后起之秀，他们不仅是学生的良师益友，更有长江后浪推前浪的宏伟力量。通过公开课、教学大比武、集体备课、外派到广外等学校跟岗实习等活动开阔了老师们的教育视野，提升了教育技能，成长了韩杰秀、罗欢、陈阳、陈言军等一批教学能手，他们不仅教学成绩优秀，教学大比武更是技压群雄，一枝独秀。如今的校园，教师和谐奋进，教育五彩缤纷。</w:t>
      </w:r>
    </w:p>
    <w:p w14:paraId="3C0C74B2">
      <w:pPr>
        <w:spacing w:line="600" w:lineRule="exact"/>
        <w:ind w:firstLine="643" w:firstLineChars="200"/>
        <w:rPr>
          <w:rFonts w:ascii="楷体_GB2312" w:eastAsia="楷体_GB2312"/>
          <w:b/>
          <w:sz w:val="32"/>
          <w:szCs w:val="32"/>
        </w:rPr>
      </w:pPr>
      <w:r>
        <w:rPr>
          <w:rFonts w:hint="eastAsia" w:ascii="楷体_GB2312" w:eastAsia="楷体_GB2312"/>
          <w:b/>
          <w:sz w:val="32"/>
          <w:szCs w:val="32"/>
        </w:rPr>
        <w:t>（五）阳光德育育新人。</w:t>
      </w:r>
    </w:p>
    <w:p w14:paraId="5A286498">
      <w:pPr>
        <w:spacing w:line="600" w:lineRule="exact"/>
        <w:ind w:firstLine="640" w:firstLineChars="200"/>
        <w:rPr>
          <w:rFonts w:eastAsia="仿宋_GB2312"/>
          <w:sz w:val="32"/>
          <w:szCs w:val="32"/>
        </w:rPr>
      </w:pPr>
      <w:r>
        <w:rPr>
          <w:rFonts w:hint="eastAsia" w:eastAsia="仿宋_GB2312"/>
          <w:sz w:val="32"/>
          <w:szCs w:val="32"/>
        </w:rPr>
        <w:t>坚持德育为先、育人为本的德育工作理念。落实安全双预机制；推行学生自主管理，组建了能吃苦、能创新、敢管理的班主任队伍；创新德育主题，开展“缅怀两弹元勋</w:t>
      </w:r>
      <w:r>
        <w:rPr>
          <w:rFonts w:eastAsia="仿宋_GB2312"/>
          <w:sz w:val="32"/>
          <w:szCs w:val="32"/>
        </w:rPr>
        <w:t xml:space="preserve">   </w:t>
      </w:r>
      <w:r>
        <w:rPr>
          <w:rFonts w:hint="eastAsia" w:eastAsia="仿宋_GB2312"/>
          <w:sz w:val="32"/>
          <w:szCs w:val="32"/>
        </w:rPr>
        <w:t>传承两弹精神”实践研修，到红军山祭奠先烈，到滨湖园区看现代农业，到社区帮扶孤寡老人，让学生融入社会、体验社会；防溺水、森林防灭火、防邪反邪、防校园欺凌、交通安全、用电用气安全等专题讲座让学生入脑上心，防暴、防震演练让学生熟练逃生技能；开通心理驿站，让阳光照亮问题学生的心灵；和派出所、居委会一道治理不法商店、饭馆、酒吧、旅社，净化校园周边环境，维护教育秩序；利用</w:t>
      </w:r>
      <w:r>
        <w:rPr>
          <w:rFonts w:eastAsia="仿宋_GB2312"/>
          <w:sz w:val="32"/>
          <w:szCs w:val="32"/>
        </w:rPr>
        <w:t>QQ</w:t>
      </w:r>
      <w:r>
        <w:rPr>
          <w:rFonts w:hint="eastAsia" w:eastAsia="仿宋_GB2312"/>
          <w:sz w:val="32"/>
          <w:szCs w:val="32"/>
        </w:rPr>
        <w:t>、微信、家校通、构建德育家长学校，让家校联动，共同发力。校园</w:t>
      </w:r>
      <w:r>
        <w:rPr>
          <w:rFonts w:eastAsia="仿宋_GB2312"/>
          <w:sz w:val="32"/>
          <w:szCs w:val="32"/>
        </w:rPr>
        <w:t>“</w:t>
      </w:r>
      <w:r>
        <w:rPr>
          <w:rFonts w:hint="eastAsia" w:eastAsia="仿宋_GB2312"/>
          <w:sz w:val="32"/>
          <w:szCs w:val="32"/>
        </w:rPr>
        <w:t>处处有德育，事事皆育人</w:t>
      </w:r>
      <w:r>
        <w:rPr>
          <w:rFonts w:eastAsia="仿宋_GB2312"/>
          <w:sz w:val="32"/>
          <w:szCs w:val="32"/>
        </w:rPr>
        <w:t>”</w:t>
      </w:r>
      <w:r>
        <w:rPr>
          <w:rFonts w:hint="eastAsia" w:eastAsia="仿宋_GB2312"/>
          <w:sz w:val="32"/>
          <w:szCs w:val="32"/>
        </w:rPr>
        <w:t>，生态良好，一片生机盎然。</w:t>
      </w:r>
    </w:p>
    <w:p w14:paraId="7846BF19">
      <w:pPr>
        <w:numPr>
          <w:ilvl w:val="0"/>
          <w:numId w:val="2"/>
        </w:numPr>
        <w:spacing w:line="576" w:lineRule="exact"/>
        <w:ind w:firstLine="803" w:firstLineChars="250"/>
        <w:rPr>
          <w:rFonts w:ascii="仿宋" w:hAnsi="仿宋" w:eastAsia="仿宋" w:cs="仿宋"/>
          <w:sz w:val="32"/>
          <w:szCs w:val="32"/>
        </w:rPr>
      </w:pPr>
      <w:r>
        <w:rPr>
          <w:rFonts w:hint="eastAsia" w:ascii="楷体" w:hAnsi="楷体" w:eastAsia="楷体" w:cs="仿宋"/>
          <w:b/>
          <w:sz w:val="32"/>
          <w:szCs w:val="32"/>
        </w:rPr>
        <w:t>依法治校廉政行</w:t>
      </w:r>
    </w:p>
    <w:p w14:paraId="562506E2">
      <w:pPr>
        <w:spacing w:line="576" w:lineRule="exact"/>
        <w:ind w:firstLine="960" w:firstLineChars="300"/>
        <w:rPr>
          <w:rFonts w:ascii="仿宋" w:hAnsi="仿宋" w:eastAsia="仿宋" w:cs="仿宋"/>
          <w:sz w:val="32"/>
          <w:szCs w:val="32"/>
        </w:rPr>
      </w:pPr>
      <w:r>
        <w:rPr>
          <w:rFonts w:hint="eastAsia" w:ascii="仿宋" w:hAnsi="仿宋" w:eastAsia="仿宋" w:cs="仿宋"/>
          <w:sz w:val="32"/>
          <w:szCs w:val="32"/>
        </w:rPr>
        <w:t>学校依法治校，教师依法执教。以《民法典》、《教育法》、《教师法》、《未成年人保护法》等法律法规治理校园，严格执行中央八项规定和省市区各种禁令，坚持三重一大原则，在项目、人事、接待、教辅、课后服务等社会敏感事务上依法律、守原则，筑牢安全防线，在评职、晋级、评优、选模、绩效等方面公开、公平、公正，一把尺子量到底。</w:t>
      </w:r>
      <w:r>
        <w:rPr>
          <w:rFonts w:hint="eastAsia" w:eastAsia="仿宋_GB2312"/>
          <w:sz w:val="32"/>
          <w:szCs w:val="32"/>
        </w:rPr>
        <w:t>以《义务教育学校管理标准》及“五项管理”做行业要求，让老师们</w:t>
      </w:r>
      <w:r>
        <w:rPr>
          <w:rFonts w:eastAsia="仿宋_GB2312"/>
          <w:sz w:val="32"/>
          <w:szCs w:val="32"/>
        </w:rPr>
        <w:t>“</w:t>
      </w:r>
      <w:r>
        <w:rPr>
          <w:rFonts w:hint="eastAsia" w:eastAsia="仿宋_GB2312"/>
          <w:sz w:val="32"/>
          <w:szCs w:val="32"/>
        </w:rPr>
        <w:t>画圆有规，制方依矩</w:t>
      </w:r>
      <w:r>
        <w:rPr>
          <w:rFonts w:eastAsia="仿宋_GB2312"/>
          <w:sz w:val="32"/>
          <w:szCs w:val="32"/>
        </w:rPr>
        <w:t>”</w:t>
      </w:r>
      <w:r>
        <w:rPr>
          <w:rFonts w:hint="eastAsia" w:eastAsia="仿宋_GB2312"/>
          <w:sz w:val="32"/>
          <w:szCs w:val="32"/>
        </w:rPr>
        <w:t>，</w:t>
      </w:r>
      <w:r>
        <w:rPr>
          <w:rFonts w:eastAsia="仿宋_GB2312"/>
          <w:sz w:val="32"/>
          <w:szCs w:val="32"/>
        </w:rPr>
        <w:t xml:space="preserve"> </w:t>
      </w:r>
      <w:r>
        <w:rPr>
          <w:rFonts w:hint="eastAsia" w:eastAsia="仿宋_GB2312"/>
          <w:sz w:val="32"/>
          <w:szCs w:val="32"/>
        </w:rPr>
        <w:t>把师德师风放在教师首位，</w:t>
      </w:r>
      <w:r>
        <w:rPr>
          <w:rFonts w:hint="eastAsia" w:ascii="仿宋" w:hAnsi="仿宋" w:eastAsia="仿宋" w:cs="仿宋"/>
          <w:sz w:val="32"/>
          <w:szCs w:val="32"/>
        </w:rPr>
        <w:t>严格遵守《新时代中小学教师职业道德规范》，争做“四有”好教师，不有偿补课，不接受家长宴请和红包，不体罚和变相体罚学生。师生正义凛然，校园风清气正。</w:t>
      </w:r>
    </w:p>
    <w:p w14:paraId="4B1FC8AF">
      <w:pPr>
        <w:numPr>
          <w:ilvl w:val="0"/>
          <w:numId w:val="2"/>
        </w:numPr>
        <w:spacing w:line="576" w:lineRule="exact"/>
        <w:ind w:firstLine="803" w:firstLineChars="250"/>
        <w:jc w:val="left"/>
        <w:rPr>
          <w:rFonts w:ascii="楷体" w:hAnsi="楷体" w:eastAsia="楷体" w:cs="仿宋"/>
          <w:b/>
          <w:kern w:val="0"/>
          <w:sz w:val="32"/>
          <w:szCs w:val="32"/>
        </w:rPr>
      </w:pPr>
      <w:r>
        <w:rPr>
          <w:rFonts w:hint="eastAsia" w:ascii="楷体" w:hAnsi="楷体" w:eastAsia="楷体" w:cs="仿宋"/>
          <w:b/>
          <w:kern w:val="0"/>
          <w:sz w:val="32"/>
          <w:szCs w:val="32"/>
        </w:rPr>
        <w:t>抗击疫情保安全</w:t>
      </w:r>
    </w:p>
    <w:p w14:paraId="4ACF7A36">
      <w:pPr>
        <w:spacing w:line="576" w:lineRule="exact"/>
        <w:ind w:firstLine="960" w:firstLineChars="300"/>
        <w:jc w:val="left"/>
        <w:rPr>
          <w:rFonts w:ascii="仿宋" w:hAnsi="仿宋" w:eastAsia="仿宋" w:cs="仿宋"/>
          <w:kern w:val="0"/>
          <w:sz w:val="32"/>
          <w:szCs w:val="32"/>
        </w:rPr>
      </w:pPr>
      <w:r>
        <w:rPr>
          <w:rFonts w:hint="eastAsia" w:ascii="仿宋" w:hAnsi="仿宋" w:eastAsia="仿宋" w:cs="仿宋"/>
          <w:kern w:val="0"/>
          <w:sz w:val="32"/>
          <w:szCs w:val="32"/>
        </w:rPr>
        <w:t>一年来，新冠肺炎肆虐全球，学校第一时间落实中央、省、市、区、教育主管部门的抗疫部署和措施，成立了专项工作组，制定了“两案九制”，购买了抗疫物质、加装防疫设备设施；教师轮流值班、学生时时追踪，记录完善、台账清楚；一米线、戴口罩、勤洗手、常通风、不聚集、等防疫知识耳祥口熟；健康码、场所码，行程码，码码绿色，受到家长和主管部门的一致好评。现学校教职工全员接种，精准校内防控，严防校外输入，坚决捍卫了师生员工的生命健康。真正做到了“外边风吹雨打，校内闲庭信步”。</w:t>
      </w:r>
    </w:p>
    <w:p w14:paraId="09FBC5AB">
      <w:pPr>
        <w:numPr>
          <w:ilvl w:val="0"/>
          <w:numId w:val="2"/>
        </w:numPr>
        <w:spacing w:line="600" w:lineRule="exact"/>
        <w:ind w:firstLine="803" w:firstLineChars="250"/>
        <w:rPr>
          <w:rFonts w:ascii="楷体_GB2312" w:eastAsia="楷体_GB2312"/>
          <w:b/>
          <w:sz w:val="32"/>
          <w:szCs w:val="32"/>
        </w:rPr>
      </w:pPr>
      <w:r>
        <w:rPr>
          <w:rFonts w:hint="eastAsia" w:ascii="楷体_GB2312" w:eastAsia="楷体_GB2312"/>
          <w:b/>
          <w:sz w:val="32"/>
          <w:szCs w:val="32"/>
        </w:rPr>
        <w:t>民生工程暖人心</w:t>
      </w:r>
    </w:p>
    <w:p w14:paraId="01CC4073">
      <w:pPr>
        <w:spacing w:line="600" w:lineRule="exact"/>
        <w:ind w:firstLine="640" w:firstLineChars="200"/>
        <w:rPr>
          <w:rFonts w:ascii="仿宋" w:hAnsi="仿宋" w:eastAsia="仿宋" w:cs="仿宋"/>
          <w:sz w:val="32"/>
          <w:szCs w:val="32"/>
        </w:rPr>
      </w:pPr>
      <w:r>
        <w:rPr>
          <w:rFonts w:hint="eastAsia" w:eastAsia="仿宋_GB2312"/>
          <w:sz w:val="32"/>
          <w:szCs w:val="32"/>
        </w:rPr>
        <w:t>我们落实国家政策，做实民生工程。控辍保学不失一人，资助救助不漏一人，表册填写精准化，送教上门常态化；</w:t>
      </w:r>
      <w:r>
        <w:rPr>
          <w:rFonts w:eastAsia="仿宋_GB2312"/>
          <w:sz w:val="32"/>
          <w:szCs w:val="32"/>
        </w:rPr>
        <w:t xml:space="preserve"> “</w:t>
      </w:r>
      <w:r>
        <w:rPr>
          <w:rFonts w:hint="eastAsia" w:eastAsia="仿宋_GB2312"/>
          <w:sz w:val="32"/>
          <w:szCs w:val="32"/>
        </w:rPr>
        <w:t>三免一补</w:t>
      </w:r>
      <w:r>
        <w:rPr>
          <w:rFonts w:eastAsia="仿宋_GB2312"/>
          <w:sz w:val="32"/>
          <w:szCs w:val="32"/>
        </w:rPr>
        <w:t>”</w:t>
      </w:r>
      <w:r>
        <w:rPr>
          <w:rFonts w:hint="eastAsia" w:eastAsia="仿宋_GB2312"/>
          <w:sz w:val="32"/>
          <w:szCs w:val="32"/>
        </w:rPr>
        <w:t>家喻户晓，</w:t>
      </w:r>
      <w:r>
        <w:rPr>
          <w:rFonts w:hint="eastAsia" w:ascii="仿宋" w:hAnsi="仿宋" w:eastAsia="仿宋" w:cs="仿宋"/>
          <w:sz w:val="32"/>
          <w:szCs w:val="32"/>
        </w:rPr>
        <w:t>探亲计划让学生和家长亲情相聚，</w:t>
      </w:r>
      <w:r>
        <w:rPr>
          <w:rFonts w:eastAsia="仿宋_GB2312"/>
          <w:sz w:val="32"/>
          <w:szCs w:val="32"/>
        </w:rPr>
        <w:t xml:space="preserve"> “5+2”</w:t>
      </w:r>
      <w:r>
        <w:rPr>
          <w:rFonts w:hint="eastAsia" w:eastAsia="仿宋_GB2312"/>
          <w:sz w:val="32"/>
          <w:szCs w:val="32"/>
        </w:rPr>
        <w:t>供餐货真价实，热水澡暖手更暖心；名厨亮灶、教师轮流收菜、行政陪餐，</w:t>
      </w:r>
      <w:r>
        <w:rPr>
          <w:rFonts w:hint="eastAsia" w:ascii="仿宋" w:hAnsi="仿宋" w:eastAsia="仿宋" w:cs="仿宋"/>
          <w:sz w:val="32"/>
          <w:szCs w:val="32"/>
        </w:rPr>
        <w:t>师生同餐，</w:t>
      </w:r>
      <w:r>
        <w:rPr>
          <w:rFonts w:hint="eastAsia" w:eastAsia="仿宋_GB2312"/>
          <w:sz w:val="32"/>
          <w:szCs w:val="32"/>
        </w:rPr>
        <w:t>让食堂经营正规、阳光。免费为学生更换餐具，免费熬制流感预防药，</w:t>
      </w:r>
      <w:r>
        <w:rPr>
          <w:rFonts w:hint="eastAsia" w:ascii="仿宋" w:hAnsi="仿宋" w:eastAsia="仿宋" w:cs="仿宋"/>
          <w:sz w:val="32"/>
          <w:szCs w:val="32"/>
        </w:rPr>
        <w:t>免费送青牛陈江籍学生回家，</w:t>
      </w:r>
      <w:r>
        <w:rPr>
          <w:rFonts w:hint="eastAsia" w:eastAsia="仿宋_GB2312"/>
          <w:sz w:val="32"/>
          <w:szCs w:val="32"/>
        </w:rPr>
        <w:t>为个别特贫生资助生活费、校服费、床铺费、资料费等暖心行为让学生感受到学校就是家；</w:t>
      </w:r>
      <w:r>
        <w:rPr>
          <w:rFonts w:hint="eastAsia" w:ascii="仿宋" w:hAnsi="仿宋" w:eastAsia="仿宋" w:cs="仿宋"/>
          <w:sz w:val="32"/>
          <w:szCs w:val="32"/>
        </w:rPr>
        <w:t>我们装空调、按暖气、让老师们夏天清凉，冬天温暖。一年来，管理用心、教师舒心、学生开心，家长放心。</w:t>
      </w:r>
      <w:r>
        <w:rPr>
          <w:rFonts w:ascii="仿宋" w:hAnsi="仿宋" w:eastAsia="仿宋" w:cs="仿宋"/>
          <w:sz w:val="32"/>
          <w:szCs w:val="32"/>
        </w:rPr>
        <w:t xml:space="preserve"> </w:t>
      </w:r>
      <w:r>
        <w:rPr>
          <w:rFonts w:hint="eastAsia" w:eastAsia="仿宋_GB2312"/>
          <w:sz w:val="32"/>
          <w:szCs w:val="32"/>
        </w:rPr>
        <w:t>项项民生工程为民生，一事一物暖人心。</w:t>
      </w:r>
    </w:p>
    <w:p w14:paraId="3F686719">
      <w:pPr>
        <w:numPr>
          <w:ilvl w:val="0"/>
          <w:numId w:val="2"/>
        </w:numPr>
        <w:spacing w:line="576" w:lineRule="atLeast"/>
        <w:ind w:firstLine="803" w:firstLineChars="250"/>
        <w:rPr>
          <w:rFonts w:ascii="楷体" w:hAnsi="楷体" w:eastAsia="楷体" w:cs="楷体"/>
          <w:b/>
          <w:bCs/>
          <w:sz w:val="32"/>
          <w:szCs w:val="32"/>
        </w:rPr>
      </w:pPr>
      <w:r>
        <w:rPr>
          <w:rFonts w:hint="eastAsia" w:ascii="楷体" w:hAnsi="楷体" w:eastAsia="楷体" w:cs="楷体"/>
          <w:b/>
          <w:bCs/>
          <w:sz w:val="32"/>
          <w:szCs w:val="32"/>
        </w:rPr>
        <w:t>其余工作竞芬芳</w:t>
      </w:r>
    </w:p>
    <w:p w14:paraId="4DD6C954">
      <w:pPr>
        <w:spacing w:line="576" w:lineRule="atLeast"/>
        <w:ind w:firstLine="640" w:firstLineChars="200"/>
        <w:rPr>
          <w:rFonts w:ascii="仿宋" w:hAnsi="仿宋" w:eastAsia="仿宋" w:cs="仿宋"/>
          <w:color w:val="333333"/>
          <w:sz w:val="32"/>
          <w:szCs w:val="32"/>
        </w:rPr>
      </w:pPr>
      <w:r>
        <w:rPr>
          <w:rFonts w:hint="eastAsia" w:ascii="仿宋" w:hAnsi="仿宋" w:eastAsia="仿宋" w:cs="仿宋"/>
          <w:sz w:val="32"/>
          <w:szCs w:val="32"/>
        </w:rPr>
        <w:t>一年来，学校加强工会建设，充分发挥工会桥梁纽带作用，全面提升民主管理水平。争取替代服务资金</w:t>
      </w:r>
      <w:r>
        <w:rPr>
          <w:rFonts w:ascii="仿宋" w:hAnsi="仿宋" w:eastAsia="仿宋" w:cs="仿宋"/>
          <w:b/>
          <w:bCs/>
          <w:sz w:val="32"/>
          <w:szCs w:val="32"/>
        </w:rPr>
        <w:t>35</w:t>
      </w:r>
      <w:r>
        <w:rPr>
          <w:rFonts w:hint="eastAsia" w:ascii="仿宋" w:hAnsi="仿宋" w:eastAsia="仿宋" w:cs="仿宋"/>
          <w:sz w:val="32"/>
          <w:szCs w:val="32"/>
        </w:rPr>
        <w:t>余万元，建设了室内健身馆、卡拉</w:t>
      </w:r>
      <w:r>
        <w:rPr>
          <w:rFonts w:ascii="仿宋" w:hAnsi="仿宋" w:eastAsia="仿宋" w:cs="仿宋"/>
          <w:sz w:val="32"/>
          <w:szCs w:val="32"/>
        </w:rPr>
        <w:t>OK</w:t>
      </w:r>
      <w:r>
        <w:rPr>
          <w:rFonts w:hint="eastAsia" w:ascii="仿宋" w:hAnsi="仿宋" w:eastAsia="仿宋" w:cs="仿宋"/>
          <w:sz w:val="32"/>
          <w:szCs w:val="32"/>
        </w:rPr>
        <w:t>厅等娱乐设施；减少老教师的工作量；看望老弱病残，慰问退休职工等举措处处洋溢虎中大家庭的温暖；课后服务课程丰富，活动精彩，学生受益，家长放心；办公室内联外接、信息报送、资料汇总、上传下达、档案建设等各项工作井井有条。团支部举办国旗下演讲、秋季球类运动会、阳光百里行、元旦歌舞晚会、“学党史、颂党</w:t>
      </w:r>
      <w:r>
        <w:rPr>
          <w:rFonts w:hint="eastAsia" w:ascii="仿宋" w:hAnsi="仿宋" w:eastAsia="仿宋" w:cs="仿宋"/>
          <w:color w:val="000000"/>
          <w:sz w:val="32"/>
          <w:szCs w:val="32"/>
        </w:rPr>
        <w:t>恩、唱红歌，传承红色基因”大合唱等活动让校园处处洋溢着青春的力量、展现出奋斗的画卷。</w:t>
      </w:r>
    </w:p>
    <w:p w14:paraId="516AA380">
      <w:pPr>
        <w:numPr>
          <w:ilvl w:val="0"/>
          <w:numId w:val="2"/>
        </w:numPr>
        <w:ind w:firstLine="803" w:firstLineChars="250"/>
        <w:rPr>
          <w:rFonts w:ascii="楷体" w:hAnsi="楷体" w:eastAsia="楷体" w:cs="楷体"/>
          <w:b/>
          <w:color w:val="000000"/>
          <w:sz w:val="32"/>
          <w:szCs w:val="32"/>
        </w:rPr>
      </w:pPr>
      <w:r>
        <w:rPr>
          <w:rFonts w:hint="eastAsia" w:ascii="楷体" w:hAnsi="楷体" w:eastAsia="楷体"/>
          <w:b/>
          <w:kern w:val="0"/>
          <w:sz w:val="32"/>
          <w:szCs w:val="32"/>
        </w:rPr>
        <w:t>改革破冰</w:t>
      </w:r>
      <w:r>
        <w:rPr>
          <w:rFonts w:hint="eastAsia" w:ascii="楷体" w:hAnsi="楷体" w:eastAsia="楷体" w:cs="楷体"/>
          <w:b/>
          <w:color w:val="000000"/>
          <w:sz w:val="32"/>
          <w:szCs w:val="32"/>
        </w:rPr>
        <w:t>硕果香</w:t>
      </w:r>
    </w:p>
    <w:p w14:paraId="37961883">
      <w:pPr>
        <w:pStyle w:val="16"/>
      </w:pPr>
      <w:r>
        <w:rPr>
          <w:rFonts w:hint="eastAsia" w:ascii="仿宋" w:hAnsi="仿宋" w:eastAsia="仿宋" w:cs="楷体"/>
          <w:color w:val="000000"/>
          <w:sz w:val="32"/>
          <w:szCs w:val="32"/>
        </w:rPr>
        <w:t>一年来，我们推行多项改革。党组织领导下的校长负责制让学校行政、工会、团支部一切都在党的领导下，生机蓬勃，政令畅通；绩效改革让教师爱岗敬业，活力四射；</w:t>
      </w:r>
      <w:r>
        <w:rPr>
          <w:rFonts w:ascii="仿宋" w:hAnsi="仿宋" w:eastAsia="仿宋" w:cs="楷体"/>
          <w:b/>
          <w:bCs/>
          <w:color w:val="000000"/>
          <w:sz w:val="32"/>
          <w:szCs w:val="32"/>
        </w:rPr>
        <w:t>7.1</w:t>
      </w:r>
      <w:r>
        <w:rPr>
          <w:rFonts w:hint="eastAsia" w:ascii="仿宋" w:hAnsi="仿宋" w:eastAsia="仿宋" w:cs="楷体"/>
          <w:color w:val="000000"/>
          <w:sz w:val="32"/>
          <w:szCs w:val="32"/>
        </w:rPr>
        <w:t>班生本教育让学生回归主角，健康成长。一年来，学校被评为“四川省文明校园”，获得“四川省书法水平测试”优秀组积奖</w:t>
      </w:r>
      <w:r>
        <w:rPr>
          <w:rFonts w:ascii="仿宋" w:hAnsi="仿宋" w:eastAsia="仿宋" w:cs="楷体"/>
          <w:color w:val="000000"/>
          <w:sz w:val="32"/>
          <w:szCs w:val="32"/>
        </w:rPr>
        <w:t>,</w:t>
      </w:r>
      <w:r>
        <w:rPr>
          <w:rFonts w:hint="eastAsia" w:ascii="仿宋" w:hAnsi="仿宋" w:eastAsia="仿宋" w:cs="楷体"/>
          <w:color w:val="000000"/>
          <w:sz w:val="32"/>
          <w:szCs w:val="32"/>
        </w:rPr>
        <w:t>省公安厅组织的安全检查获高度好评，“区球类运动会”组织奖、“区球类运动会”道德风尚奖、“红旗团委”等多项荣誉；</w:t>
      </w:r>
      <w:r>
        <w:rPr>
          <w:rFonts w:ascii="仿宋" w:hAnsi="仿宋" w:eastAsia="仿宋" w:cs="楷体"/>
          <w:b/>
          <w:bCs/>
          <w:color w:val="000000"/>
          <w:sz w:val="32"/>
          <w:szCs w:val="32"/>
        </w:rPr>
        <w:t>49</w:t>
      </w:r>
      <w:r>
        <w:rPr>
          <w:rFonts w:hint="eastAsia" w:ascii="仿宋" w:hAnsi="仿宋" w:eastAsia="仿宋" w:cs="楷体"/>
          <w:color w:val="000000"/>
          <w:sz w:val="32"/>
          <w:szCs w:val="32"/>
        </w:rPr>
        <w:t>位教师获得各类荣誉称号，</w:t>
      </w:r>
      <w:r>
        <w:rPr>
          <w:rFonts w:ascii="仿宋" w:hAnsi="仿宋" w:eastAsia="仿宋" w:cs="楷体"/>
          <w:b/>
          <w:bCs/>
          <w:color w:val="000000"/>
          <w:sz w:val="32"/>
          <w:szCs w:val="32"/>
        </w:rPr>
        <w:t>80</w:t>
      </w:r>
      <w:r>
        <w:rPr>
          <w:rFonts w:hint="eastAsia" w:ascii="仿宋" w:hAnsi="仿宋" w:eastAsia="仿宋" w:cs="楷体"/>
          <w:color w:val="000000"/>
          <w:sz w:val="32"/>
          <w:szCs w:val="32"/>
        </w:rPr>
        <w:t>余位学生获得各类荣誉称号；今年中考更是成绩喜人，周之智同学以</w:t>
      </w:r>
      <w:r>
        <w:rPr>
          <w:rFonts w:ascii="仿宋" w:hAnsi="仿宋" w:eastAsia="仿宋" w:cs="楷体"/>
          <w:b/>
          <w:bCs/>
          <w:color w:val="000000"/>
          <w:sz w:val="32"/>
          <w:szCs w:val="32"/>
        </w:rPr>
        <w:t>785</w:t>
      </w:r>
      <w:r>
        <w:rPr>
          <w:rFonts w:hint="eastAsia" w:ascii="仿宋" w:hAnsi="仿宋" w:eastAsia="仿宋" w:cs="楷体"/>
          <w:color w:val="000000"/>
          <w:sz w:val="32"/>
          <w:szCs w:val="32"/>
        </w:rPr>
        <w:t>分高分稳居昭化区第一、徐海涛同学以</w:t>
      </w:r>
      <w:r>
        <w:rPr>
          <w:rFonts w:ascii="仿宋" w:hAnsi="仿宋" w:eastAsia="仿宋" w:cs="楷体"/>
          <w:b/>
          <w:bCs/>
          <w:color w:val="000000"/>
          <w:sz w:val="32"/>
          <w:szCs w:val="32"/>
        </w:rPr>
        <w:t>773</w:t>
      </w:r>
      <w:r>
        <w:rPr>
          <w:rFonts w:hint="eastAsia" w:ascii="仿宋" w:hAnsi="仿宋" w:eastAsia="仿宋" w:cs="楷体"/>
          <w:color w:val="000000"/>
          <w:sz w:val="32"/>
          <w:szCs w:val="32"/>
        </w:rPr>
        <w:t>分位居第二名，还打破了广元中考前</w:t>
      </w:r>
      <w:r>
        <w:rPr>
          <w:rFonts w:ascii="仿宋" w:hAnsi="仿宋" w:eastAsia="仿宋" w:cs="楷体"/>
          <w:b/>
          <w:bCs/>
          <w:color w:val="000000"/>
          <w:sz w:val="32"/>
          <w:szCs w:val="32"/>
        </w:rPr>
        <w:t>500</w:t>
      </w:r>
      <w:r>
        <w:rPr>
          <w:rFonts w:hint="eastAsia" w:ascii="仿宋" w:hAnsi="仿宋" w:eastAsia="仿宋" w:cs="楷体"/>
          <w:color w:val="000000"/>
          <w:sz w:val="32"/>
          <w:szCs w:val="32"/>
        </w:rPr>
        <w:t>名无昭化考生的魔咒，国家级示范高中（广中、苍中）上线</w:t>
      </w:r>
      <w:r>
        <w:rPr>
          <w:rFonts w:ascii="仿宋" w:hAnsi="仿宋" w:eastAsia="仿宋" w:cs="楷体"/>
          <w:b/>
          <w:bCs/>
          <w:color w:val="000000"/>
          <w:sz w:val="32"/>
          <w:szCs w:val="32"/>
        </w:rPr>
        <w:t>20</w:t>
      </w:r>
      <w:r>
        <w:rPr>
          <w:rFonts w:hint="eastAsia" w:ascii="仿宋" w:hAnsi="仿宋" w:eastAsia="仿宋" w:cs="楷体"/>
          <w:color w:val="000000"/>
          <w:sz w:val="32"/>
          <w:szCs w:val="32"/>
        </w:rPr>
        <w:t>人；省级示范高中上线</w:t>
      </w:r>
      <w:r>
        <w:rPr>
          <w:rFonts w:ascii="仿宋" w:hAnsi="仿宋" w:eastAsia="仿宋" w:cs="楷体"/>
          <w:b/>
          <w:bCs/>
          <w:color w:val="000000"/>
          <w:sz w:val="32"/>
          <w:szCs w:val="32"/>
        </w:rPr>
        <w:t>66</w:t>
      </w:r>
      <w:r>
        <w:rPr>
          <w:rFonts w:hint="eastAsia" w:ascii="仿宋" w:hAnsi="仿宋" w:eastAsia="仿宋" w:cs="楷体"/>
          <w:color w:val="000000"/>
          <w:sz w:val="32"/>
          <w:szCs w:val="32"/>
        </w:rPr>
        <w:t>人</w:t>
      </w:r>
      <w:r>
        <w:rPr>
          <w:rFonts w:hint="eastAsia" w:ascii="仿宋" w:hAnsi="仿宋" w:eastAsia="仿宋" w:cs="仿宋"/>
          <w:sz w:val="32"/>
          <w:szCs w:val="32"/>
        </w:rPr>
        <w:t>。</w:t>
      </w:r>
      <w:r>
        <w:rPr>
          <w:rFonts w:hint="eastAsia" w:ascii="仿宋" w:hAnsi="仿宋" w:eastAsia="仿宋" w:cs="楷体"/>
          <w:color w:val="000000"/>
          <w:sz w:val="32"/>
          <w:szCs w:val="32"/>
        </w:rPr>
        <w:t>一项项改革，一累累硕果，刷爆了朋友圈，掀起了虎中热。</w:t>
      </w:r>
    </w:p>
    <w:p w14:paraId="7EC63D5B">
      <w:pPr>
        <w:rPr>
          <w:rFonts w:hint="eastAsia" w:ascii="黑体" w:hAnsi="黑体" w:eastAsia="黑体"/>
          <w:b w:val="0"/>
        </w:rPr>
      </w:pPr>
      <w:bookmarkStart w:id="16" w:name="_Toc15377204"/>
      <w:bookmarkStart w:id="17" w:name="_Toc15396602"/>
      <w:r>
        <w:rPr>
          <w:rFonts w:hint="eastAsia" w:ascii="黑体" w:hAnsi="黑体" w:eastAsia="黑体"/>
          <w:b w:val="0"/>
        </w:rPr>
        <w:br w:type="page"/>
      </w:r>
    </w:p>
    <w:p w14:paraId="0939997E">
      <w:pPr>
        <w:pStyle w:val="3"/>
        <w:ind w:right="440"/>
        <w:jc w:val="center"/>
        <w:rPr>
          <w:rStyle w:val="29"/>
          <w:rFonts w:ascii="黑体" w:hAnsi="黑体" w:eastAsia="黑体"/>
          <w:b w:val="0"/>
          <w:bCs/>
        </w:rPr>
      </w:pPr>
      <w:r>
        <w:rPr>
          <w:rFonts w:hint="eastAsia" w:ascii="黑体" w:hAnsi="黑体" w:eastAsia="黑体"/>
          <w:b w:val="0"/>
        </w:rPr>
        <w:t>第二部分 2021年度</w:t>
      </w:r>
      <w:r>
        <w:rPr>
          <w:rStyle w:val="29"/>
          <w:rFonts w:hint="eastAsia" w:ascii="黑体" w:hAnsi="黑体" w:eastAsia="黑体"/>
          <w:b w:val="0"/>
          <w:bCs/>
        </w:rPr>
        <w:t>单位决算情况说明</w:t>
      </w:r>
      <w:bookmarkEnd w:id="16"/>
      <w:bookmarkEnd w:id="17"/>
    </w:p>
    <w:p w14:paraId="1EFBC7F5"/>
    <w:p w14:paraId="20CF0053">
      <w:pPr>
        <w:pStyle w:val="28"/>
        <w:numPr>
          <w:ilvl w:val="0"/>
          <w:numId w:val="3"/>
        </w:numPr>
        <w:spacing w:line="600" w:lineRule="exact"/>
        <w:ind w:firstLineChars="0"/>
        <w:outlineLvl w:val="1"/>
        <w:rPr>
          <w:rStyle w:val="30"/>
          <w:rFonts w:ascii="黑体" w:hAnsi="黑体" w:eastAsia="黑体"/>
          <w:b w:val="0"/>
        </w:rPr>
      </w:pPr>
      <w:bookmarkStart w:id="18" w:name="_Toc15396603"/>
      <w:bookmarkStart w:id="19" w:name="_Toc15377205"/>
      <w:r>
        <w:rPr>
          <w:rFonts w:hint="eastAsia" w:ascii="黑体" w:hAnsi="黑体" w:eastAsia="黑体"/>
          <w:sz w:val="32"/>
          <w:szCs w:val="32"/>
        </w:rPr>
        <w:t>收</w:t>
      </w:r>
      <w:r>
        <w:rPr>
          <w:rStyle w:val="30"/>
          <w:rFonts w:hint="eastAsia" w:ascii="黑体" w:hAnsi="黑体" w:eastAsia="黑体"/>
          <w:b w:val="0"/>
        </w:rPr>
        <w:t>入支出决算总体情况说明</w:t>
      </w:r>
      <w:bookmarkEnd w:id="18"/>
      <w:bookmarkEnd w:id="19"/>
    </w:p>
    <w:p w14:paraId="777EB09C">
      <w:pPr>
        <w:spacing w:line="600" w:lineRule="exact"/>
        <w:ind w:firstLine="640" w:firstLineChars="200"/>
        <w:outlineLvl w:val="1"/>
        <w:rPr>
          <w:rFonts w:hint="eastAsia" w:eastAsia="宋体"/>
          <w:lang w:eastAsia="zh-CN"/>
        </w:rPr>
      </w:pPr>
      <w:r>
        <w:rPr>
          <w:rFonts w:hint="eastAsia" w:ascii="仿宋" w:hAnsi="仿宋" w:eastAsia="仿宋"/>
          <w:sz w:val="32"/>
          <w:szCs w:val="32"/>
        </w:rPr>
        <w:t>2021年度收、支总计</w:t>
      </w:r>
      <w:r>
        <w:rPr>
          <w:rFonts w:hint="eastAsia" w:ascii="仿宋" w:hAnsi="仿宋" w:eastAsia="仿宋"/>
          <w:sz w:val="32"/>
          <w:szCs w:val="32"/>
          <w:lang w:val="en-US" w:eastAsia="zh-CN"/>
        </w:rPr>
        <w:t>1126.24</w:t>
      </w:r>
      <w:r>
        <w:rPr>
          <w:rFonts w:hint="eastAsia" w:ascii="仿宋" w:hAnsi="仿宋" w:eastAsia="仿宋"/>
          <w:sz w:val="32"/>
          <w:szCs w:val="32"/>
        </w:rPr>
        <w:t>万元。与2020年相比，收、支总计各</w:t>
      </w:r>
      <w:r>
        <w:rPr>
          <w:rFonts w:hint="eastAsia" w:ascii="仿宋" w:hAnsi="仿宋" w:eastAsia="仿宋"/>
          <w:sz w:val="32"/>
          <w:szCs w:val="32"/>
          <w:lang w:val="en-US" w:eastAsia="zh-CN"/>
        </w:rPr>
        <w:t>减少36.14</w:t>
      </w:r>
      <w:r>
        <w:rPr>
          <w:rFonts w:hint="eastAsia" w:ascii="仿宋" w:hAnsi="仿宋" w:eastAsia="仿宋"/>
          <w:sz w:val="32"/>
          <w:szCs w:val="32"/>
        </w:rPr>
        <w:t>万元，</w:t>
      </w:r>
      <w:r>
        <w:rPr>
          <w:rFonts w:hint="eastAsia" w:ascii="仿宋" w:hAnsi="仿宋" w:eastAsia="仿宋"/>
          <w:sz w:val="32"/>
          <w:szCs w:val="32"/>
          <w:lang w:val="en-US" w:eastAsia="zh-CN"/>
        </w:rPr>
        <w:t>下降3.11</w:t>
      </w:r>
      <w:r>
        <w:rPr>
          <w:rFonts w:ascii="仿宋" w:hAnsi="仿宋" w:eastAsia="仿宋"/>
          <w:sz w:val="32"/>
          <w:szCs w:val="32"/>
        </w:rPr>
        <w:t>%</w:t>
      </w:r>
      <w:r>
        <w:rPr>
          <w:rFonts w:hint="eastAsia" w:ascii="仿宋" w:hAnsi="仿宋" w:eastAsia="仿宋"/>
          <w:sz w:val="32"/>
          <w:szCs w:val="32"/>
        </w:rPr>
        <w:t>。主要变动原因是项项目</w:t>
      </w:r>
      <w:r>
        <w:rPr>
          <w:rFonts w:hint="eastAsia" w:ascii="仿宋" w:hAnsi="仿宋" w:eastAsia="仿宋"/>
          <w:sz w:val="32"/>
          <w:szCs w:val="32"/>
          <w:lang w:val="en-US" w:eastAsia="zh-CN"/>
        </w:rPr>
        <w:t>支出</w:t>
      </w:r>
      <w:r>
        <w:rPr>
          <w:rFonts w:hint="eastAsia" w:ascii="仿宋" w:hAnsi="仿宋" w:eastAsia="仿宋"/>
          <w:sz w:val="32"/>
          <w:szCs w:val="32"/>
        </w:rPr>
        <w:t>减少。</w:t>
      </w:r>
    </w:p>
    <w:p w14:paraId="66FADD50">
      <w:pPr>
        <w:pStyle w:val="28"/>
        <w:numPr>
          <w:ilvl w:val="0"/>
          <w:numId w:val="3"/>
        </w:numPr>
        <w:spacing w:line="600" w:lineRule="exact"/>
        <w:ind w:firstLineChars="0"/>
        <w:outlineLvl w:val="1"/>
        <w:rPr>
          <w:rStyle w:val="30"/>
          <w:rFonts w:ascii="黑体" w:hAnsi="黑体" w:eastAsia="黑体"/>
          <w:b w:val="0"/>
        </w:rPr>
      </w:pPr>
      <w:bookmarkStart w:id="20" w:name="_Toc15377206"/>
      <w:bookmarkStart w:id="21" w:name="_Toc15396604"/>
      <w:r>
        <w:rPr>
          <w:rFonts w:hint="eastAsia" w:eastAsia="宋体"/>
          <w:highlight w:val="yellow"/>
          <w:lang w:eastAsia="zh-CN"/>
        </w:rPr>
        <w:drawing>
          <wp:anchor distT="0" distB="0" distL="114300" distR="114300" simplePos="0" relativeHeight="251660288" behindDoc="0" locked="0" layoutInCell="1" allowOverlap="1">
            <wp:simplePos x="0" y="0"/>
            <wp:positionH relativeFrom="column">
              <wp:posOffset>213995</wp:posOffset>
            </wp:positionH>
            <wp:positionV relativeFrom="paragraph">
              <wp:posOffset>22860</wp:posOffset>
            </wp:positionV>
            <wp:extent cx="5080000" cy="2125345"/>
            <wp:effectExtent l="4445" t="4445" r="20955" b="22860"/>
            <wp:wrapTopAndBottom/>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anchor>
        </w:drawing>
      </w:r>
      <w:r>
        <w:rPr>
          <w:rFonts w:hint="eastAsia" w:ascii="黑体" w:hAnsi="黑体" w:eastAsia="黑体"/>
          <w:sz w:val="32"/>
          <w:szCs w:val="32"/>
        </w:rPr>
        <w:t>收</w:t>
      </w:r>
      <w:r>
        <w:rPr>
          <w:rStyle w:val="30"/>
          <w:rFonts w:hint="eastAsia" w:ascii="黑体" w:hAnsi="黑体" w:eastAsia="黑体"/>
          <w:b w:val="0"/>
        </w:rPr>
        <w:t>入决算情况说明</w:t>
      </w:r>
      <w:bookmarkEnd w:id="20"/>
      <w:bookmarkEnd w:id="21"/>
    </w:p>
    <w:p w14:paraId="6F8253A7">
      <w:pPr>
        <w:spacing w:line="600" w:lineRule="exact"/>
        <w:ind w:firstLine="640" w:firstLineChars="200"/>
        <w:outlineLvl w:val="1"/>
        <w:rPr>
          <w:rFonts w:hint="eastAsia"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21年本年收入合计</w:t>
      </w:r>
      <w:r>
        <w:rPr>
          <w:rFonts w:hint="eastAsia" w:ascii="仿宋" w:hAnsi="仿宋" w:eastAsia="仿宋"/>
          <w:sz w:val="32"/>
          <w:szCs w:val="32"/>
          <w:lang w:val="en-US" w:eastAsia="zh-CN"/>
        </w:rPr>
        <w:t>1126.24</w:t>
      </w:r>
      <w:r>
        <w:rPr>
          <w:rFonts w:hint="eastAsia" w:ascii="仿宋" w:hAnsi="仿宋" w:eastAsia="仿宋"/>
          <w:sz w:val="32"/>
          <w:szCs w:val="32"/>
        </w:rPr>
        <w:t>万元，其中：一般公共预算财政拨款收入</w:t>
      </w:r>
      <w:r>
        <w:rPr>
          <w:rFonts w:hint="eastAsia" w:ascii="仿宋" w:hAnsi="仿宋" w:eastAsia="仿宋"/>
          <w:sz w:val="32"/>
          <w:szCs w:val="32"/>
          <w:lang w:val="en-US" w:eastAsia="zh-CN"/>
        </w:rPr>
        <w:t>1126.24</w:t>
      </w:r>
      <w:r>
        <w:rPr>
          <w:rFonts w:hint="eastAsia" w:ascii="仿宋" w:hAnsi="仿宋" w:eastAsia="仿宋"/>
          <w:sz w:val="32"/>
          <w:szCs w:val="32"/>
        </w:rPr>
        <w:t>万元，占</w:t>
      </w:r>
      <w:r>
        <w:rPr>
          <w:rFonts w:hint="eastAsia" w:ascii="仿宋" w:hAnsi="仿宋" w:eastAsia="仿宋"/>
          <w:sz w:val="32"/>
          <w:szCs w:val="32"/>
          <w:lang w:val="en-US" w:eastAsia="zh-CN"/>
        </w:rPr>
        <w:t>100</w:t>
      </w:r>
      <w:r>
        <w:rPr>
          <w:rFonts w:ascii="仿宋" w:hAnsi="仿宋" w:eastAsia="仿宋"/>
          <w:sz w:val="32"/>
          <w:szCs w:val="32"/>
        </w:rPr>
        <w:t>%</w:t>
      </w:r>
      <w:r>
        <w:rPr>
          <w:rFonts w:hint="eastAsia" w:ascii="仿宋" w:hAnsi="仿宋" w:eastAsia="仿宋"/>
          <w:sz w:val="32"/>
          <w:szCs w:val="32"/>
        </w:rPr>
        <w:t>。</w:t>
      </w:r>
    </w:p>
    <w:p w14:paraId="3E342737">
      <w:pPr>
        <w:pStyle w:val="16"/>
        <w:rPr>
          <w:rFonts w:hint="eastAsia" w:eastAsia="宋体"/>
          <w:lang w:eastAsia="zh-CN"/>
        </w:rPr>
      </w:pPr>
      <w:r>
        <w:rPr>
          <w:rFonts w:hint="eastAsia" w:eastAsia="宋体"/>
          <w:lang w:eastAsia="zh-CN"/>
        </w:rPr>
        <w:drawing>
          <wp:anchor distT="0" distB="0" distL="114300" distR="114300" simplePos="0" relativeHeight="251661312" behindDoc="0" locked="0" layoutInCell="1" allowOverlap="1">
            <wp:simplePos x="0" y="0"/>
            <wp:positionH relativeFrom="column">
              <wp:posOffset>-38100</wp:posOffset>
            </wp:positionH>
            <wp:positionV relativeFrom="paragraph">
              <wp:posOffset>27305</wp:posOffset>
            </wp:positionV>
            <wp:extent cx="5584825" cy="2523490"/>
            <wp:effectExtent l="4445" t="4445" r="11430" b="5715"/>
            <wp:wrapTopAndBottom/>
            <wp:docPr id="13" name="图表 13" descr="7b0a202020202263686172745265734964223a20223230343734353235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anchor>
        </w:drawing>
      </w:r>
    </w:p>
    <w:p w14:paraId="219908AA">
      <w:pPr>
        <w:pStyle w:val="16"/>
        <w:ind w:left="0" w:leftChars="0" w:firstLine="640" w:firstLineChars="200"/>
        <w:rPr>
          <w:rStyle w:val="30"/>
          <w:rFonts w:ascii="黑体" w:hAnsi="黑体" w:eastAsia="黑体"/>
          <w:b w:val="0"/>
        </w:rPr>
      </w:pPr>
      <w:bookmarkStart w:id="22" w:name="_Toc15396605"/>
      <w:bookmarkStart w:id="23" w:name="_Toc15377207"/>
      <w:r>
        <w:rPr>
          <w:rFonts w:hint="eastAsia" w:ascii="黑体" w:hAnsi="黑体" w:eastAsia="黑体"/>
          <w:sz w:val="32"/>
          <w:szCs w:val="32"/>
          <w:lang w:eastAsia="zh-CN"/>
        </w:rPr>
        <w:t>三、</w:t>
      </w:r>
      <w:r>
        <w:rPr>
          <w:rFonts w:hint="eastAsia" w:ascii="黑体" w:hAnsi="黑体" w:eastAsia="黑体"/>
          <w:sz w:val="32"/>
          <w:szCs w:val="32"/>
        </w:rPr>
        <w:t>支</w:t>
      </w:r>
      <w:r>
        <w:rPr>
          <w:rStyle w:val="30"/>
          <w:rFonts w:hint="eastAsia" w:ascii="黑体" w:hAnsi="黑体" w:eastAsia="黑体"/>
          <w:b w:val="0"/>
        </w:rPr>
        <w:t>出决算情况说明</w:t>
      </w:r>
      <w:bookmarkEnd w:id="22"/>
      <w:bookmarkEnd w:id="23"/>
    </w:p>
    <w:p w14:paraId="0FBCABB6">
      <w:pPr>
        <w:spacing w:line="600" w:lineRule="exact"/>
        <w:ind w:firstLine="640" w:firstLineChars="200"/>
        <w:outlineLvl w:val="1"/>
        <w:rPr>
          <w:rFonts w:ascii="仿宋" w:hAnsi="仿宋" w:eastAsia="仿宋"/>
          <w:sz w:val="32"/>
          <w:szCs w:val="32"/>
        </w:rPr>
      </w:pPr>
      <w:r>
        <w:rPr>
          <w:rFonts w:hint="eastAsia" w:ascii="仿宋" w:hAnsi="仿宋" w:eastAsia="仿宋"/>
          <w:sz w:val="32"/>
          <w:szCs w:val="32"/>
          <w:shd w:val="pct10" w:color="auto" w:fill="FFFFFF"/>
        </w:rPr>
        <w:drawing>
          <wp:anchor distT="0" distB="0" distL="114300" distR="114300" simplePos="0" relativeHeight="251659264" behindDoc="0" locked="0" layoutInCell="1" allowOverlap="1">
            <wp:simplePos x="0" y="0"/>
            <wp:positionH relativeFrom="column">
              <wp:posOffset>43815</wp:posOffset>
            </wp:positionH>
            <wp:positionV relativeFrom="paragraph">
              <wp:posOffset>889635</wp:posOffset>
            </wp:positionV>
            <wp:extent cx="5080000" cy="2929255"/>
            <wp:effectExtent l="4445" t="4445" r="20955" b="19050"/>
            <wp:wrapTopAndBottom/>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r>
        <w:rPr>
          <w:rFonts w:ascii="仿宋" w:hAnsi="仿宋" w:eastAsia="仿宋"/>
          <w:sz w:val="32"/>
          <w:szCs w:val="32"/>
        </w:rPr>
        <w:t>20</w:t>
      </w:r>
      <w:r>
        <w:rPr>
          <w:rFonts w:hint="eastAsia" w:ascii="仿宋" w:hAnsi="仿宋" w:eastAsia="仿宋"/>
          <w:sz w:val="32"/>
          <w:szCs w:val="32"/>
        </w:rPr>
        <w:t>21年本年支出合计</w:t>
      </w:r>
      <w:r>
        <w:rPr>
          <w:rFonts w:hint="eastAsia" w:ascii="仿宋" w:hAnsi="仿宋" w:eastAsia="仿宋"/>
          <w:sz w:val="32"/>
          <w:szCs w:val="32"/>
          <w:lang w:val="en-US" w:eastAsia="zh-CN"/>
        </w:rPr>
        <w:t>1126.24</w:t>
      </w:r>
      <w:r>
        <w:rPr>
          <w:rFonts w:hint="eastAsia" w:ascii="仿宋" w:hAnsi="仿宋" w:eastAsia="仿宋"/>
          <w:sz w:val="32"/>
          <w:szCs w:val="32"/>
        </w:rPr>
        <w:t>万元，其中：基本支出</w:t>
      </w:r>
      <w:r>
        <w:rPr>
          <w:rFonts w:hint="eastAsia" w:ascii="仿宋" w:hAnsi="仿宋" w:eastAsia="仿宋"/>
          <w:sz w:val="32"/>
          <w:szCs w:val="32"/>
          <w:lang w:val="en-US" w:eastAsia="zh-CN"/>
        </w:rPr>
        <w:t>870.24</w:t>
      </w:r>
      <w:r>
        <w:rPr>
          <w:rFonts w:hint="eastAsia" w:ascii="仿宋" w:hAnsi="仿宋" w:eastAsia="仿宋"/>
          <w:sz w:val="32"/>
          <w:szCs w:val="32"/>
        </w:rPr>
        <w:t>万元，占</w:t>
      </w:r>
      <w:r>
        <w:rPr>
          <w:rFonts w:hint="eastAsia" w:ascii="仿宋" w:hAnsi="仿宋" w:eastAsia="仿宋"/>
          <w:sz w:val="32"/>
          <w:szCs w:val="32"/>
          <w:lang w:val="en-US" w:eastAsia="zh-CN"/>
        </w:rPr>
        <w:t>77.27</w:t>
      </w:r>
      <w:r>
        <w:rPr>
          <w:rFonts w:ascii="仿宋" w:hAnsi="仿宋" w:eastAsia="仿宋"/>
          <w:sz w:val="32"/>
          <w:szCs w:val="32"/>
        </w:rPr>
        <w:t>%</w:t>
      </w:r>
      <w:r>
        <w:rPr>
          <w:rFonts w:hint="eastAsia" w:ascii="仿宋" w:hAnsi="仿宋" w:eastAsia="仿宋"/>
          <w:sz w:val="32"/>
          <w:szCs w:val="32"/>
        </w:rPr>
        <w:t>；项目支出</w:t>
      </w:r>
      <w:r>
        <w:rPr>
          <w:rFonts w:hint="eastAsia" w:ascii="仿宋" w:hAnsi="仿宋" w:eastAsia="仿宋"/>
          <w:sz w:val="32"/>
          <w:szCs w:val="32"/>
          <w:lang w:val="en-US" w:eastAsia="zh-CN"/>
        </w:rPr>
        <w:t>256.00</w:t>
      </w:r>
      <w:r>
        <w:rPr>
          <w:rFonts w:hint="eastAsia" w:ascii="仿宋" w:hAnsi="仿宋" w:eastAsia="仿宋"/>
          <w:sz w:val="32"/>
          <w:szCs w:val="32"/>
        </w:rPr>
        <w:t>万元，占</w:t>
      </w:r>
      <w:r>
        <w:rPr>
          <w:rFonts w:hint="eastAsia" w:ascii="仿宋" w:hAnsi="仿宋" w:eastAsia="仿宋"/>
          <w:sz w:val="32"/>
          <w:szCs w:val="32"/>
          <w:lang w:val="en-US" w:eastAsia="zh-CN"/>
        </w:rPr>
        <w:t>22.73</w:t>
      </w:r>
      <w:r>
        <w:rPr>
          <w:rFonts w:ascii="仿宋" w:hAnsi="仿宋" w:eastAsia="仿宋"/>
          <w:sz w:val="32"/>
          <w:szCs w:val="32"/>
        </w:rPr>
        <w:t>%</w:t>
      </w:r>
      <w:r>
        <w:rPr>
          <w:rFonts w:hint="eastAsia" w:ascii="仿宋" w:hAnsi="仿宋" w:eastAsia="仿宋"/>
          <w:sz w:val="32"/>
          <w:szCs w:val="32"/>
        </w:rPr>
        <w:t>。</w:t>
      </w:r>
    </w:p>
    <w:p w14:paraId="0000814A">
      <w:pPr>
        <w:spacing w:line="600" w:lineRule="exact"/>
        <w:ind w:firstLine="640" w:firstLineChars="200"/>
        <w:outlineLvl w:val="1"/>
        <w:rPr>
          <w:rStyle w:val="30"/>
          <w:rFonts w:ascii="黑体" w:hAnsi="黑体" w:eastAsia="黑体"/>
          <w:b w:val="0"/>
        </w:rPr>
      </w:pPr>
      <w:bookmarkStart w:id="24" w:name="_Toc15377208"/>
      <w:bookmarkStart w:id="25" w:name="_Toc15396606"/>
      <w:r>
        <w:rPr>
          <w:rFonts w:hint="eastAsia" w:ascii="黑体" w:hAnsi="黑体" w:eastAsia="黑体"/>
          <w:sz w:val="32"/>
          <w:szCs w:val="32"/>
        </w:rPr>
        <w:t>四、财</w:t>
      </w:r>
      <w:r>
        <w:rPr>
          <w:rStyle w:val="30"/>
          <w:rFonts w:hint="eastAsia" w:ascii="黑体" w:hAnsi="黑体" w:eastAsia="黑体"/>
          <w:b w:val="0"/>
        </w:rPr>
        <w:t>政拨款收入支出决算总体情况说明</w:t>
      </w:r>
      <w:bookmarkEnd w:id="24"/>
      <w:bookmarkEnd w:id="25"/>
    </w:p>
    <w:p w14:paraId="13D234AD">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21年财政拨款收、支总计</w:t>
      </w:r>
      <w:r>
        <w:rPr>
          <w:rFonts w:hint="eastAsia" w:ascii="仿宋" w:hAnsi="仿宋" w:eastAsia="仿宋"/>
          <w:sz w:val="32"/>
          <w:szCs w:val="32"/>
          <w:lang w:val="en-US" w:eastAsia="zh-CN"/>
        </w:rPr>
        <w:t>1126</w:t>
      </w:r>
      <w:r>
        <w:rPr>
          <w:rFonts w:hint="eastAsia" w:ascii="仿宋" w:hAnsi="仿宋" w:eastAsia="仿宋"/>
          <w:sz w:val="32"/>
          <w:szCs w:val="32"/>
        </w:rPr>
        <w:t>.</w:t>
      </w:r>
      <w:r>
        <w:rPr>
          <w:rFonts w:hint="eastAsia" w:ascii="仿宋" w:hAnsi="仿宋" w:eastAsia="仿宋"/>
          <w:sz w:val="32"/>
          <w:szCs w:val="32"/>
          <w:lang w:val="en-US" w:eastAsia="zh-CN"/>
        </w:rPr>
        <w:t>24</w:t>
      </w:r>
      <w:r>
        <w:rPr>
          <w:rFonts w:hint="eastAsia" w:ascii="仿宋" w:hAnsi="仿宋" w:eastAsia="仿宋"/>
          <w:sz w:val="32"/>
          <w:szCs w:val="32"/>
        </w:rPr>
        <w:t>万元。与</w:t>
      </w:r>
      <w:r>
        <w:rPr>
          <w:rFonts w:ascii="仿宋" w:hAnsi="仿宋" w:eastAsia="仿宋"/>
          <w:sz w:val="32"/>
          <w:szCs w:val="32"/>
        </w:rPr>
        <w:t>20</w:t>
      </w:r>
      <w:r>
        <w:rPr>
          <w:rFonts w:hint="eastAsia" w:ascii="仿宋" w:hAnsi="仿宋" w:eastAsia="仿宋"/>
          <w:sz w:val="32"/>
          <w:szCs w:val="32"/>
        </w:rPr>
        <w:t>20年相比，财政拨款收、支总计各</w:t>
      </w:r>
      <w:r>
        <w:rPr>
          <w:rFonts w:hint="eastAsia" w:ascii="仿宋" w:hAnsi="仿宋" w:eastAsia="仿宋"/>
          <w:sz w:val="32"/>
          <w:szCs w:val="32"/>
          <w:lang w:val="en-US" w:eastAsia="zh-CN"/>
        </w:rPr>
        <w:t>减少36.14</w:t>
      </w:r>
      <w:r>
        <w:rPr>
          <w:rFonts w:hint="eastAsia" w:ascii="仿宋" w:hAnsi="仿宋" w:eastAsia="仿宋"/>
          <w:sz w:val="32"/>
          <w:szCs w:val="32"/>
        </w:rPr>
        <w:t>万元，</w:t>
      </w:r>
      <w:r>
        <w:rPr>
          <w:rFonts w:hint="eastAsia" w:ascii="仿宋" w:hAnsi="仿宋" w:eastAsia="仿宋"/>
          <w:sz w:val="32"/>
          <w:szCs w:val="32"/>
          <w:lang w:val="en-US" w:eastAsia="zh-CN"/>
        </w:rPr>
        <w:t>下降3</w:t>
      </w:r>
      <w:r>
        <w:rPr>
          <w:rFonts w:hint="eastAsia" w:ascii="仿宋" w:hAnsi="仿宋" w:eastAsia="仿宋"/>
          <w:sz w:val="32"/>
          <w:szCs w:val="32"/>
        </w:rPr>
        <w:t>.</w:t>
      </w:r>
      <w:r>
        <w:rPr>
          <w:rFonts w:hint="eastAsia" w:ascii="仿宋" w:hAnsi="仿宋" w:eastAsia="仿宋"/>
          <w:sz w:val="32"/>
          <w:szCs w:val="32"/>
          <w:lang w:val="en-US" w:eastAsia="zh-CN"/>
        </w:rPr>
        <w:t>11</w:t>
      </w:r>
      <w:r>
        <w:rPr>
          <w:rFonts w:ascii="仿宋" w:hAnsi="仿宋" w:eastAsia="仿宋"/>
          <w:sz w:val="32"/>
          <w:szCs w:val="32"/>
        </w:rPr>
        <w:t>%</w:t>
      </w:r>
      <w:r>
        <w:rPr>
          <w:rFonts w:hint="eastAsia" w:ascii="仿宋" w:hAnsi="仿宋" w:eastAsia="仿宋"/>
          <w:sz w:val="32"/>
          <w:szCs w:val="32"/>
        </w:rPr>
        <w:t>。主要变动原因是项目支出</w:t>
      </w:r>
      <w:r>
        <w:rPr>
          <w:rFonts w:hint="eastAsia" w:ascii="仿宋" w:hAnsi="仿宋" w:eastAsia="仿宋"/>
          <w:sz w:val="32"/>
          <w:szCs w:val="32"/>
          <w:lang w:val="en-US" w:eastAsia="zh-CN"/>
        </w:rPr>
        <w:t>减少</w:t>
      </w:r>
      <w:r>
        <w:rPr>
          <w:rFonts w:hint="eastAsia" w:ascii="仿宋" w:hAnsi="仿宋" w:eastAsia="仿宋"/>
          <w:sz w:val="32"/>
          <w:szCs w:val="32"/>
        </w:rPr>
        <w:t>。</w:t>
      </w:r>
    </w:p>
    <w:p w14:paraId="47312709">
      <w:pPr>
        <w:pStyle w:val="16"/>
      </w:pPr>
      <w:r>
        <w:rPr>
          <w:rFonts w:hint="eastAsia" w:eastAsia="宋体"/>
          <w:lang w:eastAsia="zh-CN"/>
        </w:rPr>
        <w:drawing>
          <wp:anchor distT="0" distB="0" distL="114300" distR="114300" simplePos="0" relativeHeight="251662336" behindDoc="0" locked="0" layoutInCell="1" allowOverlap="1">
            <wp:simplePos x="0" y="0"/>
            <wp:positionH relativeFrom="column">
              <wp:posOffset>4445</wp:posOffset>
            </wp:positionH>
            <wp:positionV relativeFrom="paragraph">
              <wp:posOffset>208280</wp:posOffset>
            </wp:positionV>
            <wp:extent cx="5080000" cy="2734945"/>
            <wp:effectExtent l="4445" t="4445" r="20955" b="22860"/>
            <wp:wrapTopAndBottom/>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p>
    <w:p w14:paraId="77025EAB">
      <w:pPr>
        <w:spacing w:line="600" w:lineRule="exact"/>
        <w:ind w:firstLine="640" w:firstLineChars="200"/>
        <w:outlineLvl w:val="1"/>
        <w:rPr>
          <w:rStyle w:val="30"/>
          <w:rFonts w:ascii="黑体" w:hAnsi="黑体" w:eastAsia="黑体"/>
          <w:b w:val="0"/>
        </w:rPr>
      </w:pPr>
      <w:bookmarkStart w:id="26" w:name="_Toc15396607"/>
      <w:bookmarkStart w:id="27" w:name="_Toc15377209"/>
      <w:r>
        <w:rPr>
          <w:rFonts w:hint="eastAsia" w:ascii="黑体" w:hAnsi="黑体" w:eastAsia="黑体"/>
          <w:sz w:val="32"/>
          <w:szCs w:val="32"/>
        </w:rPr>
        <w:t>五、</w:t>
      </w:r>
      <w:r>
        <w:rPr>
          <w:rFonts w:hint="eastAsia" w:ascii="黑体" w:hAnsi="黑体" w:eastAsia="黑体"/>
          <w:b/>
          <w:sz w:val="32"/>
          <w:szCs w:val="32"/>
        </w:rPr>
        <w:t>一</w:t>
      </w:r>
      <w:r>
        <w:rPr>
          <w:rStyle w:val="30"/>
          <w:rFonts w:hint="eastAsia" w:ascii="黑体" w:hAnsi="黑体" w:eastAsia="黑体"/>
          <w:b w:val="0"/>
        </w:rPr>
        <w:t>般公共预算财政拨款支出决算情况说明</w:t>
      </w:r>
      <w:bookmarkEnd w:id="26"/>
      <w:bookmarkEnd w:id="27"/>
    </w:p>
    <w:p w14:paraId="0A466350">
      <w:pPr>
        <w:spacing w:line="600" w:lineRule="exact"/>
        <w:ind w:firstLine="643" w:firstLineChars="200"/>
        <w:outlineLvl w:val="2"/>
        <w:rPr>
          <w:rFonts w:ascii="仿宋" w:hAnsi="仿宋" w:eastAsia="仿宋"/>
          <w:b/>
          <w:sz w:val="32"/>
          <w:szCs w:val="32"/>
        </w:rPr>
      </w:pPr>
      <w:bookmarkStart w:id="28" w:name="_Toc15377210"/>
      <w:r>
        <w:rPr>
          <w:rFonts w:hint="eastAsia" w:ascii="仿宋" w:hAnsi="仿宋" w:eastAsia="仿宋"/>
          <w:b/>
          <w:sz w:val="32"/>
          <w:szCs w:val="32"/>
        </w:rPr>
        <w:t>（一）一般公共预算财政拨款支出决算总体情况</w:t>
      </w:r>
      <w:bookmarkEnd w:id="28"/>
    </w:p>
    <w:p w14:paraId="3FD3E26B">
      <w:pPr>
        <w:spacing w:line="600" w:lineRule="exact"/>
        <w:ind w:firstLine="640"/>
        <w:rPr>
          <w:rFonts w:hint="eastAsia" w:ascii="仿宋" w:hAnsi="仿宋" w:eastAsia="仿宋"/>
          <w:b/>
          <w:sz w:val="32"/>
          <w:szCs w:val="32"/>
          <w:lang w:eastAsia="zh-CN"/>
        </w:rPr>
      </w:pPr>
      <w:r>
        <w:rPr>
          <w:rFonts w:ascii="仿宋" w:hAnsi="仿宋" w:eastAsia="仿宋"/>
          <w:sz w:val="32"/>
          <w:szCs w:val="32"/>
        </w:rPr>
        <w:t>20</w:t>
      </w:r>
      <w:r>
        <w:rPr>
          <w:rFonts w:hint="eastAsia" w:ascii="仿宋" w:hAnsi="仿宋" w:eastAsia="仿宋"/>
          <w:sz w:val="32"/>
          <w:szCs w:val="32"/>
        </w:rPr>
        <w:t>21年一般公共预算财政拨款支出</w:t>
      </w:r>
      <w:r>
        <w:rPr>
          <w:rFonts w:hint="eastAsia" w:ascii="仿宋" w:hAnsi="仿宋" w:eastAsia="仿宋"/>
          <w:sz w:val="32"/>
          <w:szCs w:val="32"/>
          <w:lang w:val="en-US" w:eastAsia="zh-CN"/>
        </w:rPr>
        <w:t>1126.24</w:t>
      </w:r>
      <w:r>
        <w:rPr>
          <w:rFonts w:hint="eastAsia" w:ascii="仿宋" w:hAnsi="仿宋" w:eastAsia="仿宋"/>
          <w:sz w:val="32"/>
          <w:szCs w:val="32"/>
        </w:rPr>
        <w:t>万元，占本年支出合计的</w:t>
      </w:r>
      <w:r>
        <w:rPr>
          <w:rFonts w:hint="eastAsia" w:ascii="仿宋" w:hAnsi="仿宋" w:eastAsia="仿宋"/>
          <w:sz w:val="32"/>
          <w:szCs w:val="32"/>
          <w:lang w:val="en-US" w:eastAsia="zh-CN"/>
        </w:rPr>
        <w:t>100</w:t>
      </w:r>
      <w:r>
        <w:rPr>
          <w:rFonts w:ascii="仿宋" w:hAnsi="仿宋" w:eastAsia="仿宋"/>
          <w:sz w:val="32"/>
          <w:szCs w:val="32"/>
        </w:rPr>
        <w:t>%</w:t>
      </w:r>
      <w:r>
        <w:rPr>
          <w:rFonts w:hint="eastAsia" w:ascii="仿宋" w:hAnsi="仿宋" w:eastAsia="仿宋"/>
          <w:sz w:val="32"/>
          <w:szCs w:val="32"/>
        </w:rPr>
        <w:t>。与</w:t>
      </w:r>
      <w:r>
        <w:rPr>
          <w:rFonts w:ascii="仿宋" w:hAnsi="仿宋" w:eastAsia="仿宋"/>
          <w:sz w:val="32"/>
          <w:szCs w:val="32"/>
        </w:rPr>
        <w:t>20</w:t>
      </w:r>
      <w:r>
        <w:rPr>
          <w:rFonts w:hint="eastAsia" w:ascii="仿宋" w:hAnsi="仿宋" w:eastAsia="仿宋"/>
          <w:sz w:val="32"/>
          <w:szCs w:val="32"/>
        </w:rPr>
        <w:t>20年</w:t>
      </w:r>
      <w:r>
        <w:rPr>
          <w:rFonts w:hint="eastAsia" w:ascii="仿宋" w:hAnsi="仿宋" w:eastAsia="仿宋"/>
          <w:sz w:val="32"/>
          <w:szCs w:val="32"/>
          <w:lang w:val="en-US" w:eastAsia="zh-CN"/>
        </w:rPr>
        <w:t>1162.38</w:t>
      </w:r>
      <w:r>
        <w:rPr>
          <w:rFonts w:hint="eastAsia" w:ascii="仿宋" w:hAnsi="仿宋" w:eastAsia="仿宋"/>
          <w:sz w:val="32"/>
          <w:szCs w:val="32"/>
          <w:lang w:eastAsia="zh-CN"/>
        </w:rPr>
        <w:t>万元</w:t>
      </w:r>
      <w:r>
        <w:rPr>
          <w:rFonts w:hint="eastAsia" w:ascii="仿宋" w:hAnsi="仿宋" w:eastAsia="仿宋"/>
          <w:sz w:val="32"/>
          <w:szCs w:val="32"/>
        </w:rPr>
        <w:t>相比，一般公共预算财政拨款支出</w:t>
      </w:r>
      <w:r>
        <w:rPr>
          <w:rFonts w:hint="eastAsia" w:ascii="仿宋" w:hAnsi="仿宋" w:eastAsia="仿宋"/>
          <w:sz w:val="32"/>
          <w:szCs w:val="32"/>
          <w:lang w:val="en-US" w:eastAsia="zh-CN"/>
        </w:rPr>
        <w:t>减少36.14</w:t>
      </w:r>
      <w:r>
        <w:rPr>
          <w:rFonts w:hint="eastAsia" w:ascii="仿宋" w:hAnsi="仿宋" w:eastAsia="仿宋"/>
          <w:sz w:val="32"/>
          <w:szCs w:val="32"/>
        </w:rPr>
        <w:t>万元，</w:t>
      </w:r>
      <w:r>
        <w:rPr>
          <w:rFonts w:hint="eastAsia" w:ascii="仿宋" w:hAnsi="仿宋" w:eastAsia="仿宋"/>
          <w:sz w:val="32"/>
          <w:szCs w:val="32"/>
          <w:lang w:val="en-US" w:eastAsia="zh-CN"/>
        </w:rPr>
        <w:t>下降3.11</w:t>
      </w:r>
      <w:r>
        <w:rPr>
          <w:rFonts w:ascii="仿宋" w:hAnsi="仿宋" w:eastAsia="仿宋"/>
          <w:sz w:val="32"/>
          <w:szCs w:val="32"/>
        </w:rPr>
        <w:t>%</w:t>
      </w:r>
      <w:r>
        <w:rPr>
          <w:rFonts w:hint="eastAsia" w:ascii="仿宋" w:hAnsi="仿宋" w:eastAsia="仿宋"/>
          <w:sz w:val="32"/>
          <w:szCs w:val="32"/>
        </w:rPr>
        <w:t>。主要变动原因是项目支出</w:t>
      </w:r>
      <w:r>
        <w:rPr>
          <w:rFonts w:hint="eastAsia" w:ascii="仿宋" w:hAnsi="仿宋" w:eastAsia="仿宋"/>
          <w:sz w:val="32"/>
          <w:szCs w:val="32"/>
          <w:lang w:val="en-US" w:eastAsia="zh-CN"/>
        </w:rPr>
        <w:t>减少</w:t>
      </w:r>
      <w:r>
        <w:rPr>
          <w:rFonts w:hint="eastAsia" w:ascii="仿宋" w:hAnsi="仿宋" w:eastAsia="仿宋"/>
          <w:sz w:val="32"/>
          <w:szCs w:val="32"/>
        </w:rPr>
        <w:t>。</w:t>
      </w:r>
    </w:p>
    <w:p w14:paraId="6F1961F8">
      <w:pPr>
        <w:spacing w:line="600" w:lineRule="exact"/>
        <w:ind w:firstLine="643" w:firstLineChars="200"/>
        <w:outlineLvl w:val="2"/>
        <w:rPr>
          <w:rFonts w:ascii="仿宋" w:hAnsi="仿宋" w:eastAsia="仿宋"/>
          <w:b/>
          <w:sz w:val="32"/>
          <w:szCs w:val="32"/>
        </w:rPr>
      </w:pPr>
      <w:bookmarkStart w:id="29" w:name="_Toc15377211"/>
      <w:r>
        <w:rPr>
          <w:rFonts w:hint="eastAsia" w:ascii="仿宋" w:hAnsi="仿宋" w:eastAsia="仿宋"/>
          <w:b/>
          <w:sz w:val="32"/>
          <w:szCs w:val="32"/>
          <w:lang w:eastAsia="zh-CN"/>
        </w:rPr>
        <w:drawing>
          <wp:anchor distT="0" distB="0" distL="114300" distR="114300" simplePos="0" relativeHeight="251663360" behindDoc="0" locked="0" layoutInCell="1" allowOverlap="1">
            <wp:simplePos x="0" y="0"/>
            <wp:positionH relativeFrom="column">
              <wp:posOffset>4445</wp:posOffset>
            </wp:positionH>
            <wp:positionV relativeFrom="paragraph">
              <wp:posOffset>118110</wp:posOffset>
            </wp:positionV>
            <wp:extent cx="5080000" cy="2391410"/>
            <wp:effectExtent l="4445" t="4445" r="20955" b="23495"/>
            <wp:wrapTopAndBottom/>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Pr>
          <w:rFonts w:hint="eastAsia" w:ascii="仿宋" w:hAnsi="仿宋" w:eastAsia="仿宋"/>
          <w:b/>
          <w:sz w:val="32"/>
          <w:szCs w:val="32"/>
        </w:rPr>
        <w:t>（二）一般公共预算财政拨款支出决算结构情况</w:t>
      </w:r>
      <w:bookmarkEnd w:id="29"/>
    </w:p>
    <w:p w14:paraId="6ABEBA7F">
      <w:pPr>
        <w:spacing w:line="600" w:lineRule="exact"/>
        <w:ind w:firstLine="640"/>
        <w:rPr>
          <w:rFonts w:ascii="仿宋" w:hAnsi="仿宋" w:eastAsia="仿宋"/>
          <w:sz w:val="32"/>
          <w:szCs w:val="32"/>
        </w:rPr>
      </w:pPr>
      <w:r>
        <w:rPr>
          <w:rFonts w:hint="eastAsia" w:ascii="仿宋" w:hAnsi="仿宋" w:eastAsia="仿宋"/>
          <w:b/>
          <w:sz w:val="32"/>
          <w:szCs w:val="32"/>
        </w:rPr>
        <w:drawing>
          <wp:anchor distT="0" distB="0" distL="114300" distR="114300" simplePos="0" relativeHeight="251664384" behindDoc="0" locked="0" layoutInCell="1" allowOverlap="1">
            <wp:simplePos x="0" y="0"/>
            <wp:positionH relativeFrom="column">
              <wp:posOffset>52070</wp:posOffset>
            </wp:positionH>
            <wp:positionV relativeFrom="paragraph">
              <wp:posOffset>956945</wp:posOffset>
            </wp:positionV>
            <wp:extent cx="5080000" cy="2524125"/>
            <wp:effectExtent l="4445" t="4445" r="20955" b="5080"/>
            <wp:wrapTopAndBottom/>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r>
        <w:rPr>
          <w:rFonts w:ascii="仿宋" w:hAnsi="仿宋" w:eastAsia="仿宋"/>
          <w:sz w:val="32"/>
          <w:szCs w:val="32"/>
        </w:rPr>
        <w:t>20</w:t>
      </w:r>
      <w:r>
        <w:rPr>
          <w:rFonts w:hint="eastAsia" w:ascii="仿宋" w:hAnsi="仿宋" w:eastAsia="仿宋"/>
          <w:sz w:val="32"/>
          <w:szCs w:val="32"/>
        </w:rPr>
        <w:t>21年一般公共预算财政拨款支出</w:t>
      </w:r>
      <w:r>
        <w:rPr>
          <w:rFonts w:hint="eastAsia" w:ascii="仿宋" w:hAnsi="仿宋" w:eastAsia="仿宋"/>
          <w:sz w:val="32"/>
          <w:szCs w:val="32"/>
          <w:lang w:val="en-US" w:eastAsia="zh-CN"/>
        </w:rPr>
        <w:t>1126.24</w:t>
      </w:r>
      <w:r>
        <w:rPr>
          <w:rFonts w:hint="eastAsia" w:ascii="仿宋" w:hAnsi="仿宋" w:eastAsia="仿宋"/>
          <w:sz w:val="32"/>
          <w:szCs w:val="32"/>
        </w:rPr>
        <w:t>万元，主要用于以下方面</w:t>
      </w:r>
      <w:r>
        <w:rPr>
          <w:rFonts w:ascii="仿宋" w:hAnsi="仿宋" w:eastAsia="仿宋"/>
          <w:sz w:val="32"/>
          <w:szCs w:val="32"/>
        </w:rPr>
        <w:t>:</w:t>
      </w:r>
      <w:r>
        <w:rPr>
          <w:rFonts w:hint="eastAsia" w:ascii="仿宋" w:hAnsi="仿宋" w:eastAsia="仿宋"/>
          <w:b/>
          <w:sz w:val="32"/>
          <w:szCs w:val="32"/>
        </w:rPr>
        <w:t>教育支出（类）</w:t>
      </w:r>
      <w:r>
        <w:rPr>
          <w:rFonts w:hint="eastAsia" w:ascii="仿宋" w:hAnsi="仿宋" w:eastAsia="仿宋"/>
          <w:sz w:val="32"/>
          <w:szCs w:val="32"/>
          <w:lang w:val="en-US" w:eastAsia="zh-CN"/>
        </w:rPr>
        <w:t>1126.24</w:t>
      </w:r>
      <w:r>
        <w:rPr>
          <w:rFonts w:hint="eastAsia" w:ascii="仿宋" w:hAnsi="仿宋" w:eastAsia="仿宋"/>
          <w:sz w:val="32"/>
          <w:szCs w:val="32"/>
        </w:rPr>
        <w:t>万元，占100</w:t>
      </w:r>
      <w:r>
        <w:rPr>
          <w:rFonts w:ascii="仿宋" w:hAnsi="仿宋" w:eastAsia="仿宋"/>
          <w:sz w:val="32"/>
          <w:szCs w:val="32"/>
        </w:rPr>
        <w:t>%</w:t>
      </w:r>
      <w:r>
        <w:rPr>
          <w:rFonts w:hint="eastAsia" w:ascii="仿宋" w:hAnsi="仿宋" w:eastAsia="仿宋"/>
          <w:sz w:val="32"/>
          <w:szCs w:val="32"/>
        </w:rPr>
        <w:t>。</w:t>
      </w:r>
    </w:p>
    <w:p w14:paraId="1BB8325F">
      <w:pPr>
        <w:spacing w:line="600" w:lineRule="exact"/>
        <w:rPr>
          <w:rFonts w:ascii="仿宋" w:hAnsi="仿宋" w:eastAsia="仿宋"/>
          <w:b/>
          <w:sz w:val="32"/>
          <w:szCs w:val="32"/>
        </w:rPr>
      </w:pPr>
      <w:bookmarkStart w:id="30" w:name="_Toc15377212"/>
      <w:r>
        <w:rPr>
          <w:rFonts w:hint="eastAsia" w:ascii="仿宋" w:hAnsi="仿宋" w:eastAsia="仿宋"/>
          <w:b/>
          <w:sz w:val="32"/>
          <w:szCs w:val="32"/>
        </w:rPr>
        <w:t>（三）一般公共预算财政拨款支出决算具体情况</w:t>
      </w:r>
      <w:bookmarkEnd w:id="30"/>
    </w:p>
    <w:p w14:paraId="409AE8D4">
      <w:pPr>
        <w:spacing w:line="600" w:lineRule="exact"/>
        <w:ind w:firstLine="643" w:firstLineChars="200"/>
        <w:outlineLvl w:val="2"/>
        <w:rPr>
          <w:rFonts w:ascii="仿宋" w:hAnsi="仿宋" w:eastAsia="仿宋"/>
          <w:sz w:val="32"/>
          <w:szCs w:val="32"/>
        </w:rPr>
      </w:pPr>
      <w:bookmarkStart w:id="31" w:name="_Toc15377444"/>
      <w:bookmarkStart w:id="32" w:name="_Toc15377213"/>
      <w:bookmarkStart w:id="33" w:name="_Toc15378460"/>
      <w:r>
        <w:rPr>
          <w:rFonts w:hint="eastAsia" w:ascii="仿宋" w:hAnsi="仿宋" w:eastAsia="仿宋"/>
          <w:b/>
          <w:sz w:val="32"/>
          <w:szCs w:val="32"/>
        </w:rPr>
        <w:t>2021年一般公共预算支出决算数为</w:t>
      </w:r>
      <w:r>
        <w:rPr>
          <w:rFonts w:hint="eastAsia" w:ascii="仿宋" w:hAnsi="仿宋" w:eastAsia="仿宋"/>
          <w:b/>
          <w:sz w:val="32"/>
          <w:szCs w:val="32"/>
          <w:lang w:val="en-US" w:eastAsia="zh-CN"/>
        </w:rPr>
        <w:t>1126.24万元</w:t>
      </w:r>
      <w:r>
        <w:rPr>
          <w:rFonts w:hint="eastAsia" w:ascii="仿宋" w:hAnsi="仿宋" w:eastAsia="仿宋"/>
          <w:sz w:val="32"/>
          <w:szCs w:val="32"/>
        </w:rPr>
        <w:t>，</w:t>
      </w:r>
      <w:r>
        <w:rPr>
          <w:rStyle w:val="19"/>
          <w:rFonts w:hint="eastAsia" w:ascii="仿宋" w:hAnsi="仿宋" w:eastAsia="仿宋"/>
          <w:bCs/>
          <w:sz w:val="32"/>
          <w:szCs w:val="32"/>
        </w:rPr>
        <w:t>完成预算100</w:t>
      </w:r>
      <w:r>
        <w:rPr>
          <w:rStyle w:val="19"/>
          <w:rFonts w:ascii="仿宋" w:hAnsi="仿宋" w:eastAsia="仿宋"/>
          <w:bCs/>
          <w:sz w:val="32"/>
          <w:szCs w:val="32"/>
        </w:rPr>
        <w:t>%</w:t>
      </w:r>
      <w:r>
        <w:rPr>
          <w:rStyle w:val="19"/>
          <w:rFonts w:hint="eastAsia" w:ascii="仿宋" w:hAnsi="仿宋" w:eastAsia="仿宋"/>
          <w:bCs/>
          <w:sz w:val="32"/>
          <w:szCs w:val="32"/>
        </w:rPr>
        <w:t>。其中：</w:t>
      </w:r>
      <w:bookmarkEnd w:id="31"/>
      <w:bookmarkEnd w:id="32"/>
      <w:bookmarkEnd w:id="33"/>
    </w:p>
    <w:p w14:paraId="66A03383">
      <w:pPr>
        <w:spacing w:line="600" w:lineRule="exact"/>
        <w:ind w:firstLine="643" w:firstLineChars="200"/>
        <w:rPr>
          <w:rFonts w:ascii="仿宋" w:hAnsi="仿宋" w:eastAsia="仿宋"/>
          <w:b/>
          <w:color w:val="auto"/>
          <w:sz w:val="32"/>
          <w:szCs w:val="32"/>
          <w:highlight w:val="none"/>
        </w:rPr>
      </w:pPr>
      <w:r>
        <w:rPr>
          <w:rStyle w:val="19"/>
          <w:rFonts w:hint="eastAsia" w:ascii="仿宋" w:hAnsi="仿宋" w:eastAsia="仿宋"/>
          <w:bCs/>
          <w:sz w:val="32"/>
          <w:szCs w:val="32"/>
        </w:rPr>
        <w:t>1.教育205（类）普通教育02（款）</w:t>
      </w:r>
      <w:r>
        <w:rPr>
          <w:rStyle w:val="19"/>
          <w:rFonts w:hint="eastAsia" w:ascii="仿宋" w:hAnsi="仿宋" w:eastAsia="仿宋"/>
          <w:bCs/>
          <w:sz w:val="32"/>
          <w:szCs w:val="32"/>
          <w:lang w:val="en-US" w:eastAsia="zh-CN"/>
        </w:rPr>
        <w:t>初中</w:t>
      </w:r>
      <w:r>
        <w:rPr>
          <w:rStyle w:val="19"/>
          <w:rFonts w:hint="eastAsia" w:ascii="仿宋" w:hAnsi="仿宋" w:eastAsia="仿宋"/>
          <w:bCs/>
          <w:sz w:val="32"/>
          <w:szCs w:val="32"/>
        </w:rPr>
        <w:t>教育0</w:t>
      </w:r>
      <w:r>
        <w:rPr>
          <w:rStyle w:val="19"/>
          <w:rFonts w:hint="eastAsia" w:ascii="仿宋" w:hAnsi="仿宋" w:eastAsia="仿宋"/>
          <w:bCs/>
          <w:sz w:val="32"/>
          <w:szCs w:val="32"/>
          <w:lang w:val="en-US" w:eastAsia="zh-CN"/>
        </w:rPr>
        <w:t>3</w:t>
      </w:r>
      <w:r>
        <w:rPr>
          <w:rStyle w:val="19"/>
          <w:rFonts w:hint="eastAsia" w:ascii="仿宋" w:hAnsi="仿宋" w:eastAsia="仿宋"/>
          <w:bCs/>
          <w:sz w:val="32"/>
          <w:szCs w:val="32"/>
        </w:rPr>
        <w:t>（项）</w:t>
      </w:r>
      <w:r>
        <w:rPr>
          <w:rStyle w:val="19"/>
          <w:rFonts w:ascii="仿宋" w:hAnsi="仿宋" w:eastAsia="仿宋"/>
          <w:bCs/>
          <w:sz w:val="32"/>
          <w:szCs w:val="32"/>
        </w:rPr>
        <w:t>:</w:t>
      </w:r>
      <w:r>
        <w:rPr>
          <w:rStyle w:val="19"/>
          <w:rFonts w:ascii="仿宋" w:hAnsi="仿宋" w:eastAsia="仿宋"/>
          <w:b w:val="0"/>
          <w:bCs/>
          <w:sz w:val="32"/>
          <w:szCs w:val="32"/>
        </w:rPr>
        <w:t xml:space="preserve"> </w:t>
      </w:r>
      <w:r>
        <w:rPr>
          <w:rStyle w:val="19"/>
          <w:rFonts w:hint="eastAsia" w:ascii="仿宋" w:hAnsi="仿宋" w:eastAsia="仿宋"/>
          <w:b w:val="0"/>
          <w:bCs/>
          <w:sz w:val="32"/>
          <w:szCs w:val="32"/>
        </w:rPr>
        <w:t>支出决算为</w:t>
      </w:r>
      <w:r>
        <w:rPr>
          <w:rStyle w:val="19"/>
          <w:rFonts w:hint="eastAsia" w:ascii="仿宋" w:hAnsi="仿宋" w:eastAsia="仿宋"/>
          <w:b w:val="0"/>
          <w:bCs/>
          <w:sz w:val="32"/>
          <w:szCs w:val="32"/>
          <w:lang w:val="en-US" w:eastAsia="zh-CN"/>
        </w:rPr>
        <w:t>870.24</w:t>
      </w:r>
      <w:r>
        <w:rPr>
          <w:rStyle w:val="19"/>
          <w:rFonts w:hint="eastAsia" w:ascii="仿宋" w:hAnsi="仿宋" w:eastAsia="仿宋"/>
          <w:b w:val="0"/>
          <w:bCs/>
          <w:sz w:val="32"/>
          <w:szCs w:val="32"/>
        </w:rPr>
        <w:t>万元，完成预算100</w:t>
      </w:r>
      <w:r>
        <w:rPr>
          <w:rStyle w:val="19"/>
          <w:rFonts w:ascii="仿宋" w:hAnsi="仿宋" w:eastAsia="仿宋"/>
          <w:b w:val="0"/>
          <w:bCs/>
          <w:sz w:val="32"/>
          <w:szCs w:val="32"/>
        </w:rPr>
        <w:t>%</w:t>
      </w:r>
      <w:r>
        <w:rPr>
          <w:rStyle w:val="19"/>
          <w:rFonts w:hint="eastAsia" w:ascii="仿宋" w:hAnsi="仿宋" w:eastAsia="仿宋"/>
          <w:b w:val="0"/>
          <w:bCs/>
          <w:sz w:val="32"/>
          <w:szCs w:val="32"/>
          <w:lang w:eastAsia="zh-CN"/>
        </w:rPr>
        <w:t>，</w:t>
      </w:r>
      <w:r>
        <w:rPr>
          <w:rStyle w:val="19"/>
          <w:rFonts w:hint="eastAsia" w:ascii="仿宋" w:hAnsi="仿宋" w:eastAsia="仿宋"/>
          <w:b w:val="0"/>
          <w:bCs/>
          <w:color w:val="auto"/>
          <w:sz w:val="32"/>
          <w:szCs w:val="32"/>
          <w:highlight w:val="none"/>
        </w:rPr>
        <w:t>决算数等于预算数。</w:t>
      </w:r>
    </w:p>
    <w:p w14:paraId="0335B6FE">
      <w:pPr>
        <w:spacing w:line="600" w:lineRule="exact"/>
        <w:ind w:firstLine="643" w:firstLineChars="200"/>
        <w:rPr>
          <w:rStyle w:val="19"/>
          <w:rFonts w:ascii="仿宋" w:hAnsi="仿宋" w:eastAsia="仿宋"/>
          <w:b w:val="0"/>
          <w:bCs/>
          <w:sz w:val="32"/>
          <w:szCs w:val="32"/>
        </w:rPr>
      </w:pPr>
      <w:r>
        <w:rPr>
          <w:rStyle w:val="19"/>
          <w:rFonts w:hint="eastAsia" w:ascii="仿宋" w:hAnsi="仿宋" w:eastAsia="仿宋"/>
          <w:bCs/>
          <w:sz w:val="32"/>
          <w:szCs w:val="32"/>
        </w:rPr>
        <w:t>2</w:t>
      </w:r>
      <w:r>
        <w:rPr>
          <w:rStyle w:val="19"/>
          <w:rFonts w:ascii="仿宋" w:hAnsi="仿宋" w:eastAsia="仿宋"/>
          <w:bCs/>
          <w:sz w:val="32"/>
          <w:szCs w:val="32"/>
        </w:rPr>
        <w:t>.</w:t>
      </w:r>
      <w:r>
        <w:rPr>
          <w:rStyle w:val="19"/>
          <w:rFonts w:hint="eastAsia" w:ascii="仿宋" w:hAnsi="仿宋" w:eastAsia="仿宋"/>
          <w:bCs/>
          <w:sz w:val="32"/>
          <w:szCs w:val="32"/>
        </w:rPr>
        <w:t>教育205（类）普通教育02（款）</w:t>
      </w:r>
      <w:r>
        <w:rPr>
          <w:rStyle w:val="19"/>
          <w:rFonts w:hint="eastAsia" w:ascii="仿宋" w:hAnsi="仿宋" w:eastAsia="仿宋"/>
          <w:bCs/>
          <w:sz w:val="32"/>
          <w:szCs w:val="32"/>
          <w:lang w:eastAsia="zh-CN"/>
        </w:rPr>
        <w:t>其他</w:t>
      </w:r>
      <w:r>
        <w:rPr>
          <w:rStyle w:val="19"/>
          <w:rFonts w:hint="eastAsia" w:ascii="仿宋" w:hAnsi="仿宋" w:eastAsia="仿宋"/>
          <w:bCs/>
          <w:sz w:val="32"/>
          <w:szCs w:val="32"/>
          <w:lang w:val="en-US" w:eastAsia="zh-CN"/>
        </w:rPr>
        <w:t>普通</w:t>
      </w:r>
      <w:r>
        <w:rPr>
          <w:rStyle w:val="19"/>
          <w:rFonts w:hint="eastAsia" w:ascii="仿宋" w:hAnsi="仿宋" w:eastAsia="仿宋"/>
          <w:bCs/>
          <w:sz w:val="32"/>
          <w:szCs w:val="32"/>
        </w:rPr>
        <w:t>教育</w:t>
      </w:r>
      <w:r>
        <w:rPr>
          <w:rStyle w:val="19"/>
          <w:rFonts w:hint="eastAsia" w:ascii="仿宋" w:hAnsi="仿宋" w:eastAsia="仿宋"/>
          <w:bCs/>
          <w:sz w:val="32"/>
          <w:szCs w:val="32"/>
          <w:lang w:val="en-US" w:eastAsia="zh-CN"/>
        </w:rPr>
        <w:t>99</w:t>
      </w:r>
      <w:r>
        <w:rPr>
          <w:rStyle w:val="19"/>
          <w:rFonts w:hint="eastAsia" w:ascii="仿宋" w:hAnsi="仿宋" w:eastAsia="仿宋"/>
          <w:bCs/>
          <w:sz w:val="32"/>
          <w:szCs w:val="32"/>
        </w:rPr>
        <w:t>（项）</w:t>
      </w:r>
      <w:r>
        <w:rPr>
          <w:rStyle w:val="19"/>
          <w:rFonts w:ascii="仿宋" w:hAnsi="仿宋" w:eastAsia="仿宋"/>
          <w:bCs/>
          <w:sz w:val="32"/>
          <w:szCs w:val="32"/>
        </w:rPr>
        <w:t>:</w:t>
      </w:r>
      <w:r>
        <w:rPr>
          <w:rStyle w:val="19"/>
          <w:rFonts w:ascii="仿宋" w:hAnsi="仿宋" w:eastAsia="仿宋"/>
          <w:b w:val="0"/>
          <w:bCs/>
          <w:sz w:val="32"/>
          <w:szCs w:val="32"/>
        </w:rPr>
        <w:t xml:space="preserve"> </w:t>
      </w:r>
      <w:r>
        <w:rPr>
          <w:rStyle w:val="19"/>
          <w:rFonts w:hint="eastAsia" w:ascii="仿宋" w:hAnsi="仿宋" w:eastAsia="仿宋"/>
          <w:b w:val="0"/>
          <w:bCs/>
          <w:sz w:val="32"/>
          <w:szCs w:val="32"/>
        </w:rPr>
        <w:t>支出决算为</w:t>
      </w:r>
      <w:r>
        <w:rPr>
          <w:rStyle w:val="19"/>
          <w:rFonts w:hint="eastAsia" w:ascii="仿宋" w:hAnsi="仿宋" w:eastAsia="仿宋"/>
          <w:b w:val="0"/>
          <w:bCs/>
          <w:sz w:val="32"/>
          <w:szCs w:val="32"/>
          <w:lang w:val="en-US" w:eastAsia="zh-CN"/>
        </w:rPr>
        <w:t>256</w:t>
      </w:r>
      <w:r>
        <w:rPr>
          <w:rStyle w:val="19"/>
          <w:rFonts w:hint="eastAsia" w:ascii="仿宋" w:hAnsi="仿宋" w:eastAsia="仿宋"/>
          <w:b w:val="0"/>
          <w:bCs/>
          <w:sz w:val="32"/>
          <w:szCs w:val="32"/>
        </w:rPr>
        <w:t>万元，完成预算</w:t>
      </w:r>
      <w:r>
        <w:rPr>
          <w:rStyle w:val="19"/>
          <w:rFonts w:hint="eastAsia" w:ascii="仿宋" w:hAnsi="仿宋" w:eastAsia="仿宋"/>
          <w:b w:val="0"/>
          <w:bCs/>
          <w:sz w:val="32"/>
          <w:szCs w:val="32"/>
          <w:lang w:val="en-US" w:eastAsia="zh-CN"/>
        </w:rPr>
        <w:t>256</w:t>
      </w:r>
      <w:r>
        <w:rPr>
          <w:rStyle w:val="19"/>
          <w:rFonts w:ascii="仿宋" w:hAnsi="仿宋" w:eastAsia="仿宋"/>
          <w:b w:val="0"/>
          <w:bCs/>
          <w:sz w:val="32"/>
          <w:szCs w:val="32"/>
        </w:rPr>
        <w:t>%</w:t>
      </w:r>
      <w:r>
        <w:rPr>
          <w:rStyle w:val="19"/>
          <w:rFonts w:hint="eastAsia" w:ascii="仿宋" w:hAnsi="仿宋" w:eastAsia="仿宋"/>
          <w:b w:val="0"/>
          <w:bCs/>
          <w:sz w:val="32"/>
          <w:szCs w:val="32"/>
        </w:rPr>
        <w:t>。</w:t>
      </w:r>
      <w:r>
        <w:rPr>
          <w:rStyle w:val="19"/>
          <w:rFonts w:hint="eastAsia" w:ascii="仿宋" w:hAnsi="仿宋" w:eastAsia="仿宋"/>
          <w:b w:val="0"/>
          <w:bCs/>
          <w:sz w:val="32"/>
          <w:szCs w:val="32"/>
          <w:lang w:eastAsia="zh-CN"/>
        </w:rPr>
        <w:t>，</w:t>
      </w:r>
      <w:r>
        <w:rPr>
          <w:rStyle w:val="19"/>
          <w:rFonts w:hint="eastAsia" w:ascii="仿宋" w:hAnsi="仿宋" w:eastAsia="仿宋"/>
          <w:b w:val="0"/>
          <w:bCs/>
          <w:color w:val="auto"/>
          <w:sz w:val="32"/>
          <w:szCs w:val="32"/>
          <w:highlight w:val="none"/>
        </w:rPr>
        <w:t>决算数等于预算数。</w:t>
      </w:r>
    </w:p>
    <w:p w14:paraId="005B61AD">
      <w:pPr>
        <w:pStyle w:val="16"/>
      </w:pPr>
    </w:p>
    <w:p w14:paraId="7966351E">
      <w:pPr>
        <w:tabs>
          <w:tab w:val="right" w:pos="8306"/>
        </w:tabs>
        <w:spacing w:line="600" w:lineRule="exact"/>
        <w:ind w:firstLine="640"/>
        <w:outlineLvl w:val="1"/>
        <w:rPr>
          <w:rStyle w:val="30"/>
        </w:rPr>
      </w:pPr>
      <w:bookmarkStart w:id="34" w:name="_Toc15377214"/>
      <w:bookmarkStart w:id="35" w:name="_Toc15396608"/>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30"/>
          <w:rFonts w:hint="eastAsia" w:ascii="黑体" w:hAnsi="黑体" w:eastAsia="黑体"/>
          <w:b w:val="0"/>
        </w:rPr>
        <w:t>般公共预算财政拨款基本支出决算情况说明</w:t>
      </w:r>
      <w:bookmarkEnd w:id="34"/>
      <w:bookmarkEnd w:id="35"/>
      <w:r>
        <w:rPr>
          <w:rStyle w:val="30"/>
          <w:rFonts w:ascii="黑体" w:hAnsi="黑体" w:eastAsia="黑体"/>
          <w:b w:val="0"/>
        </w:rPr>
        <w:tab/>
      </w:r>
    </w:p>
    <w:p w14:paraId="74E9C3DD">
      <w:pPr>
        <w:spacing w:line="600" w:lineRule="exact"/>
        <w:ind w:firstLine="645"/>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21年一般公共预算财政拨款基本支出</w:t>
      </w:r>
      <w:r>
        <w:rPr>
          <w:rFonts w:hint="eastAsia" w:ascii="仿宋" w:hAnsi="仿宋" w:eastAsia="仿宋"/>
          <w:sz w:val="32"/>
          <w:szCs w:val="32"/>
          <w:lang w:val="en-US" w:eastAsia="zh-CN"/>
        </w:rPr>
        <w:t>870.24</w:t>
      </w:r>
      <w:r>
        <w:rPr>
          <w:rFonts w:hint="eastAsia" w:ascii="仿宋" w:hAnsi="仿宋" w:eastAsia="仿宋"/>
          <w:sz w:val="32"/>
          <w:szCs w:val="32"/>
        </w:rPr>
        <w:t>万元，其中：</w:t>
      </w:r>
    </w:p>
    <w:p w14:paraId="4CF3E272">
      <w:pPr>
        <w:spacing w:line="600" w:lineRule="exact"/>
        <w:ind w:firstLine="645"/>
        <w:rPr>
          <w:rFonts w:ascii="仿宋" w:hAnsi="仿宋" w:eastAsia="仿宋"/>
          <w:sz w:val="32"/>
          <w:szCs w:val="32"/>
        </w:rPr>
      </w:pPr>
      <w:r>
        <w:rPr>
          <w:rFonts w:hint="eastAsia" w:ascii="仿宋" w:hAnsi="仿宋" w:eastAsia="仿宋"/>
          <w:sz w:val="32"/>
          <w:szCs w:val="32"/>
        </w:rPr>
        <w:t>人员经费</w:t>
      </w:r>
      <w:r>
        <w:rPr>
          <w:rFonts w:hint="eastAsia" w:ascii="仿宋" w:hAnsi="仿宋" w:eastAsia="仿宋"/>
          <w:sz w:val="32"/>
          <w:szCs w:val="32"/>
          <w:lang w:val="en-US" w:eastAsia="zh-CN"/>
        </w:rPr>
        <w:t>767.58</w:t>
      </w:r>
      <w:r>
        <w:rPr>
          <w:rFonts w:hint="eastAsia" w:ascii="仿宋" w:hAnsi="仿宋" w:eastAsia="仿宋"/>
          <w:sz w:val="32"/>
          <w:szCs w:val="32"/>
        </w:rPr>
        <w:t>万元，主要包括：基本工资、津贴补贴、绩效工资、机关事业单位基本养老保险缴费、职业年金缴费、职工基本医疗保险缴费</w:t>
      </w:r>
      <w:r>
        <w:rPr>
          <w:rFonts w:hint="eastAsia" w:ascii="仿宋" w:hAnsi="仿宋" w:eastAsia="仿宋"/>
          <w:sz w:val="32"/>
          <w:szCs w:val="32"/>
          <w:lang w:eastAsia="zh-CN"/>
        </w:rPr>
        <w:t>、</w:t>
      </w:r>
      <w:r>
        <w:rPr>
          <w:rFonts w:hint="eastAsia" w:ascii="仿宋" w:hAnsi="仿宋" w:eastAsia="仿宋"/>
          <w:sz w:val="32"/>
          <w:szCs w:val="32"/>
        </w:rPr>
        <w:t>其他社会保障缴费、其他工资福利支出、生活补助、助学金</w:t>
      </w:r>
      <w:r>
        <w:rPr>
          <w:rFonts w:hint="eastAsia" w:ascii="仿宋" w:hAnsi="仿宋" w:eastAsia="仿宋"/>
          <w:sz w:val="32"/>
          <w:szCs w:val="32"/>
          <w:lang w:eastAsia="zh-CN"/>
        </w:rPr>
        <w:t>、</w:t>
      </w:r>
      <w:r>
        <w:rPr>
          <w:rFonts w:hint="eastAsia" w:ascii="仿宋" w:hAnsi="仿宋" w:eastAsia="仿宋"/>
          <w:sz w:val="32"/>
          <w:szCs w:val="32"/>
        </w:rPr>
        <w:t>奖励金、住房公积金等。</w:t>
      </w:r>
    </w:p>
    <w:p w14:paraId="2322E4DF">
      <w:pPr>
        <w:spacing w:line="600" w:lineRule="exact"/>
        <w:ind w:firstLine="645"/>
        <w:rPr>
          <w:rFonts w:ascii="仿宋" w:hAnsi="仿宋" w:eastAsia="仿宋"/>
          <w:b/>
          <w:sz w:val="32"/>
          <w:szCs w:val="32"/>
        </w:rPr>
      </w:pPr>
      <w:r>
        <w:rPr>
          <w:rFonts w:hint="eastAsia" w:ascii="仿宋" w:hAnsi="仿宋" w:eastAsia="仿宋"/>
          <w:sz w:val="32"/>
          <w:szCs w:val="32"/>
        </w:rPr>
        <w:t>公用经费</w:t>
      </w:r>
      <w:r>
        <w:rPr>
          <w:rFonts w:hint="eastAsia" w:ascii="仿宋" w:hAnsi="仿宋" w:eastAsia="仿宋"/>
          <w:sz w:val="32"/>
          <w:szCs w:val="32"/>
          <w:lang w:val="en-US" w:eastAsia="zh-CN"/>
        </w:rPr>
        <w:t>102.66</w:t>
      </w:r>
      <w:r>
        <w:rPr>
          <w:rFonts w:hint="eastAsia" w:ascii="仿宋" w:hAnsi="仿宋" w:eastAsia="仿宋"/>
          <w:sz w:val="32"/>
          <w:szCs w:val="32"/>
        </w:rPr>
        <w:t>万元，主要包括：办公费、印刷费、手续费、水费、电费、邮电费、差旅费、维修（护）费、培训费、公务接待费、工会经费等。</w:t>
      </w:r>
    </w:p>
    <w:p w14:paraId="71E66372">
      <w:pPr>
        <w:spacing w:line="600" w:lineRule="exact"/>
        <w:ind w:firstLine="640"/>
        <w:outlineLvl w:val="1"/>
        <w:rPr>
          <w:rStyle w:val="30"/>
          <w:rFonts w:ascii="黑体" w:hAnsi="黑体" w:eastAsia="黑体"/>
          <w:b w:val="0"/>
        </w:rPr>
      </w:pPr>
      <w:bookmarkStart w:id="36" w:name="_Toc15377215"/>
      <w:bookmarkStart w:id="37" w:name="_Toc15396609"/>
      <w:r>
        <w:rPr>
          <w:rFonts w:hint="eastAsia" w:ascii="黑体" w:eastAsia="黑体"/>
          <w:sz w:val="32"/>
          <w:szCs w:val="32"/>
        </w:rPr>
        <w:t>七、</w:t>
      </w:r>
      <w:r>
        <w:rPr>
          <w:rStyle w:val="30"/>
          <w:rFonts w:hint="eastAsia" w:ascii="黑体" w:hAnsi="黑体" w:eastAsia="黑体"/>
        </w:rPr>
        <w:t>“</w:t>
      </w:r>
      <w:r>
        <w:rPr>
          <w:rStyle w:val="30"/>
          <w:rFonts w:hint="eastAsia" w:ascii="黑体" w:hAnsi="黑体" w:eastAsia="黑体"/>
          <w:b w:val="0"/>
        </w:rPr>
        <w:t>三公”经费财政拨款支出决算情况说明</w:t>
      </w:r>
      <w:bookmarkEnd w:id="36"/>
      <w:bookmarkEnd w:id="37"/>
    </w:p>
    <w:p w14:paraId="61B36A99">
      <w:pPr>
        <w:spacing w:line="600" w:lineRule="exact"/>
        <w:ind w:firstLine="640"/>
        <w:outlineLvl w:val="2"/>
        <w:rPr>
          <w:rFonts w:ascii="仿宋" w:hAnsi="仿宋" w:eastAsia="仿宋"/>
          <w:b/>
          <w:sz w:val="32"/>
          <w:szCs w:val="32"/>
        </w:rPr>
      </w:pPr>
      <w:bookmarkStart w:id="38" w:name="_Toc15377216"/>
      <w:r>
        <w:rPr>
          <w:rFonts w:hint="eastAsia" w:ascii="仿宋" w:hAnsi="仿宋" w:eastAsia="仿宋"/>
          <w:b/>
          <w:sz w:val="32"/>
          <w:szCs w:val="32"/>
        </w:rPr>
        <w:t>（一）“三公”经费财政拨款支出决算总体情况说明</w:t>
      </w:r>
      <w:bookmarkEnd w:id="38"/>
    </w:p>
    <w:p w14:paraId="74C247EC">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21年“三公”经费财政拨款支出决算为</w:t>
      </w:r>
      <w:r>
        <w:rPr>
          <w:rFonts w:hint="eastAsia" w:ascii="仿宋" w:hAnsi="仿宋" w:eastAsia="仿宋"/>
          <w:sz w:val="32"/>
          <w:szCs w:val="32"/>
          <w:lang w:val="en-US" w:eastAsia="zh-CN"/>
        </w:rPr>
        <w:t>2.31</w:t>
      </w:r>
      <w:r>
        <w:rPr>
          <w:rFonts w:hint="eastAsia" w:ascii="仿宋" w:hAnsi="仿宋" w:eastAsia="仿宋"/>
          <w:sz w:val="32"/>
          <w:szCs w:val="32"/>
        </w:rPr>
        <w:t>万元，完成预算</w:t>
      </w:r>
      <w:r>
        <w:rPr>
          <w:rFonts w:hint="eastAsia" w:ascii="仿宋" w:hAnsi="仿宋" w:eastAsia="仿宋"/>
          <w:sz w:val="32"/>
          <w:szCs w:val="32"/>
          <w:lang w:val="en-US" w:eastAsia="zh-CN"/>
        </w:rPr>
        <w:t>96.25</w:t>
      </w:r>
      <w:r>
        <w:rPr>
          <w:rFonts w:ascii="仿宋" w:hAnsi="仿宋" w:eastAsia="仿宋"/>
          <w:sz w:val="32"/>
          <w:szCs w:val="32"/>
        </w:rPr>
        <w:t>%</w:t>
      </w:r>
      <w:r>
        <w:rPr>
          <w:rFonts w:hint="eastAsia" w:ascii="仿宋" w:hAnsi="仿宋" w:eastAsia="仿宋"/>
          <w:sz w:val="32"/>
          <w:szCs w:val="32"/>
        </w:rPr>
        <w:t>，决算数小于预算数的主要原因</w:t>
      </w:r>
      <w:r>
        <w:rPr>
          <w:rFonts w:hint="eastAsia" w:ascii="仿宋" w:hAnsi="仿宋" w:eastAsia="仿宋"/>
          <w:color w:val="auto"/>
          <w:sz w:val="32"/>
          <w:szCs w:val="32"/>
          <w:highlight w:val="none"/>
        </w:rPr>
        <w:t>是</w:t>
      </w:r>
      <w:r>
        <w:rPr>
          <w:rFonts w:hint="eastAsia" w:ascii="仿宋" w:hAnsi="仿宋" w:eastAsia="仿宋"/>
          <w:color w:val="000000"/>
          <w:sz w:val="32"/>
          <w:szCs w:val="32"/>
          <w:lang w:eastAsia="zh-CN"/>
        </w:rPr>
        <w:t>认真贯彻落实中央八项规定精神，采取有效措施严格控制接待范围和接待标准</w:t>
      </w:r>
      <w:r>
        <w:rPr>
          <w:rFonts w:hint="eastAsia" w:ascii="仿宋" w:hAnsi="仿宋" w:eastAsia="仿宋"/>
          <w:color w:val="000000"/>
          <w:sz w:val="32"/>
          <w:szCs w:val="32"/>
        </w:rPr>
        <w:t>。</w:t>
      </w:r>
    </w:p>
    <w:p w14:paraId="6A31EDA8">
      <w:pPr>
        <w:spacing w:line="600" w:lineRule="exact"/>
        <w:ind w:firstLine="640"/>
        <w:outlineLvl w:val="2"/>
        <w:rPr>
          <w:rFonts w:ascii="仿宋" w:hAnsi="仿宋" w:eastAsia="仿宋"/>
          <w:b/>
          <w:sz w:val="32"/>
          <w:szCs w:val="32"/>
        </w:rPr>
      </w:pPr>
      <w:bookmarkStart w:id="39" w:name="_Toc15377217"/>
      <w:r>
        <w:rPr>
          <w:rFonts w:hint="eastAsia" w:ascii="仿宋" w:hAnsi="仿宋" w:eastAsia="仿宋"/>
          <w:b/>
          <w:sz w:val="32"/>
          <w:szCs w:val="32"/>
        </w:rPr>
        <w:t>（二）“三公”经费财政拨款支出决算具体情况说明</w:t>
      </w:r>
      <w:bookmarkEnd w:id="39"/>
    </w:p>
    <w:p w14:paraId="53754BFA">
      <w:pPr>
        <w:spacing w:line="600" w:lineRule="exact"/>
        <w:ind w:firstLine="640" w:firstLineChars="200"/>
        <w:rPr>
          <w:rFonts w:hint="eastAsia" w:ascii="仿宋" w:hAnsi="仿宋" w:eastAsia="仿宋"/>
          <w:b/>
          <w:sz w:val="32"/>
          <w:szCs w:val="32"/>
        </w:rPr>
      </w:pPr>
      <w:r>
        <w:rPr>
          <w:rFonts w:ascii="仿宋" w:hAnsi="仿宋" w:eastAsia="仿宋"/>
          <w:sz w:val="32"/>
          <w:szCs w:val="32"/>
        </w:rPr>
        <w:t>20</w:t>
      </w:r>
      <w:r>
        <w:rPr>
          <w:rFonts w:hint="eastAsia" w:ascii="仿宋" w:hAnsi="仿宋" w:eastAsia="仿宋"/>
          <w:sz w:val="32"/>
          <w:szCs w:val="32"/>
        </w:rPr>
        <w:t>21年“三公”经费财政拨款支出决算中，因公出国（境）费支出决算0万</w:t>
      </w:r>
      <w:r>
        <w:rPr>
          <w:rFonts w:hint="eastAsia" w:ascii="仿宋" w:hAnsi="仿宋" w:eastAsia="仿宋"/>
          <w:color w:val="auto"/>
          <w:sz w:val="32"/>
          <w:szCs w:val="32"/>
        </w:rPr>
        <w:t>元，当年未安排</w:t>
      </w:r>
      <w:r>
        <w:rPr>
          <w:rFonts w:hint="eastAsia" w:ascii="仿宋" w:hAnsi="仿宋" w:eastAsia="仿宋"/>
          <w:color w:val="auto"/>
          <w:sz w:val="32"/>
          <w:szCs w:val="32"/>
          <w:lang w:eastAsia="zh-CN"/>
        </w:rPr>
        <w:t>预算</w:t>
      </w:r>
      <w:r>
        <w:rPr>
          <w:rFonts w:hint="eastAsia" w:ascii="Times New Roman" w:hAnsi="Times New Roman" w:eastAsia="仿宋" w:cs="Times New Roman"/>
          <w:color w:val="auto"/>
          <w:sz w:val="32"/>
          <w:szCs w:val="32"/>
          <w:lang w:val="en-US" w:eastAsia="zh-CN"/>
        </w:rPr>
        <w:t>，与上年持平</w:t>
      </w:r>
      <w:r>
        <w:rPr>
          <w:rFonts w:hint="default" w:ascii="Times New Roman" w:hAnsi="Times New Roman" w:eastAsia="仿宋" w:cs="Times New Roman"/>
          <w:color w:val="auto"/>
          <w:sz w:val="32"/>
          <w:szCs w:val="32"/>
        </w:rPr>
        <w:t>；</w:t>
      </w:r>
      <w:r>
        <w:rPr>
          <w:rFonts w:hint="eastAsia" w:ascii="仿宋" w:hAnsi="仿宋" w:eastAsia="仿宋"/>
          <w:color w:val="auto"/>
          <w:sz w:val="32"/>
          <w:szCs w:val="32"/>
        </w:rPr>
        <w:t>公务用车购置及运行维护费支出决算0万元，当年未安排</w:t>
      </w:r>
      <w:r>
        <w:rPr>
          <w:rFonts w:hint="eastAsia" w:ascii="仿宋" w:hAnsi="仿宋" w:eastAsia="仿宋"/>
          <w:color w:val="auto"/>
          <w:sz w:val="32"/>
          <w:szCs w:val="32"/>
          <w:lang w:eastAsia="zh-CN"/>
        </w:rPr>
        <w:t>预算</w:t>
      </w:r>
      <w:r>
        <w:rPr>
          <w:rFonts w:hint="eastAsia" w:ascii="Times New Roman" w:hAnsi="Times New Roman" w:eastAsia="仿宋" w:cs="Times New Roman"/>
          <w:color w:val="auto"/>
          <w:sz w:val="32"/>
          <w:szCs w:val="32"/>
          <w:lang w:val="en-US" w:eastAsia="zh-CN"/>
        </w:rPr>
        <w:t>，与上年持平</w:t>
      </w:r>
      <w:r>
        <w:rPr>
          <w:rFonts w:hint="default" w:ascii="Times New Roman" w:hAnsi="Times New Roman" w:eastAsia="仿宋" w:cs="Times New Roman"/>
          <w:color w:val="auto"/>
          <w:sz w:val="32"/>
          <w:szCs w:val="32"/>
        </w:rPr>
        <w:t>；</w:t>
      </w:r>
      <w:r>
        <w:rPr>
          <w:rFonts w:hint="eastAsia" w:ascii="仿宋" w:hAnsi="仿宋" w:eastAsia="仿宋"/>
          <w:color w:val="auto"/>
          <w:sz w:val="32"/>
          <w:szCs w:val="32"/>
        </w:rPr>
        <w:t>公务接待费支出决算</w:t>
      </w:r>
      <w:r>
        <w:rPr>
          <w:rFonts w:hint="eastAsia" w:ascii="仿宋" w:hAnsi="仿宋" w:eastAsia="仿宋"/>
          <w:color w:val="auto"/>
          <w:sz w:val="32"/>
          <w:szCs w:val="32"/>
          <w:lang w:val="en-US" w:eastAsia="zh-CN"/>
        </w:rPr>
        <w:t>2.31</w:t>
      </w:r>
      <w:r>
        <w:rPr>
          <w:rFonts w:hint="eastAsia" w:ascii="仿宋" w:hAnsi="仿宋" w:eastAsia="仿宋"/>
          <w:color w:val="auto"/>
          <w:sz w:val="32"/>
          <w:szCs w:val="32"/>
        </w:rPr>
        <w:t>万元，占100</w:t>
      </w:r>
      <w:r>
        <w:rPr>
          <w:rFonts w:ascii="仿宋" w:hAnsi="仿宋" w:eastAsia="仿宋"/>
          <w:color w:val="auto"/>
          <w:sz w:val="32"/>
          <w:szCs w:val="32"/>
        </w:rPr>
        <w:t>%</w:t>
      </w:r>
      <w:r>
        <w:rPr>
          <w:rFonts w:hint="eastAsia" w:ascii="仿宋" w:hAnsi="仿宋" w:eastAsia="仿宋"/>
          <w:color w:val="auto"/>
          <w:sz w:val="32"/>
          <w:szCs w:val="32"/>
        </w:rPr>
        <w:t>。具体情况如下：</w:t>
      </w:r>
    </w:p>
    <w:p w14:paraId="451002B7">
      <w:pPr>
        <w:spacing w:line="600" w:lineRule="exact"/>
        <w:ind w:firstLine="640"/>
        <w:rPr>
          <w:rFonts w:hint="eastAsia" w:ascii="仿宋_GB2312" w:eastAsia="仿宋_GB2312" w:cs="仿宋_GB2312"/>
          <w:b/>
          <w:bCs w:val="0"/>
          <w:color w:val="auto"/>
          <w:sz w:val="32"/>
          <w:szCs w:val="32"/>
          <w:lang w:val="en-US"/>
        </w:rPr>
      </w:pPr>
      <w:r>
        <w:rPr>
          <w:rFonts w:hint="eastAsia" w:ascii="仿宋" w:hAnsi="仿宋" w:eastAsia="仿宋"/>
          <w:color w:val="auto"/>
          <w:sz w:val="32"/>
          <w:szCs w:val="32"/>
          <w:lang w:eastAsia="zh-CN"/>
        </w:rPr>
        <w:drawing>
          <wp:anchor distT="0" distB="0" distL="114300" distR="114300" simplePos="0" relativeHeight="251665408" behindDoc="0" locked="0" layoutInCell="1" allowOverlap="1">
            <wp:simplePos x="0" y="0"/>
            <wp:positionH relativeFrom="column">
              <wp:posOffset>1270</wp:posOffset>
            </wp:positionH>
            <wp:positionV relativeFrom="paragraph">
              <wp:posOffset>242570</wp:posOffset>
            </wp:positionV>
            <wp:extent cx="5080000" cy="2771775"/>
            <wp:effectExtent l="4445" t="4445" r="20955" b="5080"/>
            <wp:wrapTopAndBottom/>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Pr>
          <w:rFonts w:hint="eastAsia" w:ascii="仿宋_GB2312" w:hAnsi="Times New Roman" w:eastAsia="仿宋_GB2312" w:cs="仿宋_GB2312"/>
          <w:b/>
          <w:bCs w:val="0"/>
          <w:color w:val="auto"/>
          <w:kern w:val="2"/>
          <w:sz w:val="32"/>
          <w:szCs w:val="32"/>
          <w:lang w:val="en-US" w:eastAsia="zh-CN" w:bidi="ar"/>
        </w:rPr>
        <w:t>1.因公出国（境）经费支出</w:t>
      </w:r>
      <w:r>
        <w:rPr>
          <w:rFonts w:hint="eastAsia" w:ascii="仿宋_GB2312" w:hAnsi="Times New Roman" w:eastAsia="仿宋_GB2312" w:cs="仿宋_GB2312"/>
          <w:color w:val="auto"/>
          <w:kern w:val="2"/>
          <w:sz w:val="32"/>
          <w:szCs w:val="32"/>
          <w:lang w:val="en-US" w:eastAsia="zh-CN" w:bidi="ar"/>
        </w:rPr>
        <w:t>0万元，</w:t>
      </w:r>
      <w:r>
        <w:rPr>
          <w:rStyle w:val="19"/>
          <w:rFonts w:hint="eastAsia" w:ascii="仿宋" w:hAnsi="仿宋" w:eastAsia="仿宋" w:cs="仿宋"/>
          <w:b w:val="0"/>
          <w:bCs/>
          <w:color w:val="auto"/>
          <w:kern w:val="2"/>
          <w:sz w:val="32"/>
          <w:szCs w:val="32"/>
          <w:lang w:val="en-US" w:eastAsia="zh-CN" w:bidi="ar"/>
        </w:rPr>
        <w:t>年初未安排预算，与上年数持平。</w:t>
      </w:r>
    </w:p>
    <w:p w14:paraId="54AB6BE9">
      <w:pPr>
        <w:spacing w:line="600" w:lineRule="exact"/>
        <w:ind w:firstLine="640"/>
        <w:rPr>
          <w:rFonts w:hint="eastAsia" w:ascii="仿宋_GB2312" w:eastAsia="仿宋_GB2312" w:cs="仿宋_GB2312"/>
          <w:b/>
          <w:bCs w:val="0"/>
          <w:color w:val="auto"/>
          <w:sz w:val="32"/>
          <w:szCs w:val="32"/>
          <w:lang w:val="en-US"/>
        </w:rPr>
      </w:pPr>
      <w:r>
        <w:rPr>
          <w:rFonts w:hint="eastAsia" w:ascii="仿宋_GB2312" w:hAnsi="Times New Roman" w:eastAsia="仿宋_GB2312" w:cs="仿宋_GB2312"/>
          <w:b/>
          <w:bCs w:val="0"/>
          <w:color w:val="auto"/>
          <w:kern w:val="2"/>
          <w:sz w:val="32"/>
          <w:szCs w:val="32"/>
          <w:lang w:val="en-US" w:eastAsia="zh-CN" w:bidi="ar"/>
        </w:rPr>
        <w:t>2.公务用车购置及运行维护费支出</w:t>
      </w:r>
      <w:r>
        <w:rPr>
          <w:rFonts w:hint="eastAsia" w:ascii="仿宋_GB2312" w:hAnsi="Times New Roman" w:eastAsia="仿宋_GB2312" w:cs="仿宋_GB2312"/>
          <w:color w:val="auto"/>
          <w:kern w:val="2"/>
          <w:sz w:val="32"/>
          <w:szCs w:val="32"/>
          <w:lang w:val="en-US" w:eastAsia="zh-CN" w:bidi="ar"/>
        </w:rPr>
        <w:t>0万元,</w:t>
      </w:r>
      <w:r>
        <w:rPr>
          <w:rStyle w:val="19"/>
          <w:rFonts w:hint="eastAsia" w:ascii="仿宋" w:hAnsi="仿宋" w:eastAsia="仿宋" w:cs="仿宋"/>
          <w:b w:val="0"/>
          <w:bCs/>
          <w:color w:val="auto"/>
          <w:kern w:val="2"/>
          <w:sz w:val="32"/>
          <w:szCs w:val="32"/>
          <w:lang w:val="en-US" w:eastAsia="zh-CN" w:bidi="ar"/>
        </w:rPr>
        <w:t>年初未安排预算，与上年数持平。</w:t>
      </w:r>
    </w:p>
    <w:p w14:paraId="0555FBB9">
      <w:pPr>
        <w:keepNext w:val="0"/>
        <w:keepLines w:val="0"/>
        <w:widowControl w:val="0"/>
        <w:suppressLineNumbers w:val="0"/>
        <w:spacing w:before="0" w:beforeAutospacing="0" w:after="0" w:afterAutospacing="0" w:line="600" w:lineRule="exact"/>
        <w:ind w:left="0" w:right="0" w:firstLine="640"/>
        <w:jc w:val="both"/>
        <w:rPr>
          <w:rFonts w:hint="eastAsia" w:ascii="仿宋_GB2312" w:eastAsia="仿宋_GB2312" w:cs="仿宋_GB2312"/>
          <w:b/>
          <w:bCs w:val="0"/>
          <w:color w:val="FF0000"/>
          <w:sz w:val="32"/>
          <w:szCs w:val="32"/>
          <w:lang w:val="en-US"/>
        </w:rPr>
      </w:pPr>
    </w:p>
    <w:p w14:paraId="76DA003C">
      <w:pPr>
        <w:keepNext w:val="0"/>
        <w:keepLines w:val="0"/>
        <w:widowControl w:val="0"/>
        <w:suppressLineNumbers w:val="0"/>
        <w:spacing w:before="0" w:beforeAutospacing="0" w:after="0" w:afterAutospacing="0" w:line="600" w:lineRule="exact"/>
        <w:ind w:right="0" w:firstLine="643" w:firstLineChars="200"/>
        <w:jc w:val="both"/>
        <w:rPr>
          <w:rFonts w:hint="eastAsia" w:ascii="仿宋_GB2312" w:eastAsia="仿宋_GB2312" w:cs="仿宋_GB2312"/>
          <w:bCs/>
          <w:color w:val="000000"/>
          <w:sz w:val="32"/>
          <w:szCs w:val="32"/>
          <w:lang w:val="en-US"/>
        </w:rPr>
      </w:pPr>
      <w:r>
        <w:rPr>
          <w:rFonts w:hint="eastAsia" w:ascii="仿宋_GB2312" w:hAnsi="Times New Roman" w:eastAsia="仿宋_GB2312" w:cs="仿宋_GB2312"/>
          <w:b/>
          <w:bCs/>
          <w:color w:val="000000"/>
          <w:kern w:val="2"/>
          <w:sz w:val="32"/>
          <w:szCs w:val="32"/>
          <w:lang w:val="en-US" w:eastAsia="zh-CN" w:bidi="ar"/>
        </w:rPr>
        <w:t>其中：</w:t>
      </w:r>
      <w:r>
        <w:rPr>
          <w:rFonts w:hint="eastAsia" w:ascii="仿宋_GB2312" w:hAnsi="Times New Roman" w:eastAsia="仿宋_GB2312" w:cs="仿宋_GB2312"/>
          <w:b/>
          <w:bCs w:val="0"/>
          <w:color w:val="000000"/>
          <w:kern w:val="2"/>
          <w:sz w:val="32"/>
          <w:szCs w:val="32"/>
          <w:lang w:val="en-US" w:eastAsia="zh-CN" w:bidi="ar"/>
        </w:rPr>
        <w:t>公务用车购置支出</w:t>
      </w:r>
      <w:r>
        <w:rPr>
          <w:rFonts w:hint="eastAsia" w:ascii="仿宋_GB2312" w:hAnsi="Times New Roman" w:eastAsia="仿宋_GB2312" w:cs="仿宋_GB2312"/>
          <w:bCs/>
          <w:color w:val="000000"/>
          <w:kern w:val="2"/>
          <w:sz w:val="32"/>
          <w:szCs w:val="32"/>
          <w:lang w:val="en-US" w:eastAsia="zh-CN" w:bidi="ar"/>
        </w:rPr>
        <w:t>0万元。</w:t>
      </w:r>
      <w:r>
        <w:rPr>
          <w:rFonts w:hint="eastAsia" w:ascii="仿宋_GB2312" w:eastAsia="仿宋_GB2312" w:cs="仿宋_GB2312"/>
          <w:bCs/>
          <w:color w:val="000000"/>
          <w:kern w:val="2"/>
          <w:sz w:val="32"/>
          <w:szCs w:val="32"/>
          <w:lang w:val="en-US" w:eastAsia="zh-CN" w:bidi="ar"/>
        </w:rPr>
        <w:t>全年按规定更新购置公务用车0辆，</w:t>
      </w:r>
      <w:r>
        <w:rPr>
          <w:rFonts w:hint="eastAsia" w:ascii="仿宋_GB2312" w:eastAsia="仿宋_GB2312" w:cs="仿宋_GB2312"/>
          <w:color w:val="000000"/>
          <w:kern w:val="2"/>
          <w:sz w:val="32"/>
          <w:szCs w:val="32"/>
          <w:lang w:val="en-US" w:eastAsia="zh-CN" w:bidi="ar"/>
        </w:rPr>
        <w:t>主要原因是我单位未购置公务用车。</w:t>
      </w:r>
      <w:r>
        <w:rPr>
          <w:rFonts w:hint="eastAsia" w:ascii="仿宋_GB2312" w:eastAsia="仿宋_GB2312" w:cs="仿宋_GB2312"/>
          <w:bCs/>
          <w:color w:val="000000"/>
          <w:kern w:val="2"/>
          <w:sz w:val="32"/>
          <w:szCs w:val="32"/>
          <w:lang w:val="en-US" w:eastAsia="zh-CN" w:bidi="ar"/>
        </w:rPr>
        <w:t>截止2021年12月底，单位共有公务用车0辆。</w:t>
      </w:r>
    </w:p>
    <w:p w14:paraId="32ED1AEE">
      <w:pPr>
        <w:keepNext w:val="0"/>
        <w:keepLines w:val="0"/>
        <w:widowControl w:val="0"/>
        <w:suppressLineNumbers w:val="0"/>
        <w:spacing w:before="0" w:beforeAutospacing="0" w:after="0" w:afterAutospacing="0" w:line="600" w:lineRule="exact"/>
        <w:ind w:right="0" w:firstLine="643" w:firstLineChars="200"/>
        <w:jc w:val="both"/>
      </w:pPr>
      <w:r>
        <w:rPr>
          <w:rFonts w:hint="eastAsia" w:ascii="仿宋_GB2312" w:hAnsi="Times New Roman" w:eastAsia="仿宋_GB2312" w:cs="仿宋_GB2312"/>
          <w:b/>
          <w:bCs w:val="0"/>
          <w:color w:val="000000"/>
          <w:kern w:val="2"/>
          <w:sz w:val="32"/>
          <w:szCs w:val="32"/>
          <w:lang w:val="en-US" w:eastAsia="zh-CN" w:bidi="ar"/>
        </w:rPr>
        <w:t>公务用车运行维护费支出</w:t>
      </w:r>
      <w:r>
        <w:rPr>
          <w:rFonts w:hint="eastAsia" w:ascii="仿宋_GB2312" w:hAnsi="Times New Roman" w:eastAsia="仿宋_GB2312" w:cs="仿宋_GB2312"/>
          <w:color w:val="000000"/>
          <w:kern w:val="2"/>
          <w:sz w:val="32"/>
          <w:szCs w:val="32"/>
          <w:lang w:val="en-US" w:eastAsia="zh-CN" w:bidi="ar"/>
        </w:rPr>
        <w:t>0万元。</w:t>
      </w:r>
      <w:r>
        <w:rPr>
          <w:rFonts w:hint="eastAsia" w:ascii="仿宋_GB2312" w:eastAsia="仿宋_GB2312" w:cs="仿宋_GB2312"/>
          <w:color w:val="000000"/>
          <w:kern w:val="2"/>
          <w:sz w:val="32"/>
          <w:szCs w:val="32"/>
          <w:lang w:val="en-US" w:eastAsia="zh-CN" w:bidi="ar"/>
        </w:rPr>
        <w:t>主要原因是我单位无公务用车。</w:t>
      </w:r>
    </w:p>
    <w:p w14:paraId="7B13D392">
      <w:pPr>
        <w:spacing w:line="600" w:lineRule="exact"/>
        <w:ind w:firstLine="640"/>
        <w:rPr>
          <w:rFonts w:hint="default" w:ascii="Times New Roman" w:hAnsi="Times New Roman" w:eastAsia="仿宋" w:cs="Times New Roman"/>
          <w:sz w:val="32"/>
          <w:szCs w:val="32"/>
        </w:rPr>
      </w:pPr>
      <w:r>
        <w:rPr>
          <w:rFonts w:ascii="仿宋_GB2312" w:eastAsia="仿宋_GB2312"/>
          <w:b/>
          <w:bCs w:val="0"/>
          <w:color w:val="auto"/>
          <w:sz w:val="32"/>
          <w:szCs w:val="32"/>
          <w:highlight w:val="none"/>
        </w:rPr>
        <w:t>3.</w:t>
      </w:r>
      <w:r>
        <w:rPr>
          <w:rFonts w:hint="default" w:ascii="Times New Roman" w:hAnsi="Times New Roman" w:eastAsia="仿宋" w:cs="Times New Roman"/>
          <w:b/>
          <w:bCs w:val="0"/>
          <w:color w:val="auto"/>
          <w:sz w:val="32"/>
          <w:szCs w:val="32"/>
          <w:highlight w:val="none"/>
        </w:rPr>
        <w:t>公务接待费支出</w:t>
      </w:r>
      <w:r>
        <w:rPr>
          <w:rFonts w:hint="eastAsia" w:ascii="仿宋" w:hAnsi="仿宋" w:eastAsia="仿宋"/>
          <w:color w:val="auto"/>
          <w:sz w:val="32"/>
          <w:szCs w:val="32"/>
          <w:highlight w:val="none"/>
          <w:lang w:val="en-US" w:eastAsia="zh-CN"/>
        </w:rPr>
        <w:t>2.31</w:t>
      </w:r>
      <w:r>
        <w:rPr>
          <w:rFonts w:hint="eastAsia" w:ascii="仿宋" w:hAnsi="仿宋" w:eastAsia="仿宋"/>
          <w:color w:val="auto"/>
          <w:sz w:val="32"/>
          <w:szCs w:val="32"/>
          <w:highlight w:val="none"/>
        </w:rPr>
        <w:t>万元，完成预算</w:t>
      </w:r>
      <w:r>
        <w:rPr>
          <w:rFonts w:hint="eastAsia" w:ascii="仿宋" w:hAnsi="仿宋" w:eastAsia="仿宋"/>
          <w:color w:val="auto"/>
          <w:sz w:val="32"/>
          <w:szCs w:val="32"/>
          <w:highlight w:val="none"/>
          <w:lang w:val="en-US" w:eastAsia="zh-CN"/>
        </w:rPr>
        <w:t>96.25</w:t>
      </w:r>
      <w:r>
        <w:rPr>
          <w:rFonts w:ascii="仿宋" w:hAnsi="仿宋" w:eastAsia="仿宋"/>
          <w:color w:val="auto"/>
          <w:sz w:val="32"/>
          <w:szCs w:val="32"/>
          <w:highlight w:val="none"/>
        </w:rPr>
        <w:t>%</w:t>
      </w:r>
      <w:r>
        <w:rPr>
          <w:rFonts w:hint="default" w:ascii="Times New Roman" w:hAnsi="Times New Roman" w:eastAsia="仿宋" w:cs="Times New Roman"/>
          <w:color w:val="auto"/>
          <w:sz w:val="32"/>
          <w:szCs w:val="32"/>
          <w:highlight w:val="none"/>
        </w:rPr>
        <w:t>。公务接待费支出决算</w:t>
      </w:r>
      <w:r>
        <w:rPr>
          <w:rFonts w:hint="eastAsia" w:ascii="仿宋_GB2312" w:eastAsia="仿宋_GB2312"/>
          <w:color w:val="auto"/>
          <w:sz w:val="32"/>
          <w:szCs w:val="32"/>
          <w:highlight w:val="none"/>
          <w:lang w:val="en-US" w:eastAsia="zh-CN"/>
        </w:rPr>
        <w:t>比2020年减少0.07万元</w:t>
      </w:r>
      <w:r>
        <w:rPr>
          <w:rFonts w:hint="default" w:ascii="Times New Roman" w:hAnsi="Times New Roman" w:eastAsia="仿宋" w:cs="Times New Roman"/>
          <w:color w:val="auto"/>
          <w:sz w:val="32"/>
          <w:szCs w:val="32"/>
          <w:highlight w:val="none"/>
        </w:rPr>
        <w:t>。</w:t>
      </w:r>
      <w:r>
        <w:rPr>
          <w:rFonts w:hint="eastAsia" w:ascii="Times New Roman" w:hAnsi="Times New Roman" w:eastAsia="仿宋" w:cs="Times New Roman"/>
          <w:color w:val="auto"/>
          <w:sz w:val="32"/>
          <w:szCs w:val="32"/>
          <w:highlight w:val="none"/>
          <w:lang w:eastAsia="zh-CN"/>
        </w:rPr>
        <w:t>主要</w:t>
      </w:r>
      <w:r>
        <w:rPr>
          <w:rFonts w:hint="eastAsia" w:ascii="Times New Roman" w:hAnsi="Times New Roman" w:eastAsia="仿宋" w:cs="Times New Roman"/>
          <w:sz w:val="32"/>
          <w:szCs w:val="32"/>
          <w:lang w:eastAsia="zh-CN"/>
        </w:rPr>
        <w:t>原因是</w:t>
      </w:r>
      <w:r>
        <w:rPr>
          <w:rFonts w:hint="eastAsia" w:ascii="仿宋" w:hAnsi="仿宋" w:eastAsia="仿宋"/>
          <w:color w:val="000000"/>
          <w:sz w:val="32"/>
          <w:szCs w:val="32"/>
          <w:lang w:eastAsia="zh-CN"/>
        </w:rPr>
        <w:t>认真贯彻落实中央八项规定精神，采取有效措施严格控制接待范围和接待标准</w:t>
      </w:r>
      <w:r>
        <w:rPr>
          <w:rFonts w:hint="eastAsia" w:ascii="仿宋" w:hAnsi="仿宋" w:eastAsia="仿宋"/>
          <w:color w:val="000000"/>
          <w:sz w:val="32"/>
          <w:szCs w:val="32"/>
        </w:rPr>
        <w:t>。</w:t>
      </w:r>
      <w:r>
        <w:rPr>
          <w:rFonts w:hint="default" w:ascii="Times New Roman" w:hAnsi="Times New Roman" w:eastAsia="仿宋" w:cs="Times New Roman"/>
          <w:sz w:val="32"/>
          <w:szCs w:val="32"/>
        </w:rPr>
        <w:t>其中：</w:t>
      </w:r>
    </w:p>
    <w:p w14:paraId="476BB3C7">
      <w:pPr>
        <w:spacing w:line="600" w:lineRule="exact"/>
        <w:ind w:firstLine="640"/>
        <w:rPr>
          <w:rFonts w:hint="default" w:ascii="Times New Roman" w:hAnsi="Times New Roman" w:eastAsia="仿宋" w:cs="Times New Roman"/>
          <w:sz w:val="32"/>
          <w:szCs w:val="32"/>
          <w:lang w:val="en-US" w:eastAsia="zh-CN"/>
        </w:rPr>
      </w:pPr>
      <w:r>
        <w:rPr>
          <w:rFonts w:hint="default" w:ascii="Times New Roman" w:hAnsi="Times New Roman" w:eastAsia="仿宋" w:cs="Times New Roman"/>
          <w:b/>
          <w:bCs/>
          <w:sz w:val="32"/>
          <w:szCs w:val="32"/>
        </w:rPr>
        <w:t>国内公务接待支出</w:t>
      </w:r>
      <w:r>
        <w:rPr>
          <w:rFonts w:hint="eastAsia" w:eastAsia="仿宋" w:cs="Times New Roman"/>
          <w:sz w:val="32"/>
          <w:szCs w:val="32"/>
          <w:lang w:val="en-US" w:eastAsia="zh-CN"/>
        </w:rPr>
        <w:t>2.31</w:t>
      </w:r>
      <w:r>
        <w:rPr>
          <w:rFonts w:hint="default" w:ascii="Times New Roman" w:hAnsi="Times New Roman" w:eastAsia="仿宋" w:cs="Times New Roman"/>
          <w:sz w:val="32"/>
          <w:szCs w:val="32"/>
        </w:rPr>
        <w:t>万元，主要用于</w:t>
      </w:r>
      <w:r>
        <w:rPr>
          <w:rFonts w:hint="eastAsia" w:ascii="Times New Roman" w:hAnsi="Times New Roman" w:eastAsia="仿宋" w:cs="Times New Roman"/>
          <w:sz w:val="32"/>
          <w:szCs w:val="32"/>
          <w:lang w:eastAsia="zh-CN"/>
        </w:rPr>
        <w:t>接待上级来访、</w:t>
      </w:r>
      <w:r>
        <w:rPr>
          <w:rFonts w:hint="eastAsia" w:ascii="仿宋_GB2312" w:hAnsi="Times New Roman" w:eastAsia="仿宋_GB2312" w:cs="Times New Roman"/>
          <w:color w:val="000000"/>
          <w:kern w:val="2"/>
          <w:sz w:val="32"/>
          <w:szCs w:val="32"/>
          <w:lang w:val="en-US" w:eastAsia="zh-CN" w:bidi="ar"/>
        </w:rPr>
        <w:t>教育教学活动</w:t>
      </w:r>
      <w:r>
        <w:rPr>
          <w:rFonts w:hint="eastAsia" w:ascii="仿宋_GB2312" w:eastAsia="仿宋_GB2312" w:cs="Times New Roman"/>
          <w:color w:val="000000"/>
          <w:kern w:val="2"/>
          <w:sz w:val="32"/>
          <w:szCs w:val="32"/>
          <w:lang w:val="en-US" w:eastAsia="zh-CN" w:bidi="ar"/>
        </w:rPr>
        <w:t>交流、</w:t>
      </w:r>
      <w:r>
        <w:rPr>
          <w:rFonts w:hint="eastAsia" w:ascii="仿宋_GB2312" w:eastAsia="仿宋_GB2312"/>
          <w:color w:val="auto"/>
          <w:sz w:val="32"/>
          <w:szCs w:val="32"/>
          <w:highlight w:val="none"/>
          <w:lang w:val="en-US" w:eastAsia="zh-CN"/>
        </w:rPr>
        <w:t>学生活动费及运动会学生用餐、交通费、体检费等</w:t>
      </w:r>
      <w:r>
        <w:rPr>
          <w:rFonts w:hint="default" w:ascii="Times New Roman" w:hAnsi="Times New Roman" w:eastAsia="仿宋" w:cs="Times New Roman"/>
          <w:sz w:val="32"/>
          <w:szCs w:val="32"/>
        </w:rPr>
        <w:t>。国内公务接待</w:t>
      </w:r>
      <w:r>
        <w:rPr>
          <w:rFonts w:hint="eastAsia" w:eastAsia="仿宋" w:cs="Times New Roman"/>
          <w:color w:val="auto"/>
          <w:sz w:val="32"/>
          <w:szCs w:val="32"/>
          <w:highlight w:val="none"/>
          <w:lang w:val="en-US" w:eastAsia="zh-CN"/>
        </w:rPr>
        <w:t>54</w:t>
      </w:r>
      <w:r>
        <w:rPr>
          <w:rFonts w:hint="default" w:ascii="Times New Roman" w:hAnsi="Times New Roman" w:eastAsia="仿宋" w:cs="Times New Roman"/>
          <w:color w:val="auto"/>
          <w:sz w:val="32"/>
          <w:szCs w:val="32"/>
          <w:highlight w:val="none"/>
        </w:rPr>
        <w:t>批次，</w:t>
      </w:r>
      <w:r>
        <w:rPr>
          <w:rFonts w:hint="eastAsia" w:eastAsia="仿宋" w:cs="Times New Roman"/>
          <w:color w:val="auto"/>
          <w:sz w:val="32"/>
          <w:szCs w:val="32"/>
          <w:highlight w:val="none"/>
          <w:lang w:val="en-US" w:eastAsia="zh-CN"/>
        </w:rPr>
        <w:t>451</w:t>
      </w:r>
      <w:r>
        <w:rPr>
          <w:rFonts w:hint="default" w:ascii="Times New Roman" w:hAnsi="Times New Roman" w:eastAsia="仿宋" w:cs="Times New Roman"/>
          <w:color w:val="auto"/>
          <w:sz w:val="32"/>
          <w:szCs w:val="32"/>
          <w:highlight w:val="none"/>
        </w:rPr>
        <w:t>人次</w:t>
      </w:r>
      <w:r>
        <w:rPr>
          <w:rFonts w:hint="default" w:ascii="Times New Roman" w:hAnsi="Times New Roman" w:eastAsia="仿宋" w:cs="Times New Roman"/>
          <w:sz w:val="32"/>
          <w:szCs w:val="32"/>
        </w:rPr>
        <w:t>（不包括陪同人员），共计支出</w:t>
      </w:r>
      <w:r>
        <w:rPr>
          <w:rFonts w:hint="eastAsia" w:eastAsia="仿宋" w:cs="Times New Roman"/>
          <w:sz w:val="32"/>
          <w:szCs w:val="32"/>
          <w:lang w:val="en-US" w:eastAsia="zh-CN"/>
        </w:rPr>
        <w:t>2.31</w:t>
      </w:r>
      <w:r>
        <w:rPr>
          <w:rFonts w:hint="default" w:ascii="Times New Roman" w:hAnsi="Times New Roman" w:eastAsia="仿宋" w:cs="Times New Roman"/>
          <w:sz w:val="32"/>
          <w:szCs w:val="32"/>
        </w:rPr>
        <w:t>万元</w:t>
      </w:r>
      <w:r>
        <w:rPr>
          <w:rFonts w:hint="eastAsia" w:eastAsia="仿宋" w:cs="Times New Roman"/>
          <w:sz w:val="32"/>
          <w:szCs w:val="32"/>
          <w:lang w:eastAsia="zh-CN"/>
        </w:rPr>
        <w:t>，具体内容包括</w:t>
      </w:r>
      <w:r>
        <w:rPr>
          <w:rFonts w:hint="eastAsia" w:ascii="Times New Roman" w:hAnsi="Times New Roman" w:eastAsia="仿宋" w:cs="Times New Roman"/>
          <w:sz w:val="32"/>
          <w:szCs w:val="32"/>
          <w:lang w:eastAsia="zh-CN"/>
        </w:rPr>
        <w:t>接待上级来访</w:t>
      </w:r>
      <w:r>
        <w:rPr>
          <w:rFonts w:hint="eastAsia" w:eastAsia="仿宋" w:cs="Times New Roman"/>
          <w:sz w:val="32"/>
          <w:szCs w:val="32"/>
          <w:lang w:val="en-US" w:eastAsia="zh-CN"/>
        </w:rPr>
        <w:t>0.4万元</w:t>
      </w:r>
      <w:r>
        <w:rPr>
          <w:rFonts w:hint="eastAsia" w:ascii="Times New Roman" w:hAnsi="Times New Roman" w:eastAsia="仿宋" w:cs="Times New Roman"/>
          <w:sz w:val="32"/>
          <w:szCs w:val="32"/>
          <w:lang w:eastAsia="zh-CN"/>
        </w:rPr>
        <w:t>、</w:t>
      </w:r>
      <w:r>
        <w:rPr>
          <w:rFonts w:hint="eastAsia" w:ascii="仿宋_GB2312" w:hAnsi="Times New Roman" w:eastAsia="仿宋_GB2312" w:cs="Times New Roman"/>
          <w:color w:val="000000"/>
          <w:kern w:val="2"/>
          <w:sz w:val="32"/>
          <w:szCs w:val="32"/>
          <w:lang w:val="en-US" w:eastAsia="zh-CN" w:bidi="ar"/>
        </w:rPr>
        <w:t>教育教学活动</w:t>
      </w:r>
      <w:r>
        <w:rPr>
          <w:rFonts w:hint="eastAsia" w:ascii="仿宋_GB2312" w:eastAsia="仿宋_GB2312" w:cs="Times New Roman"/>
          <w:color w:val="000000"/>
          <w:kern w:val="2"/>
          <w:sz w:val="32"/>
          <w:szCs w:val="32"/>
          <w:lang w:val="en-US" w:eastAsia="zh-CN" w:bidi="ar"/>
        </w:rPr>
        <w:t>交流0.81万元、</w:t>
      </w:r>
      <w:r>
        <w:rPr>
          <w:rFonts w:hint="eastAsia" w:ascii="仿宋_GB2312" w:eastAsia="仿宋_GB2312"/>
          <w:color w:val="auto"/>
          <w:sz w:val="32"/>
          <w:szCs w:val="32"/>
          <w:highlight w:val="none"/>
          <w:lang w:val="en-US" w:eastAsia="zh-CN"/>
        </w:rPr>
        <w:t>学生活动费及运动会学生用餐、交通费、体检费等1.1万元。</w:t>
      </w:r>
    </w:p>
    <w:p w14:paraId="7BDBF5DB">
      <w:pPr>
        <w:spacing w:line="600" w:lineRule="exact"/>
        <w:ind w:firstLine="640" w:firstLineChars="200"/>
        <w:rPr>
          <w:rFonts w:hint="default" w:ascii="Times New Roman" w:hAnsi="Times New Roman" w:eastAsia="仿宋" w:cs="Times New Roman"/>
          <w:sz w:val="32"/>
          <w:szCs w:val="32"/>
        </w:rPr>
      </w:pPr>
      <w:r>
        <w:rPr>
          <w:rFonts w:hint="default" w:ascii="Times New Roman" w:hAnsi="Times New Roman" w:eastAsia="仿宋" w:cs="Times New Roman"/>
          <w:sz w:val="32"/>
          <w:szCs w:val="32"/>
        </w:rPr>
        <w:t>外事接待支出</w:t>
      </w:r>
      <w:r>
        <w:rPr>
          <w:rFonts w:hint="eastAsia" w:ascii="仿宋" w:hAnsi="仿宋" w:eastAsia="仿宋"/>
          <w:color w:val="auto"/>
          <w:sz w:val="32"/>
          <w:szCs w:val="32"/>
          <w:highlight w:val="none"/>
          <w:lang w:val="en-US" w:eastAsia="zh-CN"/>
        </w:rPr>
        <w:t>0</w:t>
      </w:r>
      <w:r>
        <w:rPr>
          <w:rFonts w:hint="eastAsia" w:ascii="仿宋_GB2312" w:eastAsia="仿宋_GB2312"/>
          <w:color w:val="auto"/>
          <w:sz w:val="32"/>
          <w:szCs w:val="32"/>
          <w:highlight w:val="none"/>
        </w:rPr>
        <w:t>万元，外事接待</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批次，</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人，共计支出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r>
        <w:rPr>
          <w:rFonts w:hint="default" w:ascii="Times New Roman" w:hAnsi="Times New Roman" w:eastAsia="仿宋" w:cs="Times New Roman"/>
          <w:sz w:val="32"/>
          <w:szCs w:val="32"/>
        </w:rPr>
        <w:t>外事接待支出</w:t>
      </w:r>
      <w:r>
        <w:rPr>
          <w:rFonts w:hint="eastAsia" w:ascii="仿宋_GB2312" w:hAnsi="Times New Roman" w:eastAsia="仿宋_GB2312" w:cs="仿宋_GB2312"/>
          <w:color w:val="000000"/>
          <w:kern w:val="2"/>
          <w:sz w:val="32"/>
          <w:szCs w:val="32"/>
          <w:lang w:val="en-US" w:eastAsia="zh-CN" w:bidi="ar"/>
        </w:rPr>
        <w:t>决算与2020年持平</w:t>
      </w:r>
      <w:r>
        <w:rPr>
          <w:rFonts w:hint="eastAsia" w:ascii="Times New Roman" w:hAnsi="Times New Roman" w:eastAsia="仿宋" w:cs="Times New Roman"/>
          <w:sz w:val="32"/>
          <w:szCs w:val="32"/>
        </w:rPr>
        <w:t>。</w:t>
      </w:r>
    </w:p>
    <w:p w14:paraId="4472988D">
      <w:pPr>
        <w:spacing w:line="600" w:lineRule="exact"/>
        <w:outlineLvl w:val="1"/>
        <w:rPr>
          <w:rFonts w:ascii="黑体" w:eastAsia="黑体"/>
          <w:sz w:val="32"/>
          <w:szCs w:val="32"/>
        </w:rPr>
      </w:pPr>
      <w:bookmarkStart w:id="40" w:name="_Toc15396610"/>
      <w:bookmarkStart w:id="41" w:name="_Toc15377218"/>
    </w:p>
    <w:p w14:paraId="635D64BA">
      <w:pPr>
        <w:spacing w:line="600" w:lineRule="exact"/>
        <w:ind w:firstLine="640"/>
        <w:outlineLvl w:val="1"/>
        <w:rPr>
          <w:rStyle w:val="30"/>
          <w:rFonts w:ascii="黑体" w:hAnsi="黑体" w:eastAsia="黑体"/>
        </w:rPr>
      </w:pPr>
      <w:r>
        <w:rPr>
          <w:rFonts w:hint="eastAsia" w:ascii="黑体" w:eastAsia="黑体"/>
          <w:sz w:val="32"/>
          <w:szCs w:val="32"/>
        </w:rPr>
        <w:t>八、</w:t>
      </w:r>
      <w:r>
        <w:rPr>
          <w:rStyle w:val="30"/>
          <w:rFonts w:hint="eastAsia" w:ascii="黑体" w:hAnsi="黑体" w:eastAsia="黑体"/>
          <w:b w:val="0"/>
        </w:rPr>
        <w:t>政府性基金预算支出决算情况说明</w:t>
      </w:r>
      <w:bookmarkEnd w:id="40"/>
      <w:bookmarkEnd w:id="41"/>
    </w:p>
    <w:p w14:paraId="192BEF20">
      <w:pPr>
        <w:spacing w:line="600" w:lineRule="exact"/>
        <w:ind w:firstLine="640"/>
        <w:rPr>
          <w:rFonts w:hint="eastAsia" w:ascii="仿宋_GB2312" w:eastAsia="仿宋_GB2312"/>
          <w:color w:val="auto"/>
          <w:sz w:val="32"/>
          <w:szCs w:val="32"/>
          <w:highlight w:val="none"/>
        </w:rPr>
      </w:pPr>
      <w:r>
        <w:rPr>
          <w:rFonts w:ascii="仿宋_GB2312" w:eastAsia="仿宋_GB2312"/>
          <w:sz w:val="32"/>
          <w:szCs w:val="32"/>
        </w:rPr>
        <w:t>20</w:t>
      </w:r>
      <w:r>
        <w:rPr>
          <w:rFonts w:hint="eastAsia" w:ascii="仿宋_GB2312" w:eastAsia="仿宋_GB2312"/>
          <w:sz w:val="32"/>
          <w:szCs w:val="32"/>
        </w:rPr>
        <w:t>21年政府性基金预算财政拨款支出</w:t>
      </w:r>
      <w:r>
        <w:rPr>
          <w:rFonts w:hint="eastAsia" w:ascii="仿宋_GB2312" w:eastAsia="仿宋_GB2312"/>
          <w:sz w:val="32"/>
          <w:szCs w:val="32"/>
          <w:lang w:val="en-US" w:eastAsia="zh-CN"/>
        </w:rPr>
        <w:t>0</w:t>
      </w:r>
      <w:r>
        <w:rPr>
          <w:rFonts w:hint="eastAsia" w:ascii="仿宋_GB2312" w:eastAsia="仿宋_GB2312"/>
          <w:sz w:val="32"/>
          <w:szCs w:val="32"/>
        </w:rPr>
        <w:t>万元。</w:t>
      </w:r>
      <w:r>
        <w:rPr>
          <w:rFonts w:hint="eastAsia" w:ascii="仿宋_GB2312" w:eastAsia="仿宋_GB2312"/>
          <w:color w:val="000000"/>
          <w:sz w:val="32"/>
          <w:szCs w:val="32"/>
        </w:rPr>
        <w:t>202</w:t>
      </w:r>
      <w:r>
        <w:rPr>
          <w:rFonts w:hint="eastAsia" w:ascii="仿宋_GB2312" w:eastAsia="仿宋_GB2312"/>
          <w:color w:val="000000"/>
          <w:sz w:val="32"/>
          <w:szCs w:val="32"/>
          <w:lang w:val="en-US" w:eastAsia="zh-CN"/>
        </w:rPr>
        <w:t>1</w:t>
      </w:r>
      <w:r>
        <w:rPr>
          <w:rFonts w:hint="eastAsia" w:ascii="仿宋_GB2312" w:eastAsia="仿宋_GB2312"/>
          <w:color w:val="000000"/>
          <w:sz w:val="32"/>
          <w:szCs w:val="32"/>
        </w:rPr>
        <w:t>年本单位未在政府性基金预算拨款安排“三公”经费支出</w:t>
      </w:r>
      <w:r>
        <w:rPr>
          <w:rFonts w:hint="eastAsia" w:ascii="仿宋_GB2312" w:eastAsia="仿宋_GB2312"/>
          <w:color w:val="auto"/>
          <w:sz w:val="32"/>
          <w:szCs w:val="32"/>
          <w:highlight w:val="none"/>
        </w:rPr>
        <w:t>。</w:t>
      </w:r>
    </w:p>
    <w:p w14:paraId="328A4BC7">
      <w:pPr>
        <w:pStyle w:val="16"/>
      </w:pPr>
    </w:p>
    <w:p w14:paraId="49B0B69E">
      <w:pPr>
        <w:numPr>
          <w:ilvl w:val="0"/>
          <w:numId w:val="4"/>
        </w:numPr>
        <w:spacing w:line="600" w:lineRule="exact"/>
        <w:ind w:firstLine="640"/>
        <w:outlineLvl w:val="1"/>
        <w:rPr>
          <w:rStyle w:val="30"/>
          <w:rFonts w:ascii="黑体" w:hAnsi="黑体" w:eastAsia="黑体"/>
          <w:b w:val="0"/>
        </w:rPr>
      </w:pPr>
      <w:bookmarkStart w:id="42" w:name="_Toc15377219"/>
      <w:bookmarkStart w:id="43" w:name="_Toc15396611"/>
      <w:r>
        <w:rPr>
          <w:rStyle w:val="30"/>
          <w:rFonts w:hint="eastAsia" w:ascii="黑体" w:hAnsi="黑体" w:eastAsia="黑体"/>
          <w:b w:val="0"/>
        </w:rPr>
        <w:t>国有资本经营预算支出决算情况说明</w:t>
      </w:r>
      <w:bookmarkEnd w:id="42"/>
      <w:bookmarkEnd w:id="43"/>
    </w:p>
    <w:p w14:paraId="70739378">
      <w:pPr>
        <w:spacing w:line="600" w:lineRule="exact"/>
        <w:ind w:firstLine="64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21年国有资本经营预算财政拨款支出0万元，年初未安排预算。</w:t>
      </w:r>
    </w:p>
    <w:p w14:paraId="22B19F2E">
      <w:pPr>
        <w:spacing w:line="580" w:lineRule="exact"/>
        <w:rPr>
          <w:rFonts w:ascii="方正小标宋简体" w:hAnsi="方正小标宋简体" w:eastAsia="方正小标宋简体" w:cs="方正小标宋简体"/>
          <w:sz w:val="44"/>
          <w:szCs w:val="44"/>
        </w:rPr>
      </w:pPr>
    </w:p>
    <w:p w14:paraId="3352AF63">
      <w:pPr>
        <w:numPr>
          <w:ilvl w:val="0"/>
          <w:numId w:val="4"/>
        </w:numPr>
        <w:spacing w:line="600" w:lineRule="exact"/>
        <w:ind w:firstLine="640"/>
        <w:outlineLvl w:val="1"/>
        <w:rPr>
          <w:rStyle w:val="30"/>
          <w:rFonts w:ascii="黑体" w:hAnsi="黑体" w:eastAsia="黑体"/>
          <w:b w:val="0"/>
        </w:rPr>
      </w:pPr>
      <w:bookmarkStart w:id="44" w:name="_Toc15396612"/>
      <w:bookmarkStart w:id="45" w:name="_Toc15377221"/>
      <w:r>
        <w:rPr>
          <w:rStyle w:val="30"/>
          <w:rFonts w:hint="eastAsia" w:ascii="黑体" w:hAnsi="黑体" w:eastAsia="黑体"/>
          <w:b w:val="0"/>
        </w:rPr>
        <w:t>预算绩效管理情况</w:t>
      </w:r>
    </w:p>
    <w:p w14:paraId="119D8E31">
      <w:pPr>
        <w:spacing w:line="580" w:lineRule="exact"/>
        <w:ind w:firstLine="640" w:firstLineChars="200"/>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根据预算绩效管理要求，本单位在2021年度预算编制阶段，因无项目支出，故不涉及事前评估和项目绩效目标，预算执行过程中，</w:t>
      </w:r>
      <w:r>
        <w:rPr>
          <w:rFonts w:hint="eastAsia" w:ascii="仿宋_GB2312" w:hAnsi="仿宋_GB2312" w:eastAsia="仿宋_GB2312" w:cs="仿宋_GB2312"/>
          <w:color w:val="auto"/>
          <w:sz w:val="32"/>
          <w:szCs w:val="32"/>
          <w:highlight w:val="none"/>
          <w:lang w:eastAsia="zh-CN"/>
        </w:rPr>
        <w:t>对追加预算</w:t>
      </w:r>
      <w:r>
        <w:rPr>
          <w:rFonts w:hint="eastAsia" w:ascii="仿宋_GB2312" w:hAnsi="仿宋_GB2312" w:eastAsia="仿宋_GB2312" w:cs="仿宋_GB2312"/>
          <w:color w:val="auto"/>
          <w:sz w:val="32"/>
          <w:szCs w:val="32"/>
          <w:highlight w:val="none"/>
          <w:lang w:val="en-US" w:eastAsia="zh-CN"/>
        </w:rPr>
        <w:t>运动场改造</w:t>
      </w:r>
      <w:r>
        <w:rPr>
          <w:rFonts w:hint="eastAsia" w:ascii="仿宋_GB2312" w:hAnsi="仿宋_GB2312" w:eastAsia="仿宋_GB2312" w:cs="仿宋_GB2312"/>
          <w:color w:val="auto"/>
          <w:sz w:val="32"/>
          <w:szCs w:val="32"/>
          <w:highlight w:val="none"/>
          <w:lang w:eastAsia="zh-CN"/>
        </w:rPr>
        <w:t>项目</w:t>
      </w:r>
      <w:r>
        <w:rPr>
          <w:rFonts w:hint="eastAsia" w:ascii="仿宋_GB2312" w:hAnsi="仿宋_GB2312" w:eastAsia="仿宋_GB2312" w:cs="仿宋_GB2312"/>
          <w:color w:val="auto"/>
          <w:sz w:val="32"/>
          <w:szCs w:val="32"/>
          <w:highlight w:val="none"/>
        </w:rPr>
        <w:t>编制了绩效目标</w:t>
      </w:r>
      <w:r>
        <w:rPr>
          <w:rFonts w:hint="eastAsia" w:ascii="仿宋_GB2312" w:hAnsi="仿宋_GB2312" w:eastAsia="仿宋_GB2312" w:cs="仿宋_GB2312"/>
          <w:color w:val="auto"/>
          <w:sz w:val="32"/>
          <w:szCs w:val="32"/>
          <w:highlight w:val="none"/>
          <w:lang w:eastAsia="zh-CN"/>
        </w:rPr>
        <w:t>，并</w:t>
      </w:r>
      <w:r>
        <w:rPr>
          <w:rFonts w:hint="eastAsia" w:ascii="仿宋_GB2312" w:hAnsi="仿宋_GB2312" w:eastAsia="仿宋_GB2312" w:cs="仿宋_GB2312"/>
          <w:color w:val="auto"/>
          <w:sz w:val="32"/>
          <w:szCs w:val="32"/>
          <w:highlight w:val="none"/>
        </w:rPr>
        <w:t>开展</w:t>
      </w:r>
      <w:r>
        <w:rPr>
          <w:rFonts w:hint="eastAsia" w:ascii="仿宋_GB2312" w:hAnsi="仿宋_GB2312" w:eastAsia="仿宋_GB2312" w:cs="仿宋_GB2312"/>
          <w:color w:val="auto"/>
          <w:sz w:val="32"/>
          <w:szCs w:val="32"/>
          <w:highlight w:val="none"/>
          <w:lang w:eastAsia="zh-CN"/>
        </w:rPr>
        <w:t>了</w:t>
      </w:r>
      <w:r>
        <w:rPr>
          <w:rFonts w:hint="eastAsia" w:ascii="仿宋_GB2312" w:hAnsi="仿宋_GB2312" w:eastAsia="仿宋_GB2312" w:cs="仿宋_GB2312"/>
          <w:color w:val="auto"/>
          <w:sz w:val="32"/>
          <w:szCs w:val="32"/>
          <w:highlight w:val="none"/>
        </w:rPr>
        <w:t>绩效</w:t>
      </w:r>
      <w:r>
        <w:rPr>
          <w:rFonts w:hint="eastAsia" w:ascii="仿宋_GB2312" w:hAnsi="仿宋_GB2312" w:eastAsia="仿宋_GB2312" w:cs="仿宋_GB2312"/>
          <w:color w:val="auto"/>
          <w:sz w:val="32"/>
          <w:szCs w:val="32"/>
          <w:highlight w:val="none"/>
          <w:lang w:eastAsia="zh-CN"/>
        </w:rPr>
        <w:t>运行</w:t>
      </w:r>
      <w:r>
        <w:rPr>
          <w:rFonts w:hint="eastAsia" w:ascii="仿宋_GB2312" w:hAnsi="仿宋_GB2312" w:eastAsia="仿宋_GB2312" w:cs="仿宋_GB2312"/>
          <w:color w:val="auto"/>
          <w:sz w:val="32"/>
          <w:szCs w:val="32"/>
          <w:highlight w:val="none"/>
        </w:rPr>
        <w:t>监控，年终执行完毕后，对</w:t>
      </w: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个项目开展了绩效自评，2021年部门预算项目绩效目标自评表见附件（第四部分）。</w:t>
      </w:r>
    </w:p>
    <w:p w14:paraId="090E67F5">
      <w:pPr>
        <w:pStyle w:val="7"/>
        <w:spacing w:before="93"/>
      </w:pPr>
    </w:p>
    <w:p w14:paraId="5BA06596">
      <w:pPr>
        <w:numPr>
          <w:ilvl w:val="0"/>
          <w:numId w:val="4"/>
        </w:numPr>
        <w:spacing w:line="600" w:lineRule="exact"/>
        <w:ind w:firstLine="640"/>
        <w:outlineLvl w:val="1"/>
        <w:rPr>
          <w:rStyle w:val="30"/>
          <w:rFonts w:ascii="黑体" w:hAnsi="黑体" w:eastAsia="黑体"/>
          <w:b w:val="0"/>
        </w:rPr>
      </w:pPr>
      <w:r>
        <w:rPr>
          <w:rStyle w:val="30"/>
          <w:rFonts w:hint="eastAsia" w:ascii="黑体" w:hAnsi="黑体" w:eastAsia="黑体"/>
          <w:b w:val="0"/>
        </w:rPr>
        <w:t>其他重要事项的情况说明</w:t>
      </w:r>
      <w:bookmarkEnd w:id="44"/>
      <w:bookmarkEnd w:id="45"/>
    </w:p>
    <w:p w14:paraId="021DC8F1">
      <w:pPr>
        <w:spacing w:line="600" w:lineRule="exact"/>
        <w:ind w:firstLine="643" w:firstLineChars="200"/>
        <w:outlineLvl w:val="2"/>
        <w:rPr>
          <w:rFonts w:ascii="仿宋" w:hAnsi="仿宋" w:eastAsia="仿宋"/>
          <w:sz w:val="32"/>
          <w:szCs w:val="32"/>
        </w:rPr>
      </w:pPr>
      <w:bookmarkStart w:id="46" w:name="_Toc15377222"/>
      <w:r>
        <w:rPr>
          <w:rFonts w:hint="eastAsia" w:ascii="仿宋" w:hAnsi="仿宋" w:eastAsia="仿宋"/>
          <w:b/>
          <w:sz w:val="32"/>
          <w:szCs w:val="32"/>
        </w:rPr>
        <w:t>（一）机关运行经费支出情况</w:t>
      </w:r>
      <w:bookmarkEnd w:id="46"/>
    </w:p>
    <w:p w14:paraId="6E532CD0">
      <w:pPr>
        <w:keepNext w:val="0"/>
        <w:keepLines w:val="0"/>
        <w:widowControl w:val="0"/>
        <w:suppressLineNumbers w:val="0"/>
        <w:spacing w:before="0" w:beforeAutospacing="0" w:after="0" w:afterAutospacing="0" w:line="600" w:lineRule="exact"/>
        <w:ind w:left="0" w:right="0" w:firstLine="640"/>
        <w:jc w:val="both"/>
        <w:rPr>
          <w:rFonts w:hint="eastAsia" w:ascii="仿宋_GB2312" w:eastAsia="仿宋_GB2312" w:cs="仿宋_GB2312"/>
          <w:color w:val="000000"/>
          <w:sz w:val="32"/>
          <w:szCs w:val="32"/>
          <w:lang w:val="en-US"/>
        </w:rPr>
      </w:pPr>
      <w:bookmarkStart w:id="47" w:name="_Toc15377223"/>
      <w:r>
        <w:rPr>
          <w:rFonts w:hint="eastAsia" w:ascii="仿宋_GB2312" w:hAnsi="Times New Roman" w:eastAsia="仿宋_GB2312" w:cs="仿宋_GB2312"/>
          <w:color w:val="000000"/>
          <w:kern w:val="2"/>
          <w:sz w:val="32"/>
          <w:szCs w:val="32"/>
          <w:lang w:val="en-US" w:eastAsia="zh-CN" w:bidi="ar"/>
        </w:rPr>
        <w:t>202</w:t>
      </w:r>
      <w:r>
        <w:rPr>
          <w:rFonts w:hint="eastAsia" w:ascii="仿宋_GB2312" w:eastAsia="仿宋_GB2312" w:cs="仿宋_GB2312"/>
          <w:color w:val="000000"/>
          <w:kern w:val="2"/>
          <w:sz w:val="32"/>
          <w:szCs w:val="32"/>
          <w:lang w:val="en-US" w:eastAsia="zh-CN" w:bidi="ar"/>
        </w:rPr>
        <w:t>1</w:t>
      </w:r>
      <w:r>
        <w:rPr>
          <w:rFonts w:hint="eastAsia" w:ascii="仿宋_GB2312" w:hAnsi="Times New Roman" w:eastAsia="仿宋_GB2312" w:cs="仿宋_GB2312"/>
          <w:color w:val="000000"/>
          <w:kern w:val="2"/>
          <w:sz w:val="32"/>
          <w:szCs w:val="32"/>
          <w:lang w:val="en-US" w:eastAsia="zh-CN" w:bidi="ar"/>
        </w:rPr>
        <w:t>年，</w:t>
      </w:r>
      <w:r>
        <w:rPr>
          <w:rFonts w:hint="eastAsia" w:ascii="仿宋_GB2312" w:hAnsi="Times New Roman" w:eastAsia="仿宋_GB2312" w:cs="仿宋_GB2312"/>
          <w:kern w:val="2"/>
          <w:sz w:val="32"/>
          <w:szCs w:val="32"/>
          <w:lang w:val="en-US" w:eastAsia="zh-CN" w:bidi="ar"/>
        </w:rPr>
        <w:t>我部门</w:t>
      </w:r>
      <w:r>
        <w:rPr>
          <w:rFonts w:hint="eastAsia" w:ascii="仿宋_GB2312" w:eastAsia="仿宋_GB2312" w:cs="仿宋_GB2312"/>
          <w:kern w:val="2"/>
          <w:sz w:val="32"/>
          <w:szCs w:val="32"/>
          <w:lang w:val="en-US" w:eastAsia="zh-CN" w:bidi="ar"/>
        </w:rPr>
        <w:t>机关</w:t>
      </w:r>
      <w:r>
        <w:rPr>
          <w:rFonts w:hint="eastAsia" w:ascii="仿宋_GB2312" w:hAnsi="Times New Roman" w:eastAsia="仿宋_GB2312" w:cs="仿宋_GB2312"/>
          <w:color w:val="000000"/>
          <w:kern w:val="2"/>
          <w:sz w:val="32"/>
          <w:szCs w:val="32"/>
          <w:lang w:val="en-US" w:eastAsia="zh-CN" w:bidi="ar"/>
        </w:rPr>
        <w:t>运行经费支出0元，</w:t>
      </w:r>
      <w:r>
        <w:rPr>
          <w:rFonts w:hint="eastAsia" w:ascii="仿宋_GB2312" w:eastAsia="仿宋_GB2312" w:cs="仿宋_GB2312"/>
          <w:color w:val="000000"/>
          <w:kern w:val="2"/>
          <w:sz w:val="32"/>
          <w:szCs w:val="32"/>
          <w:lang w:val="en-US" w:eastAsia="zh-CN" w:bidi="ar"/>
        </w:rPr>
        <w:t>与</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20</w:t>
      </w:r>
      <w:r>
        <w:rPr>
          <w:rFonts w:hint="eastAsia" w:ascii="仿宋_GB2312" w:eastAsia="仿宋_GB2312"/>
          <w:color w:val="auto"/>
          <w:sz w:val="32"/>
          <w:szCs w:val="32"/>
          <w:highlight w:val="none"/>
        </w:rPr>
        <w:t>年决算数持平</w:t>
      </w:r>
      <w:r>
        <w:rPr>
          <w:rFonts w:hint="eastAsia" w:ascii="仿宋_GB2312" w:hAnsi="Times New Roman" w:eastAsia="仿宋_GB2312" w:cs="仿宋_GB2312"/>
          <w:color w:val="000000"/>
          <w:kern w:val="2"/>
          <w:sz w:val="32"/>
          <w:szCs w:val="32"/>
          <w:lang w:val="en-US" w:eastAsia="zh-CN" w:bidi="ar"/>
        </w:rPr>
        <w:t>。主要原因是本单位为事业单位，</w:t>
      </w:r>
      <w:r>
        <w:rPr>
          <w:rFonts w:hint="eastAsia" w:ascii="仿宋_GB2312" w:eastAsia="仿宋_GB2312" w:cs="仿宋_GB2312"/>
          <w:color w:val="000000"/>
          <w:kern w:val="2"/>
          <w:sz w:val="32"/>
          <w:szCs w:val="32"/>
          <w:lang w:val="en-US" w:eastAsia="zh-CN" w:bidi="ar"/>
        </w:rPr>
        <w:t>未发生</w:t>
      </w:r>
      <w:r>
        <w:rPr>
          <w:rFonts w:hint="eastAsia" w:ascii="仿宋_GB2312" w:hAnsi="Times New Roman" w:eastAsia="仿宋_GB2312" w:cs="仿宋_GB2312"/>
          <w:color w:val="000000"/>
          <w:kern w:val="2"/>
          <w:sz w:val="32"/>
          <w:szCs w:val="32"/>
          <w:lang w:val="en-US" w:eastAsia="zh-CN" w:bidi="ar"/>
        </w:rPr>
        <w:t>机关运行经费支出。</w:t>
      </w:r>
    </w:p>
    <w:p w14:paraId="167C2153">
      <w:pPr>
        <w:autoSpaceDE w:val="0"/>
        <w:autoSpaceDN w:val="0"/>
        <w:adjustRightInd w:val="0"/>
        <w:spacing w:line="600" w:lineRule="exact"/>
        <w:ind w:firstLine="643" w:firstLineChars="200"/>
        <w:jc w:val="left"/>
        <w:outlineLvl w:val="2"/>
        <w:rPr>
          <w:rFonts w:ascii="仿宋" w:hAnsi="仿宋" w:eastAsia="仿宋"/>
          <w:b/>
          <w:sz w:val="32"/>
          <w:szCs w:val="32"/>
        </w:rPr>
      </w:pPr>
      <w:r>
        <w:rPr>
          <w:rFonts w:hint="eastAsia" w:ascii="仿宋" w:hAnsi="仿宋" w:eastAsia="仿宋"/>
          <w:b/>
          <w:sz w:val="32"/>
          <w:szCs w:val="32"/>
        </w:rPr>
        <w:t>（二）政府采购支出情况</w:t>
      </w:r>
      <w:bookmarkEnd w:id="47"/>
    </w:p>
    <w:p w14:paraId="32610261">
      <w:pPr>
        <w:spacing w:line="600" w:lineRule="exact"/>
        <w:ind w:firstLine="640" w:firstLineChars="200"/>
        <w:rPr>
          <w:rFonts w:hint="default" w:ascii="仿宋_GB2312" w:eastAsia="仿宋_GB2312"/>
          <w:sz w:val="32"/>
          <w:szCs w:val="32"/>
          <w:highlight w:val="yellow"/>
          <w:lang w:val="en-US" w:eastAsia="zh-CN"/>
        </w:rPr>
      </w:pPr>
      <w:r>
        <w:rPr>
          <w:rFonts w:ascii="仿宋_GB2312" w:eastAsia="仿宋_GB2312"/>
          <w:sz w:val="32"/>
          <w:szCs w:val="32"/>
        </w:rPr>
        <w:t>20</w:t>
      </w:r>
      <w:r>
        <w:rPr>
          <w:rFonts w:hint="eastAsia" w:ascii="仿宋_GB2312" w:eastAsia="仿宋_GB2312"/>
          <w:sz w:val="32"/>
          <w:szCs w:val="32"/>
        </w:rPr>
        <w:t>21年，我单位政府采购支出</w:t>
      </w:r>
      <w:r>
        <w:rPr>
          <w:rFonts w:hint="eastAsia" w:ascii="仿宋_GB2312" w:eastAsia="仿宋_GB2312"/>
          <w:color w:val="000000"/>
          <w:sz w:val="32"/>
          <w:szCs w:val="32"/>
          <w:lang w:eastAsia="zh-CN"/>
        </w:rPr>
        <w:t>年初未预算采购经费，</w:t>
      </w:r>
      <w:r>
        <w:rPr>
          <w:rFonts w:hint="eastAsia" w:ascii="仿宋_GB2312" w:eastAsia="仿宋_GB2312"/>
          <w:color w:val="auto"/>
          <w:sz w:val="32"/>
          <w:szCs w:val="32"/>
          <w:highlight w:val="none"/>
        </w:rPr>
        <w:t>政府采购支出总额</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lang w:val="en-US" w:eastAsia="zh-CN"/>
        </w:rPr>
        <w:t xml:space="preserve"> </w:t>
      </w:r>
      <w:r>
        <w:rPr>
          <w:rFonts w:hint="eastAsia" w:ascii="仿宋_GB2312" w:eastAsia="仿宋_GB2312" w:cs="仿宋_GB2312"/>
          <w:color w:val="000000"/>
          <w:kern w:val="2"/>
          <w:sz w:val="32"/>
          <w:szCs w:val="32"/>
          <w:lang w:val="en-US" w:eastAsia="zh-CN" w:bidi="ar"/>
        </w:rPr>
        <w:t>与</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20</w:t>
      </w:r>
      <w:r>
        <w:rPr>
          <w:rFonts w:hint="eastAsia" w:ascii="仿宋_GB2312" w:eastAsia="仿宋_GB2312"/>
          <w:color w:val="auto"/>
          <w:sz w:val="32"/>
          <w:szCs w:val="32"/>
          <w:highlight w:val="none"/>
        </w:rPr>
        <w:t>年决算数持平</w:t>
      </w:r>
      <w:r>
        <w:rPr>
          <w:rFonts w:hint="eastAsia" w:ascii="仿宋_GB2312" w:hAnsi="Times New Roman" w:eastAsia="仿宋_GB2312" w:cs="仿宋_GB2312"/>
          <w:color w:val="000000"/>
          <w:kern w:val="2"/>
          <w:sz w:val="32"/>
          <w:szCs w:val="32"/>
          <w:lang w:val="en-US" w:eastAsia="zh-CN" w:bidi="ar"/>
        </w:rPr>
        <w:t>。</w:t>
      </w:r>
    </w:p>
    <w:p w14:paraId="4660F18D">
      <w:pPr>
        <w:autoSpaceDE w:val="0"/>
        <w:autoSpaceDN w:val="0"/>
        <w:adjustRightInd w:val="0"/>
        <w:spacing w:line="600" w:lineRule="exact"/>
        <w:ind w:firstLine="643" w:firstLineChars="200"/>
        <w:jc w:val="left"/>
        <w:outlineLvl w:val="2"/>
        <w:rPr>
          <w:rFonts w:ascii="仿宋" w:hAnsi="仿宋" w:eastAsia="仿宋"/>
          <w:b/>
          <w:sz w:val="32"/>
          <w:szCs w:val="32"/>
        </w:rPr>
      </w:pPr>
      <w:bookmarkStart w:id="48" w:name="_Toc15377224"/>
      <w:r>
        <w:rPr>
          <w:rFonts w:hint="eastAsia" w:ascii="仿宋" w:hAnsi="仿宋" w:eastAsia="仿宋"/>
          <w:b/>
          <w:sz w:val="32"/>
          <w:szCs w:val="32"/>
        </w:rPr>
        <w:t>（三）国有资产占有使用情况</w:t>
      </w:r>
      <w:bookmarkEnd w:id="48"/>
    </w:p>
    <w:p w14:paraId="06DB1600">
      <w:pPr>
        <w:autoSpaceDE w:val="0"/>
        <w:autoSpaceDN w:val="0"/>
        <w:adjustRightInd w:val="0"/>
        <w:spacing w:line="600" w:lineRule="exact"/>
        <w:ind w:firstLine="640" w:firstLineChars="200"/>
        <w:jc w:val="left"/>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t>截至</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21</w:t>
      </w:r>
      <w:r>
        <w:rPr>
          <w:rFonts w:hint="eastAsia" w:ascii="仿宋_GB2312" w:eastAsia="仿宋_GB2312"/>
          <w:color w:val="auto"/>
          <w:sz w:val="32"/>
          <w:szCs w:val="32"/>
          <w:highlight w:val="none"/>
        </w:rPr>
        <w:t>年</w:t>
      </w:r>
      <w:r>
        <w:rPr>
          <w:rFonts w:ascii="仿宋_GB2312" w:eastAsia="仿宋_GB2312"/>
          <w:color w:val="auto"/>
          <w:sz w:val="32"/>
          <w:szCs w:val="32"/>
          <w:highlight w:val="none"/>
        </w:rPr>
        <w:t>12</w:t>
      </w:r>
      <w:r>
        <w:rPr>
          <w:rFonts w:hint="eastAsia" w:ascii="仿宋_GB2312" w:eastAsia="仿宋_GB2312"/>
          <w:color w:val="auto"/>
          <w:sz w:val="32"/>
          <w:szCs w:val="32"/>
          <w:highlight w:val="none"/>
        </w:rPr>
        <w:t>月</w:t>
      </w:r>
      <w:r>
        <w:rPr>
          <w:rFonts w:ascii="仿宋_GB2312" w:eastAsia="仿宋_GB2312"/>
          <w:color w:val="auto"/>
          <w:sz w:val="32"/>
          <w:szCs w:val="32"/>
          <w:highlight w:val="none"/>
        </w:rPr>
        <w:t>31</w:t>
      </w:r>
      <w:r>
        <w:rPr>
          <w:rFonts w:hint="eastAsia" w:ascii="仿宋_GB2312" w:eastAsia="仿宋_GB2312"/>
          <w:color w:val="auto"/>
          <w:sz w:val="32"/>
          <w:szCs w:val="32"/>
          <w:highlight w:val="none"/>
        </w:rPr>
        <w:t>日，</w:t>
      </w:r>
      <w:r>
        <w:rPr>
          <w:rFonts w:hint="eastAsia" w:ascii="仿宋_GB2312" w:eastAsia="仿宋_GB2312"/>
          <w:color w:val="auto"/>
          <w:sz w:val="32"/>
          <w:szCs w:val="32"/>
          <w:highlight w:val="none"/>
          <w:lang w:eastAsia="zh-CN"/>
        </w:rPr>
        <w:t>我单位</w:t>
      </w:r>
      <w:r>
        <w:rPr>
          <w:rFonts w:hint="eastAsia" w:ascii="仿宋_GB2312" w:eastAsia="仿宋_GB2312"/>
          <w:color w:val="auto"/>
          <w:sz w:val="32"/>
          <w:szCs w:val="32"/>
          <w:highlight w:val="none"/>
        </w:rPr>
        <w:t>共有车辆</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辆，其中：主要领导干部用车</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辆、机要通信用车</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辆、应急保障用车</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辆、其他用车</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辆</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rPr>
        <w:t>单价</w:t>
      </w:r>
      <w:r>
        <w:rPr>
          <w:rFonts w:ascii="仿宋_GB2312" w:eastAsia="仿宋_GB2312"/>
          <w:color w:val="auto"/>
          <w:sz w:val="32"/>
          <w:szCs w:val="32"/>
          <w:highlight w:val="none"/>
        </w:rPr>
        <w:t>50</w:t>
      </w:r>
      <w:r>
        <w:rPr>
          <w:rFonts w:hint="eastAsia" w:ascii="仿宋_GB2312" w:eastAsia="仿宋_GB2312"/>
          <w:color w:val="auto"/>
          <w:sz w:val="32"/>
          <w:szCs w:val="32"/>
          <w:highlight w:val="none"/>
        </w:rPr>
        <w:t>万元以上通用设备</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台（套），单价</w:t>
      </w:r>
      <w:r>
        <w:rPr>
          <w:rFonts w:ascii="仿宋_GB2312" w:eastAsia="仿宋_GB2312"/>
          <w:color w:val="auto"/>
          <w:sz w:val="32"/>
          <w:szCs w:val="32"/>
          <w:highlight w:val="none"/>
        </w:rPr>
        <w:t>100</w:t>
      </w:r>
      <w:r>
        <w:rPr>
          <w:rFonts w:hint="eastAsia" w:ascii="仿宋_GB2312" w:eastAsia="仿宋_GB2312"/>
          <w:color w:val="auto"/>
          <w:sz w:val="32"/>
          <w:szCs w:val="32"/>
          <w:highlight w:val="none"/>
        </w:rPr>
        <w:t>万元以上专用设备</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台（套）。</w:t>
      </w:r>
    </w:p>
    <w:p w14:paraId="67558EF8">
      <w:pPr>
        <w:pStyle w:val="7"/>
        <w:spacing w:before="93"/>
        <w:rPr>
          <w:highlight w:val="yellow"/>
        </w:rPr>
      </w:pPr>
    </w:p>
    <w:p w14:paraId="7771DA62">
      <w:pPr>
        <w:widowControl/>
        <w:jc w:val="left"/>
        <w:rPr>
          <w:rFonts w:ascii="仿宋_GB2312" w:eastAsia="仿宋_GB2312"/>
          <w:b/>
          <w:sz w:val="32"/>
          <w:szCs w:val="32"/>
        </w:rPr>
      </w:pPr>
      <w:r>
        <w:rPr>
          <w:rFonts w:ascii="仿宋_GB2312" w:eastAsia="仿宋_GB2312"/>
          <w:b/>
          <w:sz w:val="32"/>
          <w:szCs w:val="32"/>
        </w:rPr>
        <w:br w:type="page"/>
      </w:r>
    </w:p>
    <w:p w14:paraId="63128BA3">
      <w:pPr>
        <w:numPr>
          <w:ilvl w:val="0"/>
          <w:numId w:val="5"/>
        </w:numPr>
        <w:spacing w:line="600" w:lineRule="exact"/>
        <w:ind w:firstLine="660" w:firstLineChars="150"/>
        <w:jc w:val="center"/>
        <w:outlineLvl w:val="0"/>
        <w:rPr>
          <w:rStyle w:val="29"/>
          <w:rFonts w:ascii="黑体" w:hAnsi="黑体" w:eastAsia="黑体"/>
          <w:b w:val="0"/>
        </w:rPr>
      </w:pPr>
      <w:bookmarkStart w:id="49" w:name="_Toc15396613"/>
      <w:bookmarkStart w:id="50" w:name="_Toc15377225"/>
      <w:r>
        <w:rPr>
          <w:rFonts w:hint="eastAsia" w:ascii="黑体" w:hAnsi="黑体" w:eastAsia="黑体"/>
          <w:sz w:val="44"/>
          <w:szCs w:val="44"/>
        </w:rPr>
        <w:t>名</w:t>
      </w:r>
      <w:r>
        <w:rPr>
          <w:rStyle w:val="29"/>
          <w:rFonts w:hint="eastAsia" w:ascii="黑体" w:hAnsi="黑体" w:eastAsia="黑体"/>
          <w:b w:val="0"/>
        </w:rPr>
        <w:t>词解释</w:t>
      </w:r>
      <w:bookmarkEnd w:id="49"/>
      <w:bookmarkEnd w:id="50"/>
    </w:p>
    <w:p w14:paraId="39D1F4A3">
      <w:pPr>
        <w:spacing w:line="600" w:lineRule="exact"/>
        <w:jc w:val="left"/>
        <w:rPr>
          <w:rFonts w:ascii="宋体"/>
          <w:b/>
          <w:sz w:val="44"/>
          <w:szCs w:val="44"/>
        </w:rPr>
      </w:pPr>
    </w:p>
    <w:p w14:paraId="29CD2A1C">
      <w:pPr>
        <w:pStyle w:val="27"/>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p>
    <w:p w14:paraId="58EEF182">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2</w:t>
      </w:r>
      <w:r>
        <w:rPr>
          <w:rFonts w:ascii="仿宋_GB2312" w:eastAsia="仿宋_GB2312"/>
          <w:color w:val="auto"/>
          <w:sz w:val="32"/>
          <w:szCs w:val="32"/>
        </w:rPr>
        <w:t>.</w:t>
      </w:r>
      <w:r>
        <w:rPr>
          <w:rFonts w:hint="eastAsia" w:ascii="仿宋_GB2312" w:eastAsia="仿宋_GB2312"/>
          <w:color w:val="auto"/>
          <w:sz w:val="32"/>
          <w:szCs w:val="32"/>
        </w:rPr>
        <w:t>使用非财政拨款结余：指事业单位使用以前年度积累的非财政拨款结余弥补当年收支差额的金额。</w:t>
      </w:r>
      <w:r>
        <w:rPr>
          <w:rFonts w:ascii="仿宋_GB2312" w:eastAsia="仿宋_GB2312"/>
          <w:color w:val="auto"/>
          <w:sz w:val="32"/>
          <w:szCs w:val="32"/>
        </w:rPr>
        <w:t xml:space="preserve"> </w:t>
      </w:r>
    </w:p>
    <w:p w14:paraId="2FE96FC1">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3</w:t>
      </w:r>
      <w:r>
        <w:rPr>
          <w:rFonts w:ascii="仿宋_GB2312" w:eastAsia="仿宋_GB2312"/>
          <w:color w:val="auto"/>
          <w:sz w:val="32"/>
          <w:szCs w:val="32"/>
        </w:rPr>
        <w:t>.</w:t>
      </w:r>
      <w:r>
        <w:rPr>
          <w:rFonts w:hint="eastAsia" w:ascii="仿宋_GB2312" w:eastAsia="仿宋_GB2312"/>
          <w:color w:val="auto"/>
          <w:sz w:val="32"/>
          <w:szCs w:val="32"/>
        </w:rPr>
        <w:t>年初结转和结余：指以前年度尚未完成、结转到本年按有关规定继续使用的资金。</w:t>
      </w:r>
      <w:r>
        <w:rPr>
          <w:rFonts w:ascii="仿宋_GB2312" w:eastAsia="仿宋_GB2312"/>
          <w:color w:val="auto"/>
          <w:sz w:val="32"/>
          <w:szCs w:val="32"/>
        </w:rPr>
        <w:t xml:space="preserve"> </w:t>
      </w:r>
    </w:p>
    <w:p w14:paraId="1180A7FC">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4</w:t>
      </w:r>
      <w:r>
        <w:rPr>
          <w:rFonts w:ascii="仿宋_GB2312" w:eastAsia="仿宋_GB2312"/>
          <w:color w:val="auto"/>
          <w:sz w:val="32"/>
          <w:szCs w:val="32"/>
        </w:rPr>
        <w:t>.</w:t>
      </w:r>
      <w:r>
        <w:rPr>
          <w:rFonts w:hint="eastAsia" w:ascii="仿宋_GB2312" w:eastAsia="仿宋_GB2312"/>
          <w:color w:val="auto"/>
          <w:sz w:val="32"/>
          <w:szCs w:val="32"/>
        </w:rPr>
        <w:t>结余分配：指事业单位按照会计制度规定缴纳的所得税、提取的专用结余以及转入非财政拨款结余的金额等。</w:t>
      </w:r>
    </w:p>
    <w:p w14:paraId="79976A2D">
      <w:pPr>
        <w:pStyle w:val="27"/>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5</w:t>
      </w:r>
      <w:r>
        <w:rPr>
          <w:rFonts w:hint="eastAsia" w:ascii="仿宋_GB2312" w:eastAsia="仿宋_GB2312"/>
          <w:color w:val="auto"/>
          <w:sz w:val="32"/>
          <w:szCs w:val="32"/>
          <w:lang w:val="en-US" w:eastAsia="zh-CN"/>
        </w:rPr>
        <w:t>.</w:t>
      </w:r>
      <w:r>
        <w:rPr>
          <w:rFonts w:hint="eastAsia" w:ascii="仿宋_GB2312" w:eastAsia="仿宋_GB2312"/>
          <w:color w:val="auto"/>
          <w:sz w:val="32"/>
          <w:szCs w:val="32"/>
        </w:rPr>
        <w:t>年末结转和结余：指单位按有关规定结转到下年或以后年度继续使用的资金。</w:t>
      </w:r>
    </w:p>
    <w:p w14:paraId="626F436E">
      <w:pPr>
        <w:ind w:firstLine="640" w:firstLineChars="200"/>
        <w:rPr>
          <w:rFonts w:ascii="仿宋_GB2312" w:eastAsia="仿宋_GB2312"/>
          <w:sz w:val="32"/>
          <w:szCs w:val="32"/>
        </w:rPr>
      </w:pPr>
      <w:r>
        <w:rPr>
          <w:rFonts w:hint="eastAsia" w:ascii="仿宋_GB2312" w:eastAsia="仿宋_GB2312"/>
          <w:sz w:val="32"/>
          <w:szCs w:val="32"/>
        </w:rPr>
        <w:t>6</w:t>
      </w:r>
      <w:r>
        <w:rPr>
          <w:rFonts w:ascii="仿宋_GB2312" w:eastAsia="仿宋_GB2312"/>
          <w:sz w:val="32"/>
          <w:szCs w:val="32"/>
        </w:rPr>
        <w:t>.</w:t>
      </w:r>
      <w:r>
        <w:rPr>
          <w:rFonts w:hint="eastAsia" w:ascii="仿宋_GB2312" w:eastAsia="仿宋_GB2312"/>
          <w:sz w:val="32"/>
          <w:szCs w:val="32"/>
        </w:rPr>
        <w:t>教育（类）普通教育（款）</w:t>
      </w:r>
      <w:r>
        <w:rPr>
          <w:rFonts w:hint="eastAsia" w:ascii="仿宋_GB2312" w:eastAsia="仿宋_GB2312"/>
          <w:sz w:val="32"/>
          <w:szCs w:val="32"/>
          <w:lang w:val="en-US" w:eastAsia="zh-CN"/>
        </w:rPr>
        <w:t>初中</w:t>
      </w:r>
      <w:r>
        <w:rPr>
          <w:rFonts w:hint="eastAsia" w:ascii="仿宋_GB2312" w:eastAsia="仿宋_GB2312"/>
          <w:sz w:val="32"/>
          <w:szCs w:val="32"/>
        </w:rPr>
        <w:t>教育（项）：指</w:t>
      </w:r>
      <w:r>
        <w:rPr>
          <w:rFonts w:hint="eastAsia" w:ascii="仿宋_GB2312" w:eastAsia="仿宋_GB2312"/>
          <w:sz w:val="32"/>
          <w:szCs w:val="32"/>
          <w:lang w:val="en-US" w:eastAsia="zh-CN"/>
        </w:rPr>
        <w:t>初中</w:t>
      </w:r>
      <w:r>
        <w:rPr>
          <w:rFonts w:hint="eastAsia" w:ascii="仿宋_GB2312" w:eastAsia="仿宋_GB2312"/>
          <w:sz w:val="32"/>
          <w:szCs w:val="32"/>
        </w:rPr>
        <w:t>教育</w:t>
      </w:r>
      <w:r>
        <w:rPr>
          <w:rFonts w:hint="eastAsia" w:ascii="仿宋_GB2312" w:eastAsia="仿宋_GB2312"/>
          <w:sz w:val="32"/>
          <w:szCs w:val="32"/>
          <w:lang w:eastAsia="zh-CN"/>
        </w:rPr>
        <w:t>支出</w:t>
      </w:r>
      <w:r>
        <w:rPr>
          <w:rFonts w:hint="eastAsia" w:ascii="仿宋_GB2312" w:eastAsia="仿宋_GB2312"/>
          <w:sz w:val="32"/>
          <w:szCs w:val="32"/>
        </w:rPr>
        <w:t>。</w:t>
      </w:r>
    </w:p>
    <w:p w14:paraId="00CBD361">
      <w:pPr>
        <w:ind w:firstLine="640" w:firstLineChars="200"/>
        <w:rPr>
          <w:rFonts w:hint="eastAsia" w:ascii="仿宋_GB2312" w:eastAsia="仿宋_GB2312"/>
          <w:sz w:val="32"/>
          <w:szCs w:val="32"/>
        </w:rPr>
      </w:pPr>
      <w:r>
        <w:rPr>
          <w:rFonts w:hint="eastAsia" w:ascii="仿宋_GB2312" w:eastAsia="仿宋_GB2312"/>
          <w:sz w:val="32"/>
          <w:szCs w:val="32"/>
        </w:rPr>
        <w:t>7.教育（类）普通教育（款）其他</w:t>
      </w:r>
      <w:r>
        <w:rPr>
          <w:rFonts w:hint="eastAsia" w:ascii="仿宋_GB2312" w:eastAsia="仿宋_GB2312"/>
          <w:sz w:val="32"/>
          <w:szCs w:val="32"/>
          <w:lang w:val="en-US" w:eastAsia="zh-CN"/>
        </w:rPr>
        <w:t>普通</w:t>
      </w:r>
      <w:r>
        <w:rPr>
          <w:rFonts w:hint="eastAsia" w:ascii="仿宋_GB2312" w:eastAsia="仿宋_GB2312"/>
          <w:sz w:val="32"/>
          <w:szCs w:val="32"/>
        </w:rPr>
        <w:t>教育（项）：</w:t>
      </w:r>
      <w:r>
        <w:rPr>
          <w:rFonts w:hint="eastAsia" w:ascii="仿宋_GB2312" w:eastAsia="仿宋_GB2312"/>
          <w:sz w:val="32"/>
          <w:szCs w:val="32"/>
          <w:lang w:val="en-US" w:eastAsia="zh-CN"/>
        </w:rPr>
        <w:t>指</w:t>
      </w:r>
      <w:r>
        <w:rPr>
          <w:rFonts w:hint="eastAsia" w:ascii="仿宋_GB2312" w:eastAsia="仿宋_GB2312"/>
          <w:sz w:val="32"/>
          <w:szCs w:val="32"/>
        </w:rPr>
        <w:t>其他</w:t>
      </w:r>
      <w:r>
        <w:rPr>
          <w:rFonts w:hint="eastAsia" w:ascii="仿宋_GB2312" w:eastAsia="仿宋_GB2312"/>
          <w:sz w:val="32"/>
          <w:szCs w:val="32"/>
          <w:lang w:val="en-US" w:eastAsia="zh-CN"/>
        </w:rPr>
        <w:t>普通</w:t>
      </w:r>
      <w:r>
        <w:rPr>
          <w:rFonts w:hint="eastAsia" w:ascii="仿宋_GB2312" w:eastAsia="仿宋_GB2312"/>
          <w:sz w:val="32"/>
          <w:szCs w:val="32"/>
        </w:rPr>
        <w:t>教育</w:t>
      </w:r>
      <w:r>
        <w:rPr>
          <w:rFonts w:hint="eastAsia" w:ascii="仿宋_GB2312" w:eastAsia="仿宋_GB2312"/>
          <w:sz w:val="32"/>
          <w:szCs w:val="32"/>
          <w:lang w:val="en-US" w:eastAsia="zh-CN"/>
        </w:rPr>
        <w:t>支出</w:t>
      </w:r>
      <w:r>
        <w:rPr>
          <w:rFonts w:hint="eastAsia" w:ascii="仿宋_GB2312" w:eastAsia="仿宋_GB2312"/>
          <w:sz w:val="32"/>
          <w:szCs w:val="32"/>
        </w:rPr>
        <w:t>。</w:t>
      </w:r>
    </w:p>
    <w:p w14:paraId="043A53D0">
      <w:pPr>
        <w:numPr>
          <w:ilvl w:val="0"/>
          <w:numId w:val="0"/>
        </w:numPr>
        <w:spacing w:line="600" w:lineRule="exact"/>
        <w:ind w:firstLine="640" w:firstLineChars="200"/>
        <w:rPr>
          <w:rFonts w:hint="eastAsia" w:ascii="仿宋_GB2312" w:hAnsi="Calibri" w:eastAsia="仿宋_GB2312" w:cs="仿宋"/>
          <w:color w:val="000000"/>
          <w:kern w:val="0"/>
          <w:sz w:val="32"/>
          <w:szCs w:val="32"/>
          <w:lang w:val="en-US" w:eastAsia="zh-CN" w:bidi="ar-SA"/>
        </w:rPr>
      </w:pPr>
      <w:r>
        <w:rPr>
          <w:rFonts w:hint="eastAsia" w:ascii="仿宋_GB2312" w:hAnsi="Calibri" w:eastAsia="仿宋_GB2312" w:cs="仿宋"/>
          <w:color w:val="000000"/>
          <w:kern w:val="0"/>
          <w:sz w:val="32"/>
          <w:szCs w:val="32"/>
          <w:lang w:val="en-US" w:eastAsia="zh-CN" w:bidi="ar-SA"/>
        </w:rPr>
        <w:t>8.社会保障和就业支出（类）行政事业单位养老支出（款）机关事业单位基本养老保险缴费支出（项）: 指机关事业单位实施养老保险制度由单位缴纳的基本养老保险费支出。</w:t>
      </w:r>
    </w:p>
    <w:p w14:paraId="70A46EFE">
      <w:pPr>
        <w:pStyle w:val="16"/>
        <w:ind w:left="0" w:leftChars="0" w:firstLine="640" w:firstLineChars="200"/>
        <w:rPr>
          <w:rFonts w:hint="eastAsia"/>
          <w:lang w:val="en-US" w:eastAsia="zh-CN"/>
        </w:rPr>
      </w:pPr>
      <w:r>
        <w:rPr>
          <w:rFonts w:hint="eastAsia" w:ascii="仿宋_GB2312" w:hAnsi="Calibri" w:eastAsia="仿宋_GB2312" w:cs="仿宋"/>
          <w:color w:val="000000"/>
          <w:kern w:val="0"/>
          <w:sz w:val="32"/>
          <w:szCs w:val="32"/>
          <w:lang w:val="en-US" w:eastAsia="zh-CN" w:bidi="ar-SA"/>
        </w:rPr>
        <w:t>9.社会保障和就业支出（类）其他社会保障和就业支出（款）其他社会保障和就业支出（项）: 指其他用于社会保障和就业方面的支出。</w:t>
      </w:r>
    </w:p>
    <w:p w14:paraId="25F9A3D2">
      <w:pPr>
        <w:pStyle w:val="7"/>
        <w:ind w:firstLine="640" w:firstLineChars="200"/>
      </w:pPr>
      <w:r>
        <w:rPr>
          <w:rFonts w:hint="eastAsia" w:hAnsi="Calibri" w:cs="仿宋"/>
          <w:color w:val="000000"/>
          <w:kern w:val="0"/>
          <w:sz w:val="32"/>
          <w:szCs w:val="32"/>
          <w:lang w:val="en-US" w:eastAsia="zh-CN"/>
        </w:rPr>
        <w:t>10.</w:t>
      </w:r>
      <w:r>
        <w:rPr>
          <w:rFonts w:hint="eastAsia" w:ascii="仿宋_GB2312" w:hAnsi="Calibri" w:eastAsia="仿宋_GB2312" w:cs="仿宋"/>
          <w:color w:val="000000"/>
          <w:kern w:val="0"/>
          <w:sz w:val="32"/>
          <w:szCs w:val="32"/>
          <w:lang w:val="en-US" w:eastAsia="zh-CN"/>
        </w:rPr>
        <w:t>卫生健康（类）行政事业单位医疗（款）事业单位医疗（项）：指财政部门安排的事业单位基本医疗保险缴费经费，未参加医疗保险的事业单位的公费医疗经费，按国家规定享受离休人员待遇的医疗保险。</w:t>
      </w:r>
    </w:p>
    <w:p w14:paraId="2C52C699">
      <w:pPr>
        <w:pStyle w:val="7"/>
        <w:ind w:firstLine="640" w:firstLineChars="200"/>
      </w:pPr>
      <w:r>
        <w:rPr>
          <w:rFonts w:hint="eastAsia" w:hAnsi="Calibri" w:cs="仿宋"/>
          <w:color w:val="000000"/>
          <w:kern w:val="0"/>
          <w:sz w:val="32"/>
          <w:szCs w:val="32"/>
          <w:lang w:val="en-US" w:eastAsia="zh-CN"/>
        </w:rPr>
        <w:t>11.</w:t>
      </w:r>
      <w:r>
        <w:rPr>
          <w:rFonts w:hint="eastAsia" w:ascii="仿宋_GB2312" w:hAnsi="Calibri" w:eastAsia="仿宋_GB2312" w:cs="仿宋"/>
          <w:color w:val="000000"/>
          <w:kern w:val="0"/>
          <w:sz w:val="32"/>
          <w:szCs w:val="32"/>
          <w:lang w:val="en-US" w:eastAsia="zh-CN"/>
        </w:rPr>
        <w:t>住房保障支出（类）住房改革支出（款）住房公积金（项）：指行政事业单位按人力资源和社会保障部、财政部规定的基本工资和津贴补贴以及规定比例为职工缴纳的住房公积金。</w:t>
      </w:r>
    </w:p>
    <w:p w14:paraId="39B1A77F">
      <w:pPr>
        <w:ind w:firstLine="640" w:firstLineChars="200"/>
        <w:rPr>
          <w:rFonts w:ascii="仿宋_GB2312" w:eastAsia="仿宋_GB2312"/>
          <w:sz w:val="32"/>
          <w:szCs w:val="32"/>
        </w:rPr>
      </w:pPr>
      <w:r>
        <w:rPr>
          <w:rFonts w:hint="eastAsia" w:ascii="仿宋_GB2312" w:eastAsia="仿宋_GB2312"/>
          <w:sz w:val="32"/>
          <w:szCs w:val="32"/>
          <w:lang w:val="en-US" w:eastAsia="zh-CN"/>
        </w:rPr>
        <w:t>12</w:t>
      </w:r>
      <w:r>
        <w:rPr>
          <w:rFonts w:ascii="仿宋_GB2312" w:eastAsia="仿宋_GB2312"/>
          <w:sz w:val="32"/>
          <w:szCs w:val="32"/>
        </w:rPr>
        <w:t>.</w:t>
      </w:r>
      <w:r>
        <w:rPr>
          <w:rFonts w:hint="eastAsia" w:ascii="仿宋_GB2312" w:eastAsia="仿宋_GB2312"/>
          <w:sz w:val="32"/>
          <w:szCs w:val="32"/>
        </w:rPr>
        <w:t>基本支出：指为保障机构正常运转、完成日常工作任务而发生的人员支出和公用支出。</w:t>
      </w:r>
    </w:p>
    <w:p w14:paraId="530EC255">
      <w:pPr>
        <w:ind w:firstLine="640" w:firstLineChars="200"/>
        <w:rPr>
          <w:rFonts w:ascii="仿宋_GB2312" w:eastAsia="仿宋_GB2312"/>
          <w:sz w:val="32"/>
          <w:szCs w:val="32"/>
        </w:rPr>
      </w:pPr>
      <w:r>
        <w:rPr>
          <w:rFonts w:hint="eastAsia" w:ascii="仿宋_GB2312" w:eastAsia="仿宋_GB2312"/>
          <w:sz w:val="32"/>
          <w:szCs w:val="32"/>
        </w:rPr>
        <w:t>1</w:t>
      </w:r>
      <w:r>
        <w:rPr>
          <w:rFonts w:hint="eastAsia" w:ascii="仿宋_GB2312" w:eastAsia="仿宋_GB2312"/>
          <w:sz w:val="32"/>
          <w:szCs w:val="32"/>
          <w:lang w:val="en-US" w:eastAsia="zh-CN"/>
        </w:rPr>
        <w:t>3</w:t>
      </w:r>
      <w:r>
        <w:rPr>
          <w:rFonts w:ascii="仿宋_GB2312" w:eastAsia="仿宋_GB2312"/>
          <w:sz w:val="32"/>
          <w:szCs w:val="32"/>
        </w:rPr>
        <w:t>.</w:t>
      </w:r>
      <w:r>
        <w:rPr>
          <w:rFonts w:hint="eastAsia" w:ascii="仿宋_GB2312" w:eastAsia="仿宋_GB2312"/>
          <w:sz w:val="32"/>
          <w:szCs w:val="32"/>
        </w:rPr>
        <w:t>项目支出：指在基本支出之外为完成特定行政任务和事业发展目标所发生的支出。</w:t>
      </w:r>
      <w:r>
        <w:rPr>
          <w:rFonts w:ascii="仿宋_GB2312" w:eastAsia="仿宋_GB2312"/>
          <w:sz w:val="32"/>
          <w:szCs w:val="32"/>
        </w:rPr>
        <w:t xml:space="preserve"> </w:t>
      </w:r>
    </w:p>
    <w:p w14:paraId="415FB04E">
      <w:pPr>
        <w:pStyle w:val="27"/>
        <w:spacing w:line="560" w:lineRule="exact"/>
        <w:ind w:firstLine="640" w:firstLineChars="200"/>
        <w:jc w:val="left"/>
        <w:rPr>
          <w:rFonts w:hint="eastAsia" w:ascii="仿宋_GB2312" w:eastAsia="仿宋_GB2312"/>
          <w:color w:val="auto"/>
          <w:sz w:val="32"/>
          <w:szCs w:val="32"/>
        </w:rPr>
      </w:pPr>
      <w:r>
        <w:rPr>
          <w:rFonts w:hint="eastAsia" w:ascii="仿宋_GB2312" w:eastAsia="仿宋_GB2312"/>
          <w:color w:val="auto"/>
          <w:sz w:val="32"/>
          <w:szCs w:val="32"/>
        </w:rPr>
        <w:t>1</w:t>
      </w:r>
      <w:r>
        <w:rPr>
          <w:rFonts w:hint="eastAsia" w:ascii="仿宋_GB2312" w:eastAsia="仿宋_GB2312"/>
          <w:color w:val="auto"/>
          <w:sz w:val="32"/>
          <w:szCs w:val="32"/>
          <w:lang w:val="en-US" w:eastAsia="zh-CN"/>
        </w:rPr>
        <w:t>4</w:t>
      </w:r>
      <w:r>
        <w:rPr>
          <w:rFonts w:ascii="仿宋_GB2312" w:eastAsia="仿宋_GB2312"/>
          <w:color w:val="auto"/>
          <w:sz w:val="32"/>
          <w:szCs w:val="32"/>
        </w:rPr>
        <w:t>.</w:t>
      </w:r>
      <w:r>
        <w:rPr>
          <w:rFonts w:hint="eastAsia" w:ascii="仿宋_GB2312" w:eastAsia="仿宋_GB2312"/>
          <w:color w:val="auto"/>
          <w:sz w:val="32"/>
          <w:szCs w:val="32"/>
        </w:rPr>
        <w:t>“三公”经费：指单位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bookmarkStart w:id="51" w:name="_Toc15377226"/>
    </w:p>
    <w:p w14:paraId="72957461">
      <w:pPr>
        <w:rPr>
          <w:rFonts w:hint="eastAsia" w:ascii="黑体" w:hAnsi="黑体" w:eastAsia="黑体"/>
          <w:sz w:val="44"/>
          <w:szCs w:val="44"/>
        </w:rPr>
      </w:pPr>
      <w:r>
        <w:rPr>
          <w:rFonts w:ascii="宋体"/>
          <w:b/>
          <w:color w:val="auto"/>
          <w:sz w:val="44"/>
          <w:szCs w:val="44"/>
        </w:rPr>
        <w:br w:type="page"/>
      </w:r>
      <w:bookmarkStart w:id="52" w:name="_Toc15396618"/>
    </w:p>
    <w:p w14:paraId="6B3BFACB">
      <w:pPr>
        <w:spacing w:line="572" w:lineRule="exact"/>
        <w:jc w:val="left"/>
        <w:outlineLvl w:val="0"/>
        <w:rPr>
          <w:rFonts w:hint="eastAsia" w:ascii="黑体" w:hAnsi="黑体" w:eastAsia="黑体" w:cs="黑体"/>
          <w:sz w:val="32"/>
          <w:szCs w:val="32"/>
          <w:lang w:val="en-US"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1</w:t>
      </w:r>
    </w:p>
    <w:tbl>
      <w:tblPr>
        <w:tblStyle w:val="17"/>
        <w:tblpPr w:leftFromText="180" w:rightFromText="180" w:vertAnchor="text" w:horzAnchor="page" w:tblpX="1702" w:tblpY="109"/>
        <w:tblOverlap w:val="never"/>
        <w:tblW w:w="9454" w:type="dxa"/>
        <w:tblInd w:w="0" w:type="dxa"/>
        <w:tblLayout w:type="fixed"/>
        <w:tblCellMar>
          <w:top w:w="0" w:type="dxa"/>
          <w:left w:w="108" w:type="dxa"/>
          <w:bottom w:w="0" w:type="dxa"/>
          <w:right w:w="108" w:type="dxa"/>
        </w:tblCellMar>
      </w:tblPr>
      <w:tblGrid>
        <w:gridCol w:w="1113"/>
        <w:gridCol w:w="1005"/>
        <w:gridCol w:w="1215"/>
        <w:gridCol w:w="2385"/>
        <w:gridCol w:w="1178"/>
        <w:gridCol w:w="2322"/>
        <w:gridCol w:w="236"/>
      </w:tblGrid>
      <w:tr w14:paraId="35CC88EB">
        <w:tblPrEx>
          <w:tblCellMar>
            <w:top w:w="0" w:type="dxa"/>
            <w:left w:w="108" w:type="dxa"/>
            <w:bottom w:w="0" w:type="dxa"/>
            <w:right w:w="108" w:type="dxa"/>
          </w:tblCellMar>
        </w:tblPrEx>
        <w:trPr>
          <w:trHeight w:val="739" w:hRule="atLeast"/>
        </w:trPr>
        <w:tc>
          <w:tcPr>
            <w:tcW w:w="9218" w:type="dxa"/>
            <w:gridSpan w:val="6"/>
            <w:tcBorders>
              <w:top w:val="nil"/>
              <w:left w:val="nil"/>
              <w:bottom w:val="nil"/>
              <w:right w:val="nil"/>
            </w:tcBorders>
            <w:shd w:val="clear" w:color="auto" w:fill="auto"/>
            <w:vAlign w:val="center"/>
          </w:tcPr>
          <w:p w14:paraId="277F0F26">
            <w:pPr>
              <w:keepNext w:val="0"/>
              <w:keepLines w:val="0"/>
              <w:widowControl/>
              <w:suppressLineNumbers w:val="0"/>
              <w:spacing w:before="0" w:beforeAutospacing="0" w:after="0" w:afterAutospacing="0"/>
              <w:ind w:left="0" w:right="0"/>
              <w:jc w:val="center"/>
              <w:textAlignment w:val="center"/>
              <w:rPr>
                <w:rFonts w:hint="eastAsia" w:ascii="宋体" w:hAnsi="宋体" w:cs="宋体"/>
                <w:b/>
                <w:sz w:val="32"/>
                <w:szCs w:val="32"/>
              </w:rPr>
            </w:pPr>
            <w:r>
              <w:rPr>
                <w:rFonts w:hint="eastAsia" w:ascii="宋体" w:hAnsi="宋体" w:cs="宋体"/>
                <w:b/>
                <w:sz w:val="32"/>
                <w:szCs w:val="32"/>
              </w:rPr>
              <w:t>2021年部门预算项目绩效目标自评</w:t>
            </w:r>
          </w:p>
          <w:p w14:paraId="73849F4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sz w:val="32"/>
                <w:szCs w:val="32"/>
                <w:lang w:eastAsia="zh-CN"/>
              </w:rPr>
            </w:pPr>
            <w:r>
              <w:rPr>
                <w:rFonts w:hint="eastAsia" w:ascii="宋体" w:hAnsi="宋体" w:cs="宋体"/>
                <w:b/>
                <w:sz w:val="32"/>
                <w:szCs w:val="32"/>
                <w:lang w:eastAsia="zh-CN"/>
              </w:rPr>
              <w:t>（</w:t>
            </w:r>
            <w:r>
              <w:rPr>
                <w:rFonts w:hint="eastAsia" w:ascii="宋体" w:hAnsi="宋体" w:cs="宋体"/>
                <w:b/>
                <w:sz w:val="32"/>
                <w:szCs w:val="32"/>
                <w:lang w:val="en-US" w:eastAsia="zh-CN"/>
              </w:rPr>
              <w:t>虎跳初级中</w:t>
            </w:r>
            <w:r>
              <w:rPr>
                <w:rFonts w:hint="eastAsia" w:ascii="宋体" w:hAnsi="宋体" w:cs="宋体"/>
                <w:b/>
                <w:sz w:val="32"/>
                <w:szCs w:val="32"/>
                <w:lang w:eastAsia="zh-CN"/>
              </w:rPr>
              <w:t>学</w:t>
            </w:r>
            <w:r>
              <w:rPr>
                <w:rFonts w:hint="eastAsia" w:ascii="宋体" w:hAnsi="宋体" w:cs="宋体"/>
                <w:b/>
                <w:sz w:val="32"/>
                <w:szCs w:val="32"/>
                <w:lang w:val="en-US" w:eastAsia="zh-CN"/>
              </w:rPr>
              <w:t>运动场改造</w:t>
            </w:r>
            <w:r>
              <w:rPr>
                <w:rFonts w:hint="eastAsia" w:ascii="宋体" w:hAnsi="宋体" w:cs="宋体"/>
                <w:b/>
                <w:sz w:val="32"/>
                <w:szCs w:val="32"/>
                <w:lang w:eastAsia="zh-CN"/>
              </w:rPr>
              <w:t>项目）</w:t>
            </w:r>
          </w:p>
        </w:tc>
        <w:tc>
          <w:tcPr>
            <w:tcW w:w="236" w:type="dxa"/>
            <w:tcBorders>
              <w:top w:val="nil"/>
              <w:left w:val="nil"/>
              <w:bottom w:val="nil"/>
              <w:right w:val="nil"/>
            </w:tcBorders>
            <w:shd w:val="clear" w:color="auto" w:fill="auto"/>
            <w:vAlign w:val="center"/>
          </w:tcPr>
          <w:p w14:paraId="731F9E24">
            <w:pPr>
              <w:keepNext w:val="0"/>
              <w:keepLines w:val="0"/>
              <w:widowControl/>
              <w:suppressLineNumbers w:val="0"/>
              <w:spacing w:before="0" w:beforeAutospacing="0" w:after="0" w:afterAutospacing="0"/>
              <w:ind w:left="0" w:right="0"/>
              <w:jc w:val="center"/>
              <w:textAlignment w:val="center"/>
              <w:rPr>
                <w:rFonts w:hint="default" w:ascii="宋体" w:hAnsi="宋体" w:cs="宋体"/>
                <w:b/>
                <w:kern w:val="0"/>
                <w:sz w:val="32"/>
                <w:szCs w:val="32"/>
              </w:rPr>
            </w:pPr>
          </w:p>
        </w:tc>
      </w:tr>
      <w:tr w14:paraId="02F76D60">
        <w:tblPrEx>
          <w:tblCellMar>
            <w:top w:w="0" w:type="dxa"/>
            <w:left w:w="108" w:type="dxa"/>
            <w:bottom w:w="0" w:type="dxa"/>
            <w:right w:w="108" w:type="dxa"/>
          </w:tblCellMar>
        </w:tblPrEx>
        <w:trPr>
          <w:gridAfter w:val="1"/>
          <w:wAfter w:w="236" w:type="dxa"/>
          <w:trHeight w:val="391" w:hRule="atLeast"/>
        </w:trPr>
        <w:tc>
          <w:tcPr>
            <w:tcW w:w="2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2A8EF5">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sz w:val="24"/>
              </w:rPr>
            </w:pPr>
            <w:r>
              <w:rPr>
                <w:rFonts w:hint="eastAsia" w:ascii="宋体" w:hAnsi="宋体" w:cs="宋体"/>
                <w:kern w:val="0"/>
                <w:sz w:val="24"/>
              </w:rPr>
              <w:t>主管部门及代码</w:t>
            </w:r>
          </w:p>
        </w:tc>
        <w:tc>
          <w:tcPr>
            <w:tcW w:w="36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B11FDF">
            <w:pPr>
              <w:keepNext w:val="0"/>
              <w:keepLines w:val="0"/>
              <w:widowControl/>
              <w:suppressLineNumbers w:val="0"/>
              <w:spacing w:before="0" w:beforeAutospacing="0" w:after="0" w:afterAutospacing="0" w:line="320" w:lineRule="exact"/>
              <w:ind w:left="0" w:right="0"/>
              <w:textAlignment w:val="center"/>
              <w:rPr>
                <w:rFonts w:hint="default" w:ascii="宋体" w:hAnsi="宋体" w:eastAsia="宋体" w:cs="宋体"/>
                <w:sz w:val="24"/>
                <w:lang w:val="en-US" w:eastAsia="zh-CN"/>
              </w:rPr>
            </w:pPr>
            <w:r>
              <w:rPr>
                <w:rFonts w:hint="eastAsia" w:ascii="宋体" w:hAnsi="宋体" w:cs="宋体"/>
                <w:sz w:val="24"/>
                <w:lang w:val="en-US" w:eastAsia="zh-CN"/>
              </w:rPr>
              <w:t>360305</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EA8C1">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sz w:val="24"/>
              </w:rPr>
            </w:pPr>
            <w:r>
              <w:rPr>
                <w:rFonts w:hint="eastAsia" w:ascii="宋体" w:hAnsi="宋体" w:cs="宋体"/>
                <w:kern w:val="0"/>
                <w:sz w:val="24"/>
              </w:rPr>
              <w:t>实施单位</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3E246">
            <w:pPr>
              <w:keepNext w:val="0"/>
              <w:keepLines w:val="0"/>
              <w:widowControl/>
              <w:suppressLineNumbers w:val="0"/>
              <w:spacing w:before="0" w:beforeAutospacing="0" w:after="0" w:afterAutospacing="0" w:line="320" w:lineRule="exact"/>
              <w:ind w:left="0" w:right="0"/>
              <w:textAlignment w:val="center"/>
              <w:rPr>
                <w:rFonts w:hint="eastAsia" w:ascii="宋体" w:hAnsi="宋体" w:eastAsia="宋体" w:cs="宋体"/>
                <w:sz w:val="24"/>
                <w:lang w:eastAsia="zh-CN"/>
              </w:rPr>
            </w:pPr>
            <w:r>
              <w:rPr>
                <w:rFonts w:hint="eastAsia" w:ascii="宋体" w:hAnsi="宋体" w:cs="宋体"/>
                <w:sz w:val="16"/>
                <w:szCs w:val="16"/>
                <w:lang w:eastAsia="zh-CN"/>
              </w:rPr>
              <w:t>广元市昭化区</w:t>
            </w:r>
            <w:r>
              <w:rPr>
                <w:rFonts w:hint="eastAsia" w:ascii="宋体" w:hAnsi="宋体" w:cs="宋体"/>
                <w:sz w:val="16"/>
                <w:szCs w:val="16"/>
                <w:lang w:val="en-US" w:eastAsia="zh-CN"/>
              </w:rPr>
              <w:t>虎跳初级中学</w:t>
            </w:r>
          </w:p>
        </w:tc>
      </w:tr>
      <w:tr w14:paraId="7DBF8433">
        <w:tblPrEx>
          <w:tblCellMar>
            <w:top w:w="0" w:type="dxa"/>
            <w:left w:w="108" w:type="dxa"/>
            <w:bottom w:w="0" w:type="dxa"/>
            <w:right w:w="108" w:type="dxa"/>
          </w:tblCellMar>
        </w:tblPrEx>
        <w:trPr>
          <w:gridAfter w:val="1"/>
          <w:wAfter w:w="236" w:type="dxa"/>
          <w:trHeight w:val="415" w:hRule="atLeast"/>
        </w:trPr>
        <w:tc>
          <w:tcPr>
            <w:tcW w:w="2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F80FD6">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kern w:val="0"/>
                <w:sz w:val="24"/>
              </w:rPr>
            </w:pPr>
            <w:r>
              <w:rPr>
                <w:rFonts w:hint="eastAsia" w:ascii="宋体" w:hAnsi="宋体" w:cs="宋体"/>
                <w:kern w:val="0"/>
                <w:sz w:val="24"/>
              </w:rPr>
              <w:t>项目预算</w:t>
            </w:r>
          </w:p>
          <w:p w14:paraId="56B397E1">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kern w:val="0"/>
                <w:sz w:val="24"/>
              </w:rPr>
            </w:pPr>
            <w:r>
              <w:rPr>
                <w:rFonts w:hint="eastAsia" w:ascii="宋体" w:hAnsi="宋体" w:cs="宋体"/>
                <w:kern w:val="0"/>
                <w:sz w:val="24"/>
              </w:rPr>
              <w:t>执行情况</w:t>
            </w:r>
          </w:p>
          <w:p w14:paraId="237C09F9">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sz w:val="24"/>
              </w:rPr>
            </w:pPr>
            <w:r>
              <w:rPr>
                <w:rFonts w:hint="eastAsia" w:ascii="宋体" w:hAnsi="宋体" w:cs="宋体"/>
                <w:kern w:val="0"/>
                <w:sz w:val="24"/>
              </w:rPr>
              <w:t>（万元）</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F80A1">
            <w:pPr>
              <w:keepNext w:val="0"/>
              <w:keepLines w:val="0"/>
              <w:widowControl/>
              <w:suppressLineNumbers w:val="0"/>
              <w:spacing w:before="0" w:beforeAutospacing="0" w:after="0" w:afterAutospacing="0" w:line="320" w:lineRule="exact"/>
              <w:ind w:left="0" w:right="0"/>
              <w:jc w:val="left"/>
              <w:textAlignment w:val="center"/>
              <w:rPr>
                <w:rFonts w:hint="default" w:ascii="宋体" w:hAnsi="宋体" w:cs="宋体"/>
                <w:sz w:val="24"/>
              </w:rPr>
            </w:pPr>
            <w:r>
              <w:rPr>
                <w:rFonts w:hint="eastAsia" w:ascii="宋体" w:hAnsi="宋体" w:cs="宋体"/>
                <w:kern w:val="0"/>
                <w:sz w:val="24"/>
              </w:rPr>
              <w:t xml:space="preserve"> 预算数：</w:t>
            </w: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5F49C">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eastAsia="宋体" w:cs="宋体"/>
                <w:sz w:val="24"/>
                <w:lang w:val="en-US" w:eastAsia="zh-CN"/>
              </w:rPr>
            </w:pPr>
            <w:r>
              <w:rPr>
                <w:rFonts w:hint="eastAsia" w:ascii="宋体" w:hAnsi="宋体" w:cs="宋体"/>
                <w:sz w:val="24"/>
                <w:lang w:val="en-US" w:eastAsia="zh-CN"/>
              </w:rPr>
              <w:t>256</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3A75C">
            <w:pPr>
              <w:keepNext w:val="0"/>
              <w:keepLines w:val="0"/>
              <w:widowControl/>
              <w:suppressLineNumbers w:val="0"/>
              <w:spacing w:before="0" w:beforeAutospacing="0" w:after="0" w:afterAutospacing="0" w:line="320" w:lineRule="exact"/>
              <w:ind w:left="0" w:right="0"/>
              <w:jc w:val="left"/>
              <w:textAlignment w:val="center"/>
              <w:rPr>
                <w:rFonts w:hint="default" w:ascii="宋体" w:hAnsi="宋体" w:cs="宋体"/>
                <w:sz w:val="24"/>
              </w:rPr>
            </w:pPr>
            <w:r>
              <w:rPr>
                <w:rFonts w:hint="eastAsia" w:ascii="宋体" w:hAnsi="宋体" w:cs="宋体"/>
                <w:kern w:val="0"/>
                <w:sz w:val="24"/>
              </w:rPr>
              <w:t xml:space="preserve"> 执行数：</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14462">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eastAsia="宋体" w:cs="宋体"/>
                <w:sz w:val="24"/>
                <w:lang w:val="en-US" w:eastAsia="zh-CN"/>
              </w:rPr>
            </w:pPr>
            <w:r>
              <w:rPr>
                <w:rFonts w:hint="eastAsia" w:ascii="宋体" w:hAnsi="宋体" w:cs="宋体"/>
                <w:sz w:val="24"/>
                <w:lang w:val="en-US" w:eastAsia="zh-CN"/>
              </w:rPr>
              <w:t>256</w:t>
            </w:r>
          </w:p>
        </w:tc>
      </w:tr>
      <w:tr w14:paraId="541FE66D">
        <w:tblPrEx>
          <w:tblCellMar>
            <w:top w:w="0" w:type="dxa"/>
            <w:left w:w="108" w:type="dxa"/>
            <w:bottom w:w="0" w:type="dxa"/>
            <w:right w:w="108" w:type="dxa"/>
          </w:tblCellMar>
        </w:tblPrEx>
        <w:trPr>
          <w:gridAfter w:val="1"/>
          <w:wAfter w:w="236" w:type="dxa"/>
          <w:trHeight w:val="762" w:hRule="atLeast"/>
        </w:trPr>
        <w:tc>
          <w:tcPr>
            <w:tcW w:w="2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105F44">
            <w:pPr>
              <w:keepNext w:val="0"/>
              <w:keepLines w:val="0"/>
              <w:suppressLineNumbers w:val="0"/>
              <w:spacing w:before="0" w:beforeAutospacing="0" w:after="0" w:afterAutospacing="0" w:line="320" w:lineRule="exact"/>
              <w:ind w:left="0" w:right="0"/>
              <w:jc w:val="center"/>
              <w:rPr>
                <w:rFonts w:hint="default" w:ascii="宋体" w:hAnsi="宋体" w:cs="宋体"/>
                <w:sz w:val="24"/>
              </w:rPr>
            </w:pP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C690F">
            <w:pPr>
              <w:keepNext w:val="0"/>
              <w:keepLines w:val="0"/>
              <w:widowControl/>
              <w:suppressLineNumbers w:val="0"/>
              <w:spacing w:before="0" w:beforeAutospacing="0" w:after="0" w:afterAutospacing="0" w:line="320" w:lineRule="exact"/>
              <w:ind w:left="0" w:right="0"/>
              <w:jc w:val="left"/>
              <w:textAlignment w:val="center"/>
              <w:rPr>
                <w:rFonts w:hint="default" w:ascii="宋体" w:hAnsi="宋体" w:cs="宋体"/>
                <w:kern w:val="0"/>
                <w:sz w:val="24"/>
              </w:rPr>
            </w:pPr>
            <w:r>
              <w:rPr>
                <w:rFonts w:hint="eastAsia" w:ascii="宋体" w:hAnsi="宋体" w:cs="宋体"/>
                <w:kern w:val="0"/>
                <w:sz w:val="24"/>
              </w:rPr>
              <w:t>其中：</w:t>
            </w:r>
          </w:p>
          <w:p w14:paraId="317B0CAF">
            <w:pPr>
              <w:keepNext w:val="0"/>
              <w:keepLines w:val="0"/>
              <w:widowControl/>
              <w:suppressLineNumbers w:val="0"/>
              <w:spacing w:before="0" w:beforeAutospacing="0" w:after="0" w:afterAutospacing="0" w:line="320" w:lineRule="exact"/>
              <w:ind w:left="0" w:right="0"/>
              <w:jc w:val="left"/>
              <w:textAlignment w:val="center"/>
              <w:rPr>
                <w:rFonts w:hint="default" w:ascii="宋体" w:hAnsi="宋体" w:cs="宋体"/>
                <w:sz w:val="24"/>
              </w:rPr>
            </w:pPr>
            <w:r>
              <w:rPr>
                <w:rFonts w:hint="eastAsia" w:ascii="宋体" w:hAnsi="宋体" w:cs="宋体"/>
                <w:kern w:val="0"/>
                <w:sz w:val="24"/>
              </w:rPr>
              <w:t>财政拨款</w:t>
            </w: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A2009">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sz w:val="24"/>
                <w:lang w:val="en-US"/>
              </w:rPr>
            </w:pPr>
            <w:r>
              <w:rPr>
                <w:rFonts w:hint="eastAsia" w:ascii="宋体" w:hAnsi="宋体" w:cs="宋体"/>
                <w:sz w:val="24"/>
                <w:lang w:val="en-US" w:eastAsia="zh-CN"/>
              </w:rPr>
              <w:t>256</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3E034">
            <w:pPr>
              <w:keepNext w:val="0"/>
              <w:keepLines w:val="0"/>
              <w:widowControl/>
              <w:suppressLineNumbers w:val="0"/>
              <w:spacing w:before="0" w:beforeAutospacing="0" w:after="0" w:afterAutospacing="0" w:line="320" w:lineRule="exact"/>
              <w:ind w:left="0" w:right="0"/>
              <w:jc w:val="left"/>
              <w:textAlignment w:val="center"/>
              <w:rPr>
                <w:rFonts w:hint="default" w:ascii="宋体" w:hAnsi="宋体" w:cs="宋体"/>
                <w:kern w:val="0"/>
                <w:sz w:val="24"/>
              </w:rPr>
            </w:pPr>
            <w:r>
              <w:rPr>
                <w:rFonts w:hint="eastAsia" w:ascii="宋体" w:hAnsi="宋体" w:cs="宋体"/>
                <w:kern w:val="0"/>
                <w:sz w:val="24"/>
              </w:rPr>
              <w:t>其中：</w:t>
            </w:r>
          </w:p>
          <w:p w14:paraId="58B22FE0">
            <w:pPr>
              <w:keepNext w:val="0"/>
              <w:keepLines w:val="0"/>
              <w:widowControl/>
              <w:suppressLineNumbers w:val="0"/>
              <w:spacing w:before="0" w:beforeAutospacing="0" w:after="0" w:afterAutospacing="0" w:line="320" w:lineRule="exact"/>
              <w:ind w:left="0" w:right="0"/>
              <w:jc w:val="left"/>
              <w:textAlignment w:val="center"/>
              <w:rPr>
                <w:rFonts w:hint="default" w:ascii="宋体" w:hAnsi="宋体" w:cs="宋体"/>
                <w:sz w:val="24"/>
              </w:rPr>
            </w:pPr>
            <w:r>
              <w:rPr>
                <w:rFonts w:hint="eastAsia" w:ascii="宋体" w:hAnsi="宋体" w:cs="宋体"/>
                <w:kern w:val="0"/>
                <w:sz w:val="24"/>
              </w:rPr>
              <w:t>财政拨款</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90EE3">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sz w:val="24"/>
                <w:lang w:val="en-US"/>
              </w:rPr>
            </w:pPr>
            <w:r>
              <w:rPr>
                <w:rFonts w:hint="eastAsia" w:ascii="宋体" w:hAnsi="宋体" w:cs="宋体"/>
                <w:sz w:val="24"/>
                <w:lang w:val="en-US" w:eastAsia="zh-CN"/>
              </w:rPr>
              <w:t>256</w:t>
            </w:r>
          </w:p>
        </w:tc>
      </w:tr>
      <w:tr w14:paraId="12D21CAE">
        <w:tblPrEx>
          <w:tblCellMar>
            <w:top w:w="0" w:type="dxa"/>
            <w:left w:w="108" w:type="dxa"/>
            <w:bottom w:w="0" w:type="dxa"/>
            <w:right w:w="108" w:type="dxa"/>
          </w:tblCellMar>
        </w:tblPrEx>
        <w:trPr>
          <w:gridAfter w:val="1"/>
          <w:wAfter w:w="236" w:type="dxa"/>
          <w:trHeight w:val="415" w:hRule="atLeast"/>
        </w:trPr>
        <w:tc>
          <w:tcPr>
            <w:tcW w:w="2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70DBA4">
            <w:pPr>
              <w:keepNext w:val="0"/>
              <w:keepLines w:val="0"/>
              <w:suppressLineNumbers w:val="0"/>
              <w:spacing w:before="0" w:beforeAutospacing="0" w:after="0" w:afterAutospacing="0" w:line="320" w:lineRule="exact"/>
              <w:ind w:left="0" w:right="0"/>
              <w:jc w:val="center"/>
              <w:rPr>
                <w:rFonts w:hint="default" w:ascii="宋体" w:hAnsi="宋体" w:cs="宋体"/>
                <w:sz w:val="24"/>
              </w:rPr>
            </w:pP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BC6F3">
            <w:pPr>
              <w:keepNext w:val="0"/>
              <w:keepLines w:val="0"/>
              <w:widowControl/>
              <w:suppressLineNumbers w:val="0"/>
              <w:spacing w:before="0" w:beforeAutospacing="0" w:after="0" w:afterAutospacing="0" w:line="320" w:lineRule="exact"/>
              <w:ind w:left="0" w:right="0"/>
              <w:jc w:val="left"/>
              <w:textAlignment w:val="center"/>
              <w:rPr>
                <w:rFonts w:hint="default" w:ascii="宋体" w:hAnsi="宋体" w:cs="宋体"/>
                <w:sz w:val="24"/>
              </w:rPr>
            </w:pPr>
            <w:r>
              <w:rPr>
                <w:rFonts w:hint="eastAsia" w:ascii="宋体" w:hAnsi="宋体" w:cs="宋体"/>
                <w:kern w:val="0"/>
                <w:sz w:val="24"/>
              </w:rPr>
              <w:t>其他资金</w:t>
            </w: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72D61">
            <w:pPr>
              <w:keepNext w:val="0"/>
              <w:keepLines w:val="0"/>
              <w:widowControl/>
              <w:suppressLineNumbers w:val="0"/>
              <w:spacing w:before="0" w:beforeAutospacing="0" w:after="0" w:afterAutospacing="0" w:line="320" w:lineRule="exact"/>
              <w:ind w:left="0" w:right="0"/>
              <w:jc w:val="left"/>
              <w:textAlignment w:val="center"/>
              <w:rPr>
                <w:rFonts w:hint="eastAsia" w:ascii="宋体" w:hAnsi="宋体" w:eastAsia="宋体" w:cs="宋体"/>
                <w:sz w:val="24"/>
                <w:lang w:val="en-US" w:eastAsia="zh-CN"/>
              </w:rPr>
            </w:pP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A48CC">
            <w:pPr>
              <w:keepNext w:val="0"/>
              <w:keepLines w:val="0"/>
              <w:widowControl/>
              <w:suppressLineNumbers w:val="0"/>
              <w:spacing w:before="0" w:beforeAutospacing="0" w:after="0" w:afterAutospacing="0" w:line="320" w:lineRule="exact"/>
              <w:ind w:left="0" w:right="0"/>
              <w:jc w:val="left"/>
              <w:textAlignment w:val="center"/>
              <w:rPr>
                <w:rFonts w:hint="default" w:ascii="宋体" w:hAnsi="宋体" w:cs="宋体"/>
                <w:sz w:val="24"/>
              </w:rPr>
            </w:pPr>
            <w:r>
              <w:rPr>
                <w:rFonts w:hint="eastAsia" w:ascii="宋体" w:hAnsi="宋体" w:cs="宋体"/>
                <w:kern w:val="0"/>
                <w:sz w:val="24"/>
              </w:rPr>
              <w:t>其他资金</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7E598">
            <w:pPr>
              <w:keepNext w:val="0"/>
              <w:keepLines w:val="0"/>
              <w:widowControl/>
              <w:suppressLineNumbers w:val="0"/>
              <w:spacing w:before="0" w:beforeAutospacing="0" w:after="0" w:afterAutospacing="0" w:line="320" w:lineRule="exact"/>
              <w:ind w:left="0" w:right="0"/>
              <w:jc w:val="center"/>
              <w:textAlignment w:val="center"/>
              <w:rPr>
                <w:rFonts w:hint="eastAsia" w:ascii="宋体" w:hAnsi="宋体" w:eastAsia="宋体" w:cs="宋体"/>
                <w:sz w:val="24"/>
                <w:lang w:val="en-US" w:eastAsia="zh-CN"/>
              </w:rPr>
            </w:pPr>
          </w:p>
        </w:tc>
      </w:tr>
      <w:tr w14:paraId="642D4DBF">
        <w:tblPrEx>
          <w:tblCellMar>
            <w:top w:w="0" w:type="dxa"/>
            <w:left w:w="108" w:type="dxa"/>
            <w:bottom w:w="0" w:type="dxa"/>
            <w:right w:w="108" w:type="dxa"/>
          </w:tblCellMar>
        </w:tblPrEx>
        <w:trPr>
          <w:gridAfter w:val="1"/>
          <w:wAfter w:w="236" w:type="dxa"/>
          <w:trHeight w:val="391" w:hRule="atLeast"/>
        </w:trPr>
        <w:tc>
          <w:tcPr>
            <w:tcW w:w="111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0EB521">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kern w:val="0"/>
                <w:sz w:val="24"/>
              </w:rPr>
            </w:pPr>
            <w:r>
              <w:rPr>
                <w:rFonts w:hint="eastAsia" w:ascii="宋体" w:hAnsi="宋体" w:cs="宋体"/>
                <w:kern w:val="0"/>
                <w:sz w:val="24"/>
              </w:rPr>
              <w:t>年度总体目标</w:t>
            </w:r>
          </w:p>
          <w:p w14:paraId="59447B12">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sz w:val="24"/>
              </w:rPr>
            </w:pPr>
            <w:r>
              <w:rPr>
                <w:rFonts w:hint="eastAsia" w:ascii="宋体" w:hAnsi="宋体" w:cs="宋体"/>
                <w:kern w:val="0"/>
                <w:sz w:val="24"/>
              </w:rPr>
              <w:t>完成情况</w:t>
            </w:r>
          </w:p>
        </w:tc>
        <w:tc>
          <w:tcPr>
            <w:tcW w:w="460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FBEB97">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sz w:val="24"/>
              </w:rPr>
            </w:pPr>
            <w:r>
              <w:rPr>
                <w:rFonts w:hint="eastAsia" w:ascii="宋体" w:hAnsi="宋体" w:cs="宋体"/>
                <w:kern w:val="0"/>
                <w:sz w:val="24"/>
              </w:rPr>
              <w:t>预期目标</w:t>
            </w:r>
          </w:p>
        </w:tc>
        <w:tc>
          <w:tcPr>
            <w:tcW w:w="35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FA0800">
            <w:pPr>
              <w:keepNext w:val="0"/>
              <w:keepLines w:val="0"/>
              <w:widowControl/>
              <w:suppressLineNumbers w:val="0"/>
              <w:spacing w:before="0" w:beforeAutospacing="0" w:after="0" w:afterAutospacing="0" w:line="320" w:lineRule="exact"/>
              <w:ind w:left="0" w:right="0"/>
              <w:jc w:val="center"/>
              <w:textAlignment w:val="center"/>
              <w:rPr>
                <w:rFonts w:hint="default" w:ascii="宋体" w:hAnsi="宋体" w:cs="宋体"/>
                <w:sz w:val="24"/>
              </w:rPr>
            </w:pPr>
            <w:r>
              <w:rPr>
                <w:rFonts w:hint="eastAsia" w:ascii="宋体" w:hAnsi="宋体" w:cs="宋体"/>
                <w:kern w:val="0"/>
                <w:sz w:val="24"/>
              </w:rPr>
              <w:t>目标实际完成情况</w:t>
            </w:r>
          </w:p>
        </w:tc>
      </w:tr>
      <w:tr w14:paraId="50CD129F">
        <w:tblPrEx>
          <w:tblCellMar>
            <w:top w:w="0" w:type="dxa"/>
            <w:left w:w="108" w:type="dxa"/>
            <w:bottom w:w="0" w:type="dxa"/>
            <w:right w:w="108" w:type="dxa"/>
          </w:tblCellMar>
        </w:tblPrEx>
        <w:trPr>
          <w:gridAfter w:val="1"/>
          <w:wAfter w:w="236" w:type="dxa"/>
          <w:trHeight w:val="943" w:hRule="atLeast"/>
        </w:trPr>
        <w:tc>
          <w:tcPr>
            <w:tcW w:w="11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A58CC6">
            <w:pPr>
              <w:keepNext w:val="0"/>
              <w:keepLines w:val="0"/>
              <w:suppressLineNumbers w:val="0"/>
              <w:spacing w:before="0" w:beforeAutospacing="0" w:after="0" w:afterAutospacing="0" w:line="320" w:lineRule="exact"/>
              <w:ind w:left="0" w:right="0"/>
              <w:jc w:val="center"/>
              <w:rPr>
                <w:rFonts w:hint="default" w:ascii="宋体" w:hAnsi="宋体" w:cs="宋体"/>
                <w:sz w:val="24"/>
              </w:rPr>
            </w:pPr>
          </w:p>
        </w:tc>
        <w:tc>
          <w:tcPr>
            <w:tcW w:w="4605" w:type="dxa"/>
            <w:gridSpan w:val="3"/>
            <w:tcBorders>
              <w:top w:val="single" w:color="000000" w:sz="4" w:space="0"/>
              <w:left w:val="single" w:color="000000" w:sz="4" w:space="0"/>
              <w:bottom w:val="single" w:color="000000" w:sz="4" w:space="0"/>
              <w:right w:val="single" w:color="000000" w:sz="4" w:space="0"/>
            </w:tcBorders>
            <w:shd w:val="clear" w:color="auto" w:fill="auto"/>
          </w:tcPr>
          <w:p w14:paraId="6042890A">
            <w:pPr>
              <w:keepNext w:val="0"/>
              <w:keepLines w:val="0"/>
              <w:widowControl/>
              <w:suppressLineNumbers w:val="0"/>
              <w:spacing w:before="0" w:beforeAutospacing="0" w:after="0" w:afterAutospacing="0" w:line="320" w:lineRule="exact"/>
              <w:ind w:left="0" w:right="0"/>
              <w:jc w:val="left"/>
              <w:textAlignment w:val="top"/>
              <w:rPr>
                <w:rFonts w:hint="eastAsia" w:ascii="宋体" w:hAnsi="宋体" w:eastAsia="宋体" w:cs="宋体"/>
                <w:sz w:val="24"/>
                <w:lang w:eastAsia="zh-CN"/>
              </w:rPr>
            </w:pPr>
            <w:r>
              <w:rPr>
                <w:rFonts w:hint="default" w:ascii="宋体" w:hAnsi="宋体" w:cs="宋体"/>
                <w:sz w:val="21"/>
                <w:szCs w:val="21"/>
              </w:rPr>
              <w:t>支持欠发达地区特别是“三区三州”等原深度贫困地区巩固教育脱贫攻坚成果，积极扩大基础教育学位供给，提高义务教育巩固率，保障群众受教育权利，加快缩小与其他地区教育差距，阻断贫困代际传递。</w:t>
            </w:r>
          </w:p>
        </w:tc>
        <w:tc>
          <w:tcPr>
            <w:tcW w:w="3500" w:type="dxa"/>
            <w:gridSpan w:val="2"/>
            <w:tcBorders>
              <w:top w:val="single" w:color="000000" w:sz="4" w:space="0"/>
              <w:left w:val="single" w:color="000000" w:sz="4" w:space="0"/>
              <w:bottom w:val="single" w:color="000000" w:sz="4" w:space="0"/>
              <w:right w:val="single" w:color="000000" w:sz="4" w:space="0"/>
            </w:tcBorders>
            <w:shd w:val="clear" w:color="auto" w:fill="auto"/>
          </w:tcPr>
          <w:p w14:paraId="09B21DE7">
            <w:pPr>
              <w:keepNext w:val="0"/>
              <w:keepLines w:val="0"/>
              <w:widowControl/>
              <w:suppressLineNumbers w:val="0"/>
              <w:spacing w:before="0" w:beforeAutospacing="0" w:after="0" w:afterAutospacing="0" w:line="320" w:lineRule="exact"/>
              <w:ind w:left="0" w:right="0"/>
              <w:jc w:val="left"/>
              <w:textAlignment w:val="top"/>
              <w:rPr>
                <w:rFonts w:hint="eastAsia" w:ascii="宋体" w:hAnsi="宋体" w:eastAsia="宋体" w:cs="宋体"/>
                <w:sz w:val="24"/>
                <w:lang w:eastAsia="zh-CN"/>
              </w:rPr>
            </w:pPr>
            <w:r>
              <w:rPr>
                <w:rFonts w:hint="eastAsia" w:ascii="宋体" w:hAnsi="宋体" w:eastAsia="宋体" w:cs="宋体"/>
                <w:sz w:val="22"/>
                <w:szCs w:val="22"/>
                <w:lang w:eastAsia="zh-CN"/>
              </w:rPr>
              <w:t>项目涵盖</w:t>
            </w:r>
            <w:r>
              <w:rPr>
                <w:rFonts w:hint="eastAsia" w:ascii="宋体" w:hAnsi="宋体" w:cs="宋体"/>
                <w:sz w:val="22"/>
                <w:szCs w:val="22"/>
                <w:lang w:val="en-US" w:eastAsia="zh-CN"/>
              </w:rPr>
              <w:t>1</w:t>
            </w:r>
            <w:r>
              <w:rPr>
                <w:rFonts w:hint="eastAsia" w:ascii="宋体" w:hAnsi="宋体" w:eastAsia="宋体" w:cs="宋体"/>
                <w:sz w:val="22"/>
                <w:szCs w:val="22"/>
                <w:lang w:eastAsia="zh-CN"/>
              </w:rPr>
              <w:t>所学校，惠及</w:t>
            </w:r>
            <w:r>
              <w:rPr>
                <w:rFonts w:hint="eastAsia" w:ascii="宋体" w:hAnsi="宋体" w:cs="宋体"/>
                <w:sz w:val="22"/>
                <w:szCs w:val="22"/>
                <w:lang w:val="en-US" w:eastAsia="zh-CN"/>
              </w:rPr>
              <w:t>368</w:t>
            </w:r>
            <w:r>
              <w:rPr>
                <w:rFonts w:hint="eastAsia" w:ascii="宋体" w:hAnsi="宋体" w:eastAsia="宋体" w:cs="宋体"/>
                <w:sz w:val="22"/>
                <w:szCs w:val="22"/>
                <w:lang w:eastAsia="zh-CN"/>
              </w:rPr>
              <w:t>名学生。提义务教育巩固率，保障群众受教育权利，加快缩小与其他地区教育差距。</w:t>
            </w:r>
          </w:p>
        </w:tc>
      </w:tr>
      <w:tr w14:paraId="14CBFE08">
        <w:tblPrEx>
          <w:tblCellMar>
            <w:top w:w="0" w:type="dxa"/>
            <w:left w:w="108" w:type="dxa"/>
            <w:bottom w:w="0" w:type="dxa"/>
            <w:right w:w="108" w:type="dxa"/>
          </w:tblCellMar>
        </w:tblPrEx>
        <w:trPr>
          <w:gridAfter w:val="1"/>
          <w:wAfter w:w="236" w:type="dxa"/>
          <w:trHeight w:val="823" w:hRule="atLeast"/>
        </w:trPr>
        <w:tc>
          <w:tcPr>
            <w:tcW w:w="1113" w:type="dxa"/>
            <w:vMerge w:val="restart"/>
            <w:tcBorders>
              <w:top w:val="single" w:color="000000" w:sz="4" w:space="0"/>
              <w:left w:val="single" w:color="000000" w:sz="4" w:space="0"/>
              <w:right w:val="single" w:color="000000" w:sz="4" w:space="0"/>
            </w:tcBorders>
            <w:shd w:val="clear" w:color="auto" w:fill="auto"/>
            <w:vAlign w:val="center"/>
          </w:tcPr>
          <w:p w14:paraId="19F325A8">
            <w:pPr>
              <w:keepNext w:val="0"/>
              <w:keepLines w:val="0"/>
              <w:widowControl/>
              <w:suppressLineNumbers w:val="0"/>
              <w:spacing w:before="0" w:beforeAutospacing="0" w:after="0" w:afterAutospacing="0" w:line="320" w:lineRule="exact"/>
              <w:ind w:left="0" w:right="0"/>
              <w:jc w:val="center"/>
              <w:textAlignment w:val="center"/>
              <w:rPr>
                <w:rFonts w:hint="default" w:ascii="仿宋_GB2312" w:hAnsi="仿宋_GB2312" w:eastAsia="仿宋_GB2312" w:cs="仿宋_GB2312"/>
                <w:sz w:val="28"/>
                <w:szCs w:val="28"/>
              </w:rPr>
            </w:pPr>
            <w:r>
              <w:rPr>
                <w:rFonts w:hint="eastAsia" w:ascii="仿宋_GB2312" w:hAnsi="仿宋_GB2312" w:eastAsia="仿宋_GB2312" w:cs="仿宋_GB2312"/>
                <w:kern w:val="0"/>
                <w:sz w:val="28"/>
                <w:szCs w:val="28"/>
              </w:rPr>
              <w:t>年度绩效指标完成情况</w:t>
            </w:r>
          </w:p>
        </w:tc>
        <w:tc>
          <w:tcPr>
            <w:tcW w:w="1005" w:type="dxa"/>
            <w:tcBorders>
              <w:top w:val="single" w:color="000000" w:sz="4" w:space="0"/>
              <w:left w:val="nil"/>
              <w:bottom w:val="single" w:color="000000" w:sz="4" w:space="0"/>
              <w:right w:val="single" w:color="000000" w:sz="4" w:space="0"/>
            </w:tcBorders>
            <w:shd w:val="clear" w:color="auto" w:fill="auto"/>
            <w:vAlign w:val="center"/>
          </w:tcPr>
          <w:p w14:paraId="5225F10F">
            <w:pPr>
              <w:keepNext w:val="0"/>
              <w:keepLines w:val="0"/>
              <w:widowControl/>
              <w:suppressLineNumbers w:val="0"/>
              <w:spacing w:before="0" w:beforeAutospacing="0" w:after="0" w:afterAutospacing="0" w:line="320" w:lineRule="exact"/>
              <w:ind w:left="0" w:right="0"/>
              <w:jc w:val="center"/>
              <w:textAlignment w:val="center"/>
              <w:rPr>
                <w:rFonts w:hint="default"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一级</w:t>
            </w:r>
          </w:p>
          <w:p w14:paraId="52950D8B">
            <w:pPr>
              <w:keepNext w:val="0"/>
              <w:keepLines w:val="0"/>
              <w:widowControl/>
              <w:suppressLineNumbers w:val="0"/>
              <w:spacing w:before="0" w:beforeAutospacing="0" w:after="0" w:afterAutospacing="0" w:line="320" w:lineRule="exact"/>
              <w:ind w:left="0" w:right="0"/>
              <w:jc w:val="center"/>
              <w:textAlignment w:val="center"/>
              <w:rPr>
                <w:rFonts w:hint="default"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FA4C6">
            <w:pPr>
              <w:keepNext w:val="0"/>
              <w:keepLines w:val="0"/>
              <w:widowControl/>
              <w:suppressLineNumbers w:val="0"/>
              <w:spacing w:before="0" w:beforeAutospacing="0" w:after="0" w:afterAutospacing="0" w:line="320" w:lineRule="exact"/>
              <w:ind w:left="0" w:right="0"/>
              <w:jc w:val="center"/>
              <w:textAlignment w:val="center"/>
              <w:rPr>
                <w:rFonts w:hint="default"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二级</w:t>
            </w:r>
          </w:p>
          <w:p w14:paraId="013D4AE4">
            <w:pPr>
              <w:keepNext w:val="0"/>
              <w:keepLines w:val="0"/>
              <w:widowControl/>
              <w:suppressLineNumbers w:val="0"/>
              <w:spacing w:before="0" w:beforeAutospacing="0" w:after="0" w:afterAutospacing="0" w:line="320" w:lineRule="exact"/>
              <w:ind w:left="0" w:right="0"/>
              <w:jc w:val="center"/>
              <w:textAlignment w:val="center"/>
              <w:rPr>
                <w:rFonts w:hint="default"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521E6">
            <w:pPr>
              <w:keepNext w:val="0"/>
              <w:keepLines w:val="0"/>
              <w:widowControl/>
              <w:suppressLineNumbers w:val="0"/>
              <w:spacing w:before="0" w:beforeAutospacing="0" w:after="0" w:afterAutospacing="0" w:line="320" w:lineRule="exact"/>
              <w:ind w:left="0" w:right="0"/>
              <w:jc w:val="center"/>
              <w:textAlignment w:val="center"/>
              <w:rPr>
                <w:rFonts w:hint="default"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三级</w:t>
            </w:r>
          </w:p>
          <w:p w14:paraId="4F448299">
            <w:pPr>
              <w:keepNext w:val="0"/>
              <w:keepLines w:val="0"/>
              <w:widowControl/>
              <w:suppressLineNumbers w:val="0"/>
              <w:spacing w:before="0" w:beforeAutospacing="0" w:after="0" w:afterAutospacing="0" w:line="320" w:lineRule="exact"/>
              <w:ind w:left="0" w:right="0"/>
              <w:jc w:val="center"/>
              <w:textAlignment w:val="center"/>
              <w:rPr>
                <w:rFonts w:hint="default"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3B4D4">
            <w:pPr>
              <w:keepNext w:val="0"/>
              <w:keepLines w:val="0"/>
              <w:widowControl/>
              <w:suppressLineNumbers w:val="0"/>
              <w:spacing w:before="0" w:beforeAutospacing="0" w:after="0" w:afterAutospacing="0" w:line="320" w:lineRule="exact"/>
              <w:ind w:left="0" w:right="0"/>
              <w:jc w:val="center"/>
              <w:textAlignment w:val="center"/>
              <w:rPr>
                <w:rFonts w:hint="default" w:ascii="仿宋_GB2312" w:hAnsi="仿宋_GB2312" w:eastAsia="仿宋_GB2312" w:cs="仿宋_GB2312"/>
                <w:sz w:val="28"/>
                <w:szCs w:val="28"/>
              </w:rPr>
            </w:pPr>
            <w:r>
              <w:rPr>
                <w:rFonts w:hint="eastAsia" w:ascii="仿宋_GB2312" w:hAnsi="仿宋_GB2312" w:eastAsia="仿宋_GB2312" w:cs="仿宋_GB2312"/>
                <w:kern w:val="0"/>
                <w:sz w:val="28"/>
                <w:szCs w:val="28"/>
              </w:rPr>
              <w:t>预期指标值</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6F416">
            <w:pPr>
              <w:keepNext w:val="0"/>
              <w:keepLines w:val="0"/>
              <w:widowControl/>
              <w:suppressLineNumbers w:val="0"/>
              <w:spacing w:before="0" w:beforeAutospacing="0" w:after="0" w:afterAutospacing="0" w:line="320" w:lineRule="exact"/>
              <w:ind w:left="0" w:right="0"/>
              <w:jc w:val="center"/>
              <w:textAlignment w:val="center"/>
              <w:rPr>
                <w:rFonts w:hint="default" w:ascii="仿宋_GB2312" w:hAnsi="仿宋_GB2312" w:eastAsia="仿宋_GB2312" w:cs="仿宋_GB2312"/>
                <w:sz w:val="28"/>
                <w:szCs w:val="28"/>
              </w:rPr>
            </w:pPr>
            <w:r>
              <w:rPr>
                <w:rFonts w:hint="eastAsia" w:ascii="仿宋_GB2312" w:hAnsi="仿宋_GB2312" w:eastAsia="仿宋_GB2312" w:cs="仿宋_GB2312"/>
                <w:kern w:val="0"/>
                <w:sz w:val="28"/>
                <w:szCs w:val="28"/>
              </w:rPr>
              <w:t>实际完成指标值</w:t>
            </w:r>
          </w:p>
        </w:tc>
      </w:tr>
      <w:tr w14:paraId="0D94DE9D">
        <w:tblPrEx>
          <w:tblCellMar>
            <w:top w:w="0" w:type="dxa"/>
            <w:left w:w="108" w:type="dxa"/>
            <w:bottom w:w="0" w:type="dxa"/>
            <w:right w:w="108" w:type="dxa"/>
          </w:tblCellMar>
        </w:tblPrEx>
        <w:trPr>
          <w:gridAfter w:val="1"/>
          <w:wAfter w:w="236" w:type="dxa"/>
          <w:trHeight w:val="321" w:hRule="atLeast"/>
        </w:trPr>
        <w:tc>
          <w:tcPr>
            <w:tcW w:w="1113" w:type="dxa"/>
            <w:vMerge w:val="continue"/>
            <w:tcBorders>
              <w:left w:val="single" w:color="000000" w:sz="4" w:space="0"/>
              <w:right w:val="single" w:color="000000" w:sz="4" w:space="0"/>
            </w:tcBorders>
            <w:shd w:val="clear" w:color="auto" w:fill="auto"/>
            <w:vAlign w:val="center"/>
          </w:tcPr>
          <w:p w14:paraId="43EFDECB">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CEAF85">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完成</w:t>
            </w:r>
          </w:p>
          <w:p w14:paraId="0A45F1EC">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215" w:type="dxa"/>
            <w:vMerge w:val="restart"/>
            <w:tcBorders>
              <w:top w:val="single" w:color="000000" w:sz="4" w:space="0"/>
              <w:left w:val="single" w:color="000000" w:sz="4" w:space="0"/>
              <w:right w:val="single" w:color="000000" w:sz="4" w:space="0"/>
            </w:tcBorders>
            <w:shd w:val="clear" w:color="auto" w:fill="auto"/>
            <w:vAlign w:val="center"/>
          </w:tcPr>
          <w:p w14:paraId="0D914398">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eastAsia" w:ascii="仿宋_GB2312" w:hAnsi="仿宋_GB2312" w:eastAsia="仿宋_GB2312" w:cs="仿宋_GB2312"/>
                <w:kern w:val="0"/>
                <w:sz w:val="20"/>
                <w:szCs w:val="20"/>
              </w:rPr>
              <w:t>数量指标</w:t>
            </w: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EDD50">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项目涵盖学校</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25AAC">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1所</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6129F">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1所</w:t>
            </w:r>
          </w:p>
        </w:tc>
      </w:tr>
      <w:tr w14:paraId="1E18154E">
        <w:tblPrEx>
          <w:tblCellMar>
            <w:top w:w="0" w:type="dxa"/>
            <w:left w:w="108" w:type="dxa"/>
            <w:bottom w:w="0" w:type="dxa"/>
            <w:right w:w="108" w:type="dxa"/>
          </w:tblCellMar>
        </w:tblPrEx>
        <w:trPr>
          <w:gridAfter w:val="1"/>
          <w:wAfter w:w="236" w:type="dxa"/>
          <w:trHeight w:val="301" w:hRule="atLeast"/>
        </w:trPr>
        <w:tc>
          <w:tcPr>
            <w:tcW w:w="1113" w:type="dxa"/>
            <w:vMerge w:val="continue"/>
            <w:tcBorders>
              <w:left w:val="single" w:color="000000" w:sz="4" w:space="0"/>
              <w:right w:val="single" w:color="000000" w:sz="4" w:space="0"/>
            </w:tcBorders>
            <w:shd w:val="clear" w:color="auto" w:fill="auto"/>
            <w:vAlign w:val="center"/>
          </w:tcPr>
          <w:p w14:paraId="637E2587">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continue"/>
            <w:tcBorders>
              <w:left w:val="single" w:color="000000" w:sz="4" w:space="0"/>
              <w:right w:val="single" w:color="000000" w:sz="4" w:space="0"/>
            </w:tcBorders>
            <w:shd w:val="clear" w:color="auto" w:fill="auto"/>
            <w:vAlign w:val="center"/>
          </w:tcPr>
          <w:p w14:paraId="274F0867">
            <w:pPr>
              <w:keepNext w:val="0"/>
              <w:keepLines w:val="0"/>
              <w:widowControl/>
              <w:suppressLineNumbers w:val="0"/>
              <w:spacing w:before="0" w:beforeAutospacing="0" w:after="0" w:afterAutospacing="0" w:line="320" w:lineRule="exact"/>
              <w:ind w:left="0" w:right="0"/>
              <w:jc w:val="center"/>
              <w:textAlignment w:val="bottom"/>
              <w:rPr>
                <w:rFonts w:hint="eastAsia" w:ascii="仿宋_GB2312" w:hAnsi="仿宋_GB2312" w:eastAsia="仿宋_GB2312" w:cs="仿宋_GB2312"/>
                <w:kern w:val="0"/>
                <w:sz w:val="28"/>
                <w:szCs w:val="28"/>
              </w:rPr>
            </w:pPr>
          </w:p>
        </w:tc>
        <w:tc>
          <w:tcPr>
            <w:tcW w:w="1215" w:type="dxa"/>
            <w:vMerge w:val="continue"/>
            <w:tcBorders>
              <w:left w:val="single" w:color="000000" w:sz="4" w:space="0"/>
              <w:bottom w:val="single" w:color="000000" w:sz="4" w:space="0"/>
              <w:right w:val="single" w:color="000000" w:sz="4" w:space="0"/>
            </w:tcBorders>
            <w:shd w:val="clear" w:color="auto" w:fill="auto"/>
            <w:vAlign w:val="center"/>
          </w:tcPr>
          <w:p w14:paraId="334977D7">
            <w:pPr>
              <w:keepNext w:val="0"/>
              <w:keepLines w:val="0"/>
              <w:widowControl/>
              <w:suppressLineNumbers w:val="0"/>
              <w:spacing w:before="0" w:beforeAutospacing="0" w:after="0" w:afterAutospacing="0" w:line="320" w:lineRule="exact"/>
              <w:ind w:left="0" w:right="0"/>
              <w:jc w:val="center"/>
              <w:textAlignment w:val="bottom"/>
              <w:rPr>
                <w:rFonts w:hint="eastAsia" w:ascii="仿宋_GB2312" w:hAnsi="仿宋_GB2312" w:eastAsia="仿宋_GB2312" w:cs="仿宋_GB2312"/>
                <w:kern w:val="0"/>
                <w:sz w:val="20"/>
                <w:szCs w:val="20"/>
              </w:rPr>
            </w:pP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3DECD">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惠及学生人数</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27731">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368人</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37300">
            <w:pPr>
              <w:keepNext w:val="0"/>
              <w:keepLines w:val="0"/>
              <w:widowControl/>
              <w:suppressLineNumbers w:val="0"/>
              <w:spacing w:before="0" w:beforeAutospacing="0" w:after="0" w:afterAutospacing="0" w:line="320" w:lineRule="exact"/>
              <w:ind w:left="0" w:right="0"/>
              <w:jc w:val="center"/>
              <w:textAlignment w:val="bottom"/>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368人</w:t>
            </w:r>
          </w:p>
        </w:tc>
      </w:tr>
      <w:tr w14:paraId="1FC70DED">
        <w:tblPrEx>
          <w:tblCellMar>
            <w:top w:w="0" w:type="dxa"/>
            <w:left w:w="108" w:type="dxa"/>
            <w:bottom w:w="0" w:type="dxa"/>
            <w:right w:w="108" w:type="dxa"/>
          </w:tblCellMar>
        </w:tblPrEx>
        <w:trPr>
          <w:gridAfter w:val="1"/>
          <w:wAfter w:w="236" w:type="dxa"/>
          <w:trHeight w:val="645" w:hRule="atLeast"/>
        </w:trPr>
        <w:tc>
          <w:tcPr>
            <w:tcW w:w="1113" w:type="dxa"/>
            <w:vMerge w:val="continue"/>
            <w:tcBorders>
              <w:left w:val="single" w:color="000000" w:sz="4" w:space="0"/>
              <w:right w:val="single" w:color="000000" w:sz="4" w:space="0"/>
            </w:tcBorders>
            <w:shd w:val="clear" w:color="auto" w:fill="auto"/>
            <w:vAlign w:val="center"/>
          </w:tcPr>
          <w:p w14:paraId="047D751A">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70D30">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215" w:type="dxa"/>
            <w:vMerge w:val="restart"/>
            <w:tcBorders>
              <w:top w:val="single" w:color="000000" w:sz="4" w:space="0"/>
              <w:left w:val="single" w:color="000000" w:sz="4" w:space="0"/>
              <w:right w:val="single" w:color="000000" w:sz="4" w:space="0"/>
            </w:tcBorders>
            <w:shd w:val="clear" w:color="auto" w:fill="auto"/>
            <w:vAlign w:val="center"/>
          </w:tcPr>
          <w:p w14:paraId="016E7EB1">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eastAsia" w:ascii="仿宋_GB2312" w:hAnsi="仿宋_GB2312" w:eastAsia="仿宋_GB2312" w:cs="仿宋_GB2312"/>
                <w:kern w:val="0"/>
                <w:sz w:val="20"/>
                <w:szCs w:val="20"/>
              </w:rPr>
              <w:t>质量指标</w:t>
            </w: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14364">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eastAsia" w:ascii="仿宋_GB2312" w:hAnsi="仿宋_GB2312" w:eastAsia="仿宋_GB2312" w:cs="仿宋_GB2312"/>
                <w:sz w:val="20"/>
                <w:szCs w:val="20"/>
                <w:lang w:eastAsia="zh-CN"/>
              </w:rPr>
              <w:t>审计、督查、巡视等指出问题项目比例</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B6B4E">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≤1%</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1253C">
            <w:pPr>
              <w:keepNext w:val="0"/>
              <w:keepLines w:val="0"/>
              <w:widowControl/>
              <w:suppressLineNumbers w:val="0"/>
              <w:spacing w:before="0" w:beforeAutospacing="0" w:after="0" w:afterAutospacing="0" w:line="320" w:lineRule="exact"/>
              <w:ind w:left="0" w:leftChars="0" w:right="0" w:rightChars="0"/>
              <w:jc w:val="center"/>
              <w:textAlignment w:val="bottom"/>
              <w:rPr>
                <w:rFonts w:hint="default" w:ascii="仿宋_GB2312" w:hAnsi="仿宋_GB2312" w:eastAsia="仿宋_GB2312" w:cs="仿宋_GB2312"/>
                <w:kern w:val="2"/>
                <w:sz w:val="20"/>
                <w:szCs w:val="20"/>
                <w:lang w:val="en-US" w:eastAsia="zh-CN" w:bidi="ar-SA"/>
              </w:rPr>
            </w:pPr>
            <w:r>
              <w:rPr>
                <w:rFonts w:hint="eastAsia" w:ascii="仿宋_GB2312" w:hAnsi="仿宋_GB2312" w:eastAsia="仿宋_GB2312" w:cs="仿宋_GB2312"/>
                <w:sz w:val="20"/>
                <w:szCs w:val="20"/>
                <w:lang w:val="en-US" w:eastAsia="zh-CN"/>
              </w:rPr>
              <w:t>0%</w:t>
            </w:r>
          </w:p>
        </w:tc>
      </w:tr>
      <w:tr w14:paraId="3BBEC21F">
        <w:tblPrEx>
          <w:tblCellMar>
            <w:top w:w="0" w:type="dxa"/>
            <w:left w:w="108" w:type="dxa"/>
            <w:bottom w:w="0" w:type="dxa"/>
            <w:right w:w="108" w:type="dxa"/>
          </w:tblCellMar>
        </w:tblPrEx>
        <w:trPr>
          <w:gridAfter w:val="1"/>
          <w:wAfter w:w="236" w:type="dxa"/>
          <w:trHeight w:val="366" w:hRule="atLeast"/>
        </w:trPr>
        <w:tc>
          <w:tcPr>
            <w:tcW w:w="1113" w:type="dxa"/>
            <w:vMerge w:val="continue"/>
            <w:tcBorders>
              <w:left w:val="single" w:color="000000" w:sz="4" w:space="0"/>
              <w:right w:val="single" w:color="000000" w:sz="4" w:space="0"/>
            </w:tcBorders>
            <w:shd w:val="clear" w:color="auto" w:fill="auto"/>
            <w:vAlign w:val="center"/>
          </w:tcPr>
          <w:p w14:paraId="5C04D949">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95BB1">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215" w:type="dxa"/>
            <w:vMerge w:val="continue"/>
            <w:tcBorders>
              <w:left w:val="single" w:color="000000" w:sz="4" w:space="0"/>
              <w:right w:val="single" w:color="000000" w:sz="4" w:space="0"/>
            </w:tcBorders>
            <w:shd w:val="clear" w:color="auto" w:fill="auto"/>
            <w:vAlign w:val="center"/>
          </w:tcPr>
          <w:p w14:paraId="13781F6C">
            <w:pPr>
              <w:keepNext w:val="0"/>
              <w:keepLines w:val="0"/>
              <w:widowControl/>
              <w:suppressLineNumbers w:val="0"/>
              <w:spacing w:before="0" w:beforeAutospacing="0" w:after="0" w:afterAutospacing="0" w:line="320" w:lineRule="exact"/>
              <w:ind w:left="0" w:right="0"/>
              <w:jc w:val="center"/>
              <w:textAlignment w:val="bottom"/>
              <w:rPr>
                <w:rFonts w:hint="eastAsia" w:ascii="仿宋_GB2312" w:hAnsi="仿宋_GB2312" w:eastAsia="仿宋_GB2312" w:cs="仿宋_GB2312"/>
                <w:kern w:val="0"/>
                <w:sz w:val="20"/>
                <w:szCs w:val="20"/>
              </w:rPr>
            </w:pP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227AA">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项目工程质量合格率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81130">
            <w:pPr>
              <w:keepNext w:val="0"/>
              <w:keepLines w:val="0"/>
              <w:widowControl/>
              <w:suppressLineNumbers w:val="0"/>
              <w:spacing w:before="0" w:beforeAutospacing="0" w:after="0" w:afterAutospacing="0" w:line="320" w:lineRule="exact"/>
              <w:ind w:left="0" w:leftChars="0" w:right="0" w:rightChars="0"/>
              <w:jc w:val="center"/>
              <w:textAlignment w:val="bottom"/>
              <w:rPr>
                <w:rFonts w:hint="default" w:ascii="仿宋_GB2312" w:hAnsi="仿宋_GB2312" w:eastAsia="仿宋_GB2312" w:cs="仿宋_GB2312"/>
                <w:kern w:val="2"/>
                <w:sz w:val="20"/>
                <w:szCs w:val="20"/>
                <w:lang w:val="en-US" w:eastAsia="zh-CN" w:bidi="ar-SA"/>
              </w:rPr>
            </w:pPr>
            <w:r>
              <w:rPr>
                <w:rFonts w:hint="default" w:ascii="仿宋_GB2312" w:hAnsi="仿宋_GB2312" w:eastAsia="仿宋_GB2312" w:cs="仿宋_GB2312"/>
                <w:sz w:val="20"/>
                <w:szCs w:val="20"/>
              </w:rPr>
              <w:t>100%</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2809B">
            <w:pPr>
              <w:keepNext w:val="0"/>
              <w:keepLines w:val="0"/>
              <w:widowControl/>
              <w:suppressLineNumbers w:val="0"/>
              <w:spacing w:before="0" w:beforeAutospacing="0" w:after="0" w:afterAutospacing="0" w:line="320" w:lineRule="exact"/>
              <w:ind w:left="0" w:leftChars="0" w:right="0" w:rightChars="0"/>
              <w:jc w:val="center"/>
              <w:textAlignment w:val="bottom"/>
              <w:rPr>
                <w:rFonts w:hint="default" w:ascii="仿宋_GB2312" w:hAnsi="仿宋_GB2312" w:eastAsia="仿宋_GB2312" w:cs="仿宋_GB2312"/>
                <w:kern w:val="2"/>
                <w:sz w:val="20"/>
                <w:szCs w:val="20"/>
                <w:lang w:val="en-US" w:eastAsia="zh-CN" w:bidi="ar-SA"/>
              </w:rPr>
            </w:pPr>
            <w:r>
              <w:rPr>
                <w:rFonts w:hint="default" w:ascii="仿宋_GB2312" w:hAnsi="仿宋_GB2312" w:eastAsia="仿宋_GB2312" w:cs="仿宋_GB2312"/>
                <w:sz w:val="20"/>
                <w:szCs w:val="20"/>
              </w:rPr>
              <w:t>100%</w:t>
            </w:r>
          </w:p>
        </w:tc>
      </w:tr>
      <w:tr w14:paraId="075EF25B">
        <w:tblPrEx>
          <w:tblCellMar>
            <w:top w:w="0" w:type="dxa"/>
            <w:left w:w="108" w:type="dxa"/>
            <w:bottom w:w="0" w:type="dxa"/>
            <w:right w:w="108" w:type="dxa"/>
          </w:tblCellMar>
        </w:tblPrEx>
        <w:trPr>
          <w:gridAfter w:val="1"/>
          <w:wAfter w:w="236" w:type="dxa"/>
          <w:trHeight w:val="431" w:hRule="atLeast"/>
        </w:trPr>
        <w:tc>
          <w:tcPr>
            <w:tcW w:w="1113" w:type="dxa"/>
            <w:vMerge w:val="continue"/>
            <w:tcBorders>
              <w:left w:val="single" w:color="000000" w:sz="4" w:space="0"/>
              <w:right w:val="single" w:color="000000" w:sz="4" w:space="0"/>
            </w:tcBorders>
            <w:shd w:val="clear" w:color="auto" w:fill="auto"/>
            <w:vAlign w:val="center"/>
          </w:tcPr>
          <w:p w14:paraId="2F6222EF">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60B36B">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215" w:type="dxa"/>
            <w:vMerge w:val="restart"/>
            <w:tcBorders>
              <w:top w:val="single" w:color="000000" w:sz="4" w:space="0"/>
              <w:left w:val="single" w:color="000000" w:sz="4" w:space="0"/>
              <w:right w:val="single" w:color="000000" w:sz="4" w:space="0"/>
            </w:tcBorders>
            <w:shd w:val="clear" w:color="auto" w:fill="auto"/>
            <w:vAlign w:val="center"/>
          </w:tcPr>
          <w:p w14:paraId="025B9477">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eastAsia" w:ascii="仿宋_GB2312" w:hAnsi="仿宋_GB2312" w:eastAsia="仿宋_GB2312" w:cs="仿宋_GB2312"/>
                <w:kern w:val="0"/>
                <w:sz w:val="20"/>
                <w:szCs w:val="20"/>
              </w:rPr>
              <w:t>时效指标</w:t>
            </w: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EC054">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eastAsia" w:ascii="仿宋_GB2312" w:hAnsi="仿宋_GB2312" w:eastAsia="仿宋_GB2312" w:cs="仿宋_GB2312"/>
                <w:sz w:val="20"/>
                <w:szCs w:val="20"/>
                <w:lang w:eastAsia="zh-CN"/>
              </w:rPr>
              <w:t>“两个责任”按项目落实到位率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18144">
            <w:pPr>
              <w:keepNext w:val="0"/>
              <w:keepLines w:val="0"/>
              <w:widowControl/>
              <w:suppressLineNumbers w:val="0"/>
              <w:spacing w:before="0" w:beforeAutospacing="0" w:after="0" w:afterAutospacing="0" w:line="320" w:lineRule="exact"/>
              <w:ind w:left="0" w:leftChars="0" w:right="0" w:rightChars="0"/>
              <w:jc w:val="center"/>
              <w:textAlignment w:val="bottom"/>
              <w:rPr>
                <w:rFonts w:hint="eastAsia" w:ascii="仿宋_GB2312" w:hAnsi="仿宋_GB2312" w:eastAsia="仿宋_GB2312" w:cs="仿宋_GB2312"/>
                <w:sz w:val="20"/>
                <w:szCs w:val="20"/>
                <w:lang w:val="en-US" w:eastAsia="zh-CN"/>
              </w:rPr>
            </w:pPr>
            <w:r>
              <w:rPr>
                <w:rFonts w:hint="default" w:ascii="仿宋_GB2312" w:hAnsi="仿宋_GB2312" w:eastAsia="仿宋_GB2312" w:cs="仿宋_GB2312"/>
                <w:sz w:val="20"/>
                <w:szCs w:val="20"/>
              </w:rPr>
              <w:t>100%</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8352A">
            <w:pPr>
              <w:keepNext w:val="0"/>
              <w:keepLines w:val="0"/>
              <w:widowControl/>
              <w:suppressLineNumbers w:val="0"/>
              <w:spacing w:before="0" w:beforeAutospacing="0" w:after="0" w:afterAutospacing="0" w:line="320" w:lineRule="exact"/>
              <w:ind w:left="0" w:leftChars="0" w:right="0" w:rightChars="0"/>
              <w:jc w:val="center"/>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100%</w:t>
            </w:r>
          </w:p>
        </w:tc>
      </w:tr>
      <w:tr w14:paraId="68C56C32">
        <w:tblPrEx>
          <w:tblCellMar>
            <w:top w:w="0" w:type="dxa"/>
            <w:left w:w="108" w:type="dxa"/>
            <w:bottom w:w="0" w:type="dxa"/>
            <w:right w:w="108" w:type="dxa"/>
          </w:tblCellMar>
        </w:tblPrEx>
        <w:trPr>
          <w:gridAfter w:val="1"/>
          <w:wAfter w:w="236" w:type="dxa"/>
          <w:trHeight w:val="401" w:hRule="atLeast"/>
        </w:trPr>
        <w:tc>
          <w:tcPr>
            <w:tcW w:w="1113" w:type="dxa"/>
            <w:vMerge w:val="continue"/>
            <w:tcBorders>
              <w:left w:val="single" w:color="000000" w:sz="4" w:space="0"/>
              <w:right w:val="single" w:color="000000" w:sz="4" w:space="0"/>
            </w:tcBorders>
            <w:shd w:val="clear" w:color="auto" w:fill="auto"/>
            <w:vAlign w:val="center"/>
          </w:tcPr>
          <w:p w14:paraId="752FCDDA">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688677">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215" w:type="dxa"/>
            <w:vMerge w:val="continue"/>
            <w:tcBorders>
              <w:left w:val="single" w:color="000000" w:sz="4" w:space="0"/>
              <w:bottom w:val="single" w:color="000000" w:sz="4" w:space="0"/>
              <w:right w:val="single" w:color="000000" w:sz="4" w:space="0"/>
            </w:tcBorders>
            <w:shd w:val="clear" w:color="auto" w:fill="auto"/>
            <w:vAlign w:val="center"/>
          </w:tcPr>
          <w:p w14:paraId="21E24A22">
            <w:pPr>
              <w:keepNext w:val="0"/>
              <w:keepLines w:val="0"/>
              <w:widowControl/>
              <w:suppressLineNumbers w:val="0"/>
              <w:spacing w:before="0" w:beforeAutospacing="0" w:after="0" w:afterAutospacing="0" w:line="320" w:lineRule="exact"/>
              <w:ind w:left="0" w:right="0"/>
              <w:jc w:val="center"/>
              <w:textAlignment w:val="bottom"/>
              <w:rPr>
                <w:rFonts w:hint="eastAsia" w:ascii="仿宋_GB2312" w:hAnsi="仿宋_GB2312" w:eastAsia="仿宋_GB2312" w:cs="仿宋_GB2312"/>
                <w:kern w:val="0"/>
                <w:sz w:val="20"/>
                <w:szCs w:val="20"/>
              </w:rPr>
            </w:pP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8BB47">
            <w:pPr>
              <w:keepNext w:val="0"/>
              <w:keepLines w:val="0"/>
              <w:widowControl/>
              <w:suppressLineNumbers w:val="0"/>
              <w:spacing w:before="0" w:beforeAutospacing="0" w:after="0" w:afterAutospacing="0" w:line="320" w:lineRule="exact"/>
              <w:ind w:left="0" w:right="0"/>
              <w:jc w:val="left"/>
              <w:textAlignment w:val="bottom"/>
              <w:rPr>
                <w:rFonts w:hint="eastAsia" w:ascii="仿宋_GB2312" w:hAnsi="仿宋_GB2312" w:eastAsia="仿宋_GB2312" w:cs="仿宋_GB2312"/>
                <w:sz w:val="20"/>
                <w:szCs w:val="20"/>
                <w:lang w:eastAsia="zh-CN"/>
              </w:rPr>
            </w:pPr>
            <w:r>
              <w:rPr>
                <w:rFonts w:hint="eastAsia" w:ascii="仿宋_GB2312" w:hAnsi="仿宋_GB2312" w:eastAsia="仿宋_GB2312" w:cs="仿宋_GB2312"/>
                <w:sz w:val="20"/>
                <w:szCs w:val="20"/>
                <w:lang w:eastAsia="zh-CN"/>
              </w:rPr>
              <w:t>项目开工率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4B751">
            <w:pPr>
              <w:keepNext w:val="0"/>
              <w:keepLines w:val="0"/>
              <w:widowControl/>
              <w:suppressLineNumbers w:val="0"/>
              <w:spacing w:before="0" w:beforeAutospacing="0" w:after="0" w:afterAutospacing="0" w:line="320" w:lineRule="exact"/>
              <w:ind w:left="0" w:leftChars="0" w:right="0" w:rightChars="0"/>
              <w:jc w:val="center"/>
              <w:textAlignment w:val="bottom"/>
              <w:rPr>
                <w:rFonts w:hint="default" w:ascii="仿宋_GB2312" w:hAnsi="仿宋_GB2312" w:eastAsia="仿宋_GB2312" w:cs="仿宋_GB2312"/>
                <w:sz w:val="20"/>
                <w:szCs w:val="20"/>
                <w:lang w:val="en-US" w:eastAsia="zh-CN"/>
              </w:rPr>
            </w:pPr>
            <w:r>
              <w:rPr>
                <w:rFonts w:hint="default" w:ascii="仿宋_GB2312" w:hAnsi="仿宋_GB2312" w:eastAsia="仿宋_GB2312" w:cs="仿宋_GB2312"/>
                <w:sz w:val="20"/>
                <w:szCs w:val="20"/>
              </w:rPr>
              <w:t>100%</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FE667">
            <w:pPr>
              <w:keepNext w:val="0"/>
              <w:keepLines w:val="0"/>
              <w:widowControl/>
              <w:suppressLineNumbers w:val="0"/>
              <w:spacing w:before="0" w:beforeAutospacing="0" w:after="0" w:afterAutospacing="0" w:line="320" w:lineRule="exact"/>
              <w:ind w:left="0" w:leftChars="0" w:right="0" w:rightChars="0"/>
              <w:jc w:val="center"/>
              <w:textAlignment w:val="bottom"/>
              <w:rPr>
                <w:rFonts w:hint="eastAsia" w:ascii="仿宋_GB2312" w:hAnsi="仿宋_GB2312" w:eastAsia="仿宋_GB2312" w:cs="仿宋_GB2312"/>
                <w:sz w:val="20"/>
                <w:szCs w:val="20"/>
                <w:lang w:val="en-US" w:eastAsia="zh-CN"/>
              </w:rPr>
            </w:pPr>
            <w:r>
              <w:rPr>
                <w:rFonts w:hint="default" w:ascii="仿宋_GB2312" w:hAnsi="仿宋_GB2312" w:eastAsia="仿宋_GB2312" w:cs="仿宋_GB2312"/>
                <w:sz w:val="20"/>
                <w:szCs w:val="20"/>
              </w:rPr>
              <w:t>100%</w:t>
            </w:r>
          </w:p>
        </w:tc>
      </w:tr>
      <w:tr w14:paraId="71D8CEC6">
        <w:tblPrEx>
          <w:tblCellMar>
            <w:top w:w="0" w:type="dxa"/>
            <w:left w:w="108" w:type="dxa"/>
            <w:bottom w:w="0" w:type="dxa"/>
            <w:right w:w="108" w:type="dxa"/>
          </w:tblCellMar>
        </w:tblPrEx>
        <w:trPr>
          <w:gridAfter w:val="1"/>
          <w:wAfter w:w="236" w:type="dxa"/>
          <w:trHeight w:val="751" w:hRule="atLeast"/>
        </w:trPr>
        <w:tc>
          <w:tcPr>
            <w:tcW w:w="1113" w:type="dxa"/>
            <w:vMerge w:val="continue"/>
            <w:tcBorders>
              <w:left w:val="single" w:color="000000" w:sz="4" w:space="0"/>
              <w:right w:val="single" w:color="000000" w:sz="4" w:space="0"/>
            </w:tcBorders>
            <w:shd w:val="clear" w:color="auto" w:fill="auto"/>
            <w:vAlign w:val="center"/>
          </w:tcPr>
          <w:p w14:paraId="3E6BBB91">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C56509">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215" w:type="dxa"/>
            <w:tcBorders>
              <w:top w:val="single" w:color="000000" w:sz="4" w:space="0"/>
              <w:left w:val="single" w:color="000000" w:sz="4" w:space="0"/>
              <w:bottom w:val="single" w:color="auto" w:sz="4" w:space="0"/>
              <w:right w:val="single" w:color="000000" w:sz="4" w:space="0"/>
            </w:tcBorders>
            <w:shd w:val="clear" w:color="auto" w:fill="auto"/>
            <w:vAlign w:val="center"/>
          </w:tcPr>
          <w:p w14:paraId="64F4C9DA">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eastAsia" w:ascii="仿宋_GB2312" w:hAnsi="仿宋_GB2312" w:eastAsia="仿宋_GB2312" w:cs="仿宋_GB2312"/>
                <w:kern w:val="0"/>
                <w:sz w:val="20"/>
                <w:szCs w:val="20"/>
              </w:rPr>
              <w:t>成本指标</w:t>
            </w: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C9DF1">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超规模、超标准、超概算项目比例</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B7DC8">
            <w:pPr>
              <w:keepNext w:val="0"/>
              <w:keepLines w:val="0"/>
              <w:widowControl/>
              <w:suppressLineNumbers w:val="0"/>
              <w:spacing w:before="0" w:beforeAutospacing="0" w:after="0" w:afterAutospacing="0" w:line="320" w:lineRule="exact"/>
              <w:ind w:left="0" w:leftChars="0" w:right="0" w:rightChars="0"/>
              <w:jc w:val="center"/>
              <w:textAlignment w:val="bottom"/>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≤5%</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12231">
            <w:pPr>
              <w:keepNext w:val="0"/>
              <w:keepLines w:val="0"/>
              <w:widowControl/>
              <w:suppressLineNumbers w:val="0"/>
              <w:spacing w:before="0" w:beforeAutospacing="0" w:after="0" w:afterAutospacing="0" w:line="320" w:lineRule="exact"/>
              <w:ind w:left="0" w:leftChars="0" w:right="0" w:rightChars="0"/>
              <w:jc w:val="center"/>
              <w:textAlignment w:val="bottom"/>
              <w:rPr>
                <w:rFonts w:hint="default" w:ascii="仿宋_GB2312" w:hAnsi="仿宋_GB2312" w:eastAsia="仿宋_GB2312" w:cs="仿宋_GB2312"/>
                <w:sz w:val="20"/>
                <w:szCs w:val="20"/>
                <w:lang w:val="en-US"/>
              </w:rPr>
            </w:pPr>
            <w:r>
              <w:rPr>
                <w:rFonts w:hint="eastAsia" w:ascii="仿宋_GB2312" w:hAnsi="仿宋_GB2312" w:eastAsia="仿宋_GB2312" w:cs="仿宋_GB2312"/>
                <w:sz w:val="20"/>
                <w:szCs w:val="20"/>
                <w:lang w:val="en-US" w:eastAsia="zh-CN"/>
              </w:rPr>
              <w:t>0%</w:t>
            </w:r>
          </w:p>
        </w:tc>
      </w:tr>
      <w:tr w14:paraId="2EB30EA6">
        <w:tblPrEx>
          <w:tblCellMar>
            <w:top w:w="0" w:type="dxa"/>
            <w:left w:w="108" w:type="dxa"/>
            <w:bottom w:w="0" w:type="dxa"/>
            <w:right w:w="108" w:type="dxa"/>
          </w:tblCellMar>
        </w:tblPrEx>
        <w:trPr>
          <w:gridAfter w:val="1"/>
          <w:wAfter w:w="236" w:type="dxa"/>
          <w:trHeight w:val="526" w:hRule="atLeast"/>
        </w:trPr>
        <w:tc>
          <w:tcPr>
            <w:tcW w:w="1113" w:type="dxa"/>
            <w:vMerge w:val="continue"/>
            <w:tcBorders>
              <w:left w:val="single" w:color="000000" w:sz="4" w:space="0"/>
              <w:right w:val="single" w:color="000000" w:sz="4" w:space="0"/>
            </w:tcBorders>
            <w:shd w:val="clear" w:color="auto" w:fill="auto"/>
            <w:vAlign w:val="center"/>
          </w:tcPr>
          <w:p w14:paraId="5E9E622E">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restart"/>
            <w:tcBorders>
              <w:top w:val="single" w:color="000000" w:sz="4" w:space="0"/>
              <w:left w:val="single" w:color="000000" w:sz="4" w:space="0"/>
              <w:right w:val="single" w:color="auto" w:sz="4" w:space="0"/>
            </w:tcBorders>
            <w:shd w:val="clear" w:color="auto" w:fill="auto"/>
            <w:vAlign w:val="center"/>
          </w:tcPr>
          <w:p w14:paraId="25839D9C">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效益</w:t>
            </w:r>
          </w:p>
          <w:p w14:paraId="3F11D79C">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215" w:type="dxa"/>
            <w:tcBorders>
              <w:top w:val="single" w:color="auto" w:sz="4" w:space="0"/>
              <w:left w:val="single" w:color="auto" w:sz="4" w:space="0"/>
              <w:bottom w:val="single" w:color="auto" w:sz="4" w:space="0"/>
              <w:right w:val="single" w:color="auto" w:sz="4" w:space="0"/>
            </w:tcBorders>
            <w:shd w:val="clear" w:color="auto" w:fill="auto"/>
            <w:vAlign w:val="center"/>
          </w:tcPr>
          <w:p w14:paraId="78438FA2">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eastAsia" w:ascii="仿宋_GB2312" w:hAnsi="仿宋_GB2312" w:eastAsia="仿宋_GB2312" w:cs="仿宋_GB2312"/>
                <w:sz w:val="20"/>
                <w:szCs w:val="20"/>
                <w:lang w:eastAsia="zh-CN"/>
              </w:rPr>
              <w:t>经济</w:t>
            </w:r>
            <w:r>
              <w:rPr>
                <w:rFonts w:hint="eastAsia" w:ascii="仿宋_GB2312" w:hAnsi="仿宋_GB2312" w:eastAsia="仿宋_GB2312" w:cs="仿宋_GB2312"/>
                <w:sz w:val="20"/>
                <w:szCs w:val="20"/>
              </w:rPr>
              <w:t>效益  指标</w:t>
            </w:r>
          </w:p>
        </w:tc>
        <w:tc>
          <w:tcPr>
            <w:tcW w:w="2385" w:type="dxa"/>
            <w:tcBorders>
              <w:top w:val="single" w:color="000000" w:sz="4" w:space="0"/>
              <w:left w:val="single" w:color="auto" w:sz="4" w:space="0"/>
              <w:bottom w:val="single" w:color="000000" w:sz="4" w:space="0"/>
              <w:right w:val="single" w:color="000000" w:sz="4" w:space="0"/>
            </w:tcBorders>
            <w:shd w:val="clear" w:color="auto" w:fill="auto"/>
            <w:vAlign w:val="center"/>
          </w:tcPr>
          <w:p w14:paraId="71B9733E">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eastAsia" w:ascii="仿宋_GB2312" w:hAnsi="仿宋_GB2312" w:eastAsia="仿宋_GB2312" w:cs="仿宋_GB2312"/>
                <w:sz w:val="20"/>
                <w:szCs w:val="20"/>
              </w:rPr>
              <w:t>带动地区经济，巩固教育脱贫攻坚成果</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11899">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有效</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47E46">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有效</w:t>
            </w:r>
          </w:p>
        </w:tc>
      </w:tr>
      <w:tr w14:paraId="6590B05C">
        <w:tblPrEx>
          <w:tblCellMar>
            <w:top w:w="0" w:type="dxa"/>
            <w:left w:w="108" w:type="dxa"/>
            <w:bottom w:w="0" w:type="dxa"/>
            <w:right w:w="108" w:type="dxa"/>
          </w:tblCellMar>
        </w:tblPrEx>
        <w:trPr>
          <w:gridAfter w:val="1"/>
          <w:wAfter w:w="236" w:type="dxa"/>
          <w:trHeight w:val="492" w:hRule="atLeast"/>
        </w:trPr>
        <w:tc>
          <w:tcPr>
            <w:tcW w:w="1113" w:type="dxa"/>
            <w:vMerge w:val="continue"/>
            <w:tcBorders>
              <w:left w:val="single" w:color="000000" w:sz="4" w:space="0"/>
              <w:right w:val="single" w:color="000000" w:sz="4" w:space="0"/>
            </w:tcBorders>
            <w:shd w:val="clear" w:color="auto" w:fill="auto"/>
            <w:vAlign w:val="center"/>
          </w:tcPr>
          <w:p w14:paraId="27EEBE99">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continue"/>
            <w:tcBorders>
              <w:left w:val="single" w:color="000000" w:sz="4" w:space="0"/>
              <w:right w:val="single" w:color="auto" w:sz="4" w:space="0"/>
            </w:tcBorders>
            <w:shd w:val="clear" w:color="auto" w:fill="auto"/>
            <w:vAlign w:val="center"/>
          </w:tcPr>
          <w:p w14:paraId="0D03D70A">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215" w:type="dxa"/>
            <w:tcBorders>
              <w:top w:val="single" w:color="auto" w:sz="4" w:space="0"/>
              <w:left w:val="single" w:color="auto" w:sz="4" w:space="0"/>
              <w:bottom w:val="single" w:color="auto" w:sz="4" w:space="0"/>
              <w:right w:val="single" w:color="auto" w:sz="4" w:space="0"/>
            </w:tcBorders>
            <w:shd w:val="clear" w:color="auto" w:fill="auto"/>
            <w:vAlign w:val="center"/>
          </w:tcPr>
          <w:p w14:paraId="6A9B3351">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eastAsia" w:ascii="仿宋_GB2312" w:hAnsi="仿宋_GB2312" w:eastAsia="仿宋_GB2312" w:cs="仿宋_GB2312"/>
                <w:sz w:val="20"/>
                <w:szCs w:val="20"/>
                <w:lang w:eastAsia="zh-CN"/>
              </w:rPr>
              <w:t>社会</w:t>
            </w:r>
            <w:r>
              <w:rPr>
                <w:rFonts w:hint="default" w:ascii="仿宋_GB2312" w:hAnsi="仿宋_GB2312" w:eastAsia="仿宋_GB2312" w:cs="仿宋_GB2312"/>
                <w:sz w:val="20"/>
                <w:szCs w:val="20"/>
              </w:rPr>
              <w:t>效益</w:t>
            </w:r>
          </w:p>
          <w:p w14:paraId="4246EF6C">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指标</w:t>
            </w:r>
          </w:p>
        </w:tc>
        <w:tc>
          <w:tcPr>
            <w:tcW w:w="2385" w:type="dxa"/>
            <w:tcBorders>
              <w:top w:val="single" w:color="000000" w:sz="4" w:space="0"/>
              <w:left w:val="single" w:color="auto" w:sz="4" w:space="0"/>
              <w:bottom w:val="single" w:color="000000" w:sz="4" w:space="0"/>
              <w:right w:val="single" w:color="000000" w:sz="4" w:space="0"/>
            </w:tcBorders>
            <w:shd w:val="clear" w:color="auto" w:fill="auto"/>
            <w:vAlign w:val="center"/>
          </w:tcPr>
          <w:p w14:paraId="084A6BC0">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提高义务教育巩固率</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3541B">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有效</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69A4B">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有效</w:t>
            </w:r>
          </w:p>
        </w:tc>
      </w:tr>
      <w:tr w14:paraId="369A9284">
        <w:tblPrEx>
          <w:tblCellMar>
            <w:top w:w="0" w:type="dxa"/>
            <w:left w:w="108" w:type="dxa"/>
            <w:bottom w:w="0" w:type="dxa"/>
            <w:right w:w="108" w:type="dxa"/>
          </w:tblCellMar>
        </w:tblPrEx>
        <w:trPr>
          <w:gridAfter w:val="1"/>
          <w:wAfter w:w="236" w:type="dxa"/>
          <w:trHeight w:val="492" w:hRule="atLeast"/>
        </w:trPr>
        <w:tc>
          <w:tcPr>
            <w:tcW w:w="1113" w:type="dxa"/>
            <w:vMerge w:val="continue"/>
            <w:tcBorders>
              <w:left w:val="single" w:color="000000" w:sz="4" w:space="0"/>
              <w:right w:val="single" w:color="000000" w:sz="4" w:space="0"/>
            </w:tcBorders>
            <w:shd w:val="clear" w:color="auto" w:fill="auto"/>
            <w:vAlign w:val="center"/>
          </w:tcPr>
          <w:p w14:paraId="3019E772">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continue"/>
            <w:tcBorders>
              <w:left w:val="single" w:color="000000" w:sz="4" w:space="0"/>
              <w:bottom w:val="single" w:color="000000" w:sz="4" w:space="0"/>
              <w:right w:val="single" w:color="auto" w:sz="4" w:space="0"/>
            </w:tcBorders>
            <w:shd w:val="clear" w:color="auto" w:fill="auto"/>
            <w:vAlign w:val="center"/>
          </w:tcPr>
          <w:p w14:paraId="63546BF9">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215" w:type="dxa"/>
            <w:tcBorders>
              <w:top w:val="single" w:color="auto" w:sz="4" w:space="0"/>
              <w:left w:val="single" w:color="auto" w:sz="4" w:space="0"/>
              <w:bottom w:val="single" w:color="auto" w:sz="4" w:space="0"/>
              <w:right w:val="single" w:color="auto" w:sz="4" w:space="0"/>
            </w:tcBorders>
            <w:shd w:val="clear" w:color="auto" w:fill="auto"/>
            <w:vAlign w:val="center"/>
          </w:tcPr>
          <w:p w14:paraId="5FAE4E6C">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可持续影响指标</w:t>
            </w:r>
          </w:p>
        </w:tc>
        <w:tc>
          <w:tcPr>
            <w:tcW w:w="2385" w:type="dxa"/>
            <w:tcBorders>
              <w:top w:val="single" w:color="000000" w:sz="4" w:space="0"/>
              <w:left w:val="single" w:color="auto" w:sz="4" w:space="0"/>
              <w:bottom w:val="single" w:color="000000" w:sz="4" w:space="0"/>
              <w:right w:val="single" w:color="000000" w:sz="4" w:space="0"/>
            </w:tcBorders>
            <w:shd w:val="clear" w:color="auto" w:fill="auto"/>
            <w:vAlign w:val="center"/>
          </w:tcPr>
          <w:p w14:paraId="0BA2D4D2">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缩小与其他地区教育差距</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8787E">
            <w:pPr>
              <w:keepNext w:val="0"/>
              <w:keepLines w:val="0"/>
              <w:widowControl/>
              <w:suppressLineNumbers w:val="0"/>
              <w:spacing w:before="0" w:beforeAutospacing="0" w:after="0" w:afterAutospacing="0" w:line="320" w:lineRule="exact"/>
              <w:ind w:left="0" w:right="0"/>
              <w:jc w:val="center"/>
              <w:textAlignment w:val="bottom"/>
              <w:rPr>
                <w:rFonts w:hint="eastAsia" w:ascii="仿宋_GB2312" w:hAnsi="仿宋_GB2312" w:eastAsia="仿宋_GB2312" w:cs="仿宋_GB2312"/>
                <w:sz w:val="20"/>
                <w:szCs w:val="20"/>
                <w:lang w:eastAsia="zh-CN"/>
              </w:rPr>
            </w:pPr>
            <w:r>
              <w:rPr>
                <w:rFonts w:hint="eastAsia" w:ascii="仿宋_GB2312" w:hAnsi="仿宋_GB2312" w:eastAsia="仿宋_GB2312" w:cs="仿宋_GB2312"/>
                <w:sz w:val="20"/>
                <w:szCs w:val="20"/>
                <w:lang w:eastAsia="zh-CN"/>
              </w:rPr>
              <w:t>有效</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33BAB">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eastAsia" w:ascii="仿宋_GB2312" w:hAnsi="仿宋_GB2312" w:eastAsia="仿宋_GB2312" w:cs="仿宋_GB2312"/>
                <w:sz w:val="20"/>
                <w:szCs w:val="20"/>
                <w:lang w:eastAsia="zh-CN"/>
              </w:rPr>
              <w:t>有效</w:t>
            </w:r>
          </w:p>
        </w:tc>
      </w:tr>
      <w:tr w14:paraId="266EC1C0">
        <w:tblPrEx>
          <w:tblCellMar>
            <w:top w:w="0" w:type="dxa"/>
            <w:left w:w="108" w:type="dxa"/>
            <w:bottom w:w="0" w:type="dxa"/>
            <w:right w:w="108" w:type="dxa"/>
          </w:tblCellMar>
        </w:tblPrEx>
        <w:trPr>
          <w:gridAfter w:val="1"/>
          <w:wAfter w:w="236" w:type="dxa"/>
          <w:trHeight w:val="705" w:hRule="atLeast"/>
        </w:trPr>
        <w:tc>
          <w:tcPr>
            <w:tcW w:w="1113" w:type="dxa"/>
            <w:vMerge w:val="continue"/>
            <w:tcBorders>
              <w:left w:val="single" w:color="000000" w:sz="4" w:space="0"/>
              <w:right w:val="single" w:color="000000" w:sz="4" w:space="0"/>
            </w:tcBorders>
            <w:shd w:val="clear" w:color="auto" w:fill="auto"/>
            <w:vAlign w:val="center"/>
          </w:tcPr>
          <w:p w14:paraId="5ED15F51">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restart"/>
            <w:tcBorders>
              <w:top w:val="single" w:color="000000" w:sz="4" w:space="0"/>
              <w:left w:val="single" w:color="000000" w:sz="4" w:space="0"/>
              <w:right w:val="single" w:color="000000" w:sz="4" w:space="0"/>
            </w:tcBorders>
            <w:shd w:val="clear" w:color="auto" w:fill="auto"/>
            <w:vAlign w:val="center"/>
          </w:tcPr>
          <w:p w14:paraId="51ED91B7">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满意</w:t>
            </w:r>
          </w:p>
          <w:p w14:paraId="334276A8">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8"/>
                <w:szCs w:val="28"/>
              </w:rPr>
            </w:pPr>
            <w:r>
              <w:rPr>
                <w:rFonts w:hint="eastAsia" w:ascii="仿宋_GB2312" w:hAnsi="仿宋_GB2312" w:eastAsia="仿宋_GB2312" w:cs="仿宋_GB2312"/>
                <w:kern w:val="0"/>
                <w:sz w:val="28"/>
                <w:szCs w:val="28"/>
              </w:rPr>
              <w:t>度指标</w:t>
            </w:r>
          </w:p>
        </w:tc>
        <w:tc>
          <w:tcPr>
            <w:tcW w:w="1215" w:type="dxa"/>
            <w:vMerge w:val="restart"/>
            <w:tcBorders>
              <w:top w:val="single" w:color="auto" w:sz="4" w:space="0"/>
              <w:left w:val="single" w:color="000000" w:sz="4" w:space="0"/>
              <w:bottom w:val="single" w:color="auto" w:sz="4" w:space="0"/>
              <w:right w:val="single" w:color="000000" w:sz="4" w:space="0"/>
            </w:tcBorders>
            <w:shd w:val="clear" w:color="auto" w:fill="auto"/>
            <w:vAlign w:val="center"/>
          </w:tcPr>
          <w:p w14:paraId="39E79A26">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满意度</w:t>
            </w:r>
          </w:p>
          <w:p w14:paraId="7D449FB5">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eastAsia" w:ascii="仿宋_GB2312" w:hAnsi="仿宋_GB2312" w:eastAsia="仿宋_GB2312" w:cs="仿宋_GB2312"/>
                <w:kern w:val="0"/>
                <w:sz w:val="20"/>
                <w:szCs w:val="20"/>
              </w:rPr>
              <w:t>指标</w:t>
            </w: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71FF6">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学生及家长满意度</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930B3">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≥95%</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37DF8">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97%</w:t>
            </w:r>
          </w:p>
        </w:tc>
      </w:tr>
      <w:tr w14:paraId="0E9843AC">
        <w:tblPrEx>
          <w:tblCellMar>
            <w:top w:w="0" w:type="dxa"/>
            <w:left w:w="108" w:type="dxa"/>
            <w:bottom w:w="0" w:type="dxa"/>
            <w:right w:w="108" w:type="dxa"/>
          </w:tblCellMar>
        </w:tblPrEx>
        <w:trPr>
          <w:gridAfter w:val="1"/>
          <w:wAfter w:w="236" w:type="dxa"/>
          <w:trHeight w:val="690" w:hRule="atLeast"/>
        </w:trPr>
        <w:tc>
          <w:tcPr>
            <w:tcW w:w="1113" w:type="dxa"/>
            <w:vMerge w:val="continue"/>
            <w:tcBorders>
              <w:left w:val="single" w:color="000000" w:sz="4" w:space="0"/>
              <w:bottom w:val="single" w:color="000000" w:sz="4" w:space="0"/>
              <w:right w:val="single" w:color="000000" w:sz="4" w:space="0"/>
            </w:tcBorders>
            <w:shd w:val="clear" w:color="auto" w:fill="auto"/>
            <w:vAlign w:val="center"/>
          </w:tcPr>
          <w:p w14:paraId="3403E7E2">
            <w:pPr>
              <w:keepNext w:val="0"/>
              <w:keepLines w:val="0"/>
              <w:suppressLineNumbers w:val="0"/>
              <w:spacing w:before="0" w:beforeAutospacing="0" w:after="0" w:afterAutospacing="0" w:line="320" w:lineRule="exact"/>
              <w:ind w:left="0" w:right="0"/>
              <w:jc w:val="center"/>
              <w:rPr>
                <w:rFonts w:hint="default" w:ascii="仿宋_GB2312" w:hAnsi="仿宋_GB2312" w:eastAsia="仿宋_GB2312" w:cs="仿宋_GB2312"/>
                <w:sz w:val="28"/>
                <w:szCs w:val="28"/>
              </w:rPr>
            </w:pPr>
          </w:p>
        </w:tc>
        <w:tc>
          <w:tcPr>
            <w:tcW w:w="1005" w:type="dxa"/>
            <w:vMerge w:val="continue"/>
            <w:tcBorders>
              <w:left w:val="single" w:color="000000" w:sz="4" w:space="0"/>
              <w:bottom w:val="single" w:color="000000" w:sz="4" w:space="0"/>
              <w:right w:val="single" w:color="000000" w:sz="4" w:space="0"/>
            </w:tcBorders>
            <w:shd w:val="clear" w:color="auto" w:fill="auto"/>
            <w:vAlign w:val="center"/>
          </w:tcPr>
          <w:p w14:paraId="2A69FA76">
            <w:pPr>
              <w:keepNext w:val="0"/>
              <w:keepLines w:val="0"/>
              <w:widowControl/>
              <w:suppressLineNumbers w:val="0"/>
              <w:spacing w:before="0" w:beforeAutospacing="0" w:after="0" w:afterAutospacing="0" w:line="320" w:lineRule="exact"/>
              <w:ind w:left="0" w:right="0"/>
              <w:jc w:val="center"/>
              <w:textAlignment w:val="bottom"/>
              <w:rPr>
                <w:rFonts w:hint="eastAsia" w:ascii="仿宋_GB2312" w:hAnsi="仿宋_GB2312" w:eastAsia="仿宋_GB2312" w:cs="仿宋_GB2312"/>
                <w:kern w:val="0"/>
                <w:sz w:val="28"/>
                <w:szCs w:val="28"/>
              </w:rPr>
            </w:pPr>
          </w:p>
        </w:tc>
        <w:tc>
          <w:tcPr>
            <w:tcW w:w="1215"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7E8FBA2F">
            <w:pPr>
              <w:keepNext w:val="0"/>
              <w:keepLines w:val="0"/>
              <w:widowControl/>
              <w:suppressLineNumbers w:val="0"/>
              <w:spacing w:before="0" w:beforeAutospacing="0" w:after="0" w:afterAutospacing="0" w:line="320" w:lineRule="exact"/>
              <w:ind w:left="0" w:right="0"/>
              <w:jc w:val="center"/>
              <w:textAlignment w:val="bottom"/>
              <w:rPr>
                <w:rFonts w:hint="eastAsia" w:ascii="仿宋_GB2312" w:hAnsi="仿宋_GB2312" w:eastAsia="仿宋_GB2312" w:cs="仿宋_GB2312"/>
                <w:kern w:val="0"/>
                <w:sz w:val="20"/>
                <w:szCs w:val="20"/>
              </w:rPr>
            </w:pPr>
          </w:p>
        </w:tc>
        <w:tc>
          <w:tcPr>
            <w:tcW w:w="23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24D57">
            <w:pPr>
              <w:keepNext w:val="0"/>
              <w:keepLines w:val="0"/>
              <w:widowControl/>
              <w:suppressLineNumbers w:val="0"/>
              <w:spacing w:before="0" w:beforeAutospacing="0" w:after="0" w:afterAutospacing="0" w:line="320" w:lineRule="exact"/>
              <w:ind w:left="0" w:right="0"/>
              <w:jc w:val="left"/>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社会满意度</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0FCD2">
            <w:pPr>
              <w:keepNext w:val="0"/>
              <w:keepLines w:val="0"/>
              <w:widowControl/>
              <w:suppressLineNumbers w:val="0"/>
              <w:spacing w:before="0" w:beforeAutospacing="0" w:after="0" w:afterAutospacing="0" w:line="320" w:lineRule="exact"/>
              <w:ind w:left="0" w:right="0"/>
              <w:jc w:val="center"/>
              <w:textAlignment w:val="bottom"/>
              <w:rPr>
                <w:rFonts w:hint="default" w:ascii="仿宋_GB2312" w:hAnsi="仿宋_GB2312" w:eastAsia="仿宋_GB2312" w:cs="仿宋_GB2312"/>
                <w:sz w:val="20"/>
                <w:szCs w:val="20"/>
              </w:rPr>
            </w:pPr>
            <w:r>
              <w:rPr>
                <w:rFonts w:hint="default" w:ascii="仿宋_GB2312" w:hAnsi="仿宋_GB2312" w:eastAsia="仿宋_GB2312" w:cs="仿宋_GB2312"/>
                <w:sz w:val="20"/>
                <w:szCs w:val="20"/>
              </w:rPr>
              <w:t>≥95%</w:t>
            </w:r>
          </w:p>
        </w:tc>
        <w:tc>
          <w:tcPr>
            <w:tcW w:w="2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7E965">
            <w:pPr>
              <w:keepNext w:val="0"/>
              <w:keepLines w:val="0"/>
              <w:widowControl/>
              <w:suppressLineNumbers w:val="0"/>
              <w:spacing w:before="0" w:beforeAutospacing="0" w:after="0" w:afterAutospacing="0" w:line="320" w:lineRule="exact"/>
              <w:ind w:left="0" w:right="0"/>
              <w:jc w:val="center"/>
              <w:textAlignment w:val="bottom"/>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98%</w:t>
            </w:r>
          </w:p>
        </w:tc>
      </w:tr>
    </w:tbl>
    <w:p w14:paraId="6CADB578">
      <w:pPr>
        <w:pStyle w:val="2"/>
        <w:rPr>
          <w:rFonts w:hint="default"/>
          <w:lang w:val="en-US" w:eastAsia="zh-CN"/>
        </w:rPr>
      </w:pPr>
    </w:p>
    <w:p w14:paraId="3A44E490">
      <w:pPr>
        <w:spacing w:line="600" w:lineRule="exact"/>
        <w:jc w:val="center"/>
        <w:outlineLvl w:val="0"/>
        <w:rPr>
          <w:rFonts w:ascii="仿宋" w:hAnsi="仿宋" w:eastAsia="仿宋"/>
        </w:rPr>
      </w:pPr>
      <w:r>
        <w:rPr>
          <w:rFonts w:hint="eastAsia" w:ascii="黑体" w:hAnsi="黑体" w:eastAsia="黑体"/>
          <w:sz w:val="44"/>
          <w:szCs w:val="44"/>
        </w:rPr>
        <w:t>第</w:t>
      </w:r>
      <w:r>
        <w:rPr>
          <w:rStyle w:val="29"/>
          <w:rFonts w:hint="eastAsia" w:ascii="黑体" w:hAnsi="黑体" w:eastAsia="黑体"/>
          <w:b w:val="0"/>
        </w:rPr>
        <w:t>五部分 附表</w:t>
      </w:r>
      <w:bookmarkEnd w:id="51"/>
      <w:bookmarkEnd w:id="52"/>
      <w:bookmarkStart w:id="53" w:name="_Toc15396619"/>
    </w:p>
    <w:p w14:paraId="73C8EAB5">
      <w:pPr>
        <w:pStyle w:val="2"/>
        <w:rPr>
          <w:rFonts w:ascii="仿宋" w:hAnsi="仿宋" w:eastAsia="仿宋"/>
        </w:rPr>
      </w:pPr>
      <w:r>
        <w:rPr>
          <w:rFonts w:hint="eastAsia" w:ascii="仿宋" w:hAnsi="仿宋" w:eastAsia="仿宋"/>
          <w:b w:val="0"/>
        </w:rPr>
        <w:t>一、收</w:t>
      </w:r>
      <w:r>
        <w:rPr>
          <w:rStyle w:val="30"/>
          <w:rFonts w:hint="eastAsia" w:ascii="仿宋" w:hAnsi="仿宋" w:eastAsia="仿宋"/>
          <w:b w:val="0"/>
          <w:bCs w:val="0"/>
        </w:rPr>
        <w:t>入支出决算总表</w:t>
      </w:r>
      <w:bookmarkEnd w:id="53"/>
    </w:p>
    <w:p w14:paraId="4F287E34">
      <w:pPr>
        <w:pStyle w:val="2"/>
        <w:rPr>
          <w:rFonts w:ascii="仿宋" w:hAnsi="仿宋" w:eastAsia="仿宋"/>
        </w:rPr>
      </w:pPr>
      <w:bookmarkStart w:id="54" w:name="_Toc15396620"/>
      <w:r>
        <w:rPr>
          <w:rFonts w:hint="eastAsia" w:ascii="仿宋" w:hAnsi="仿宋" w:eastAsia="仿宋"/>
          <w:b w:val="0"/>
        </w:rPr>
        <w:t>二、收</w:t>
      </w:r>
      <w:r>
        <w:rPr>
          <w:rStyle w:val="30"/>
          <w:rFonts w:hint="eastAsia" w:ascii="仿宋" w:hAnsi="仿宋" w:eastAsia="仿宋"/>
          <w:b w:val="0"/>
          <w:bCs w:val="0"/>
        </w:rPr>
        <w:t>入决算表</w:t>
      </w:r>
      <w:bookmarkEnd w:id="54"/>
    </w:p>
    <w:p w14:paraId="456F27BC">
      <w:pPr>
        <w:pStyle w:val="2"/>
        <w:rPr>
          <w:rFonts w:ascii="仿宋" w:hAnsi="仿宋" w:eastAsia="仿宋"/>
        </w:rPr>
      </w:pPr>
      <w:bookmarkStart w:id="55" w:name="_Toc15396621"/>
      <w:r>
        <w:rPr>
          <w:rStyle w:val="30"/>
          <w:rFonts w:hint="eastAsia" w:ascii="仿宋" w:hAnsi="仿宋" w:eastAsia="仿宋"/>
          <w:b w:val="0"/>
          <w:bCs w:val="0"/>
        </w:rPr>
        <w:t>三、</w:t>
      </w:r>
      <w:r>
        <w:rPr>
          <w:rFonts w:hint="eastAsia" w:ascii="仿宋" w:hAnsi="仿宋" w:eastAsia="仿宋"/>
          <w:b w:val="0"/>
        </w:rPr>
        <w:t>支</w:t>
      </w:r>
      <w:r>
        <w:rPr>
          <w:rStyle w:val="30"/>
          <w:rFonts w:hint="eastAsia" w:ascii="仿宋" w:hAnsi="仿宋" w:eastAsia="仿宋"/>
          <w:b w:val="0"/>
          <w:bCs w:val="0"/>
        </w:rPr>
        <w:t>出决算表</w:t>
      </w:r>
      <w:bookmarkEnd w:id="55"/>
    </w:p>
    <w:p w14:paraId="34AB22A7">
      <w:pPr>
        <w:pStyle w:val="2"/>
        <w:rPr>
          <w:rFonts w:ascii="仿宋" w:hAnsi="仿宋" w:eastAsia="仿宋"/>
          <w:b w:val="0"/>
        </w:rPr>
      </w:pPr>
      <w:bookmarkStart w:id="56" w:name="_Toc15396622"/>
      <w:r>
        <w:rPr>
          <w:rStyle w:val="30"/>
          <w:rFonts w:hint="eastAsia" w:ascii="仿宋" w:hAnsi="仿宋" w:eastAsia="仿宋"/>
          <w:b w:val="0"/>
          <w:bCs w:val="0"/>
        </w:rPr>
        <w:t>四、</w:t>
      </w:r>
      <w:r>
        <w:rPr>
          <w:rFonts w:hint="eastAsia" w:ascii="仿宋" w:hAnsi="仿宋" w:eastAsia="仿宋"/>
          <w:b w:val="0"/>
        </w:rPr>
        <w:t>财</w:t>
      </w:r>
      <w:r>
        <w:rPr>
          <w:rStyle w:val="30"/>
          <w:rFonts w:hint="eastAsia" w:ascii="仿宋" w:hAnsi="仿宋" w:eastAsia="仿宋"/>
          <w:b w:val="0"/>
          <w:bCs w:val="0"/>
        </w:rPr>
        <w:t>政拨款收入支出决算总表</w:t>
      </w:r>
      <w:bookmarkEnd w:id="56"/>
    </w:p>
    <w:p w14:paraId="46D440BB">
      <w:pPr>
        <w:pStyle w:val="2"/>
        <w:rPr>
          <w:rStyle w:val="30"/>
          <w:rFonts w:ascii="仿宋" w:hAnsi="仿宋" w:eastAsia="仿宋"/>
          <w:b w:val="0"/>
          <w:bCs w:val="0"/>
        </w:rPr>
      </w:pPr>
      <w:bookmarkStart w:id="57" w:name="_Toc15396623"/>
      <w:r>
        <w:rPr>
          <w:rStyle w:val="30"/>
          <w:rFonts w:hint="eastAsia" w:ascii="仿宋" w:hAnsi="仿宋" w:eastAsia="仿宋"/>
          <w:b w:val="0"/>
          <w:bCs w:val="0"/>
        </w:rPr>
        <w:t>五、</w:t>
      </w:r>
      <w:r>
        <w:rPr>
          <w:rFonts w:hint="eastAsia" w:ascii="仿宋" w:hAnsi="仿宋" w:eastAsia="仿宋"/>
          <w:b w:val="0"/>
        </w:rPr>
        <w:t>财</w:t>
      </w:r>
      <w:r>
        <w:rPr>
          <w:rStyle w:val="30"/>
          <w:rFonts w:hint="eastAsia" w:ascii="仿宋" w:hAnsi="仿宋" w:eastAsia="仿宋"/>
          <w:b w:val="0"/>
          <w:bCs w:val="0"/>
        </w:rPr>
        <w:t>政拨款支出决算明细表</w:t>
      </w:r>
      <w:bookmarkEnd w:id="57"/>
      <w:bookmarkStart w:id="58" w:name="_Toc15396624"/>
    </w:p>
    <w:p w14:paraId="02BD7E0E">
      <w:pPr>
        <w:pStyle w:val="2"/>
        <w:rPr>
          <w:rFonts w:ascii="仿宋" w:hAnsi="仿宋" w:eastAsia="仿宋"/>
        </w:rPr>
      </w:pPr>
      <w:r>
        <w:rPr>
          <w:rStyle w:val="30"/>
          <w:rFonts w:hint="eastAsia" w:ascii="仿宋" w:hAnsi="仿宋" w:eastAsia="仿宋"/>
          <w:b w:val="0"/>
          <w:bCs w:val="0"/>
        </w:rPr>
        <w:t>六、</w:t>
      </w:r>
      <w:r>
        <w:rPr>
          <w:rFonts w:hint="eastAsia" w:ascii="仿宋" w:hAnsi="仿宋" w:eastAsia="仿宋"/>
          <w:b w:val="0"/>
        </w:rPr>
        <w:t>一</w:t>
      </w:r>
      <w:r>
        <w:rPr>
          <w:rStyle w:val="30"/>
          <w:rFonts w:hint="eastAsia" w:ascii="仿宋" w:hAnsi="仿宋" w:eastAsia="仿宋"/>
          <w:b w:val="0"/>
          <w:bCs w:val="0"/>
        </w:rPr>
        <w:t>般公共预算财政拨款支出决算表</w:t>
      </w:r>
      <w:bookmarkEnd w:id="58"/>
    </w:p>
    <w:p w14:paraId="69C845B6">
      <w:pPr>
        <w:pStyle w:val="2"/>
        <w:rPr>
          <w:rFonts w:ascii="仿宋" w:hAnsi="仿宋" w:eastAsia="仿宋"/>
        </w:rPr>
      </w:pPr>
      <w:bookmarkStart w:id="59" w:name="_Toc15396625"/>
      <w:r>
        <w:rPr>
          <w:rStyle w:val="30"/>
          <w:rFonts w:hint="eastAsia" w:ascii="仿宋" w:hAnsi="仿宋" w:eastAsia="仿宋"/>
          <w:b w:val="0"/>
          <w:bCs w:val="0"/>
        </w:rPr>
        <w:t>七、</w:t>
      </w:r>
      <w:r>
        <w:rPr>
          <w:rFonts w:hint="eastAsia" w:ascii="仿宋" w:hAnsi="仿宋" w:eastAsia="仿宋"/>
          <w:b w:val="0"/>
        </w:rPr>
        <w:t>一</w:t>
      </w:r>
      <w:r>
        <w:rPr>
          <w:rStyle w:val="30"/>
          <w:rFonts w:hint="eastAsia" w:ascii="仿宋" w:hAnsi="仿宋" w:eastAsia="仿宋"/>
          <w:b w:val="0"/>
          <w:bCs w:val="0"/>
        </w:rPr>
        <w:t>般公共预算财政拨款支出决算明细表</w:t>
      </w:r>
      <w:bookmarkEnd w:id="59"/>
    </w:p>
    <w:p w14:paraId="26AF5693">
      <w:pPr>
        <w:pStyle w:val="2"/>
        <w:rPr>
          <w:rFonts w:ascii="仿宋" w:hAnsi="仿宋" w:eastAsia="仿宋"/>
        </w:rPr>
      </w:pPr>
      <w:bookmarkStart w:id="60" w:name="_Toc15396626"/>
      <w:r>
        <w:rPr>
          <w:rStyle w:val="30"/>
          <w:rFonts w:hint="eastAsia" w:ascii="仿宋" w:hAnsi="仿宋" w:eastAsia="仿宋"/>
          <w:b w:val="0"/>
          <w:bCs w:val="0"/>
        </w:rPr>
        <w:t>八、</w:t>
      </w:r>
      <w:r>
        <w:rPr>
          <w:rFonts w:hint="eastAsia" w:ascii="仿宋" w:hAnsi="仿宋" w:eastAsia="仿宋"/>
          <w:b w:val="0"/>
        </w:rPr>
        <w:t>一</w:t>
      </w:r>
      <w:r>
        <w:rPr>
          <w:rStyle w:val="30"/>
          <w:rFonts w:hint="eastAsia" w:ascii="仿宋" w:hAnsi="仿宋" w:eastAsia="仿宋"/>
          <w:b w:val="0"/>
          <w:bCs w:val="0"/>
        </w:rPr>
        <w:t>般公共预算财政拨款基本支出决算表</w:t>
      </w:r>
      <w:bookmarkEnd w:id="60"/>
    </w:p>
    <w:p w14:paraId="37C5925A">
      <w:pPr>
        <w:pStyle w:val="2"/>
        <w:rPr>
          <w:rFonts w:ascii="仿宋" w:hAnsi="仿宋" w:eastAsia="仿宋"/>
        </w:rPr>
      </w:pPr>
      <w:bookmarkStart w:id="61" w:name="_Toc15396627"/>
      <w:r>
        <w:rPr>
          <w:rStyle w:val="30"/>
          <w:rFonts w:hint="eastAsia" w:ascii="仿宋" w:hAnsi="仿宋" w:eastAsia="仿宋"/>
          <w:b w:val="0"/>
          <w:bCs w:val="0"/>
        </w:rPr>
        <w:t>九、</w:t>
      </w:r>
      <w:r>
        <w:rPr>
          <w:rFonts w:hint="eastAsia" w:ascii="仿宋" w:hAnsi="仿宋" w:eastAsia="仿宋"/>
          <w:b w:val="0"/>
        </w:rPr>
        <w:t>一</w:t>
      </w:r>
      <w:r>
        <w:rPr>
          <w:rStyle w:val="30"/>
          <w:rFonts w:hint="eastAsia" w:ascii="仿宋" w:hAnsi="仿宋" w:eastAsia="仿宋"/>
          <w:b w:val="0"/>
          <w:bCs w:val="0"/>
        </w:rPr>
        <w:t>般公共预算财政拨款项目支出决算表</w:t>
      </w:r>
      <w:bookmarkEnd w:id="61"/>
    </w:p>
    <w:p w14:paraId="0DD0D92C">
      <w:pPr>
        <w:pStyle w:val="2"/>
        <w:rPr>
          <w:rFonts w:ascii="仿宋" w:hAnsi="仿宋" w:eastAsia="仿宋"/>
        </w:rPr>
      </w:pPr>
      <w:bookmarkStart w:id="62" w:name="_Toc15396628"/>
      <w:r>
        <w:rPr>
          <w:rStyle w:val="30"/>
          <w:rFonts w:hint="eastAsia" w:ascii="仿宋" w:hAnsi="仿宋" w:eastAsia="仿宋"/>
          <w:b w:val="0"/>
          <w:bCs w:val="0"/>
        </w:rPr>
        <w:t>十、</w:t>
      </w:r>
      <w:r>
        <w:rPr>
          <w:rFonts w:hint="eastAsia" w:ascii="仿宋" w:hAnsi="仿宋" w:eastAsia="仿宋"/>
          <w:b w:val="0"/>
        </w:rPr>
        <w:t>一</w:t>
      </w:r>
      <w:r>
        <w:rPr>
          <w:rStyle w:val="30"/>
          <w:rFonts w:hint="eastAsia" w:ascii="仿宋" w:hAnsi="仿宋" w:eastAsia="仿宋"/>
          <w:b w:val="0"/>
          <w:bCs w:val="0"/>
        </w:rPr>
        <w:t>般公共预算财政拨款“三公”经费支出决算表</w:t>
      </w:r>
      <w:bookmarkEnd w:id="62"/>
    </w:p>
    <w:p w14:paraId="351AC46D">
      <w:pPr>
        <w:pStyle w:val="2"/>
        <w:rPr>
          <w:rFonts w:ascii="仿宋" w:hAnsi="仿宋" w:eastAsia="仿宋"/>
        </w:rPr>
      </w:pPr>
      <w:bookmarkStart w:id="63" w:name="_Toc15396629"/>
      <w:r>
        <w:rPr>
          <w:rStyle w:val="30"/>
          <w:rFonts w:hint="eastAsia" w:ascii="仿宋" w:hAnsi="仿宋" w:eastAsia="仿宋"/>
          <w:b w:val="0"/>
          <w:bCs w:val="0"/>
        </w:rPr>
        <w:t>十一、</w:t>
      </w:r>
      <w:r>
        <w:rPr>
          <w:rFonts w:hint="eastAsia" w:ascii="仿宋" w:hAnsi="仿宋" w:eastAsia="仿宋"/>
          <w:b w:val="0"/>
        </w:rPr>
        <w:t>政</w:t>
      </w:r>
      <w:r>
        <w:rPr>
          <w:rStyle w:val="30"/>
          <w:rFonts w:hint="eastAsia" w:ascii="仿宋" w:hAnsi="仿宋" w:eastAsia="仿宋"/>
          <w:b w:val="0"/>
          <w:bCs w:val="0"/>
        </w:rPr>
        <w:t>府性基金预算财政拨款收入支出决算表</w:t>
      </w:r>
      <w:bookmarkEnd w:id="63"/>
    </w:p>
    <w:p w14:paraId="2D0CD1B5">
      <w:pPr>
        <w:pStyle w:val="2"/>
        <w:rPr>
          <w:rFonts w:ascii="仿宋" w:hAnsi="仿宋" w:eastAsia="仿宋"/>
        </w:rPr>
      </w:pPr>
      <w:bookmarkStart w:id="64" w:name="_Toc15396630"/>
      <w:r>
        <w:rPr>
          <w:rStyle w:val="30"/>
          <w:rFonts w:hint="eastAsia" w:ascii="仿宋" w:hAnsi="仿宋" w:eastAsia="仿宋"/>
          <w:b w:val="0"/>
          <w:bCs w:val="0"/>
        </w:rPr>
        <w:t>十二、</w:t>
      </w:r>
      <w:r>
        <w:rPr>
          <w:rFonts w:hint="eastAsia" w:ascii="仿宋" w:hAnsi="仿宋" w:eastAsia="仿宋"/>
          <w:b w:val="0"/>
        </w:rPr>
        <w:t>政</w:t>
      </w:r>
      <w:r>
        <w:rPr>
          <w:rStyle w:val="30"/>
          <w:rFonts w:hint="eastAsia" w:ascii="仿宋" w:hAnsi="仿宋" w:eastAsia="仿宋"/>
          <w:b w:val="0"/>
          <w:bCs w:val="0"/>
        </w:rPr>
        <w:t>府性基金预算财政拨款“三公”经费支出决算表</w:t>
      </w:r>
      <w:bookmarkEnd w:id="64"/>
    </w:p>
    <w:p w14:paraId="0DBD0576">
      <w:pPr>
        <w:pStyle w:val="2"/>
        <w:rPr>
          <w:rStyle w:val="30"/>
          <w:rFonts w:ascii="仿宋" w:hAnsi="仿宋" w:eastAsia="仿宋"/>
          <w:b w:val="0"/>
          <w:bCs w:val="0"/>
        </w:rPr>
      </w:pPr>
      <w:bookmarkStart w:id="65" w:name="_Toc15396631"/>
      <w:r>
        <w:rPr>
          <w:rStyle w:val="30"/>
          <w:rFonts w:hint="eastAsia" w:ascii="仿宋" w:hAnsi="仿宋" w:eastAsia="仿宋"/>
          <w:b w:val="0"/>
          <w:bCs w:val="0"/>
        </w:rPr>
        <w:t>十三、</w:t>
      </w:r>
      <w:r>
        <w:rPr>
          <w:rFonts w:hint="eastAsia" w:ascii="仿宋" w:hAnsi="仿宋" w:eastAsia="仿宋"/>
          <w:b w:val="0"/>
        </w:rPr>
        <w:t>国</w:t>
      </w:r>
      <w:r>
        <w:rPr>
          <w:rStyle w:val="30"/>
          <w:rFonts w:hint="eastAsia" w:ascii="仿宋" w:hAnsi="仿宋" w:eastAsia="仿宋"/>
          <w:b w:val="0"/>
          <w:bCs w:val="0"/>
        </w:rPr>
        <w:t>有资本经营预算财政拨款收入支出决算表</w:t>
      </w:r>
      <w:bookmarkEnd w:id="65"/>
    </w:p>
    <w:p w14:paraId="316353D8">
      <w:pPr>
        <w:rPr>
          <w:rFonts w:eastAsia="仿宋"/>
        </w:rPr>
      </w:pPr>
      <w:r>
        <w:rPr>
          <w:rStyle w:val="30"/>
          <w:rFonts w:hint="eastAsia" w:ascii="仿宋" w:hAnsi="仿宋" w:eastAsia="仿宋"/>
          <w:b w:val="0"/>
          <w:bCs w:val="0"/>
        </w:rPr>
        <w:t>十四、国有资本经营预算财政拨款支出决算表</w:t>
      </w:r>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6796C2D4-EF53-4D1F-BDA4-B254D44A23B9}"/>
  </w:font>
  <w:font w:name="黑体">
    <w:panose1 w:val="02010609060101010101"/>
    <w:charset w:val="86"/>
    <w:family w:val="auto"/>
    <w:pitch w:val="default"/>
    <w:sig w:usb0="800002BF" w:usb1="38CF7CFA" w:usb2="00000016" w:usb3="00000000" w:csb0="00040001" w:csb1="00000000"/>
    <w:embedRegular r:id="rId2" w:fontKey="{8B16315C-E0F4-4557-8632-7CA3B5F2E4D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106F5F19-9FDE-46A5-86E3-0D5AF55223EB}"/>
  </w:font>
  <w:font w:name="Cambria">
    <w:panose1 w:val="02040503050406030204"/>
    <w:charset w:val="00"/>
    <w:family w:val="roman"/>
    <w:pitch w:val="default"/>
    <w:sig w:usb0="E00006FF" w:usb1="420024FF" w:usb2="02000000" w:usb3="00000000" w:csb0="2000019F" w:csb1="00000000"/>
    <w:embedRegular r:id="rId4" w:fontKey="{CF8C1ED4-3429-4F6D-A152-7AD26E17FAD8}"/>
  </w:font>
  <w:font w:name="仿宋_GB2312">
    <w:altName w:val="仿宋"/>
    <w:panose1 w:val="00000000000000000000"/>
    <w:charset w:val="86"/>
    <w:family w:val="modern"/>
    <w:pitch w:val="default"/>
    <w:sig w:usb0="00000000" w:usb1="00000000" w:usb2="00000000" w:usb3="00000000" w:csb0="00040000" w:csb1="00000000"/>
    <w:embedRegular r:id="rId5" w:fontKey="{6BEF247E-E2B9-4933-9DBD-76B29320077B}"/>
  </w:font>
  <w:font w:name="仿宋">
    <w:panose1 w:val="02010609060101010101"/>
    <w:charset w:val="86"/>
    <w:family w:val="auto"/>
    <w:pitch w:val="default"/>
    <w:sig w:usb0="800002BF" w:usb1="38CF7CFA" w:usb2="00000016" w:usb3="00000000" w:csb0="00040001" w:csb1="00000000"/>
    <w:embedRegular r:id="rId6" w:fontKey="{F8D9DDA6-E545-4EBA-9446-8DBB3E8E9461}"/>
  </w:font>
  <w:font w:name="等线 Light">
    <w:panose1 w:val="02010600030101010101"/>
    <w:charset w:val="86"/>
    <w:family w:val="auto"/>
    <w:pitch w:val="default"/>
    <w:sig w:usb0="A00002BF" w:usb1="38CF7CFA" w:usb2="00000016" w:usb3="00000000" w:csb0="0004000F" w:csb1="00000000"/>
  </w:font>
  <w:font w:name="方正小标宋简体">
    <w:panose1 w:val="02000000000000000000"/>
    <w:charset w:val="86"/>
    <w:family w:val="script"/>
    <w:pitch w:val="default"/>
    <w:sig w:usb0="00000001" w:usb1="08000000" w:usb2="00000000" w:usb3="00000000" w:csb0="00040000" w:csb1="00000000"/>
    <w:embedRegular r:id="rId7" w:fontKey="{FFD9C14C-A176-47E7-8387-28D3C36C7C16}"/>
  </w:font>
  <w:font w:name="方正小标宋_GBK">
    <w:panose1 w:val="02000000000000000000"/>
    <w:charset w:val="86"/>
    <w:family w:val="auto"/>
    <w:pitch w:val="default"/>
    <w:sig w:usb0="A00002BF" w:usb1="38CF7CFA" w:usb2="00082016" w:usb3="00000000" w:csb0="00040001" w:csb1="00000000"/>
    <w:embedRegular r:id="rId8" w:fontKey="{B3BABEE3-0BAC-4FC6-808B-44E02DEF00B3}"/>
  </w:font>
  <w:font w:name="楷体_GB2312">
    <w:panose1 w:val="02010609030101010101"/>
    <w:charset w:val="86"/>
    <w:family w:val="modern"/>
    <w:pitch w:val="default"/>
    <w:sig w:usb0="00000001" w:usb1="080E0000" w:usb2="00000000" w:usb3="00000000" w:csb0="00040000" w:csb1="00000000"/>
    <w:embedRegular r:id="rId9" w:fontKey="{CA8278BB-8A17-4C7C-A659-CCE19CD4F9E3}"/>
  </w:font>
  <w:font w:name="楷体">
    <w:panose1 w:val="02010609060101010101"/>
    <w:charset w:val="86"/>
    <w:family w:val="auto"/>
    <w:pitch w:val="default"/>
    <w:sig w:usb0="800002BF" w:usb1="38CF7CFA" w:usb2="00000016" w:usb3="00000000" w:csb0="00040001" w:csb1="00000000"/>
    <w:embedRegular r:id="rId10" w:fontKey="{52C0ADA5-1D40-468C-A093-71BA168B2AA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14:paraId="6C1D42C5">
        <w:pPr>
          <w:pStyle w:val="11"/>
          <w:jc w:val="center"/>
        </w:pPr>
        <w:r>
          <w:fldChar w:fldCharType="begin"/>
        </w:r>
        <w:r>
          <w:instrText xml:space="preserve">PAGE   \* MERGEFORMAT</w:instrText>
        </w:r>
        <w:r>
          <w:fldChar w:fldCharType="separate"/>
        </w:r>
        <w:r>
          <w:rPr>
            <w:lang w:val="zh-CN"/>
          </w:rPr>
          <w:t>12</w:t>
        </w:r>
        <w:r>
          <w:fldChar w:fldCharType="end"/>
        </w:r>
      </w:p>
    </w:sdtContent>
  </w:sdt>
  <w:p w14:paraId="465F220F">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FE80D8">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1D6B4E"/>
    <w:multiLevelType w:val="singleLevel"/>
    <w:tmpl w:val="B11D6B4E"/>
    <w:lvl w:ilvl="0" w:tentative="0">
      <w:start w:val="6"/>
      <w:numFmt w:val="chineseCounting"/>
      <w:suff w:val="nothing"/>
      <w:lvlText w:val="（%1）"/>
      <w:lvlJc w:val="left"/>
      <w:rPr>
        <w:rFonts w:hint="eastAsia" w:cs="Times New Roman"/>
        <w:b/>
        <w:bCs/>
      </w:rPr>
    </w:lvl>
  </w:abstractNum>
  <w:abstractNum w:abstractNumId="1">
    <w:nsid w:val="CF652CEC"/>
    <w:multiLevelType w:val="singleLevel"/>
    <w:tmpl w:val="CF652CEC"/>
    <w:lvl w:ilvl="0" w:tentative="0">
      <w:start w:val="9"/>
      <w:numFmt w:val="chineseCounting"/>
      <w:suff w:val="nothing"/>
      <w:lvlText w:val="%1、"/>
      <w:lvlJc w:val="left"/>
      <w:rPr>
        <w:rFonts w:hint="eastAsia"/>
      </w:rPr>
    </w:lvl>
  </w:abstractNum>
  <w:abstractNum w:abstractNumId="2">
    <w:nsid w:val="E2FA047D"/>
    <w:multiLevelType w:val="singleLevel"/>
    <w:tmpl w:val="E2FA047D"/>
    <w:lvl w:ilvl="0" w:tentative="0">
      <w:start w:val="3"/>
      <w:numFmt w:val="chineseCounting"/>
      <w:suff w:val="space"/>
      <w:lvlText w:val="第%1部分"/>
      <w:lvlJc w:val="left"/>
      <w:rPr>
        <w:rFonts w:hint="eastAsia" w:ascii="黑体" w:hAnsi="黑体" w:eastAsia="黑体" w:cs="黑体"/>
        <w:sz w:val="44"/>
        <w:szCs w:val="44"/>
      </w:rPr>
    </w:lvl>
  </w:abstractNum>
  <w:abstractNum w:abstractNumId="3">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4">
    <w:nsid w:val="6492B4FE"/>
    <w:multiLevelType w:val="singleLevel"/>
    <w:tmpl w:val="6492B4FE"/>
    <w:lvl w:ilvl="0" w:tentative="0">
      <w:start w:val="1"/>
      <w:numFmt w:val="chineseCounting"/>
      <w:suff w:val="nothing"/>
      <w:lvlText w:val="%1、"/>
      <w:lvlJc w:val="left"/>
      <w:rPr>
        <w:rFonts w:hint="eastAsia"/>
      </w:rPr>
    </w:lvl>
  </w:abstractNum>
  <w:num w:numId="1">
    <w:abstractNumId w:val="4"/>
  </w:num>
  <w:num w:numId="2">
    <w:abstractNumId w:val="0"/>
  </w:num>
  <w:num w:numId="3">
    <w:abstractNumId w:val="3"/>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lhNTlmMWMwY2NkZGNhOTM0ZTIzOTMwM2UwMjVlYzg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33E14"/>
    <w:rsid w:val="00142216"/>
    <w:rsid w:val="00144D6A"/>
    <w:rsid w:val="0014729F"/>
    <w:rsid w:val="00157BAB"/>
    <w:rsid w:val="001654D1"/>
    <w:rsid w:val="00174518"/>
    <w:rsid w:val="0018106D"/>
    <w:rsid w:val="00184031"/>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1B33"/>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71F71"/>
    <w:rsid w:val="00872FD8"/>
    <w:rsid w:val="00885AF4"/>
    <w:rsid w:val="008939CD"/>
    <w:rsid w:val="008B768C"/>
    <w:rsid w:val="008C4DB1"/>
    <w:rsid w:val="008C4EAF"/>
    <w:rsid w:val="008C5176"/>
    <w:rsid w:val="008C7FD0"/>
    <w:rsid w:val="008E1DE7"/>
    <w:rsid w:val="008E707C"/>
    <w:rsid w:val="00900B08"/>
    <w:rsid w:val="00902155"/>
    <w:rsid w:val="00902FA3"/>
    <w:rsid w:val="00923564"/>
    <w:rsid w:val="0092392E"/>
    <w:rsid w:val="009315F9"/>
    <w:rsid w:val="00933499"/>
    <w:rsid w:val="00935C98"/>
    <w:rsid w:val="00946945"/>
    <w:rsid w:val="009469FB"/>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22EF"/>
    <w:rsid w:val="00A45BB7"/>
    <w:rsid w:val="00A56DF2"/>
    <w:rsid w:val="00A56E6E"/>
    <w:rsid w:val="00A67AB5"/>
    <w:rsid w:val="00A733B2"/>
    <w:rsid w:val="00A741C2"/>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65C9E"/>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C09B6"/>
    <w:rsid w:val="00CC666F"/>
    <w:rsid w:val="00CD1E3F"/>
    <w:rsid w:val="00CE0437"/>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635C49"/>
    <w:rsid w:val="069468A4"/>
    <w:rsid w:val="0A2032A3"/>
    <w:rsid w:val="0B8A37D8"/>
    <w:rsid w:val="0D7E1ED6"/>
    <w:rsid w:val="0EC71F0D"/>
    <w:rsid w:val="10C055FF"/>
    <w:rsid w:val="112C7A85"/>
    <w:rsid w:val="118107EC"/>
    <w:rsid w:val="11DD6519"/>
    <w:rsid w:val="12910332"/>
    <w:rsid w:val="153B4ABB"/>
    <w:rsid w:val="157E27B0"/>
    <w:rsid w:val="16BB723D"/>
    <w:rsid w:val="177D300F"/>
    <w:rsid w:val="18015F3F"/>
    <w:rsid w:val="195F1AF0"/>
    <w:rsid w:val="1BE8440E"/>
    <w:rsid w:val="1D155CEE"/>
    <w:rsid w:val="20F57F95"/>
    <w:rsid w:val="2177331E"/>
    <w:rsid w:val="23066A21"/>
    <w:rsid w:val="231C6B63"/>
    <w:rsid w:val="240371BF"/>
    <w:rsid w:val="24D54B4E"/>
    <w:rsid w:val="25820751"/>
    <w:rsid w:val="25C741E6"/>
    <w:rsid w:val="27842671"/>
    <w:rsid w:val="29FD04D3"/>
    <w:rsid w:val="2ABE7A3E"/>
    <w:rsid w:val="2BAE4DE0"/>
    <w:rsid w:val="2C0D4D5A"/>
    <w:rsid w:val="2CFF5EDE"/>
    <w:rsid w:val="2D4F7382"/>
    <w:rsid w:val="2D662499"/>
    <w:rsid w:val="2EFA178C"/>
    <w:rsid w:val="30B46D73"/>
    <w:rsid w:val="319F7F4E"/>
    <w:rsid w:val="32E05DEF"/>
    <w:rsid w:val="345F55DD"/>
    <w:rsid w:val="353C0D20"/>
    <w:rsid w:val="39AE70AB"/>
    <w:rsid w:val="3C0C0783"/>
    <w:rsid w:val="3F196BFD"/>
    <w:rsid w:val="3F795B0E"/>
    <w:rsid w:val="3F9F3A96"/>
    <w:rsid w:val="43813731"/>
    <w:rsid w:val="45C67B21"/>
    <w:rsid w:val="47024B89"/>
    <w:rsid w:val="493C27E9"/>
    <w:rsid w:val="496F39ED"/>
    <w:rsid w:val="49FF41D3"/>
    <w:rsid w:val="4A185DC8"/>
    <w:rsid w:val="4A7630E2"/>
    <w:rsid w:val="4A8C1339"/>
    <w:rsid w:val="4BE068DB"/>
    <w:rsid w:val="4BF6002B"/>
    <w:rsid w:val="4ECE2238"/>
    <w:rsid w:val="4FD61684"/>
    <w:rsid w:val="5020522F"/>
    <w:rsid w:val="503645ED"/>
    <w:rsid w:val="508F3649"/>
    <w:rsid w:val="51DB4B86"/>
    <w:rsid w:val="52FB5859"/>
    <w:rsid w:val="55333C3E"/>
    <w:rsid w:val="559E47AA"/>
    <w:rsid w:val="58737E60"/>
    <w:rsid w:val="5A1804F3"/>
    <w:rsid w:val="5EEF25B2"/>
    <w:rsid w:val="60EE7955"/>
    <w:rsid w:val="64A80084"/>
    <w:rsid w:val="64CA39A1"/>
    <w:rsid w:val="65B126BB"/>
    <w:rsid w:val="6C4A05C8"/>
    <w:rsid w:val="6C6E6699"/>
    <w:rsid w:val="6DA33701"/>
    <w:rsid w:val="6E040E74"/>
    <w:rsid w:val="6EA05177"/>
    <w:rsid w:val="6EDA0CDC"/>
    <w:rsid w:val="72734D90"/>
    <w:rsid w:val="727D7081"/>
    <w:rsid w:val="72E456B5"/>
    <w:rsid w:val="74E366CA"/>
    <w:rsid w:val="753164B5"/>
    <w:rsid w:val="77D01FB6"/>
    <w:rsid w:val="79E7B28D"/>
    <w:rsid w:val="7AC82E51"/>
    <w:rsid w:val="7B390C4C"/>
    <w:rsid w:val="7BFA24EA"/>
    <w:rsid w:val="7CAB154F"/>
    <w:rsid w:val="7F9F20EE"/>
    <w:rsid w:val="9E3A10E2"/>
    <w:rsid w:val="F2E1F9D4"/>
    <w:rsid w:val="F788081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99" w:semiHidden="0" w:name="Salutation"/>
    <w:lsdException w:uiPriority="99" w:name="Date"/>
    <w:lsdException w:uiPriority="99" w:name="Body Text First Indent"/>
    <w:lsdException w:qFormat="1" w:unhideWhenUsed="0"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9"/>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40"/>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3"/>
    <w:unhideWhenUsed/>
    <w:qFormat/>
    <w:uiPriority w:val="9"/>
    <w:pPr>
      <w:keepNext/>
      <w:keepLines/>
      <w:spacing w:before="260" w:after="260" w:line="416" w:lineRule="auto"/>
      <w:outlineLvl w:val="2"/>
    </w:pPr>
    <w:rPr>
      <w:b/>
      <w:bCs/>
      <w:sz w:val="32"/>
      <w:szCs w:val="32"/>
    </w:rPr>
  </w:style>
  <w:style w:type="character" w:default="1" w:styleId="18">
    <w:name w:val="Default Paragraph Font"/>
    <w:semiHidden/>
    <w:unhideWhenUsed/>
    <w:qFormat/>
    <w:uiPriority w:val="1"/>
  </w:style>
  <w:style w:type="table" w:default="1" w:styleId="17">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Calibri"/>
      <w:sz w:val="20"/>
      <w:szCs w:val="20"/>
    </w:rPr>
    <w:tblPr>
      <w:tblCellMar>
        <w:top w:w="0" w:type="dxa"/>
        <w:left w:w="108" w:type="dxa"/>
        <w:bottom w:w="0" w:type="dxa"/>
        <w:right w:w="108" w:type="dxa"/>
      </w:tblCellMar>
    </w:tblPr>
  </w:style>
  <w:style w:type="paragraph" w:styleId="5">
    <w:name w:val="annotation text"/>
    <w:basedOn w:val="1"/>
    <w:semiHidden/>
    <w:unhideWhenUsed/>
    <w:qFormat/>
    <w:uiPriority w:val="99"/>
    <w:pPr>
      <w:jc w:val="left"/>
    </w:pPr>
  </w:style>
  <w:style w:type="paragraph" w:styleId="6">
    <w:name w:val="Salutation"/>
    <w:basedOn w:val="1"/>
    <w:next w:val="1"/>
    <w:qFormat/>
    <w:uiPriority w:val="99"/>
  </w:style>
  <w:style w:type="paragraph" w:styleId="7">
    <w:name w:val="Body Text"/>
    <w:basedOn w:val="1"/>
    <w:link w:val="37"/>
    <w:qFormat/>
    <w:uiPriority w:val="99"/>
    <w:pPr>
      <w:spacing w:beforeLines="30"/>
    </w:pPr>
    <w:rPr>
      <w:rFonts w:ascii="仿宋_GB2312" w:eastAsia="仿宋_GB2312"/>
      <w:kern w:val="0"/>
      <w:sz w:val="30"/>
    </w:rPr>
  </w:style>
  <w:style w:type="paragraph" w:styleId="8">
    <w:name w:val="Body Text Indent"/>
    <w:basedOn w:val="1"/>
    <w:link w:val="38"/>
    <w:qFormat/>
    <w:uiPriority w:val="99"/>
    <w:pPr>
      <w:ind w:left="420" w:leftChars="200"/>
    </w:pPr>
  </w:style>
  <w:style w:type="paragraph" w:styleId="9">
    <w:name w:val="toc 3"/>
    <w:basedOn w:val="1"/>
    <w:next w:val="1"/>
    <w:unhideWhenUsed/>
    <w:qFormat/>
    <w:uiPriority w:val="39"/>
    <w:pPr>
      <w:tabs>
        <w:tab w:val="right" w:leader="dot" w:pos="8296"/>
      </w:tabs>
      <w:ind w:left="840" w:leftChars="400"/>
    </w:pPr>
  </w:style>
  <w:style w:type="paragraph" w:styleId="10">
    <w:name w:val="Balloon Text"/>
    <w:basedOn w:val="1"/>
    <w:link w:val="32"/>
    <w:semiHidden/>
    <w:unhideWhenUsed/>
    <w:qFormat/>
    <w:uiPriority w:val="99"/>
    <w:rPr>
      <w:sz w:val="18"/>
      <w:szCs w:val="18"/>
    </w:rPr>
  </w:style>
  <w:style w:type="paragraph" w:styleId="11">
    <w:name w:val="footer"/>
    <w:basedOn w:val="1"/>
    <w:link w:val="24"/>
    <w:qFormat/>
    <w:uiPriority w:val="99"/>
    <w:pPr>
      <w:tabs>
        <w:tab w:val="center" w:pos="4153"/>
        <w:tab w:val="right" w:pos="8306"/>
      </w:tabs>
      <w:snapToGrid w:val="0"/>
      <w:jc w:val="left"/>
    </w:pPr>
    <w:rPr>
      <w:rFonts w:ascii="Calibri" w:hAnsi="Calibri"/>
      <w:kern w:val="0"/>
      <w:sz w:val="18"/>
      <w:szCs w:val="18"/>
    </w:rPr>
  </w:style>
  <w:style w:type="paragraph" w:styleId="12">
    <w:name w:val="header"/>
    <w:basedOn w:val="1"/>
    <w:link w:val="22"/>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3">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4">
    <w:name w:val="toc 2"/>
    <w:basedOn w:val="1"/>
    <w:next w:val="1"/>
    <w:unhideWhenUsed/>
    <w:qFormat/>
    <w:uiPriority w:val="39"/>
    <w:pPr>
      <w:tabs>
        <w:tab w:val="right" w:leader="dot" w:pos="8296"/>
      </w:tabs>
      <w:ind w:left="420" w:leftChars="200"/>
    </w:pPr>
  </w:style>
  <w:style w:type="paragraph" w:styleId="15">
    <w:name w:val="Normal (Web)"/>
    <w:basedOn w:val="1"/>
    <w:semiHidden/>
    <w:unhideWhenUsed/>
    <w:qFormat/>
    <w:uiPriority w:val="99"/>
    <w:rPr>
      <w:sz w:val="24"/>
    </w:rPr>
  </w:style>
  <w:style w:type="paragraph" w:styleId="16">
    <w:name w:val="Body Text First Indent 2"/>
    <w:basedOn w:val="8"/>
    <w:link w:val="39"/>
    <w:qFormat/>
    <w:uiPriority w:val="99"/>
    <w:pPr>
      <w:ind w:firstLine="420" w:firstLineChars="200"/>
    </w:pPr>
  </w:style>
  <w:style w:type="character" w:styleId="19">
    <w:name w:val="Strong"/>
    <w:basedOn w:val="18"/>
    <w:qFormat/>
    <w:uiPriority w:val="99"/>
    <w:rPr>
      <w:rFonts w:hint="default" w:ascii="Times New Roman" w:hAnsi="Times New Roman" w:cs="Times New Roman"/>
      <w:b/>
    </w:rPr>
  </w:style>
  <w:style w:type="character" w:styleId="20">
    <w:name w:val="Hyperlink"/>
    <w:basedOn w:val="18"/>
    <w:unhideWhenUsed/>
    <w:qFormat/>
    <w:uiPriority w:val="99"/>
    <w:rPr>
      <w:color w:val="0000FF" w:themeColor="hyperlink"/>
      <w:u w:val="single"/>
      <w14:textFill>
        <w14:solidFill>
          <w14:schemeClr w14:val="hlink"/>
        </w14:solidFill>
      </w14:textFill>
    </w:rPr>
  </w:style>
  <w:style w:type="character" w:customStyle="1" w:styleId="21">
    <w:name w:val="Header Char"/>
    <w:basedOn w:val="18"/>
    <w:semiHidden/>
    <w:qFormat/>
    <w:uiPriority w:val="99"/>
    <w:rPr>
      <w:rFonts w:ascii="Times New Roman" w:hAnsi="Times New Roman"/>
      <w:sz w:val="18"/>
      <w:szCs w:val="18"/>
    </w:rPr>
  </w:style>
  <w:style w:type="character" w:customStyle="1" w:styleId="22">
    <w:name w:val="页眉 Char"/>
    <w:link w:val="12"/>
    <w:semiHidden/>
    <w:qFormat/>
    <w:locked/>
    <w:uiPriority w:val="99"/>
    <w:rPr>
      <w:sz w:val="18"/>
    </w:rPr>
  </w:style>
  <w:style w:type="character" w:customStyle="1" w:styleId="23">
    <w:name w:val="Footer Char"/>
    <w:basedOn w:val="18"/>
    <w:semiHidden/>
    <w:qFormat/>
    <w:uiPriority w:val="99"/>
    <w:rPr>
      <w:rFonts w:ascii="Times New Roman" w:hAnsi="Times New Roman"/>
      <w:sz w:val="18"/>
      <w:szCs w:val="18"/>
    </w:rPr>
  </w:style>
  <w:style w:type="character" w:customStyle="1" w:styleId="24">
    <w:name w:val="页脚 Char"/>
    <w:link w:val="11"/>
    <w:qFormat/>
    <w:locked/>
    <w:uiPriority w:val="99"/>
    <w:rPr>
      <w:sz w:val="18"/>
    </w:rPr>
  </w:style>
  <w:style w:type="character" w:customStyle="1" w:styleId="25">
    <w:name w:val="Body Text Char"/>
    <w:basedOn w:val="18"/>
    <w:semiHidden/>
    <w:qFormat/>
    <w:uiPriority w:val="99"/>
    <w:rPr>
      <w:rFonts w:ascii="Times New Roman" w:hAnsi="Times New Roman"/>
      <w:szCs w:val="24"/>
    </w:rPr>
  </w:style>
  <w:style w:type="character" w:customStyle="1" w:styleId="26">
    <w:name w:val="正文文本 Char"/>
    <w:link w:val="7"/>
    <w:qFormat/>
    <w:locked/>
    <w:uiPriority w:val="99"/>
    <w:rPr>
      <w:rFonts w:ascii="仿宋_GB2312" w:hAnsi="Times New Roman" w:eastAsia="仿宋_GB2312"/>
      <w:sz w:val="24"/>
    </w:rPr>
  </w:style>
  <w:style w:type="paragraph" w:customStyle="1" w:styleId="27">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8">
    <w:name w:val="List Paragraph"/>
    <w:basedOn w:val="1"/>
    <w:qFormat/>
    <w:uiPriority w:val="34"/>
    <w:pPr>
      <w:ind w:firstLine="420" w:firstLineChars="200"/>
    </w:pPr>
  </w:style>
  <w:style w:type="character" w:customStyle="1" w:styleId="29">
    <w:name w:val="标题 1 Char"/>
    <w:basedOn w:val="18"/>
    <w:link w:val="3"/>
    <w:qFormat/>
    <w:uiPriority w:val="9"/>
    <w:rPr>
      <w:rFonts w:ascii="Times New Roman" w:hAnsi="Times New Roman"/>
      <w:b/>
      <w:bCs/>
      <w:kern w:val="44"/>
      <w:sz w:val="44"/>
      <w:szCs w:val="44"/>
    </w:rPr>
  </w:style>
  <w:style w:type="character" w:customStyle="1" w:styleId="30">
    <w:name w:val="标题 2 Char"/>
    <w:basedOn w:val="18"/>
    <w:link w:val="2"/>
    <w:qFormat/>
    <w:uiPriority w:val="9"/>
    <w:rPr>
      <w:rFonts w:asciiTheme="majorHAnsi" w:hAnsiTheme="majorHAnsi" w:eastAsiaTheme="majorEastAsia" w:cstheme="majorBidi"/>
      <w:b/>
      <w:bCs/>
      <w:kern w:val="2"/>
      <w:sz w:val="32"/>
      <w:szCs w:val="32"/>
    </w:rPr>
  </w:style>
  <w:style w:type="paragraph" w:customStyle="1" w:styleId="31">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2">
    <w:name w:val="批注框文本 Char"/>
    <w:basedOn w:val="18"/>
    <w:link w:val="10"/>
    <w:semiHidden/>
    <w:qFormat/>
    <w:uiPriority w:val="99"/>
    <w:rPr>
      <w:rFonts w:ascii="Times New Roman" w:hAnsi="Times New Roman"/>
      <w:kern w:val="2"/>
      <w:sz w:val="18"/>
      <w:szCs w:val="18"/>
    </w:rPr>
  </w:style>
  <w:style w:type="character" w:customStyle="1" w:styleId="33">
    <w:name w:val="标题 3 Char"/>
    <w:basedOn w:val="18"/>
    <w:link w:val="4"/>
    <w:qFormat/>
    <w:uiPriority w:val="9"/>
    <w:rPr>
      <w:rFonts w:ascii="Times New Roman" w:hAnsi="Times New Roman"/>
      <w:b/>
      <w:bCs/>
      <w:kern w:val="2"/>
      <w:sz w:val="32"/>
      <w:szCs w:val="32"/>
    </w:rPr>
  </w:style>
  <w:style w:type="paragraph" w:customStyle="1" w:styleId="34">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5">
    <w:name w:val="正文文本 字符"/>
    <w:basedOn w:val="18"/>
    <w:qFormat/>
    <w:uiPriority w:val="0"/>
    <w:rPr>
      <w:kern w:val="2"/>
      <w:sz w:val="21"/>
      <w:szCs w:val="24"/>
    </w:rPr>
  </w:style>
  <w:style w:type="character" w:customStyle="1" w:styleId="36">
    <w:name w:val="标题 2 Char1"/>
    <w:basedOn w:val="18"/>
    <w:link w:val="2"/>
    <w:qFormat/>
    <w:uiPriority w:val="0"/>
    <w:rPr>
      <w:rFonts w:ascii="等线 Light" w:hAnsi="等线 Light" w:eastAsia="等线 Light" w:cs="Times New Roman"/>
      <w:b/>
      <w:bCs/>
      <w:kern w:val="2"/>
      <w:sz w:val="32"/>
      <w:szCs w:val="32"/>
    </w:rPr>
  </w:style>
  <w:style w:type="character" w:customStyle="1" w:styleId="37">
    <w:name w:val="正文文本 Char1"/>
    <w:basedOn w:val="18"/>
    <w:link w:val="7"/>
    <w:qFormat/>
    <w:uiPriority w:val="0"/>
    <w:rPr>
      <w:rFonts w:hint="eastAsia" w:ascii="仿宋_GB2312" w:eastAsia="仿宋_GB2312" w:cs="仿宋_GB2312"/>
      <w:sz w:val="24"/>
    </w:rPr>
  </w:style>
  <w:style w:type="character" w:customStyle="1" w:styleId="38">
    <w:name w:val="正文文本缩进 字符"/>
    <w:basedOn w:val="18"/>
    <w:link w:val="8"/>
    <w:qFormat/>
    <w:uiPriority w:val="0"/>
    <w:rPr>
      <w:rFonts w:hint="default" w:ascii="Times New Roman" w:hAnsi="Times New Roman" w:cs="Times New Roman"/>
      <w:kern w:val="2"/>
      <w:sz w:val="21"/>
      <w:szCs w:val="24"/>
    </w:rPr>
  </w:style>
  <w:style w:type="character" w:customStyle="1" w:styleId="39">
    <w:name w:val="正文首行缩进 2 字符"/>
    <w:basedOn w:val="38"/>
    <w:link w:val="16"/>
    <w:qFormat/>
    <w:uiPriority w:val="0"/>
    <w:rPr>
      <w:rFonts w:hint="default" w:ascii="Times New Roman" w:hAnsi="Times New Roman" w:cs="Times New Roman"/>
      <w:kern w:val="2"/>
      <w:sz w:val="21"/>
      <w:szCs w:val="24"/>
    </w:rPr>
  </w:style>
  <w:style w:type="character" w:customStyle="1" w:styleId="40">
    <w:name w:val="标题 2 字符"/>
    <w:basedOn w:val="18"/>
    <w:link w:val="2"/>
    <w:qFormat/>
    <w:uiPriority w:val="0"/>
    <w:rPr>
      <w:rFonts w:ascii="等线 Light" w:hAnsi="等线 Light" w:eastAsia="等线 Light"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chart" Target="charts/chart4.xml"/><Relationship Id="rId8" Type="http://schemas.openxmlformats.org/officeDocument/2006/relationships/chart" Target="charts/chart3.xml"/><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hart" Target="charts/chart7.xml"/><Relationship Id="rId11" Type="http://schemas.openxmlformats.org/officeDocument/2006/relationships/chart" Target="charts/chart6.xml"/><Relationship Id="rId10" Type="http://schemas.openxmlformats.org/officeDocument/2006/relationships/chart" Target="charts/chart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package" Target="../embeddings/Workbook7.xlsx"/></Relationships>
</file>

<file path=word/charts/_rels/chart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package" Target="../embeddings/Workbook3.xlsx"/></Relationships>
</file>

<file path=word/charts/_rels/chart3.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package" Target="../embeddings/Workbook4.xlsx"/></Relationships>
</file>

<file path=word/charts/_rels/chart4.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package" Target="../embeddings/Workbook2.xlsx"/></Relationships>
</file>

<file path=word/charts/_rels/chart5.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_rels/chart6.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package" Target="../embeddings/Workbook5.xlsx"/></Relationships>
</file>

<file path=word/charts/_rels/chart7.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package" Target="../embeddings/Workbook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800" b="1" i="0" u="none" strike="noStrike" kern="1200" baseline="0">
                <a:solidFill>
                  <a:schemeClr val="dk1">
                    <a:lumMod val="75000"/>
                    <a:lumOff val="25000"/>
                  </a:schemeClr>
                </a:solidFill>
                <a:latin typeface="+mn-lt"/>
                <a:ea typeface="+mn-ea"/>
                <a:cs typeface="+mn-cs"/>
              </a:defRPr>
            </a:pPr>
            <a:r>
              <a:t>收、支决算总计变动情况图</a:t>
            </a:r>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收入</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a:solidFill>
                        <a:schemeClr val="dk1">
                          <a:lumMod val="50000"/>
                          <a:lumOff val="50000"/>
                        </a:schemeClr>
                      </a:solidFill>
                    </a:ln>
                    <a:effectLst/>
                  </c:spPr>
                </c15:leaderLines>
              </c:ext>
            </c:extLst>
          </c:dLbls>
          <c:cat>
            <c:strRef>
              <c:f>Sheet1!$A$2:$A$3</c:f>
              <c:strCache>
                <c:ptCount val="2"/>
                <c:pt idx="0">
                  <c:v>2020年</c:v>
                </c:pt>
                <c:pt idx="1">
                  <c:v>2021年</c:v>
                </c:pt>
              </c:strCache>
            </c:strRef>
          </c:cat>
          <c:val>
            <c:numRef>
              <c:f>Sheet1!$B$2:$B$3</c:f>
              <c:numCache>
                <c:formatCode>General</c:formatCode>
                <c:ptCount val="2"/>
                <c:pt idx="0">
                  <c:v>1162.38</c:v>
                </c:pt>
                <c:pt idx="1">
                  <c:v>1126.24</c:v>
                </c:pt>
              </c:numCache>
            </c:numRef>
          </c:val>
        </c:ser>
        <c:ser>
          <c:idx val="1"/>
          <c:order val="1"/>
          <c:tx>
            <c:strRef>
              <c:f>Sheet1!$C$1</c:f>
              <c:strCache>
                <c:ptCount val="1"/>
                <c:pt idx="0">
                  <c:v>支出</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a:solidFill>
                        <a:schemeClr val="dk1">
                          <a:lumMod val="50000"/>
                          <a:lumOff val="50000"/>
                        </a:schemeClr>
                      </a:solidFill>
                    </a:ln>
                    <a:effectLst/>
                  </c:spPr>
                </c15:leaderLines>
              </c:ext>
            </c:extLst>
          </c:dLbls>
          <c:cat>
            <c:strRef>
              <c:f>Sheet1!$A$2:$A$3</c:f>
              <c:strCache>
                <c:ptCount val="2"/>
                <c:pt idx="0">
                  <c:v>2020年</c:v>
                </c:pt>
                <c:pt idx="1">
                  <c:v>2021年</c:v>
                </c:pt>
              </c:strCache>
            </c:strRef>
          </c:cat>
          <c:val>
            <c:numRef>
              <c:f>Sheet1!$C$2:$C$3</c:f>
              <c:numCache>
                <c:formatCode>General</c:formatCode>
                <c:ptCount val="2"/>
                <c:pt idx="0">
                  <c:v>1162.38</c:v>
                </c:pt>
                <c:pt idx="1">
                  <c:v>1126.24</c:v>
                </c:pt>
              </c:numCache>
            </c:numRef>
          </c:val>
        </c:ser>
        <c:dLbls>
          <c:showLegendKey val="0"/>
          <c:showVal val="1"/>
          <c:showCatName val="0"/>
          <c:showSerName val="0"/>
          <c:showPercent val="0"/>
          <c:showBubbleSize val="0"/>
        </c:dLbls>
        <c:gapWidth val="65"/>
        <c:overlap val="0"/>
        <c:axId val="876838378"/>
        <c:axId val="616419667"/>
      </c:barChart>
      <c:catAx>
        <c:axId val="876838378"/>
        <c:scaling>
          <c:orientation val="minMax"/>
        </c:scaling>
        <c:delete val="0"/>
        <c:axPos val="b"/>
        <c:majorTickMark val="none"/>
        <c:minorTickMark val="none"/>
        <c:tickLblPos val="nextTo"/>
        <c:spPr>
          <a:noFill/>
          <a:ln w="19050" cap="flat" cmpd="sng" algn="ctr">
            <a:solidFill>
              <a:schemeClr val="dk1">
                <a:lumMod val="75000"/>
                <a:lumOff val="25000"/>
              </a:schemeClr>
            </a:solidFill>
            <a:round/>
          </a:ln>
          <a:effectLst/>
        </c:spPr>
        <c:txPr>
          <a:bodyPr rot="-60000000" spcFirstLastPara="0" vertOverflow="ellipsis" vert="horz" wrap="square" anchor="ctr" anchorCtr="1"/>
          <a:lstStyle/>
          <a:p>
            <a:pPr>
              <a:defRPr lang="zh-CN" sz="900" b="0" i="0" u="none" strike="noStrike" kern="1200" cap="all" baseline="0">
                <a:solidFill>
                  <a:schemeClr val="dk1">
                    <a:lumMod val="75000"/>
                    <a:lumOff val="25000"/>
                  </a:schemeClr>
                </a:solidFill>
                <a:latin typeface="+mn-lt"/>
                <a:ea typeface="+mn-ea"/>
                <a:cs typeface="+mn-cs"/>
              </a:defRPr>
            </a:pPr>
          </a:p>
        </c:txPr>
        <c:crossAx val="616419667"/>
        <c:crosses val="autoZero"/>
        <c:auto val="1"/>
        <c:lblAlgn val="ctr"/>
        <c:lblOffset val="100"/>
        <c:noMultiLvlLbl val="0"/>
      </c:catAx>
      <c:valAx>
        <c:axId val="616419667"/>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txPr>
          <a:bodyPr rot="-6000000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crossAx val="876838378"/>
        <c:crosses val="autoZero"/>
        <c:crossBetween val="between"/>
      </c:valAx>
      <c:spPr>
        <a:noFill/>
        <a:ln>
          <a:noFill/>
        </a:ln>
        <a:effectLst/>
      </c:spPr>
    </c:plotArea>
    <c:legend>
      <c:legendPos val="b"/>
      <c:layout/>
      <c:overlay val="0"/>
      <c:spPr>
        <a:solidFill>
          <a:schemeClr val="lt1">
            <a:lumMod val="95000"/>
            <a:alpha val="39000"/>
          </a:schemeClr>
        </a:solidFill>
        <a:ln>
          <a:noFill/>
        </a:ln>
        <a:effectLst/>
      </c:spPr>
      <c:txPr>
        <a:bodyPr rot="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legend>
    <c:plotVisOnly val="1"/>
    <c:dispBlanksAs val="gap"/>
    <c:showDLblsOverMax val="0"/>
    <c:extLst>
      <c:ext uri="{0b15fc19-7d7d-44ad-8c2d-2c3a37ce22c3}">
        <chartProps xmlns="https://web.wps.cn/et/2018/main" chartId="{73c40ecb-1b06-4221-903a-fc1ab22bc2b3}"/>
      </c:ext>
    </c:extLst>
  </c:chart>
  <c: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600" b="1" i="0" u="none" strike="noStrike" kern="1200" baseline="0">
                <a:solidFill>
                  <a:schemeClr val="tx1">
                    <a:lumMod val="65000"/>
                    <a:lumOff val="35000"/>
                  </a:schemeClr>
                </a:solidFill>
                <a:latin typeface="+mn-lt"/>
                <a:ea typeface="+mn-ea"/>
                <a:cs typeface="+mn-cs"/>
              </a:defRPr>
            </a:pPr>
            <a:r>
              <a:t>收入决算结构图</a:t>
            </a:r>
          </a:p>
        </c:rich>
      </c:tx>
      <c:layout/>
      <c:overlay val="0"/>
      <c:spPr>
        <a:noFill/>
        <a:ln>
          <a:noFill/>
        </a:ln>
        <a:effectLst/>
      </c:spPr>
    </c:title>
    <c:autoTitleDeleted val="0"/>
    <c:plotArea>
      <c:layout>
        <c:manualLayout>
          <c:layoutTarget val="inner"/>
          <c:xMode val="edge"/>
          <c:yMode val="edge"/>
          <c:x val="0.300694444444444"/>
          <c:y val="0.185185185185185"/>
          <c:w val="0.381944444444444"/>
          <c:h val="0.636574074074074"/>
        </c:manualLayout>
      </c:layout>
      <c:pieChart>
        <c:varyColors val="1"/>
        <c:ser>
          <c:idx val="0"/>
          <c:order val="0"/>
          <c:tx>
            <c:strRef>
              <c:f>Sheet1!$B$1</c:f>
              <c:strCache>
                <c:ptCount val="1"/>
                <c:pt idx="0">
                  <c:v>占比</c:v>
                </c:pt>
              </c:strCache>
            </c:strRef>
          </c:tx>
          <c:spPr/>
          <c:explosion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dPt>
          <c:dLbls>
            <c:dLbl>
              <c:idx val="0"/>
              <c:layout/>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extLst>
                <c:ext xmlns:c15="http://schemas.microsoft.com/office/drawing/2012/chart" uri="{CE6537A1-D6FC-4f65-9D91-7224C49458BB}"/>
              </c:extLst>
            </c:dLbl>
            <c:dLbl>
              <c:idx val="1"/>
              <c:layout/>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extLst>
                <c:ext xmlns:c15="http://schemas.microsoft.com/office/drawing/2012/chart" uri="{CE6537A1-D6FC-4f65-9D91-7224C49458BB}"/>
              </c:extLst>
            </c:dLbl>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ctr"/>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一般公共预算财政拨款收入</c:v>
                </c:pt>
              </c:strCache>
            </c:strRef>
          </c:cat>
          <c:val>
            <c:numRef>
              <c:f>Sheet1!$B$2:$B$3</c:f>
              <c:numCache>
                <c:formatCode>0.00%</c:formatCode>
                <c:ptCount val="2"/>
                <c:pt idx="0">
                  <c:v>1</c:v>
                </c:pt>
              </c:numCache>
            </c:numRef>
          </c:val>
        </c:ser>
        <c:dLbls>
          <c:showLegendKey val="0"/>
          <c:showVal val="1"/>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5436978f-5530-41b2-812b-f78a4a5549a2}"/>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cap="all" spc="50" baseline="0">
                <a:solidFill>
                  <a:schemeClr val="tx1">
                    <a:lumMod val="65000"/>
                    <a:lumOff val="35000"/>
                  </a:schemeClr>
                </a:solidFill>
                <a:latin typeface="+mn-lt"/>
                <a:ea typeface="+mn-ea"/>
                <a:cs typeface="+mn-cs"/>
              </a:defRPr>
            </a:pPr>
            <a:r>
              <a:t>支出决算结构图</a:t>
            </a:r>
          </a:p>
        </c:rich>
      </c:tx>
      <c:layout>
        <c:manualLayout>
          <c:xMode val="edge"/>
          <c:yMode val="edge"/>
          <c:x val="0.358"/>
          <c:y val="0.0362156291681996"/>
        </c:manualLayout>
      </c:layout>
      <c:overlay val="0"/>
      <c:spPr>
        <a:noFill/>
        <a:ln>
          <a:noFill/>
        </a:ln>
        <a:effectLst/>
      </c:spPr>
    </c:title>
    <c:autoTitleDeleted val="0"/>
    <c:plotArea>
      <c:layout/>
      <c:pieChart>
        <c:varyColors val="1"/>
        <c:ser>
          <c:idx val="0"/>
          <c:order val="0"/>
          <c:tx>
            <c:strRef>
              <c:f>Sheet1!$B$1</c:f>
              <c:strCache>
                <c:ptCount val="1"/>
                <c:pt idx="0">
                  <c:v>2021年本年支出合计</c:v>
                </c:pt>
              </c:strCache>
            </c:strRef>
          </c:tx>
          <c:spPr/>
          <c:explosion val="0"/>
          <c:dPt>
            <c:idx val="0"/>
            <c:bubble3D val="0"/>
            <c:spPr>
              <a:solidFill>
                <a:schemeClr val="accent1"/>
              </a:solidFill>
              <a:ln>
                <a:noFill/>
              </a:ln>
              <a:effectLst/>
            </c:spPr>
          </c:dPt>
          <c:dPt>
            <c:idx val="1"/>
            <c:bubble3D val="0"/>
            <c:spPr>
              <a:solidFill>
                <a:schemeClr val="accent2"/>
              </a:solidFill>
              <a:ln>
                <a:noFill/>
              </a:ln>
              <a:effectLst/>
            </c:spPr>
          </c:dPt>
          <c:dLbls>
            <c:dLbl>
              <c:idx val="0"/>
              <c:layout/>
              <c:tx>
                <c:rich>
                  <a:bodyPr rot="0" spcFirstLastPara="0" vertOverflow="ellipsis" vert="horz" wrap="square" lIns="38100" tIns="19050" rIns="38100" bIns="19050" anchor="ctr" anchorCtr="1"/>
                  <a:lstStyle/>
                  <a:p>
                    <a:pPr defTabSz="914400">
                      <a:defRPr lang="zh-CN" sz="900" b="1" i="0" u="none" strike="noStrike" kern="1200" baseline="0">
                        <a:solidFill>
                          <a:schemeClr val="lt1"/>
                        </a:solidFill>
                        <a:latin typeface="+mn-lt"/>
                        <a:ea typeface="+mn-ea"/>
                        <a:cs typeface="+mn-cs"/>
                      </a:defRPr>
                    </a:pPr>
                    <a:r>
                      <a:rPr lang="en-US" altLang="zh-CN"/>
                      <a:t>77.27</a:t>
                    </a:r>
                    <a:r>
                      <a:t>%</a:t>
                    </a:r>
                  </a:p>
                </c:rich>
              </c:tx>
              <c:dLblPos val="inEnd"/>
              <c:showLegendKey val="0"/>
              <c:showVal val="0"/>
              <c:showCatName val="0"/>
              <c:showSerName val="0"/>
              <c:showPercent val="1"/>
              <c:showBubbleSize val="0"/>
              <c:extLst>
                <c:ext xmlns:c15="http://schemas.microsoft.com/office/drawing/2012/chart" uri="{CE6537A1-D6FC-4f65-9D91-7224C49458BB}"/>
              </c:extLst>
            </c:dLbl>
            <c:dLbl>
              <c:idx val="1"/>
              <c:layout/>
              <c:tx>
                <c:rich>
                  <a:bodyPr rot="0" spcFirstLastPara="0" vertOverflow="ellipsis" vert="horz" wrap="square" lIns="38100" tIns="19050" rIns="38100" bIns="19050" anchor="ctr" anchorCtr="1"/>
                  <a:lstStyle/>
                  <a:p>
                    <a:pPr defTabSz="914400">
                      <a:defRPr lang="zh-CN" sz="900" b="1" i="0" u="none" strike="noStrike" kern="1200" baseline="0">
                        <a:solidFill>
                          <a:schemeClr val="lt1"/>
                        </a:solidFill>
                        <a:latin typeface="+mn-lt"/>
                        <a:ea typeface="+mn-ea"/>
                        <a:cs typeface="+mn-cs"/>
                      </a:defRPr>
                    </a:pPr>
                    <a:r>
                      <a:rPr lang="en-US" altLang="zh-CN"/>
                      <a:t>22.73</a:t>
                    </a:r>
                    <a:r>
                      <a:t>%</a:t>
                    </a:r>
                  </a:p>
                </c:rich>
              </c:tx>
              <c:dLblPos val="inEnd"/>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基本支出</c:v>
                </c:pt>
                <c:pt idx="1">
                  <c:v>项目支出</c:v>
                </c:pt>
              </c:strCache>
            </c:strRef>
          </c:cat>
          <c:val>
            <c:numRef>
              <c:f>Sheet1!$B$2:$B$3</c:f>
              <c:numCache>
                <c:formatCode>General</c:formatCode>
                <c:ptCount val="2"/>
                <c:pt idx="0">
                  <c:v>870.24</c:v>
                </c:pt>
                <c:pt idx="1">
                  <c:v>256</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zero"/>
    <c:showDLblsOverMax val="0"/>
    <c:extLst>
      <c:ext uri="{0b15fc19-7d7d-44ad-8c2d-2c3a37ce22c3}">
        <chartProps xmlns="https://web.wps.cn/et/2018/main" chartId="{6c59c9ca-3a59-40c0-b680-dea6a6484ae3}"/>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800" b="1" i="0" u="none" strike="noStrike" kern="1200" baseline="0">
                <a:solidFill>
                  <a:schemeClr val="dk1">
                    <a:lumMod val="75000"/>
                    <a:lumOff val="25000"/>
                  </a:schemeClr>
                </a:solidFill>
                <a:latin typeface="+mn-lt"/>
                <a:ea typeface="+mn-ea"/>
                <a:cs typeface="+mn-cs"/>
              </a:defRPr>
            </a:pPr>
            <a:r>
              <a:t>财政拨款收、支决算总体变动情况</a:t>
            </a:r>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收入</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a:solidFill>
                        <a:schemeClr val="dk1">
                          <a:lumMod val="50000"/>
                          <a:lumOff val="50000"/>
                        </a:schemeClr>
                      </a:solidFill>
                    </a:ln>
                    <a:effectLst/>
                  </c:spPr>
                </c15:leaderLines>
              </c:ext>
            </c:extLst>
          </c:dLbls>
          <c:cat>
            <c:strRef>
              <c:f>Sheet1!$A$2:$A$3</c:f>
              <c:strCache>
                <c:ptCount val="2"/>
                <c:pt idx="0">
                  <c:v>2020年</c:v>
                </c:pt>
                <c:pt idx="1">
                  <c:v>2021年</c:v>
                </c:pt>
              </c:strCache>
            </c:strRef>
          </c:cat>
          <c:val>
            <c:numRef>
              <c:f>Sheet1!$B$2:$B$3</c:f>
              <c:numCache>
                <c:formatCode>General</c:formatCode>
                <c:ptCount val="2"/>
                <c:pt idx="0">
                  <c:v>1162.38</c:v>
                </c:pt>
                <c:pt idx="1">
                  <c:v>1126.24</c:v>
                </c:pt>
              </c:numCache>
            </c:numRef>
          </c:val>
        </c:ser>
        <c:ser>
          <c:idx val="1"/>
          <c:order val="1"/>
          <c:tx>
            <c:strRef>
              <c:f>Sheet1!$C$1</c:f>
              <c:strCache>
                <c:ptCount val="1"/>
                <c:pt idx="0">
                  <c:v>支出</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a:solidFill>
                        <a:schemeClr val="dk1">
                          <a:lumMod val="50000"/>
                          <a:lumOff val="50000"/>
                        </a:schemeClr>
                      </a:solidFill>
                    </a:ln>
                    <a:effectLst/>
                  </c:spPr>
                </c15:leaderLines>
              </c:ext>
            </c:extLst>
          </c:dLbls>
          <c:cat>
            <c:strRef>
              <c:f>Sheet1!$A$2:$A$3</c:f>
              <c:strCache>
                <c:ptCount val="2"/>
                <c:pt idx="0">
                  <c:v>2020年</c:v>
                </c:pt>
                <c:pt idx="1">
                  <c:v>2021年</c:v>
                </c:pt>
              </c:strCache>
            </c:strRef>
          </c:cat>
          <c:val>
            <c:numRef>
              <c:f>Sheet1!$C$2:$C$3</c:f>
              <c:numCache>
                <c:formatCode>General</c:formatCode>
                <c:ptCount val="2"/>
                <c:pt idx="0">
                  <c:v>1162.38</c:v>
                </c:pt>
                <c:pt idx="1">
                  <c:v>1126.24</c:v>
                </c:pt>
              </c:numCache>
            </c:numRef>
          </c:val>
        </c:ser>
        <c:dLbls>
          <c:showLegendKey val="0"/>
          <c:showVal val="1"/>
          <c:showCatName val="0"/>
          <c:showSerName val="0"/>
          <c:showPercent val="0"/>
          <c:showBubbleSize val="0"/>
        </c:dLbls>
        <c:gapWidth val="65"/>
        <c:overlap val="0"/>
        <c:axId val="876838378"/>
        <c:axId val="616419667"/>
      </c:barChart>
      <c:catAx>
        <c:axId val="876838378"/>
        <c:scaling>
          <c:orientation val="minMax"/>
        </c:scaling>
        <c:delete val="0"/>
        <c:axPos val="b"/>
        <c:majorTickMark val="none"/>
        <c:minorTickMark val="none"/>
        <c:tickLblPos val="nextTo"/>
        <c:spPr>
          <a:noFill/>
          <a:ln w="19050" cap="flat" cmpd="sng" algn="ctr">
            <a:solidFill>
              <a:schemeClr val="dk1">
                <a:lumMod val="75000"/>
                <a:lumOff val="25000"/>
              </a:schemeClr>
            </a:solidFill>
            <a:round/>
          </a:ln>
          <a:effectLst/>
        </c:spPr>
        <c:txPr>
          <a:bodyPr rot="-60000000" spcFirstLastPara="0" vertOverflow="ellipsis" vert="horz" wrap="square" anchor="ctr" anchorCtr="1"/>
          <a:lstStyle/>
          <a:p>
            <a:pPr>
              <a:defRPr lang="zh-CN" sz="900" b="0" i="0" u="none" strike="noStrike" kern="1200" cap="all" baseline="0">
                <a:solidFill>
                  <a:schemeClr val="dk1">
                    <a:lumMod val="75000"/>
                    <a:lumOff val="25000"/>
                  </a:schemeClr>
                </a:solidFill>
                <a:latin typeface="+mn-lt"/>
                <a:ea typeface="+mn-ea"/>
                <a:cs typeface="+mn-cs"/>
              </a:defRPr>
            </a:pPr>
          </a:p>
        </c:txPr>
        <c:crossAx val="616419667"/>
        <c:crosses val="autoZero"/>
        <c:auto val="1"/>
        <c:lblAlgn val="ctr"/>
        <c:lblOffset val="100"/>
        <c:noMultiLvlLbl val="0"/>
      </c:catAx>
      <c:valAx>
        <c:axId val="616419667"/>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txPr>
          <a:bodyPr rot="-6000000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crossAx val="876838378"/>
        <c:crosses val="autoZero"/>
        <c:crossBetween val="between"/>
      </c:valAx>
      <c:spPr>
        <a:noFill/>
        <a:ln>
          <a:noFill/>
        </a:ln>
        <a:effectLst/>
      </c:spPr>
    </c:plotArea>
    <c:legend>
      <c:legendPos val="b"/>
      <c:layout/>
      <c:overlay val="0"/>
      <c:spPr>
        <a:solidFill>
          <a:schemeClr val="lt1">
            <a:lumMod val="95000"/>
            <a:alpha val="39000"/>
          </a:schemeClr>
        </a:solidFill>
        <a:ln>
          <a:noFill/>
        </a:ln>
        <a:effectLst/>
      </c:spPr>
      <c:txPr>
        <a:bodyPr rot="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legend>
    <c:plotVisOnly val="1"/>
    <c:dispBlanksAs val="gap"/>
    <c:showDLblsOverMax val="0"/>
    <c:extLst>
      <c:ext uri="{0b15fc19-7d7d-44ad-8c2d-2c3a37ce22c3}">
        <chartProps xmlns="https://web.wps.cn/et/2018/main" chartId="{7986f991-afd8-4b4c-80dc-ccbb93660e75}"/>
      </c:ext>
    </c:extLst>
  </c:chart>
  <c: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dk1">
                    <a:lumMod val="65000"/>
                    <a:lumOff val="35000"/>
                  </a:schemeClr>
                </a:solidFill>
                <a:effectLst/>
                <a:latin typeface="+mn-lt"/>
                <a:ea typeface="+mn-ea"/>
                <a:cs typeface="+mn-cs"/>
              </a:defRPr>
            </a:pPr>
            <a:r>
              <a:rPr sz="1400" b="1"/>
              <a:t>一般公共预算财政拨款支出决算变动情况</a:t>
            </a:r>
            <a:endParaRPr sz="1400" b="1"/>
          </a:p>
        </c:rich>
      </c:tx>
      <c:layout>
        <c:manualLayout>
          <c:xMode val="edge"/>
          <c:yMode val="edge"/>
          <c:x val="0.193"/>
          <c:y val="0.0358470525756771"/>
        </c:manualLayout>
      </c:layout>
      <c:overlay val="0"/>
      <c:spPr>
        <a:noFill/>
        <a:ln>
          <a:noFill/>
        </a:ln>
        <a:effectLst/>
      </c:spPr>
    </c:title>
    <c:autoTitleDeleted val="0"/>
    <c:plotArea>
      <c:layout/>
      <c:barChart>
        <c:barDir val="col"/>
        <c:grouping val="clustered"/>
        <c:varyColors val="0"/>
        <c:ser>
          <c:idx val="0"/>
          <c:order val="0"/>
          <c:tx>
            <c:strRef>
              <c:f>Sheet1!$B$1</c:f>
              <c:strCache>
                <c:ptCount val="1"/>
                <c:pt idx="0">
                  <c:v>一般公共预算财政拨款支出</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a:solidFill>
                        <a:schemeClr val="dk1">
                          <a:lumMod val="50000"/>
                          <a:lumOff val="50000"/>
                        </a:schemeClr>
                      </a:solidFill>
                    </a:ln>
                    <a:effectLst/>
                  </c:spPr>
                </c15:leaderLines>
              </c:ext>
            </c:extLst>
          </c:dLbls>
          <c:cat>
            <c:strRef>
              <c:f>Sheet1!$A$2:$A$3</c:f>
              <c:strCache>
                <c:ptCount val="2"/>
                <c:pt idx="0">
                  <c:v>2020年</c:v>
                </c:pt>
                <c:pt idx="1">
                  <c:v>2021年</c:v>
                </c:pt>
              </c:strCache>
            </c:strRef>
          </c:cat>
          <c:val>
            <c:numRef>
              <c:f>Sheet1!$B$2:$B$3</c:f>
              <c:numCache>
                <c:formatCode>General</c:formatCode>
                <c:ptCount val="2"/>
                <c:pt idx="0">
                  <c:v>1162.38</c:v>
                </c:pt>
                <c:pt idx="1">
                  <c:v>1126.24</c:v>
                </c:pt>
              </c:numCache>
            </c:numRef>
          </c:val>
        </c:ser>
        <c:dLbls>
          <c:showLegendKey val="0"/>
          <c:showVal val="1"/>
          <c:showCatName val="0"/>
          <c:showSerName val="0"/>
          <c:showPercent val="0"/>
          <c:showBubbleSize val="0"/>
        </c:dLbls>
        <c:gapWidth val="41"/>
        <c:overlap val="0"/>
        <c:axId val="134079981"/>
        <c:axId val="758071448"/>
      </c:barChart>
      <c:catAx>
        <c:axId val="134079981"/>
        <c:scaling>
          <c:orientation val="minMax"/>
        </c:scaling>
        <c:delete val="0"/>
        <c:axPos val="b"/>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dk1">
                    <a:lumMod val="65000"/>
                    <a:lumOff val="35000"/>
                  </a:schemeClr>
                </a:solidFill>
                <a:effectLst/>
                <a:latin typeface="+mn-lt"/>
                <a:ea typeface="+mn-ea"/>
                <a:cs typeface="+mn-cs"/>
              </a:defRPr>
            </a:pPr>
          </a:p>
        </c:txPr>
        <c:crossAx val="758071448"/>
        <c:crosses val="autoZero"/>
        <c:auto val="1"/>
        <c:lblAlgn val="ctr"/>
        <c:lblOffset val="100"/>
        <c:noMultiLvlLbl val="0"/>
      </c:catAx>
      <c:valAx>
        <c:axId val="758071448"/>
        <c:scaling>
          <c:orientation val="minMax"/>
        </c:scaling>
        <c:delete val="1"/>
        <c:axPos val="l"/>
        <c:numFmt formatCode="General" sourceLinked="1"/>
        <c:majorTickMark val="none"/>
        <c:minorTickMark val="none"/>
        <c:tickLblPos val="nextTo"/>
        <c:txPr>
          <a:bodyPr rot="-6000000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p>
        </c:txPr>
        <c:crossAx val="134079981"/>
        <c:crosses val="autoZero"/>
        <c:crossBetween val="between"/>
      </c:valAx>
      <c:spPr>
        <a:noFill/>
        <a:ln>
          <a:noFill/>
        </a:ln>
        <a:effectLst/>
      </c:spPr>
    </c:plotArea>
    <c:legend>
      <c:legendPos val="t"/>
      <c:legendEntry>
        <c:idx val="0"/>
        <c:txPr>
          <a:bodyPr rot="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p>
        </c:txPr>
      </c:legendEntry>
      <c:layout>
        <c:manualLayout>
          <c:xMode val="edge"/>
          <c:yMode val="edge"/>
          <c:x val="0.346625"/>
          <c:y val="0.19915029208709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759c481-f2cb-4935-8381-3a98a0c464ac}"/>
      </c:ext>
    </c:extLst>
  </c:chart>
  <c:spPr>
    <a:gradFill flip="none" rotWithShape="1">
      <a:gsLst>
        <a:gs pos="0">
          <a:schemeClr val="lt1"/>
        </a:gs>
        <a:gs pos="68000">
          <a:schemeClr val="lt1">
            <a:lumMod val="85000"/>
          </a:schemeClr>
        </a:gs>
        <a:gs pos="100000">
          <a:schemeClr val="lt1"/>
        </a:gs>
      </a:gsLst>
      <a:lin ang="5400000" scaled="1"/>
    </a:gradFill>
    <a:ln w="9525" cap="flat" cmpd="sng" algn="ctr">
      <a:solidFill>
        <a:schemeClr val="dk1">
          <a:lumMod val="15000"/>
          <a:lumOff val="85000"/>
        </a:schemeClr>
      </a:solidFill>
      <a:round/>
    </a:ln>
    <a:effectLst/>
  </c:spPr>
  <c:txPr>
    <a:bodyPr/>
    <a:lstStyle/>
    <a:p>
      <a:pPr>
        <a:defRPr lang="zh-CN" sz="900"/>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800" b="1" i="0" u="none" strike="noStrike" kern="1200" baseline="0">
                <a:solidFill>
                  <a:schemeClr val="dk1">
                    <a:lumMod val="65000"/>
                    <a:lumOff val="35000"/>
                  </a:schemeClr>
                </a:solidFill>
                <a:latin typeface="+mn-lt"/>
                <a:ea typeface="+mn-ea"/>
                <a:cs typeface="+mn-cs"/>
              </a:defRPr>
            </a:pPr>
            <a:r>
              <a:t>一般公共预算财政拨款支出决算结构</a:t>
            </a:r>
          </a:p>
        </c:rich>
      </c:tx>
      <c:layout/>
      <c:overlay val="0"/>
      <c:spPr>
        <a:noFill/>
        <a:ln>
          <a:noFill/>
        </a:ln>
        <a:effectLst/>
      </c:spPr>
    </c:title>
    <c:autoTitleDeleted val="0"/>
    <c:plotArea>
      <c:layout/>
      <c:pieChart>
        <c:varyColors val="1"/>
        <c:ser>
          <c:idx val="0"/>
          <c:order val="0"/>
          <c:tx>
            <c:strRef>
              <c:f>Sheet1!$B$1</c:f>
              <c:strCache>
                <c:ptCount val="1"/>
                <c:pt idx="0">
                  <c:v>占比</c:v>
                </c:pt>
              </c:strCache>
            </c:strRef>
          </c:tx>
          <c:spPr/>
          <c:explosion val="0"/>
          <c:dPt>
            <c:idx val="0"/>
            <c:bubble3D val="0"/>
            <c:spPr>
              <a:solidFill>
                <a:schemeClr val="accent1"/>
              </a:solidFill>
              <a:ln>
                <a:noFill/>
              </a:ln>
              <a:effectLst>
                <a:outerShdw blurRad="317500" algn="ctr" rotWithShape="0">
                  <a:prstClr val="black">
                    <a:alpha val="25000"/>
                  </a:prstClr>
                </a:outerShdw>
              </a:effectLst>
            </c:spPr>
          </c:dPt>
          <c:dLbls>
            <c:dLbl>
              <c:idx val="0"/>
              <c:layout>
                <c:manualLayout>
                  <c:x val="-0.00187524234346355"/>
                  <c:y val="-0.363504402515277"/>
                </c:manualLayout>
              </c:layout>
              <c:dLblPos val="bestFit"/>
              <c:showLegendKey val="0"/>
              <c:showVal val="0"/>
              <c:showCatName val="0"/>
              <c:showSerName val="0"/>
              <c:showPercent val="1"/>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c:f>
              <c:strCache>
                <c:ptCount val="1"/>
                <c:pt idx="0">
                  <c:v>教育支出（类）</c:v>
                </c:pt>
              </c:strCache>
            </c:strRef>
          </c:cat>
          <c:val>
            <c:numRef>
              <c:f>Sheet1!$B$2</c:f>
              <c:numCache>
                <c:formatCode>General</c:formatCode>
                <c:ptCount val="1"/>
                <c:pt idx="0">
                  <c:v>100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layout/>
      <c:overlay val="0"/>
      <c:spPr>
        <a:solidFill>
          <a:schemeClr val="lt1">
            <a:alpha val="78000"/>
          </a:schemeClr>
        </a:solidFill>
        <a:ln>
          <a:noFill/>
        </a:ln>
        <a:effectLst/>
      </c:spPr>
      <c:txPr>
        <a:bodyPr rot="0" spcFirstLastPara="0" vertOverflow="ellipsis" vert="horz" wrap="square" anchor="ctr" anchorCtr="1"/>
        <a:lstStyle/>
        <a:p>
          <a:pPr>
            <a:defRPr lang="zh-CN" sz="900" b="0" i="0" u="none" strike="noStrike" kern="1200" baseline="0">
              <a:solidFill>
                <a:schemeClr val="dk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aae99756-ff47-4795-9491-588024344f71}"/>
      </c:ext>
    </c:extLst>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600" b="1" i="0" u="none" strike="noStrike" kern="1200" baseline="0">
                <a:solidFill>
                  <a:schemeClr val="tx2"/>
                </a:solidFill>
                <a:latin typeface="+mn-lt"/>
                <a:ea typeface="+mn-ea"/>
                <a:cs typeface="+mn-cs"/>
              </a:defRPr>
            </a:pPr>
            <a:r>
              <a:t>“三公”经费财政拨款支出结构</a:t>
            </a:r>
          </a:p>
        </c:rich>
      </c:tx>
      <c:layout/>
      <c:overlay val="0"/>
      <c:spPr>
        <a:noFill/>
        <a:ln>
          <a:noFill/>
        </a:ln>
        <a:effectLst/>
      </c:spPr>
    </c:title>
    <c:autoTitleDeleted val="0"/>
    <c:plotArea>
      <c:layout/>
      <c:pieChart>
        <c:varyColors val="1"/>
        <c:ser>
          <c:idx val="0"/>
          <c:order val="0"/>
          <c:tx>
            <c:strRef>
              <c:f>Sheet1!$B$1</c:f>
              <c:strCache>
                <c:ptCount val="1"/>
                <c:pt idx="0">
                  <c:v>占比</c:v>
                </c:pt>
              </c:strCache>
            </c:strRef>
          </c:tx>
          <c:spPr/>
          <c:explosion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dPt>
          <c:dLbls>
            <c:dLbl>
              <c:idx val="0"/>
              <c:delete val="1"/>
            </c:dLbl>
            <c:dLbl>
              <c:idx val="1"/>
              <c:delete val="1"/>
            </c:dLbl>
            <c:dLbl>
              <c:idx val="2"/>
              <c:layout>
                <c:manualLayout>
                  <c:x val="0.00187439869773377"/>
                  <c:y val="-0.326576072262015"/>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2"/>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Sheet1!$A$2:$A$4</c:f>
              <c:strCache>
                <c:ptCount val="3"/>
                <c:pt idx="0">
                  <c:v>因公出国（境）费支出</c:v>
                </c:pt>
                <c:pt idx="1">
                  <c:v>公务用车购置及运行维护费支出</c:v>
                </c:pt>
                <c:pt idx="2">
                  <c:v>公务接待费支出</c:v>
                </c:pt>
              </c:strCache>
            </c:strRef>
          </c:cat>
          <c:val>
            <c:numRef>
              <c:f>Sheet1!$B$2:$B$4</c:f>
              <c:numCache>
                <c:formatCode>0%</c:formatCode>
                <c:ptCount val="3"/>
                <c:pt idx="0">
                  <c:v>0</c:v>
                </c:pt>
                <c:pt idx="1">
                  <c:v>0</c:v>
                </c:pt>
                <c:pt idx="2">
                  <c:v>1</c:v>
                </c:pt>
              </c:numCache>
            </c:numRef>
          </c:val>
        </c:ser>
        <c:dLbls>
          <c:showLegendKey val="0"/>
          <c:showVal val="1"/>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2"/>
              </a:solidFill>
              <a:latin typeface="+mn-lt"/>
              <a:ea typeface="+mn-ea"/>
              <a:cs typeface="+mn-cs"/>
            </a:defRPr>
          </a:pPr>
        </a:p>
      </c:txPr>
    </c:legend>
    <c:plotVisOnly val="1"/>
    <c:dispBlanksAs val="gap"/>
    <c:showDLblsOverMax val="0"/>
    <c:extLst>
      <c:ext uri="{0b15fc19-7d7d-44ad-8c2d-2c3a37ce22c3}">
        <chartProps xmlns="https://web.wps.cn/et/2018/main" chartId="{54515552-c27e-42eb-b4ff-2097e90f1002}"/>
      </c:ext>
    </c:extLst>
  </c:chart>
  <c:spPr>
    <a:solidFill>
      <a:schemeClr val="bg1"/>
    </a:solidFill>
    <a:ln w="9525" cap="flat" cmpd="sng" algn="ctr">
      <a:solidFill>
        <a:schemeClr val="tx2">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四川省财政厅</Company>
  <Pages>21</Pages>
  <Words>7440</Words>
  <Characters>7879</Characters>
  <Lines>47</Lines>
  <Paragraphs>13</Paragraphs>
  <TotalTime>3</TotalTime>
  <ScaleCrop>false</ScaleCrop>
  <LinksUpToDate>false</LinksUpToDate>
  <CharactersWithSpaces>7946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2020-08-05T01:49:00Z</dcterms:created>
  <dc:creator>曹颖</dc:creator>
  <cp:lastModifiedBy>昭化融媒体</cp:lastModifiedBy>
  <cp:lastPrinted>2022-09-27T03:56:00Z</cp:lastPrinted>
  <dcterms:modified xsi:type="dcterms:W3CDTF">2025-01-06T05:17:19Z</dcterms:modified>
  <dc:title>四川省***</dc:title>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90E9467CCEFE4D188C1A3EBDCF3991AB</vt:lpwstr>
  </property>
  <property fmtid="{D5CDD505-2E9C-101B-9397-08002B2CF9AE}" pid="4" name="KSOTemplateDocerSaveRecord">
    <vt:lpwstr>eyJoZGlkIjoiMGVhYTg4NGNkZWJkODFjNzcyZDRjM2M4Y2UzNjI5ZmUiLCJ1c2VySWQiOiI2MTE2MzEwMDYifQ==</vt:lpwstr>
  </property>
</Properties>
</file>