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9B645">
      <w:pPr>
        <w:spacing w:line="600" w:lineRule="exact"/>
        <w:jc w:val="center"/>
        <w:outlineLvl w:val="0"/>
        <w:rPr>
          <w:rFonts w:ascii="方正小标宋简体" w:hAnsi="宋体" w:eastAsia="方正小标宋简体"/>
          <w:sz w:val="72"/>
          <w:szCs w:val="72"/>
        </w:rPr>
      </w:pPr>
      <w:bookmarkStart w:id="0" w:name="_Toc15306267"/>
    </w:p>
    <w:p w14:paraId="3C708654">
      <w:pPr>
        <w:spacing w:line="600" w:lineRule="exact"/>
        <w:jc w:val="center"/>
        <w:outlineLvl w:val="0"/>
        <w:rPr>
          <w:rFonts w:ascii="方正小标宋简体" w:hAnsi="宋体" w:eastAsia="方正小标宋简体"/>
          <w:sz w:val="72"/>
          <w:szCs w:val="72"/>
        </w:rPr>
      </w:pPr>
    </w:p>
    <w:p w14:paraId="2D22EB26">
      <w:pPr>
        <w:spacing w:line="600" w:lineRule="exact"/>
        <w:jc w:val="center"/>
        <w:outlineLvl w:val="0"/>
        <w:rPr>
          <w:rFonts w:ascii="方正小标宋简体" w:hAnsi="宋体" w:eastAsia="方正小标宋简体"/>
          <w:sz w:val="72"/>
          <w:szCs w:val="72"/>
        </w:rPr>
      </w:pPr>
    </w:p>
    <w:p w14:paraId="12F5C9A8">
      <w:pPr>
        <w:spacing w:line="600" w:lineRule="exact"/>
        <w:jc w:val="center"/>
        <w:outlineLvl w:val="0"/>
        <w:rPr>
          <w:rFonts w:ascii="方正小标宋简体" w:hAnsi="宋体" w:eastAsia="方正小标宋简体"/>
          <w:sz w:val="72"/>
          <w:szCs w:val="72"/>
        </w:rPr>
      </w:pPr>
    </w:p>
    <w:p w14:paraId="6679DE99">
      <w:pPr>
        <w:adjustRightInd w:val="0"/>
        <w:snapToGrid w:val="0"/>
        <w:spacing w:line="360" w:lineRule="auto"/>
        <w:jc w:val="center"/>
        <w:outlineLvl w:val="0"/>
        <w:rPr>
          <w:rFonts w:ascii="方正小标宋_GBK" w:hAnsi="方正小标宋_GBK" w:eastAsia="方正小标宋_GBK" w:cs="方正小标宋_GBK"/>
          <w:sz w:val="72"/>
          <w:szCs w:val="72"/>
        </w:rPr>
      </w:pPr>
      <w:bookmarkStart w:id="1" w:name="_Toc15378441"/>
      <w:bookmarkStart w:id="2" w:name="_Toc15377425"/>
      <w:bookmarkStart w:id="3" w:name="_Toc15396597"/>
      <w:bookmarkStart w:id="4" w:name="_Toc15396475"/>
      <w:bookmarkStart w:id="5" w:name="_Toc1681"/>
      <w:bookmarkStart w:id="6" w:name="_Toc15377193"/>
      <w:bookmarkStart w:id="7" w:name="_Toc23980"/>
      <w:r>
        <w:rPr>
          <w:rFonts w:hint="eastAsia" w:ascii="方正小标宋_GBK" w:hAnsi="方正小标宋_GBK" w:eastAsia="方正小标宋_GBK" w:cs="方正小标宋_GBK"/>
          <w:sz w:val="72"/>
          <w:szCs w:val="72"/>
        </w:rPr>
        <w:t>2021年度</w:t>
      </w:r>
      <w:bookmarkEnd w:id="1"/>
      <w:bookmarkEnd w:id="2"/>
      <w:bookmarkEnd w:id="3"/>
      <w:bookmarkEnd w:id="4"/>
      <w:bookmarkEnd w:id="5"/>
      <w:bookmarkEnd w:id="6"/>
      <w:bookmarkEnd w:id="7"/>
    </w:p>
    <w:p w14:paraId="793BE530">
      <w:pPr>
        <w:adjustRightInd w:val="0"/>
        <w:snapToGrid w:val="0"/>
        <w:spacing w:line="360" w:lineRule="auto"/>
        <w:jc w:val="center"/>
        <w:outlineLvl w:val="0"/>
        <w:rPr>
          <w:rFonts w:hint="eastAsia" w:ascii="方正小标宋_GBK" w:hAnsi="方正小标宋_GBK" w:eastAsia="方正小标宋_GBK" w:cs="方正小标宋_GBK"/>
          <w:sz w:val="72"/>
          <w:szCs w:val="72"/>
        </w:rPr>
      </w:pPr>
      <w:bookmarkStart w:id="8" w:name="_Toc17433"/>
      <w:bookmarkStart w:id="9" w:name="_Toc1473"/>
      <w:bookmarkStart w:id="10" w:name="_Toc15396476"/>
      <w:bookmarkStart w:id="11" w:name="_Toc15377426"/>
      <w:bookmarkStart w:id="12" w:name="_Toc15396598"/>
      <w:bookmarkStart w:id="13" w:name="_Toc15377194"/>
      <w:bookmarkStart w:id="14" w:name="_Toc15378442"/>
      <w:r>
        <w:rPr>
          <w:rFonts w:hint="eastAsia" w:ascii="方正小标宋_GBK" w:hAnsi="方正小标宋_GBK" w:eastAsia="方正小标宋_GBK" w:cs="方正小标宋_GBK"/>
          <w:sz w:val="72"/>
          <w:szCs w:val="72"/>
        </w:rPr>
        <w:t>四川省</w:t>
      </w:r>
      <w:bookmarkEnd w:id="0"/>
      <w:bookmarkStart w:id="15" w:name="_Toc15306268"/>
      <w:r>
        <w:rPr>
          <w:rFonts w:hint="eastAsia" w:ascii="方正小标宋_GBK" w:hAnsi="方正小标宋_GBK" w:eastAsia="方正小标宋_GBK" w:cs="方正小标宋_GBK"/>
          <w:sz w:val="72"/>
          <w:szCs w:val="72"/>
        </w:rPr>
        <w:t>广元市昭化</w:t>
      </w:r>
      <w:bookmarkStart w:id="111" w:name="_GoBack"/>
      <w:bookmarkEnd w:id="111"/>
      <w:r>
        <w:rPr>
          <w:rFonts w:hint="eastAsia" w:ascii="方正小标宋_GBK" w:hAnsi="方正小标宋_GBK" w:eastAsia="方正小标宋_GBK" w:cs="方正小标宋_GBK"/>
          <w:sz w:val="72"/>
          <w:szCs w:val="72"/>
        </w:rPr>
        <w:t>区</w:t>
      </w:r>
      <w:bookmarkEnd w:id="8"/>
      <w:bookmarkEnd w:id="9"/>
    </w:p>
    <w:p w14:paraId="69E7090F">
      <w:pPr>
        <w:adjustRightInd w:val="0"/>
        <w:snapToGrid w:val="0"/>
        <w:spacing w:line="360" w:lineRule="auto"/>
        <w:jc w:val="center"/>
        <w:outlineLvl w:val="0"/>
        <w:rPr>
          <w:rFonts w:ascii="方正小标宋_GBK" w:hAnsi="方正小标宋_GBK" w:eastAsia="方正小标宋_GBK" w:cs="方正小标宋_GBK"/>
          <w:sz w:val="72"/>
          <w:szCs w:val="72"/>
        </w:rPr>
      </w:pPr>
      <w:bookmarkStart w:id="16" w:name="_Toc2341"/>
      <w:bookmarkStart w:id="17" w:name="_Toc9679"/>
      <w:r>
        <w:rPr>
          <w:rFonts w:hint="eastAsia" w:ascii="方正小标宋_GBK" w:hAnsi="方正小标宋_GBK" w:eastAsia="方正小标宋_GBK" w:cs="方正小标宋_GBK"/>
          <w:sz w:val="72"/>
          <w:szCs w:val="72"/>
          <w:lang w:eastAsia="zh-CN"/>
        </w:rPr>
        <w:t>太公初级中学</w:t>
      </w:r>
      <w:r>
        <w:rPr>
          <w:rFonts w:hint="eastAsia" w:ascii="方正小标宋_GBK" w:hAnsi="方正小标宋_GBK" w:eastAsia="方正小标宋_GBK" w:cs="方正小标宋_GBK"/>
          <w:sz w:val="72"/>
          <w:szCs w:val="72"/>
        </w:rPr>
        <w:t>单位决算</w:t>
      </w:r>
      <w:bookmarkEnd w:id="10"/>
      <w:bookmarkEnd w:id="11"/>
      <w:bookmarkEnd w:id="12"/>
      <w:bookmarkEnd w:id="13"/>
      <w:bookmarkEnd w:id="14"/>
      <w:bookmarkEnd w:id="15"/>
      <w:bookmarkEnd w:id="16"/>
      <w:bookmarkEnd w:id="17"/>
    </w:p>
    <w:p w14:paraId="7B405AA9">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14:paraId="4DFA5512">
      <w:pPr>
        <w:pStyle w:val="13"/>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TOC \o "1-2" \h \u </w:instrText>
      </w:r>
      <w:r>
        <w:rPr>
          <w:rFonts w:hint="eastAsia" w:ascii="仿宋" w:hAnsi="仿宋" w:eastAsia="仿宋" w:cs="仿宋"/>
          <w:sz w:val="24"/>
          <w:szCs w:val="24"/>
        </w:rPr>
        <w:fldChar w:fldCharType="separate"/>
      </w:r>
    </w:p>
    <w:p w14:paraId="26E62CD6">
      <w:pPr>
        <w:pStyle w:val="13"/>
        <w:tabs>
          <w:tab w:val="right" w:leader="dot" w:pos="8306"/>
          <w:tab w:val="clear" w:pos="8296"/>
        </w:tabs>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_Toc17785 </w:instrText>
      </w:r>
      <w:r>
        <w:rPr>
          <w:rFonts w:hint="eastAsia" w:ascii="宋体" w:hAnsi="宋体" w:eastAsia="宋体" w:cs="宋体"/>
          <w:sz w:val="24"/>
          <w:szCs w:val="24"/>
        </w:rPr>
        <w:fldChar w:fldCharType="separate"/>
      </w:r>
      <w:r>
        <w:rPr>
          <w:rFonts w:hint="eastAsia" w:ascii="宋体" w:hAnsi="宋体" w:eastAsia="宋体" w:cs="宋体"/>
          <w:sz w:val="24"/>
          <w:szCs w:val="24"/>
        </w:rPr>
        <w:t>第一部分 单位概况</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_Toc17785 \h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1B61D63">
      <w:pPr>
        <w:pStyle w:val="14"/>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_Toc7404 </w:instrText>
      </w:r>
      <w:r>
        <w:rPr>
          <w:rFonts w:hint="eastAsia" w:ascii="仿宋" w:hAnsi="仿宋" w:eastAsia="仿宋" w:cs="仿宋"/>
          <w:sz w:val="24"/>
          <w:szCs w:val="24"/>
        </w:rPr>
        <w:fldChar w:fldCharType="separate"/>
      </w:r>
      <w:r>
        <w:rPr>
          <w:rFonts w:hint="eastAsia" w:ascii="仿宋" w:hAnsi="仿宋" w:eastAsia="仿宋" w:cs="仿宋"/>
          <w:sz w:val="24"/>
          <w:szCs w:val="24"/>
        </w:rPr>
        <w:t>一、 职能简介</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_Toc7404 \h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5A6E1E59">
      <w:pPr>
        <w:pStyle w:val="14"/>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_Toc4463 </w:instrText>
      </w:r>
      <w:r>
        <w:rPr>
          <w:rFonts w:hint="eastAsia" w:ascii="仿宋" w:hAnsi="仿宋" w:eastAsia="仿宋" w:cs="仿宋"/>
          <w:sz w:val="24"/>
          <w:szCs w:val="24"/>
        </w:rPr>
        <w:fldChar w:fldCharType="separate"/>
      </w:r>
      <w:r>
        <w:rPr>
          <w:rFonts w:hint="eastAsia" w:ascii="仿宋" w:hAnsi="仿宋" w:eastAsia="仿宋" w:cs="仿宋"/>
          <w:sz w:val="24"/>
          <w:szCs w:val="24"/>
        </w:rPr>
        <w:t>二、2021年重点工作完成情况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_Toc4463 \h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1143175D">
      <w:pPr>
        <w:pStyle w:val="13"/>
        <w:tabs>
          <w:tab w:val="right" w:leader="dot" w:pos="8306"/>
          <w:tab w:val="clear" w:pos="8296"/>
        </w:tabs>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_Toc10437 </w:instrText>
      </w:r>
      <w:r>
        <w:rPr>
          <w:rFonts w:hint="eastAsia" w:ascii="宋体" w:hAnsi="宋体" w:eastAsia="宋体" w:cs="宋体"/>
          <w:sz w:val="24"/>
          <w:szCs w:val="24"/>
        </w:rPr>
        <w:fldChar w:fldCharType="separate"/>
      </w:r>
      <w:r>
        <w:rPr>
          <w:rFonts w:hint="eastAsia" w:ascii="宋体" w:hAnsi="宋体" w:eastAsia="宋体" w:cs="宋体"/>
          <w:sz w:val="24"/>
          <w:szCs w:val="24"/>
        </w:rPr>
        <w:t>第二部分 2021年度单位决算情况说明</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_Toc10437 \h </w:instrText>
      </w:r>
      <w:r>
        <w:rPr>
          <w:rFonts w:hint="eastAsia" w:ascii="宋体" w:hAnsi="宋体" w:eastAsia="宋体" w:cs="宋体"/>
          <w:sz w:val="24"/>
          <w:szCs w:val="24"/>
        </w:rPr>
        <w:fldChar w:fldCharType="separate"/>
      </w:r>
      <w:r>
        <w:rPr>
          <w:rFonts w:hint="eastAsia" w:ascii="宋体" w:hAnsi="宋体" w:eastAsia="宋体" w:cs="宋体"/>
          <w:sz w:val="24"/>
          <w:szCs w:val="24"/>
        </w:rPr>
        <w:t>13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FC371F9">
      <w:pPr>
        <w:pStyle w:val="14"/>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_Toc5075 </w:instrText>
      </w:r>
      <w:r>
        <w:rPr>
          <w:rFonts w:hint="eastAsia" w:ascii="仿宋" w:hAnsi="仿宋" w:eastAsia="仿宋" w:cs="仿宋"/>
          <w:sz w:val="24"/>
          <w:szCs w:val="24"/>
        </w:rPr>
        <w:fldChar w:fldCharType="separate"/>
      </w:r>
      <w:r>
        <w:rPr>
          <w:rFonts w:hint="eastAsia" w:ascii="仿宋" w:hAnsi="仿宋" w:eastAsia="仿宋" w:cs="仿宋"/>
          <w:sz w:val="24"/>
          <w:szCs w:val="24"/>
        </w:rPr>
        <w:t>一、 收入支出决算总体情况说明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_Toc5075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71DCE29B">
      <w:pPr>
        <w:pStyle w:val="14"/>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_Toc11923 </w:instrText>
      </w:r>
      <w:r>
        <w:rPr>
          <w:rFonts w:hint="eastAsia" w:ascii="仿宋" w:hAnsi="仿宋" w:eastAsia="仿宋" w:cs="仿宋"/>
          <w:sz w:val="24"/>
          <w:szCs w:val="24"/>
        </w:rPr>
        <w:fldChar w:fldCharType="separate"/>
      </w:r>
      <w:r>
        <w:rPr>
          <w:rFonts w:hint="eastAsia" w:ascii="仿宋" w:hAnsi="仿宋" w:eastAsia="仿宋" w:cs="仿宋"/>
          <w:sz w:val="24"/>
          <w:szCs w:val="24"/>
        </w:rPr>
        <w:t>二、 收入决算情况说明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_Toc11923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213B0BA0">
      <w:pPr>
        <w:pStyle w:val="14"/>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_Toc2775 </w:instrText>
      </w:r>
      <w:r>
        <w:rPr>
          <w:rFonts w:hint="eastAsia" w:ascii="仿宋" w:hAnsi="仿宋" w:eastAsia="仿宋" w:cs="仿宋"/>
          <w:sz w:val="24"/>
          <w:szCs w:val="24"/>
        </w:rPr>
        <w:fldChar w:fldCharType="separate"/>
      </w:r>
      <w:r>
        <w:rPr>
          <w:rFonts w:hint="eastAsia" w:ascii="仿宋" w:hAnsi="仿宋" w:eastAsia="仿宋" w:cs="仿宋"/>
          <w:sz w:val="24"/>
          <w:szCs w:val="24"/>
          <w:lang w:eastAsia="zh-CN"/>
        </w:rPr>
        <w:t>三、</w:t>
      </w:r>
      <w:r>
        <w:rPr>
          <w:rFonts w:hint="eastAsia" w:ascii="仿宋" w:hAnsi="仿宋" w:eastAsia="仿宋" w:cs="仿宋"/>
          <w:sz w:val="24"/>
          <w:szCs w:val="24"/>
        </w:rPr>
        <w:t>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_Toc2775 \h </w:instrText>
      </w:r>
      <w:r>
        <w:rPr>
          <w:rFonts w:hint="eastAsia" w:ascii="仿宋" w:hAnsi="仿宋" w:eastAsia="仿宋" w:cs="仿宋"/>
          <w:sz w:val="24"/>
          <w:szCs w:val="24"/>
        </w:rPr>
        <w:fldChar w:fldCharType="separate"/>
      </w:r>
      <w:r>
        <w:rPr>
          <w:rFonts w:hint="eastAsia" w:ascii="仿宋" w:hAnsi="仿宋" w:eastAsia="仿宋" w:cs="仿宋"/>
          <w:sz w:val="24"/>
          <w:szCs w:val="24"/>
        </w:rPr>
        <w:t>14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6FA14304">
      <w:pPr>
        <w:pStyle w:val="14"/>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_Toc12678 </w:instrText>
      </w:r>
      <w:r>
        <w:rPr>
          <w:rFonts w:hint="eastAsia" w:ascii="仿宋" w:hAnsi="仿宋" w:eastAsia="仿宋" w:cs="仿宋"/>
          <w:sz w:val="24"/>
          <w:szCs w:val="24"/>
        </w:rPr>
        <w:fldChar w:fldCharType="separate"/>
      </w:r>
      <w:r>
        <w:rPr>
          <w:rFonts w:hint="eastAsia" w:ascii="仿宋" w:hAnsi="仿宋" w:eastAsia="仿宋" w:cs="仿宋"/>
          <w:sz w:val="24"/>
          <w:szCs w:val="24"/>
        </w:rPr>
        <w:t>四、财政拨款收入支出决算总体情况说明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_Toc12678 \h </w:instrText>
      </w:r>
      <w:r>
        <w:rPr>
          <w:rFonts w:hint="eastAsia" w:ascii="仿宋" w:hAnsi="仿宋" w:eastAsia="仿宋" w:cs="仿宋"/>
          <w:sz w:val="24"/>
          <w:szCs w:val="24"/>
        </w:rPr>
        <w:fldChar w:fldCharType="separate"/>
      </w:r>
      <w:r>
        <w:rPr>
          <w:rFonts w:hint="eastAsia" w:ascii="仿宋" w:hAnsi="仿宋" w:eastAsia="仿宋" w:cs="仿宋"/>
          <w:sz w:val="24"/>
          <w:szCs w:val="24"/>
        </w:rPr>
        <w:t>14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28C951CA">
      <w:pPr>
        <w:pStyle w:val="14"/>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_Toc16782 </w:instrText>
      </w:r>
      <w:r>
        <w:rPr>
          <w:rFonts w:hint="eastAsia" w:ascii="仿宋" w:hAnsi="仿宋" w:eastAsia="仿宋" w:cs="仿宋"/>
          <w:sz w:val="24"/>
          <w:szCs w:val="24"/>
        </w:rPr>
        <w:fldChar w:fldCharType="separate"/>
      </w:r>
      <w:r>
        <w:rPr>
          <w:rFonts w:hint="eastAsia" w:ascii="仿宋" w:hAnsi="仿宋" w:eastAsia="仿宋" w:cs="仿宋"/>
          <w:sz w:val="24"/>
          <w:szCs w:val="24"/>
        </w:rPr>
        <w:t>五、一般公共预算财政拨款支出决算情况说明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_Toc16782 \h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09D30CFB">
      <w:pPr>
        <w:pStyle w:val="14"/>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_Toc23757 </w:instrText>
      </w:r>
      <w:r>
        <w:rPr>
          <w:rFonts w:hint="eastAsia" w:ascii="仿宋" w:hAnsi="仿宋" w:eastAsia="仿宋" w:cs="仿宋"/>
          <w:sz w:val="24"/>
          <w:szCs w:val="24"/>
        </w:rPr>
        <w:fldChar w:fldCharType="separate"/>
      </w:r>
      <w:r>
        <w:rPr>
          <w:rFonts w:hint="eastAsia" w:ascii="仿宋" w:hAnsi="仿宋" w:eastAsia="仿宋" w:cs="仿宋"/>
          <w:sz w:val="24"/>
          <w:szCs w:val="24"/>
        </w:rPr>
        <w:t>六、一般公共预算财政拨款基本支出决算情况说明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_Toc23757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50B2AA24">
      <w:pPr>
        <w:pStyle w:val="14"/>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_Toc16373 </w:instrText>
      </w:r>
      <w:r>
        <w:rPr>
          <w:rFonts w:hint="eastAsia" w:ascii="仿宋" w:hAnsi="仿宋" w:eastAsia="仿宋" w:cs="仿宋"/>
          <w:sz w:val="24"/>
          <w:szCs w:val="24"/>
        </w:rPr>
        <w:fldChar w:fldCharType="separate"/>
      </w:r>
      <w:r>
        <w:rPr>
          <w:rFonts w:hint="eastAsia" w:ascii="仿宋" w:hAnsi="仿宋" w:eastAsia="仿宋" w:cs="仿宋"/>
          <w:sz w:val="24"/>
          <w:szCs w:val="24"/>
        </w:rPr>
        <w:t>七、“三公”经费财政拨款支出决算情况说明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_Toc16373 \h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58557CEA">
      <w:pPr>
        <w:pStyle w:val="14"/>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_Toc29438 </w:instrText>
      </w:r>
      <w:r>
        <w:rPr>
          <w:rFonts w:hint="eastAsia" w:ascii="仿宋" w:hAnsi="仿宋" w:eastAsia="仿宋" w:cs="仿宋"/>
          <w:sz w:val="24"/>
          <w:szCs w:val="24"/>
        </w:rPr>
        <w:fldChar w:fldCharType="separate"/>
      </w:r>
      <w:r>
        <w:rPr>
          <w:rFonts w:hint="eastAsia" w:ascii="仿宋" w:hAnsi="仿宋" w:eastAsia="仿宋" w:cs="仿宋"/>
          <w:sz w:val="24"/>
          <w:szCs w:val="24"/>
        </w:rPr>
        <w:t>八、政府性基金预算支出决算情况说明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_Toc29438 \h </w:instrText>
      </w:r>
      <w:r>
        <w:rPr>
          <w:rFonts w:hint="eastAsia" w:ascii="仿宋" w:hAnsi="仿宋" w:eastAsia="仿宋" w:cs="仿宋"/>
          <w:sz w:val="24"/>
          <w:szCs w:val="24"/>
        </w:rPr>
        <w:fldChar w:fldCharType="separate"/>
      </w:r>
      <w:r>
        <w:rPr>
          <w:rFonts w:hint="eastAsia" w:ascii="仿宋" w:hAnsi="仿宋" w:eastAsia="仿宋" w:cs="仿宋"/>
          <w:sz w:val="24"/>
          <w:szCs w:val="24"/>
        </w:rPr>
        <w:t>18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14366E7B">
      <w:pPr>
        <w:pStyle w:val="14"/>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_Toc4818 </w:instrText>
      </w:r>
      <w:r>
        <w:rPr>
          <w:rFonts w:hint="eastAsia" w:ascii="仿宋" w:hAnsi="仿宋" w:eastAsia="仿宋" w:cs="仿宋"/>
          <w:sz w:val="24"/>
          <w:szCs w:val="24"/>
        </w:rPr>
        <w:fldChar w:fldCharType="separate"/>
      </w:r>
      <w:r>
        <w:rPr>
          <w:rFonts w:hint="eastAsia" w:ascii="仿宋" w:hAnsi="仿宋" w:eastAsia="仿宋" w:cs="仿宋"/>
          <w:sz w:val="24"/>
          <w:szCs w:val="24"/>
        </w:rPr>
        <w:t>九、 国有资本经营预算支出决算情况说明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_Toc4818 \h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383FFF07">
      <w:pPr>
        <w:pStyle w:val="14"/>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_Toc23871 </w:instrText>
      </w:r>
      <w:r>
        <w:rPr>
          <w:rFonts w:hint="eastAsia" w:ascii="仿宋" w:hAnsi="仿宋" w:eastAsia="仿宋" w:cs="仿宋"/>
          <w:sz w:val="24"/>
          <w:szCs w:val="24"/>
        </w:rPr>
        <w:fldChar w:fldCharType="separate"/>
      </w:r>
      <w:r>
        <w:rPr>
          <w:rFonts w:hint="eastAsia" w:ascii="仿宋" w:hAnsi="仿宋" w:eastAsia="仿宋" w:cs="仿宋"/>
          <w:sz w:val="24"/>
          <w:szCs w:val="24"/>
        </w:rPr>
        <w:t>十、 预算绩效管理情况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_Toc23871 \h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0057FE0D">
      <w:pPr>
        <w:pStyle w:val="14"/>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_Toc16944 </w:instrText>
      </w:r>
      <w:r>
        <w:rPr>
          <w:rFonts w:hint="eastAsia" w:ascii="仿宋" w:hAnsi="仿宋" w:eastAsia="仿宋" w:cs="仿宋"/>
          <w:sz w:val="24"/>
          <w:szCs w:val="24"/>
        </w:rPr>
        <w:fldChar w:fldCharType="separate"/>
      </w:r>
      <w:r>
        <w:rPr>
          <w:rFonts w:hint="eastAsia" w:ascii="仿宋" w:hAnsi="仿宋" w:eastAsia="仿宋" w:cs="仿宋"/>
          <w:sz w:val="24"/>
          <w:szCs w:val="24"/>
        </w:rPr>
        <w:t>十一、 其他重要事项的情况说明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_Toc16944 \h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103B39BD">
      <w:pPr>
        <w:pStyle w:val="13"/>
        <w:tabs>
          <w:tab w:val="right" w:leader="dot" w:pos="8306"/>
          <w:tab w:val="clear" w:pos="8296"/>
        </w:tabs>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_Toc16610 </w:instrText>
      </w:r>
      <w:r>
        <w:rPr>
          <w:rFonts w:hint="eastAsia" w:ascii="宋体" w:hAnsi="宋体" w:eastAsia="宋体" w:cs="宋体"/>
          <w:sz w:val="24"/>
          <w:szCs w:val="24"/>
        </w:rPr>
        <w:fldChar w:fldCharType="separate"/>
      </w:r>
      <w:r>
        <w:rPr>
          <w:rFonts w:hint="eastAsia" w:ascii="宋体" w:hAnsi="宋体" w:eastAsia="宋体" w:cs="宋体"/>
          <w:sz w:val="24"/>
          <w:szCs w:val="24"/>
        </w:rPr>
        <w:t>第三部分 名词解释</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_Toc16610 \h </w:instrText>
      </w:r>
      <w:r>
        <w:rPr>
          <w:rFonts w:hint="eastAsia" w:ascii="宋体" w:hAnsi="宋体" w:eastAsia="宋体" w:cs="宋体"/>
          <w:sz w:val="24"/>
          <w:szCs w:val="24"/>
        </w:rPr>
        <w:fldChar w:fldCharType="separate"/>
      </w:r>
      <w:r>
        <w:rPr>
          <w:rFonts w:hint="eastAsia" w:ascii="宋体" w:hAnsi="宋体" w:eastAsia="宋体" w:cs="宋体"/>
          <w:sz w:val="24"/>
          <w:szCs w:val="24"/>
        </w:rPr>
        <w:t>21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D1F9603">
      <w:pPr>
        <w:pStyle w:val="13"/>
        <w:tabs>
          <w:tab w:val="right" w:leader="dot" w:pos="8306"/>
          <w:tab w:val="clear" w:pos="8296"/>
        </w:tabs>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_Toc3498 </w:instrText>
      </w:r>
      <w:r>
        <w:rPr>
          <w:rFonts w:hint="eastAsia" w:ascii="宋体" w:hAnsi="宋体" w:eastAsia="宋体" w:cs="宋体"/>
          <w:sz w:val="24"/>
          <w:szCs w:val="24"/>
        </w:rPr>
        <w:fldChar w:fldCharType="separate"/>
      </w:r>
      <w:r>
        <w:rPr>
          <w:rFonts w:hint="eastAsia" w:ascii="宋体" w:hAnsi="宋体" w:eastAsia="宋体" w:cs="宋体"/>
          <w:sz w:val="24"/>
          <w:szCs w:val="24"/>
        </w:rPr>
        <w:t>第四部分 附件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_Toc3498 \h </w:instrText>
      </w:r>
      <w:r>
        <w:rPr>
          <w:rFonts w:hint="eastAsia" w:ascii="宋体" w:hAnsi="宋体" w:eastAsia="宋体" w:cs="宋体"/>
          <w:sz w:val="24"/>
          <w:szCs w:val="24"/>
        </w:rPr>
        <w:fldChar w:fldCharType="separate"/>
      </w:r>
      <w:r>
        <w:rPr>
          <w:rFonts w:hint="eastAsia" w:ascii="宋体" w:hAnsi="宋体" w:eastAsia="宋体" w:cs="宋体"/>
          <w:sz w:val="24"/>
          <w:szCs w:val="24"/>
        </w:rPr>
        <w:t>23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629ABCF">
      <w:pPr>
        <w:pStyle w:val="13"/>
        <w:tabs>
          <w:tab w:val="right" w:leader="dot" w:pos="8306"/>
          <w:tab w:val="clear" w:pos="8296"/>
        </w:tabs>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_Toc6245 </w:instrText>
      </w:r>
      <w:r>
        <w:rPr>
          <w:rFonts w:hint="eastAsia" w:ascii="宋体" w:hAnsi="宋体" w:eastAsia="宋体" w:cs="宋体"/>
          <w:sz w:val="24"/>
          <w:szCs w:val="24"/>
        </w:rPr>
        <w:fldChar w:fldCharType="separate"/>
      </w:r>
      <w:r>
        <w:rPr>
          <w:rFonts w:hint="eastAsia" w:ascii="宋体" w:hAnsi="宋体" w:eastAsia="宋体" w:cs="宋体"/>
          <w:sz w:val="24"/>
          <w:szCs w:val="24"/>
        </w:rPr>
        <w:t>第五部分 附表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_Toc6245 \h </w:instrText>
      </w:r>
      <w:r>
        <w:rPr>
          <w:rFonts w:hint="eastAsia" w:ascii="宋体" w:hAnsi="宋体" w:eastAsia="宋体" w:cs="宋体"/>
          <w:sz w:val="24"/>
          <w:szCs w:val="24"/>
        </w:rPr>
        <w:fldChar w:fldCharType="separate"/>
      </w:r>
      <w:r>
        <w:rPr>
          <w:rFonts w:hint="eastAsia" w:ascii="宋体" w:hAnsi="宋体" w:eastAsia="宋体" w:cs="宋体"/>
          <w:sz w:val="24"/>
          <w:szCs w:val="24"/>
        </w:rPr>
        <w:t>24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68C5D0D6">
      <w:pPr>
        <w:pStyle w:val="14"/>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_Toc492 </w:instrText>
      </w:r>
      <w:r>
        <w:rPr>
          <w:rFonts w:hint="eastAsia" w:ascii="仿宋" w:hAnsi="仿宋" w:eastAsia="仿宋" w:cs="仿宋"/>
          <w:sz w:val="24"/>
          <w:szCs w:val="24"/>
        </w:rPr>
        <w:fldChar w:fldCharType="separate"/>
      </w:r>
      <w:r>
        <w:rPr>
          <w:rFonts w:hint="eastAsia" w:ascii="仿宋" w:hAnsi="仿宋" w:eastAsia="仿宋" w:cs="仿宋"/>
          <w:sz w:val="24"/>
          <w:szCs w:val="24"/>
        </w:rPr>
        <w:t>一、收入支出决算总表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_Toc492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163E90FC">
      <w:pPr>
        <w:pStyle w:val="14"/>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_Toc20829 </w:instrText>
      </w:r>
      <w:r>
        <w:rPr>
          <w:rFonts w:hint="eastAsia" w:ascii="仿宋" w:hAnsi="仿宋" w:eastAsia="仿宋" w:cs="仿宋"/>
          <w:sz w:val="24"/>
          <w:szCs w:val="24"/>
        </w:rPr>
        <w:fldChar w:fldCharType="separate"/>
      </w:r>
      <w:r>
        <w:rPr>
          <w:rFonts w:hint="eastAsia" w:ascii="仿宋" w:hAnsi="仿宋" w:eastAsia="仿宋" w:cs="仿宋"/>
          <w:sz w:val="24"/>
          <w:szCs w:val="24"/>
        </w:rPr>
        <w:t>二、收入决算表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_Toc20829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4FF801E8">
      <w:pPr>
        <w:pStyle w:val="14"/>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_Toc872 </w:instrText>
      </w:r>
      <w:r>
        <w:rPr>
          <w:rFonts w:hint="eastAsia" w:ascii="仿宋" w:hAnsi="仿宋" w:eastAsia="仿宋" w:cs="仿宋"/>
          <w:sz w:val="24"/>
          <w:szCs w:val="24"/>
        </w:rPr>
        <w:fldChar w:fldCharType="separate"/>
      </w:r>
      <w:r>
        <w:rPr>
          <w:rFonts w:hint="eastAsia" w:ascii="仿宋" w:hAnsi="仿宋" w:eastAsia="仿宋" w:cs="仿宋"/>
          <w:sz w:val="24"/>
          <w:szCs w:val="24"/>
        </w:rPr>
        <w:t>三、支出决算表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_Toc872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464F8E00">
      <w:pPr>
        <w:pStyle w:val="14"/>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_Toc32481 </w:instrText>
      </w:r>
      <w:r>
        <w:rPr>
          <w:rFonts w:hint="eastAsia" w:ascii="仿宋" w:hAnsi="仿宋" w:eastAsia="仿宋" w:cs="仿宋"/>
          <w:sz w:val="24"/>
          <w:szCs w:val="24"/>
        </w:rPr>
        <w:fldChar w:fldCharType="separate"/>
      </w:r>
      <w:r>
        <w:rPr>
          <w:rFonts w:hint="eastAsia" w:ascii="仿宋" w:hAnsi="仿宋" w:eastAsia="仿宋" w:cs="仿宋"/>
          <w:sz w:val="24"/>
          <w:szCs w:val="24"/>
        </w:rPr>
        <w:t>四、财政拨款收入支出决算总表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_Toc32481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61D91D24">
      <w:pPr>
        <w:pStyle w:val="14"/>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_Toc16282 </w:instrText>
      </w:r>
      <w:r>
        <w:rPr>
          <w:rFonts w:hint="eastAsia" w:ascii="仿宋" w:hAnsi="仿宋" w:eastAsia="仿宋" w:cs="仿宋"/>
          <w:sz w:val="24"/>
          <w:szCs w:val="24"/>
        </w:rPr>
        <w:fldChar w:fldCharType="separate"/>
      </w:r>
      <w:r>
        <w:rPr>
          <w:rFonts w:hint="eastAsia" w:ascii="仿宋" w:hAnsi="仿宋" w:eastAsia="仿宋" w:cs="仿宋"/>
          <w:sz w:val="24"/>
          <w:szCs w:val="24"/>
        </w:rPr>
        <w:t>五、财政拨款支出决算明细表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_Toc16282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4B49F90E">
      <w:pPr>
        <w:pStyle w:val="14"/>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_Toc27698 </w:instrText>
      </w:r>
      <w:r>
        <w:rPr>
          <w:rFonts w:hint="eastAsia" w:ascii="仿宋" w:hAnsi="仿宋" w:eastAsia="仿宋" w:cs="仿宋"/>
          <w:sz w:val="24"/>
          <w:szCs w:val="24"/>
        </w:rPr>
        <w:fldChar w:fldCharType="separate"/>
      </w:r>
      <w:r>
        <w:rPr>
          <w:rFonts w:hint="eastAsia" w:ascii="仿宋" w:hAnsi="仿宋" w:eastAsia="仿宋" w:cs="仿宋"/>
          <w:sz w:val="24"/>
          <w:szCs w:val="24"/>
        </w:rPr>
        <w:t>六、一般公共预算财政拨款支出决算表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_Toc27698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6706C02D">
      <w:pPr>
        <w:pStyle w:val="14"/>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_Toc16786 </w:instrText>
      </w:r>
      <w:r>
        <w:rPr>
          <w:rFonts w:hint="eastAsia" w:ascii="仿宋" w:hAnsi="仿宋" w:eastAsia="仿宋" w:cs="仿宋"/>
          <w:sz w:val="24"/>
          <w:szCs w:val="24"/>
        </w:rPr>
        <w:fldChar w:fldCharType="separate"/>
      </w:r>
      <w:r>
        <w:rPr>
          <w:rFonts w:hint="eastAsia" w:ascii="仿宋" w:hAnsi="仿宋" w:eastAsia="仿宋" w:cs="仿宋"/>
          <w:sz w:val="24"/>
          <w:szCs w:val="24"/>
        </w:rPr>
        <w:t>七、一般公共预算财政拨款支出决算明细表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_Toc16786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21DFC775">
      <w:pPr>
        <w:pStyle w:val="14"/>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_Toc31149 </w:instrText>
      </w:r>
      <w:r>
        <w:rPr>
          <w:rFonts w:hint="eastAsia" w:ascii="仿宋" w:hAnsi="仿宋" w:eastAsia="仿宋" w:cs="仿宋"/>
          <w:sz w:val="24"/>
          <w:szCs w:val="24"/>
        </w:rPr>
        <w:fldChar w:fldCharType="separate"/>
      </w:r>
      <w:r>
        <w:rPr>
          <w:rFonts w:hint="eastAsia" w:ascii="仿宋" w:hAnsi="仿宋" w:eastAsia="仿宋" w:cs="仿宋"/>
          <w:sz w:val="24"/>
          <w:szCs w:val="24"/>
        </w:rPr>
        <w:t>八、一般公共预算财政拨款基本支出决算表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_Toc31149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7E6A7887">
      <w:pPr>
        <w:pStyle w:val="14"/>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_Toc2969 </w:instrText>
      </w:r>
      <w:r>
        <w:rPr>
          <w:rFonts w:hint="eastAsia" w:ascii="仿宋" w:hAnsi="仿宋" w:eastAsia="仿宋" w:cs="仿宋"/>
          <w:sz w:val="24"/>
          <w:szCs w:val="24"/>
        </w:rPr>
        <w:fldChar w:fldCharType="separate"/>
      </w:r>
      <w:r>
        <w:rPr>
          <w:rFonts w:hint="eastAsia" w:ascii="仿宋" w:hAnsi="仿宋" w:eastAsia="仿宋" w:cs="仿宋"/>
          <w:sz w:val="24"/>
          <w:szCs w:val="24"/>
        </w:rPr>
        <w:t>九、一般公共预算财政拨款项目支出决算表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_Toc2969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6746FD7C">
      <w:pPr>
        <w:pStyle w:val="14"/>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_Toc15951 </w:instrText>
      </w:r>
      <w:r>
        <w:rPr>
          <w:rFonts w:hint="eastAsia" w:ascii="仿宋" w:hAnsi="仿宋" w:eastAsia="仿宋" w:cs="仿宋"/>
          <w:sz w:val="24"/>
          <w:szCs w:val="24"/>
        </w:rPr>
        <w:fldChar w:fldCharType="separate"/>
      </w:r>
      <w:r>
        <w:rPr>
          <w:rFonts w:hint="eastAsia" w:ascii="仿宋" w:hAnsi="仿宋" w:eastAsia="仿宋" w:cs="仿宋"/>
          <w:sz w:val="24"/>
          <w:szCs w:val="24"/>
        </w:rPr>
        <w:t>十、一般公共预算财政拨款“三公”经费支出决算表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_Toc15951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5EB0588A">
      <w:pPr>
        <w:pStyle w:val="14"/>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_Toc26411 </w:instrText>
      </w:r>
      <w:r>
        <w:rPr>
          <w:rFonts w:hint="eastAsia" w:ascii="仿宋" w:hAnsi="仿宋" w:eastAsia="仿宋" w:cs="仿宋"/>
          <w:sz w:val="24"/>
          <w:szCs w:val="24"/>
        </w:rPr>
        <w:fldChar w:fldCharType="separate"/>
      </w:r>
      <w:r>
        <w:rPr>
          <w:rFonts w:hint="eastAsia" w:ascii="仿宋" w:hAnsi="仿宋" w:eastAsia="仿宋" w:cs="仿宋"/>
          <w:sz w:val="24"/>
          <w:szCs w:val="24"/>
        </w:rPr>
        <w:t>十一、政府性基金预算财政拨款收入支出决算表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_Toc26411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2B8BB0B1">
      <w:pPr>
        <w:pStyle w:val="14"/>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_Toc31313 </w:instrText>
      </w:r>
      <w:r>
        <w:rPr>
          <w:rFonts w:hint="eastAsia" w:ascii="仿宋" w:hAnsi="仿宋" w:eastAsia="仿宋" w:cs="仿宋"/>
          <w:sz w:val="24"/>
          <w:szCs w:val="24"/>
        </w:rPr>
        <w:fldChar w:fldCharType="separate"/>
      </w:r>
      <w:r>
        <w:rPr>
          <w:rFonts w:hint="eastAsia" w:ascii="仿宋" w:hAnsi="仿宋" w:eastAsia="仿宋" w:cs="仿宋"/>
          <w:sz w:val="24"/>
          <w:szCs w:val="24"/>
        </w:rPr>
        <w:t>十二、政府性基金预算财政拨款“三公”经费支出决算表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_Toc31313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4CDF922C">
      <w:pPr>
        <w:pStyle w:val="14"/>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_Toc26015 </w:instrText>
      </w:r>
      <w:r>
        <w:rPr>
          <w:rFonts w:hint="eastAsia" w:ascii="仿宋" w:hAnsi="仿宋" w:eastAsia="仿宋" w:cs="仿宋"/>
          <w:sz w:val="24"/>
          <w:szCs w:val="24"/>
        </w:rPr>
        <w:fldChar w:fldCharType="separate"/>
      </w:r>
      <w:r>
        <w:rPr>
          <w:rFonts w:hint="eastAsia" w:ascii="仿宋" w:hAnsi="仿宋" w:eastAsia="仿宋" w:cs="仿宋"/>
          <w:sz w:val="24"/>
          <w:szCs w:val="24"/>
        </w:rPr>
        <w:t>十三、国有资本经营预算财政拨款收入支出决算表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_Toc26015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0FDFA149">
      <w:pPr>
        <w:pStyle w:val="14"/>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_Toc2980 </w:instrText>
      </w:r>
      <w:r>
        <w:rPr>
          <w:rFonts w:hint="eastAsia" w:ascii="仿宋" w:hAnsi="仿宋" w:eastAsia="仿宋" w:cs="仿宋"/>
          <w:sz w:val="24"/>
          <w:szCs w:val="24"/>
        </w:rPr>
        <w:fldChar w:fldCharType="separate"/>
      </w:r>
      <w:r>
        <w:rPr>
          <w:rFonts w:hint="eastAsia" w:ascii="仿宋" w:hAnsi="仿宋" w:eastAsia="仿宋" w:cs="仿宋"/>
          <w:sz w:val="24"/>
          <w:szCs w:val="24"/>
        </w:rPr>
        <w:t>十四、国有资本经营预算财政拨款支出决算表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_Toc2980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14:paraId="32C99940">
      <w:pPr>
        <w:pStyle w:val="13"/>
        <w:jc w:val="both"/>
        <w:rPr>
          <w:rFonts w:hint="eastAsia" w:ascii="仿宋" w:hAnsi="仿宋" w:eastAsia="仿宋" w:cs="仿宋"/>
          <w:sz w:val="24"/>
          <w:szCs w:val="24"/>
        </w:rPr>
      </w:pPr>
      <w:r>
        <w:rPr>
          <w:rFonts w:hint="eastAsia" w:ascii="仿宋" w:hAnsi="仿宋" w:eastAsia="仿宋" w:cs="仿宋"/>
          <w:sz w:val="24"/>
          <w:szCs w:val="24"/>
        </w:rPr>
        <w:fldChar w:fldCharType="end"/>
      </w:r>
    </w:p>
    <w:p w14:paraId="0F4BEF10"/>
    <w:p w14:paraId="26F38F37">
      <w:pPr>
        <w:pStyle w:val="3"/>
        <w:bidi w:val="0"/>
      </w:pPr>
      <w:bookmarkStart w:id="18" w:name="_Toc15396599"/>
      <w:bookmarkStart w:id="19" w:name="_Toc17785"/>
      <w:bookmarkStart w:id="20" w:name="_Toc15377196"/>
      <w:r>
        <w:rPr>
          <w:rFonts w:hint="eastAsia"/>
        </w:rPr>
        <w:t>第一部分 单位概况</w:t>
      </w:r>
      <w:bookmarkEnd w:id="18"/>
      <w:bookmarkEnd w:id="19"/>
      <w:bookmarkEnd w:id="20"/>
    </w:p>
    <w:p w14:paraId="2AB7C49A">
      <w:pPr>
        <w:widowControl/>
        <w:jc w:val="left"/>
        <w:rPr>
          <w:rFonts w:ascii="黑体" w:eastAsia="黑体"/>
          <w:sz w:val="32"/>
          <w:szCs w:val="32"/>
        </w:rPr>
      </w:pPr>
    </w:p>
    <w:p w14:paraId="2913FE10">
      <w:pPr>
        <w:pStyle w:val="4"/>
        <w:numPr>
          <w:ilvl w:val="0"/>
          <w:numId w:val="1"/>
        </w:numPr>
        <w:bidi w:val="0"/>
        <w:rPr>
          <w:rFonts w:hint="eastAsia" w:ascii="仿宋" w:hAnsi="仿宋" w:eastAsia="仿宋" w:cs="仿宋"/>
        </w:rPr>
      </w:pPr>
      <w:bookmarkStart w:id="21" w:name="_Toc7404"/>
      <w:bookmarkStart w:id="22" w:name="_Toc15377197"/>
      <w:bookmarkStart w:id="23" w:name="_Toc15396600"/>
      <w:r>
        <w:rPr>
          <w:rFonts w:hint="eastAsia" w:ascii="仿宋" w:hAnsi="仿宋" w:eastAsia="仿宋" w:cs="仿宋"/>
        </w:rPr>
        <w:t>职能简介</w:t>
      </w:r>
      <w:bookmarkEnd w:id="21"/>
    </w:p>
    <w:p w14:paraId="63C7C41A">
      <w:pPr>
        <w:pStyle w:val="15"/>
        <w:adjustRightInd w:val="0"/>
        <w:spacing w:beforeLines="30" w:line="500" w:lineRule="exact"/>
        <w:ind w:firstLine="640" w:firstLineChars="200"/>
        <w:outlineLvl w:val="2"/>
        <w:rPr>
          <w:rFonts w:hint="eastAsia" w:ascii="仿宋" w:hAnsi="仿宋" w:eastAsia="仿宋" w:cs="仿宋"/>
          <w:sz w:val="32"/>
          <w:szCs w:val="32"/>
        </w:rPr>
      </w:pPr>
      <w:r>
        <w:rPr>
          <w:rFonts w:hint="eastAsia" w:ascii="仿宋" w:hAnsi="仿宋" w:eastAsia="仿宋" w:cs="仿宋"/>
          <w:sz w:val="32"/>
          <w:szCs w:val="32"/>
        </w:rPr>
        <w:t>1.贯彻党的教育方针，坚持社会主义办学方向，实行教育与生产劳动相结合，对学生进行德育、智育、体育、美育和劳动等方面的教育。</w:t>
      </w:r>
    </w:p>
    <w:p w14:paraId="28457352">
      <w:pPr>
        <w:pStyle w:val="15"/>
        <w:adjustRightInd w:val="0"/>
        <w:spacing w:beforeLines="30" w:line="500" w:lineRule="exact"/>
        <w:ind w:firstLine="640" w:firstLineChars="200"/>
        <w:outlineLvl w:val="2"/>
        <w:rPr>
          <w:rFonts w:hint="eastAsia" w:ascii="仿宋" w:hAnsi="仿宋" w:eastAsia="仿宋" w:cs="仿宋"/>
          <w:sz w:val="32"/>
          <w:szCs w:val="32"/>
        </w:rPr>
      </w:pPr>
      <w:r>
        <w:rPr>
          <w:rFonts w:hint="eastAsia" w:ascii="仿宋" w:hAnsi="仿宋" w:eastAsia="仿宋" w:cs="仿宋"/>
          <w:sz w:val="32"/>
          <w:szCs w:val="32"/>
        </w:rPr>
        <w:t>2.负责配合政府依法动员、组织适龄儿童、少年入学，严格控制学生辍学，依法保证适龄儿童、少年接受九年义务教育。</w:t>
      </w:r>
    </w:p>
    <w:p w14:paraId="10D12F20">
      <w:pPr>
        <w:pStyle w:val="15"/>
        <w:adjustRightInd w:val="0"/>
        <w:spacing w:beforeLines="30" w:line="500" w:lineRule="exact"/>
        <w:ind w:firstLine="640" w:firstLineChars="200"/>
        <w:outlineLvl w:val="2"/>
        <w:rPr>
          <w:rFonts w:hint="eastAsia" w:ascii="仿宋" w:hAnsi="仿宋" w:eastAsia="仿宋" w:cs="仿宋"/>
          <w:sz w:val="32"/>
          <w:szCs w:val="32"/>
        </w:rPr>
      </w:pPr>
      <w:r>
        <w:rPr>
          <w:rFonts w:hint="eastAsia" w:ascii="仿宋" w:hAnsi="仿宋" w:eastAsia="仿宋" w:cs="仿宋"/>
          <w:sz w:val="32"/>
          <w:szCs w:val="32"/>
        </w:rPr>
        <w:t>3.负责依法制定学校章程，并按照章程自主管理。</w:t>
      </w:r>
    </w:p>
    <w:p w14:paraId="16959E6B">
      <w:pPr>
        <w:pStyle w:val="15"/>
        <w:adjustRightInd w:val="0"/>
        <w:spacing w:beforeLines="30" w:line="500" w:lineRule="exact"/>
        <w:ind w:firstLine="640" w:firstLineChars="200"/>
        <w:outlineLvl w:val="2"/>
        <w:rPr>
          <w:rFonts w:hint="eastAsia" w:ascii="仿宋" w:hAnsi="仿宋" w:eastAsia="仿宋" w:cs="仿宋"/>
          <w:sz w:val="32"/>
          <w:szCs w:val="32"/>
        </w:rPr>
      </w:pPr>
      <w:r>
        <w:rPr>
          <w:rFonts w:hint="eastAsia" w:ascii="仿宋" w:hAnsi="仿宋" w:eastAsia="仿宋" w:cs="仿宋"/>
          <w:sz w:val="32"/>
          <w:szCs w:val="32"/>
        </w:rPr>
        <w:t>4.负责制定学校教育发展规划，并抓好组织和实施工作。</w:t>
      </w:r>
    </w:p>
    <w:p w14:paraId="6BFC45A5">
      <w:pPr>
        <w:pStyle w:val="15"/>
        <w:adjustRightInd w:val="0"/>
        <w:spacing w:beforeLines="30" w:line="500" w:lineRule="exact"/>
        <w:ind w:firstLine="640" w:firstLineChars="200"/>
        <w:outlineLvl w:val="2"/>
        <w:rPr>
          <w:rFonts w:hint="eastAsia" w:ascii="仿宋" w:hAnsi="仿宋" w:eastAsia="仿宋" w:cs="仿宋"/>
          <w:sz w:val="32"/>
          <w:szCs w:val="32"/>
        </w:rPr>
      </w:pPr>
      <w:r>
        <w:rPr>
          <w:rFonts w:hint="eastAsia" w:ascii="仿宋" w:hAnsi="仿宋" w:eastAsia="仿宋" w:cs="仿宋"/>
          <w:sz w:val="32"/>
          <w:szCs w:val="32"/>
        </w:rPr>
        <w:t>5.负责按照教育主管部门发布的指导性教学计划、 教学大纲，组织实施教育教学活动。</w:t>
      </w:r>
    </w:p>
    <w:p w14:paraId="4519DFEB">
      <w:pPr>
        <w:pStyle w:val="15"/>
        <w:adjustRightInd w:val="0"/>
        <w:spacing w:beforeLines="30" w:line="500" w:lineRule="exact"/>
        <w:ind w:firstLine="640" w:firstLineChars="200"/>
        <w:outlineLvl w:val="2"/>
        <w:rPr>
          <w:rFonts w:hint="eastAsia"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kern w:val="0"/>
          <w:szCs w:val="20"/>
        </w:rPr>
        <w:t xml:space="preserve"> </w:t>
      </w:r>
      <w:r>
        <w:rPr>
          <w:rFonts w:hint="eastAsia" w:ascii="仿宋" w:hAnsi="仿宋" w:eastAsia="仿宋" w:cs="仿宋"/>
          <w:sz w:val="32"/>
          <w:szCs w:val="32"/>
        </w:rPr>
        <w:t>负责学籍管理并对学生实施奖励或处分。</w:t>
      </w:r>
    </w:p>
    <w:p w14:paraId="3C2DE876">
      <w:pPr>
        <w:pStyle w:val="15"/>
        <w:adjustRightInd w:val="0"/>
        <w:spacing w:beforeLines="30" w:line="500" w:lineRule="exact"/>
        <w:ind w:firstLine="640" w:firstLineChars="200"/>
        <w:outlineLvl w:val="2"/>
        <w:rPr>
          <w:rFonts w:hint="eastAsia" w:ascii="仿宋" w:hAnsi="仿宋" w:eastAsia="仿宋" w:cs="仿宋"/>
          <w:color w:val="auto"/>
          <w:sz w:val="32"/>
          <w:szCs w:val="32"/>
        </w:rPr>
      </w:pPr>
      <w:r>
        <w:rPr>
          <w:rFonts w:hint="eastAsia" w:ascii="仿宋" w:hAnsi="仿宋" w:eastAsia="仿宋" w:cs="仿宋"/>
          <w:sz w:val="32"/>
          <w:szCs w:val="32"/>
        </w:rPr>
        <w:t>7.</w:t>
      </w:r>
      <w:r>
        <w:rPr>
          <w:rFonts w:hint="eastAsia" w:ascii="仿宋" w:hAnsi="仿宋" w:eastAsia="仿宋" w:cs="仿宋"/>
          <w:kern w:val="0"/>
          <w:szCs w:val="20"/>
        </w:rPr>
        <w:t xml:space="preserve"> </w:t>
      </w:r>
      <w:r>
        <w:rPr>
          <w:rFonts w:hint="eastAsia" w:ascii="仿宋" w:hAnsi="仿宋" w:eastAsia="仿宋" w:cs="仿宋"/>
          <w:sz w:val="32"/>
          <w:szCs w:val="32"/>
        </w:rPr>
        <w:t>负责依法制定本校教师及其他职工聘任办法并对教师及其他员工实施包括奖励、处分</w:t>
      </w:r>
      <w:r>
        <w:rPr>
          <w:rFonts w:hint="eastAsia" w:ascii="仿宋" w:hAnsi="仿宋" w:eastAsia="仿宋" w:cs="仿宋"/>
          <w:color w:val="auto"/>
          <w:sz w:val="32"/>
          <w:szCs w:val="32"/>
        </w:rPr>
        <w:t>在内的具体管理活动。</w:t>
      </w:r>
    </w:p>
    <w:p w14:paraId="53B30DC5">
      <w:pPr>
        <w:pStyle w:val="15"/>
        <w:adjustRightInd w:val="0"/>
        <w:spacing w:beforeLines="30" w:line="500" w:lineRule="exact"/>
        <w:ind w:firstLine="640" w:firstLineChars="200"/>
        <w:outlineLvl w:val="2"/>
        <w:rPr>
          <w:rFonts w:hint="eastAsia" w:ascii="仿宋" w:hAnsi="仿宋" w:eastAsia="仿宋" w:cs="仿宋"/>
          <w:color w:val="auto"/>
          <w:sz w:val="32"/>
          <w:szCs w:val="32"/>
        </w:rPr>
      </w:pPr>
      <w:r>
        <w:rPr>
          <w:rFonts w:hint="eastAsia" w:ascii="仿宋" w:hAnsi="仿宋" w:eastAsia="仿宋" w:cs="仿宋"/>
          <w:color w:val="auto"/>
          <w:sz w:val="32"/>
          <w:szCs w:val="32"/>
        </w:rPr>
        <w:t>8. 负责科学管理、合理使用学校的设施和经费，并积极筹措资金，改善办学条件。</w:t>
      </w:r>
    </w:p>
    <w:p w14:paraId="36F4D003">
      <w:pPr>
        <w:pStyle w:val="15"/>
        <w:adjustRightInd w:val="0"/>
        <w:spacing w:beforeLines="30" w:line="500" w:lineRule="exact"/>
        <w:ind w:firstLine="640" w:firstLineChars="200"/>
        <w:outlineLvl w:val="2"/>
        <w:rPr>
          <w:rFonts w:hint="eastAsia" w:ascii="仿宋" w:hAnsi="仿宋" w:eastAsia="仿宋" w:cs="仿宋"/>
          <w:color w:val="auto"/>
          <w:sz w:val="32"/>
          <w:szCs w:val="32"/>
        </w:rPr>
      </w:pPr>
      <w:r>
        <w:rPr>
          <w:rFonts w:hint="eastAsia" w:ascii="仿宋" w:hAnsi="仿宋" w:eastAsia="仿宋" w:cs="仿宋"/>
          <w:color w:val="auto"/>
          <w:sz w:val="32"/>
          <w:szCs w:val="32"/>
        </w:rPr>
        <w:t>9. 负责维护学校、师生的合法权益，有权拒绝任何组织和个人对教育教学活动</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rPr>
        <w:t>非法干扰。</w:t>
      </w:r>
    </w:p>
    <w:p w14:paraId="1CD1A26D">
      <w:pPr>
        <w:pStyle w:val="15"/>
        <w:adjustRightInd w:val="0"/>
        <w:spacing w:beforeLines="30" w:line="500" w:lineRule="exact"/>
        <w:ind w:firstLine="640" w:firstLineChars="200"/>
        <w:outlineLvl w:val="2"/>
        <w:rPr>
          <w:rFonts w:hint="eastAsia" w:ascii="仿宋" w:hAnsi="仿宋" w:eastAsia="仿宋" w:cs="仿宋"/>
          <w:sz w:val="32"/>
          <w:szCs w:val="32"/>
        </w:rPr>
      </w:pPr>
      <w:r>
        <w:rPr>
          <w:rFonts w:hint="eastAsia" w:ascii="仿宋" w:hAnsi="仿宋" w:eastAsia="仿宋" w:cs="仿宋"/>
          <w:sz w:val="32"/>
          <w:szCs w:val="32"/>
        </w:rPr>
        <w:t>10.</w:t>
      </w:r>
      <w:r>
        <w:rPr>
          <w:rFonts w:hint="eastAsia" w:ascii="仿宋" w:hAnsi="仿宋" w:eastAsia="仿宋" w:cs="仿宋"/>
          <w:kern w:val="0"/>
          <w:szCs w:val="20"/>
        </w:rPr>
        <w:t xml:space="preserve"> </w:t>
      </w:r>
      <w:r>
        <w:rPr>
          <w:rFonts w:hint="eastAsia" w:ascii="仿宋" w:hAnsi="仿宋" w:eastAsia="仿宋" w:cs="仿宋"/>
          <w:sz w:val="32"/>
          <w:szCs w:val="32"/>
        </w:rPr>
        <w:t>依法接受各级教育行政部门的检查指导和人民群众的监督。</w:t>
      </w:r>
    </w:p>
    <w:p w14:paraId="4E56A47D">
      <w:pPr>
        <w:ind w:firstLine="640" w:firstLineChars="200"/>
        <w:rPr>
          <w:rFonts w:hint="eastAsia" w:ascii="仿宋" w:hAnsi="仿宋" w:eastAsia="仿宋" w:cs="仿宋"/>
          <w:sz w:val="32"/>
          <w:szCs w:val="32"/>
        </w:rPr>
      </w:pPr>
      <w:r>
        <w:rPr>
          <w:rFonts w:hint="eastAsia" w:ascii="仿宋" w:hAnsi="仿宋" w:eastAsia="仿宋" w:cs="仿宋"/>
          <w:sz w:val="32"/>
          <w:szCs w:val="32"/>
        </w:rPr>
        <w:t>11.承办上级交办的其他事项。</w:t>
      </w:r>
    </w:p>
    <w:p w14:paraId="7EA255D4">
      <w:pPr>
        <w:pStyle w:val="4"/>
        <w:bidi w:val="0"/>
        <w:rPr>
          <w:rFonts w:hint="eastAsia" w:ascii="仿宋" w:hAnsi="仿宋" w:eastAsia="仿宋" w:cs="仿宋"/>
        </w:rPr>
      </w:pPr>
      <w:bookmarkStart w:id="24" w:name="_Toc4463"/>
      <w:r>
        <w:rPr>
          <w:rFonts w:hint="eastAsia" w:ascii="仿宋" w:hAnsi="仿宋" w:eastAsia="仿宋" w:cs="仿宋"/>
        </w:rPr>
        <w:t>二、2021年重点工作</w:t>
      </w:r>
      <w:bookmarkEnd w:id="22"/>
      <w:bookmarkEnd w:id="23"/>
      <w:r>
        <w:rPr>
          <w:rFonts w:hint="eastAsia" w:ascii="仿宋" w:hAnsi="仿宋" w:eastAsia="仿宋" w:cs="仿宋"/>
        </w:rPr>
        <w:t>完成情况</w:t>
      </w:r>
      <w:bookmarkEnd w:id="24"/>
    </w:p>
    <w:p w14:paraId="6C941CA2">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(一)以人为本，依法治校，规范办学行为，全面提升办学品味。</w:t>
      </w:r>
    </w:p>
    <w:p w14:paraId="4BE2072A">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1、认真执行</w:t>
      </w:r>
      <w:r>
        <w:rPr>
          <w:rFonts w:hint="eastAsia" w:ascii="仿宋" w:hAnsi="仿宋" w:eastAsia="仿宋" w:cs="仿宋"/>
          <w:color w:val="auto"/>
          <w:kern w:val="0"/>
          <w:sz w:val="32"/>
          <w:szCs w:val="32"/>
          <w:highlight w:val="none"/>
          <w:lang w:eastAsia="zh-CN"/>
        </w:rPr>
        <w:t>省教育厅</w:t>
      </w:r>
      <w:r>
        <w:rPr>
          <w:rFonts w:hint="eastAsia" w:ascii="仿宋" w:hAnsi="仿宋" w:eastAsia="仿宋" w:cs="仿宋"/>
          <w:color w:val="auto"/>
          <w:kern w:val="0"/>
          <w:sz w:val="32"/>
          <w:szCs w:val="32"/>
          <w:highlight w:val="none"/>
        </w:rPr>
        <w:t>关于规范办学行为相关规定，以四大校园建设为蓝本，深入推进素质教育，办学行为规范有序。</w:t>
      </w:r>
    </w:p>
    <w:p w14:paraId="787B04E3">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2、严格执行义务教育经费保障机制，无乱收费行为；认真做好教育经费预决算，教育经费管理严谨、规范、科学、合理；</w:t>
      </w:r>
    </w:p>
    <w:p w14:paraId="3FFAB7E7">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xml:space="preserve">3、全面推进“教育扶贫”各项工作， 全力巩固均衡发展各项成果。努力做好教育扶贫工作和定点连户帮扶精准扶贫工作和非贫困户教育扶贫社会宣传工作；做到了功能室软件资料完整规范，仪器使用率到位，管理人员职责明确，管理规范，最大化实现教育的公平和资源共享。  </w:t>
      </w:r>
    </w:p>
    <w:p w14:paraId="471FF0A3">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4、加强学生电子学籍管理，学生入学率、巩固率、留昭率居全区前列。</w:t>
      </w:r>
    </w:p>
    <w:p w14:paraId="4798AFEE">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5、学校通过了“市级交通安全示范学校”验收，正努力创建阳光体育示范学校。</w:t>
      </w:r>
    </w:p>
    <w:p w14:paraId="6AAD9D8B">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（二）重党建，抓班子，带队伍，着力打造素质过硬的教育团队。</w:t>
      </w:r>
    </w:p>
    <w:p w14:paraId="076E4480">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1、建强支部。我们做到了一期一次民主生活会，一期一次党员评议，一期发展一名党员积极分子，一期一次党员外出研学活动。红军山缅怀革命先烈，苍溪红军渡重温入党誓词，带领部分师生巴中、仪陇、广安进行研学活动，感受伟人的风采，传承红色基因。通过活动引领，思想洗涤，让党员成为真正的旗帜，让支部成为真正的堡垒。在党建工作中，首先，从党员干部抓起，认真开展创优争先、理想信念教育、效能建设等活动，切实落实“三会一课”制度，认真开展“大学习、大讨论、大调研”活动、月固定党日活动，全面实行党务公开，主动接受群众监督。带领全体党员干部“走基层 访万家 脱贫攻坚”“进社区，关爱留守儿童，送教下乡”，“访陵园，温誓词”振奋精神，纯洁队伍，净化思想，大力倡导敬业、奉献的主人翁意识，积极推进感恩、奋进的忘我工作作风，深入开展批评和自我批评，不断提高党员干部的理论水平和业务能力，增强教师的群体素质和良好的社会形象和信誉。</w:t>
      </w:r>
    </w:p>
    <w:p w14:paraId="62F5D31C">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2、抓好班子。学校以管理促质量，狠抓班子的凝聚力和战斗力。学校管理实行年级管理责任制，实行行政人员“连年级”“连班级”、“连教研组”，责任分担，层层负责，管理深入第一线。学校行政一班人做到了讲政治，顾大局，有情怀，守纪律。工作中精诚团结，目标一致；责任明确，独当一面；分工负责，协作共进；身先士卒，率先垂范；生活中做到了多沟通、多交流、多协调、多研究、多创新，调动和发挥每一个教职员工的工作积极性，增强责任感、使命感，明确目标，形成合力，目前，学校人人有事干，事事有人管，分工合作，协调共进的良好工作局面业已经形成。</w:t>
      </w:r>
    </w:p>
    <w:p w14:paraId="6DB4CF57">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3、激活教师队伍。教师队伍基本要求：一是强化执行力，二是传递正能量，三是讲求好效果；基本做法：一是全面实行目标管理，把教师放在最适合自己的工作岗位上，调动每一个教师的工作潜能和工作积极性。二是强化青年教师的培训和培养，展示风采和能力；三是形成良好的教育教学氛围，体现教师的价值和追求，四是开展丰富多彩的系列活动，让教师能感受到教育的快乐和团队的温暖。如年度初，为期一天的教师拓展训练，既惊险刺激，又回归本真，既愉悦身心，又彰显团队精神；期中的教师趣味运动会，教师们全员参与，倾情投入，英姿飒爽，精神振奋。学校的研学活动，全员参与，引领学生成长，愉悦教师身心。通过系列活动，让紧张的工作添加快乐、让平静的旋律增添精彩，让专注的情怀得以释放，让无限的潜能得以激发。目前，教师敬业，学生乐学，团结紧张，严肃活泼已成为太公中学最宝贵的教育资源。</w:t>
      </w:r>
    </w:p>
    <w:p w14:paraId="698DB4E4">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4、狠抓养成教育，形成习惯，固化品质。教育教学的归宿在学生的表现，他们的安全、品行、能力、学业、素养是教师工作成效的试金石。学校一直把学生发展和成就教师作为学校管理的基本点。规范行为，强化学习，内化素养，彰显能力，培养合格中学生。比如“学生在校一日常规检查”，“卫生习惯从我做起活动月”，“评选文明之星、学习之星”等，表彰优秀学生，树立榜样意识，学生养成了良好的学习、生活习惯，以“美丽校园”标准，让师生在学习、工作、生活中发现美，创造美，享受美，珍爱美，为学生智慧人生奠基、启航。</w:t>
      </w:r>
    </w:p>
    <w:p w14:paraId="1F2E415D">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（三）安全重于泰山，警钟长鸣，防患于未然，确保一方平安。</w:t>
      </w:r>
    </w:p>
    <w:p w14:paraId="63463140">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1、学校安全工作实行校长负责制。校级分管领导亲自抓，学校政教处直接抓，层层签订安全责任书，细化工作要点，增添安全措施，警钟长鸣，防患于未然。安全工作重点：防火、防溺水、防交通事故、防流行病毒传染，学校制定了安全预案，加强安全教育工作，经常性的开展消防演练，切实做到了安全无小事，事事皆认真的境界，确保校园平安。</w:t>
      </w:r>
    </w:p>
    <w:p w14:paraId="6C1AAD1B">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2、新冠肺炎疫情防控工作，全体教师站位高，行动快，效果好，做好了校园封闭管理，严格教师值班值守，做到了错峰错时管理，养成了良好的卫生习惯，严格师生三检排查工作，做好了学生缺勤跟踪记录，确保防疫工作平安顺利。</w:t>
      </w:r>
    </w:p>
    <w:p w14:paraId="45A864B4">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3、严格实施巡逻制度，加强了家校联动，形成学生安全管理合力，通过家长会、告家长书、安全协议等方式，责任分担、风险共存，形成强大的安全管理网络，同时，经常联系镇综治办和派出所、法制办、交警队，加强校园周边环境的治理，确保一方平安。同时，学校落实了学生路队制，学校加强了上、放学中的护送管理， 组建了以学校领导、班主任、值周老师组成的巡逻队，每周不定时，特别是周末到学生公寓、网吧、红军山等地巡逻，发现问题则按应急预案跟踪处理。正是由于这些措施得力，管理逗硬，教师负责，本学年度未出现任何重大安全责任事故，学校进一步巩固了“广元市平安校园”成果。</w:t>
      </w:r>
    </w:p>
    <w:p w14:paraId="13C99BEA">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（四）立德树人，教学中心，打造质量校园，办满意教育。</w:t>
      </w:r>
    </w:p>
    <w:p w14:paraId="337ACBA8">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1、德育系列活动：学校以德育为核心，弘扬“孝德”文化，狠抓思想教育。主题宣明、活动丰富、效果明显。2021年3月，学校开展了“学雷锋，树新风”文明礼貌月活动，评选出太公中学十佳少年，树立学生学习榜样；4月清明节，校团委组织全体师生到红军山文明祭扫，敬献花篮，瞻仰革命先烈等活动； 5月，学校举行班级韵律操比赛和五.四文艺汇演。各教研组根据学科特点开展了不同形式的、学生喜闻乐见的特色教研活动。学校政教处、团委间周一次专题讲座或社团活动，树立学生正确的学习观、学生观 、人生观，文明之声溢满校园，和谐的氛围助推学校各项工作的发展，</w:t>
      </w:r>
    </w:p>
    <w:p w14:paraId="29FA88AD">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2、教学中心，机制激励，制度管理。我们实行了会议考勤点名制、常规工作手册制、教学过程求实检查制、常规检查量化打分制、绩效工资激励制，真正做到机制激励人，制度管理人，情感关怀人，纪律约束人，让各项工作步入严谨、规范、科学、有序的管理程序，发挥每一个教职员工的潜能，在各个领域争取最优成绩。</w:t>
      </w:r>
    </w:p>
    <w:p w14:paraId="0ADD0CA9">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3、活动促学，教研促学，注重青年教师培养。学校采取活动促学、教研兴校的方法，中老年教师上好一堂示范课，年轻教师上好一堂合格课；骨干教师进行专题讲座，青年教师实施教学目标解读、中考试题测试；实施开门听课，教学开放活动；重课改和课题研究。组织教师集中学习全国先进教学思想，请教育专家来校指导，教师外出学习，结对帮扶，互相听课，教学大比武等教研活动促进了教学质量的提高。建立了“五+X”的高效课堂教学模式，为学校教育教学质量的稳步提升和学校的可持续发展储备了人才，奠定了基础。本年度，开展教师公开课72节次，参加市、区级教研竞课15人次，荣获区级一等奖6人次，市级二等奖3人次。</w:t>
      </w:r>
    </w:p>
    <w:p w14:paraId="09BFE86D">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4、聚焦中考，提升质量。认真研读中考方案，全面推进导学案的使用。首先在全体教师中响亮的提出了质量考核“三缺一不可，五缺一不行”的质量提升管理模式，加大学科治偏力度，营造浓厚的教学氛围，奖惩机制，通过月考会、半期总结会、学情分析会，年级目标会向每位教师下达了“保证目标”、“基本目标”和“展望目标”，使全体教师心往一处想，劲往一处使，整合了教师资源；学校教导处、教科室结合检测及时的召开了优生会、思想整顿会、学情指导会、学习方法交流会，给学生加油、打气，让他们明确了努力地方向，整合了学生情感、态度、价值观等非智力因素和智力因素，形成了较好的学风、班风、校风。2021中考，据不完全统计，有望取得优异成绩，给家长、学生、生活一份满意的答卷，为学校持续发展奠定良好基础。</w:t>
      </w:r>
    </w:p>
    <w:p w14:paraId="1B43A582">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（五）全面开展素质教育，以活动为载体，锻炼能力，提升活力，奠基人生。</w:t>
      </w:r>
    </w:p>
    <w:p w14:paraId="0455CF13">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xml:space="preserve"> 1、全校师生坚持每天锻炼一小时，丰富校园生活。学校成立了校教工篮球队及学生各种文艺活动团体，校园里，晨练、傍晚健身的队伍逐步扩大并持之以恒，运动场上教师、学生英姿飒爽、生龙活虎，校园里一片生机盎然。</w:t>
      </w:r>
    </w:p>
    <w:p w14:paraId="569397D2">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2、全力推进阳光大课间，全面推进素质教育。学生中开展了球类运动会、红歌比赛、书画赛、文艺汇演、国旗下演讲、经典诵读、片区艺术节、师生研学旅行活动等系列文体活动，内容丰富多彩、形式喜闻乐见，深受学生和家长欢迎和好评，实现了从应试教育向素质教育的转变。阳光大课间除广播体操外，跑步外，创编了集体韵律操，举行了国学经典诵读，还组织学生开展跳绳、拔河等活动，极大的丰富了校园生活。</w:t>
      </w:r>
    </w:p>
    <w:p w14:paraId="4495F73A">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3、积极开展校园文化艺术节，成绩突出。我们不仅按照教育局的全面要求去做，而且增添了系列地方特色活动，成绩突出。伏亮、吴静、谭芳、张黎玲、惠利华、白云等教师和朱砼、肖媛媛、熊媛、张思雨、王桥菲等同学共90余人次在科技制作、美语、美书、教学大比武、运动会等活动中获奖，充分展现了师生艺术素质艺术品质。</w:t>
      </w:r>
    </w:p>
    <w:p w14:paraId="5064A25C">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4、学校活动做到了每月有主题，每周有安排，每天有督促，学生养成教育、感恩教育稳步推进。一是坚持做好了以感恩、奋进为主题的每周尊严的升旗仪式和国旗下演讲活动；二是利用节庆日做好感恩教育和红色爱国主义教育；三是认真做好春秋两季固定的野外拉练活动和田径、球类运动会。让学生在活动中学习、锻炼、创新、提高。活动的开展，丰富了校园生活，锻炼了学生能力，铸就了优良品质，让师生在快乐中学习，在活动中锻炼，在拼搏中成长，展现了我校的青春与活力。</w:t>
      </w:r>
    </w:p>
    <w:p w14:paraId="387FD5A0">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(六)勤政克难，廉洁自律，打造廉洁型校园</w:t>
      </w:r>
    </w:p>
    <w:p w14:paraId="57935A7A">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1、勤政务实、作风硬朗。行政一班人做到了勤政、务实、开拓、创新，为学校的持续发展奠定了坚实基础。</w:t>
      </w:r>
    </w:p>
    <w:p w14:paraId="3F04543E">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2、节约办学，用好每一分钱。严格执行差旅报销制度，严把“吃喝关”“用车关”“采买关”，坚持每期向全体教师通报收支账目，接受大家监督，真正把有限的资金用到无限的教育事业上。</w:t>
      </w:r>
    </w:p>
    <w:p w14:paraId="114DF5F0">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3、改进后勤管理制度，严格分工，明确职责，实行了钱、账、物分离，健全了有效的相互监督约束机制。同时，在确保食品安全卫生的基础上，大力改善师生伙食水平，办“良心”餐厅，让师生吃得健康安、吃得安心、吃得放心，家长满意。</w:t>
      </w:r>
    </w:p>
    <w:p w14:paraId="61C99708">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4、本年度，学校进行了教师宿舍的改造及校园维修工程。学校精心谋划、认真研判、科学施工、严格监理，用好项目资金，做优质工程，改善学习生活面貌，提升学校工作、学习环境。</w:t>
      </w:r>
    </w:p>
    <w:p w14:paraId="0D5033A0">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（七）办学特色及亮点</w:t>
      </w:r>
    </w:p>
    <w:p w14:paraId="06C47C36">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1、“传承红军经典，铸就坚韧品质”是太公中学德育主旋律。把红军精神“智勇坚定，排难创新，团结奋斗，不胜不休” 外显于形，内化于心，坚定不移地融入到我们的学习、生活、工作之中，形成太公中学独特的校园特色文化，培养坚韧品质，奠基坚强人生。</w:t>
      </w:r>
    </w:p>
    <w:p w14:paraId="1206706C">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2、走内涵发展之路，提升教育教学质量。全面践行“五+X”高效课堂教学模式，着力提高教学的实效性、有效性、高效性，办社会满意教育。</w:t>
      </w:r>
    </w:p>
    <w:p w14:paraId="7B070847">
      <w:pPr>
        <w:widowControl/>
        <w:jc w:val="left"/>
        <w:rPr>
          <w:rFonts w:hint="eastAsia" w:ascii="仿宋" w:hAnsi="仿宋" w:eastAsia="仿宋" w:cs="仿宋"/>
          <w:kern w:val="0"/>
          <w:sz w:val="32"/>
          <w:szCs w:val="32"/>
        </w:rPr>
      </w:pPr>
      <w:r>
        <w:rPr>
          <w:rFonts w:hint="eastAsia" w:ascii="仿宋" w:hAnsi="仿宋" w:eastAsia="仿宋" w:cs="仿宋"/>
          <w:color w:val="auto"/>
          <w:kern w:val="0"/>
          <w:sz w:val="32"/>
          <w:szCs w:val="32"/>
          <w:highlight w:val="none"/>
        </w:rPr>
        <w:t>3、全面推行“孝德文化”，力争让每一个学生品学兼优，学有所成。</w:t>
      </w:r>
    </w:p>
    <w:p w14:paraId="1ABABED7">
      <w:pPr>
        <w:pStyle w:val="16"/>
        <w:rPr>
          <w:rFonts w:hint="eastAsia" w:ascii="仿宋" w:hAnsi="仿宋" w:eastAsia="仿宋" w:cs="仿宋"/>
        </w:rPr>
      </w:pPr>
    </w:p>
    <w:p w14:paraId="7908713E">
      <w:pPr>
        <w:rPr>
          <w:rFonts w:hint="eastAsia" w:ascii="仿宋" w:hAnsi="仿宋" w:eastAsia="仿宋" w:cs="仿宋"/>
          <w:b w:val="0"/>
        </w:rPr>
      </w:pPr>
      <w:bookmarkStart w:id="25" w:name="_Toc15377204"/>
      <w:bookmarkStart w:id="26" w:name="_Toc15396602"/>
      <w:r>
        <w:rPr>
          <w:rFonts w:hint="eastAsia" w:ascii="仿宋" w:hAnsi="仿宋" w:eastAsia="仿宋" w:cs="仿宋"/>
          <w:b w:val="0"/>
        </w:rPr>
        <w:br w:type="page"/>
      </w:r>
    </w:p>
    <w:p w14:paraId="496D830F">
      <w:pPr>
        <w:pStyle w:val="3"/>
        <w:bidi w:val="0"/>
        <w:rPr>
          <w:rFonts w:hint="eastAsia" w:ascii="仿宋" w:hAnsi="仿宋" w:eastAsia="仿宋" w:cs="仿宋"/>
        </w:rPr>
      </w:pPr>
      <w:bookmarkStart w:id="27" w:name="_Toc10437"/>
      <w:r>
        <w:rPr>
          <w:rFonts w:hint="eastAsia" w:ascii="仿宋" w:hAnsi="仿宋" w:eastAsia="仿宋" w:cs="仿宋"/>
        </w:rPr>
        <w:t>第二部分 2021年度单位决算情况说明</w:t>
      </w:r>
      <w:bookmarkEnd w:id="25"/>
      <w:bookmarkEnd w:id="26"/>
      <w:bookmarkEnd w:id="27"/>
    </w:p>
    <w:p w14:paraId="211FB458">
      <w:pPr>
        <w:rPr>
          <w:rFonts w:hint="eastAsia" w:ascii="仿宋" w:hAnsi="仿宋" w:eastAsia="仿宋" w:cs="仿宋"/>
        </w:rPr>
      </w:pPr>
    </w:p>
    <w:p w14:paraId="60560149">
      <w:pPr>
        <w:pStyle w:val="4"/>
        <w:numPr>
          <w:ilvl w:val="0"/>
          <w:numId w:val="2"/>
        </w:numPr>
        <w:bidi w:val="0"/>
        <w:ind w:left="0" w:leftChars="0" w:firstLine="643" w:firstLineChars="200"/>
        <w:rPr>
          <w:rFonts w:hint="eastAsia" w:ascii="仿宋" w:hAnsi="仿宋" w:eastAsia="仿宋" w:cs="仿宋"/>
        </w:rPr>
      </w:pPr>
      <w:bookmarkStart w:id="28" w:name="_Toc15377205"/>
      <w:bookmarkStart w:id="29" w:name="_Toc15396603"/>
      <w:bookmarkStart w:id="30" w:name="_Toc5075"/>
      <w:r>
        <w:rPr>
          <w:rFonts w:hint="eastAsia" w:ascii="仿宋" w:hAnsi="仿宋" w:eastAsia="仿宋" w:cs="仿宋"/>
        </w:rPr>
        <w:t>收入支出决算总体情况说明</w:t>
      </w:r>
      <w:bookmarkEnd w:id="28"/>
      <w:bookmarkEnd w:id="29"/>
      <w:bookmarkEnd w:id="30"/>
    </w:p>
    <w:p w14:paraId="07B068DE">
      <w:pPr>
        <w:spacing w:line="600" w:lineRule="exact"/>
        <w:ind w:firstLine="640" w:firstLineChars="200"/>
        <w:outlineLvl w:val="1"/>
        <w:rPr>
          <w:rFonts w:hint="eastAsia" w:ascii="仿宋" w:hAnsi="仿宋" w:eastAsia="仿宋" w:cs="仿宋"/>
          <w:lang w:eastAsia="zh-CN"/>
        </w:rPr>
      </w:pPr>
      <w:bookmarkStart w:id="31" w:name="_Toc20585"/>
      <w:bookmarkStart w:id="32" w:name="_Toc9801"/>
      <w:r>
        <w:rPr>
          <w:rFonts w:hint="eastAsia" w:ascii="仿宋" w:hAnsi="仿宋" w:eastAsia="仿宋" w:cs="仿宋"/>
          <w:sz w:val="32"/>
          <w:szCs w:val="32"/>
        </w:rPr>
        <w:t>2021年度收、支总计</w:t>
      </w:r>
      <w:r>
        <w:rPr>
          <w:rFonts w:hint="eastAsia" w:ascii="仿宋" w:hAnsi="仿宋" w:eastAsia="仿宋" w:cs="仿宋"/>
          <w:sz w:val="32"/>
          <w:szCs w:val="32"/>
          <w:lang w:val="en-US" w:eastAsia="zh-CN"/>
        </w:rPr>
        <w:t>1206.49</w:t>
      </w:r>
      <w:r>
        <w:rPr>
          <w:rFonts w:hint="eastAsia" w:ascii="仿宋" w:hAnsi="仿宋" w:eastAsia="仿宋" w:cs="仿宋"/>
          <w:sz w:val="32"/>
          <w:szCs w:val="32"/>
        </w:rPr>
        <w:t>万元。与2020年相比，收、支总计各增加</w:t>
      </w:r>
      <w:r>
        <w:rPr>
          <w:rFonts w:hint="eastAsia" w:ascii="仿宋" w:hAnsi="仿宋" w:eastAsia="仿宋" w:cs="仿宋"/>
          <w:color w:val="auto"/>
          <w:sz w:val="32"/>
          <w:szCs w:val="32"/>
          <w:highlight w:val="none"/>
          <w:lang w:val="en-US" w:eastAsia="zh-CN"/>
        </w:rPr>
        <w:t>50.49</w:t>
      </w:r>
      <w:r>
        <w:rPr>
          <w:rFonts w:hint="eastAsia" w:ascii="仿宋" w:hAnsi="仿宋" w:eastAsia="仿宋" w:cs="仿宋"/>
          <w:sz w:val="32"/>
          <w:szCs w:val="32"/>
        </w:rPr>
        <w:t>万元，增长</w:t>
      </w:r>
      <w:r>
        <w:rPr>
          <w:rFonts w:hint="eastAsia" w:ascii="仿宋" w:hAnsi="仿宋" w:eastAsia="仿宋" w:cs="仿宋"/>
          <w:color w:val="auto"/>
          <w:sz w:val="32"/>
          <w:szCs w:val="32"/>
          <w:highlight w:val="none"/>
          <w:lang w:val="en-US" w:eastAsia="zh-CN"/>
        </w:rPr>
        <w:t>4.37</w:t>
      </w:r>
      <w:r>
        <w:rPr>
          <w:rFonts w:hint="eastAsia" w:ascii="仿宋" w:hAnsi="仿宋" w:eastAsia="仿宋" w:cs="仿宋"/>
          <w:color w:val="auto"/>
          <w:sz w:val="32"/>
          <w:szCs w:val="32"/>
          <w:highlight w:val="none"/>
        </w:rPr>
        <w:t>%</w:t>
      </w:r>
      <w:r>
        <w:rPr>
          <w:rFonts w:hint="eastAsia" w:ascii="仿宋" w:hAnsi="仿宋" w:eastAsia="仿宋" w:cs="仿宋"/>
          <w:sz w:val="32"/>
          <w:szCs w:val="32"/>
        </w:rPr>
        <w:t>。主要变动原因是</w:t>
      </w:r>
      <w:r>
        <w:rPr>
          <w:rFonts w:hint="eastAsia" w:ascii="仿宋" w:hAnsi="仿宋" w:eastAsia="仿宋" w:cs="仿宋"/>
          <w:color w:val="auto"/>
          <w:sz w:val="32"/>
          <w:szCs w:val="32"/>
          <w:highlight w:val="none"/>
          <w:lang w:eastAsia="zh-CN"/>
        </w:rPr>
        <w:t>基本</w:t>
      </w:r>
      <w:r>
        <w:rPr>
          <w:rFonts w:hint="eastAsia" w:ascii="仿宋" w:hAnsi="仿宋" w:eastAsia="仿宋" w:cs="仿宋"/>
          <w:sz w:val="32"/>
          <w:szCs w:val="32"/>
        </w:rPr>
        <w:t>支出增加。</w:t>
      </w:r>
      <w:bookmarkEnd w:id="31"/>
      <w:bookmarkEnd w:id="32"/>
    </w:p>
    <w:p w14:paraId="15F96EDE">
      <w:pPr>
        <w:pStyle w:val="4"/>
        <w:numPr>
          <w:ilvl w:val="0"/>
          <w:numId w:val="2"/>
        </w:numPr>
        <w:bidi w:val="0"/>
        <w:ind w:left="0" w:leftChars="0" w:firstLine="643" w:firstLineChars="200"/>
        <w:jc w:val="left"/>
        <w:rPr>
          <w:rFonts w:hint="eastAsia" w:ascii="仿宋" w:hAnsi="仿宋" w:eastAsia="仿宋" w:cs="仿宋"/>
        </w:rPr>
      </w:pPr>
      <w:bookmarkStart w:id="33" w:name="_Toc11923"/>
      <w:bookmarkStart w:id="34" w:name="_Toc15377206"/>
      <w:bookmarkStart w:id="35" w:name="_Toc15396604"/>
      <w:r>
        <w:rPr>
          <w:rFonts w:hint="eastAsia" w:ascii="仿宋" w:hAnsi="仿宋" w:eastAsia="仿宋" w:cs="仿宋"/>
          <w:lang w:eastAsia="zh-CN"/>
        </w:rPr>
        <w:drawing>
          <wp:anchor distT="0" distB="0" distL="114300" distR="114300" simplePos="0" relativeHeight="251660288" behindDoc="0" locked="0" layoutInCell="1" allowOverlap="1">
            <wp:simplePos x="0" y="0"/>
            <wp:positionH relativeFrom="column">
              <wp:posOffset>213995</wp:posOffset>
            </wp:positionH>
            <wp:positionV relativeFrom="paragraph">
              <wp:posOffset>22860</wp:posOffset>
            </wp:positionV>
            <wp:extent cx="50800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ascii="仿宋" w:hAnsi="仿宋" w:eastAsia="仿宋" w:cs="仿宋"/>
        </w:rPr>
        <w:t>收入决算情况说明</w:t>
      </w:r>
      <w:bookmarkEnd w:id="33"/>
      <w:bookmarkEnd w:id="34"/>
      <w:bookmarkEnd w:id="35"/>
    </w:p>
    <w:p w14:paraId="616C9CA8">
      <w:pPr>
        <w:spacing w:line="600" w:lineRule="exact"/>
        <w:ind w:firstLine="640" w:firstLineChars="200"/>
        <w:outlineLvl w:val="1"/>
        <w:rPr>
          <w:rFonts w:hint="eastAsia" w:ascii="仿宋" w:hAnsi="仿宋" w:eastAsia="仿宋" w:cs="仿宋"/>
          <w:sz w:val="32"/>
          <w:szCs w:val="32"/>
          <w:lang w:eastAsia="zh-CN"/>
        </w:rPr>
      </w:pPr>
      <w:bookmarkStart w:id="36" w:name="_Toc28868"/>
      <w:bookmarkStart w:id="37" w:name="_Toc32714"/>
      <w:r>
        <w:rPr>
          <w:rFonts w:hint="eastAsia" w:ascii="仿宋" w:hAnsi="仿宋" w:eastAsia="仿宋" w:cs="仿宋"/>
          <w:sz w:val="32"/>
          <w:szCs w:val="32"/>
        </w:rPr>
        <w:t>2021年本年收入合计</w:t>
      </w:r>
      <w:r>
        <w:rPr>
          <w:rFonts w:hint="eastAsia" w:ascii="仿宋" w:hAnsi="仿宋" w:eastAsia="仿宋" w:cs="仿宋"/>
          <w:sz w:val="32"/>
          <w:szCs w:val="32"/>
          <w:lang w:val="en-US" w:eastAsia="zh-CN"/>
        </w:rPr>
        <w:t>1206.49</w:t>
      </w:r>
      <w:r>
        <w:rPr>
          <w:rFonts w:hint="eastAsia" w:ascii="仿宋" w:hAnsi="仿宋" w:eastAsia="仿宋" w:cs="仿宋"/>
          <w:sz w:val="32"/>
          <w:szCs w:val="32"/>
        </w:rPr>
        <w:t>万元，其中：一般公共预算财政拨款收入</w:t>
      </w:r>
      <w:r>
        <w:rPr>
          <w:rFonts w:hint="eastAsia" w:ascii="仿宋" w:hAnsi="仿宋" w:eastAsia="仿宋" w:cs="仿宋"/>
          <w:sz w:val="32"/>
          <w:szCs w:val="32"/>
          <w:lang w:val="en-US" w:eastAsia="zh-CN"/>
        </w:rPr>
        <w:t>1206.49</w:t>
      </w:r>
      <w:r>
        <w:rPr>
          <w:rFonts w:hint="eastAsia" w:ascii="仿宋" w:hAnsi="仿宋" w:eastAsia="仿宋" w:cs="仿宋"/>
          <w:sz w:val="32"/>
          <w:szCs w:val="32"/>
        </w:rPr>
        <w:t>万元，占</w:t>
      </w:r>
      <w:r>
        <w:rPr>
          <w:rFonts w:hint="eastAsia" w:ascii="仿宋" w:hAnsi="仿宋" w:eastAsia="仿宋" w:cs="仿宋"/>
          <w:sz w:val="32"/>
          <w:szCs w:val="32"/>
          <w:lang w:val="en-US" w:eastAsia="zh-CN"/>
        </w:rPr>
        <w:t>100</w:t>
      </w:r>
      <w:r>
        <w:rPr>
          <w:rFonts w:hint="eastAsia" w:ascii="仿宋" w:hAnsi="仿宋" w:eastAsia="仿宋" w:cs="仿宋"/>
          <w:sz w:val="32"/>
          <w:szCs w:val="32"/>
        </w:rPr>
        <w:t>%</w:t>
      </w:r>
      <w:r>
        <w:rPr>
          <w:rFonts w:hint="eastAsia" w:ascii="仿宋" w:hAnsi="仿宋" w:eastAsia="仿宋" w:cs="仿宋"/>
          <w:sz w:val="32"/>
          <w:szCs w:val="32"/>
          <w:lang w:eastAsia="zh-CN"/>
        </w:rPr>
        <w:t>。</w:t>
      </w:r>
      <w:bookmarkEnd w:id="36"/>
      <w:bookmarkEnd w:id="37"/>
    </w:p>
    <w:p w14:paraId="660B5999">
      <w:pPr>
        <w:pStyle w:val="16"/>
        <w:rPr>
          <w:rFonts w:hint="eastAsia" w:ascii="仿宋" w:hAnsi="仿宋" w:eastAsia="仿宋" w:cs="仿宋"/>
          <w:lang w:eastAsia="zh-CN"/>
        </w:rPr>
      </w:pPr>
      <w:r>
        <w:rPr>
          <w:rFonts w:hint="eastAsia" w:ascii="仿宋" w:hAnsi="仿宋" w:eastAsia="仿宋" w:cs="仿宋"/>
          <w:lang w:eastAsia="zh-CN"/>
        </w:rPr>
        <w:drawing>
          <wp:anchor distT="0" distB="0" distL="114300" distR="114300" simplePos="0" relativeHeight="251661312" behindDoc="0" locked="0" layoutInCell="1" allowOverlap="1">
            <wp:simplePos x="0" y="0"/>
            <wp:positionH relativeFrom="column">
              <wp:posOffset>-38100</wp:posOffset>
            </wp:positionH>
            <wp:positionV relativeFrom="paragraph">
              <wp:posOffset>27305</wp:posOffset>
            </wp:positionV>
            <wp:extent cx="5584825" cy="2199640"/>
            <wp:effectExtent l="4445" t="4445" r="11430" b="5715"/>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14:paraId="5D2BD36F">
      <w:pPr>
        <w:pStyle w:val="4"/>
        <w:bidi w:val="0"/>
        <w:rPr>
          <w:rFonts w:hint="eastAsia" w:ascii="仿宋" w:hAnsi="仿宋" w:eastAsia="仿宋" w:cs="仿宋"/>
        </w:rPr>
      </w:pPr>
      <w:bookmarkStart w:id="38" w:name="_Toc2775"/>
      <w:bookmarkStart w:id="39" w:name="_Toc15396605"/>
      <w:bookmarkStart w:id="40" w:name="_Toc15377207"/>
      <w:r>
        <w:rPr>
          <w:rFonts w:hint="eastAsia" w:ascii="仿宋" w:hAnsi="仿宋" w:eastAsia="仿宋" w:cs="仿宋"/>
          <w:lang w:eastAsia="zh-CN"/>
        </w:rPr>
        <w:t>三、</w:t>
      </w:r>
      <w:r>
        <w:rPr>
          <w:rFonts w:hint="eastAsia" w:ascii="仿宋" w:hAnsi="仿宋" w:eastAsia="仿宋" w:cs="仿宋"/>
        </w:rPr>
        <w:t>支出决算情况说明</w:t>
      </w:r>
      <w:bookmarkEnd w:id="38"/>
      <w:bookmarkEnd w:id="39"/>
      <w:bookmarkEnd w:id="40"/>
    </w:p>
    <w:p w14:paraId="02B720DF">
      <w:pPr>
        <w:spacing w:line="600" w:lineRule="exact"/>
        <w:ind w:firstLine="640" w:firstLineChars="200"/>
        <w:outlineLvl w:val="1"/>
        <w:rPr>
          <w:rFonts w:hint="eastAsia" w:ascii="仿宋" w:hAnsi="仿宋" w:eastAsia="仿宋" w:cs="仿宋"/>
          <w:sz w:val="32"/>
          <w:szCs w:val="32"/>
        </w:rPr>
      </w:pPr>
      <w:bookmarkStart w:id="41" w:name="_Toc6817"/>
      <w:bookmarkStart w:id="42" w:name="_Toc30363"/>
      <w:r>
        <w:rPr>
          <w:rFonts w:hint="eastAsia" w:ascii="仿宋" w:hAnsi="仿宋" w:eastAsia="仿宋" w:cs="仿宋"/>
          <w:sz w:val="32"/>
          <w:szCs w:val="32"/>
          <w:shd w:val="pct10" w:color="auto" w:fill="FFFFFF"/>
        </w:rPr>
        <w:drawing>
          <wp:anchor distT="0" distB="0" distL="114300" distR="114300" simplePos="0" relativeHeight="251659264" behindDoc="0" locked="0" layoutInCell="1" allowOverlap="1">
            <wp:simplePos x="0" y="0"/>
            <wp:positionH relativeFrom="column">
              <wp:posOffset>43815</wp:posOffset>
            </wp:positionH>
            <wp:positionV relativeFrom="paragraph">
              <wp:posOffset>889635</wp:posOffset>
            </wp:positionV>
            <wp:extent cx="5080000" cy="2929255"/>
            <wp:effectExtent l="4445" t="4445" r="20955" b="1905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仿宋" w:hAnsi="仿宋" w:eastAsia="仿宋" w:cs="仿宋"/>
          <w:sz w:val="32"/>
          <w:szCs w:val="32"/>
        </w:rPr>
        <w:t>2021年本年支出合计</w:t>
      </w:r>
      <w:r>
        <w:rPr>
          <w:rFonts w:hint="eastAsia" w:ascii="仿宋" w:hAnsi="仿宋" w:eastAsia="仿宋" w:cs="仿宋"/>
          <w:color w:val="auto"/>
          <w:sz w:val="32"/>
          <w:szCs w:val="32"/>
          <w:highlight w:val="none"/>
        </w:rPr>
        <w:t>1206.49</w:t>
      </w:r>
      <w:r>
        <w:rPr>
          <w:rFonts w:hint="eastAsia" w:ascii="仿宋" w:hAnsi="仿宋" w:eastAsia="仿宋" w:cs="仿宋"/>
          <w:sz w:val="32"/>
          <w:szCs w:val="32"/>
        </w:rPr>
        <w:t>万元，其中：基本支出</w:t>
      </w:r>
      <w:r>
        <w:rPr>
          <w:rFonts w:hint="eastAsia" w:ascii="仿宋" w:hAnsi="仿宋" w:eastAsia="仿宋" w:cs="仿宋"/>
          <w:color w:val="auto"/>
          <w:sz w:val="32"/>
          <w:szCs w:val="32"/>
          <w:highlight w:val="none"/>
        </w:rPr>
        <w:t>741.49</w:t>
      </w:r>
      <w:r>
        <w:rPr>
          <w:rFonts w:hint="eastAsia" w:ascii="仿宋" w:hAnsi="仿宋" w:eastAsia="仿宋" w:cs="仿宋"/>
          <w:sz w:val="32"/>
          <w:szCs w:val="32"/>
        </w:rPr>
        <w:t>万元，占</w:t>
      </w:r>
      <w:r>
        <w:rPr>
          <w:rFonts w:hint="eastAsia" w:ascii="仿宋" w:hAnsi="仿宋" w:eastAsia="仿宋" w:cs="仿宋"/>
          <w:color w:val="auto"/>
          <w:sz w:val="32"/>
          <w:szCs w:val="32"/>
          <w:highlight w:val="none"/>
          <w:lang w:val="en-US" w:eastAsia="zh-CN"/>
        </w:rPr>
        <w:t>61.46</w:t>
      </w:r>
      <w:r>
        <w:rPr>
          <w:rFonts w:hint="eastAsia" w:ascii="仿宋" w:hAnsi="仿宋" w:eastAsia="仿宋" w:cs="仿宋"/>
          <w:color w:val="auto"/>
          <w:sz w:val="32"/>
          <w:szCs w:val="32"/>
          <w:highlight w:val="none"/>
        </w:rPr>
        <w:t>%</w:t>
      </w:r>
      <w:r>
        <w:rPr>
          <w:rFonts w:hint="eastAsia" w:ascii="仿宋" w:hAnsi="仿宋" w:eastAsia="仿宋" w:cs="仿宋"/>
          <w:sz w:val="32"/>
          <w:szCs w:val="32"/>
        </w:rPr>
        <w:t>；项目支出</w:t>
      </w:r>
      <w:r>
        <w:rPr>
          <w:rFonts w:hint="eastAsia" w:ascii="仿宋" w:hAnsi="仿宋" w:eastAsia="仿宋" w:cs="仿宋"/>
          <w:color w:val="auto"/>
          <w:sz w:val="32"/>
          <w:szCs w:val="32"/>
          <w:highlight w:val="none"/>
        </w:rPr>
        <w:t>465</w:t>
      </w:r>
      <w:r>
        <w:rPr>
          <w:rFonts w:hint="eastAsia" w:ascii="仿宋" w:hAnsi="仿宋" w:eastAsia="仿宋" w:cs="仿宋"/>
          <w:color w:val="auto"/>
          <w:sz w:val="32"/>
          <w:szCs w:val="32"/>
          <w:highlight w:val="none"/>
          <w:lang w:val="en-US" w:eastAsia="zh-CN"/>
        </w:rPr>
        <w:t>.00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38.54</w:t>
      </w:r>
      <w:r>
        <w:rPr>
          <w:rFonts w:hint="eastAsia" w:ascii="仿宋" w:hAnsi="仿宋" w:eastAsia="仿宋" w:cs="仿宋"/>
          <w:color w:val="auto"/>
          <w:sz w:val="32"/>
          <w:szCs w:val="32"/>
          <w:highlight w:val="none"/>
        </w:rPr>
        <w:t>%</w:t>
      </w:r>
      <w:r>
        <w:rPr>
          <w:rFonts w:hint="eastAsia" w:ascii="仿宋" w:hAnsi="仿宋" w:eastAsia="仿宋" w:cs="仿宋"/>
          <w:sz w:val="32"/>
          <w:szCs w:val="32"/>
        </w:rPr>
        <w:t>。</w:t>
      </w:r>
      <w:bookmarkEnd w:id="41"/>
      <w:bookmarkEnd w:id="42"/>
    </w:p>
    <w:p w14:paraId="55C4104F">
      <w:pPr>
        <w:pStyle w:val="4"/>
        <w:bidi w:val="0"/>
        <w:rPr>
          <w:rFonts w:hint="eastAsia" w:ascii="仿宋" w:hAnsi="仿宋" w:eastAsia="仿宋" w:cs="仿宋"/>
        </w:rPr>
      </w:pPr>
      <w:bookmarkStart w:id="43" w:name="_Toc15396606"/>
      <w:bookmarkStart w:id="44" w:name="_Toc12678"/>
      <w:bookmarkStart w:id="45" w:name="_Toc15377208"/>
      <w:r>
        <w:rPr>
          <w:rFonts w:hint="eastAsia" w:ascii="仿宋" w:hAnsi="仿宋" w:eastAsia="仿宋" w:cs="仿宋"/>
        </w:rPr>
        <w:t>四、财政拨款收入支出决算总体情况说明</w:t>
      </w:r>
      <w:bookmarkEnd w:id="43"/>
      <w:bookmarkEnd w:id="44"/>
      <w:bookmarkEnd w:id="45"/>
    </w:p>
    <w:p w14:paraId="23DBFF52">
      <w:pPr>
        <w:spacing w:line="600" w:lineRule="exact"/>
        <w:ind w:firstLine="640"/>
        <w:rPr>
          <w:rFonts w:hint="eastAsia" w:ascii="仿宋" w:hAnsi="仿宋" w:eastAsia="仿宋" w:cs="仿宋"/>
          <w:sz w:val="32"/>
          <w:szCs w:val="32"/>
        </w:rPr>
      </w:pPr>
      <w:r>
        <w:rPr>
          <w:rFonts w:hint="eastAsia" w:ascii="仿宋" w:hAnsi="仿宋" w:eastAsia="仿宋" w:cs="仿宋"/>
          <w:sz w:val="32"/>
          <w:szCs w:val="32"/>
        </w:rPr>
        <w:t>2021年财政拨款收、支总计</w:t>
      </w:r>
      <w:r>
        <w:rPr>
          <w:rFonts w:hint="eastAsia" w:ascii="仿宋" w:hAnsi="仿宋" w:eastAsia="仿宋" w:cs="仿宋"/>
          <w:color w:val="auto"/>
          <w:sz w:val="32"/>
          <w:szCs w:val="32"/>
          <w:highlight w:val="none"/>
        </w:rPr>
        <w:t>1206.49</w:t>
      </w:r>
      <w:r>
        <w:rPr>
          <w:rFonts w:hint="eastAsia" w:ascii="仿宋" w:hAnsi="仿宋" w:eastAsia="仿宋" w:cs="仿宋"/>
          <w:sz w:val="32"/>
          <w:szCs w:val="32"/>
        </w:rPr>
        <w:t>万元。与2020年相比，财政拨款收、支总计各增加</w:t>
      </w:r>
      <w:r>
        <w:rPr>
          <w:rFonts w:hint="eastAsia" w:ascii="仿宋" w:hAnsi="仿宋" w:eastAsia="仿宋" w:cs="仿宋"/>
          <w:color w:val="auto"/>
          <w:sz w:val="32"/>
          <w:szCs w:val="32"/>
          <w:highlight w:val="none"/>
          <w:lang w:val="en-US" w:eastAsia="zh-CN"/>
        </w:rPr>
        <w:t>50.49</w:t>
      </w:r>
      <w:r>
        <w:rPr>
          <w:rFonts w:hint="eastAsia" w:ascii="仿宋" w:hAnsi="仿宋" w:eastAsia="仿宋" w:cs="仿宋"/>
          <w:sz w:val="32"/>
          <w:szCs w:val="32"/>
        </w:rPr>
        <w:t>万元，增长</w:t>
      </w:r>
      <w:r>
        <w:rPr>
          <w:rFonts w:hint="eastAsia" w:ascii="仿宋" w:hAnsi="仿宋" w:eastAsia="仿宋" w:cs="仿宋"/>
          <w:sz w:val="32"/>
          <w:szCs w:val="32"/>
          <w:lang w:val="en-US" w:eastAsia="zh-CN"/>
        </w:rPr>
        <w:t>4.3</w:t>
      </w:r>
      <w:r>
        <w:rPr>
          <w:rFonts w:hint="eastAsia" w:ascii="仿宋" w:hAnsi="仿宋" w:eastAsia="仿宋" w:cs="仿宋"/>
          <w:sz w:val="32"/>
          <w:szCs w:val="32"/>
        </w:rPr>
        <w:t>7%。主要变动原因是</w:t>
      </w:r>
      <w:r>
        <w:rPr>
          <w:rFonts w:hint="eastAsia" w:ascii="仿宋" w:hAnsi="仿宋" w:eastAsia="仿宋" w:cs="仿宋"/>
          <w:sz w:val="32"/>
          <w:szCs w:val="32"/>
          <w:lang w:eastAsia="zh-CN"/>
        </w:rPr>
        <w:t>基本</w:t>
      </w:r>
      <w:r>
        <w:rPr>
          <w:rFonts w:hint="eastAsia" w:ascii="仿宋" w:hAnsi="仿宋" w:eastAsia="仿宋" w:cs="仿宋"/>
          <w:sz w:val="32"/>
          <w:szCs w:val="32"/>
        </w:rPr>
        <w:t>支出增加。</w:t>
      </w:r>
    </w:p>
    <w:p w14:paraId="339E1CA9">
      <w:pPr>
        <w:pStyle w:val="16"/>
        <w:rPr>
          <w:rFonts w:hint="eastAsia" w:ascii="仿宋" w:hAnsi="仿宋" w:eastAsia="仿宋" w:cs="仿宋"/>
        </w:rPr>
      </w:pPr>
      <w:r>
        <w:rPr>
          <w:rFonts w:hint="eastAsia" w:ascii="仿宋" w:hAnsi="仿宋" w:eastAsia="仿宋" w:cs="仿宋"/>
          <w:lang w:eastAsia="zh-CN"/>
        </w:rPr>
        <w:drawing>
          <wp:anchor distT="0" distB="0" distL="114300" distR="114300" simplePos="0" relativeHeight="251662336" behindDoc="0" locked="0" layoutInCell="1" allowOverlap="1">
            <wp:simplePos x="0" y="0"/>
            <wp:positionH relativeFrom="column">
              <wp:posOffset>4445</wp:posOffset>
            </wp:positionH>
            <wp:positionV relativeFrom="paragraph">
              <wp:posOffset>208280</wp:posOffset>
            </wp:positionV>
            <wp:extent cx="5080000" cy="2734945"/>
            <wp:effectExtent l="4445" t="4445" r="20955" b="2286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07910F09">
      <w:pPr>
        <w:pStyle w:val="4"/>
        <w:bidi w:val="0"/>
        <w:rPr>
          <w:rFonts w:hint="eastAsia" w:ascii="仿宋" w:hAnsi="仿宋" w:eastAsia="仿宋" w:cs="仿宋"/>
        </w:rPr>
      </w:pPr>
      <w:bookmarkStart w:id="46" w:name="_Toc16782"/>
      <w:bookmarkStart w:id="47" w:name="_Toc15396607"/>
      <w:bookmarkStart w:id="48" w:name="_Toc15377209"/>
      <w:r>
        <w:rPr>
          <w:rFonts w:hint="eastAsia" w:ascii="仿宋" w:hAnsi="仿宋" w:eastAsia="仿宋" w:cs="仿宋"/>
        </w:rPr>
        <w:t>五、一般公共预算财政拨款支出决算情况说明</w:t>
      </w:r>
      <w:bookmarkEnd w:id="46"/>
      <w:bookmarkEnd w:id="47"/>
      <w:bookmarkEnd w:id="48"/>
    </w:p>
    <w:p w14:paraId="63F1DF9E">
      <w:pPr>
        <w:spacing w:line="600" w:lineRule="exact"/>
        <w:ind w:firstLine="643" w:firstLineChars="200"/>
        <w:outlineLvl w:val="2"/>
        <w:rPr>
          <w:rFonts w:hint="eastAsia" w:ascii="仿宋" w:hAnsi="仿宋" w:eastAsia="仿宋" w:cs="仿宋"/>
          <w:b/>
          <w:sz w:val="32"/>
          <w:szCs w:val="32"/>
        </w:rPr>
      </w:pPr>
      <w:bookmarkStart w:id="49" w:name="_Toc15377210"/>
      <w:r>
        <w:rPr>
          <w:rFonts w:hint="eastAsia" w:ascii="仿宋" w:hAnsi="仿宋" w:eastAsia="仿宋" w:cs="仿宋"/>
          <w:b/>
          <w:sz w:val="32"/>
          <w:szCs w:val="32"/>
        </w:rPr>
        <w:t>（一）一般公共预算财政拨款支出决算总体情况</w:t>
      </w:r>
      <w:bookmarkEnd w:id="49"/>
    </w:p>
    <w:p w14:paraId="1761E735">
      <w:pPr>
        <w:spacing w:line="600" w:lineRule="exact"/>
        <w:ind w:firstLine="640"/>
        <w:rPr>
          <w:rFonts w:hint="eastAsia" w:ascii="仿宋" w:hAnsi="仿宋" w:eastAsia="仿宋" w:cs="仿宋"/>
          <w:b/>
          <w:sz w:val="32"/>
          <w:szCs w:val="32"/>
          <w:lang w:eastAsia="zh-CN"/>
        </w:rPr>
      </w:pPr>
      <w:r>
        <w:rPr>
          <w:rFonts w:hint="eastAsia" w:ascii="仿宋" w:hAnsi="仿宋" w:eastAsia="仿宋" w:cs="仿宋"/>
          <w:sz w:val="32"/>
          <w:szCs w:val="32"/>
        </w:rPr>
        <w:t>2021年一般公共预算财政拨款支出</w:t>
      </w:r>
      <w:r>
        <w:rPr>
          <w:rFonts w:hint="eastAsia" w:ascii="仿宋" w:hAnsi="仿宋" w:eastAsia="仿宋" w:cs="仿宋"/>
          <w:color w:val="auto"/>
          <w:sz w:val="32"/>
          <w:szCs w:val="32"/>
          <w:highlight w:val="none"/>
        </w:rPr>
        <w:t>1206.49</w:t>
      </w:r>
      <w:r>
        <w:rPr>
          <w:rFonts w:hint="eastAsia" w:ascii="仿宋" w:hAnsi="仿宋" w:eastAsia="仿宋" w:cs="仿宋"/>
          <w:sz w:val="32"/>
          <w:szCs w:val="32"/>
        </w:rPr>
        <w:t>万元，占本年支出合计的</w:t>
      </w:r>
      <w:r>
        <w:rPr>
          <w:rFonts w:hint="eastAsia" w:ascii="仿宋" w:hAnsi="仿宋" w:eastAsia="仿宋" w:cs="仿宋"/>
          <w:sz w:val="32"/>
          <w:szCs w:val="32"/>
          <w:lang w:val="en-US" w:eastAsia="zh-CN"/>
        </w:rPr>
        <w:t>100</w:t>
      </w:r>
      <w:r>
        <w:rPr>
          <w:rFonts w:hint="eastAsia" w:ascii="仿宋" w:hAnsi="仿宋" w:eastAsia="仿宋" w:cs="仿宋"/>
          <w:sz w:val="32"/>
          <w:szCs w:val="32"/>
        </w:rPr>
        <w:t>%。与2020年</w:t>
      </w:r>
      <w:r>
        <w:rPr>
          <w:rFonts w:hint="eastAsia" w:ascii="仿宋" w:hAnsi="仿宋" w:eastAsia="仿宋" w:cs="仿宋"/>
          <w:sz w:val="32"/>
          <w:szCs w:val="32"/>
          <w:lang w:val="en-US" w:eastAsia="zh-CN"/>
        </w:rPr>
        <w:t>1156</w:t>
      </w:r>
      <w:r>
        <w:rPr>
          <w:rFonts w:hint="eastAsia" w:ascii="仿宋" w:hAnsi="仿宋" w:eastAsia="仿宋" w:cs="仿宋"/>
          <w:sz w:val="32"/>
          <w:szCs w:val="32"/>
          <w:lang w:eastAsia="zh-CN"/>
        </w:rPr>
        <w:t>万元</w:t>
      </w:r>
      <w:r>
        <w:rPr>
          <w:rFonts w:hint="eastAsia" w:ascii="仿宋" w:hAnsi="仿宋" w:eastAsia="仿宋" w:cs="仿宋"/>
          <w:sz w:val="32"/>
          <w:szCs w:val="32"/>
        </w:rPr>
        <w:t>相比，一般公共预算财政拨款支出增加</w:t>
      </w:r>
      <w:r>
        <w:rPr>
          <w:rFonts w:hint="eastAsia" w:ascii="仿宋" w:hAnsi="仿宋" w:eastAsia="仿宋" w:cs="仿宋"/>
          <w:sz w:val="32"/>
          <w:szCs w:val="32"/>
          <w:lang w:val="en-US" w:eastAsia="zh-CN"/>
        </w:rPr>
        <w:t>50.49</w:t>
      </w:r>
      <w:r>
        <w:rPr>
          <w:rFonts w:hint="eastAsia" w:ascii="仿宋" w:hAnsi="仿宋" w:eastAsia="仿宋" w:cs="仿宋"/>
          <w:sz w:val="32"/>
          <w:szCs w:val="32"/>
        </w:rPr>
        <w:t>万元，增长</w:t>
      </w:r>
      <w:r>
        <w:rPr>
          <w:rFonts w:hint="eastAsia" w:ascii="仿宋" w:hAnsi="仿宋" w:eastAsia="仿宋" w:cs="仿宋"/>
          <w:sz w:val="32"/>
          <w:szCs w:val="32"/>
          <w:lang w:val="en-US" w:eastAsia="zh-CN"/>
        </w:rPr>
        <w:t>4.37</w:t>
      </w:r>
      <w:r>
        <w:rPr>
          <w:rFonts w:hint="eastAsia" w:ascii="仿宋" w:hAnsi="仿宋" w:eastAsia="仿宋" w:cs="仿宋"/>
          <w:sz w:val="32"/>
          <w:szCs w:val="32"/>
        </w:rPr>
        <w:t>%。主要变动原因是</w:t>
      </w:r>
      <w:r>
        <w:rPr>
          <w:rFonts w:hint="eastAsia" w:ascii="仿宋" w:hAnsi="仿宋" w:eastAsia="仿宋" w:cs="仿宋"/>
          <w:sz w:val="32"/>
          <w:szCs w:val="32"/>
          <w:lang w:eastAsia="zh-CN"/>
        </w:rPr>
        <w:t>基本</w:t>
      </w:r>
      <w:r>
        <w:rPr>
          <w:rFonts w:hint="eastAsia" w:ascii="仿宋" w:hAnsi="仿宋" w:eastAsia="仿宋" w:cs="仿宋"/>
          <w:sz w:val="32"/>
          <w:szCs w:val="32"/>
        </w:rPr>
        <w:t>支出增加。</w:t>
      </w:r>
    </w:p>
    <w:p w14:paraId="3F4B1EC2">
      <w:pPr>
        <w:spacing w:line="600" w:lineRule="exact"/>
        <w:ind w:firstLine="643" w:firstLineChars="200"/>
        <w:outlineLvl w:val="2"/>
        <w:rPr>
          <w:rFonts w:hint="eastAsia" w:ascii="仿宋" w:hAnsi="仿宋" w:eastAsia="仿宋" w:cs="仿宋"/>
          <w:b/>
          <w:sz w:val="32"/>
          <w:szCs w:val="32"/>
        </w:rPr>
      </w:pPr>
      <w:bookmarkStart w:id="50" w:name="_Toc15377211"/>
      <w:r>
        <w:rPr>
          <w:rFonts w:hint="eastAsia" w:ascii="仿宋" w:hAnsi="仿宋" w:eastAsia="仿宋" w:cs="仿宋"/>
          <w:b/>
          <w:sz w:val="32"/>
          <w:szCs w:val="32"/>
          <w:lang w:eastAsia="zh-CN"/>
        </w:rPr>
        <w:drawing>
          <wp:anchor distT="0" distB="0" distL="114300" distR="114300" simplePos="0" relativeHeight="251663360" behindDoc="0" locked="0" layoutInCell="1" allowOverlap="1">
            <wp:simplePos x="0" y="0"/>
            <wp:positionH relativeFrom="column">
              <wp:posOffset>4445</wp:posOffset>
            </wp:positionH>
            <wp:positionV relativeFrom="paragraph">
              <wp:posOffset>118110</wp:posOffset>
            </wp:positionV>
            <wp:extent cx="5080000" cy="2391410"/>
            <wp:effectExtent l="4445" t="4445" r="20955" b="2349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 w:hAnsi="仿宋" w:eastAsia="仿宋" w:cs="仿宋"/>
          <w:b/>
          <w:sz w:val="32"/>
          <w:szCs w:val="32"/>
        </w:rPr>
        <w:t>（二）一般公共预算财政拨款支出决算结构情况</w:t>
      </w:r>
      <w:bookmarkEnd w:id="50"/>
    </w:p>
    <w:p w14:paraId="6CD49B66">
      <w:pPr>
        <w:spacing w:line="600" w:lineRule="exact"/>
        <w:ind w:firstLine="640"/>
        <w:rPr>
          <w:rFonts w:hint="eastAsia" w:ascii="仿宋" w:hAnsi="仿宋" w:eastAsia="仿宋" w:cs="仿宋"/>
          <w:sz w:val="32"/>
          <w:szCs w:val="32"/>
        </w:rPr>
      </w:pPr>
      <w:r>
        <w:rPr>
          <w:rFonts w:hint="eastAsia" w:ascii="仿宋" w:hAnsi="仿宋" w:eastAsia="仿宋" w:cs="仿宋"/>
          <w:b/>
          <w:sz w:val="32"/>
          <w:szCs w:val="32"/>
        </w:rPr>
        <w:drawing>
          <wp:anchor distT="0" distB="0" distL="114300" distR="114300" simplePos="0" relativeHeight="251664384" behindDoc="0" locked="0" layoutInCell="1" allowOverlap="1">
            <wp:simplePos x="0" y="0"/>
            <wp:positionH relativeFrom="column">
              <wp:posOffset>52070</wp:posOffset>
            </wp:positionH>
            <wp:positionV relativeFrom="paragraph">
              <wp:posOffset>956945</wp:posOffset>
            </wp:positionV>
            <wp:extent cx="5080000" cy="2524125"/>
            <wp:effectExtent l="4445" t="4445" r="20955" b="5080"/>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 w:hAnsi="仿宋" w:eastAsia="仿宋" w:cs="仿宋"/>
          <w:sz w:val="32"/>
          <w:szCs w:val="32"/>
        </w:rPr>
        <w:t>2021年一般公共预算财政拨款支出</w:t>
      </w:r>
      <w:r>
        <w:rPr>
          <w:rFonts w:hint="eastAsia" w:ascii="仿宋" w:hAnsi="仿宋" w:eastAsia="仿宋" w:cs="仿宋"/>
          <w:sz w:val="32"/>
          <w:szCs w:val="32"/>
          <w:lang w:val="en-US" w:eastAsia="zh-CN"/>
        </w:rPr>
        <w:t>1206.49</w:t>
      </w:r>
      <w:r>
        <w:rPr>
          <w:rFonts w:hint="eastAsia" w:ascii="仿宋" w:hAnsi="仿宋" w:eastAsia="仿宋" w:cs="仿宋"/>
          <w:sz w:val="32"/>
          <w:szCs w:val="32"/>
        </w:rPr>
        <w:t>万元，主要用于以下方面:</w:t>
      </w:r>
      <w:r>
        <w:rPr>
          <w:rFonts w:hint="eastAsia" w:ascii="仿宋" w:hAnsi="仿宋" w:eastAsia="仿宋" w:cs="仿宋"/>
          <w:b/>
          <w:sz w:val="32"/>
          <w:szCs w:val="32"/>
        </w:rPr>
        <w:t>教育支出（类）</w:t>
      </w:r>
      <w:r>
        <w:rPr>
          <w:rFonts w:hint="eastAsia" w:ascii="仿宋" w:hAnsi="仿宋" w:eastAsia="仿宋" w:cs="仿宋"/>
          <w:sz w:val="32"/>
          <w:szCs w:val="32"/>
          <w:lang w:val="en-US" w:eastAsia="zh-CN"/>
        </w:rPr>
        <w:t>1206.49</w:t>
      </w:r>
      <w:r>
        <w:rPr>
          <w:rFonts w:hint="eastAsia" w:ascii="仿宋" w:hAnsi="仿宋" w:eastAsia="仿宋" w:cs="仿宋"/>
          <w:sz w:val="32"/>
          <w:szCs w:val="32"/>
        </w:rPr>
        <w:t>万元，占100%。</w:t>
      </w:r>
    </w:p>
    <w:p w14:paraId="43BC6286">
      <w:pPr>
        <w:spacing w:line="600" w:lineRule="exact"/>
        <w:ind w:left="0" w:leftChars="0" w:firstLine="643" w:firstLineChars="200"/>
        <w:rPr>
          <w:rFonts w:hint="eastAsia" w:ascii="仿宋" w:hAnsi="仿宋" w:eastAsia="仿宋" w:cs="仿宋"/>
          <w:b/>
          <w:sz w:val="32"/>
          <w:szCs w:val="32"/>
        </w:rPr>
      </w:pPr>
      <w:bookmarkStart w:id="51" w:name="_Toc15377212"/>
      <w:r>
        <w:rPr>
          <w:rFonts w:hint="eastAsia" w:ascii="仿宋" w:hAnsi="仿宋" w:eastAsia="仿宋" w:cs="仿宋"/>
          <w:b/>
          <w:sz w:val="32"/>
          <w:szCs w:val="32"/>
        </w:rPr>
        <w:t>（三）一般公共预算财政拨款支出决算具体情况</w:t>
      </w:r>
      <w:bookmarkEnd w:id="51"/>
    </w:p>
    <w:p w14:paraId="5A0103D0">
      <w:pPr>
        <w:spacing w:line="600" w:lineRule="exact"/>
        <w:ind w:firstLine="643" w:firstLineChars="200"/>
        <w:outlineLvl w:val="2"/>
        <w:rPr>
          <w:rFonts w:hint="eastAsia" w:ascii="仿宋" w:hAnsi="仿宋" w:eastAsia="仿宋" w:cs="仿宋"/>
          <w:sz w:val="32"/>
          <w:szCs w:val="32"/>
        </w:rPr>
      </w:pPr>
      <w:bookmarkStart w:id="52" w:name="_Toc15377213"/>
      <w:bookmarkStart w:id="53" w:name="_Toc15378460"/>
      <w:bookmarkStart w:id="54" w:name="_Toc15377444"/>
      <w:r>
        <w:rPr>
          <w:rFonts w:hint="eastAsia" w:ascii="仿宋" w:hAnsi="仿宋" w:eastAsia="仿宋" w:cs="仿宋"/>
          <w:b/>
          <w:sz w:val="32"/>
          <w:szCs w:val="32"/>
        </w:rPr>
        <w:t>2021年一般公共预算支出决算数为</w:t>
      </w:r>
      <w:r>
        <w:rPr>
          <w:rFonts w:hint="eastAsia" w:ascii="仿宋" w:hAnsi="仿宋" w:eastAsia="仿宋" w:cs="仿宋"/>
          <w:b/>
          <w:sz w:val="32"/>
          <w:szCs w:val="32"/>
          <w:lang w:val="en-US" w:eastAsia="zh-CN"/>
        </w:rPr>
        <w:t>1206.49万元</w:t>
      </w:r>
      <w:r>
        <w:rPr>
          <w:rFonts w:hint="eastAsia" w:ascii="仿宋" w:hAnsi="仿宋" w:eastAsia="仿宋" w:cs="仿宋"/>
          <w:sz w:val="32"/>
          <w:szCs w:val="32"/>
        </w:rPr>
        <w:t>，</w:t>
      </w:r>
      <w:r>
        <w:rPr>
          <w:rStyle w:val="19"/>
          <w:rFonts w:hint="eastAsia" w:ascii="仿宋" w:hAnsi="仿宋" w:eastAsia="仿宋" w:cs="仿宋"/>
          <w:bCs/>
          <w:sz w:val="32"/>
          <w:szCs w:val="32"/>
        </w:rPr>
        <w:t>完成预算100%。其中：</w:t>
      </w:r>
      <w:bookmarkEnd w:id="52"/>
      <w:bookmarkEnd w:id="53"/>
      <w:bookmarkEnd w:id="54"/>
    </w:p>
    <w:p w14:paraId="795A96FE">
      <w:pPr>
        <w:spacing w:line="600" w:lineRule="exact"/>
        <w:ind w:firstLine="643" w:firstLineChars="200"/>
        <w:rPr>
          <w:rFonts w:hint="eastAsia" w:ascii="仿宋" w:hAnsi="仿宋" w:eastAsia="仿宋" w:cs="仿宋"/>
          <w:b/>
          <w:color w:val="auto"/>
          <w:sz w:val="32"/>
          <w:szCs w:val="32"/>
          <w:highlight w:val="none"/>
        </w:rPr>
      </w:pPr>
      <w:r>
        <w:rPr>
          <w:rStyle w:val="19"/>
          <w:rFonts w:hint="eastAsia" w:ascii="仿宋" w:hAnsi="仿宋" w:eastAsia="仿宋" w:cs="仿宋"/>
          <w:bCs/>
          <w:sz w:val="32"/>
          <w:szCs w:val="32"/>
        </w:rPr>
        <w:t>1.教育205（类）普通教育02（款）</w:t>
      </w:r>
      <w:r>
        <w:rPr>
          <w:rStyle w:val="19"/>
          <w:rFonts w:hint="eastAsia" w:ascii="仿宋" w:hAnsi="仿宋" w:eastAsia="仿宋" w:cs="仿宋"/>
          <w:bCs/>
          <w:sz w:val="32"/>
          <w:szCs w:val="32"/>
          <w:lang w:eastAsia="zh-CN"/>
        </w:rPr>
        <w:t>初中</w:t>
      </w:r>
      <w:r>
        <w:rPr>
          <w:rStyle w:val="19"/>
          <w:rFonts w:hint="eastAsia" w:ascii="仿宋" w:hAnsi="仿宋" w:eastAsia="仿宋" w:cs="仿宋"/>
          <w:bCs/>
          <w:sz w:val="32"/>
          <w:szCs w:val="32"/>
        </w:rPr>
        <w:t>教育0</w:t>
      </w:r>
      <w:r>
        <w:rPr>
          <w:rStyle w:val="19"/>
          <w:rFonts w:hint="eastAsia" w:ascii="仿宋" w:hAnsi="仿宋" w:eastAsia="仿宋" w:cs="仿宋"/>
          <w:bCs/>
          <w:sz w:val="32"/>
          <w:szCs w:val="32"/>
          <w:lang w:val="en-US" w:eastAsia="zh-CN"/>
        </w:rPr>
        <w:t>3</w:t>
      </w:r>
      <w:r>
        <w:rPr>
          <w:rStyle w:val="19"/>
          <w:rFonts w:hint="eastAsia" w:ascii="仿宋" w:hAnsi="仿宋" w:eastAsia="仿宋" w:cs="仿宋"/>
          <w:bCs/>
          <w:sz w:val="32"/>
          <w:szCs w:val="32"/>
        </w:rPr>
        <w:t>（项）:</w:t>
      </w:r>
      <w:r>
        <w:rPr>
          <w:rStyle w:val="19"/>
          <w:rFonts w:hint="eastAsia" w:ascii="仿宋" w:hAnsi="仿宋" w:eastAsia="仿宋" w:cs="仿宋"/>
          <w:b w:val="0"/>
          <w:bCs/>
          <w:sz w:val="32"/>
          <w:szCs w:val="32"/>
        </w:rPr>
        <w:t xml:space="preserve"> 支出决算为7</w:t>
      </w:r>
      <w:r>
        <w:rPr>
          <w:rStyle w:val="19"/>
          <w:rFonts w:hint="eastAsia" w:ascii="仿宋" w:hAnsi="仿宋" w:eastAsia="仿宋" w:cs="仿宋"/>
          <w:b w:val="0"/>
          <w:bCs/>
          <w:sz w:val="32"/>
          <w:szCs w:val="32"/>
          <w:lang w:val="en-US" w:eastAsia="zh-CN"/>
        </w:rPr>
        <w:t>41.49</w:t>
      </w:r>
      <w:r>
        <w:rPr>
          <w:rStyle w:val="19"/>
          <w:rFonts w:hint="eastAsia" w:ascii="仿宋" w:hAnsi="仿宋" w:eastAsia="仿宋" w:cs="仿宋"/>
          <w:b w:val="0"/>
          <w:bCs/>
          <w:sz w:val="32"/>
          <w:szCs w:val="32"/>
        </w:rPr>
        <w:t>万元，完成预算100%</w:t>
      </w:r>
      <w:r>
        <w:rPr>
          <w:rStyle w:val="19"/>
          <w:rFonts w:hint="eastAsia" w:ascii="仿宋" w:hAnsi="仿宋" w:eastAsia="仿宋" w:cs="仿宋"/>
          <w:b w:val="0"/>
          <w:bCs/>
          <w:sz w:val="32"/>
          <w:szCs w:val="32"/>
          <w:lang w:eastAsia="zh-CN"/>
        </w:rPr>
        <w:t>，</w:t>
      </w:r>
      <w:r>
        <w:rPr>
          <w:rStyle w:val="19"/>
          <w:rFonts w:hint="eastAsia" w:ascii="仿宋" w:hAnsi="仿宋" w:eastAsia="仿宋" w:cs="仿宋"/>
          <w:b w:val="0"/>
          <w:bCs/>
          <w:color w:val="auto"/>
          <w:sz w:val="32"/>
          <w:szCs w:val="32"/>
          <w:highlight w:val="none"/>
        </w:rPr>
        <w:t>决算数等于预算数。</w:t>
      </w:r>
    </w:p>
    <w:p w14:paraId="53484DD5">
      <w:pPr>
        <w:spacing w:line="600" w:lineRule="exact"/>
        <w:ind w:firstLine="643" w:firstLineChars="200"/>
        <w:rPr>
          <w:rStyle w:val="19"/>
          <w:rFonts w:hint="eastAsia" w:ascii="仿宋" w:hAnsi="仿宋" w:eastAsia="仿宋" w:cs="仿宋"/>
          <w:b w:val="0"/>
          <w:bCs/>
          <w:sz w:val="32"/>
          <w:szCs w:val="32"/>
        </w:rPr>
      </w:pPr>
      <w:r>
        <w:rPr>
          <w:rStyle w:val="19"/>
          <w:rFonts w:hint="eastAsia" w:ascii="仿宋" w:hAnsi="仿宋" w:eastAsia="仿宋" w:cs="仿宋"/>
          <w:bCs/>
          <w:sz w:val="32"/>
          <w:szCs w:val="32"/>
        </w:rPr>
        <w:t>2.教育205（类）普通教育0</w:t>
      </w:r>
      <w:r>
        <w:rPr>
          <w:rStyle w:val="19"/>
          <w:rFonts w:hint="eastAsia" w:ascii="仿宋" w:hAnsi="仿宋" w:eastAsia="仿宋" w:cs="仿宋"/>
          <w:bCs/>
          <w:sz w:val="32"/>
          <w:szCs w:val="32"/>
          <w:lang w:val="en-US" w:eastAsia="zh-CN"/>
        </w:rPr>
        <w:t>2</w:t>
      </w:r>
      <w:r>
        <w:rPr>
          <w:rStyle w:val="19"/>
          <w:rFonts w:hint="eastAsia" w:ascii="仿宋" w:hAnsi="仿宋" w:eastAsia="仿宋" w:cs="仿宋"/>
          <w:bCs/>
          <w:sz w:val="32"/>
          <w:szCs w:val="32"/>
        </w:rPr>
        <w:t>（款）</w:t>
      </w:r>
      <w:r>
        <w:rPr>
          <w:rStyle w:val="19"/>
          <w:rFonts w:hint="eastAsia" w:ascii="仿宋" w:hAnsi="仿宋" w:eastAsia="仿宋" w:cs="仿宋"/>
          <w:bCs/>
          <w:sz w:val="32"/>
          <w:szCs w:val="32"/>
          <w:lang w:eastAsia="zh-CN"/>
        </w:rPr>
        <w:t>其他普通教育支出</w:t>
      </w:r>
      <w:r>
        <w:rPr>
          <w:rStyle w:val="19"/>
          <w:rFonts w:hint="eastAsia" w:ascii="仿宋" w:hAnsi="仿宋" w:eastAsia="仿宋" w:cs="仿宋"/>
          <w:bCs/>
          <w:sz w:val="32"/>
          <w:szCs w:val="32"/>
        </w:rPr>
        <w:t>0</w:t>
      </w:r>
      <w:r>
        <w:rPr>
          <w:rStyle w:val="19"/>
          <w:rFonts w:hint="eastAsia" w:ascii="仿宋" w:hAnsi="仿宋" w:eastAsia="仿宋" w:cs="仿宋"/>
          <w:bCs/>
          <w:sz w:val="32"/>
          <w:szCs w:val="32"/>
          <w:lang w:val="en-US" w:eastAsia="zh-CN"/>
        </w:rPr>
        <w:t>9</w:t>
      </w:r>
      <w:r>
        <w:rPr>
          <w:rStyle w:val="19"/>
          <w:rFonts w:hint="eastAsia" w:ascii="仿宋" w:hAnsi="仿宋" w:eastAsia="仿宋" w:cs="仿宋"/>
          <w:bCs/>
          <w:sz w:val="32"/>
          <w:szCs w:val="32"/>
        </w:rPr>
        <w:t>（项）:</w:t>
      </w:r>
      <w:r>
        <w:rPr>
          <w:rStyle w:val="19"/>
          <w:rFonts w:hint="eastAsia" w:ascii="仿宋" w:hAnsi="仿宋" w:eastAsia="仿宋" w:cs="仿宋"/>
          <w:b w:val="0"/>
          <w:bCs/>
          <w:sz w:val="32"/>
          <w:szCs w:val="32"/>
        </w:rPr>
        <w:t xml:space="preserve"> 支出决算为</w:t>
      </w:r>
      <w:r>
        <w:rPr>
          <w:rStyle w:val="19"/>
          <w:rFonts w:hint="eastAsia" w:ascii="仿宋" w:hAnsi="仿宋" w:eastAsia="仿宋" w:cs="仿宋"/>
          <w:b w:val="0"/>
          <w:bCs/>
          <w:sz w:val="32"/>
          <w:szCs w:val="32"/>
          <w:lang w:val="en-US" w:eastAsia="zh-CN"/>
        </w:rPr>
        <w:t>465</w:t>
      </w:r>
      <w:r>
        <w:rPr>
          <w:rStyle w:val="19"/>
          <w:rFonts w:hint="eastAsia" w:ascii="仿宋" w:hAnsi="仿宋" w:eastAsia="仿宋" w:cs="仿宋"/>
          <w:b w:val="0"/>
          <w:bCs/>
          <w:sz w:val="32"/>
          <w:szCs w:val="32"/>
        </w:rPr>
        <w:t>万元，完成预算100%。</w:t>
      </w:r>
      <w:r>
        <w:rPr>
          <w:rStyle w:val="19"/>
          <w:rFonts w:hint="eastAsia" w:ascii="仿宋" w:hAnsi="仿宋" w:eastAsia="仿宋" w:cs="仿宋"/>
          <w:b w:val="0"/>
          <w:bCs/>
          <w:sz w:val="32"/>
          <w:szCs w:val="32"/>
          <w:lang w:eastAsia="zh-CN"/>
        </w:rPr>
        <w:t>，</w:t>
      </w:r>
      <w:r>
        <w:rPr>
          <w:rStyle w:val="19"/>
          <w:rFonts w:hint="eastAsia" w:ascii="仿宋" w:hAnsi="仿宋" w:eastAsia="仿宋" w:cs="仿宋"/>
          <w:b w:val="0"/>
          <w:bCs/>
          <w:color w:val="auto"/>
          <w:sz w:val="32"/>
          <w:szCs w:val="32"/>
          <w:highlight w:val="none"/>
        </w:rPr>
        <w:t>决算数等于预算数。</w:t>
      </w:r>
    </w:p>
    <w:p w14:paraId="1F03D5C7">
      <w:pPr>
        <w:pStyle w:val="16"/>
        <w:rPr>
          <w:rFonts w:hint="eastAsia" w:ascii="仿宋" w:hAnsi="仿宋" w:eastAsia="仿宋" w:cs="仿宋"/>
        </w:rPr>
      </w:pPr>
    </w:p>
    <w:p w14:paraId="59C45C37">
      <w:pPr>
        <w:pStyle w:val="4"/>
        <w:bidi w:val="0"/>
        <w:rPr>
          <w:rFonts w:hint="eastAsia" w:ascii="仿宋" w:hAnsi="仿宋" w:eastAsia="仿宋" w:cs="仿宋"/>
        </w:rPr>
      </w:pPr>
      <w:bookmarkStart w:id="55" w:name="_Toc15377214"/>
      <w:bookmarkStart w:id="56" w:name="_Toc15396608"/>
      <w:bookmarkStart w:id="57" w:name="_Toc23757"/>
      <w:r>
        <w:rPr>
          <w:rFonts w:hint="eastAsia" w:ascii="仿宋" w:hAnsi="仿宋" w:eastAsia="仿宋" w:cs="仿宋"/>
        </w:rPr>
        <w:t>六、一般公共预算财政拨款基本支出决算情况说明</w:t>
      </w:r>
      <w:bookmarkEnd w:id="55"/>
      <w:bookmarkEnd w:id="56"/>
      <w:bookmarkEnd w:id="57"/>
      <w:r>
        <w:rPr>
          <w:rFonts w:hint="eastAsia" w:ascii="仿宋" w:hAnsi="仿宋" w:eastAsia="仿宋" w:cs="仿宋"/>
        </w:rPr>
        <w:tab/>
      </w:r>
    </w:p>
    <w:p w14:paraId="23C0073C">
      <w:pPr>
        <w:spacing w:line="600" w:lineRule="exact"/>
        <w:ind w:firstLine="645"/>
        <w:rPr>
          <w:rFonts w:hint="eastAsia" w:ascii="仿宋" w:hAnsi="仿宋" w:eastAsia="仿宋" w:cs="仿宋"/>
          <w:sz w:val="32"/>
          <w:szCs w:val="32"/>
        </w:rPr>
      </w:pPr>
      <w:r>
        <w:rPr>
          <w:rFonts w:hint="eastAsia" w:ascii="仿宋" w:hAnsi="仿宋" w:eastAsia="仿宋" w:cs="仿宋"/>
          <w:sz w:val="32"/>
          <w:szCs w:val="32"/>
        </w:rPr>
        <w:t>2021年一般公共预算财政拨款基本支出7</w:t>
      </w:r>
      <w:r>
        <w:rPr>
          <w:rFonts w:hint="eastAsia" w:ascii="仿宋" w:hAnsi="仿宋" w:eastAsia="仿宋" w:cs="仿宋"/>
          <w:sz w:val="32"/>
          <w:szCs w:val="32"/>
          <w:lang w:val="en-US" w:eastAsia="zh-CN"/>
        </w:rPr>
        <w:t>41.49</w:t>
      </w:r>
      <w:r>
        <w:rPr>
          <w:rFonts w:hint="eastAsia" w:ascii="仿宋" w:hAnsi="仿宋" w:eastAsia="仿宋" w:cs="仿宋"/>
          <w:sz w:val="32"/>
          <w:szCs w:val="32"/>
        </w:rPr>
        <w:t>万元，其中：</w:t>
      </w:r>
    </w:p>
    <w:p w14:paraId="7822029D">
      <w:pPr>
        <w:spacing w:line="600" w:lineRule="exact"/>
        <w:ind w:firstLine="645"/>
        <w:rPr>
          <w:rFonts w:hint="eastAsia" w:ascii="仿宋" w:hAnsi="仿宋" w:eastAsia="仿宋" w:cs="仿宋"/>
          <w:sz w:val="32"/>
          <w:szCs w:val="32"/>
        </w:rPr>
      </w:pPr>
      <w:r>
        <w:rPr>
          <w:rFonts w:hint="eastAsia" w:ascii="仿宋" w:hAnsi="仿宋" w:eastAsia="仿宋" w:cs="仿宋"/>
          <w:sz w:val="32"/>
          <w:szCs w:val="32"/>
        </w:rPr>
        <w:t>人员经费6</w:t>
      </w:r>
      <w:r>
        <w:rPr>
          <w:rFonts w:hint="eastAsia" w:ascii="仿宋" w:hAnsi="仿宋" w:eastAsia="仿宋" w:cs="仿宋"/>
          <w:sz w:val="32"/>
          <w:szCs w:val="32"/>
          <w:lang w:val="en-US" w:eastAsia="zh-CN"/>
        </w:rPr>
        <w:t>26.63</w:t>
      </w:r>
      <w:r>
        <w:rPr>
          <w:rFonts w:hint="eastAsia" w:ascii="仿宋" w:hAnsi="仿宋" w:eastAsia="仿宋" w:cs="仿宋"/>
          <w:sz w:val="32"/>
          <w:szCs w:val="32"/>
        </w:rPr>
        <w:t>万元，主要包括：基本工资、津贴补贴、绩效工资、机关事业单位基本养老保险缴费、职工基本医疗保险缴费</w:t>
      </w:r>
      <w:r>
        <w:rPr>
          <w:rFonts w:hint="eastAsia" w:ascii="仿宋" w:hAnsi="仿宋" w:eastAsia="仿宋" w:cs="仿宋"/>
          <w:sz w:val="32"/>
          <w:szCs w:val="32"/>
          <w:lang w:eastAsia="zh-CN"/>
        </w:rPr>
        <w:t>、</w:t>
      </w:r>
      <w:r>
        <w:rPr>
          <w:rFonts w:hint="eastAsia" w:ascii="仿宋" w:hAnsi="仿宋" w:eastAsia="仿宋" w:cs="仿宋"/>
          <w:sz w:val="32"/>
          <w:szCs w:val="32"/>
        </w:rPr>
        <w:t>其他社会保障缴费、其他工资福利支出、抚恤金</w:t>
      </w:r>
      <w:r>
        <w:rPr>
          <w:rFonts w:hint="eastAsia" w:ascii="仿宋" w:hAnsi="仿宋" w:eastAsia="仿宋" w:cs="仿宋"/>
          <w:sz w:val="32"/>
          <w:szCs w:val="32"/>
          <w:lang w:eastAsia="zh-CN"/>
        </w:rPr>
        <w:t>、</w:t>
      </w:r>
      <w:r>
        <w:rPr>
          <w:rFonts w:hint="eastAsia" w:ascii="仿宋" w:hAnsi="仿宋" w:eastAsia="仿宋" w:cs="仿宋"/>
          <w:sz w:val="32"/>
          <w:szCs w:val="32"/>
        </w:rPr>
        <w:t>生活补助、助学金</w:t>
      </w:r>
      <w:r>
        <w:rPr>
          <w:rFonts w:hint="eastAsia" w:ascii="仿宋" w:hAnsi="仿宋" w:eastAsia="仿宋" w:cs="仿宋"/>
          <w:sz w:val="32"/>
          <w:szCs w:val="32"/>
          <w:lang w:eastAsia="zh-CN"/>
        </w:rPr>
        <w:t>、</w:t>
      </w:r>
      <w:r>
        <w:rPr>
          <w:rFonts w:hint="eastAsia" w:ascii="仿宋" w:hAnsi="仿宋" w:eastAsia="仿宋" w:cs="仿宋"/>
          <w:sz w:val="32"/>
          <w:szCs w:val="32"/>
        </w:rPr>
        <w:t>奖励金、住房公积金等。</w:t>
      </w:r>
    </w:p>
    <w:p w14:paraId="51D63C72">
      <w:pPr>
        <w:spacing w:line="600" w:lineRule="exact"/>
        <w:ind w:firstLine="645"/>
        <w:rPr>
          <w:rFonts w:hint="eastAsia" w:ascii="仿宋" w:hAnsi="仿宋" w:eastAsia="仿宋" w:cs="仿宋"/>
          <w:b/>
          <w:sz w:val="32"/>
          <w:szCs w:val="32"/>
        </w:rPr>
      </w:pPr>
      <w:r>
        <w:rPr>
          <w:rFonts w:hint="eastAsia" w:ascii="仿宋" w:hAnsi="仿宋" w:eastAsia="仿宋" w:cs="仿宋"/>
          <w:sz w:val="32"/>
          <w:szCs w:val="32"/>
        </w:rPr>
        <w:t>公用经费</w:t>
      </w:r>
      <w:r>
        <w:rPr>
          <w:rFonts w:hint="eastAsia" w:ascii="仿宋" w:hAnsi="仿宋" w:eastAsia="仿宋" w:cs="仿宋"/>
          <w:sz w:val="32"/>
          <w:szCs w:val="32"/>
          <w:lang w:val="en-US" w:eastAsia="zh-CN"/>
        </w:rPr>
        <w:t>114.86</w:t>
      </w:r>
      <w:r>
        <w:rPr>
          <w:rFonts w:hint="eastAsia" w:ascii="仿宋" w:hAnsi="仿宋" w:eastAsia="仿宋" w:cs="仿宋"/>
          <w:sz w:val="32"/>
          <w:szCs w:val="32"/>
        </w:rPr>
        <w:t>万元，主要包括：办公费、印刷费、手续费、水费、电费、邮电费、差旅费、维修（护）费、培训费、公务接待费、工会经费等。</w:t>
      </w:r>
    </w:p>
    <w:p w14:paraId="6593D8B1">
      <w:pPr>
        <w:pStyle w:val="4"/>
        <w:bidi w:val="0"/>
        <w:rPr>
          <w:rFonts w:hint="eastAsia" w:ascii="仿宋" w:hAnsi="仿宋" w:eastAsia="仿宋" w:cs="仿宋"/>
        </w:rPr>
      </w:pPr>
      <w:bookmarkStart w:id="58" w:name="_Toc15396609"/>
      <w:bookmarkStart w:id="59" w:name="_Toc16373"/>
      <w:bookmarkStart w:id="60" w:name="_Toc15377215"/>
      <w:r>
        <w:rPr>
          <w:rFonts w:hint="eastAsia" w:ascii="仿宋" w:hAnsi="仿宋" w:eastAsia="仿宋" w:cs="仿宋"/>
        </w:rPr>
        <w:t>七、“三公”经费财政拨款支出决算情况说明</w:t>
      </w:r>
      <w:bookmarkEnd w:id="58"/>
      <w:bookmarkEnd w:id="59"/>
      <w:bookmarkEnd w:id="60"/>
    </w:p>
    <w:p w14:paraId="2A61F94D">
      <w:pPr>
        <w:spacing w:line="600" w:lineRule="exact"/>
        <w:ind w:firstLine="640"/>
        <w:outlineLvl w:val="2"/>
        <w:rPr>
          <w:rFonts w:hint="eastAsia" w:ascii="仿宋" w:hAnsi="仿宋" w:eastAsia="仿宋" w:cs="仿宋"/>
          <w:b/>
          <w:sz w:val="32"/>
          <w:szCs w:val="32"/>
        </w:rPr>
      </w:pPr>
      <w:bookmarkStart w:id="61" w:name="_Toc15377216"/>
      <w:r>
        <w:rPr>
          <w:rFonts w:hint="eastAsia" w:ascii="仿宋" w:hAnsi="仿宋" w:eastAsia="仿宋" w:cs="仿宋"/>
          <w:b/>
          <w:sz w:val="32"/>
          <w:szCs w:val="32"/>
        </w:rPr>
        <w:t>（一）“三公”经费财政拨款支出决算总体情况说明</w:t>
      </w:r>
      <w:bookmarkEnd w:id="61"/>
    </w:p>
    <w:p w14:paraId="32A1340F">
      <w:pPr>
        <w:spacing w:line="600" w:lineRule="exact"/>
        <w:ind w:firstLine="640"/>
        <w:rPr>
          <w:rFonts w:hint="eastAsia" w:ascii="仿宋" w:hAnsi="仿宋" w:eastAsia="仿宋" w:cs="仿宋"/>
          <w:sz w:val="32"/>
          <w:szCs w:val="32"/>
        </w:rPr>
      </w:pPr>
      <w:r>
        <w:rPr>
          <w:rFonts w:hint="eastAsia" w:ascii="仿宋" w:hAnsi="仿宋" w:eastAsia="仿宋" w:cs="仿宋"/>
          <w:sz w:val="32"/>
          <w:szCs w:val="32"/>
        </w:rPr>
        <w:t>2021年“三公”经费财政拨款支出决算为</w:t>
      </w:r>
      <w:r>
        <w:rPr>
          <w:rFonts w:hint="eastAsia" w:ascii="仿宋" w:hAnsi="仿宋" w:eastAsia="仿宋" w:cs="仿宋"/>
          <w:sz w:val="32"/>
          <w:szCs w:val="32"/>
          <w:lang w:val="en-US" w:eastAsia="zh-CN"/>
        </w:rPr>
        <w:t>2.4</w:t>
      </w:r>
      <w:r>
        <w:rPr>
          <w:rFonts w:hint="eastAsia" w:ascii="仿宋" w:hAnsi="仿宋" w:eastAsia="仿宋" w:cs="仿宋"/>
          <w:sz w:val="32"/>
          <w:szCs w:val="32"/>
        </w:rPr>
        <w:t>万元，完成预算</w:t>
      </w:r>
      <w:r>
        <w:rPr>
          <w:rFonts w:hint="eastAsia" w:ascii="仿宋" w:hAnsi="仿宋" w:eastAsia="仿宋" w:cs="仿宋"/>
          <w:sz w:val="32"/>
          <w:szCs w:val="32"/>
          <w:lang w:val="en-US" w:eastAsia="zh-CN"/>
        </w:rPr>
        <w:t>100</w:t>
      </w:r>
      <w:r>
        <w:rPr>
          <w:rFonts w:hint="eastAsia" w:ascii="仿宋" w:hAnsi="仿宋" w:eastAsia="仿宋" w:cs="仿宋"/>
          <w:sz w:val="32"/>
          <w:szCs w:val="32"/>
        </w:rPr>
        <w:t>%，主要原因</w:t>
      </w:r>
      <w:r>
        <w:rPr>
          <w:rFonts w:hint="eastAsia" w:ascii="仿宋" w:hAnsi="仿宋" w:eastAsia="仿宋" w:cs="仿宋"/>
          <w:color w:val="auto"/>
          <w:sz w:val="32"/>
          <w:szCs w:val="32"/>
          <w:highlight w:val="none"/>
        </w:rPr>
        <w:t>是</w:t>
      </w:r>
      <w:r>
        <w:rPr>
          <w:rFonts w:hint="eastAsia" w:ascii="仿宋" w:hAnsi="仿宋" w:eastAsia="仿宋" w:cs="仿宋"/>
          <w:color w:val="000000"/>
          <w:sz w:val="32"/>
          <w:szCs w:val="32"/>
          <w:lang w:eastAsia="zh-CN"/>
        </w:rPr>
        <w:t>认真贯彻落实中央八项规定精神，采取有效措施严格控制接待范围和接待标准</w:t>
      </w:r>
      <w:r>
        <w:rPr>
          <w:rFonts w:hint="eastAsia" w:ascii="仿宋" w:hAnsi="仿宋" w:eastAsia="仿宋" w:cs="仿宋"/>
          <w:color w:val="000000"/>
          <w:sz w:val="32"/>
          <w:szCs w:val="32"/>
        </w:rPr>
        <w:t>。</w:t>
      </w:r>
    </w:p>
    <w:p w14:paraId="4C2CE3CA">
      <w:pPr>
        <w:spacing w:line="600" w:lineRule="exact"/>
        <w:ind w:firstLine="640"/>
        <w:outlineLvl w:val="2"/>
        <w:rPr>
          <w:rFonts w:hint="eastAsia" w:ascii="仿宋" w:hAnsi="仿宋" w:eastAsia="仿宋" w:cs="仿宋"/>
          <w:b/>
          <w:sz w:val="32"/>
          <w:szCs w:val="32"/>
        </w:rPr>
      </w:pPr>
      <w:bookmarkStart w:id="62" w:name="_Toc15377217"/>
      <w:r>
        <w:rPr>
          <w:rFonts w:hint="eastAsia" w:ascii="仿宋" w:hAnsi="仿宋" w:eastAsia="仿宋" w:cs="仿宋"/>
          <w:b/>
          <w:sz w:val="32"/>
          <w:szCs w:val="32"/>
        </w:rPr>
        <w:t>（二）“三公”经费财政拨款支出决算具体情况说明</w:t>
      </w:r>
      <w:bookmarkEnd w:id="62"/>
    </w:p>
    <w:p w14:paraId="7CB33C0E">
      <w:pPr>
        <w:spacing w:line="600" w:lineRule="exact"/>
        <w:ind w:firstLine="640" w:firstLineChars="200"/>
        <w:rPr>
          <w:rFonts w:hint="eastAsia" w:ascii="仿宋" w:hAnsi="仿宋" w:eastAsia="仿宋" w:cs="仿宋"/>
          <w:b/>
          <w:color w:val="auto"/>
          <w:sz w:val="32"/>
          <w:szCs w:val="32"/>
        </w:rPr>
      </w:pPr>
      <w:r>
        <w:rPr>
          <w:rFonts w:hint="eastAsia" w:ascii="仿宋" w:hAnsi="仿宋" w:eastAsia="仿宋" w:cs="仿宋"/>
          <w:sz w:val="32"/>
          <w:szCs w:val="32"/>
        </w:rPr>
        <w:t>2021年“三公”经费</w:t>
      </w:r>
      <w:r>
        <w:rPr>
          <w:rFonts w:hint="eastAsia" w:ascii="仿宋" w:hAnsi="仿宋" w:eastAsia="仿宋" w:cs="仿宋"/>
          <w:color w:val="auto"/>
          <w:sz w:val="32"/>
          <w:szCs w:val="32"/>
        </w:rPr>
        <w:t>财政拨款支出决算中，因公出国（境）费支出决算0万元，当年未安排</w:t>
      </w:r>
      <w:r>
        <w:rPr>
          <w:rFonts w:hint="eastAsia" w:ascii="仿宋" w:hAnsi="仿宋" w:eastAsia="仿宋" w:cs="仿宋"/>
          <w:color w:val="auto"/>
          <w:sz w:val="32"/>
          <w:szCs w:val="32"/>
          <w:lang w:eastAsia="zh-CN"/>
        </w:rPr>
        <w:t>预算</w:t>
      </w:r>
      <w:r>
        <w:rPr>
          <w:rFonts w:hint="eastAsia" w:ascii="仿宋" w:hAnsi="仿宋" w:eastAsia="仿宋" w:cs="仿宋"/>
          <w:color w:val="auto"/>
          <w:sz w:val="32"/>
          <w:szCs w:val="32"/>
          <w:lang w:val="en-US" w:eastAsia="zh-CN"/>
        </w:rPr>
        <w:t>，与上年持平</w:t>
      </w:r>
      <w:r>
        <w:rPr>
          <w:rFonts w:hint="eastAsia" w:ascii="仿宋" w:hAnsi="仿宋" w:eastAsia="仿宋" w:cs="仿宋"/>
          <w:color w:val="auto"/>
          <w:sz w:val="32"/>
          <w:szCs w:val="32"/>
        </w:rPr>
        <w:t>；公务用车购置及运行维护费支出决算0万元，当年未安排</w:t>
      </w:r>
      <w:r>
        <w:rPr>
          <w:rFonts w:hint="eastAsia" w:ascii="仿宋" w:hAnsi="仿宋" w:eastAsia="仿宋" w:cs="仿宋"/>
          <w:color w:val="auto"/>
          <w:sz w:val="32"/>
          <w:szCs w:val="32"/>
          <w:lang w:eastAsia="zh-CN"/>
        </w:rPr>
        <w:t>预算</w:t>
      </w:r>
      <w:r>
        <w:rPr>
          <w:rFonts w:hint="eastAsia" w:ascii="仿宋" w:hAnsi="仿宋" w:eastAsia="仿宋" w:cs="仿宋"/>
          <w:color w:val="auto"/>
          <w:sz w:val="32"/>
          <w:szCs w:val="32"/>
          <w:lang w:val="en-US" w:eastAsia="zh-CN"/>
        </w:rPr>
        <w:t>，与上年持平</w:t>
      </w:r>
      <w:r>
        <w:rPr>
          <w:rFonts w:hint="eastAsia" w:ascii="仿宋" w:hAnsi="仿宋" w:eastAsia="仿宋" w:cs="仿宋"/>
          <w:color w:val="auto"/>
          <w:sz w:val="32"/>
          <w:szCs w:val="32"/>
        </w:rPr>
        <w:t>；公务接待费支出决算</w:t>
      </w:r>
      <w:r>
        <w:rPr>
          <w:rFonts w:hint="eastAsia" w:ascii="仿宋" w:hAnsi="仿宋" w:eastAsia="仿宋" w:cs="仿宋"/>
          <w:color w:val="auto"/>
          <w:sz w:val="32"/>
          <w:szCs w:val="32"/>
          <w:lang w:val="en-US" w:eastAsia="zh-CN"/>
        </w:rPr>
        <w:t>2.4</w:t>
      </w:r>
      <w:r>
        <w:rPr>
          <w:rFonts w:hint="eastAsia" w:ascii="仿宋" w:hAnsi="仿宋" w:eastAsia="仿宋" w:cs="仿宋"/>
          <w:color w:val="auto"/>
          <w:sz w:val="32"/>
          <w:szCs w:val="32"/>
        </w:rPr>
        <w:t>万元，占100%。具体情况如下：</w:t>
      </w:r>
    </w:p>
    <w:p w14:paraId="406680F3">
      <w:pPr>
        <w:spacing w:line="600" w:lineRule="exact"/>
        <w:ind w:firstLine="640"/>
        <w:rPr>
          <w:rFonts w:hint="eastAsia" w:ascii="仿宋" w:hAnsi="仿宋" w:eastAsia="仿宋" w:cs="仿宋"/>
          <w:b/>
          <w:bCs w:val="0"/>
          <w:color w:val="auto"/>
          <w:sz w:val="32"/>
          <w:szCs w:val="32"/>
          <w:lang w:val="en-US"/>
        </w:rPr>
      </w:pPr>
      <w:r>
        <w:rPr>
          <w:rFonts w:hint="eastAsia" w:ascii="仿宋" w:hAnsi="仿宋" w:eastAsia="仿宋" w:cs="仿宋"/>
          <w:color w:val="auto"/>
          <w:sz w:val="32"/>
          <w:szCs w:val="32"/>
          <w:lang w:eastAsia="zh-CN"/>
        </w:rPr>
        <w:drawing>
          <wp:anchor distT="0" distB="0" distL="114300" distR="114300" simplePos="0" relativeHeight="251665408" behindDoc="0" locked="0" layoutInCell="1" allowOverlap="1">
            <wp:simplePos x="0" y="0"/>
            <wp:positionH relativeFrom="column">
              <wp:posOffset>1270</wp:posOffset>
            </wp:positionH>
            <wp:positionV relativeFrom="paragraph">
              <wp:posOffset>242570</wp:posOffset>
            </wp:positionV>
            <wp:extent cx="5080000" cy="277177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cs="仿宋"/>
          <w:b/>
          <w:bCs w:val="0"/>
          <w:color w:val="auto"/>
          <w:kern w:val="2"/>
          <w:sz w:val="32"/>
          <w:szCs w:val="32"/>
          <w:lang w:val="en-US" w:eastAsia="zh-CN" w:bidi="ar"/>
        </w:rPr>
        <w:t>1.因公出国（境）经费支出</w:t>
      </w:r>
      <w:r>
        <w:rPr>
          <w:rFonts w:hint="eastAsia" w:ascii="仿宋" w:hAnsi="仿宋" w:eastAsia="仿宋" w:cs="仿宋"/>
          <w:color w:val="auto"/>
          <w:kern w:val="2"/>
          <w:sz w:val="32"/>
          <w:szCs w:val="32"/>
          <w:lang w:val="en-US" w:eastAsia="zh-CN" w:bidi="ar"/>
        </w:rPr>
        <w:t>0万元，</w:t>
      </w:r>
      <w:r>
        <w:rPr>
          <w:rStyle w:val="19"/>
          <w:rFonts w:hint="eastAsia" w:ascii="仿宋" w:hAnsi="仿宋" w:eastAsia="仿宋" w:cs="仿宋"/>
          <w:b w:val="0"/>
          <w:bCs/>
          <w:color w:val="auto"/>
          <w:kern w:val="2"/>
          <w:sz w:val="32"/>
          <w:szCs w:val="32"/>
          <w:lang w:val="en-US" w:eastAsia="zh-CN" w:bidi="ar"/>
        </w:rPr>
        <w:t>年初未安排预算，与上年数持平。</w:t>
      </w:r>
    </w:p>
    <w:p w14:paraId="786198E7">
      <w:pPr>
        <w:spacing w:line="600" w:lineRule="exact"/>
        <w:ind w:firstLine="640"/>
        <w:rPr>
          <w:rFonts w:hint="eastAsia" w:ascii="仿宋" w:hAnsi="仿宋" w:eastAsia="仿宋" w:cs="仿宋"/>
          <w:b/>
          <w:bCs w:val="0"/>
          <w:color w:val="auto"/>
          <w:sz w:val="32"/>
          <w:szCs w:val="32"/>
          <w:lang w:val="en-US"/>
        </w:rPr>
      </w:pPr>
      <w:r>
        <w:rPr>
          <w:rFonts w:hint="eastAsia" w:ascii="仿宋" w:hAnsi="仿宋" w:eastAsia="仿宋" w:cs="仿宋"/>
          <w:b/>
          <w:bCs w:val="0"/>
          <w:color w:val="auto"/>
          <w:kern w:val="2"/>
          <w:sz w:val="32"/>
          <w:szCs w:val="32"/>
          <w:lang w:val="en-US" w:eastAsia="zh-CN" w:bidi="ar"/>
        </w:rPr>
        <w:t>2.公务用车购置及运行维护费支出</w:t>
      </w:r>
      <w:r>
        <w:rPr>
          <w:rFonts w:hint="eastAsia" w:ascii="仿宋" w:hAnsi="仿宋" w:eastAsia="仿宋" w:cs="仿宋"/>
          <w:color w:val="auto"/>
          <w:kern w:val="2"/>
          <w:sz w:val="32"/>
          <w:szCs w:val="32"/>
          <w:lang w:val="en-US" w:eastAsia="zh-CN" w:bidi="ar"/>
        </w:rPr>
        <w:t>0万元,</w:t>
      </w:r>
      <w:r>
        <w:rPr>
          <w:rStyle w:val="19"/>
          <w:rFonts w:hint="eastAsia" w:ascii="仿宋" w:hAnsi="仿宋" w:eastAsia="仿宋" w:cs="仿宋"/>
          <w:b w:val="0"/>
          <w:bCs/>
          <w:color w:val="auto"/>
          <w:kern w:val="2"/>
          <w:sz w:val="32"/>
          <w:szCs w:val="32"/>
          <w:lang w:val="en-US" w:eastAsia="zh-CN" w:bidi="ar"/>
        </w:rPr>
        <w:t>年初未安排预算，与上年数持平。</w:t>
      </w:r>
    </w:p>
    <w:p w14:paraId="5A36CEA9">
      <w:pPr>
        <w:keepNext w:val="0"/>
        <w:keepLines w:val="0"/>
        <w:widowControl w:val="0"/>
        <w:suppressLineNumbers w:val="0"/>
        <w:spacing w:before="0" w:beforeAutospacing="0" w:after="0" w:afterAutospacing="0" w:line="600" w:lineRule="exact"/>
        <w:ind w:right="0" w:firstLine="643" w:firstLineChars="200"/>
        <w:jc w:val="both"/>
        <w:rPr>
          <w:rFonts w:hint="eastAsia" w:ascii="仿宋" w:hAnsi="仿宋" w:eastAsia="仿宋" w:cs="仿宋"/>
          <w:bCs/>
          <w:color w:val="000000"/>
          <w:sz w:val="32"/>
          <w:szCs w:val="32"/>
          <w:lang w:val="en-US"/>
        </w:rPr>
      </w:pPr>
      <w:r>
        <w:rPr>
          <w:rFonts w:hint="eastAsia" w:ascii="仿宋" w:hAnsi="仿宋" w:eastAsia="仿宋" w:cs="仿宋"/>
          <w:b/>
          <w:bCs/>
          <w:color w:val="auto"/>
          <w:kern w:val="2"/>
          <w:sz w:val="32"/>
          <w:szCs w:val="32"/>
          <w:lang w:val="en-US" w:eastAsia="zh-CN" w:bidi="ar"/>
        </w:rPr>
        <w:t>其中：</w:t>
      </w:r>
      <w:r>
        <w:rPr>
          <w:rFonts w:hint="eastAsia" w:ascii="仿宋" w:hAnsi="仿宋" w:eastAsia="仿宋" w:cs="仿宋"/>
          <w:b/>
          <w:bCs w:val="0"/>
          <w:color w:val="auto"/>
          <w:kern w:val="2"/>
          <w:sz w:val="32"/>
          <w:szCs w:val="32"/>
          <w:lang w:val="en-US" w:eastAsia="zh-CN" w:bidi="ar"/>
        </w:rPr>
        <w:t>公务用车购置支出</w:t>
      </w:r>
      <w:r>
        <w:rPr>
          <w:rFonts w:hint="eastAsia" w:ascii="仿宋" w:hAnsi="仿宋" w:eastAsia="仿宋" w:cs="仿宋"/>
          <w:bCs/>
          <w:color w:val="000000"/>
          <w:kern w:val="2"/>
          <w:sz w:val="32"/>
          <w:szCs w:val="32"/>
          <w:lang w:val="en-US" w:eastAsia="zh-CN" w:bidi="ar"/>
        </w:rPr>
        <w:t>0万元。全年按规定更新购置公务用车0辆，</w:t>
      </w:r>
      <w:r>
        <w:rPr>
          <w:rFonts w:hint="eastAsia" w:ascii="仿宋" w:hAnsi="仿宋" w:eastAsia="仿宋" w:cs="仿宋"/>
          <w:color w:val="000000"/>
          <w:kern w:val="2"/>
          <w:sz w:val="32"/>
          <w:szCs w:val="32"/>
          <w:lang w:val="en-US" w:eastAsia="zh-CN" w:bidi="ar"/>
        </w:rPr>
        <w:t>主要原因是我单位未购置公务用车。</w:t>
      </w:r>
      <w:r>
        <w:rPr>
          <w:rFonts w:hint="eastAsia" w:ascii="仿宋" w:hAnsi="仿宋" w:eastAsia="仿宋" w:cs="仿宋"/>
          <w:bCs/>
          <w:color w:val="000000"/>
          <w:kern w:val="2"/>
          <w:sz w:val="32"/>
          <w:szCs w:val="32"/>
          <w:lang w:val="en-US" w:eastAsia="zh-CN" w:bidi="ar"/>
        </w:rPr>
        <w:t>截止2021年12月底，单位共有公务用车0辆。</w:t>
      </w:r>
    </w:p>
    <w:p w14:paraId="0D4DFE0E">
      <w:pPr>
        <w:keepNext w:val="0"/>
        <w:keepLines w:val="0"/>
        <w:widowControl w:val="0"/>
        <w:suppressLineNumbers w:val="0"/>
        <w:spacing w:before="0" w:beforeAutospacing="0" w:after="0" w:afterAutospacing="0" w:line="600" w:lineRule="exact"/>
        <w:ind w:right="0" w:firstLine="643" w:firstLineChars="200"/>
        <w:jc w:val="both"/>
        <w:rPr>
          <w:rFonts w:hint="eastAsia" w:ascii="仿宋" w:hAnsi="仿宋" w:eastAsia="仿宋" w:cs="仿宋"/>
        </w:rPr>
      </w:pPr>
      <w:r>
        <w:rPr>
          <w:rFonts w:hint="eastAsia" w:ascii="仿宋" w:hAnsi="仿宋" w:eastAsia="仿宋" w:cs="仿宋"/>
          <w:b/>
          <w:bCs w:val="0"/>
          <w:color w:val="000000"/>
          <w:kern w:val="2"/>
          <w:sz w:val="32"/>
          <w:szCs w:val="32"/>
          <w:lang w:val="en-US" w:eastAsia="zh-CN" w:bidi="ar"/>
        </w:rPr>
        <w:t>公务用车运行维护费支出</w:t>
      </w:r>
      <w:r>
        <w:rPr>
          <w:rFonts w:hint="eastAsia" w:ascii="仿宋" w:hAnsi="仿宋" w:eastAsia="仿宋" w:cs="仿宋"/>
          <w:color w:val="000000"/>
          <w:kern w:val="2"/>
          <w:sz w:val="32"/>
          <w:szCs w:val="32"/>
          <w:lang w:val="en-US" w:eastAsia="zh-CN" w:bidi="ar"/>
        </w:rPr>
        <w:t>0万元。主要原因是我单位无公务用车。</w:t>
      </w:r>
    </w:p>
    <w:p w14:paraId="5DF094B8">
      <w:pPr>
        <w:spacing w:line="600" w:lineRule="exact"/>
        <w:ind w:firstLine="640"/>
        <w:rPr>
          <w:rFonts w:hint="eastAsia" w:ascii="仿宋" w:hAnsi="仿宋" w:eastAsia="仿宋" w:cs="仿宋"/>
          <w:sz w:val="32"/>
          <w:szCs w:val="32"/>
        </w:rPr>
      </w:pPr>
      <w:r>
        <w:rPr>
          <w:rFonts w:hint="eastAsia" w:ascii="仿宋" w:hAnsi="仿宋" w:eastAsia="仿宋" w:cs="仿宋"/>
          <w:b/>
          <w:bCs w:val="0"/>
          <w:sz w:val="32"/>
          <w:szCs w:val="32"/>
        </w:rPr>
        <w:t>3.公务接待费支出</w:t>
      </w:r>
      <w:r>
        <w:rPr>
          <w:rFonts w:hint="eastAsia" w:ascii="仿宋" w:hAnsi="仿宋" w:eastAsia="仿宋" w:cs="仿宋"/>
          <w:sz w:val="32"/>
          <w:szCs w:val="32"/>
          <w:lang w:val="en-US" w:eastAsia="zh-CN"/>
        </w:rPr>
        <w:t>2.4</w:t>
      </w:r>
      <w:r>
        <w:rPr>
          <w:rFonts w:hint="eastAsia" w:ascii="仿宋" w:hAnsi="仿宋" w:eastAsia="仿宋" w:cs="仿宋"/>
          <w:sz w:val="32"/>
          <w:szCs w:val="32"/>
        </w:rPr>
        <w:t>万元，完成预</w:t>
      </w:r>
      <w:r>
        <w:rPr>
          <w:rFonts w:hint="eastAsia" w:ascii="仿宋" w:hAnsi="仿宋" w:eastAsia="仿宋" w:cs="仿宋"/>
          <w:color w:val="auto"/>
          <w:sz w:val="32"/>
          <w:szCs w:val="32"/>
        </w:rPr>
        <w:t>算</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%。公务接待费支出决算</w:t>
      </w:r>
      <w:r>
        <w:rPr>
          <w:rFonts w:hint="eastAsia" w:ascii="仿宋" w:hAnsi="仿宋" w:eastAsia="仿宋" w:cs="仿宋"/>
          <w:color w:val="auto"/>
          <w:sz w:val="32"/>
          <w:szCs w:val="32"/>
          <w:highlight w:val="none"/>
          <w:lang w:eastAsia="zh-CN"/>
        </w:rPr>
        <w:t>比</w:t>
      </w: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年减少</w:t>
      </w:r>
      <w:r>
        <w:rPr>
          <w:rFonts w:hint="eastAsia" w:ascii="仿宋" w:hAnsi="仿宋" w:eastAsia="仿宋" w:cs="仿宋"/>
          <w:color w:val="auto"/>
          <w:sz w:val="32"/>
          <w:szCs w:val="32"/>
          <w:highlight w:val="none"/>
          <w:lang w:val="en-US" w:eastAsia="zh-CN"/>
        </w:rPr>
        <w:t>0.05</w:t>
      </w:r>
      <w:r>
        <w:rPr>
          <w:rFonts w:hint="eastAsia" w:ascii="仿宋" w:hAnsi="仿宋" w:eastAsia="仿宋" w:cs="仿宋"/>
          <w:color w:val="auto"/>
          <w:sz w:val="32"/>
          <w:szCs w:val="32"/>
          <w:highlight w:val="none"/>
        </w:rPr>
        <w:t>万元，下降</w:t>
      </w:r>
      <w:r>
        <w:rPr>
          <w:rFonts w:hint="eastAsia" w:ascii="仿宋" w:hAnsi="仿宋" w:eastAsia="仿宋" w:cs="仿宋"/>
          <w:color w:val="auto"/>
          <w:sz w:val="32"/>
          <w:szCs w:val="32"/>
          <w:highlight w:val="none"/>
          <w:lang w:val="en-US" w:eastAsia="zh-CN"/>
        </w:rPr>
        <w:t>2.04</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r>
        <w:rPr>
          <w:rFonts w:hint="eastAsia" w:ascii="仿宋" w:hAnsi="仿宋" w:eastAsia="仿宋" w:cs="仿宋"/>
          <w:sz w:val="32"/>
          <w:szCs w:val="32"/>
          <w:lang w:eastAsia="zh-CN"/>
        </w:rPr>
        <w:t>主要原因是</w:t>
      </w:r>
      <w:r>
        <w:rPr>
          <w:rFonts w:hint="eastAsia" w:ascii="仿宋" w:hAnsi="仿宋" w:eastAsia="仿宋" w:cs="仿宋"/>
          <w:color w:val="000000"/>
          <w:sz w:val="32"/>
          <w:szCs w:val="32"/>
          <w:lang w:eastAsia="zh-CN"/>
        </w:rPr>
        <w:t>认真贯彻落实中央八项规定精神，采取有效措施严格控制接待范围和接待标准</w:t>
      </w:r>
      <w:r>
        <w:rPr>
          <w:rFonts w:hint="eastAsia" w:ascii="仿宋" w:hAnsi="仿宋" w:eastAsia="仿宋" w:cs="仿宋"/>
          <w:color w:val="000000"/>
          <w:sz w:val="32"/>
          <w:szCs w:val="32"/>
        </w:rPr>
        <w:t>。</w:t>
      </w:r>
      <w:r>
        <w:rPr>
          <w:rFonts w:hint="eastAsia" w:ascii="仿宋" w:hAnsi="仿宋" w:eastAsia="仿宋" w:cs="仿宋"/>
          <w:sz w:val="32"/>
          <w:szCs w:val="32"/>
        </w:rPr>
        <w:t>其中：</w:t>
      </w:r>
    </w:p>
    <w:p w14:paraId="79418CAF">
      <w:pPr>
        <w:spacing w:line="600" w:lineRule="exact"/>
        <w:ind w:firstLine="640"/>
        <w:rPr>
          <w:rFonts w:hint="eastAsia" w:ascii="仿宋" w:hAnsi="仿宋" w:eastAsia="仿宋" w:cs="仿宋"/>
          <w:sz w:val="32"/>
          <w:szCs w:val="32"/>
          <w:lang w:val="en-US" w:eastAsia="zh-CN"/>
        </w:rPr>
      </w:pPr>
      <w:r>
        <w:rPr>
          <w:rFonts w:hint="eastAsia" w:ascii="仿宋" w:hAnsi="仿宋" w:eastAsia="仿宋" w:cs="仿宋"/>
          <w:b/>
          <w:bCs/>
          <w:sz w:val="32"/>
          <w:szCs w:val="32"/>
        </w:rPr>
        <w:t>国内公务接待支出</w:t>
      </w:r>
      <w:r>
        <w:rPr>
          <w:rFonts w:hint="eastAsia" w:ascii="仿宋" w:hAnsi="仿宋" w:eastAsia="仿宋" w:cs="仿宋"/>
          <w:sz w:val="32"/>
          <w:szCs w:val="32"/>
          <w:lang w:val="en-US" w:eastAsia="zh-CN"/>
        </w:rPr>
        <w:t>2.4</w:t>
      </w:r>
      <w:r>
        <w:rPr>
          <w:rFonts w:hint="eastAsia" w:ascii="仿宋" w:hAnsi="仿宋" w:eastAsia="仿宋" w:cs="仿宋"/>
          <w:sz w:val="32"/>
          <w:szCs w:val="32"/>
        </w:rPr>
        <w:t>万元，主要用于</w:t>
      </w:r>
      <w:r>
        <w:rPr>
          <w:rFonts w:hint="eastAsia" w:ascii="仿宋" w:hAnsi="仿宋" w:eastAsia="仿宋" w:cs="仿宋"/>
          <w:sz w:val="32"/>
          <w:szCs w:val="32"/>
          <w:lang w:eastAsia="zh-CN"/>
        </w:rPr>
        <w:t>接待上级来访、</w:t>
      </w:r>
      <w:r>
        <w:rPr>
          <w:rFonts w:hint="eastAsia" w:ascii="仿宋" w:hAnsi="仿宋" w:eastAsia="仿宋" w:cs="仿宋"/>
          <w:color w:val="000000"/>
          <w:kern w:val="2"/>
          <w:sz w:val="32"/>
          <w:szCs w:val="32"/>
          <w:lang w:val="en-US" w:eastAsia="zh-CN" w:bidi="ar"/>
        </w:rPr>
        <w:t>教育教学活动交流、</w:t>
      </w:r>
      <w:r>
        <w:rPr>
          <w:rFonts w:hint="eastAsia" w:ascii="仿宋" w:hAnsi="仿宋" w:eastAsia="仿宋" w:cs="仿宋"/>
          <w:color w:val="auto"/>
          <w:sz w:val="32"/>
          <w:szCs w:val="32"/>
          <w:highlight w:val="none"/>
          <w:lang w:val="en-US" w:eastAsia="zh-CN"/>
        </w:rPr>
        <w:t>学生活动费及运动会学生用餐、交通费、体检费等</w:t>
      </w:r>
      <w:r>
        <w:rPr>
          <w:rFonts w:hint="eastAsia" w:ascii="仿宋" w:hAnsi="仿宋" w:eastAsia="仿宋" w:cs="仿宋"/>
          <w:sz w:val="32"/>
          <w:szCs w:val="32"/>
        </w:rPr>
        <w:t>。国内公务接</w:t>
      </w:r>
      <w:r>
        <w:rPr>
          <w:rFonts w:hint="eastAsia" w:ascii="仿宋" w:hAnsi="仿宋" w:eastAsia="仿宋" w:cs="仿宋"/>
          <w:color w:val="auto"/>
          <w:sz w:val="32"/>
          <w:szCs w:val="32"/>
          <w:highlight w:val="none"/>
        </w:rPr>
        <w:t>待</w:t>
      </w:r>
      <w:r>
        <w:rPr>
          <w:rFonts w:hint="eastAsia" w:ascii="仿宋" w:hAnsi="仿宋" w:eastAsia="仿宋" w:cs="仿宋"/>
          <w:color w:val="auto"/>
          <w:sz w:val="32"/>
          <w:szCs w:val="32"/>
          <w:highlight w:val="none"/>
          <w:lang w:val="en-US" w:eastAsia="zh-CN"/>
        </w:rPr>
        <w:t>74</w:t>
      </w:r>
      <w:r>
        <w:rPr>
          <w:rFonts w:hint="eastAsia" w:ascii="仿宋" w:hAnsi="仿宋" w:eastAsia="仿宋" w:cs="仿宋"/>
          <w:color w:val="auto"/>
          <w:sz w:val="32"/>
          <w:szCs w:val="32"/>
          <w:highlight w:val="none"/>
        </w:rPr>
        <w:t>批次，</w:t>
      </w:r>
      <w:r>
        <w:rPr>
          <w:rFonts w:hint="eastAsia" w:ascii="仿宋" w:hAnsi="仿宋" w:eastAsia="仿宋" w:cs="仿宋"/>
          <w:color w:val="auto"/>
          <w:sz w:val="32"/>
          <w:szCs w:val="32"/>
          <w:highlight w:val="none"/>
          <w:lang w:val="en-US" w:eastAsia="zh-CN"/>
        </w:rPr>
        <w:t>476</w:t>
      </w:r>
      <w:r>
        <w:rPr>
          <w:rFonts w:hint="eastAsia" w:ascii="仿宋" w:hAnsi="仿宋" w:eastAsia="仿宋" w:cs="仿宋"/>
          <w:color w:val="auto"/>
          <w:sz w:val="32"/>
          <w:szCs w:val="32"/>
          <w:highlight w:val="none"/>
        </w:rPr>
        <w:t>人次（不包括陪同人员），共计支出</w:t>
      </w:r>
      <w:r>
        <w:rPr>
          <w:rFonts w:hint="eastAsia" w:ascii="仿宋" w:hAnsi="仿宋" w:eastAsia="仿宋" w:cs="仿宋"/>
          <w:color w:val="auto"/>
          <w:sz w:val="32"/>
          <w:szCs w:val="32"/>
          <w:highlight w:val="none"/>
          <w:lang w:val="en-US" w:eastAsia="zh-CN"/>
        </w:rPr>
        <w:t>2.4</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，具体内容包括接待上</w:t>
      </w:r>
      <w:r>
        <w:rPr>
          <w:rFonts w:hint="eastAsia" w:ascii="仿宋" w:hAnsi="仿宋" w:eastAsia="仿宋" w:cs="仿宋"/>
          <w:sz w:val="32"/>
          <w:szCs w:val="32"/>
          <w:lang w:eastAsia="zh-CN"/>
        </w:rPr>
        <w:t>级来访</w:t>
      </w:r>
      <w:r>
        <w:rPr>
          <w:rFonts w:hint="eastAsia" w:ascii="仿宋" w:hAnsi="仿宋" w:eastAsia="仿宋" w:cs="仿宋"/>
          <w:sz w:val="32"/>
          <w:szCs w:val="32"/>
          <w:lang w:val="en-US" w:eastAsia="zh-CN"/>
        </w:rPr>
        <w:t>0.4万元</w:t>
      </w:r>
      <w:r>
        <w:rPr>
          <w:rFonts w:hint="eastAsia" w:ascii="仿宋" w:hAnsi="仿宋" w:eastAsia="仿宋" w:cs="仿宋"/>
          <w:sz w:val="32"/>
          <w:szCs w:val="32"/>
          <w:lang w:eastAsia="zh-CN"/>
        </w:rPr>
        <w:t>、</w:t>
      </w:r>
      <w:r>
        <w:rPr>
          <w:rFonts w:hint="eastAsia" w:ascii="仿宋" w:hAnsi="仿宋" w:eastAsia="仿宋" w:cs="仿宋"/>
          <w:color w:val="000000"/>
          <w:kern w:val="2"/>
          <w:sz w:val="32"/>
          <w:szCs w:val="32"/>
          <w:lang w:val="en-US" w:eastAsia="zh-CN" w:bidi="ar"/>
        </w:rPr>
        <w:t>教育教学活动交流0.5万元、</w:t>
      </w:r>
      <w:r>
        <w:rPr>
          <w:rFonts w:hint="eastAsia" w:ascii="仿宋" w:hAnsi="仿宋" w:eastAsia="仿宋" w:cs="仿宋"/>
          <w:color w:val="auto"/>
          <w:sz w:val="32"/>
          <w:szCs w:val="32"/>
          <w:highlight w:val="none"/>
          <w:lang w:val="en-US" w:eastAsia="zh-CN"/>
        </w:rPr>
        <w:t>学生活动费及运动会学生用餐、交通费、体检费等1.5万元。</w:t>
      </w:r>
    </w:p>
    <w:p w14:paraId="766B8E0F">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外事接待支出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万元，外事接待</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批次，</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人，共计支出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r>
        <w:rPr>
          <w:rFonts w:hint="eastAsia" w:ascii="仿宋" w:hAnsi="仿宋" w:eastAsia="仿宋" w:cs="仿宋"/>
          <w:sz w:val="32"/>
          <w:szCs w:val="32"/>
        </w:rPr>
        <w:t>外事接待支出</w:t>
      </w:r>
      <w:r>
        <w:rPr>
          <w:rFonts w:hint="eastAsia" w:ascii="仿宋" w:hAnsi="仿宋" w:eastAsia="仿宋" w:cs="仿宋"/>
          <w:color w:val="000000"/>
          <w:kern w:val="2"/>
          <w:sz w:val="32"/>
          <w:szCs w:val="32"/>
          <w:lang w:val="en-US" w:eastAsia="zh-CN" w:bidi="ar"/>
        </w:rPr>
        <w:t>决算与2020年持平</w:t>
      </w:r>
      <w:r>
        <w:rPr>
          <w:rFonts w:hint="eastAsia" w:ascii="仿宋" w:hAnsi="仿宋" w:eastAsia="仿宋" w:cs="仿宋"/>
          <w:sz w:val="32"/>
          <w:szCs w:val="32"/>
        </w:rPr>
        <w:t>。</w:t>
      </w:r>
    </w:p>
    <w:p w14:paraId="12D3049B">
      <w:pPr>
        <w:pStyle w:val="4"/>
        <w:bidi w:val="0"/>
        <w:rPr>
          <w:rFonts w:hint="eastAsia" w:ascii="仿宋" w:hAnsi="仿宋" w:eastAsia="仿宋" w:cs="仿宋"/>
        </w:rPr>
      </w:pPr>
      <w:bookmarkStart w:id="63" w:name="_Toc29438"/>
      <w:bookmarkStart w:id="64" w:name="_Toc15396610"/>
      <w:bookmarkStart w:id="65" w:name="_Toc15377218"/>
      <w:r>
        <w:rPr>
          <w:rFonts w:hint="eastAsia" w:ascii="仿宋" w:hAnsi="仿宋" w:eastAsia="仿宋" w:cs="仿宋"/>
        </w:rPr>
        <w:t>八、政府性基金预算支出决算情况说明</w:t>
      </w:r>
      <w:bookmarkEnd w:id="63"/>
      <w:bookmarkEnd w:id="64"/>
      <w:bookmarkEnd w:id="65"/>
    </w:p>
    <w:p w14:paraId="0CD2D95C">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sz w:val="32"/>
          <w:szCs w:val="32"/>
        </w:rPr>
        <w:t>2021年政府性基金预算财政拨款支出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color w:val="000000"/>
          <w:sz w:val="32"/>
          <w:szCs w:val="32"/>
        </w:rPr>
        <w:t>202</w:t>
      </w:r>
      <w:r>
        <w:rPr>
          <w:rFonts w:hint="eastAsia" w:ascii="仿宋" w:hAnsi="仿宋" w:eastAsia="仿宋" w:cs="仿宋"/>
          <w:color w:val="000000"/>
          <w:sz w:val="32"/>
          <w:szCs w:val="32"/>
          <w:lang w:val="en-US" w:eastAsia="zh-CN"/>
        </w:rPr>
        <w:t>1</w:t>
      </w:r>
      <w:r>
        <w:rPr>
          <w:rFonts w:hint="eastAsia" w:ascii="仿宋" w:hAnsi="仿宋" w:eastAsia="仿宋" w:cs="仿宋"/>
          <w:color w:val="000000"/>
          <w:sz w:val="32"/>
          <w:szCs w:val="32"/>
        </w:rPr>
        <w:t>年本单位未在政府性基金预算拨款安排“三公”经费支出</w:t>
      </w:r>
      <w:r>
        <w:rPr>
          <w:rFonts w:hint="eastAsia" w:ascii="仿宋" w:hAnsi="仿宋" w:eastAsia="仿宋" w:cs="仿宋"/>
          <w:color w:val="auto"/>
          <w:sz w:val="32"/>
          <w:szCs w:val="32"/>
          <w:highlight w:val="none"/>
        </w:rPr>
        <w:t>。</w:t>
      </w:r>
    </w:p>
    <w:p w14:paraId="61A4CCA4">
      <w:pPr>
        <w:pStyle w:val="16"/>
        <w:rPr>
          <w:rFonts w:hint="eastAsia" w:ascii="仿宋" w:hAnsi="仿宋" w:eastAsia="仿宋" w:cs="仿宋"/>
        </w:rPr>
      </w:pPr>
    </w:p>
    <w:p w14:paraId="7785F3D3">
      <w:pPr>
        <w:pStyle w:val="4"/>
        <w:numPr>
          <w:ilvl w:val="0"/>
          <w:numId w:val="3"/>
        </w:numPr>
        <w:bidi w:val="0"/>
        <w:rPr>
          <w:rFonts w:hint="eastAsia" w:ascii="仿宋" w:hAnsi="仿宋" w:eastAsia="仿宋" w:cs="仿宋"/>
        </w:rPr>
      </w:pPr>
      <w:bookmarkStart w:id="66" w:name="_Toc15377219"/>
      <w:bookmarkStart w:id="67" w:name="_Toc4818"/>
      <w:bookmarkStart w:id="68" w:name="_Toc15396611"/>
      <w:r>
        <w:rPr>
          <w:rFonts w:hint="eastAsia" w:ascii="仿宋" w:hAnsi="仿宋" w:eastAsia="仿宋" w:cs="仿宋"/>
        </w:rPr>
        <w:t>国有资本经营预算支出决算情况说明</w:t>
      </w:r>
      <w:bookmarkEnd w:id="66"/>
      <w:bookmarkEnd w:id="67"/>
      <w:bookmarkEnd w:id="68"/>
    </w:p>
    <w:p w14:paraId="3FE672A1">
      <w:pPr>
        <w:spacing w:line="600" w:lineRule="exact"/>
        <w:ind w:firstLine="640"/>
        <w:rPr>
          <w:rFonts w:hint="eastAsia" w:ascii="仿宋" w:hAnsi="仿宋" w:eastAsia="仿宋" w:cs="仿宋"/>
          <w:sz w:val="32"/>
          <w:szCs w:val="32"/>
        </w:rPr>
      </w:pPr>
      <w:r>
        <w:rPr>
          <w:rFonts w:hint="eastAsia" w:ascii="仿宋" w:hAnsi="仿宋" w:eastAsia="仿宋" w:cs="仿宋"/>
          <w:sz w:val="32"/>
          <w:szCs w:val="32"/>
        </w:rPr>
        <w:t>2021年国有资本经营预算财政拨款支出0万元，年初未安排预算。</w:t>
      </w:r>
    </w:p>
    <w:p w14:paraId="6E5AB922">
      <w:pPr>
        <w:pStyle w:val="4"/>
        <w:numPr>
          <w:ilvl w:val="0"/>
          <w:numId w:val="3"/>
        </w:numPr>
        <w:bidi w:val="0"/>
        <w:rPr>
          <w:rFonts w:hint="eastAsia" w:ascii="仿宋" w:hAnsi="仿宋" w:eastAsia="仿宋" w:cs="仿宋"/>
        </w:rPr>
      </w:pPr>
      <w:bookmarkStart w:id="69" w:name="_Toc23871"/>
      <w:bookmarkStart w:id="70" w:name="_Toc15396612"/>
      <w:bookmarkStart w:id="71" w:name="_Toc15377221"/>
      <w:r>
        <w:rPr>
          <w:rFonts w:hint="eastAsia" w:ascii="仿宋" w:hAnsi="仿宋" w:eastAsia="仿宋" w:cs="仿宋"/>
        </w:rPr>
        <w:t>预算绩效管理情况</w:t>
      </w:r>
      <w:bookmarkEnd w:id="69"/>
    </w:p>
    <w:p w14:paraId="082A5B1A">
      <w:pPr>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根据预算绩效管理要求，本单位在2021年度预算编制阶段，因无项目支出，故不涉及事前评估和项目绩效目标，预算执行过程中，</w:t>
      </w:r>
      <w:r>
        <w:rPr>
          <w:rFonts w:hint="eastAsia" w:ascii="仿宋" w:hAnsi="仿宋" w:eastAsia="仿宋" w:cs="仿宋"/>
          <w:sz w:val="32"/>
          <w:szCs w:val="32"/>
          <w:highlight w:val="none"/>
          <w:lang w:eastAsia="zh-CN"/>
        </w:rPr>
        <w:t>对追加预</w:t>
      </w:r>
      <w:r>
        <w:rPr>
          <w:rFonts w:hint="eastAsia" w:ascii="仿宋" w:hAnsi="仿宋" w:eastAsia="仿宋" w:cs="仿宋"/>
          <w:color w:val="auto"/>
          <w:sz w:val="32"/>
          <w:szCs w:val="32"/>
          <w:highlight w:val="none"/>
          <w:lang w:eastAsia="zh-CN"/>
        </w:rPr>
        <w:t>算校舍维修项目</w:t>
      </w:r>
      <w:r>
        <w:rPr>
          <w:rFonts w:hint="eastAsia" w:ascii="仿宋" w:hAnsi="仿宋" w:eastAsia="仿宋" w:cs="仿宋"/>
          <w:color w:val="auto"/>
          <w:sz w:val="32"/>
          <w:szCs w:val="32"/>
          <w:highlight w:val="none"/>
        </w:rPr>
        <w:t>编制了绩效目标</w:t>
      </w:r>
      <w:r>
        <w:rPr>
          <w:rFonts w:hint="eastAsia" w:ascii="仿宋" w:hAnsi="仿宋" w:eastAsia="仿宋" w:cs="仿宋"/>
          <w:color w:val="auto"/>
          <w:sz w:val="32"/>
          <w:szCs w:val="32"/>
          <w:highlight w:val="none"/>
          <w:lang w:eastAsia="zh-CN"/>
        </w:rPr>
        <w:t>，并</w:t>
      </w:r>
      <w:r>
        <w:rPr>
          <w:rFonts w:hint="eastAsia" w:ascii="仿宋" w:hAnsi="仿宋" w:eastAsia="仿宋" w:cs="仿宋"/>
          <w:color w:val="auto"/>
          <w:sz w:val="32"/>
          <w:szCs w:val="32"/>
          <w:highlight w:val="none"/>
        </w:rPr>
        <w:t>开展</w:t>
      </w:r>
      <w:r>
        <w:rPr>
          <w:rFonts w:hint="eastAsia" w:ascii="仿宋" w:hAnsi="仿宋" w:eastAsia="仿宋" w:cs="仿宋"/>
          <w:color w:val="auto"/>
          <w:sz w:val="32"/>
          <w:szCs w:val="32"/>
          <w:highlight w:val="none"/>
          <w:lang w:eastAsia="zh-CN"/>
        </w:rPr>
        <w:t>了</w:t>
      </w:r>
      <w:r>
        <w:rPr>
          <w:rFonts w:hint="eastAsia" w:ascii="仿宋" w:hAnsi="仿宋" w:eastAsia="仿宋" w:cs="仿宋"/>
          <w:color w:val="auto"/>
          <w:sz w:val="32"/>
          <w:szCs w:val="32"/>
          <w:highlight w:val="none"/>
        </w:rPr>
        <w:t>绩效</w:t>
      </w:r>
      <w:r>
        <w:rPr>
          <w:rFonts w:hint="eastAsia" w:ascii="仿宋" w:hAnsi="仿宋" w:eastAsia="仿宋" w:cs="仿宋"/>
          <w:color w:val="auto"/>
          <w:sz w:val="32"/>
          <w:szCs w:val="32"/>
          <w:highlight w:val="none"/>
          <w:lang w:eastAsia="zh-CN"/>
        </w:rPr>
        <w:t>运行</w:t>
      </w:r>
      <w:r>
        <w:rPr>
          <w:rFonts w:hint="eastAsia" w:ascii="仿宋" w:hAnsi="仿宋" w:eastAsia="仿宋" w:cs="仿宋"/>
          <w:color w:val="auto"/>
          <w:sz w:val="32"/>
          <w:szCs w:val="32"/>
          <w:highlight w:val="none"/>
        </w:rPr>
        <w:t>监控，年终执行完毕后，对</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个项目开展了绩效自评，2021年部门预算项目绩效目</w:t>
      </w:r>
      <w:r>
        <w:rPr>
          <w:rFonts w:hint="eastAsia" w:ascii="仿宋" w:hAnsi="仿宋" w:eastAsia="仿宋" w:cs="仿宋"/>
          <w:sz w:val="32"/>
          <w:szCs w:val="32"/>
          <w:highlight w:val="none"/>
        </w:rPr>
        <w:t>标自评表见附件（第四部分）。</w:t>
      </w:r>
    </w:p>
    <w:p w14:paraId="73EA165C">
      <w:pPr>
        <w:pStyle w:val="4"/>
        <w:numPr>
          <w:ilvl w:val="0"/>
          <w:numId w:val="3"/>
        </w:numPr>
        <w:bidi w:val="0"/>
        <w:rPr>
          <w:rFonts w:hint="eastAsia" w:ascii="仿宋" w:hAnsi="仿宋" w:eastAsia="仿宋" w:cs="仿宋"/>
        </w:rPr>
      </w:pPr>
      <w:bookmarkStart w:id="72" w:name="_Toc16944"/>
      <w:r>
        <w:rPr>
          <w:rFonts w:hint="eastAsia" w:ascii="仿宋" w:hAnsi="仿宋" w:eastAsia="仿宋" w:cs="仿宋"/>
        </w:rPr>
        <w:t>其他重要事项的情况说明</w:t>
      </w:r>
      <w:bookmarkEnd w:id="70"/>
      <w:bookmarkEnd w:id="71"/>
      <w:bookmarkEnd w:id="72"/>
    </w:p>
    <w:p w14:paraId="3D528673">
      <w:pPr>
        <w:spacing w:line="600" w:lineRule="exact"/>
        <w:ind w:firstLine="643" w:firstLineChars="200"/>
        <w:outlineLvl w:val="2"/>
        <w:rPr>
          <w:rFonts w:hint="eastAsia" w:ascii="仿宋" w:hAnsi="仿宋" w:eastAsia="仿宋" w:cs="仿宋"/>
          <w:sz w:val="32"/>
          <w:szCs w:val="32"/>
        </w:rPr>
      </w:pPr>
      <w:bookmarkStart w:id="73" w:name="_Toc15377222"/>
      <w:r>
        <w:rPr>
          <w:rFonts w:hint="eastAsia" w:ascii="仿宋" w:hAnsi="仿宋" w:eastAsia="仿宋" w:cs="仿宋"/>
          <w:b/>
          <w:sz w:val="32"/>
          <w:szCs w:val="32"/>
        </w:rPr>
        <w:t>（一）机关运行经费支出情况</w:t>
      </w:r>
      <w:bookmarkEnd w:id="73"/>
    </w:p>
    <w:p w14:paraId="2859F315">
      <w:pPr>
        <w:keepNext w:val="0"/>
        <w:keepLines w:val="0"/>
        <w:widowControl w:val="0"/>
        <w:suppressLineNumbers w:val="0"/>
        <w:spacing w:before="0" w:beforeAutospacing="0" w:after="0" w:afterAutospacing="0" w:line="600" w:lineRule="exact"/>
        <w:ind w:left="0" w:right="0" w:firstLine="640"/>
        <w:jc w:val="both"/>
        <w:rPr>
          <w:rFonts w:hint="eastAsia" w:ascii="仿宋" w:hAnsi="仿宋" w:eastAsia="仿宋" w:cs="仿宋"/>
          <w:color w:val="000000"/>
          <w:sz w:val="32"/>
          <w:szCs w:val="32"/>
          <w:lang w:val="en-US"/>
        </w:rPr>
      </w:pPr>
      <w:bookmarkStart w:id="74" w:name="_Toc15377223"/>
      <w:r>
        <w:rPr>
          <w:rFonts w:hint="eastAsia" w:ascii="仿宋" w:hAnsi="仿宋" w:eastAsia="仿宋" w:cs="仿宋"/>
          <w:color w:val="000000"/>
          <w:kern w:val="2"/>
          <w:sz w:val="32"/>
          <w:szCs w:val="32"/>
          <w:lang w:val="en-US" w:eastAsia="zh-CN" w:bidi="ar"/>
        </w:rPr>
        <w:t>2021年，</w:t>
      </w:r>
      <w:r>
        <w:rPr>
          <w:rFonts w:hint="eastAsia" w:ascii="仿宋" w:hAnsi="仿宋" w:eastAsia="仿宋" w:cs="仿宋"/>
          <w:kern w:val="2"/>
          <w:sz w:val="32"/>
          <w:szCs w:val="32"/>
          <w:lang w:val="en-US" w:eastAsia="zh-CN" w:bidi="ar"/>
        </w:rPr>
        <w:t>我部门机关</w:t>
      </w:r>
      <w:r>
        <w:rPr>
          <w:rFonts w:hint="eastAsia" w:ascii="仿宋" w:hAnsi="仿宋" w:eastAsia="仿宋" w:cs="仿宋"/>
          <w:color w:val="000000"/>
          <w:kern w:val="2"/>
          <w:sz w:val="32"/>
          <w:szCs w:val="32"/>
          <w:lang w:val="en-US" w:eastAsia="zh-CN" w:bidi="ar"/>
        </w:rPr>
        <w:t>运行经费支出0元，与</w:t>
      </w: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年决算数持平</w:t>
      </w:r>
      <w:r>
        <w:rPr>
          <w:rFonts w:hint="eastAsia" w:ascii="仿宋" w:hAnsi="仿宋" w:eastAsia="仿宋" w:cs="仿宋"/>
          <w:color w:val="000000"/>
          <w:kern w:val="2"/>
          <w:sz w:val="32"/>
          <w:szCs w:val="32"/>
          <w:lang w:val="en-US" w:eastAsia="zh-CN" w:bidi="ar"/>
        </w:rPr>
        <w:t>。主要原因是本单位为事业单位，未发生机关运行经费支出。</w:t>
      </w:r>
    </w:p>
    <w:p w14:paraId="0A6FA2ED">
      <w:pPr>
        <w:autoSpaceDE w:val="0"/>
        <w:autoSpaceDN w:val="0"/>
        <w:adjustRightInd w:val="0"/>
        <w:spacing w:line="600" w:lineRule="exact"/>
        <w:ind w:firstLine="643" w:firstLineChars="200"/>
        <w:jc w:val="left"/>
        <w:outlineLvl w:val="2"/>
        <w:rPr>
          <w:rFonts w:hint="eastAsia" w:ascii="仿宋" w:hAnsi="仿宋" w:eastAsia="仿宋" w:cs="仿宋"/>
          <w:b/>
          <w:sz w:val="32"/>
          <w:szCs w:val="32"/>
        </w:rPr>
      </w:pPr>
      <w:r>
        <w:rPr>
          <w:rFonts w:hint="eastAsia" w:ascii="仿宋" w:hAnsi="仿宋" w:eastAsia="仿宋" w:cs="仿宋"/>
          <w:b/>
          <w:sz w:val="32"/>
          <w:szCs w:val="32"/>
        </w:rPr>
        <w:t>（二）政府采购支出情况</w:t>
      </w:r>
      <w:bookmarkEnd w:id="74"/>
    </w:p>
    <w:p w14:paraId="40CDBB9F">
      <w:pPr>
        <w:spacing w:line="600" w:lineRule="exact"/>
        <w:ind w:firstLine="640" w:firstLineChars="200"/>
        <w:rPr>
          <w:rFonts w:hint="eastAsia" w:ascii="仿宋" w:hAnsi="仿宋" w:eastAsia="仿宋" w:cs="仿宋"/>
          <w:sz w:val="32"/>
          <w:szCs w:val="32"/>
          <w:highlight w:val="yellow"/>
          <w:lang w:val="en-US" w:eastAsia="zh-CN"/>
        </w:rPr>
      </w:pPr>
      <w:r>
        <w:rPr>
          <w:rFonts w:hint="eastAsia" w:ascii="仿宋" w:hAnsi="仿宋" w:eastAsia="仿宋" w:cs="仿宋"/>
          <w:sz w:val="32"/>
          <w:szCs w:val="32"/>
        </w:rPr>
        <w:t>2021年，我单位政府采购支出</w:t>
      </w:r>
      <w:r>
        <w:rPr>
          <w:rFonts w:hint="eastAsia" w:ascii="仿宋" w:hAnsi="仿宋" w:eastAsia="仿宋" w:cs="仿宋"/>
          <w:color w:val="000000"/>
          <w:sz w:val="32"/>
          <w:szCs w:val="32"/>
          <w:lang w:eastAsia="zh-CN"/>
        </w:rPr>
        <w:t>年初未预算采购经费，</w:t>
      </w:r>
      <w:r>
        <w:rPr>
          <w:rFonts w:hint="eastAsia" w:ascii="仿宋" w:hAnsi="仿宋" w:eastAsia="仿宋" w:cs="仿宋"/>
          <w:color w:val="auto"/>
          <w:sz w:val="32"/>
          <w:szCs w:val="32"/>
          <w:highlight w:val="none"/>
        </w:rPr>
        <w:t>政府采购支出总额</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000000"/>
          <w:kern w:val="2"/>
          <w:sz w:val="32"/>
          <w:szCs w:val="32"/>
          <w:lang w:val="en-US" w:eastAsia="zh-CN" w:bidi="ar"/>
        </w:rPr>
        <w:t>与</w:t>
      </w: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年决算数持平</w:t>
      </w:r>
      <w:r>
        <w:rPr>
          <w:rFonts w:hint="eastAsia" w:ascii="仿宋" w:hAnsi="仿宋" w:eastAsia="仿宋" w:cs="仿宋"/>
          <w:color w:val="000000"/>
          <w:kern w:val="2"/>
          <w:sz w:val="32"/>
          <w:szCs w:val="32"/>
          <w:lang w:val="en-US" w:eastAsia="zh-CN" w:bidi="ar"/>
        </w:rPr>
        <w:t>。</w:t>
      </w:r>
    </w:p>
    <w:p w14:paraId="1A29D5DD">
      <w:pPr>
        <w:autoSpaceDE w:val="0"/>
        <w:autoSpaceDN w:val="0"/>
        <w:adjustRightInd w:val="0"/>
        <w:spacing w:line="600" w:lineRule="exact"/>
        <w:ind w:firstLine="643" w:firstLineChars="200"/>
        <w:jc w:val="left"/>
        <w:outlineLvl w:val="2"/>
        <w:rPr>
          <w:rFonts w:hint="eastAsia" w:ascii="仿宋" w:hAnsi="仿宋" w:eastAsia="仿宋" w:cs="仿宋"/>
          <w:b/>
          <w:sz w:val="32"/>
          <w:szCs w:val="32"/>
        </w:rPr>
      </w:pPr>
      <w:bookmarkStart w:id="75" w:name="_Toc15377224"/>
      <w:r>
        <w:rPr>
          <w:rFonts w:hint="eastAsia" w:ascii="仿宋" w:hAnsi="仿宋" w:eastAsia="仿宋" w:cs="仿宋"/>
          <w:b/>
          <w:sz w:val="32"/>
          <w:szCs w:val="32"/>
        </w:rPr>
        <w:t>（三）国有资产占有使用情况</w:t>
      </w:r>
      <w:bookmarkEnd w:id="75"/>
    </w:p>
    <w:p w14:paraId="512FBBC7">
      <w:pPr>
        <w:autoSpaceDE w:val="0"/>
        <w:autoSpaceDN w:val="0"/>
        <w:adjustRightInd w:val="0"/>
        <w:spacing w:line="60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截至20</w:t>
      </w:r>
      <w:r>
        <w:rPr>
          <w:rFonts w:hint="eastAsia" w:ascii="仿宋" w:hAnsi="仿宋" w:eastAsia="仿宋" w:cs="仿宋"/>
          <w:color w:val="auto"/>
          <w:sz w:val="32"/>
          <w:szCs w:val="32"/>
          <w:highlight w:val="none"/>
          <w:lang w:val="en-US" w:eastAsia="zh-CN"/>
        </w:rPr>
        <w:t>21</w:t>
      </w:r>
      <w:r>
        <w:rPr>
          <w:rFonts w:hint="eastAsia" w:ascii="仿宋" w:hAnsi="仿宋" w:eastAsia="仿宋" w:cs="仿宋"/>
          <w:color w:val="auto"/>
          <w:sz w:val="32"/>
          <w:szCs w:val="32"/>
          <w:highlight w:val="none"/>
        </w:rPr>
        <w:t>年12月31日，</w:t>
      </w:r>
      <w:r>
        <w:rPr>
          <w:rFonts w:hint="eastAsia" w:ascii="仿宋" w:hAnsi="仿宋" w:eastAsia="仿宋" w:cs="仿宋"/>
          <w:color w:val="auto"/>
          <w:sz w:val="32"/>
          <w:szCs w:val="32"/>
          <w:highlight w:val="none"/>
          <w:lang w:eastAsia="zh-CN"/>
        </w:rPr>
        <w:t>我单位</w:t>
      </w:r>
      <w:r>
        <w:rPr>
          <w:rFonts w:hint="eastAsia" w:ascii="仿宋" w:hAnsi="仿宋" w:eastAsia="仿宋" w:cs="仿宋"/>
          <w:color w:val="auto"/>
          <w:sz w:val="32"/>
          <w:szCs w:val="32"/>
          <w:highlight w:val="none"/>
        </w:rPr>
        <w:t>共有车辆</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辆，其中：主要领导干部用车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辆、机要通信用车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辆、应急保障用车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辆、其他用车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单价50万元以上通用设备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台（套），单价100万元以上专用设备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台（套）。</w:t>
      </w:r>
    </w:p>
    <w:p w14:paraId="105E0748">
      <w:pPr>
        <w:pStyle w:val="2"/>
        <w:spacing w:before="93"/>
        <w:rPr>
          <w:rFonts w:hint="eastAsia" w:ascii="仿宋" w:hAnsi="仿宋" w:eastAsia="仿宋" w:cs="仿宋"/>
          <w:highlight w:val="yellow"/>
        </w:rPr>
      </w:pPr>
    </w:p>
    <w:p w14:paraId="3336616D">
      <w:pPr>
        <w:widowControl/>
        <w:jc w:val="left"/>
        <w:rPr>
          <w:rFonts w:hint="eastAsia" w:ascii="仿宋" w:hAnsi="仿宋" w:eastAsia="仿宋" w:cs="仿宋"/>
          <w:b/>
          <w:sz w:val="32"/>
          <w:szCs w:val="32"/>
        </w:rPr>
      </w:pPr>
      <w:r>
        <w:rPr>
          <w:rFonts w:hint="eastAsia" w:ascii="仿宋" w:hAnsi="仿宋" w:eastAsia="仿宋" w:cs="仿宋"/>
          <w:b/>
          <w:sz w:val="32"/>
          <w:szCs w:val="32"/>
        </w:rPr>
        <w:br w:type="page"/>
      </w:r>
    </w:p>
    <w:p w14:paraId="4BFF8CED">
      <w:pPr>
        <w:pStyle w:val="3"/>
        <w:numPr>
          <w:ilvl w:val="0"/>
          <w:numId w:val="4"/>
        </w:numPr>
        <w:bidi w:val="0"/>
        <w:rPr>
          <w:rFonts w:hint="eastAsia" w:ascii="仿宋" w:hAnsi="仿宋" w:eastAsia="仿宋" w:cs="仿宋"/>
        </w:rPr>
      </w:pPr>
      <w:bookmarkStart w:id="76" w:name="_Toc15396613"/>
      <w:bookmarkStart w:id="77" w:name="_Toc15377225"/>
      <w:bookmarkStart w:id="78" w:name="_Toc16610"/>
      <w:r>
        <w:rPr>
          <w:rFonts w:hint="eastAsia" w:ascii="仿宋" w:hAnsi="仿宋" w:eastAsia="仿宋" w:cs="仿宋"/>
        </w:rPr>
        <w:t>名词解释</w:t>
      </w:r>
      <w:bookmarkEnd w:id="76"/>
      <w:bookmarkEnd w:id="77"/>
      <w:bookmarkEnd w:id="78"/>
    </w:p>
    <w:p w14:paraId="46E7BEC8">
      <w:pPr>
        <w:spacing w:line="600" w:lineRule="exact"/>
        <w:jc w:val="left"/>
        <w:rPr>
          <w:rFonts w:hint="eastAsia" w:ascii="仿宋" w:hAnsi="仿宋" w:eastAsia="仿宋" w:cs="仿宋"/>
          <w:b/>
          <w:sz w:val="44"/>
          <w:szCs w:val="44"/>
        </w:rPr>
      </w:pPr>
    </w:p>
    <w:p w14:paraId="2F8D4269">
      <w:pPr>
        <w:pStyle w:val="27"/>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1.财政拨款收入：指单位从同级财政部门取得的财政预算资金。</w:t>
      </w:r>
    </w:p>
    <w:p w14:paraId="63693C67">
      <w:pPr>
        <w:pStyle w:val="27"/>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 xml:space="preserve">2.使用非财政拨款结余：指事业单位使用以前年度积累的非财政拨款结余弥补当年收支差额的金额。 </w:t>
      </w:r>
    </w:p>
    <w:p w14:paraId="59915331">
      <w:pPr>
        <w:pStyle w:val="27"/>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 xml:space="preserve">3.年初结转和结余：指以前年度尚未完成、结转到本年按有关规定继续使用的资金。 </w:t>
      </w:r>
    </w:p>
    <w:p w14:paraId="76619BA4">
      <w:pPr>
        <w:pStyle w:val="27"/>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4.结余分配：指事业单位按照会计制度规定缴纳的所得税、提取的专用结余以及转入非财政拨款结余的金额等。</w:t>
      </w:r>
    </w:p>
    <w:p w14:paraId="4233F3AA">
      <w:pPr>
        <w:pStyle w:val="27"/>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5</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年末结转和结余：指单位按有关规定结转到下年或以后年度继续使用的资金。</w:t>
      </w:r>
    </w:p>
    <w:p w14:paraId="6D34EEB2">
      <w:pPr>
        <w:ind w:firstLine="640" w:firstLineChars="200"/>
        <w:rPr>
          <w:rFonts w:hint="eastAsia" w:ascii="仿宋" w:hAnsi="仿宋" w:eastAsia="仿宋" w:cs="仿宋"/>
          <w:sz w:val="32"/>
          <w:szCs w:val="32"/>
        </w:rPr>
      </w:pPr>
      <w:r>
        <w:rPr>
          <w:rFonts w:hint="eastAsia" w:ascii="仿宋" w:hAnsi="仿宋" w:eastAsia="仿宋" w:cs="仿宋"/>
          <w:sz w:val="32"/>
          <w:szCs w:val="32"/>
        </w:rPr>
        <w:t>6.教育（类）普通教育（款）</w:t>
      </w:r>
      <w:r>
        <w:rPr>
          <w:rFonts w:hint="eastAsia" w:ascii="仿宋" w:hAnsi="仿宋" w:eastAsia="仿宋" w:cs="仿宋"/>
          <w:sz w:val="32"/>
          <w:szCs w:val="32"/>
          <w:lang w:eastAsia="zh-CN"/>
        </w:rPr>
        <w:t>初中</w:t>
      </w:r>
      <w:r>
        <w:rPr>
          <w:rFonts w:hint="eastAsia" w:ascii="仿宋" w:hAnsi="仿宋" w:eastAsia="仿宋" w:cs="仿宋"/>
          <w:sz w:val="32"/>
          <w:szCs w:val="32"/>
        </w:rPr>
        <w:t>教育（项）：指</w:t>
      </w:r>
      <w:r>
        <w:rPr>
          <w:rFonts w:hint="eastAsia" w:ascii="仿宋" w:hAnsi="仿宋" w:eastAsia="仿宋" w:cs="仿宋"/>
          <w:sz w:val="32"/>
          <w:szCs w:val="32"/>
          <w:lang w:eastAsia="zh-CN"/>
        </w:rPr>
        <w:t>初中</w:t>
      </w:r>
      <w:r>
        <w:rPr>
          <w:rFonts w:hint="eastAsia" w:ascii="仿宋" w:hAnsi="仿宋" w:eastAsia="仿宋" w:cs="仿宋"/>
          <w:sz w:val="32"/>
          <w:szCs w:val="32"/>
        </w:rPr>
        <w:t>教育。</w:t>
      </w:r>
    </w:p>
    <w:p w14:paraId="22CD1C07">
      <w:pPr>
        <w:ind w:firstLine="640" w:firstLineChars="200"/>
        <w:rPr>
          <w:rFonts w:hint="eastAsia" w:ascii="仿宋" w:hAnsi="仿宋" w:eastAsia="仿宋" w:cs="仿宋"/>
          <w:sz w:val="32"/>
          <w:szCs w:val="32"/>
        </w:rPr>
      </w:pPr>
      <w:r>
        <w:rPr>
          <w:rFonts w:hint="eastAsia" w:ascii="仿宋" w:hAnsi="仿宋" w:eastAsia="仿宋" w:cs="仿宋"/>
          <w:sz w:val="32"/>
          <w:szCs w:val="32"/>
        </w:rPr>
        <w:t>7.教育（类）普通教育（款）</w:t>
      </w:r>
      <w:r>
        <w:rPr>
          <w:rFonts w:hint="eastAsia" w:ascii="仿宋" w:hAnsi="仿宋" w:eastAsia="仿宋" w:cs="仿宋"/>
          <w:color w:val="auto"/>
          <w:sz w:val="32"/>
          <w:szCs w:val="32"/>
          <w:highlight w:val="none"/>
          <w:lang w:val="en-US" w:eastAsia="zh-CN"/>
        </w:rPr>
        <w:t>其他教育支出</w:t>
      </w:r>
      <w:r>
        <w:rPr>
          <w:rFonts w:hint="eastAsia" w:ascii="仿宋" w:hAnsi="仿宋" w:eastAsia="仿宋" w:cs="仿宋"/>
          <w:sz w:val="32"/>
          <w:szCs w:val="32"/>
        </w:rPr>
        <w:t>（项）：</w:t>
      </w:r>
      <w:r>
        <w:rPr>
          <w:rFonts w:hint="eastAsia" w:ascii="仿宋" w:hAnsi="仿宋" w:eastAsia="仿宋" w:cs="仿宋"/>
          <w:color w:val="auto"/>
          <w:sz w:val="32"/>
          <w:szCs w:val="32"/>
          <w:highlight w:val="none"/>
          <w:lang w:val="en-US" w:eastAsia="zh-CN"/>
        </w:rPr>
        <w:t>其他教育支出</w:t>
      </w:r>
      <w:r>
        <w:rPr>
          <w:rFonts w:hint="eastAsia" w:ascii="仿宋" w:hAnsi="仿宋" w:eastAsia="仿宋" w:cs="仿宋"/>
          <w:sz w:val="32"/>
          <w:szCs w:val="32"/>
        </w:rPr>
        <w:t>。</w:t>
      </w:r>
    </w:p>
    <w:p w14:paraId="3EAA33C1">
      <w:pPr>
        <w:numPr>
          <w:ilvl w:val="0"/>
          <w:numId w:val="0"/>
        </w:numPr>
        <w:spacing w:line="60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8.社会保障和就业支出（类）行政事业单位养老支出（款）机关事业单位基本养老保险缴费支出（项）: 指机关事业单位实施养老保险制度由单位缴纳的基本养老保险费支出。</w:t>
      </w:r>
    </w:p>
    <w:p w14:paraId="2B393866">
      <w:pPr>
        <w:pStyle w:val="16"/>
        <w:ind w:left="0" w:leftChars="0" w:firstLine="640" w:firstLineChars="200"/>
        <w:rPr>
          <w:rFonts w:hint="eastAsia" w:ascii="仿宋" w:hAnsi="仿宋" w:eastAsia="仿宋" w:cs="仿宋"/>
          <w:lang w:val="en-US" w:eastAsia="zh-CN"/>
        </w:rPr>
      </w:pPr>
      <w:r>
        <w:rPr>
          <w:rFonts w:hint="eastAsia" w:ascii="仿宋" w:hAnsi="仿宋" w:eastAsia="仿宋" w:cs="仿宋"/>
          <w:color w:val="000000"/>
          <w:kern w:val="0"/>
          <w:sz w:val="32"/>
          <w:szCs w:val="32"/>
          <w:lang w:val="en-US" w:eastAsia="zh-CN" w:bidi="ar-SA"/>
        </w:rPr>
        <w:t>9.社会保障和就业支出（类）其他社会保障和就业支出（款）其他社会保障和就业支出（项）: 指其他用于社会保障和就业方面的支出。</w:t>
      </w:r>
    </w:p>
    <w:p w14:paraId="07A88C1F">
      <w:pPr>
        <w:pStyle w:val="2"/>
        <w:ind w:firstLine="640" w:firstLineChars="200"/>
        <w:rPr>
          <w:rFonts w:hint="eastAsia" w:ascii="仿宋" w:hAnsi="仿宋" w:eastAsia="仿宋" w:cs="仿宋"/>
        </w:rPr>
      </w:pPr>
      <w:r>
        <w:rPr>
          <w:rFonts w:hint="eastAsia" w:ascii="仿宋" w:hAnsi="仿宋" w:eastAsia="仿宋" w:cs="仿宋"/>
          <w:color w:val="000000"/>
          <w:kern w:val="0"/>
          <w:sz w:val="32"/>
          <w:szCs w:val="32"/>
          <w:lang w:val="en-US" w:eastAsia="zh-CN"/>
        </w:rPr>
        <w:t>10.卫生健康（类）行政事业单位医疗（款）事业单位医疗（项）：指财政部门安排的事业单位基本医疗保险缴费经费，未参加医疗保险的事业单位的公费医疗经费，按国家规定享受离休人员待遇的医疗保险。</w:t>
      </w:r>
    </w:p>
    <w:p w14:paraId="1EB3BE24">
      <w:pPr>
        <w:pStyle w:val="2"/>
        <w:ind w:firstLine="640" w:firstLineChars="200"/>
        <w:rPr>
          <w:rFonts w:hint="eastAsia" w:ascii="仿宋" w:hAnsi="仿宋" w:eastAsia="仿宋" w:cs="仿宋"/>
        </w:rPr>
      </w:pPr>
      <w:r>
        <w:rPr>
          <w:rFonts w:hint="eastAsia" w:ascii="仿宋" w:hAnsi="仿宋" w:eastAsia="仿宋" w:cs="仿宋"/>
          <w:color w:val="000000"/>
          <w:kern w:val="0"/>
          <w:sz w:val="32"/>
          <w:szCs w:val="32"/>
          <w:lang w:val="en-US" w:eastAsia="zh-CN"/>
        </w:rPr>
        <w:t>11.住房保障支出（类）住房改革支出（款）住房公积金（项）：指行政事业单位按人力资源和社会保障部、财政部规定的基本工资和津贴补贴以及规定比例为职工缴纳的住房公积金。</w:t>
      </w:r>
    </w:p>
    <w:p w14:paraId="3E734B76">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12</w:t>
      </w:r>
      <w:r>
        <w:rPr>
          <w:rFonts w:hint="eastAsia" w:ascii="仿宋" w:hAnsi="仿宋" w:eastAsia="仿宋" w:cs="仿宋"/>
          <w:sz w:val="32"/>
          <w:szCs w:val="32"/>
        </w:rPr>
        <w:t>.基本支出：指为保障机构正常运转、完成日常工作任务而发生的人员支出和公用支出。</w:t>
      </w:r>
    </w:p>
    <w:p w14:paraId="2B9AA268">
      <w:pPr>
        <w:ind w:firstLine="640" w:firstLineChars="200"/>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3</w:t>
      </w:r>
      <w:r>
        <w:rPr>
          <w:rFonts w:hint="eastAsia" w:ascii="仿宋" w:hAnsi="仿宋" w:eastAsia="仿宋" w:cs="仿宋"/>
          <w:sz w:val="32"/>
          <w:szCs w:val="32"/>
        </w:rPr>
        <w:t xml:space="preserve">.项目支出：指在基本支出之外为完成特定行政任务和事业发展目标所发生的支出。 </w:t>
      </w:r>
    </w:p>
    <w:p w14:paraId="68D9305C">
      <w:pPr>
        <w:pStyle w:val="27"/>
        <w:spacing w:line="560" w:lineRule="exact"/>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sz w:val="32"/>
          <w:szCs w:val="32"/>
        </w:rPr>
        <w:t>1</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79" w:name="_Toc15377226"/>
    </w:p>
    <w:p w14:paraId="2CC42C28">
      <w:pPr>
        <w:pStyle w:val="27"/>
        <w:spacing w:line="560" w:lineRule="exact"/>
        <w:ind w:firstLine="883" w:firstLineChars="200"/>
        <w:jc w:val="center"/>
        <w:rPr>
          <w:rStyle w:val="29"/>
          <w:rFonts w:hint="eastAsia" w:ascii="仿宋" w:hAnsi="仿宋" w:eastAsia="仿宋" w:cs="仿宋"/>
          <w:b w:val="0"/>
          <w:color w:val="auto"/>
        </w:rPr>
      </w:pPr>
      <w:r>
        <w:rPr>
          <w:rFonts w:hint="eastAsia" w:ascii="仿宋" w:hAnsi="仿宋" w:eastAsia="仿宋" w:cs="仿宋"/>
          <w:b/>
          <w:color w:val="auto"/>
          <w:sz w:val="44"/>
          <w:szCs w:val="44"/>
        </w:rPr>
        <w:br w:type="page"/>
      </w:r>
      <w:bookmarkStart w:id="80" w:name="_Toc15396614"/>
      <w:bookmarkStart w:id="81" w:name="_Toc3498"/>
      <w:r>
        <w:rPr>
          <w:rStyle w:val="29"/>
          <w:rFonts w:hint="eastAsia" w:ascii="仿宋" w:hAnsi="仿宋" w:eastAsia="仿宋" w:cs="仿宋"/>
        </w:rPr>
        <w:t>第四部分 附件</w:t>
      </w:r>
      <w:bookmarkEnd w:id="80"/>
    </w:p>
    <w:bookmarkEnd w:id="81"/>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14:paraId="5582D3C9">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14:paraId="16AB492D">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color w:val="auto"/>
                <w:sz w:val="32"/>
                <w:szCs w:val="32"/>
                <w:lang w:eastAsia="zh-CN"/>
              </w:rPr>
            </w:pPr>
            <w:bookmarkStart w:id="82" w:name="_Toc15396618"/>
            <w:r>
              <w:rPr>
                <w:rFonts w:hint="eastAsia" w:ascii="仿宋" w:hAnsi="仿宋" w:eastAsia="仿宋" w:cs="仿宋"/>
                <w:b/>
                <w:color w:val="auto"/>
                <w:sz w:val="32"/>
                <w:szCs w:val="32"/>
              </w:rPr>
              <w:t>2021年部门预算项目绩效目标自评</w:t>
            </w:r>
            <w:r>
              <w:rPr>
                <w:rFonts w:hint="eastAsia" w:ascii="仿宋" w:hAnsi="仿宋" w:eastAsia="仿宋" w:cs="仿宋"/>
                <w:b/>
                <w:color w:val="auto"/>
                <w:sz w:val="32"/>
                <w:szCs w:val="32"/>
                <w:lang w:eastAsia="zh-CN"/>
              </w:rPr>
              <w:t>（校舍维修）</w:t>
            </w:r>
          </w:p>
        </w:tc>
        <w:tc>
          <w:tcPr>
            <w:tcW w:w="236" w:type="dxa"/>
            <w:tcBorders>
              <w:top w:val="nil"/>
              <w:left w:val="nil"/>
              <w:bottom w:val="nil"/>
              <w:right w:val="nil"/>
            </w:tcBorders>
            <w:shd w:val="clear" w:color="auto" w:fill="auto"/>
            <w:vAlign w:val="center"/>
          </w:tcPr>
          <w:p w14:paraId="6B15FFF4">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color w:val="auto"/>
                <w:kern w:val="0"/>
                <w:sz w:val="32"/>
                <w:szCs w:val="32"/>
              </w:rPr>
            </w:pPr>
          </w:p>
        </w:tc>
      </w:tr>
      <w:tr w14:paraId="0DC41BB2">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12EEA1">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0590FF">
            <w:pPr>
              <w:keepNext w:val="0"/>
              <w:keepLines w:val="0"/>
              <w:widowControl/>
              <w:suppressLineNumbers w:val="0"/>
              <w:spacing w:before="0" w:beforeAutospacing="0" w:after="0" w:afterAutospacing="0" w:line="320" w:lineRule="exact"/>
              <w:ind w:left="0" w:right="0"/>
              <w:textAlignment w:val="center"/>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360304</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BF984">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E058A">
            <w:pPr>
              <w:keepNext w:val="0"/>
              <w:keepLines w:val="0"/>
              <w:widowControl/>
              <w:suppressLineNumbers w:val="0"/>
              <w:spacing w:before="0" w:beforeAutospacing="0" w:after="0" w:afterAutospacing="0" w:line="320" w:lineRule="exact"/>
              <w:ind w:left="0" w:right="0"/>
              <w:textAlignment w:val="center"/>
              <w:rPr>
                <w:rFonts w:hint="eastAsia" w:ascii="仿宋" w:hAnsi="仿宋" w:eastAsia="仿宋" w:cs="仿宋"/>
                <w:color w:val="auto"/>
                <w:sz w:val="24"/>
                <w:lang w:eastAsia="zh-CN"/>
              </w:rPr>
            </w:pPr>
            <w:r>
              <w:rPr>
                <w:rFonts w:hint="eastAsia" w:ascii="仿宋" w:hAnsi="仿宋" w:eastAsia="仿宋" w:cs="仿宋"/>
                <w:color w:val="auto"/>
                <w:sz w:val="24"/>
                <w:lang w:eastAsia="zh-CN"/>
              </w:rPr>
              <w:t>广元市昭化区太公初级中学</w:t>
            </w:r>
          </w:p>
        </w:tc>
      </w:tr>
      <w:tr w14:paraId="255E82E5">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AB7815">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rPr>
            </w:pPr>
            <w:r>
              <w:rPr>
                <w:rFonts w:hint="eastAsia" w:ascii="仿宋" w:hAnsi="仿宋" w:eastAsia="仿宋" w:cs="仿宋"/>
                <w:color w:val="auto"/>
                <w:kern w:val="0"/>
                <w:sz w:val="24"/>
              </w:rPr>
              <w:t>项目预算</w:t>
            </w:r>
          </w:p>
          <w:p w14:paraId="091BADE1">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rPr>
            </w:pPr>
            <w:r>
              <w:rPr>
                <w:rFonts w:hint="eastAsia" w:ascii="仿宋" w:hAnsi="仿宋" w:eastAsia="仿宋" w:cs="仿宋"/>
                <w:color w:val="auto"/>
                <w:kern w:val="0"/>
                <w:sz w:val="24"/>
              </w:rPr>
              <w:t>执行情况</w:t>
            </w:r>
          </w:p>
          <w:p w14:paraId="1372405A">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D5BBE">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rPr>
            </w:pPr>
            <w:r>
              <w:rPr>
                <w:rFonts w:hint="eastAsia" w:ascii="仿宋" w:hAnsi="仿宋" w:eastAsia="仿宋" w:cs="仿宋"/>
                <w:color w:val="auto"/>
                <w:kern w:val="0"/>
                <w:sz w:val="24"/>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562DC">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465</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33628">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rPr>
            </w:pPr>
            <w:r>
              <w:rPr>
                <w:rFonts w:hint="eastAsia" w:ascii="仿宋" w:hAnsi="仿宋" w:eastAsia="仿宋" w:cs="仿宋"/>
                <w:color w:val="auto"/>
                <w:kern w:val="0"/>
                <w:sz w:val="24"/>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02AD7">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465</w:t>
            </w:r>
          </w:p>
        </w:tc>
      </w:tr>
      <w:tr w14:paraId="642D54CA">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3435AA">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16F35">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kern w:val="0"/>
                <w:sz w:val="24"/>
              </w:rPr>
            </w:pPr>
            <w:r>
              <w:rPr>
                <w:rFonts w:hint="eastAsia" w:ascii="仿宋" w:hAnsi="仿宋" w:eastAsia="仿宋" w:cs="仿宋"/>
                <w:color w:val="auto"/>
                <w:kern w:val="0"/>
                <w:sz w:val="24"/>
              </w:rPr>
              <w:t>其中：</w:t>
            </w:r>
          </w:p>
          <w:p w14:paraId="734BF3B5">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rPr>
            </w:pPr>
            <w:r>
              <w:rPr>
                <w:rFonts w:hint="eastAsia" w:ascii="仿宋" w:hAnsi="仿宋" w:eastAsia="仿宋" w:cs="仿宋"/>
                <w:color w:val="auto"/>
                <w:kern w:val="0"/>
                <w:sz w:val="24"/>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CB1E3">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lang w:val="en-US"/>
              </w:rPr>
            </w:pPr>
            <w:r>
              <w:rPr>
                <w:rFonts w:hint="eastAsia" w:ascii="仿宋" w:hAnsi="仿宋" w:eastAsia="仿宋" w:cs="仿宋"/>
                <w:color w:val="auto"/>
                <w:sz w:val="24"/>
                <w:lang w:val="en-US" w:eastAsia="zh-CN"/>
              </w:rPr>
              <w:t>465</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B696A">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kern w:val="0"/>
                <w:sz w:val="24"/>
              </w:rPr>
            </w:pPr>
            <w:r>
              <w:rPr>
                <w:rFonts w:hint="eastAsia" w:ascii="仿宋" w:hAnsi="仿宋" w:eastAsia="仿宋" w:cs="仿宋"/>
                <w:color w:val="auto"/>
                <w:kern w:val="0"/>
                <w:sz w:val="24"/>
              </w:rPr>
              <w:t>其中：</w:t>
            </w:r>
          </w:p>
          <w:p w14:paraId="459965FD">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rPr>
            </w:pPr>
            <w:r>
              <w:rPr>
                <w:rFonts w:hint="eastAsia" w:ascii="仿宋" w:hAnsi="仿宋" w:eastAsia="仿宋" w:cs="仿宋"/>
                <w:color w:val="auto"/>
                <w:kern w:val="0"/>
                <w:sz w:val="24"/>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D0F57">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lang w:val="en-US"/>
              </w:rPr>
            </w:pPr>
            <w:r>
              <w:rPr>
                <w:rFonts w:hint="eastAsia" w:ascii="仿宋" w:hAnsi="仿宋" w:eastAsia="仿宋" w:cs="仿宋"/>
                <w:color w:val="auto"/>
                <w:sz w:val="24"/>
                <w:lang w:val="en-US" w:eastAsia="zh-CN"/>
              </w:rPr>
              <w:t>465</w:t>
            </w:r>
          </w:p>
        </w:tc>
      </w:tr>
      <w:tr w14:paraId="12A99A10">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01A93F">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A8683">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rPr>
            </w:pPr>
            <w:r>
              <w:rPr>
                <w:rFonts w:hint="eastAsia" w:ascii="仿宋" w:hAnsi="仿宋" w:eastAsia="仿宋" w:cs="仿宋"/>
                <w:color w:val="auto"/>
                <w:kern w:val="0"/>
                <w:sz w:val="24"/>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9D6CF">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1547E">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rPr>
            </w:pPr>
            <w:r>
              <w:rPr>
                <w:rFonts w:hint="eastAsia" w:ascii="仿宋" w:hAnsi="仿宋" w:eastAsia="仿宋" w:cs="仿宋"/>
                <w:color w:val="auto"/>
                <w:kern w:val="0"/>
                <w:sz w:val="24"/>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84B09">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lang w:val="en-US" w:eastAsia="zh-CN"/>
              </w:rPr>
            </w:pPr>
          </w:p>
        </w:tc>
      </w:tr>
      <w:tr w14:paraId="5C4AD99F">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BE846F">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rPr>
            </w:pPr>
            <w:r>
              <w:rPr>
                <w:rFonts w:hint="eastAsia" w:ascii="仿宋" w:hAnsi="仿宋" w:eastAsia="仿宋" w:cs="仿宋"/>
                <w:color w:val="auto"/>
                <w:kern w:val="0"/>
                <w:sz w:val="24"/>
              </w:rPr>
              <w:t>年度总体目标</w:t>
            </w:r>
          </w:p>
          <w:p w14:paraId="19F7F3D4">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68D6FD">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93A0B0">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rPr>
            </w:pPr>
            <w:r>
              <w:rPr>
                <w:rFonts w:hint="eastAsia" w:ascii="仿宋" w:hAnsi="仿宋" w:eastAsia="仿宋" w:cs="仿宋"/>
                <w:color w:val="auto"/>
                <w:kern w:val="0"/>
                <w:sz w:val="24"/>
              </w:rPr>
              <w:t>目标实际完成情况</w:t>
            </w:r>
          </w:p>
        </w:tc>
      </w:tr>
      <w:tr w14:paraId="17846267">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D9B22">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14:paraId="132E5B18">
            <w:pPr>
              <w:keepNext w:val="0"/>
              <w:keepLines w:val="0"/>
              <w:widowControl/>
              <w:suppressLineNumbers w:val="0"/>
              <w:spacing w:before="0" w:beforeAutospacing="0" w:after="0" w:afterAutospacing="0" w:line="320" w:lineRule="exact"/>
              <w:ind w:left="0" w:right="0"/>
              <w:jc w:val="left"/>
              <w:textAlignment w:val="top"/>
              <w:rPr>
                <w:rFonts w:hint="eastAsia" w:ascii="仿宋" w:hAnsi="仿宋" w:eastAsia="仿宋" w:cs="仿宋"/>
                <w:color w:val="auto"/>
                <w:sz w:val="24"/>
                <w:lang w:eastAsia="zh-CN"/>
              </w:rPr>
            </w:pPr>
            <w:r>
              <w:rPr>
                <w:rFonts w:hint="eastAsia" w:ascii="仿宋" w:hAnsi="仿宋" w:eastAsia="仿宋" w:cs="仿宋"/>
                <w:color w:val="auto"/>
                <w:sz w:val="22"/>
                <w:szCs w:val="22"/>
              </w:rPr>
              <w:t>校舍</w:t>
            </w:r>
            <w:r>
              <w:rPr>
                <w:rFonts w:hint="eastAsia" w:ascii="仿宋" w:hAnsi="仿宋" w:eastAsia="仿宋" w:cs="仿宋"/>
                <w:color w:val="auto"/>
                <w:sz w:val="22"/>
                <w:szCs w:val="22"/>
                <w:lang w:eastAsia="zh-CN"/>
              </w:rPr>
              <w:t>维修面积</w:t>
            </w:r>
            <w:r>
              <w:rPr>
                <w:rFonts w:hint="eastAsia" w:ascii="仿宋" w:hAnsi="仿宋" w:eastAsia="仿宋" w:cs="仿宋"/>
                <w:color w:val="auto"/>
                <w:sz w:val="22"/>
                <w:szCs w:val="22"/>
                <w:lang w:val="en-US" w:eastAsia="zh-CN"/>
              </w:rPr>
              <w:t>6100</w:t>
            </w:r>
            <w:r>
              <w:rPr>
                <w:rFonts w:hint="eastAsia" w:ascii="仿宋" w:hAnsi="仿宋" w:eastAsia="仿宋" w:cs="仿宋"/>
                <w:color w:val="auto"/>
                <w:sz w:val="22"/>
                <w:szCs w:val="22"/>
              </w:rPr>
              <w:t>平方米，改善学校办学条件和基础设施配套，提供高质量硬件设施设备，营造良好的学习氛围</w:t>
            </w:r>
            <w:r>
              <w:rPr>
                <w:rFonts w:hint="eastAsia" w:ascii="仿宋" w:hAnsi="仿宋" w:eastAsia="仿宋" w:cs="仿宋"/>
                <w:color w:val="auto"/>
                <w:sz w:val="22"/>
                <w:szCs w:val="22"/>
                <w:lang w:eastAsia="zh-CN"/>
              </w:rPr>
              <w:t>。</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14:paraId="4DEC035E">
            <w:pPr>
              <w:keepNext w:val="0"/>
              <w:keepLines w:val="0"/>
              <w:widowControl/>
              <w:suppressLineNumbers w:val="0"/>
              <w:spacing w:before="0" w:beforeAutospacing="0" w:after="0" w:afterAutospacing="0" w:line="320" w:lineRule="exact"/>
              <w:ind w:left="0" w:right="0"/>
              <w:jc w:val="left"/>
              <w:textAlignment w:val="top"/>
              <w:rPr>
                <w:rFonts w:hint="eastAsia" w:ascii="仿宋" w:hAnsi="仿宋" w:eastAsia="仿宋" w:cs="仿宋"/>
                <w:color w:val="auto"/>
                <w:sz w:val="24"/>
                <w:lang w:eastAsia="zh-CN"/>
              </w:rPr>
            </w:pPr>
            <w:r>
              <w:rPr>
                <w:rFonts w:hint="eastAsia" w:ascii="仿宋" w:hAnsi="仿宋" w:eastAsia="仿宋" w:cs="仿宋"/>
                <w:color w:val="auto"/>
                <w:sz w:val="22"/>
                <w:szCs w:val="22"/>
                <w:lang w:eastAsia="zh-CN"/>
              </w:rPr>
              <w:t>完成</w:t>
            </w:r>
            <w:r>
              <w:rPr>
                <w:rFonts w:hint="eastAsia" w:ascii="仿宋" w:hAnsi="仿宋" w:eastAsia="仿宋" w:cs="仿宋"/>
                <w:color w:val="auto"/>
                <w:sz w:val="22"/>
                <w:szCs w:val="22"/>
                <w:lang w:val="en-US" w:eastAsia="zh-CN"/>
              </w:rPr>
              <w:t>6100</w:t>
            </w:r>
            <w:r>
              <w:rPr>
                <w:rFonts w:hint="eastAsia" w:ascii="仿宋" w:hAnsi="仿宋" w:eastAsia="仿宋" w:cs="仿宋"/>
                <w:color w:val="auto"/>
                <w:sz w:val="22"/>
                <w:szCs w:val="22"/>
              </w:rPr>
              <w:t>平方米</w:t>
            </w:r>
            <w:r>
              <w:rPr>
                <w:rFonts w:hint="eastAsia" w:ascii="仿宋" w:hAnsi="仿宋" w:eastAsia="仿宋" w:cs="仿宋"/>
                <w:color w:val="auto"/>
                <w:sz w:val="22"/>
                <w:szCs w:val="22"/>
                <w:lang w:eastAsia="zh-CN"/>
              </w:rPr>
              <w:t>的校舍维修，</w:t>
            </w:r>
            <w:r>
              <w:rPr>
                <w:rFonts w:hint="eastAsia" w:ascii="仿宋" w:hAnsi="仿宋" w:eastAsia="仿宋" w:cs="仿宋"/>
                <w:color w:val="auto"/>
                <w:sz w:val="22"/>
                <w:szCs w:val="22"/>
              </w:rPr>
              <w:t>改善</w:t>
            </w:r>
            <w:r>
              <w:rPr>
                <w:rFonts w:hint="eastAsia" w:ascii="仿宋" w:hAnsi="仿宋" w:eastAsia="仿宋" w:cs="仿宋"/>
                <w:color w:val="auto"/>
                <w:sz w:val="22"/>
                <w:szCs w:val="22"/>
                <w:lang w:eastAsia="zh-CN"/>
              </w:rPr>
              <w:t>了</w:t>
            </w:r>
            <w:r>
              <w:rPr>
                <w:rFonts w:hint="eastAsia" w:ascii="仿宋" w:hAnsi="仿宋" w:eastAsia="仿宋" w:cs="仿宋"/>
                <w:color w:val="auto"/>
                <w:sz w:val="22"/>
                <w:szCs w:val="22"/>
              </w:rPr>
              <w:t>学校办学条件和基础设施配套，提供</w:t>
            </w:r>
            <w:r>
              <w:rPr>
                <w:rFonts w:hint="eastAsia" w:ascii="仿宋" w:hAnsi="仿宋" w:eastAsia="仿宋" w:cs="仿宋"/>
                <w:color w:val="auto"/>
                <w:sz w:val="22"/>
                <w:szCs w:val="22"/>
                <w:lang w:eastAsia="zh-CN"/>
              </w:rPr>
              <w:t>了</w:t>
            </w:r>
            <w:r>
              <w:rPr>
                <w:rFonts w:hint="eastAsia" w:ascii="仿宋" w:hAnsi="仿宋" w:eastAsia="仿宋" w:cs="仿宋"/>
                <w:color w:val="auto"/>
                <w:sz w:val="22"/>
                <w:szCs w:val="22"/>
              </w:rPr>
              <w:t>高质量硬件设施设备，营造</w:t>
            </w:r>
            <w:r>
              <w:rPr>
                <w:rFonts w:hint="eastAsia" w:ascii="仿宋" w:hAnsi="仿宋" w:eastAsia="仿宋" w:cs="仿宋"/>
                <w:color w:val="auto"/>
                <w:sz w:val="22"/>
                <w:szCs w:val="22"/>
                <w:lang w:eastAsia="zh-CN"/>
              </w:rPr>
              <w:t>了</w:t>
            </w:r>
            <w:r>
              <w:rPr>
                <w:rFonts w:hint="eastAsia" w:ascii="仿宋" w:hAnsi="仿宋" w:eastAsia="仿宋" w:cs="仿宋"/>
                <w:color w:val="auto"/>
                <w:sz w:val="22"/>
                <w:szCs w:val="22"/>
              </w:rPr>
              <w:t>良好的学习氛围</w:t>
            </w:r>
            <w:r>
              <w:rPr>
                <w:rFonts w:hint="eastAsia" w:ascii="仿宋" w:hAnsi="仿宋" w:eastAsia="仿宋" w:cs="仿宋"/>
                <w:color w:val="auto"/>
                <w:sz w:val="22"/>
                <w:szCs w:val="22"/>
                <w:lang w:eastAsia="zh-CN"/>
              </w:rPr>
              <w:t>。</w:t>
            </w:r>
          </w:p>
        </w:tc>
      </w:tr>
      <w:tr w14:paraId="45E293EA">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14:paraId="0F988AEE">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rPr>
            </w:pPr>
            <w:r>
              <w:rPr>
                <w:rFonts w:hint="eastAsia" w:ascii="仿宋" w:hAnsi="仿宋" w:eastAsia="仿宋" w:cs="仿宋"/>
                <w:color w:val="auto"/>
                <w:kern w:val="0"/>
                <w:sz w:val="28"/>
                <w:szCs w:val="28"/>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14:paraId="252FF4CD">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一级</w:t>
            </w:r>
          </w:p>
          <w:p w14:paraId="3DA738A9">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rPr>
            </w:pPr>
            <w:r>
              <w:rPr>
                <w:rFonts w:hint="eastAsia" w:ascii="仿宋" w:hAnsi="仿宋" w:eastAsia="仿宋" w:cs="仿宋"/>
                <w:color w:val="auto"/>
                <w:kern w:val="0"/>
                <w:sz w:val="28"/>
                <w:szCs w:val="28"/>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48BAE">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二级</w:t>
            </w:r>
          </w:p>
          <w:p w14:paraId="6D960AF5">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rPr>
            </w:pPr>
            <w:r>
              <w:rPr>
                <w:rFonts w:hint="eastAsia" w:ascii="仿宋" w:hAnsi="仿宋" w:eastAsia="仿宋" w:cs="仿宋"/>
                <w:color w:val="auto"/>
                <w:kern w:val="0"/>
                <w:sz w:val="28"/>
                <w:szCs w:val="28"/>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C1D7D">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三级</w:t>
            </w:r>
          </w:p>
          <w:p w14:paraId="23D097BF">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rPr>
            </w:pPr>
            <w:r>
              <w:rPr>
                <w:rFonts w:hint="eastAsia" w:ascii="仿宋" w:hAnsi="仿宋" w:eastAsia="仿宋" w:cs="仿宋"/>
                <w:color w:val="auto"/>
                <w:kern w:val="0"/>
                <w:sz w:val="28"/>
                <w:szCs w:val="28"/>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82D2C">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rPr>
            </w:pPr>
            <w:r>
              <w:rPr>
                <w:rFonts w:hint="eastAsia" w:ascii="仿宋" w:hAnsi="仿宋" w:eastAsia="仿宋" w:cs="仿宋"/>
                <w:color w:val="auto"/>
                <w:kern w:val="0"/>
                <w:sz w:val="28"/>
                <w:szCs w:val="28"/>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29604">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rPr>
            </w:pPr>
            <w:r>
              <w:rPr>
                <w:rFonts w:hint="eastAsia" w:ascii="仿宋" w:hAnsi="仿宋" w:eastAsia="仿宋" w:cs="仿宋"/>
                <w:color w:val="auto"/>
                <w:kern w:val="0"/>
                <w:sz w:val="28"/>
                <w:szCs w:val="28"/>
              </w:rPr>
              <w:t>实际完成指标值</w:t>
            </w:r>
          </w:p>
        </w:tc>
      </w:tr>
      <w:tr w14:paraId="10245EE4">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14:paraId="10290362">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4B985E">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完成</w:t>
            </w:r>
          </w:p>
          <w:p w14:paraId="30732056">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rPr>
            </w:pPr>
            <w:r>
              <w:rPr>
                <w:rFonts w:hint="eastAsia" w:ascii="仿宋" w:hAnsi="仿宋" w:eastAsia="仿宋" w:cs="仿宋"/>
                <w:color w:val="auto"/>
                <w:kern w:val="0"/>
                <w:sz w:val="28"/>
                <w:szCs w:val="28"/>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35904C4D">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rPr>
            </w:pPr>
            <w:r>
              <w:rPr>
                <w:rFonts w:hint="eastAsia" w:ascii="仿宋" w:hAnsi="仿宋" w:eastAsia="仿宋" w:cs="仿宋"/>
                <w:color w:val="auto"/>
                <w:kern w:val="0"/>
                <w:sz w:val="20"/>
                <w:szCs w:val="20"/>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F96DF">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rPr>
            </w:pPr>
            <w:r>
              <w:rPr>
                <w:rFonts w:hint="eastAsia" w:ascii="仿宋" w:hAnsi="仿宋" w:eastAsia="仿宋" w:cs="仿宋"/>
                <w:color w:val="auto"/>
                <w:sz w:val="20"/>
                <w:szCs w:val="20"/>
              </w:rPr>
              <w:t>改扩建面积</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72C74">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lang w:val="en-US" w:eastAsia="zh-CN"/>
              </w:rPr>
            </w:pPr>
            <w:r>
              <w:rPr>
                <w:rFonts w:hint="eastAsia" w:ascii="仿宋" w:hAnsi="仿宋" w:eastAsia="仿宋" w:cs="仿宋"/>
                <w:color w:val="auto"/>
                <w:sz w:val="20"/>
                <w:szCs w:val="20"/>
                <w:lang w:val="en-US" w:eastAsia="zh-CN"/>
              </w:rPr>
              <w:t>6100m²</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77424">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rPr>
            </w:pPr>
            <w:r>
              <w:rPr>
                <w:rFonts w:hint="eastAsia" w:ascii="仿宋" w:hAnsi="仿宋" w:eastAsia="仿宋" w:cs="仿宋"/>
                <w:color w:val="auto"/>
                <w:sz w:val="20"/>
                <w:szCs w:val="20"/>
                <w:lang w:val="en-US" w:eastAsia="zh-CN"/>
              </w:rPr>
              <w:t>6100m²</w:t>
            </w:r>
          </w:p>
        </w:tc>
      </w:tr>
      <w:tr w14:paraId="12A3AA86">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14:paraId="31C954A9">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rPr>
            </w:pPr>
          </w:p>
        </w:tc>
        <w:tc>
          <w:tcPr>
            <w:tcW w:w="1005" w:type="dxa"/>
            <w:vMerge w:val="continue"/>
            <w:tcBorders>
              <w:left w:val="single" w:color="000000" w:sz="4" w:space="0"/>
              <w:right w:val="single" w:color="000000" w:sz="4" w:space="0"/>
            </w:tcBorders>
            <w:shd w:val="clear" w:color="auto" w:fill="auto"/>
            <w:vAlign w:val="center"/>
          </w:tcPr>
          <w:p w14:paraId="0B045C87">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07ADC7B6">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813E0">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惠及学生人数</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0D740">
            <w:pPr>
              <w:keepNext w:val="0"/>
              <w:keepLines w:val="0"/>
              <w:widowControl/>
              <w:suppressLineNumbers w:val="0"/>
              <w:spacing w:before="0" w:beforeAutospacing="0" w:after="0" w:afterAutospacing="0" w:line="320" w:lineRule="exact"/>
              <w:ind w:left="0" w:right="0"/>
              <w:jc w:val="center"/>
              <w:textAlignment w:val="bottom"/>
              <w:rPr>
                <w:rFonts w:hint="default" w:ascii="仿宋" w:hAnsi="仿宋" w:eastAsia="仿宋" w:cs="仿宋"/>
                <w:color w:val="auto"/>
                <w:sz w:val="20"/>
                <w:szCs w:val="20"/>
                <w:lang w:val="en-US" w:eastAsia="zh-CN"/>
              </w:rPr>
            </w:pPr>
            <w:r>
              <w:rPr>
                <w:rFonts w:hint="eastAsia" w:ascii="仿宋" w:hAnsi="仿宋" w:eastAsia="仿宋" w:cs="仿宋"/>
                <w:color w:val="auto"/>
                <w:sz w:val="20"/>
                <w:szCs w:val="20"/>
                <w:lang w:val="en-US" w:eastAsia="zh-CN"/>
              </w:rPr>
              <w:t>310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6C7B4">
            <w:pPr>
              <w:keepNext w:val="0"/>
              <w:keepLines w:val="0"/>
              <w:widowControl/>
              <w:suppressLineNumbers w:val="0"/>
              <w:spacing w:before="0" w:beforeAutospacing="0" w:after="0" w:afterAutospacing="0" w:line="320" w:lineRule="exact"/>
              <w:ind w:left="0" w:right="0"/>
              <w:jc w:val="center"/>
              <w:textAlignment w:val="bottom"/>
              <w:rPr>
                <w:rFonts w:hint="default" w:ascii="仿宋" w:hAnsi="仿宋" w:eastAsia="仿宋" w:cs="仿宋"/>
                <w:color w:val="auto"/>
                <w:sz w:val="20"/>
                <w:szCs w:val="20"/>
                <w:lang w:val="en-US" w:eastAsia="zh-CN"/>
              </w:rPr>
            </w:pPr>
            <w:r>
              <w:rPr>
                <w:rFonts w:hint="eastAsia" w:ascii="仿宋" w:hAnsi="仿宋" w:eastAsia="仿宋" w:cs="仿宋"/>
                <w:color w:val="auto"/>
                <w:sz w:val="20"/>
                <w:szCs w:val="20"/>
                <w:lang w:val="en-US" w:eastAsia="zh-CN"/>
              </w:rPr>
              <w:t>310</w:t>
            </w:r>
          </w:p>
        </w:tc>
      </w:tr>
      <w:tr w14:paraId="5237D9E3">
        <w:tblPrEx>
          <w:tblCellMar>
            <w:top w:w="0" w:type="dxa"/>
            <w:left w:w="108" w:type="dxa"/>
            <w:bottom w:w="0" w:type="dxa"/>
            <w:right w:w="108" w:type="dxa"/>
          </w:tblCellMar>
        </w:tblPrEx>
        <w:trPr>
          <w:gridAfter w:val="1"/>
          <w:wAfter w:w="236" w:type="dxa"/>
          <w:trHeight w:val="575" w:hRule="atLeast"/>
        </w:trPr>
        <w:tc>
          <w:tcPr>
            <w:tcW w:w="1113" w:type="dxa"/>
            <w:vMerge w:val="continue"/>
            <w:tcBorders>
              <w:left w:val="single" w:color="000000" w:sz="4" w:space="0"/>
              <w:right w:val="single" w:color="000000" w:sz="4" w:space="0"/>
            </w:tcBorders>
            <w:shd w:val="clear" w:color="auto" w:fill="auto"/>
            <w:vAlign w:val="center"/>
          </w:tcPr>
          <w:p w14:paraId="50FF7508">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51B43F">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7E7A38A6">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rPr>
            </w:pPr>
            <w:r>
              <w:rPr>
                <w:rFonts w:hint="eastAsia" w:ascii="仿宋" w:hAnsi="仿宋" w:eastAsia="仿宋" w:cs="仿宋"/>
                <w:color w:val="auto"/>
                <w:kern w:val="0"/>
                <w:sz w:val="20"/>
                <w:szCs w:val="20"/>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152F0">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rPr>
            </w:pPr>
            <w:r>
              <w:rPr>
                <w:rFonts w:hint="eastAsia" w:ascii="仿宋" w:hAnsi="仿宋" w:eastAsia="仿宋" w:cs="仿宋"/>
                <w:color w:val="auto"/>
                <w:sz w:val="20"/>
                <w:szCs w:val="20"/>
                <w:lang w:eastAsia="zh-CN"/>
              </w:rPr>
              <w:t>校舍维修</w:t>
            </w:r>
            <w:r>
              <w:rPr>
                <w:rFonts w:hint="eastAsia" w:ascii="仿宋" w:hAnsi="仿宋" w:eastAsia="仿宋" w:cs="仿宋"/>
                <w:color w:val="auto"/>
                <w:sz w:val="20"/>
                <w:szCs w:val="20"/>
              </w:rPr>
              <w:t>竣工验收合格率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5978B">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lang w:val="en-US" w:eastAsia="zh-CN"/>
              </w:rPr>
            </w:pPr>
            <w:r>
              <w:rPr>
                <w:rFonts w:hint="eastAsia" w:ascii="仿宋" w:hAnsi="仿宋" w:eastAsia="仿宋" w:cs="仿宋"/>
                <w:color w:val="auto"/>
                <w:sz w:val="20"/>
                <w:szCs w:val="20"/>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6D888">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lang w:val="en-US" w:eastAsia="zh-CN" w:bidi="ar-SA"/>
              </w:rPr>
            </w:pPr>
            <w:r>
              <w:rPr>
                <w:rFonts w:hint="eastAsia" w:ascii="仿宋" w:hAnsi="仿宋" w:eastAsia="仿宋" w:cs="仿宋"/>
                <w:color w:val="auto"/>
                <w:sz w:val="20"/>
                <w:szCs w:val="20"/>
                <w:lang w:val="en-US" w:eastAsia="zh-CN"/>
              </w:rPr>
              <w:t>100%</w:t>
            </w:r>
          </w:p>
        </w:tc>
      </w:tr>
      <w:tr w14:paraId="432E954B">
        <w:tblPrEx>
          <w:tblCellMar>
            <w:top w:w="0" w:type="dxa"/>
            <w:left w:w="108" w:type="dxa"/>
            <w:bottom w:w="0" w:type="dxa"/>
            <w:right w:w="108" w:type="dxa"/>
          </w:tblCellMar>
        </w:tblPrEx>
        <w:trPr>
          <w:gridAfter w:val="1"/>
          <w:wAfter w:w="236" w:type="dxa"/>
          <w:trHeight w:val="461" w:hRule="atLeast"/>
        </w:trPr>
        <w:tc>
          <w:tcPr>
            <w:tcW w:w="1113" w:type="dxa"/>
            <w:vMerge w:val="continue"/>
            <w:tcBorders>
              <w:left w:val="single" w:color="000000" w:sz="4" w:space="0"/>
              <w:right w:val="single" w:color="000000" w:sz="4" w:space="0"/>
            </w:tcBorders>
            <w:shd w:val="clear" w:color="auto" w:fill="auto"/>
            <w:vAlign w:val="center"/>
          </w:tcPr>
          <w:p w14:paraId="2DA2D066">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F48571">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rPr>
            </w:pPr>
          </w:p>
        </w:tc>
        <w:tc>
          <w:tcPr>
            <w:tcW w:w="1215" w:type="dxa"/>
            <w:vMerge w:val="continue"/>
            <w:tcBorders>
              <w:left w:val="single" w:color="000000" w:sz="4" w:space="0"/>
              <w:right w:val="single" w:color="000000" w:sz="4" w:space="0"/>
            </w:tcBorders>
            <w:shd w:val="clear" w:color="auto" w:fill="auto"/>
            <w:vAlign w:val="center"/>
          </w:tcPr>
          <w:p w14:paraId="1A320F9D">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CF650">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rPr>
            </w:pPr>
            <w:r>
              <w:rPr>
                <w:rFonts w:hint="eastAsia" w:ascii="仿宋" w:hAnsi="仿宋" w:eastAsia="仿宋" w:cs="仿宋"/>
                <w:color w:val="auto"/>
                <w:sz w:val="20"/>
                <w:szCs w:val="20"/>
              </w:rPr>
              <w:t>校舍</w:t>
            </w:r>
            <w:r>
              <w:rPr>
                <w:rFonts w:hint="eastAsia" w:ascii="仿宋" w:hAnsi="仿宋" w:eastAsia="仿宋" w:cs="仿宋"/>
                <w:color w:val="auto"/>
                <w:sz w:val="20"/>
                <w:szCs w:val="20"/>
                <w:lang w:eastAsia="zh-CN"/>
              </w:rPr>
              <w:t>维修</w:t>
            </w:r>
            <w:r>
              <w:rPr>
                <w:rFonts w:hint="eastAsia" w:ascii="仿宋" w:hAnsi="仿宋" w:eastAsia="仿宋" w:cs="仿宋"/>
                <w:color w:val="auto"/>
                <w:sz w:val="20"/>
                <w:szCs w:val="20"/>
              </w:rPr>
              <w:t>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1663">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lang w:val="en-US" w:eastAsia="zh-CN" w:bidi="ar-SA"/>
              </w:rPr>
            </w:pPr>
            <w:r>
              <w:rPr>
                <w:rFonts w:hint="eastAsia" w:ascii="仿宋" w:hAnsi="仿宋" w:eastAsia="仿宋" w:cs="仿宋"/>
                <w:color w:val="auto"/>
                <w:sz w:val="20"/>
                <w:szCs w:val="20"/>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6AAEF">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lang w:val="en-US" w:eastAsia="zh-CN" w:bidi="ar-SA"/>
              </w:rPr>
            </w:pPr>
            <w:r>
              <w:rPr>
                <w:rFonts w:hint="eastAsia" w:ascii="仿宋" w:hAnsi="仿宋" w:eastAsia="仿宋" w:cs="仿宋"/>
                <w:color w:val="auto"/>
                <w:sz w:val="20"/>
                <w:szCs w:val="20"/>
              </w:rPr>
              <w:t>合格</w:t>
            </w:r>
          </w:p>
        </w:tc>
      </w:tr>
      <w:tr w14:paraId="23B4AA46">
        <w:tblPrEx>
          <w:tblCellMar>
            <w:top w:w="0" w:type="dxa"/>
            <w:left w:w="108" w:type="dxa"/>
            <w:bottom w:w="0" w:type="dxa"/>
            <w:right w:w="108" w:type="dxa"/>
          </w:tblCellMar>
        </w:tblPrEx>
        <w:trPr>
          <w:gridAfter w:val="1"/>
          <w:wAfter w:w="236" w:type="dxa"/>
          <w:trHeight w:val="465" w:hRule="atLeast"/>
        </w:trPr>
        <w:tc>
          <w:tcPr>
            <w:tcW w:w="1113" w:type="dxa"/>
            <w:vMerge w:val="continue"/>
            <w:tcBorders>
              <w:left w:val="single" w:color="000000" w:sz="4" w:space="0"/>
              <w:right w:val="single" w:color="000000" w:sz="4" w:space="0"/>
            </w:tcBorders>
            <w:shd w:val="clear" w:color="auto" w:fill="auto"/>
            <w:vAlign w:val="center"/>
          </w:tcPr>
          <w:p w14:paraId="7A75850B">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EFEDA2">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367B3D0B">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4C87F">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rPr>
            </w:pPr>
            <w:r>
              <w:rPr>
                <w:rFonts w:hint="eastAsia" w:ascii="仿宋" w:hAnsi="仿宋" w:eastAsia="仿宋" w:cs="仿宋"/>
                <w:color w:val="auto"/>
                <w:sz w:val="20"/>
                <w:szCs w:val="20"/>
              </w:rPr>
              <w:t>设备购置质量标准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CD82B">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lang w:val="en-US" w:eastAsia="zh-CN" w:bidi="ar-SA"/>
              </w:rPr>
            </w:pPr>
            <w:r>
              <w:rPr>
                <w:rFonts w:hint="eastAsia" w:ascii="仿宋" w:hAnsi="仿宋" w:eastAsia="仿宋" w:cs="仿宋"/>
                <w:color w:val="auto"/>
                <w:sz w:val="20"/>
                <w:szCs w:val="20"/>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D03CF">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lang w:val="en-US" w:eastAsia="zh-CN" w:bidi="ar-SA"/>
              </w:rPr>
            </w:pPr>
            <w:r>
              <w:rPr>
                <w:rFonts w:hint="eastAsia" w:ascii="仿宋" w:hAnsi="仿宋" w:eastAsia="仿宋" w:cs="仿宋"/>
                <w:color w:val="auto"/>
                <w:sz w:val="20"/>
                <w:szCs w:val="20"/>
              </w:rPr>
              <w:t>合格</w:t>
            </w:r>
          </w:p>
        </w:tc>
      </w:tr>
      <w:tr w14:paraId="21CD27B7">
        <w:tblPrEx>
          <w:tblCellMar>
            <w:top w:w="0" w:type="dxa"/>
            <w:left w:w="108" w:type="dxa"/>
            <w:bottom w:w="0" w:type="dxa"/>
            <w:right w:w="108" w:type="dxa"/>
          </w:tblCellMar>
        </w:tblPrEx>
        <w:trPr>
          <w:gridAfter w:val="1"/>
          <w:wAfter w:w="236" w:type="dxa"/>
          <w:trHeight w:val="431" w:hRule="atLeast"/>
        </w:trPr>
        <w:tc>
          <w:tcPr>
            <w:tcW w:w="1113" w:type="dxa"/>
            <w:vMerge w:val="continue"/>
            <w:tcBorders>
              <w:left w:val="single" w:color="000000" w:sz="4" w:space="0"/>
              <w:right w:val="single" w:color="000000" w:sz="4" w:space="0"/>
            </w:tcBorders>
            <w:shd w:val="clear" w:color="auto" w:fill="auto"/>
            <w:vAlign w:val="center"/>
          </w:tcPr>
          <w:p w14:paraId="7735DE2F">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DE0C8A">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73CD2B74">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rPr>
            </w:pPr>
            <w:r>
              <w:rPr>
                <w:rFonts w:hint="eastAsia" w:ascii="仿宋" w:hAnsi="仿宋" w:eastAsia="仿宋" w:cs="仿宋"/>
                <w:color w:val="auto"/>
                <w:kern w:val="0"/>
                <w:sz w:val="20"/>
                <w:szCs w:val="20"/>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725D7">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rPr>
            </w:pPr>
            <w:r>
              <w:rPr>
                <w:rFonts w:hint="eastAsia" w:ascii="仿宋" w:hAnsi="仿宋" w:eastAsia="仿宋" w:cs="仿宋"/>
                <w:color w:val="auto"/>
                <w:sz w:val="20"/>
                <w:szCs w:val="20"/>
                <w:lang w:eastAsia="zh-CN"/>
              </w:rPr>
              <w:t>校舍维修建设周期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AA302">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lang w:val="en-US" w:eastAsia="zh-CN"/>
              </w:rPr>
            </w:pPr>
            <w:r>
              <w:rPr>
                <w:rFonts w:hint="eastAsia" w:ascii="仿宋" w:hAnsi="仿宋" w:eastAsia="仿宋" w:cs="仿宋"/>
                <w:color w:val="auto"/>
                <w:sz w:val="20"/>
                <w:szCs w:val="20"/>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13A65">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rPr>
            </w:pPr>
            <w:r>
              <w:rPr>
                <w:rFonts w:hint="eastAsia" w:ascii="仿宋" w:hAnsi="仿宋" w:eastAsia="仿宋" w:cs="仿宋"/>
                <w:color w:val="auto"/>
                <w:sz w:val="20"/>
                <w:szCs w:val="20"/>
                <w:lang w:val="en-US" w:eastAsia="zh-CN"/>
              </w:rPr>
              <w:t>1年</w:t>
            </w:r>
          </w:p>
        </w:tc>
      </w:tr>
      <w:tr w14:paraId="12E21886">
        <w:tblPrEx>
          <w:tblCellMar>
            <w:top w:w="0" w:type="dxa"/>
            <w:left w:w="108" w:type="dxa"/>
            <w:bottom w:w="0" w:type="dxa"/>
            <w:right w:w="108" w:type="dxa"/>
          </w:tblCellMar>
        </w:tblPrEx>
        <w:trPr>
          <w:gridAfter w:val="1"/>
          <w:wAfter w:w="236" w:type="dxa"/>
          <w:trHeight w:val="401" w:hRule="atLeast"/>
        </w:trPr>
        <w:tc>
          <w:tcPr>
            <w:tcW w:w="1113" w:type="dxa"/>
            <w:vMerge w:val="continue"/>
            <w:tcBorders>
              <w:left w:val="single" w:color="000000" w:sz="4" w:space="0"/>
              <w:right w:val="single" w:color="000000" w:sz="4" w:space="0"/>
            </w:tcBorders>
            <w:shd w:val="clear" w:color="auto" w:fill="auto"/>
            <w:vAlign w:val="center"/>
          </w:tcPr>
          <w:p w14:paraId="1672B153">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9C5902">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25BC1989">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F9BCB">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设备购置周期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3DE56">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lang w:val="en-US" w:eastAsia="zh-CN"/>
              </w:rPr>
            </w:pPr>
            <w:r>
              <w:rPr>
                <w:rFonts w:hint="eastAsia" w:ascii="仿宋" w:hAnsi="仿宋" w:eastAsia="仿宋" w:cs="仿宋"/>
                <w:color w:val="auto"/>
                <w:sz w:val="20"/>
                <w:szCs w:val="20"/>
                <w:lang w:val="en-US" w:eastAsia="zh-CN"/>
              </w:rPr>
              <w:t>11个月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78610">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lang w:val="en-US" w:eastAsia="zh-CN"/>
              </w:rPr>
            </w:pPr>
            <w:r>
              <w:rPr>
                <w:rFonts w:hint="eastAsia" w:ascii="仿宋" w:hAnsi="仿宋" w:eastAsia="仿宋" w:cs="仿宋"/>
                <w:color w:val="auto"/>
                <w:sz w:val="20"/>
                <w:szCs w:val="20"/>
                <w:lang w:val="en-US" w:eastAsia="zh-CN"/>
              </w:rPr>
              <w:t>11个月</w:t>
            </w:r>
          </w:p>
        </w:tc>
      </w:tr>
      <w:tr w14:paraId="5E3D6489">
        <w:tblPrEx>
          <w:tblCellMar>
            <w:top w:w="0" w:type="dxa"/>
            <w:left w:w="108" w:type="dxa"/>
            <w:bottom w:w="0" w:type="dxa"/>
            <w:right w:w="108" w:type="dxa"/>
          </w:tblCellMar>
        </w:tblPrEx>
        <w:trPr>
          <w:gridAfter w:val="1"/>
          <w:wAfter w:w="236" w:type="dxa"/>
          <w:trHeight w:val="611" w:hRule="atLeast"/>
        </w:trPr>
        <w:tc>
          <w:tcPr>
            <w:tcW w:w="1113" w:type="dxa"/>
            <w:vMerge w:val="continue"/>
            <w:tcBorders>
              <w:left w:val="single" w:color="000000" w:sz="4" w:space="0"/>
              <w:right w:val="single" w:color="000000" w:sz="4" w:space="0"/>
            </w:tcBorders>
            <w:shd w:val="clear" w:color="auto" w:fill="auto"/>
            <w:vAlign w:val="center"/>
          </w:tcPr>
          <w:p w14:paraId="32C016F0">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12AC22">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14:paraId="558FBBF0">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rPr>
            </w:pPr>
            <w:r>
              <w:rPr>
                <w:rFonts w:hint="eastAsia" w:ascii="仿宋" w:hAnsi="仿宋" w:eastAsia="仿宋" w:cs="仿宋"/>
                <w:color w:val="auto"/>
                <w:kern w:val="0"/>
                <w:sz w:val="20"/>
                <w:szCs w:val="20"/>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15E86">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rPr>
            </w:pPr>
            <w:r>
              <w:rPr>
                <w:rFonts w:hint="eastAsia" w:ascii="仿宋" w:hAnsi="仿宋" w:eastAsia="仿宋" w:cs="仿宋"/>
                <w:color w:val="auto"/>
                <w:sz w:val="20"/>
                <w:szCs w:val="20"/>
              </w:rPr>
              <w:t>校舍</w:t>
            </w:r>
            <w:r>
              <w:rPr>
                <w:rFonts w:hint="eastAsia" w:ascii="仿宋" w:hAnsi="仿宋" w:eastAsia="仿宋" w:cs="仿宋"/>
                <w:color w:val="auto"/>
                <w:sz w:val="20"/>
                <w:szCs w:val="20"/>
                <w:lang w:eastAsia="zh-CN"/>
              </w:rPr>
              <w:t>维修</w:t>
            </w:r>
            <w:r>
              <w:rPr>
                <w:rFonts w:hint="eastAsia" w:ascii="仿宋" w:hAnsi="仿宋" w:eastAsia="仿宋" w:cs="仿宋"/>
                <w:color w:val="auto"/>
                <w:sz w:val="20"/>
                <w:szCs w:val="20"/>
              </w:rPr>
              <w:t>类项目每平方米造价</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84A1C">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lang w:val="en-US" w:eastAsia="zh-CN"/>
              </w:rPr>
            </w:pPr>
            <w:r>
              <w:rPr>
                <w:rFonts w:hint="eastAsia" w:ascii="仿宋" w:hAnsi="仿宋" w:eastAsia="仿宋" w:cs="仿宋"/>
                <w:color w:val="auto"/>
                <w:sz w:val="20"/>
                <w:szCs w:val="20"/>
                <w:lang w:val="en-US" w:eastAsia="zh-CN"/>
              </w:rPr>
              <w:t>≤800元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214B5">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lang w:val="en-US"/>
              </w:rPr>
            </w:pPr>
            <w:r>
              <w:rPr>
                <w:rFonts w:hint="eastAsia" w:ascii="仿宋" w:hAnsi="仿宋" w:eastAsia="仿宋" w:cs="仿宋"/>
                <w:color w:val="auto"/>
                <w:sz w:val="20"/>
                <w:szCs w:val="20"/>
                <w:lang w:val="en-US" w:eastAsia="zh-CN"/>
              </w:rPr>
              <w:t>762元</w:t>
            </w:r>
          </w:p>
        </w:tc>
      </w:tr>
      <w:tr w14:paraId="3748939B">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14:paraId="3DC5EBC1">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14:paraId="3BCD0FCD">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效益</w:t>
            </w:r>
          </w:p>
          <w:p w14:paraId="4AE4D0D4">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rPr>
            </w:pPr>
            <w:r>
              <w:rPr>
                <w:rFonts w:hint="eastAsia" w:ascii="仿宋" w:hAnsi="仿宋" w:eastAsia="仿宋" w:cs="仿宋"/>
                <w:color w:val="auto"/>
                <w:kern w:val="0"/>
                <w:sz w:val="28"/>
                <w:szCs w:val="28"/>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6B998CF8">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rPr>
            </w:pPr>
            <w:r>
              <w:rPr>
                <w:rFonts w:hint="eastAsia" w:ascii="仿宋" w:hAnsi="仿宋" w:eastAsia="仿宋" w:cs="仿宋"/>
                <w:color w:val="auto"/>
                <w:sz w:val="20"/>
                <w:szCs w:val="20"/>
              </w:rPr>
              <w:t>社会效益  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7C43DF7F">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rPr>
            </w:pPr>
            <w:r>
              <w:rPr>
                <w:rFonts w:hint="eastAsia" w:ascii="仿宋" w:hAnsi="仿宋" w:eastAsia="仿宋" w:cs="仿宋"/>
                <w:color w:val="auto"/>
                <w:sz w:val="20"/>
                <w:szCs w:val="20"/>
              </w:rPr>
              <w:t>改善办学条件</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6A8E8">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rPr>
            </w:pPr>
            <w:r>
              <w:rPr>
                <w:rFonts w:hint="eastAsia" w:ascii="仿宋" w:hAnsi="仿宋" w:eastAsia="仿宋" w:cs="仿宋"/>
                <w:color w:val="auto"/>
                <w:sz w:val="20"/>
                <w:szCs w:val="20"/>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9FC52">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rPr>
            </w:pPr>
            <w:r>
              <w:rPr>
                <w:rFonts w:hint="eastAsia" w:ascii="仿宋" w:hAnsi="仿宋" w:eastAsia="仿宋" w:cs="仿宋"/>
                <w:color w:val="auto"/>
                <w:sz w:val="20"/>
                <w:szCs w:val="20"/>
              </w:rPr>
              <w:t>有效</w:t>
            </w:r>
          </w:p>
        </w:tc>
      </w:tr>
      <w:tr w14:paraId="2B3072AD">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14:paraId="527B2E20">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rPr>
            </w:pPr>
          </w:p>
        </w:tc>
        <w:tc>
          <w:tcPr>
            <w:tcW w:w="1005" w:type="dxa"/>
            <w:vMerge w:val="continue"/>
            <w:tcBorders>
              <w:left w:val="single" w:color="000000" w:sz="4" w:space="0"/>
              <w:right w:val="single" w:color="auto" w:sz="4" w:space="0"/>
            </w:tcBorders>
            <w:shd w:val="clear" w:color="auto" w:fill="auto"/>
            <w:vAlign w:val="center"/>
          </w:tcPr>
          <w:p w14:paraId="5AB72219">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5453F0E8">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rPr>
            </w:pPr>
            <w:r>
              <w:rPr>
                <w:rFonts w:hint="eastAsia" w:ascii="仿宋" w:hAnsi="仿宋" w:eastAsia="仿宋" w:cs="仿宋"/>
                <w:color w:val="auto"/>
                <w:sz w:val="20"/>
                <w:szCs w:val="20"/>
              </w:rPr>
              <w:t>生态效益</w:t>
            </w:r>
          </w:p>
          <w:p w14:paraId="43B5C0AB">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rPr>
            </w:pPr>
            <w:r>
              <w:rPr>
                <w:rFonts w:hint="eastAsia" w:ascii="仿宋" w:hAnsi="仿宋" w:eastAsia="仿宋" w:cs="仿宋"/>
                <w:color w:val="auto"/>
                <w:sz w:val="20"/>
                <w:szCs w:val="20"/>
              </w:rPr>
              <w:t>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564E5A82">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rPr>
            </w:pPr>
            <w:r>
              <w:rPr>
                <w:rFonts w:hint="eastAsia" w:ascii="仿宋" w:hAnsi="仿宋" w:eastAsia="仿宋" w:cs="仿宋"/>
                <w:color w:val="auto"/>
                <w:sz w:val="20"/>
                <w:szCs w:val="20"/>
              </w:rPr>
              <w:t>建筑能源消耗水平降低</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82B9D">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rPr>
            </w:pPr>
            <w:r>
              <w:rPr>
                <w:rFonts w:hint="eastAsia" w:ascii="仿宋" w:hAnsi="仿宋" w:eastAsia="仿宋" w:cs="仿宋"/>
                <w:color w:val="auto"/>
                <w:sz w:val="20"/>
                <w:szCs w:val="20"/>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1E40C">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rPr>
            </w:pPr>
            <w:r>
              <w:rPr>
                <w:rFonts w:hint="eastAsia" w:ascii="仿宋" w:hAnsi="仿宋" w:eastAsia="仿宋" w:cs="仿宋"/>
                <w:color w:val="auto"/>
                <w:sz w:val="20"/>
                <w:szCs w:val="20"/>
              </w:rPr>
              <w:t>有效</w:t>
            </w:r>
          </w:p>
        </w:tc>
      </w:tr>
      <w:tr w14:paraId="4A60F888">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14:paraId="3305C868">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rPr>
            </w:pPr>
          </w:p>
        </w:tc>
        <w:tc>
          <w:tcPr>
            <w:tcW w:w="1005" w:type="dxa"/>
            <w:vMerge w:val="continue"/>
            <w:tcBorders>
              <w:left w:val="single" w:color="000000" w:sz="4" w:space="0"/>
              <w:bottom w:val="single" w:color="000000" w:sz="4" w:space="0"/>
              <w:right w:val="single" w:color="auto" w:sz="4" w:space="0"/>
            </w:tcBorders>
            <w:shd w:val="clear" w:color="auto" w:fill="auto"/>
            <w:vAlign w:val="center"/>
          </w:tcPr>
          <w:p w14:paraId="1101A410">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43DFED2B">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rPr>
            </w:pPr>
            <w:r>
              <w:rPr>
                <w:rFonts w:hint="eastAsia" w:ascii="仿宋" w:hAnsi="仿宋" w:eastAsia="仿宋" w:cs="仿宋"/>
                <w:color w:val="auto"/>
                <w:sz w:val="20"/>
                <w:szCs w:val="20"/>
              </w:rPr>
              <w:t>可持续影响指标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0D35D2AC">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rPr>
            </w:pPr>
            <w:r>
              <w:rPr>
                <w:rFonts w:hint="eastAsia" w:ascii="仿宋" w:hAnsi="仿宋" w:eastAsia="仿宋" w:cs="仿宋"/>
                <w:color w:val="auto"/>
                <w:sz w:val="20"/>
                <w:szCs w:val="20"/>
              </w:rPr>
              <w:t>吸引外流学生持续回流</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E2F07">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47F45">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rPr>
            </w:pPr>
            <w:r>
              <w:rPr>
                <w:rFonts w:hint="eastAsia" w:ascii="仿宋" w:hAnsi="仿宋" w:eastAsia="仿宋" w:cs="仿宋"/>
                <w:color w:val="auto"/>
                <w:sz w:val="20"/>
                <w:szCs w:val="20"/>
                <w:lang w:eastAsia="zh-CN"/>
              </w:rPr>
              <w:t>有效</w:t>
            </w:r>
          </w:p>
        </w:tc>
      </w:tr>
      <w:tr w14:paraId="44F10DDA">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14:paraId="50DF666F">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14:paraId="54E27E8A">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满意</w:t>
            </w:r>
          </w:p>
          <w:p w14:paraId="6777FB58">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rPr>
            </w:pPr>
            <w:r>
              <w:rPr>
                <w:rFonts w:hint="eastAsia" w:ascii="仿宋" w:hAnsi="仿宋" w:eastAsia="仿宋" w:cs="仿宋"/>
                <w:color w:val="auto"/>
                <w:kern w:val="0"/>
                <w:sz w:val="28"/>
                <w:szCs w:val="28"/>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B7719D8">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rPr>
            </w:pPr>
            <w:r>
              <w:rPr>
                <w:rFonts w:hint="eastAsia" w:ascii="仿宋" w:hAnsi="仿宋" w:eastAsia="仿宋" w:cs="仿宋"/>
                <w:color w:val="auto"/>
                <w:kern w:val="0"/>
                <w:sz w:val="20"/>
                <w:szCs w:val="20"/>
              </w:rPr>
              <w:t>满意度</w:t>
            </w:r>
          </w:p>
          <w:p w14:paraId="16A351E3">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rPr>
            </w:pPr>
            <w:r>
              <w:rPr>
                <w:rFonts w:hint="eastAsia" w:ascii="仿宋" w:hAnsi="仿宋" w:eastAsia="仿宋" w:cs="仿宋"/>
                <w:color w:val="auto"/>
                <w:kern w:val="0"/>
                <w:sz w:val="20"/>
                <w:szCs w:val="20"/>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6FB03">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rPr>
            </w:pPr>
            <w:r>
              <w:rPr>
                <w:rFonts w:hint="eastAsia" w:ascii="仿宋" w:hAnsi="仿宋" w:eastAsia="仿宋" w:cs="仿宋"/>
                <w:color w:val="auto"/>
                <w:sz w:val="20"/>
                <w:szCs w:val="20"/>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B55FB">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rPr>
            </w:pPr>
            <w:r>
              <w:rPr>
                <w:rFonts w:hint="eastAsia" w:ascii="仿宋" w:hAnsi="仿宋" w:eastAsia="仿宋" w:cs="仿宋"/>
                <w:color w:val="auto"/>
                <w:sz w:val="20"/>
                <w:szCs w:val="20"/>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7DDA6">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lang w:val="en-US" w:eastAsia="zh-CN"/>
              </w:rPr>
            </w:pPr>
            <w:r>
              <w:rPr>
                <w:rFonts w:hint="eastAsia" w:ascii="仿宋" w:hAnsi="仿宋" w:eastAsia="仿宋" w:cs="仿宋"/>
                <w:color w:val="auto"/>
                <w:sz w:val="20"/>
                <w:szCs w:val="20"/>
                <w:lang w:val="en-US" w:eastAsia="zh-CN"/>
              </w:rPr>
              <w:t>96%</w:t>
            </w:r>
          </w:p>
        </w:tc>
      </w:tr>
      <w:tr w14:paraId="60423563">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14:paraId="2D2CCB77">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14:paraId="600A6D9F">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7D4CEE6">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A4BD4">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rPr>
            </w:pPr>
            <w:r>
              <w:rPr>
                <w:rFonts w:hint="eastAsia" w:ascii="仿宋" w:hAnsi="仿宋" w:eastAsia="仿宋" w:cs="仿宋"/>
                <w:color w:val="auto"/>
                <w:sz w:val="20"/>
                <w:szCs w:val="20"/>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F2801">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rPr>
            </w:pPr>
            <w:r>
              <w:rPr>
                <w:rFonts w:hint="eastAsia" w:ascii="仿宋" w:hAnsi="仿宋" w:eastAsia="仿宋" w:cs="仿宋"/>
                <w:color w:val="auto"/>
                <w:sz w:val="20"/>
                <w:szCs w:val="20"/>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091CE">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lang w:val="en-US" w:eastAsia="zh-CN"/>
              </w:rPr>
            </w:pPr>
            <w:r>
              <w:rPr>
                <w:rFonts w:hint="eastAsia" w:ascii="仿宋" w:hAnsi="仿宋" w:eastAsia="仿宋" w:cs="仿宋"/>
                <w:color w:val="auto"/>
                <w:sz w:val="20"/>
                <w:szCs w:val="20"/>
                <w:lang w:val="en-US" w:eastAsia="zh-CN"/>
              </w:rPr>
              <w:t>97%</w:t>
            </w:r>
          </w:p>
        </w:tc>
      </w:tr>
    </w:tbl>
    <w:p w14:paraId="7B294528">
      <w:pPr>
        <w:pStyle w:val="3"/>
        <w:bidi w:val="0"/>
        <w:rPr>
          <w:rFonts w:hint="eastAsia" w:ascii="仿宋" w:hAnsi="仿宋" w:eastAsia="仿宋" w:cs="仿宋"/>
        </w:rPr>
      </w:pPr>
      <w:bookmarkStart w:id="83" w:name="_Toc6245"/>
      <w:r>
        <w:rPr>
          <w:rFonts w:hint="eastAsia" w:ascii="仿宋" w:hAnsi="仿宋" w:eastAsia="仿宋" w:cs="仿宋"/>
        </w:rPr>
        <w:t>第五部分 附表</w:t>
      </w:r>
      <w:bookmarkEnd w:id="79"/>
      <w:bookmarkEnd w:id="82"/>
      <w:bookmarkEnd w:id="83"/>
      <w:bookmarkStart w:id="84" w:name="_Toc15396619"/>
    </w:p>
    <w:p w14:paraId="11708C5D">
      <w:pPr>
        <w:pStyle w:val="4"/>
        <w:bidi w:val="0"/>
        <w:rPr>
          <w:rFonts w:hint="eastAsia" w:ascii="仿宋" w:hAnsi="仿宋" w:eastAsia="仿宋" w:cs="仿宋"/>
        </w:rPr>
      </w:pPr>
      <w:bookmarkStart w:id="85" w:name="_Toc492"/>
      <w:r>
        <w:rPr>
          <w:rFonts w:hint="eastAsia" w:ascii="仿宋" w:hAnsi="仿宋" w:eastAsia="仿宋" w:cs="仿宋"/>
        </w:rPr>
        <w:t>一、收入支出决算总表</w:t>
      </w:r>
      <w:bookmarkEnd w:id="84"/>
      <w:bookmarkEnd w:id="85"/>
    </w:p>
    <w:p w14:paraId="3D951DD7">
      <w:pPr>
        <w:pStyle w:val="4"/>
        <w:bidi w:val="0"/>
        <w:rPr>
          <w:rFonts w:hint="eastAsia" w:ascii="仿宋" w:hAnsi="仿宋" w:eastAsia="仿宋" w:cs="仿宋"/>
        </w:rPr>
      </w:pPr>
      <w:bookmarkStart w:id="86" w:name="_Toc15396620"/>
      <w:bookmarkStart w:id="87" w:name="_Toc20829"/>
      <w:r>
        <w:rPr>
          <w:rFonts w:hint="eastAsia" w:ascii="仿宋" w:hAnsi="仿宋" w:eastAsia="仿宋" w:cs="仿宋"/>
        </w:rPr>
        <w:t>二、收入决算表</w:t>
      </w:r>
      <w:bookmarkEnd w:id="86"/>
      <w:bookmarkEnd w:id="87"/>
    </w:p>
    <w:p w14:paraId="59EB59E1">
      <w:pPr>
        <w:pStyle w:val="4"/>
        <w:bidi w:val="0"/>
        <w:rPr>
          <w:rFonts w:hint="eastAsia" w:ascii="仿宋" w:hAnsi="仿宋" w:eastAsia="仿宋" w:cs="仿宋"/>
        </w:rPr>
      </w:pPr>
      <w:bookmarkStart w:id="88" w:name="_Toc872"/>
      <w:bookmarkStart w:id="89" w:name="_Toc15396621"/>
      <w:r>
        <w:rPr>
          <w:rFonts w:hint="eastAsia" w:ascii="仿宋" w:hAnsi="仿宋" w:eastAsia="仿宋" w:cs="仿宋"/>
        </w:rPr>
        <w:t>三、支出决算表</w:t>
      </w:r>
      <w:bookmarkEnd w:id="88"/>
      <w:bookmarkEnd w:id="89"/>
    </w:p>
    <w:p w14:paraId="0D452BC6">
      <w:pPr>
        <w:pStyle w:val="4"/>
        <w:bidi w:val="0"/>
        <w:rPr>
          <w:rFonts w:hint="eastAsia" w:ascii="仿宋" w:hAnsi="仿宋" w:eastAsia="仿宋" w:cs="仿宋"/>
        </w:rPr>
      </w:pPr>
      <w:bookmarkStart w:id="90" w:name="_Toc15396622"/>
      <w:bookmarkStart w:id="91" w:name="_Toc32481"/>
      <w:r>
        <w:rPr>
          <w:rFonts w:hint="eastAsia" w:ascii="仿宋" w:hAnsi="仿宋" w:eastAsia="仿宋" w:cs="仿宋"/>
        </w:rPr>
        <w:t>四、财政拨款收入支出决算总表</w:t>
      </w:r>
      <w:bookmarkEnd w:id="90"/>
      <w:bookmarkEnd w:id="91"/>
    </w:p>
    <w:p w14:paraId="6CE3AAAC">
      <w:pPr>
        <w:pStyle w:val="4"/>
        <w:bidi w:val="0"/>
        <w:rPr>
          <w:rFonts w:hint="eastAsia" w:ascii="仿宋" w:hAnsi="仿宋" w:eastAsia="仿宋" w:cs="仿宋"/>
        </w:rPr>
      </w:pPr>
      <w:bookmarkStart w:id="92" w:name="_Toc15396623"/>
      <w:bookmarkStart w:id="93" w:name="_Toc16282"/>
      <w:r>
        <w:rPr>
          <w:rFonts w:hint="eastAsia" w:ascii="仿宋" w:hAnsi="仿宋" w:eastAsia="仿宋" w:cs="仿宋"/>
        </w:rPr>
        <w:t>五、财政拨款支出决算明细表</w:t>
      </w:r>
      <w:bookmarkEnd w:id="92"/>
      <w:bookmarkEnd w:id="93"/>
      <w:bookmarkStart w:id="94" w:name="_Toc15396624"/>
    </w:p>
    <w:p w14:paraId="20752C51">
      <w:pPr>
        <w:pStyle w:val="4"/>
        <w:bidi w:val="0"/>
        <w:rPr>
          <w:rFonts w:hint="eastAsia" w:ascii="仿宋" w:hAnsi="仿宋" w:eastAsia="仿宋" w:cs="仿宋"/>
        </w:rPr>
      </w:pPr>
      <w:bookmarkStart w:id="95" w:name="_Toc27698"/>
      <w:r>
        <w:rPr>
          <w:rFonts w:hint="eastAsia" w:ascii="仿宋" w:hAnsi="仿宋" w:eastAsia="仿宋" w:cs="仿宋"/>
        </w:rPr>
        <w:t>六、一般公共预算财政拨款支出决算表</w:t>
      </w:r>
      <w:bookmarkEnd w:id="94"/>
      <w:bookmarkEnd w:id="95"/>
    </w:p>
    <w:p w14:paraId="4B06E596">
      <w:pPr>
        <w:pStyle w:val="4"/>
        <w:bidi w:val="0"/>
        <w:rPr>
          <w:rFonts w:hint="eastAsia" w:ascii="仿宋" w:hAnsi="仿宋" w:eastAsia="仿宋" w:cs="仿宋"/>
        </w:rPr>
      </w:pPr>
      <w:bookmarkStart w:id="96" w:name="_Toc15396625"/>
      <w:bookmarkStart w:id="97" w:name="_Toc16786"/>
      <w:r>
        <w:rPr>
          <w:rFonts w:hint="eastAsia" w:ascii="仿宋" w:hAnsi="仿宋" w:eastAsia="仿宋" w:cs="仿宋"/>
        </w:rPr>
        <w:t>七、一般公共预算财政拨款支出决算明细表</w:t>
      </w:r>
      <w:bookmarkEnd w:id="96"/>
      <w:bookmarkEnd w:id="97"/>
    </w:p>
    <w:p w14:paraId="19977D76">
      <w:pPr>
        <w:pStyle w:val="4"/>
        <w:bidi w:val="0"/>
        <w:rPr>
          <w:rFonts w:hint="eastAsia" w:ascii="仿宋" w:hAnsi="仿宋" w:eastAsia="仿宋" w:cs="仿宋"/>
        </w:rPr>
      </w:pPr>
      <w:bookmarkStart w:id="98" w:name="_Toc15396626"/>
      <w:bookmarkStart w:id="99" w:name="_Toc31149"/>
      <w:r>
        <w:rPr>
          <w:rFonts w:hint="eastAsia" w:ascii="仿宋" w:hAnsi="仿宋" w:eastAsia="仿宋" w:cs="仿宋"/>
        </w:rPr>
        <w:t>八、一般公共预算财政拨款基本支出决算表</w:t>
      </w:r>
      <w:bookmarkEnd w:id="98"/>
      <w:bookmarkEnd w:id="99"/>
    </w:p>
    <w:p w14:paraId="1D8ECA50">
      <w:pPr>
        <w:pStyle w:val="4"/>
        <w:bidi w:val="0"/>
        <w:rPr>
          <w:rFonts w:hint="eastAsia" w:ascii="仿宋" w:hAnsi="仿宋" w:eastAsia="仿宋" w:cs="仿宋"/>
        </w:rPr>
      </w:pPr>
      <w:bookmarkStart w:id="100" w:name="_Toc2969"/>
      <w:bookmarkStart w:id="101" w:name="_Toc15396627"/>
      <w:r>
        <w:rPr>
          <w:rFonts w:hint="eastAsia" w:ascii="仿宋" w:hAnsi="仿宋" w:eastAsia="仿宋" w:cs="仿宋"/>
        </w:rPr>
        <w:t>九、一般公共预算财政拨款项目支出决算表</w:t>
      </w:r>
      <w:bookmarkEnd w:id="100"/>
      <w:bookmarkEnd w:id="101"/>
    </w:p>
    <w:p w14:paraId="30E54FC6">
      <w:pPr>
        <w:pStyle w:val="4"/>
        <w:bidi w:val="0"/>
        <w:rPr>
          <w:rFonts w:hint="eastAsia" w:ascii="仿宋" w:hAnsi="仿宋" w:eastAsia="仿宋" w:cs="仿宋"/>
        </w:rPr>
      </w:pPr>
      <w:bookmarkStart w:id="102" w:name="_Toc15951"/>
      <w:bookmarkStart w:id="103" w:name="_Toc15396628"/>
      <w:r>
        <w:rPr>
          <w:rFonts w:hint="eastAsia" w:ascii="仿宋" w:hAnsi="仿宋" w:eastAsia="仿宋" w:cs="仿宋"/>
        </w:rPr>
        <w:t>十、一般公共预算财政拨款“三公”经费支出决算表</w:t>
      </w:r>
      <w:bookmarkEnd w:id="102"/>
      <w:bookmarkEnd w:id="103"/>
    </w:p>
    <w:p w14:paraId="1CC37C39">
      <w:pPr>
        <w:pStyle w:val="4"/>
        <w:bidi w:val="0"/>
        <w:rPr>
          <w:rFonts w:hint="eastAsia" w:ascii="仿宋" w:hAnsi="仿宋" w:eastAsia="仿宋" w:cs="仿宋"/>
        </w:rPr>
      </w:pPr>
      <w:bookmarkStart w:id="104" w:name="_Toc15396629"/>
      <w:bookmarkStart w:id="105" w:name="_Toc26411"/>
      <w:r>
        <w:rPr>
          <w:rFonts w:hint="eastAsia" w:ascii="仿宋" w:hAnsi="仿宋" w:eastAsia="仿宋" w:cs="仿宋"/>
        </w:rPr>
        <w:t>十一、政府性基金预算财政拨款收入支出决算表</w:t>
      </w:r>
      <w:bookmarkEnd w:id="104"/>
      <w:bookmarkEnd w:id="105"/>
    </w:p>
    <w:p w14:paraId="20A4BBEB">
      <w:pPr>
        <w:pStyle w:val="4"/>
        <w:bidi w:val="0"/>
        <w:rPr>
          <w:rFonts w:hint="eastAsia" w:ascii="仿宋" w:hAnsi="仿宋" w:eastAsia="仿宋" w:cs="仿宋"/>
        </w:rPr>
      </w:pPr>
      <w:bookmarkStart w:id="106" w:name="_Toc15396630"/>
      <w:bookmarkStart w:id="107" w:name="_Toc31313"/>
      <w:r>
        <w:rPr>
          <w:rFonts w:hint="eastAsia" w:ascii="仿宋" w:hAnsi="仿宋" w:eastAsia="仿宋" w:cs="仿宋"/>
        </w:rPr>
        <w:t>十二、政府性基金预算财政拨款“三公”经费支出决算表</w:t>
      </w:r>
      <w:bookmarkEnd w:id="106"/>
      <w:bookmarkEnd w:id="107"/>
    </w:p>
    <w:p w14:paraId="7D49B3D1">
      <w:pPr>
        <w:pStyle w:val="4"/>
        <w:bidi w:val="0"/>
        <w:rPr>
          <w:rFonts w:hint="eastAsia" w:ascii="仿宋" w:hAnsi="仿宋" w:eastAsia="仿宋" w:cs="仿宋"/>
        </w:rPr>
      </w:pPr>
      <w:bookmarkStart w:id="108" w:name="_Toc15396631"/>
      <w:bookmarkStart w:id="109" w:name="_Toc26015"/>
      <w:r>
        <w:rPr>
          <w:rFonts w:hint="eastAsia" w:ascii="仿宋" w:hAnsi="仿宋" w:eastAsia="仿宋" w:cs="仿宋"/>
        </w:rPr>
        <w:t>十三、国有资本经营预算财政拨款收入支出决算表</w:t>
      </w:r>
      <w:bookmarkEnd w:id="108"/>
      <w:bookmarkEnd w:id="109"/>
    </w:p>
    <w:p w14:paraId="7CA6D613">
      <w:pPr>
        <w:pStyle w:val="4"/>
        <w:bidi w:val="0"/>
        <w:rPr>
          <w:rFonts w:hint="eastAsia" w:ascii="仿宋" w:hAnsi="仿宋" w:eastAsia="仿宋" w:cs="仿宋"/>
        </w:rPr>
      </w:pPr>
      <w:bookmarkStart w:id="110" w:name="_Toc2980"/>
      <w:r>
        <w:rPr>
          <w:rFonts w:hint="eastAsia" w:ascii="仿宋" w:hAnsi="仿宋" w:eastAsia="仿宋" w:cs="仿宋"/>
        </w:rPr>
        <w:t>十四、国有资本经营预算财政拨款支出决算表</w:t>
      </w:r>
      <w:bookmarkEnd w:id="110"/>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86641F7-C77F-4D0F-85AB-3A5E2F6F7BF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2" w:fontKey="{CC200534-53EE-45FF-940C-AE484196C9A4}"/>
  </w:font>
  <w:font w:name="仿宋_GB2312">
    <w:altName w:val="仿宋"/>
    <w:panose1 w:val="00000000000000000000"/>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00000" w:usb2="00000000" w:usb3="00000000" w:csb0="00040000" w:csb1="00000000"/>
    <w:embedRegular r:id="rId3" w:fontKey="{0BCC0DB5-3C06-4F9B-9D7B-7D2AA2217799}"/>
  </w:font>
  <w:font w:name="方正小标宋_GBK">
    <w:panose1 w:val="02000000000000000000"/>
    <w:charset w:val="86"/>
    <w:family w:val="auto"/>
    <w:pitch w:val="default"/>
    <w:sig w:usb0="A00002BF" w:usb1="38CF7CFA" w:usb2="00082016" w:usb3="00000000" w:csb0="00040001" w:csb1="00000000"/>
    <w:embedRegular r:id="rId4" w:fontKey="{CB5EF355-0FD6-49D7-ACDA-5D221B9645C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14:paraId="0D0356BF">
        <w:pPr>
          <w:pStyle w:val="11"/>
          <w:jc w:val="center"/>
        </w:pPr>
        <w:r>
          <w:fldChar w:fldCharType="begin"/>
        </w:r>
        <w:r>
          <w:instrText xml:space="preserve">PAGE   \* MERGEFORMAT</w:instrText>
        </w:r>
        <w:r>
          <w:fldChar w:fldCharType="separate"/>
        </w:r>
        <w:r>
          <w:rPr>
            <w:lang w:val="zh-CN"/>
          </w:rPr>
          <w:t>12</w:t>
        </w:r>
        <w:r>
          <w:fldChar w:fldCharType="end"/>
        </w:r>
      </w:p>
    </w:sdtContent>
  </w:sdt>
  <w:p w14:paraId="59740D36">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B37990">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492B4FE"/>
    <w:multiLevelType w:val="singleLevel"/>
    <w:tmpl w:val="6492B4FE"/>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2A40753"/>
    <w:rsid w:val="092807EB"/>
    <w:rsid w:val="0A2032A3"/>
    <w:rsid w:val="0B8A37D8"/>
    <w:rsid w:val="0DA65670"/>
    <w:rsid w:val="0EC71F0D"/>
    <w:rsid w:val="0FF56606"/>
    <w:rsid w:val="10C055FF"/>
    <w:rsid w:val="112C7A85"/>
    <w:rsid w:val="118107EC"/>
    <w:rsid w:val="11DD6519"/>
    <w:rsid w:val="12910332"/>
    <w:rsid w:val="157E27B0"/>
    <w:rsid w:val="16BB723D"/>
    <w:rsid w:val="175404DE"/>
    <w:rsid w:val="177D300F"/>
    <w:rsid w:val="18015F3F"/>
    <w:rsid w:val="1BE8440E"/>
    <w:rsid w:val="1D155CEE"/>
    <w:rsid w:val="1F046865"/>
    <w:rsid w:val="20F57F95"/>
    <w:rsid w:val="23066A21"/>
    <w:rsid w:val="240371BF"/>
    <w:rsid w:val="24D54B4E"/>
    <w:rsid w:val="25C741E6"/>
    <w:rsid w:val="27842671"/>
    <w:rsid w:val="27D112AE"/>
    <w:rsid w:val="29FD04D3"/>
    <w:rsid w:val="2ABE7A3E"/>
    <w:rsid w:val="2BAE4DE0"/>
    <w:rsid w:val="2C0D4D5A"/>
    <w:rsid w:val="2EFA178C"/>
    <w:rsid w:val="2F237C98"/>
    <w:rsid w:val="30B46D73"/>
    <w:rsid w:val="319F7F4E"/>
    <w:rsid w:val="32E05DEF"/>
    <w:rsid w:val="353C0D20"/>
    <w:rsid w:val="39AE70AB"/>
    <w:rsid w:val="3C0C0783"/>
    <w:rsid w:val="3D230F51"/>
    <w:rsid w:val="3F795B0E"/>
    <w:rsid w:val="3F9F3A96"/>
    <w:rsid w:val="440828F2"/>
    <w:rsid w:val="493C27E9"/>
    <w:rsid w:val="496F39ED"/>
    <w:rsid w:val="49FF41D3"/>
    <w:rsid w:val="4A185DC8"/>
    <w:rsid w:val="4BE068DB"/>
    <w:rsid w:val="4BF6002B"/>
    <w:rsid w:val="4CDF210B"/>
    <w:rsid w:val="4ECE2238"/>
    <w:rsid w:val="4F301641"/>
    <w:rsid w:val="4FD61684"/>
    <w:rsid w:val="503645ED"/>
    <w:rsid w:val="508F3649"/>
    <w:rsid w:val="51DB4B86"/>
    <w:rsid w:val="52FB5859"/>
    <w:rsid w:val="55333C3E"/>
    <w:rsid w:val="58737E60"/>
    <w:rsid w:val="5EEF25B2"/>
    <w:rsid w:val="6443594B"/>
    <w:rsid w:val="64A80084"/>
    <w:rsid w:val="64CA39A1"/>
    <w:rsid w:val="65B126BB"/>
    <w:rsid w:val="6C4A05C8"/>
    <w:rsid w:val="6C6E6699"/>
    <w:rsid w:val="6EDA0CDC"/>
    <w:rsid w:val="72734D90"/>
    <w:rsid w:val="727D7081"/>
    <w:rsid w:val="72E456B5"/>
    <w:rsid w:val="74E366CA"/>
    <w:rsid w:val="79E7B28D"/>
    <w:rsid w:val="7AC82E51"/>
    <w:rsid w:val="7BA63759"/>
    <w:rsid w:val="7BFA24EA"/>
    <w:rsid w:val="7CAB154F"/>
    <w:rsid w:val="7DB56BE2"/>
    <w:rsid w:val="7F8518D8"/>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jc w:val="center"/>
      <w:outlineLvl w:val="0"/>
    </w:pPr>
    <w:rPr>
      <w:rFonts w:ascii="Times New Roman" w:hAnsi="Times New Roman" w:eastAsia="宋体"/>
      <w:b/>
      <w:bCs/>
      <w:kern w:val="44"/>
      <w:sz w:val="44"/>
      <w:szCs w:val="44"/>
    </w:rPr>
  </w:style>
  <w:style w:type="paragraph" w:styleId="4">
    <w:name w:val="heading 2"/>
    <w:basedOn w:val="1"/>
    <w:next w:val="1"/>
    <w:link w:val="40"/>
    <w:unhideWhenUsed/>
    <w:qFormat/>
    <w:uiPriority w:val="9"/>
    <w:pPr>
      <w:keepNext/>
      <w:keepLines/>
      <w:spacing w:before="260" w:after="260" w:line="416" w:lineRule="auto"/>
      <w:ind w:firstLine="1440" w:firstLineChars="200"/>
      <w:outlineLvl w:val="1"/>
    </w:pPr>
    <w:rPr>
      <w:rFonts w:cs="仿宋" w:asciiTheme="majorAscii" w:hAnsiTheme="majorAscii" w:eastAsiaTheme="majorEastAsia"/>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w:basedOn w:val="1"/>
    <w:link w:val="37"/>
    <w:qFormat/>
    <w:uiPriority w:val="99"/>
    <w:pPr>
      <w:spacing w:beforeLines="30"/>
    </w:pPr>
    <w:rPr>
      <w:rFonts w:ascii="仿宋_GB2312" w:eastAsia="仿宋_GB2312"/>
      <w:kern w:val="0"/>
      <w:sz w:val="30"/>
    </w:rPr>
  </w:style>
  <w:style w:type="paragraph" w:styleId="6">
    <w:name w:val="annotation text"/>
    <w:basedOn w:val="1"/>
    <w:semiHidden/>
    <w:unhideWhenUsed/>
    <w:qFormat/>
    <w:uiPriority w:val="99"/>
    <w:pPr>
      <w:jc w:val="left"/>
    </w:pPr>
  </w:style>
  <w:style w:type="paragraph" w:styleId="7">
    <w:name w:val="Salutation"/>
    <w:basedOn w:val="1"/>
    <w:next w:val="1"/>
    <w:qFormat/>
    <w:uiPriority w:val="99"/>
  </w:style>
  <w:style w:type="paragraph" w:styleId="8">
    <w:name w:val="Body Text Indent"/>
    <w:basedOn w:val="1"/>
    <w:link w:val="38"/>
    <w:qFormat/>
    <w:uiPriority w:val="99"/>
    <w:pPr>
      <w:ind w:left="420" w:left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semiHidden/>
    <w:unhideWhenUsed/>
    <w:qFormat/>
    <w:uiPriority w:val="99"/>
    <w:rPr>
      <w:sz w:val="24"/>
    </w:rPr>
  </w:style>
  <w:style w:type="paragraph" w:styleId="16">
    <w:name w:val="Body Text First Indent 2"/>
    <w:basedOn w:val="8"/>
    <w:link w:val="39"/>
    <w:qFormat/>
    <w:uiPriority w:val="99"/>
    <w:pPr>
      <w:ind w:firstLine="420" w:firstLineChars="200"/>
    </w:pPr>
  </w:style>
  <w:style w:type="character" w:styleId="19">
    <w:name w:val="Strong"/>
    <w:basedOn w:val="18"/>
    <w:qFormat/>
    <w:uiPriority w:val="99"/>
    <w:rPr>
      <w:rFonts w:hint="default" w:ascii="Times New Roman" w:hAnsi="Times New Roman" w:cs="Times New Roman"/>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Header Char"/>
    <w:basedOn w:val="18"/>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8"/>
    <w:semiHidden/>
    <w:qFormat/>
    <w:uiPriority w:val="99"/>
    <w:rPr>
      <w:rFonts w:ascii="Times New Roman" w:hAnsi="Times New Roman"/>
      <w:sz w:val="18"/>
      <w:szCs w:val="18"/>
    </w:rPr>
  </w:style>
  <w:style w:type="character" w:customStyle="1" w:styleId="24">
    <w:name w:val="页脚 Char"/>
    <w:link w:val="11"/>
    <w:qFormat/>
    <w:locked/>
    <w:uiPriority w:val="99"/>
    <w:rPr>
      <w:sz w:val="18"/>
    </w:rPr>
  </w:style>
  <w:style w:type="character" w:customStyle="1" w:styleId="25">
    <w:name w:val="Body Text Char"/>
    <w:basedOn w:val="18"/>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8"/>
    <w:link w:val="3"/>
    <w:qFormat/>
    <w:uiPriority w:val="9"/>
    <w:rPr>
      <w:rFonts w:ascii="Times New Roman" w:hAnsi="Times New Roman" w:eastAsia="宋体"/>
      <w:b/>
      <w:bCs/>
      <w:kern w:val="44"/>
      <w:sz w:val="44"/>
      <w:szCs w:val="44"/>
    </w:rPr>
  </w:style>
  <w:style w:type="character" w:customStyle="1" w:styleId="30">
    <w:name w:val="标题 2 Char"/>
    <w:basedOn w:val="18"/>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8"/>
    <w:link w:val="10"/>
    <w:semiHidden/>
    <w:qFormat/>
    <w:uiPriority w:val="99"/>
    <w:rPr>
      <w:rFonts w:ascii="Times New Roman" w:hAnsi="Times New Roman"/>
      <w:kern w:val="2"/>
      <w:sz w:val="18"/>
      <w:szCs w:val="18"/>
    </w:rPr>
  </w:style>
  <w:style w:type="character" w:customStyle="1" w:styleId="33">
    <w:name w:val="标题 3 Char"/>
    <w:basedOn w:val="18"/>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正文文本 字符"/>
    <w:basedOn w:val="18"/>
    <w:qFormat/>
    <w:uiPriority w:val="0"/>
    <w:rPr>
      <w:kern w:val="2"/>
      <w:sz w:val="21"/>
      <w:szCs w:val="24"/>
    </w:rPr>
  </w:style>
  <w:style w:type="character" w:customStyle="1" w:styleId="36">
    <w:name w:val="标题 2 Char1"/>
    <w:basedOn w:val="18"/>
    <w:link w:val="4"/>
    <w:qFormat/>
    <w:uiPriority w:val="0"/>
    <w:rPr>
      <w:rFonts w:ascii="等线 Light" w:hAnsi="等线 Light" w:eastAsia="等线 Light" w:cs="Times New Roman"/>
      <w:b/>
      <w:bCs/>
      <w:kern w:val="2"/>
      <w:sz w:val="32"/>
      <w:szCs w:val="32"/>
    </w:rPr>
  </w:style>
  <w:style w:type="character" w:customStyle="1" w:styleId="37">
    <w:name w:val="正文文本 Char1"/>
    <w:basedOn w:val="18"/>
    <w:link w:val="2"/>
    <w:qFormat/>
    <w:uiPriority w:val="0"/>
    <w:rPr>
      <w:rFonts w:hint="eastAsia" w:ascii="仿宋_GB2312" w:eastAsia="仿宋_GB2312" w:cs="仿宋_GB2312"/>
      <w:sz w:val="24"/>
    </w:rPr>
  </w:style>
  <w:style w:type="character" w:customStyle="1" w:styleId="38">
    <w:name w:val="正文文本缩进 字符"/>
    <w:basedOn w:val="18"/>
    <w:link w:val="8"/>
    <w:qFormat/>
    <w:uiPriority w:val="0"/>
    <w:rPr>
      <w:rFonts w:hint="default" w:ascii="Times New Roman" w:hAnsi="Times New Roman" w:cs="Times New Roman"/>
      <w:kern w:val="2"/>
      <w:sz w:val="21"/>
      <w:szCs w:val="24"/>
    </w:rPr>
  </w:style>
  <w:style w:type="character" w:customStyle="1" w:styleId="39">
    <w:name w:val="正文首行缩进 2 字符"/>
    <w:basedOn w:val="38"/>
    <w:link w:val="16"/>
    <w:qFormat/>
    <w:uiPriority w:val="0"/>
    <w:rPr>
      <w:rFonts w:hint="default" w:ascii="Times New Roman" w:hAnsi="Times New Roman" w:cs="Times New Roman"/>
      <w:kern w:val="2"/>
      <w:sz w:val="21"/>
      <w:szCs w:val="24"/>
    </w:rPr>
  </w:style>
  <w:style w:type="character" w:customStyle="1" w:styleId="40">
    <w:name w:val="标题 2 字符"/>
    <w:basedOn w:val="18"/>
    <w:link w:val="4"/>
    <w:qFormat/>
    <w:uiPriority w:val="0"/>
    <w:rPr>
      <w:rFonts w:cs="仿宋" w:asciiTheme="majorAscii" w:hAnsiTheme="majorAscii" w:eastAsiaTheme="majorEastAsia"/>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2.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3.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4.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7.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1156</c:v>
                </c:pt>
                <c:pt idx="1">
                  <c:v>1206.49</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1156</c:v>
                </c:pt>
                <c:pt idx="1">
                  <c:v>1206.49</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extLst>
      <c:ext uri="{0b15fc19-7d7d-44ad-8c2d-2c3a37ce22c3}">
        <chartProps xmlns="https://web.wps.cn/et/2018/main" chartId="{b08fa5aa-b954-4538-a232-a7cfc064ffe3}"/>
      </c:ext>
    </c:extLst>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100</a:t>
                    </a:r>
                    <a:r>
                      <a:t>%</a:t>
                    </a: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84f707a4-8431-4eae-a98f-d83efe9f6c55}"/>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50" baseline="0">
                <a:solidFill>
                  <a:schemeClr val="tx1">
                    <a:lumMod val="65000"/>
                    <a:lumOff val="35000"/>
                  </a:schemeClr>
                </a:solidFill>
                <a:latin typeface="+mn-lt"/>
                <a:ea typeface="+mn-ea"/>
                <a:cs typeface="+mn-cs"/>
              </a:defRPr>
            </a:pPr>
            <a:r>
              <a:t>支出决算结构图</a:t>
            </a:r>
          </a:p>
        </c:rich>
      </c:tx>
      <c:layout>
        <c:manualLayout>
          <c:xMode val="edge"/>
          <c:yMode val="edge"/>
          <c:x val="0.358"/>
          <c:y val="0.0362156291681996"/>
        </c:manualLayout>
      </c:layout>
      <c:overlay val="0"/>
      <c:spPr>
        <a:noFill/>
        <a:ln>
          <a:noFill/>
        </a:ln>
        <a:effectLst/>
      </c:spPr>
    </c:title>
    <c:autoTitleDeleted val="0"/>
    <c:plotArea>
      <c:layout/>
      <c:pieChart>
        <c:varyColors val="1"/>
        <c:ser>
          <c:idx val="0"/>
          <c:order val="0"/>
          <c:tx>
            <c:strRef>
              <c:f>Sheet1!$B$1</c:f>
              <c:strCache>
                <c:ptCount val="1"/>
                <c:pt idx="0">
                  <c:v>2021年本年支出合计</c:v>
                </c:pt>
              </c:strCache>
            </c:strRef>
          </c:tx>
          <c:spPr/>
          <c:explosion val="0"/>
          <c:dPt>
            <c:idx val="0"/>
            <c:bubble3D val="0"/>
            <c:spPr>
              <a:solidFill>
                <a:schemeClr val="accent1"/>
              </a:solidFill>
              <a:ln>
                <a:noFill/>
              </a:ln>
              <a:effectLst/>
            </c:spPr>
          </c:dPt>
          <c:dPt>
            <c:idx val="1"/>
            <c:bubble3D val="0"/>
            <c:spPr>
              <a:solidFill>
                <a:schemeClr val="accent2"/>
              </a:solidFill>
              <a:ln>
                <a:noFill/>
              </a:ln>
              <a:effectLst/>
            </c:spPr>
          </c:dPt>
          <c:dLbls>
            <c:dLbl>
              <c:idx val="0"/>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61.46</a:t>
                    </a:r>
                    <a:r>
                      <a:t>%</a:t>
                    </a:r>
                  </a:p>
                </c:rich>
              </c:tx>
              <c:dLblPos val="in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38.54</a:t>
                    </a:r>
                    <a:r>
                      <a:t>%</a:t>
                    </a:r>
                  </a:p>
                </c:rich>
              </c:tx>
              <c:dLblPos val="in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741.49</c:v>
                </c:pt>
                <c:pt idx="1">
                  <c:v>465</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extLst>
      <c:ext uri="{0b15fc19-7d7d-44ad-8c2d-2c3a37ce22c3}">
        <chartProps xmlns="https://web.wps.cn/et/2018/main" chartId="{3df1da61-7c52-4359-9750-44fb5d46ba52}"/>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1156</c:v>
                </c:pt>
                <c:pt idx="1">
                  <c:v>1206.49</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1156</c:v>
                </c:pt>
                <c:pt idx="1">
                  <c:v>1206.49</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extLst>
      <c:ext uri="{0b15fc19-7d7d-44ad-8c2d-2c3a37ce22c3}">
        <chartProps xmlns="https://web.wps.cn/et/2018/main" chartId="{ef9c1257-282a-410f-b2b1-214f892799a6}"/>
      </c:ext>
    </c:extLst>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1156</c:v>
                </c:pt>
                <c:pt idx="1">
                  <c:v>1206.49</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983520d6-17b9-4c32-9fa8-e28d14af640d}"/>
      </c:ext>
    </c:extLst>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Lbls>
            <c:dLbl>
              <c:idx val="0"/>
              <c:layout>
                <c:manualLayout>
                  <c:x val="-0.00187524234346355"/>
                  <c:y val="-0.36350440251527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教育支出（类）</c:v>
                </c:pt>
              </c:strCache>
            </c:strRef>
          </c:cat>
          <c:val>
            <c:numRef>
              <c:f>Sheet1!$B$2</c:f>
              <c:numCache>
                <c:formatCode>General</c:formatCode>
                <c:ptCount val="1"/>
                <c:pt idx="0">
                  <c:v>100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b7dd0491-eb9e-40d1-8e8e-5fe86bc450da}"/>
      </c:ext>
    </c:extLst>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extLst>
      <c:ext uri="{0b15fc19-7d7d-44ad-8c2d-2c3a37ce22c3}">
        <chartProps xmlns="https://web.wps.cn/et/2018/main" chartId="{9121ec28-ee27-41b8-a96f-95f7ce2836db}"/>
      </c:ext>
    </c:extLst>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6.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24</Pages>
  <Words>8824</Words>
  <Characters>9241</Characters>
  <Lines>47</Lines>
  <Paragraphs>13</Paragraphs>
  <TotalTime>19</TotalTime>
  <ScaleCrop>false</ScaleCrop>
  <LinksUpToDate>false</LinksUpToDate>
  <CharactersWithSpaces>9317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昭化融媒体</cp:lastModifiedBy>
  <cp:lastPrinted>2022-09-27T03:56:00Z</cp:lastPrinted>
  <dcterms:modified xsi:type="dcterms:W3CDTF">2025-01-06T05:17:34Z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B9AEE75CAA9A4414AD62BDAC90C3AA2B</vt:lpwstr>
  </property>
  <property fmtid="{D5CDD505-2E9C-101B-9397-08002B2CF9AE}" pid="4" name="KSOTemplateDocerSaveRecord">
    <vt:lpwstr>eyJoZGlkIjoiMGVhYTg4NGNkZWJkODFjNzcyZDRjM2M4Y2UzNjI5ZmUiLCJ1c2VySWQiOiI2MTE2MzEwMDYifQ==</vt:lpwstr>
  </property>
</Properties>
</file>