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96475"/>
      <w:bookmarkStart w:id="2" w:name="_Toc15377425"/>
      <w:bookmarkStart w:id="3" w:name="_Toc15378441"/>
      <w:bookmarkStart w:id="4" w:name="_Toc15396597"/>
      <w:bookmarkStart w:id="5" w:name="_Toc15377193"/>
      <w:r>
        <w:rPr>
          <w:rFonts w:hint="eastAsia" w:ascii="方正小标宋_GBK" w:hAnsi="方正小标宋_GBK" w:eastAsia="方正小标宋_GBK" w:cs="方正小标宋_GBK"/>
          <w:sz w:val="72"/>
          <w:szCs w:val="72"/>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sz w:val="72"/>
          <w:szCs w:val="72"/>
        </w:rPr>
      </w:pPr>
      <w:bookmarkStart w:id="6" w:name="_Toc15377194"/>
      <w:bookmarkStart w:id="7" w:name="_Toc15396476"/>
      <w:bookmarkStart w:id="8" w:name="_Toc15378442"/>
      <w:bookmarkStart w:id="9" w:name="_Toc15396598"/>
      <w:bookmarkStart w:id="10" w:name="_Toc15377426"/>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w:t>
      </w:r>
    </w:p>
    <w:p>
      <w:pPr>
        <w:adjustRightInd w:val="0"/>
        <w:snapToGrid w:val="0"/>
        <w:spacing w:line="360" w:lineRule="auto"/>
        <w:jc w:val="center"/>
        <w:outlineLvl w:val="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eastAsia="zh-CN"/>
        </w:rPr>
        <w:t>卫子初级中学</w:t>
      </w:r>
      <w:r>
        <w:rPr>
          <w:rFonts w:hint="eastAsia" w:ascii="方正小标宋_GBK" w:hAnsi="方正小标宋_GBK" w:eastAsia="方正小标宋_GBK" w:cs="方正小标宋_GBK"/>
          <w:sz w:val="72"/>
          <w:szCs w:val="72"/>
        </w:rPr>
        <w:t>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jc w:val="both"/>
      </w:pPr>
    </w:p>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line="440" w:lineRule="exact"/>
        <w:jc w:val="distribute"/>
        <w:rPr>
          <w:rFonts w:hint="eastAsia"/>
          <w:color w:val="auto"/>
          <w:sz w:val="24"/>
          <w:highlight w:val="none"/>
          <w:lang w:val="en-US" w:eastAsia="zh-CN"/>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6</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6</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7</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eastAsia="宋体"/>
          <w:color w:val="auto"/>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13</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15</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line="440" w:lineRule="exact"/>
        <w:jc w:val="left"/>
        <w:rPr>
          <w:rFonts w:ascii="仿宋" w:hAnsi="仿宋" w:eastAsia="仿宋"/>
          <w:bCs/>
          <w:kern w:val="44"/>
          <w:sz w:val="24"/>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r>
        <w:rPr>
          <w:rFonts w:ascii="仿宋" w:hAnsi="仿宋" w:eastAsia="仿宋"/>
          <w:b/>
          <w:sz w:val="24"/>
        </w:rPr>
        <w:br w:type="page"/>
      </w:r>
    </w:p>
    <w:p>
      <w:pPr>
        <w:pStyle w:val="3"/>
        <w:jc w:val="center"/>
        <w:rPr>
          <w:rStyle w:val="29"/>
          <w:rFonts w:ascii="黑体" w:hAnsi="黑体" w:eastAsia="黑体"/>
          <w:b/>
          <w:bCs w:val="0"/>
        </w:rPr>
      </w:pPr>
      <w:r>
        <w:rPr>
          <w:rFonts w:hint="eastAsia" w:ascii="黑体" w:hAnsi="黑体" w:eastAsia="黑体"/>
          <w:b w:val="0"/>
        </w:rPr>
        <w:t>第一部分 单位</w:t>
      </w:r>
      <w:r>
        <w:rPr>
          <w:rStyle w:val="29"/>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30"/>
          <w:rFonts w:ascii="黑体" w:hAnsi="黑体" w:eastAsia="黑体"/>
          <w:b w:val="0"/>
          <w:bCs w:val="0"/>
        </w:rPr>
      </w:pPr>
      <w:bookmarkStart w:id="14" w:name="_Toc15396600"/>
      <w:bookmarkStart w:id="15" w:name="_Toc15377197"/>
      <w:r>
        <w:rPr>
          <w:rStyle w:val="30"/>
          <w:rFonts w:hint="eastAsia" w:ascii="黑体" w:hAnsi="黑体" w:eastAsia="黑体"/>
          <w:b w:val="0"/>
          <w:bCs w:val="0"/>
        </w:rPr>
        <w:t>职能简介</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6.</w:t>
      </w:r>
      <w:r>
        <w:rPr>
          <w:rFonts w:hint="eastAsia" w:ascii="仿宋_GB2312" w:eastAsia="仿宋_GB2312"/>
          <w:kern w:val="0"/>
          <w:szCs w:val="20"/>
        </w:rPr>
        <w:t xml:space="preserve"> </w:t>
      </w:r>
      <w:r>
        <w:rPr>
          <w:rFonts w:hint="eastAsia" w:ascii="仿宋" w:hAnsi="仿宋" w:eastAsia="仿宋" w:cs="仿宋"/>
          <w:sz w:val="32"/>
          <w:szCs w:val="32"/>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sz w:val="32"/>
          <w:szCs w:val="32"/>
        </w:rPr>
        <w:t>7.</w:t>
      </w:r>
      <w:r>
        <w:rPr>
          <w:rFonts w:hint="eastAsia" w:ascii="仿宋_GB2312" w:eastAsia="仿宋_GB2312"/>
          <w:kern w:val="0"/>
          <w:szCs w:val="20"/>
        </w:rPr>
        <w:t xml:space="preserve"> </w:t>
      </w:r>
      <w:r>
        <w:rPr>
          <w:rFonts w:hint="eastAsia" w:ascii="仿宋" w:hAnsi="仿宋" w:eastAsia="仿宋" w:cs="仿宋"/>
          <w:sz w:val="32"/>
          <w:szCs w:val="32"/>
        </w:rPr>
        <w:t>负责依法制定本校教师及其他职工聘任办法并对教师及其他员工实施包括奖励、处分</w:t>
      </w:r>
      <w:r>
        <w:rPr>
          <w:rFonts w:hint="eastAsia" w:ascii="仿宋" w:hAnsi="仿宋" w:eastAsia="仿宋" w:cs="仿宋"/>
          <w:color w:val="auto"/>
          <w:sz w:val="32"/>
          <w:szCs w:val="32"/>
        </w:rPr>
        <w:t>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rPr>
      </w:pPr>
      <w:r>
        <w:rPr>
          <w:rFonts w:hint="eastAsia" w:ascii="仿宋" w:hAnsi="仿宋" w:eastAsia="仿宋" w:cs="仿宋"/>
          <w:color w:val="auto"/>
          <w:sz w:val="32"/>
          <w:szCs w:val="32"/>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rPr>
        <w:t>非法干扰。</w:t>
      </w:r>
    </w:p>
    <w:p>
      <w:pPr>
        <w:pStyle w:val="15"/>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10.</w:t>
      </w:r>
      <w:r>
        <w:rPr>
          <w:rFonts w:hint="eastAsia" w:ascii="仿宋_GB2312" w:eastAsia="仿宋_GB2312"/>
          <w:kern w:val="0"/>
          <w:szCs w:val="20"/>
        </w:rPr>
        <w:t xml:space="preserve"> </w:t>
      </w:r>
      <w:r>
        <w:rPr>
          <w:rFonts w:hint="eastAsia" w:ascii="仿宋" w:hAnsi="仿宋" w:eastAsia="仿宋" w:cs="仿宋"/>
          <w:sz w:val="32"/>
          <w:szCs w:val="32"/>
        </w:rPr>
        <w:t>依法接受各级教育行政部门的检查指导和人民群众的监督。</w:t>
      </w:r>
    </w:p>
    <w:p>
      <w:pPr>
        <w:ind w:firstLine="640" w:firstLineChars="200"/>
        <w:rPr>
          <w:rFonts w:ascii="仿宋" w:hAnsi="仿宋" w:eastAsia="仿宋" w:cs="仿宋"/>
          <w:sz w:val="32"/>
          <w:szCs w:val="32"/>
        </w:rPr>
      </w:pPr>
      <w:r>
        <w:rPr>
          <w:rFonts w:hint="eastAsia" w:ascii="仿宋" w:hAnsi="仿宋" w:eastAsia="仿宋" w:cs="仿宋"/>
          <w:sz w:val="32"/>
          <w:szCs w:val="32"/>
        </w:rPr>
        <w:t>11.承办上级交办的其他事项。</w:t>
      </w:r>
    </w:p>
    <w:p>
      <w:pPr>
        <w:pStyle w:val="4"/>
        <w:rPr>
          <w:rFonts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widowControl/>
        <w:shd w:val="clear" w:color="auto" w:fill="FFFFFF"/>
        <w:ind w:firstLine="640" w:firstLineChars="200"/>
        <w:rPr>
          <w:rFonts w:ascii="仿宋" w:hAnsi="仿宋" w:eastAsia="仿宋"/>
          <w:color w:val="000000"/>
          <w:sz w:val="32"/>
          <w:szCs w:val="32"/>
        </w:rPr>
      </w:pPr>
      <w:bookmarkStart w:id="16" w:name="_Toc15396602"/>
      <w:bookmarkStart w:id="17" w:name="_Toc15377204"/>
      <w:r>
        <w:rPr>
          <w:rFonts w:hint="eastAsia" w:ascii="楷体_GB2312" w:eastAsia="楷体_GB2312"/>
          <w:bCs/>
          <w:sz w:val="32"/>
          <w:szCs w:val="32"/>
        </w:rPr>
        <w:t>（一）</w:t>
      </w:r>
      <w:r>
        <w:rPr>
          <w:rFonts w:hint="eastAsia" w:ascii="仿宋" w:hAnsi="仿宋" w:eastAsia="仿宋"/>
          <w:color w:val="000000"/>
          <w:sz w:val="32"/>
          <w:szCs w:val="32"/>
        </w:rPr>
        <w:t>高度重视立德树人，提高德育育人质量</w:t>
      </w:r>
    </w:p>
    <w:p>
      <w:pPr>
        <w:widowControl/>
        <w:shd w:val="clear" w:color="auto" w:fill="FFFFFF"/>
        <w:ind w:firstLine="480"/>
        <w:rPr>
          <w:rFonts w:ascii="仿宋" w:hAnsi="仿宋" w:eastAsia="仿宋"/>
          <w:color w:val="000000"/>
          <w:sz w:val="32"/>
          <w:szCs w:val="32"/>
        </w:rPr>
      </w:pPr>
      <w:r>
        <w:rPr>
          <w:rFonts w:hint="eastAsia" w:ascii="仿宋" w:hAnsi="仿宋" w:eastAsia="仿宋"/>
          <w:color w:val="000000"/>
          <w:sz w:val="32"/>
          <w:szCs w:val="32"/>
        </w:rPr>
        <w:t>1.用特色引领德育质量，以特色促进全面质量提升。</w:t>
      </w:r>
    </w:p>
    <w:p>
      <w:pPr>
        <w:widowControl/>
        <w:shd w:val="clear" w:color="auto" w:fill="FFFFFF"/>
        <w:ind w:firstLine="480"/>
        <w:rPr>
          <w:rFonts w:ascii="仿宋" w:hAnsi="仿宋" w:eastAsia="仿宋"/>
          <w:color w:val="000000"/>
          <w:sz w:val="32"/>
          <w:szCs w:val="32"/>
        </w:rPr>
      </w:pPr>
      <w:r>
        <w:rPr>
          <w:rFonts w:eastAsia="仿宋_GB2312"/>
          <w:bCs/>
          <w:sz w:val="32"/>
          <w:szCs w:val="32"/>
        </w:rPr>
        <w:t>2.</w:t>
      </w:r>
      <w:r>
        <w:rPr>
          <w:rFonts w:hint="eastAsia" w:ascii="仿宋" w:hAnsi="仿宋" w:eastAsia="仿宋"/>
          <w:color w:val="000000"/>
          <w:sz w:val="32"/>
          <w:szCs w:val="32"/>
        </w:rPr>
        <w:t>加强法治、卫生教育，提高学生法律和健康意识。</w:t>
      </w:r>
    </w:p>
    <w:p>
      <w:pPr>
        <w:widowControl/>
        <w:shd w:val="clear" w:color="auto" w:fill="FFFFFF"/>
        <w:ind w:firstLine="640"/>
        <w:rPr>
          <w:rFonts w:ascii="仿宋" w:hAnsi="仿宋" w:eastAsia="仿宋"/>
          <w:color w:val="000000"/>
          <w:sz w:val="32"/>
          <w:szCs w:val="32"/>
        </w:rPr>
      </w:pPr>
      <w:r>
        <w:rPr>
          <w:rFonts w:hint="eastAsia" w:ascii="楷体_GB2312" w:eastAsia="楷体_GB2312"/>
          <w:bCs/>
          <w:sz w:val="32"/>
          <w:szCs w:val="32"/>
        </w:rPr>
        <w:t>（</w:t>
      </w:r>
      <w:r>
        <w:rPr>
          <w:rFonts w:hint="eastAsia" w:ascii="楷体_GB2312" w:eastAsia="楷体_GB2312"/>
          <w:bCs/>
          <w:sz w:val="32"/>
          <w:szCs w:val="32"/>
          <w:lang w:val="en-US" w:eastAsia="zh-CN"/>
        </w:rPr>
        <w:t>二</w:t>
      </w:r>
      <w:r>
        <w:rPr>
          <w:rFonts w:hint="eastAsia" w:ascii="楷体_GB2312" w:eastAsia="楷体_GB2312"/>
          <w:bCs/>
          <w:sz w:val="32"/>
          <w:szCs w:val="32"/>
        </w:rPr>
        <w:t>）</w:t>
      </w:r>
      <w:r>
        <w:rPr>
          <w:rFonts w:hint="eastAsia" w:ascii="仿宋" w:hAnsi="仿宋" w:eastAsia="仿宋"/>
          <w:color w:val="000000"/>
          <w:sz w:val="32"/>
          <w:szCs w:val="32"/>
        </w:rPr>
        <w:t>抓实教学教研师培管理，全面提升教学质量；</w:t>
      </w:r>
    </w:p>
    <w:p>
      <w:pPr>
        <w:widowControl/>
        <w:shd w:val="clear" w:color="auto" w:fill="FFFFFF"/>
        <w:ind w:firstLine="640"/>
        <w:rPr>
          <w:rFonts w:ascii="仿宋" w:hAnsi="仿宋" w:eastAsia="仿宋"/>
          <w:color w:val="000000"/>
          <w:sz w:val="32"/>
          <w:szCs w:val="32"/>
        </w:rPr>
      </w:pPr>
      <w:r>
        <w:rPr>
          <w:rFonts w:hint="eastAsia" w:ascii="楷体_GB2312" w:eastAsia="楷体_GB2312"/>
          <w:bCs/>
          <w:sz w:val="32"/>
          <w:szCs w:val="32"/>
        </w:rPr>
        <w:t>（</w:t>
      </w:r>
      <w:r>
        <w:rPr>
          <w:rFonts w:hint="eastAsia" w:ascii="楷体_GB2312" w:eastAsia="楷体_GB2312"/>
          <w:bCs/>
          <w:sz w:val="32"/>
          <w:szCs w:val="32"/>
          <w:lang w:val="en-US" w:eastAsia="zh-CN"/>
        </w:rPr>
        <w:t>三</w:t>
      </w:r>
      <w:r>
        <w:rPr>
          <w:rFonts w:hint="eastAsia" w:ascii="楷体_GB2312" w:eastAsia="楷体_GB2312"/>
          <w:bCs/>
          <w:sz w:val="32"/>
          <w:szCs w:val="32"/>
        </w:rPr>
        <w:t>）</w:t>
      </w:r>
      <w:r>
        <w:rPr>
          <w:rFonts w:hint="eastAsia" w:ascii="仿宋" w:hAnsi="仿宋" w:eastAsia="仿宋"/>
          <w:color w:val="000000"/>
          <w:sz w:val="32"/>
          <w:szCs w:val="32"/>
        </w:rPr>
        <w:t>狠抓师德师风建设，提高教师师德修养；</w:t>
      </w:r>
    </w:p>
    <w:p>
      <w:pPr>
        <w:widowControl/>
        <w:shd w:val="clear" w:color="auto" w:fill="FFFFFF"/>
        <w:ind w:firstLine="640"/>
        <w:rPr>
          <w:rFonts w:ascii="仿宋" w:hAnsi="仿宋" w:eastAsia="仿宋"/>
          <w:color w:val="000000"/>
          <w:sz w:val="32"/>
          <w:szCs w:val="32"/>
        </w:rPr>
      </w:pPr>
      <w:r>
        <w:rPr>
          <w:rFonts w:hint="eastAsia" w:ascii="楷体_GB2312" w:eastAsia="楷体_GB2312"/>
          <w:bCs/>
          <w:sz w:val="32"/>
          <w:szCs w:val="32"/>
        </w:rPr>
        <w:t>（</w:t>
      </w:r>
      <w:r>
        <w:rPr>
          <w:rFonts w:hint="eastAsia" w:ascii="楷体_GB2312" w:eastAsia="楷体_GB2312"/>
          <w:bCs/>
          <w:sz w:val="32"/>
          <w:szCs w:val="32"/>
          <w:lang w:val="en-US" w:eastAsia="zh-CN"/>
        </w:rPr>
        <w:t>四</w:t>
      </w:r>
      <w:r>
        <w:rPr>
          <w:rFonts w:hint="eastAsia" w:ascii="楷体_GB2312" w:eastAsia="楷体_GB2312"/>
          <w:bCs/>
          <w:sz w:val="32"/>
          <w:szCs w:val="32"/>
        </w:rPr>
        <w:t>）</w:t>
      </w:r>
      <w:r>
        <w:rPr>
          <w:rFonts w:hint="eastAsia" w:ascii="仿宋" w:hAnsi="仿宋" w:eastAsia="仿宋"/>
          <w:color w:val="000000"/>
          <w:sz w:val="32"/>
          <w:szCs w:val="32"/>
        </w:rPr>
        <w:t>健全安全责任网络，确保校园和谐平安；</w:t>
      </w:r>
    </w:p>
    <w:p>
      <w:pPr>
        <w:widowControl/>
        <w:shd w:val="clear" w:color="auto" w:fill="FFFFFF"/>
        <w:ind w:firstLine="640"/>
        <w:rPr>
          <w:rFonts w:ascii="仿宋" w:hAnsi="仿宋" w:eastAsia="仿宋"/>
          <w:color w:val="000000"/>
          <w:sz w:val="32"/>
          <w:szCs w:val="32"/>
        </w:rPr>
      </w:pPr>
      <w:r>
        <w:rPr>
          <w:rFonts w:hint="eastAsia" w:ascii="楷体_GB2312" w:eastAsia="楷体_GB2312"/>
          <w:bCs/>
          <w:sz w:val="32"/>
          <w:szCs w:val="32"/>
        </w:rPr>
        <w:t>（</w:t>
      </w:r>
      <w:r>
        <w:rPr>
          <w:rFonts w:hint="eastAsia" w:ascii="楷体_GB2312" w:eastAsia="楷体_GB2312"/>
          <w:bCs/>
          <w:sz w:val="32"/>
          <w:szCs w:val="32"/>
          <w:lang w:val="en-US" w:eastAsia="zh-CN"/>
        </w:rPr>
        <w:t>五</w:t>
      </w:r>
      <w:r>
        <w:rPr>
          <w:rFonts w:hint="eastAsia" w:ascii="楷体_GB2312" w:eastAsia="楷体_GB2312"/>
          <w:bCs/>
          <w:sz w:val="32"/>
          <w:szCs w:val="32"/>
        </w:rPr>
        <w:t>）</w:t>
      </w:r>
      <w:r>
        <w:rPr>
          <w:rFonts w:hint="eastAsia" w:ascii="仿宋" w:hAnsi="仿宋" w:eastAsia="仿宋"/>
          <w:color w:val="000000"/>
          <w:sz w:val="32"/>
          <w:szCs w:val="32"/>
        </w:rPr>
        <w:t>规范后勤财务管理，提高服务育人质量；</w:t>
      </w:r>
    </w:p>
    <w:p>
      <w:pPr>
        <w:widowControl/>
        <w:shd w:val="clear" w:color="auto" w:fill="FFFFFF"/>
        <w:ind w:firstLine="640"/>
        <w:rPr>
          <w:rFonts w:hint="eastAsia" w:ascii="黑体" w:hAnsi="黑体" w:eastAsia="黑体"/>
          <w:b w:val="0"/>
        </w:rPr>
      </w:pPr>
      <w:r>
        <w:rPr>
          <w:rFonts w:hint="eastAsia" w:ascii="楷体_GB2312" w:eastAsia="楷体_GB2312"/>
          <w:bCs/>
          <w:sz w:val="32"/>
          <w:szCs w:val="32"/>
        </w:rPr>
        <w:t>（</w:t>
      </w:r>
      <w:r>
        <w:rPr>
          <w:rFonts w:hint="eastAsia" w:ascii="楷体_GB2312" w:eastAsia="楷体_GB2312"/>
          <w:bCs/>
          <w:sz w:val="32"/>
          <w:szCs w:val="32"/>
          <w:lang w:val="en-US" w:eastAsia="zh-CN"/>
        </w:rPr>
        <w:t>六</w:t>
      </w:r>
      <w:r>
        <w:rPr>
          <w:rFonts w:hint="eastAsia" w:ascii="楷体_GB2312" w:eastAsia="楷体_GB2312"/>
          <w:bCs/>
          <w:sz w:val="32"/>
          <w:szCs w:val="32"/>
        </w:rPr>
        <w:t>）</w:t>
      </w:r>
      <w:r>
        <w:rPr>
          <w:rFonts w:hint="eastAsia" w:ascii="仿宋" w:hAnsi="仿宋" w:eastAsia="仿宋"/>
          <w:color w:val="000000"/>
          <w:sz w:val="32"/>
          <w:szCs w:val="32"/>
        </w:rPr>
        <w:t>开展课后服务活动，全面推进素质教育；</w:t>
      </w:r>
    </w:p>
    <w:p>
      <w:pPr>
        <w:pStyle w:val="3"/>
        <w:ind w:right="440"/>
        <w:jc w:val="center"/>
      </w:pPr>
      <w:r>
        <w:rPr>
          <w:rFonts w:hint="eastAsia" w:ascii="黑体" w:hAnsi="黑体" w:eastAsia="黑体"/>
          <w:b w:val="0"/>
        </w:rPr>
        <w:t>第二部分 2021年度</w:t>
      </w:r>
      <w:r>
        <w:rPr>
          <w:rStyle w:val="29"/>
          <w:rFonts w:hint="eastAsia" w:ascii="黑体" w:hAnsi="黑体" w:eastAsia="黑体"/>
          <w:b w:val="0"/>
          <w:bCs/>
        </w:rPr>
        <w:t>单位决算情况说明</w:t>
      </w:r>
      <w:bookmarkEnd w:id="16"/>
      <w:bookmarkEnd w:id="17"/>
    </w:p>
    <w:p>
      <w:pPr>
        <w:pStyle w:val="28"/>
        <w:numPr>
          <w:ilvl w:val="0"/>
          <w:numId w:val="2"/>
        </w:numPr>
        <w:spacing w:line="600" w:lineRule="exact"/>
        <w:ind w:firstLineChars="0"/>
        <w:outlineLvl w:val="1"/>
        <w:rPr>
          <w:rStyle w:val="30"/>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pPr>
        <w:spacing w:line="600" w:lineRule="exact"/>
        <w:ind w:firstLine="640" w:firstLineChars="200"/>
        <w:outlineLvl w:val="1"/>
        <w:rPr>
          <w:rFonts w:hint="eastAsia" w:eastAsia="宋体"/>
          <w:lang w:eastAsia="zh-CN"/>
        </w:rPr>
      </w:pPr>
      <w:r>
        <w:rPr>
          <w:rFonts w:hint="eastAsia" w:ascii="仿宋" w:hAnsi="仿宋" w:eastAsia="仿宋"/>
          <w:sz w:val="32"/>
          <w:szCs w:val="32"/>
        </w:rPr>
        <w:t>2021年度收、支总计</w:t>
      </w:r>
      <w:r>
        <w:rPr>
          <w:rFonts w:hint="eastAsia" w:ascii="仿宋" w:hAnsi="仿宋" w:eastAsia="仿宋"/>
          <w:sz w:val="32"/>
          <w:szCs w:val="32"/>
          <w:lang w:val="en-US" w:eastAsia="zh-CN"/>
        </w:rPr>
        <w:t>1055.09</w:t>
      </w:r>
      <w:r>
        <w:rPr>
          <w:rFonts w:hint="eastAsia" w:ascii="仿宋" w:hAnsi="仿宋" w:eastAsia="仿宋"/>
          <w:sz w:val="32"/>
          <w:szCs w:val="32"/>
        </w:rPr>
        <w:t>万元。与2020年相比，收、支总计各增加</w:t>
      </w:r>
      <w:r>
        <w:rPr>
          <w:rFonts w:hint="eastAsia" w:ascii="仿宋" w:hAnsi="仿宋" w:eastAsia="仿宋"/>
          <w:sz w:val="32"/>
          <w:szCs w:val="32"/>
          <w:lang w:val="en-US" w:eastAsia="zh-CN"/>
        </w:rPr>
        <w:t>53.58</w:t>
      </w:r>
      <w:r>
        <w:rPr>
          <w:rFonts w:hint="eastAsia" w:ascii="仿宋" w:hAnsi="仿宋" w:eastAsia="仿宋"/>
          <w:sz w:val="32"/>
          <w:szCs w:val="32"/>
        </w:rPr>
        <w:t>万元，增长</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35</w:t>
      </w:r>
      <w:r>
        <w:rPr>
          <w:rFonts w:ascii="仿宋" w:hAnsi="仿宋" w:eastAsia="仿宋"/>
          <w:sz w:val="32"/>
          <w:szCs w:val="32"/>
        </w:rPr>
        <w:t>%</w:t>
      </w:r>
      <w:r>
        <w:rPr>
          <w:rFonts w:hint="eastAsia" w:ascii="仿宋" w:hAnsi="仿宋" w:eastAsia="仿宋"/>
          <w:sz w:val="32"/>
          <w:szCs w:val="32"/>
        </w:rPr>
        <w:t>。主要变动原因是项目支出增加。</w:t>
      </w:r>
    </w:p>
    <w:p>
      <w:pPr>
        <w:pStyle w:val="28"/>
        <w:numPr>
          <w:ilvl w:val="0"/>
          <w:numId w:val="2"/>
        </w:numPr>
        <w:spacing w:line="600" w:lineRule="exact"/>
        <w:ind w:firstLineChars="0"/>
        <w:outlineLvl w:val="1"/>
        <w:rPr>
          <w:rStyle w:val="30"/>
          <w:rFonts w:ascii="黑体" w:hAnsi="黑体" w:eastAsia="黑体"/>
          <w:b w:val="0"/>
        </w:rPr>
      </w:pPr>
      <w:bookmarkStart w:id="20" w:name="_Toc15396604"/>
      <w:bookmarkStart w:id="21" w:name="_Toc15377206"/>
      <w:r>
        <w:rPr>
          <w:rFonts w:hint="eastAsia" w:eastAsia="宋体"/>
          <w:highlight w:val="yellow"/>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1055.09</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1053.57</w:t>
      </w:r>
      <w:r>
        <w:rPr>
          <w:rFonts w:hint="eastAsia" w:ascii="仿宋" w:hAnsi="仿宋" w:eastAsia="仿宋"/>
          <w:sz w:val="32"/>
          <w:szCs w:val="32"/>
        </w:rPr>
        <w:t>万元，占99.</w:t>
      </w:r>
      <w:r>
        <w:rPr>
          <w:rFonts w:hint="eastAsia" w:ascii="仿宋" w:hAnsi="仿宋" w:eastAsia="仿宋"/>
          <w:sz w:val="32"/>
          <w:szCs w:val="32"/>
          <w:lang w:val="en-US" w:eastAsia="zh-CN"/>
        </w:rPr>
        <w:t>86</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1.51</w:t>
      </w:r>
      <w:r>
        <w:rPr>
          <w:rFonts w:hint="eastAsia" w:ascii="仿宋" w:hAnsi="仿宋" w:eastAsia="仿宋"/>
          <w:sz w:val="32"/>
          <w:szCs w:val="32"/>
        </w:rPr>
        <w:t>万元，占0.</w:t>
      </w:r>
      <w:r>
        <w:rPr>
          <w:rFonts w:hint="eastAsia" w:ascii="仿宋" w:hAnsi="仿宋" w:eastAsia="仿宋"/>
          <w:sz w:val="32"/>
          <w:szCs w:val="32"/>
          <w:lang w:val="en-US" w:eastAsia="zh-CN"/>
        </w:rPr>
        <w:t>14</w:t>
      </w:r>
      <w:r>
        <w:rPr>
          <w:rFonts w:ascii="仿宋" w:hAnsi="仿宋" w:eastAsia="仿宋"/>
          <w:sz w:val="32"/>
          <w:szCs w:val="32"/>
        </w:rPr>
        <w:t>%</w:t>
      </w:r>
      <w:r>
        <w:rPr>
          <w:rFonts w:hint="eastAsia" w:ascii="仿宋" w:hAnsi="仿宋" w:eastAsia="仿宋"/>
          <w:sz w:val="32"/>
          <w:szCs w:val="32"/>
        </w:rPr>
        <w:t>。</w:t>
      </w:r>
    </w:p>
    <w:p>
      <w:pPr>
        <w:pStyle w:val="16"/>
        <w:rPr>
          <w:rFonts w:hint="eastAsia" w:eastAsia="宋体"/>
          <w:lang w:eastAsia="zh-CN"/>
        </w:rPr>
      </w:pPr>
      <w:r>
        <w:rPr>
          <w:rFonts w:hint="eastAsia" w:eastAsia="宋体"/>
          <w:lang w:eastAsia="zh-CN"/>
        </w:rPr>
        <w:drawing>
          <wp:anchor distT="0" distB="0" distL="114300" distR="114300" simplePos="0" relativeHeight="251661312" behindDoc="0" locked="0" layoutInCell="1" allowOverlap="1">
            <wp:simplePos x="0" y="0"/>
            <wp:positionH relativeFrom="column">
              <wp:posOffset>-47625</wp:posOffset>
            </wp:positionH>
            <wp:positionV relativeFrom="paragraph">
              <wp:posOffset>27305</wp:posOffset>
            </wp:positionV>
            <wp:extent cx="5584825" cy="252349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16"/>
        <w:ind w:left="0" w:leftChars="0" w:firstLine="640" w:firstLineChars="200"/>
        <w:rPr>
          <w:rStyle w:val="30"/>
          <w:rFonts w:ascii="黑体" w:hAnsi="黑体" w:eastAsia="黑体"/>
          <w:b w:val="0"/>
        </w:rPr>
      </w:pPr>
      <w:bookmarkStart w:id="22" w:name="_Toc15377207"/>
      <w:bookmarkStart w:id="23" w:name="_Toc15396605"/>
      <w:r>
        <w:rPr>
          <w:rFonts w:hint="eastAsia" w:ascii="黑体" w:hAnsi="黑体" w:eastAsia="黑体"/>
          <w:sz w:val="32"/>
          <w:szCs w:val="32"/>
          <w:lang w:eastAsia="zh-CN"/>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1055.09</w:t>
      </w:r>
      <w:r>
        <w:rPr>
          <w:rFonts w:hint="eastAsia" w:ascii="仿宋" w:hAnsi="仿宋" w:eastAsia="仿宋"/>
          <w:sz w:val="32"/>
          <w:szCs w:val="32"/>
        </w:rPr>
        <w:t>万元，其中：基本支出</w:t>
      </w:r>
      <w:r>
        <w:rPr>
          <w:rFonts w:hint="eastAsia" w:ascii="仿宋" w:hAnsi="仿宋" w:eastAsia="仿宋"/>
          <w:sz w:val="32"/>
          <w:szCs w:val="32"/>
          <w:lang w:val="en-US" w:eastAsia="zh-CN"/>
        </w:rPr>
        <w:t>763.57</w:t>
      </w:r>
      <w:r>
        <w:rPr>
          <w:rFonts w:hint="eastAsia" w:ascii="仿宋" w:hAnsi="仿宋" w:eastAsia="仿宋"/>
          <w:sz w:val="32"/>
          <w:szCs w:val="32"/>
        </w:rPr>
        <w:t>万元，占</w:t>
      </w:r>
      <w:r>
        <w:rPr>
          <w:rFonts w:hint="eastAsia" w:ascii="仿宋" w:hAnsi="仿宋" w:eastAsia="仿宋"/>
          <w:sz w:val="32"/>
          <w:szCs w:val="32"/>
          <w:lang w:val="en-US" w:eastAsia="zh-CN"/>
        </w:rPr>
        <w:t>72.37</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291.51</w:t>
      </w:r>
      <w:r>
        <w:rPr>
          <w:rFonts w:hint="eastAsia" w:ascii="仿宋" w:hAnsi="仿宋" w:eastAsia="仿宋"/>
          <w:sz w:val="32"/>
          <w:szCs w:val="32"/>
        </w:rPr>
        <w:t>万元，占</w:t>
      </w:r>
      <w:r>
        <w:rPr>
          <w:rFonts w:hint="eastAsia" w:ascii="仿宋" w:hAnsi="仿宋" w:eastAsia="仿宋"/>
          <w:sz w:val="32"/>
          <w:szCs w:val="32"/>
          <w:lang w:val="en-US" w:eastAsia="zh-CN"/>
        </w:rPr>
        <w:t>27.63</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1"/>
        <w:rPr>
          <w:rStyle w:val="30"/>
          <w:rFonts w:ascii="黑体" w:hAnsi="黑体" w:eastAsia="黑体"/>
          <w:b w:val="0"/>
        </w:rPr>
      </w:pPr>
      <w:bookmarkStart w:id="24" w:name="_Toc15377208"/>
      <w:bookmarkStart w:id="25" w:name="_Toc15396606"/>
      <w:r>
        <w:rPr>
          <w:rFonts w:hint="eastAsia" w:ascii="仿宋" w:hAnsi="仿宋" w:eastAsia="仿宋"/>
          <w:sz w:val="32"/>
          <w:szCs w:val="32"/>
          <w:shd w:val="pct10" w:color="auto" w:fill="FFFFFF"/>
        </w:rPr>
        <w:drawing>
          <wp:anchor distT="0" distB="0" distL="114300" distR="114300" simplePos="0" relativeHeight="251659264" behindDoc="0" locked="0" layoutInCell="1" allowOverlap="1">
            <wp:simplePos x="0" y="0"/>
            <wp:positionH relativeFrom="column">
              <wp:posOffset>-32385</wp:posOffset>
            </wp:positionH>
            <wp:positionV relativeFrom="paragraph">
              <wp:posOffset>127635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1055.09</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20年相比，财政拨款收、支总计各增加</w:t>
      </w:r>
      <w:r>
        <w:rPr>
          <w:rFonts w:hint="eastAsia" w:ascii="仿宋" w:hAnsi="仿宋" w:eastAsia="仿宋"/>
          <w:sz w:val="32"/>
          <w:szCs w:val="32"/>
          <w:lang w:val="en-US" w:eastAsia="zh-CN"/>
        </w:rPr>
        <w:t>53.58</w:t>
      </w:r>
      <w:r>
        <w:rPr>
          <w:rFonts w:hint="eastAsia" w:ascii="仿宋" w:hAnsi="仿宋" w:eastAsia="仿宋"/>
          <w:sz w:val="32"/>
          <w:szCs w:val="32"/>
        </w:rPr>
        <w:t>万元，增长</w:t>
      </w:r>
      <w:r>
        <w:rPr>
          <w:rFonts w:hint="eastAsia" w:ascii="仿宋" w:hAnsi="仿宋" w:eastAsia="仿宋"/>
          <w:sz w:val="32"/>
          <w:szCs w:val="32"/>
          <w:lang w:val="en-US" w:eastAsia="zh-CN"/>
        </w:rPr>
        <w:t>5.35</w:t>
      </w:r>
      <w:r>
        <w:rPr>
          <w:rFonts w:ascii="仿宋" w:hAnsi="仿宋" w:eastAsia="仿宋"/>
          <w:sz w:val="32"/>
          <w:szCs w:val="32"/>
        </w:rPr>
        <w:t>%</w:t>
      </w:r>
      <w:r>
        <w:rPr>
          <w:rFonts w:hint="eastAsia" w:ascii="仿宋" w:hAnsi="仿宋" w:eastAsia="仿宋"/>
          <w:sz w:val="32"/>
          <w:szCs w:val="32"/>
        </w:rPr>
        <w:t>。主要变动原因是项目支出增加。</w:t>
      </w:r>
    </w:p>
    <w:p>
      <w:pPr>
        <w:pStyle w:val="16"/>
      </w:pPr>
    </w:p>
    <w:p>
      <w:pPr>
        <w:spacing w:line="600" w:lineRule="exact"/>
        <w:ind w:firstLine="420" w:firstLineChars="200"/>
        <w:outlineLvl w:val="1"/>
        <w:rPr>
          <w:rStyle w:val="30"/>
          <w:rFonts w:ascii="黑体" w:hAnsi="黑体" w:eastAsia="黑体"/>
          <w:b w:val="0"/>
        </w:rPr>
      </w:pPr>
      <w:bookmarkStart w:id="26" w:name="_Toc15377209"/>
      <w:bookmarkStart w:id="27" w:name="_Toc15396607"/>
      <w:r>
        <w:rPr>
          <w:rFonts w:hint="eastAsia" w:eastAsia="宋体"/>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635</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rPr>
          <w:rFonts w:hint="eastAsia" w:ascii="仿宋" w:hAnsi="仿宋" w:eastAsia="仿宋"/>
          <w:b/>
          <w:sz w:val="32"/>
          <w:szCs w:val="32"/>
          <w:lang w:eastAsia="zh-CN"/>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1053.57</w:t>
      </w:r>
      <w:r>
        <w:rPr>
          <w:rFonts w:hint="eastAsia" w:ascii="仿宋" w:hAnsi="仿宋" w:eastAsia="仿宋"/>
          <w:sz w:val="32"/>
          <w:szCs w:val="32"/>
        </w:rPr>
        <w:t>万元，占本年支出合计的99.</w:t>
      </w:r>
      <w:r>
        <w:rPr>
          <w:rFonts w:hint="eastAsia" w:ascii="仿宋" w:hAnsi="仿宋" w:eastAsia="仿宋"/>
          <w:sz w:val="32"/>
          <w:szCs w:val="32"/>
          <w:lang w:val="en-US" w:eastAsia="zh-CN"/>
        </w:rPr>
        <w:t>86</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998.51</w:t>
      </w:r>
      <w:r>
        <w:rPr>
          <w:rFonts w:hint="eastAsia" w:ascii="仿宋" w:hAnsi="仿宋" w:eastAsia="仿宋"/>
          <w:sz w:val="32"/>
          <w:szCs w:val="32"/>
          <w:lang w:eastAsia="zh-CN"/>
        </w:rPr>
        <w:t>万元</w:t>
      </w:r>
      <w:r>
        <w:rPr>
          <w:rFonts w:hint="eastAsia" w:ascii="仿宋" w:hAnsi="仿宋" w:eastAsia="仿宋"/>
          <w:sz w:val="32"/>
          <w:szCs w:val="32"/>
        </w:rPr>
        <w:t>相比，一般公共预算财政拨款支出增加</w:t>
      </w:r>
      <w:r>
        <w:rPr>
          <w:rFonts w:hint="eastAsia" w:ascii="仿宋" w:hAnsi="仿宋" w:eastAsia="仿宋"/>
          <w:sz w:val="32"/>
          <w:szCs w:val="32"/>
          <w:lang w:val="en-US" w:eastAsia="zh-CN"/>
        </w:rPr>
        <w:t>55.06</w:t>
      </w:r>
      <w:r>
        <w:rPr>
          <w:rFonts w:hint="eastAsia" w:ascii="仿宋" w:hAnsi="仿宋" w:eastAsia="仿宋"/>
          <w:sz w:val="32"/>
          <w:szCs w:val="32"/>
        </w:rPr>
        <w:t>万元，增长</w:t>
      </w:r>
      <w:r>
        <w:rPr>
          <w:rFonts w:hint="eastAsia" w:ascii="仿宋" w:hAnsi="仿宋" w:eastAsia="仿宋"/>
          <w:sz w:val="32"/>
          <w:szCs w:val="32"/>
          <w:lang w:val="en-US" w:eastAsia="zh-CN"/>
        </w:rPr>
        <w:t>5.51</w:t>
      </w:r>
      <w:r>
        <w:rPr>
          <w:rFonts w:ascii="仿宋" w:hAnsi="仿宋" w:eastAsia="仿宋"/>
          <w:sz w:val="32"/>
          <w:szCs w:val="32"/>
        </w:rPr>
        <w:t>%</w:t>
      </w:r>
      <w:r>
        <w:rPr>
          <w:rFonts w:hint="eastAsia" w:ascii="仿宋" w:hAnsi="仿宋" w:eastAsia="仿宋"/>
          <w:sz w:val="32"/>
          <w:szCs w:val="32"/>
        </w:rPr>
        <w:t>。主要变动原因是项目支出增加。</w:t>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4909820" cy="1725930"/>
            <wp:effectExtent l="5080" t="4445" r="19050" b="2222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sz w:val="32"/>
          <w:szCs w:val="32"/>
        </w:rPr>
      </w:pPr>
      <w:r>
        <w:rPr>
          <w:rFonts w:hint="eastAsia" w:ascii="仿宋" w:hAnsi="仿宋" w:eastAsia="仿宋"/>
          <w:b/>
          <w:sz w:val="32"/>
          <w:szCs w:val="32"/>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1053.57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1053.57</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w:t>
      </w:r>
    </w:p>
    <w:p>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213"/>
      <w:bookmarkStart w:id="32" w:name="_Toc15377444"/>
      <w:bookmarkStart w:id="33" w:name="_Toc15378460"/>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1053.57万元</w:t>
      </w:r>
      <w:r>
        <w:rPr>
          <w:rFonts w:hint="eastAsia" w:ascii="仿宋" w:hAnsi="仿宋" w:eastAsia="仿宋"/>
          <w:sz w:val="32"/>
          <w:szCs w:val="32"/>
        </w:rPr>
        <w:t>，</w:t>
      </w:r>
      <w:r>
        <w:rPr>
          <w:rStyle w:val="19"/>
          <w:rFonts w:hint="eastAsia" w:ascii="仿宋" w:hAnsi="仿宋" w:eastAsia="仿宋"/>
          <w:bCs/>
          <w:sz w:val="32"/>
          <w:szCs w:val="32"/>
        </w:rPr>
        <w:t>完成预算100</w:t>
      </w:r>
      <w:r>
        <w:rPr>
          <w:rStyle w:val="19"/>
          <w:rFonts w:ascii="仿宋" w:hAnsi="仿宋" w:eastAsia="仿宋"/>
          <w:bCs/>
          <w:sz w:val="32"/>
          <w:szCs w:val="32"/>
        </w:rPr>
        <w:t>%</w:t>
      </w:r>
      <w:r>
        <w:rPr>
          <w:rStyle w:val="19"/>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sz w:val="32"/>
          <w:szCs w:val="32"/>
        </w:rPr>
        <w:t>1.教育205（类）普通教育02（款）</w:t>
      </w:r>
      <w:r>
        <w:rPr>
          <w:rStyle w:val="19"/>
          <w:rFonts w:hint="eastAsia" w:ascii="仿宋" w:hAnsi="仿宋" w:eastAsia="仿宋"/>
          <w:bCs/>
          <w:sz w:val="32"/>
          <w:szCs w:val="32"/>
          <w:lang w:val="en-US" w:eastAsia="zh-CN"/>
        </w:rPr>
        <w:t>初中</w:t>
      </w:r>
      <w:r>
        <w:rPr>
          <w:rStyle w:val="19"/>
          <w:rFonts w:hint="eastAsia" w:ascii="仿宋" w:hAnsi="仿宋" w:eastAsia="仿宋"/>
          <w:bCs/>
          <w:sz w:val="32"/>
          <w:szCs w:val="32"/>
        </w:rPr>
        <w:t>教育0</w:t>
      </w:r>
      <w:r>
        <w:rPr>
          <w:rStyle w:val="19"/>
          <w:rFonts w:hint="eastAsia" w:ascii="仿宋" w:hAnsi="仿宋" w:eastAsia="仿宋"/>
          <w:bCs/>
          <w:sz w:val="32"/>
          <w:szCs w:val="32"/>
          <w:lang w:val="en-US" w:eastAsia="zh-CN"/>
        </w:rPr>
        <w:t>3</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763.57</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sz w:val="32"/>
          <w:szCs w:val="32"/>
        </w:rPr>
      </w:pPr>
      <w:r>
        <w:rPr>
          <w:rStyle w:val="19"/>
          <w:rFonts w:hint="eastAsia" w:ascii="仿宋" w:hAnsi="仿宋" w:eastAsia="仿宋"/>
          <w:bCs/>
          <w:sz w:val="32"/>
          <w:szCs w:val="32"/>
        </w:rPr>
        <w:t>2</w:t>
      </w:r>
      <w:r>
        <w:rPr>
          <w:rStyle w:val="19"/>
          <w:rFonts w:ascii="仿宋" w:hAnsi="仿宋" w:eastAsia="仿宋"/>
          <w:bCs/>
          <w:sz w:val="32"/>
          <w:szCs w:val="32"/>
        </w:rPr>
        <w:t>.</w:t>
      </w:r>
      <w:r>
        <w:rPr>
          <w:rStyle w:val="19"/>
          <w:rFonts w:hint="eastAsia" w:ascii="仿宋" w:hAnsi="仿宋" w:eastAsia="仿宋"/>
          <w:bCs/>
          <w:sz w:val="32"/>
          <w:szCs w:val="32"/>
        </w:rPr>
        <w:t>教育205（类）普通教育02（款）</w:t>
      </w:r>
      <w:r>
        <w:rPr>
          <w:rStyle w:val="19"/>
          <w:rFonts w:hint="eastAsia" w:ascii="仿宋" w:hAnsi="仿宋" w:eastAsia="仿宋"/>
          <w:bCs/>
          <w:sz w:val="32"/>
          <w:szCs w:val="32"/>
          <w:lang w:eastAsia="zh-CN"/>
        </w:rPr>
        <w:t>其他</w:t>
      </w:r>
      <w:r>
        <w:rPr>
          <w:rStyle w:val="19"/>
          <w:rFonts w:hint="eastAsia" w:ascii="仿宋" w:hAnsi="仿宋" w:eastAsia="仿宋"/>
          <w:bCs/>
          <w:sz w:val="32"/>
          <w:szCs w:val="32"/>
          <w:lang w:val="en-US" w:eastAsia="zh-CN"/>
        </w:rPr>
        <w:t>普通</w:t>
      </w:r>
      <w:r>
        <w:rPr>
          <w:rStyle w:val="19"/>
          <w:rFonts w:hint="eastAsia" w:ascii="仿宋" w:hAnsi="仿宋" w:eastAsia="仿宋"/>
          <w:bCs/>
          <w:sz w:val="32"/>
          <w:szCs w:val="32"/>
        </w:rPr>
        <w:t>教育</w:t>
      </w:r>
      <w:r>
        <w:rPr>
          <w:rStyle w:val="19"/>
          <w:rFonts w:hint="eastAsia" w:ascii="仿宋" w:hAnsi="仿宋" w:eastAsia="仿宋"/>
          <w:bCs/>
          <w:sz w:val="32"/>
          <w:szCs w:val="32"/>
          <w:lang w:val="en-US" w:eastAsia="zh-CN"/>
        </w:rPr>
        <w:t>支出</w:t>
      </w:r>
      <w:r>
        <w:rPr>
          <w:rStyle w:val="19"/>
          <w:rFonts w:hint="eastAsia" w:ascii="仿宋" w:hAnsi="仿宋" w:eastAsia="仿宋"/>
          <w:bCs/>
          <w:sz w:val="32"/>
          <w:szCs w:val="32"/>
        </w:rPr>
        <w:t>0</w:t>
      </w:r>
      <w:r>
        <w:rPr>
          <w:rStyle w:val="19"/>
          <w:rFonts w:hint="eastAsia" w:ascii="仿宋" w:hAnsi="仿宋" w:eastAsia="仿宋"/>
          <w:bCs/>
          <w:sz w:val="32"/>
          <w:szCs w:val="32"/>
          <w:lang w:val="en-US" w:eastAsia="zh-CN"/>
        </w:rPr>
        <w:t>9</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290.00</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Style w:val="19"/>
          <w:rFonts w:hint="eastAsia" w:ascii="仿宋" w:hAnsi="仿宋" w:eastAsia="仿宋"/>
          <w:b w:val="0"/>
          <w:bCs/>
          <w:sz w:val="32"/>
          <w:szCs w:val="32"/>
          <w:lang w:eastAsia="zh-CN"/>
        </w:rPr>
        <w:t>，</w:t>
      </w:r>
      <w:r>
        <w:rPr>
          <w:rStyle w:val="19"/>
          <w:rFonts w:hint="eastAsia" w:ascii="仿宋" w:hAnsi="仿宋" w:eastAsia="仿宋"/>
          <w:b w:val="0"/>
          <w:bCs/>
          <w:color w:val="auto"/>
          <w:sz w:val="32"/>
          <w:szCs w:val="32"/>
          <w:highlight w:val="none"/>
        </w:rPr>
        <w:t>决算数等于预算数。</w:t>
      </w:r>
    </w:p>
    <w:p>
      <w:pPr>
        <w:pStyle w:val="16"/>
      </w:pPr>
    </w:p>
    <w:p>
      <w:pPr>
        <w:tabs>
          <w:tab w:val="right" w:pos="8306"/>
        </w:tabs>
        <w:spacing w:line="600" w:lineRule="exact"/>
        <w:ind w:firstLine="640"/>
        <w:outlineLvl w:val="1"/>
        <w:rPr>
          <w:rStyle w:val="30"/>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763.57</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617.02</w:t>
      </w:r>
      <w:r>
        <w:rPr>
          <w:rFonts w:hint="eastAsia" w:ascii="仿宋" w:hAnsi="仿宋" w:eastAsia="仿宋"/>
          <w:sz w:val="32"/>
          <w:szCs w:val="32"/>
        </w:rPr>
        <w:t>万元，主要包括：基本工资、津贴补贴、绩效工资、机关事业单位基本养老保险缴费、职业年金缴费、职工基本医疗保险缴费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其他社会保障缴费、住房公积金、其他工资福利支出、生活补助、助学金</w:t>
      </w:r>
      <w:r>
        <w:rPr>
          <w:rFonts w:hint="eastAsia" w:ascii="仿宋" w:hAnsi="仿宋" w:eastAsia="仿宋"/>
          <w:sz w:val="32"/>
          <w:szCs w:val="32"/>
          <w:lang w:eastAsia="zh-CN"/>
        </w:rPr>
        <w:t>、</w:t>
      </w:r>
      <w:r>
        <w:rPr>
          <w:rFonts w:hint="eastAsia" w:ascii="仿宋" w:hAnsi="仿宋" w:eastAsia="仿宋"/>
          <w:sz w:val="32"/>
          <w:szCs w:val="32"/>
        </w:rPr>
        <w:t>奖励金、其他对个人和家庭的补助支出等。</w:t>
      </w:r>
    </w:p>
    <w:p>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146.55</w:t>
      </w:r>
      <w:r>
        <w:rPr>
          <w:rFonts w:hint="eastAsia" w:ascii="仿宋" w:hAnsi="仿宋" w:eastAsia="仿宋"/>
          <w:sz w:val="32"/>
          <w:szCs w:val="32"/>
        </w:rPr>
        <w:t>万元，主要包括：办公费、印刷费、手续费、水费、电费、邮电费、差旅费、维修（护）费、培训费、公务接待费、</w:t>
      </w:r>
      <w:r>
        <w:rPr>
          <w:rFonts w:hint="eastAsia" w:ascii="仿宋" w:hAnsi="仿宋" w:eastAsia="仿宋"/>
          <w:sz w:val="32"/>
          <w:szCs w:val="32"/>
          <w:lang w:val="en-US" w:eastAsia="zh-CN"/>
        </w:rPr>
        <w:t>工会经费</w:t>
      </w:r>
      <w:r>
        <w:rPr>
          <w:rFonts w:hint="eastAsia" w:ascii="仿宋" w:hAnsi="仿宋" w:eastAsia="仿宋"/>
          <w:sz w:val="32"/>
          <w:szCs w:val="32"/>
        </w:rPr>
        <w:t>、</w:t>
      </w:r>
      <w:r>
        <w:rPr>
          <w:rFonts w:hint="eastAsia" w:ascii="仿宋" w:hAnsi="仿宋" w:eastAsia="仿宋"/>
          <w:sz w:val="32"/>
          <w:szCs w:val="32"/>
          <w:lang w:val="en-US" w:eastAsia="zh-CN"/>
        </w:rPr>
        <w:t>办公设备购置</w:t>
      </w:r>
      <w:r>
        <w:rPr>
          <w:rFonts w:hint="eastAsia" w:ascii="仿宋" w:hAnsi="仿宋" w:eastAsia="仿宋"/>
          <w:sz w:val="32"/>
          <w:szCs w:val="32"/>
        </w:rPr>
        <w:t>等。</w:t>
      </w:r>
    </w:p>
    <w:p>
      <w:pPr>
        <w:spacing w:line="600" w:lineRule="exact"/>
        <w:ind w:firstLine="640"/>
        <w:outlineLvl w:val="1"/>
        <w:rPr>
          <w:rStyle w:val="30"/>
          <w:rFonts w:ascii="黑体" w:hAnsi="黑体" w:eastAsia="黑体"/>
          <w:b w:val="0"/>
        </w:rPr>
      </w:pPr>
      <w:bookmarkStart w:id="36" w:name="_Toc15377215"/>
      <w:bookmarkStart w:id="37" w:name="_Toc15396609"/>
      <w:r>
        <w:rPr>
          <w:rFonts w:hint="eastAsia" w:ascii="黑体" w:eastAsia="黑体"/>
          <w:sz w:val="32"/>
          <w:szCs w:val="32"/>
        </w:rPr>
        <w:t>七、</w:t>
      </w:r>
      <w:r>
        <w:rPr>
          <w:rStyle w:val="30"/>
          <w:rFonts w:hint="eastAsia" w:ascii="黑体" w:hAnsi="黑体" w:eastAsia="黑体"/>
        </w:rPr>
        <w:t>“</w:t>
      </w:r>
      <w:r>
        <w:rPr>
          <w:rStyle w:val="30"/>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w:t>
      </w:r>
      <w:r>
        <w:rPr>
          <w:rFonts w:hint="eastAsia" w:ascii="仿宋" w:hAnsi="仿宋" w:eastAsia="仿宋"/>
          <w:sz w:val="32"/>
          <w:szCs w:val="32"/>
          <w:lang w:val="en-US" w:eastAsia="zh-CN"/>
        </w:rPr>
        <w:t>3.79</w:t>
      </w:r>
      <w:r>
        <w:rPr>
          <w:rFonts w:hint="eastAsia" w:ascii="仿宋" w:hAnsi="仿宋" w:eastAsia="仿宋"/>
          <w:sz w:val="32"/>
          <w:szCs w:val="32"/>
        </w:rPr>
        <w:t>万元，完成预算</w:t>
      </w:r>
      <w:r>
        <w:rPr>
          <w:rFonts w:hint="eastAsia" w:ascii="仿宋" w:hAnsi="仿宋" w:eastAsia="仿宋"/>
          <w:sz w:val="32"/>
          <w:szCs w:val="32"/>
          <w:lang w:val="en-US" w:eastAsia="zh-CN"/>
        </w:rPr>
        <w:t>98.44</w:t>
      </w:r>
      <w:r>
        <w:rPr>
          <w:rFonts w:ascii="仿宋" w:hAnsi="仿宋" w:eastAsia="仿宋"/>
          <w:sz w:val="32"/>
          <w:szCs w:val="32"/>
        </w:rPr>
        <w:t>%</w:t>
      </w:r>
      <w:r>
        <w:rPr>
          <w:rFonts w:hint="eastAsia" w:ascii="仿宋" w:hAnsi="仿宋" w:eastAsia="仿宋"/>
          <w:sz w:val="32"/>
          <w:szCs w:val="32"/>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000000"/>
          <w:sz w:val="32"/>
          <w:szCs w:val="32"/>
          <w:lang w:eastAsia="zh-CN"/>
        </w:rPr>
        <w:t>认真贯彻落实中央八项规定精神，采取有效措施严格控制接待范围和接待标准</w:t>
      </w:r>
      <w:r>
        <w:rPr>
          <w:rFonts w:hint="eastAsia" w:ascii="仿宋" w:hAnsi="仿宋" w:eastAsia="仿宋"/>
          <w:color w:val="000000"/>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firstLineChars="200"/>
        <w:rPr>
          <w:rFonts w:hint="eastAsia"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w:t>
      </w:r>
      <w:r>
        <w:rPr>
          <w:rFonts w:hint="eastAsia" w:ascii="仿宋" w:hAnsi="仿宋" w:eastAsia="仿宋"/>
          <w:color w:val="auto"/>
          <w:sz w:val="32"/>
          <w:szCs w:val="32"/>
        </w:rPr>
        <w:t>，当年未安排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公务用车购置及运行维护费支出决算0万元，当年未安排</w:t>
      </w:r>
      <w:r>
        <w:rPr>
          <w:rFonts w:hint="eastAsia" w:ascii="仿宋" w:hAnsi="仿宋" w:eastAsia="仿宋"/>
          <w:color w:val="auto"/>
          <w:sz w:val="32"/>
          <w:szCs w:val="32"/>
          <w:lang w:eastAsia="zh-CN"/>
        </w:rPr>
        <w:t>预算</w:t>
      </w:r>
      <w:r>
        <w:rPr>
          <w:rFonts w:hint="eastAsia" w:ascii="Times New Roman" w:hAnsi="Times New Roman" w:eastAsia="仿宋" w:cs="Times New Roman"/>
          <w:color w:val="auto"/>
          <w:sz w:val="32"/>
          <w:szCs w:val="32"/>
          <w:lang w:val="en-US" w:eastAsia="zh-CN"/>
        </w:rPr>
        <w:t>，与上年持平</w:t>
      </w:r>
      <w:r>
        <w:rPr>
          <w:rFonts w:hint="default" w:ascii="Times New Roman" w:hAnsi="Times New Roman" w:eastAsia="仿宋" w:cs="Times New Roman"/>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3.79</w:t>
      </w:r>
      <w:r>
        <w:rPr>
          <w:rFonts w:hint="eastAsia" w:ascii="仿宋" w:hAnsi="仿宋" w:eastAsia="仿宋"/>
          <w:color w:val="auto"/>
          <w:sz w:val="32"/>
          <w:szCs w:val="32"/>
        </w:rPr>
        <w:t>万元，占100</w:t>
      </w:r>
      <w:r>
        <w:rPr>
          <w:rFonts w:ascii="仿宋" w:hAnsi="仿宋" w:eastAsia="仿宋"/>
          <w:color w:val="auto"/>
          <w:sz w:val="32"/>
          <w:szCs w:val="32"/>
        </w:rPr>
        <w:t>%</w:t>
      </w:r>
      <w:r>
        <w:rPr>
          <w:rFonts w:hint="eastAsia" w:ascii="仿宋" w:hAnsi="仿宋" w:eastAsia="仿宋"/>
          <w:color w:val="auto"/>
          <w:sz w:val="32"/>
          <w:szCs w:val="32"/>
        </w:rPr>
        <w:t>。具体情况如下：</w:t>
      </w:r>
    </w:p>
    <w:p>
      <w:pPr>
        <w:spacing w:line="600" w:lineRule="exact"/>
        <w:ind w:firstLine="640"/>
        <w:rPr>
          <w:rFonts w:hint="eastAsia" w:ascii="仿宋_GB2312" w:eastAsia="仿宋_GB2312" w:cs="仿宋_GB2312"/>
          <w:b/>
          <w:bCs w:val="0"/>
          <w:color w:val="auto"/>
          <w:sz w:val="32"/>
          <w:szCs w:val="32"/>
          <w:lang w:val="en-US"/>
        </w:rPr>
      </w:pPr>
      <w:r>
        <w:rPr>
          <w:rFonts w:hint="eastAsia" w:ascii="仿宋" w:hAnsi="仿宋" w:eastAsia="仿宋"/>
          <w:color w:val="auto"/>
          <w:sz w:val="32"/>
          <w:szCs w:val="32"/>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-6986905</wp:posOffset>
            </wp:positionV>
            <wp:extent cx="5042535" cy="2142490"/>
            <wp:effectExtent l="4445" t="4445" r="20320" b="5715"/>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lang w:val="en-US" w:eastAsia="zh-CN" w:bidi="ar"/>
        </w:rPr>
        <w:t>1.因公出国（境）经费支出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lang w:val="en-US"/>
        </w:rPr>
      </w:pPr>
      <w:r>
        <w:rPr>
          <w:rFonts w:hint="eastAsia" w:ascii="仿宋_GB2312" w:hAnsi="Times New Roman" w:eastAsia="仿宋_GB2312" w:cs="仿宋_GB2312"/>
          <w:b/>
          <w:bCs w:val="0"/>
          <w:color w:val="auto"/>
          <w:kern w:val="2"/>
          <w:sz w:val="32"/>
          <w:szCs w:val="32"/>
          <w:lang w:val="en-US" w:eastAsia="zh-CN" w:bidi="ar"/>
        </w:rPr>
        <w:t>2.公务用车购置及运行维护费支出</w:t>
      </w:r>
      <w:r>
        <w:rPr>
          <w:rFonts w:hint="eastAsia" w:ascii="仿宋_GB2312" w:hAnsi="Times New Roman" w:eastAsia="仿宋_GB2312" w:cs="仿宋_GB2312"/>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FF0000"/>
          <w:sz w:val="32"/>
          <w:szCs w:val="32"/>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000000"/>
          <w:sz w:val="32"/>
          <w:szCs w:val="32"/>
          <w:lang w:val="en-US"/>
        </w:rPr>
      </w:pPr>
      <w:r>
        <w:rPr>
          <w:rFonts w:hint="eastAsia" w:ascii="仿宋_GB2312" w:hAnsi="Times New Roman" w:eastAsia="仿宋_GB2312" w:cs="仿宋_GB2312"/>
          <w:b/>
          <w:bCs/>
          <w:color w:val="000000"/>
          <w:kern w:val="2"/>
          <w:sz w:val="32"/>
          <w:szCs w:val="32"/>
          <w:lang w:val="en-US" w:eastAsia="zh-CN" w:bidi="ar"/>
        </w:rPr>
        <w:t>其中：</w:t>
      </w:r>
      <w:r>
        <w:rPr>
          <w:rFonts w:hint="eastAsia" w:ascii="仿宋_GB2312" w:hAnsi="Times New Roman" w:eastAsia="仿宋_GB2312" w:cs="仿宋_GB2312"/>
          <w:b/>
          <w:bCs w:val="0"/>
          <w:color w:val="000000"/>
          <w:kern w:val="2"/>
          <w:sz w:val="32"/>
          <w:szCs w:val="32"/>
          <w:lang w:val="en-US" w:eastAsia="zh-CN" w:bidi="ar"/>
        </w:rPr>
        <w:t>公务用车购置支出</w:t>
      </w:r>
      <w:r>
        <w:rPr>
          <w:rFonts w:hint="eastAsia" w:ascii="仿宋_GB2312" w:hAnsi="Times New Roman" w:eastAsia="仿宋_GB2312" w:cs="仿宋_GB2312"/>
          <w:bCs/>
          <w:color w:val="000000"/>
          <w:kern w:val="2"/>
          <w:sz w:val="32"/>
          <w:szCs w:val="32"/>
          <w:lang w:val="en-US" w:eastAsia="zh-CN" w:bidi="ar"/>
        </w:rPr>
        <w:t>0万元。</w:t>
      </w:r>
      <w:r>
        <w:rPr>
          <w:rFonts w:hint="eastAsia" w:ascii="仿宋_GB2312" w:eastAsia="仿宋_GB2312" w:cs="仿宋_GB2312"/>
          <w:bCs/>
          <w:color w:val="000000"/>
          <w:kern w:val="2"/>
          <w:sz w:val="32"/>
          <w:szCs w:val="32"/>
          <w:lang w:val="en-US" w:eastAsia="zh-CN" w:bidi="ar"/>
        </w:rPr>
        <w:t>全年按规定更新购置公务用车0辆，</w:t>
      </w:r>
      <w:r>
        <w:rPr>
          <w:rFonts w:hint="eastAsia" w:ascii="仿宋_GB2312" w:eastAsia="仿宋_GB2312" w:cs="仿宋_GB2312"/>
          <w:color w:val="000000"/>
          <w:kern w:val="2"/>
          <w:sz w:val="32"/>
          <w:szCs w:val="32"/>
          <w:lang w:val="en-US" w:eastAsia="zh-CN" w:bidi="ar"/>
        </w:rPr>
        <w:t>主要原因是我单位未购置公务用车。</w:t>
      </w:r>
      <w:r>
        <w:rPr>
          <w:rFonts w:hint="eastAsia" w:ascii="仿宋_GB2312" w:eastAsia="仿宋_GB2312" w:cs="仿宋_GB2312"/>
          <w:bCs/>
          <w:color w:val="000000"/>
          <w:kern w:val="2"/>
          <w:sz w:val="32"/>
          <w:szCs w:val="32"/>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pPr>
      <w:r>
        <w:rPr>
          <w:rFonts w:hint="eastAsia" w:ascii="仿宋_GB2312" w:hAnsi="Times New Roman" w:eastAsia="仿宋_GB2312" w:cs="仿宋_GB2312"/>
          <w:b/>
          <w:bCs w:val="0"/>
          <w:color w:val="000000"/>
          <w:kern w:val="2"/>
          <w:sz w:val="32"/>
          <w:szCs w:val="32"/>
          <w:lang w:val="en-US" w:eastAsia="zh-CN" w:bidi="ar"/>
        </w:rPr>
        <w:t>公务用车运行维护费支出</w:t>
      </w:r>
      <w:r>
        <w:rPr>
          <w:rFonts w:hint="eastAsia" w:ascii="仿宋_GB2312" w:hAnsi="Times New Roman" w:eastAsia="仿宋_GB2312" w:cs="仿宋_GB2312"/>
          <w:color w:val="000000"/>
          <w:kern w:val="2"/>
          <w:sz w:val="32"/>
          <w:szCs w:val="32"/>
          <w:lang w:val="en-US" w:eastAsia="zh-CN" w:bidi="ar"/>
        </w:rPr>
        <w:t>0万元。</w:t>
      </w:r>
      <w:r>
        <w:rPr>
          <w:rFonts w:hint="eastAsia" w:ascii="仿宋_GB2312" w:eastAsia="仿宋_GB2312" w:cs="仿宋_GB2312"/>
          <w:color w:val="000000"/>
          <w:kern w:val="2"/>
          <w:sz w:val="32"/>
          <w:szCs w:val="32"/>
          <w:lang w:val="en-US" w:eastAsia="zh-CN" w:bidi="ar"/>
        </w:rPr>
        <w:t>主要原因是我单位无公务用车。</w:t>
      </w:r>
    </w:p>
    <w:p>
      <w:pPr>
        <w:spacing w:line="600" w:lineRule="exact"/>
        <w:ind w:firstLine="640"/>
        <w:rPr>
          <w:rFonts w:hint="default" w:ascii="Times New Roman" w:hAnsi="Times New Roman" w:eastAsia="仿宋" w:cs="Times New Roman"/>
          <w:sz w:val="32"/>
          <w:szCs w:val="32"/>
        </w:rPr>
      </w:pPr>
      <w:r>
        <w:rPr>
          <w:rFonts w:ascii="仿宋_GB2312" w:eastAsia="仿宋_GB2312"/>
          <w:b/>
          <w:bCs w:val="0"/>
          <w:sz w:val="32"/>
          <w:szCs w:val="32"/>
        </w:rPr>
        <w:t>3.</w:t>
      </w:r>
      <w:r>
        <w:rPr>
          <w:rFonts w:hint="default" w:ascii="Times New Roman" w:hAnsi="Times New Roman" w:eastAsia="仿宋" w:cs="Times New Roman"/>
          <w:b/>
          <w:bCs w:val="0"/>
          <w:sz w:val="32"/>
          <w:szCs w:val="32"/>
        </w:rPr>
        <w:t>公务接待费支出</w:t>
      </w:r>
      <w:r>
        <w:rPr>
          <w:rFonts w:hint="eastAsia" w:ascii="仿宋" w:hAnsi="仿宋" w:eastAsia="仿宋"/>
          <w:sz w:val="32"/>
          <w:szCs w:val="32"/>
          <w:lang w:val="en-US" w:eastAsia="zh-CN"/>
        </w:rPr>
        <w:t>3.79</w:t>
      </w:r>
      <w:r>
        <w:rPr>
          <w:rFonts w:hint="eastAsia" w:ascii="仿宋" w:hAnsi="仿宋" w:eastAsia="仿宋"/>
          <w:sz w:val="32"/>
          <w:szCs w:val="32"/>
        </w:rPr>
        <w:t>万元，完成预算</w:t>
      </w:r>
      <w:r>
        <w:rPr>
          <w:rFonts w:hint="eastAsia" w:ascii="仿宋" w:hAnsi="仿宋" w:eastAsia="仿宋"/>
          <w:sz w:val="32"/>
          <w:szCs w:val="32"/>
          <w:lang w:val="en-US" w:eastAsia="zh-CN"/>
        </w:rPr>
        <w:t>98</w:t>
      </w:r>
      <w:r>
        <w:rPr>
          <w:rFonts w:hint="eastAsia" w:ascii="仿宋" w:hAnsi="仿宋" w:eastAsia="仿宋"/>
          <w:color w:val="auto"/>
          <w:sz w:val="32"/>
          <w:szCs w:val="32"/>
          <w:highlight w:val="none"/>
          <w:lang w:val="en-US" w:eastAsia="zh-CN"/>
        </w:rPr>
        <w:t>.44</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比2020年增加0.25万元，增长7.06%</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sz w:val="32"/>
          <w:szCs w:val="32"/>
          <w:lang w:eastAsia="zh-CN"/>
        </w:rPr>
        <w:t>主要原因是</w:t>
      </w:r>
      <w:r>
        <w:rPr>
          <w:rFonts w:hint="eastAsia" w:ascii="仿宋_GB2312" w:eastAsia="仿宋_GB2312"/>
          <w:color w:val="auto"/>
          <w:sz w:val="32"/>
          <w:szCs w:val="32"/>
          <w:highlight w:val="none"/>
          <w:lang w:val="en-US" w:eastAsia="zh-CN"/>
        </w:rPr>
        <w:t>接待量增加</w:t>
      </w:r>
      <w:r>
        <w:rPr>
          <w:rFonts w:hint="eastAsia" w:ascii="仿宋" w:hAnsi="仿宋" w:eastAsia="仿宋"/>
          <w:color w:val="000000"/>
          <w:sz w:val="32"/>
          <w:szCs w:val="32"/>
        </w:rPr>
        <w:t>。</w:t>
      </w:r>
      <w:r>
        <w:rPr>
          <w:rFonts w:hint="default" w:ascii="Times New Roman" w:hAnsi="Times New Roman" w:eastAsia="仿宋" w:cs="Times New Roman"/>
          <w:sz w:val="32"/>
          <w:szCs w:val="32"/>
        </w:rPr>
        <w:t>其中：</w:t>
      </w:r>
    </w:p>
    <w:p>
      <w:pPr>
        <w:spacing w:line="600" w:lineRule="exact"/>
        <w:ind w:firstLine="640"/>
        <w:rPr>
          <w:rFonts w:hint="default" w:ascii="Times New Roman" w:hAnsi="Times New Roman" w:eastAsia="仿宋" w:cs="Times New Roman"/>
          <w:color w:val="0000FF"/>
          <w:sz w:val="32"/>
          <w:szCs w:val="32"/>
          <w:lang w:val="en-US" w:eastAsia="zh-CN"/>
        </w:rPr>
      </w:pPr>
      <w:r>
        <w:rPr>
          <w:rFonts w:hint="default" w:ascii="Times New Roman" w:hAnsi="Times New Roman" w:eastAsia="仿宋" w:cs="Times New Roman"/>
          <w:b/>
          <w:bCs/>
          <w:sz w:val="32"/>
          <w:szCs w:val="32"/>
        </w:rPr>
        <w:t>国内公务接待支出</w:t>
      </w:r>
      <w:r>
        <w:rPr>
          <w:rFonts w:hint="eastAsia" w:eastAsia="仿宋" w:cs="Times New Roman"/>
          <w:sz w:val="32"/>
          <w:szCs w:val="32"/>
          <w:lang w:val="en-US" w:eastAsia="zh-CN"/>
        </w:rPr>
        <w:t>3.79</w:t>
      </w:r>
      <w:r>
        <w:rPr>
          <w:rFonts w:hint="default" w:ascii="Times New Roman" w:hAnsi="Times New Roman" w:eastAsia="仿宋" w:cs="Times New Roman"/>
          <w:sz w:val="32"/>
          <w:szCs w:val="32"/>
        </w:rPr>
        <w:t>万元，主要用于</w:t>
      </w:r>
      <w:r>
        <w:rPr>
          <w:rFonts w:hint="eastAsia" w:ascii="Times New Roman" w:hAnsi="Times New Roman" w:eastAsia="仿宋" w:cs="Times New Roman"/>
          <w:sz w:val="32"/>
          <w:szCs w:val="32"/>
          <w:lang w:eastAsia="zh-CN"/>
        </w:rPr>
        <w:t>接待上级来访、</w:t>
      </w:r>
      <w:r>
        <w:rPr>
          <w:rFonts w:hint="eastAsia" w:ascii="仿宋_GB2312" w:hAnsi="Times New Roman" w:eastAsia="仿宋_GB2312" w:cs="Times New Roman"/>
          <w:color w:val="000000"/>
          <w:kern w:val="2"/>
          <w:sz w:val="32"/>
          <w:szCs w:val="32"/>
          <w:lang w:val="en-US" w:eastAsia="zh-CN" w:bidi="ar"/>
        </w:rPr>
        <w:t>教育教学活动</w:t>
      </w:r>
      <w:r>
        <w:rPr>
          <w:rFonts w:hint="eastAsia" w:ascii="仿宋_GB2312" w:eastAsia="仿宋_GB2312" w:cs="Times New Roman"/>
          <w:color w:val="000000"/>
          <w:kern w:val="2"/>
          <w:sz w:val="32"/>
          <w:szCs w:val="32"/>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sz w:val="32"/>
          <w:szCs w:val="32"/>
        </w:rPr>
        <w:t>。国内公务接待</w:t>
      </w:r>
      <w:r>
        <w:rPr>
          <w:rFonts w:hint="eastAsia" w:eastAsia="仿宋" w:cs="Times New Roman"/>
          <w:sz w:val="32"/>
          <w:szCs w:val="32"/>
          <w:highlight w:val="none"/>
          <w:lang w:val="en-US" w:eastAsia="zh-CN"/>
        </w:rPr>
        <w:t>211</w:t>
      </w:r>
      <w:r>
        <w:rPr>
          <w:rFonts w:hint="default" w:ascii="Times New Roman" w:hAnsi="Times New Roman" w:eastAsia="仿宋" w:cs="Times New Roman"/>
          <w:sz w:val="32"/>
          <w:szCs w:val="32"/>
          <w:highlight w:val="none"/>
        </w:rPr>
        <w:t>批次，</w:t>
      </w:r>
      <w:r>
        <w:rPr>
          <w:rFonts w:hint="eastAsia" w:eastAsia="仿宋" w:cs="Times New Roman"/>
          <w:sz w:val="32"/>
          <w:szCs w:val="32"/>
          <w:highlight w:val="none"/>
          <w:lang w:val="en-US" w:eastAsia="zh-CN"/>
        </w:rPr>
        <w:t>647</w:t>
      </w:r>
      <w:r>
        <w:rPr>
          <w:rFonts w:hint="default" w:ascii="Times New Roman" w:hAnsi="Times New Roman" w:eastAsia="仿宋" w:cs="Times New Roman"/>
          <w:sz w:val="32"/>
          <w:szCs w:val="32"/>
          <w:highlight w:val="none"/>
        </w:rPr>
        <w:t>人次</w:t>
      </w:r>
      <w:r>
        <w:rPr>
          <w:rFonts w:hint="default" w:ascii="Times New Roman" w:hAnsi="Times New Roman" w:eastAsia="仿宋" w:cs="Times New Roman"/>
          <w:sz w:val="32"/>
          <w:szCs w:val="32"/>
        </w:rPr>
        <w:t>（不包括陪同人员），共计支出</w:t>
      </w:r>
      <w:r>
        <w:rPr>
          <w:rFonts w:hint="eastAsia" w:eastAsia="仿宋" w:cs="Times New Roman"/>
          <w:sz w:val="32"/>
          <w:szCs w:val="32"/>
          <w:lang w:val="en-US" w:eastAsia="zh-CN"/>
        </w:rPr>
        <w:t>3.79</w:t>
      </w:r>
      <w:r>
        <w:rPr>
          <w:rFonts w:hint="default" w:ascii="Times New Roman" w:hAnsi="Times New Roman" w:eastAsia="仿宋" w:cs="Times New Roman"/>
          <w:sz w:val="32"/>
          <w:szCs w:val="32"/>
        </w:rPr>
        <w:t>万</w:t>
      </w:r>
      <w:r>
        <w:rPr>
          <w:rFonts w:hint="default" w:ascii="Times New Roman" w:hAnsi="Times New Roman" w:eastAsia="仿宋" w:cs="Times New Roman"/>
          <w:color w:val="auto"/>
          <w:sz w:val="32"/>
          <w:szCs w:val="32"/>
        </w:rPr>
        <w:t>元</w:t>
      </w:r>
      <w:r>
        <w:rPr>
          <w:rFonts w:hint="eastAsia" w:eastAsia="仿宋" w:cs="Times New Roman"/>
          <w:color w:val="auto"/>
          <w:sz w:val="32"/>
          <w:szCs w:val="32"/>
          <w:lang w:eastAsia="zh-CN"/>
        </w:rPr>
        <w:t>，具体内容包括</w:t>
      </w:r>
      <w:r>
        <w:rPr>
          <w:rFonts w:hint="eastAsia" w:ascii="Times New Roman" w:hAnsi="Times New Roman" w:eastAsia="仿宋" w:cs="Times New Roman"/>
          <w:color w:val="auto"/>
          <w:sz w:val="32"/>
          <w:szCs w:val="32"/>
          <w:lang w:eastAsia="zh-CN"/>
        </w:rPr>
        <w:t>接待上级来访</w:t>
      </w:r>
      <w:r>
        <w:rPr>
          <w:rFonts w:hint="eastAsia" w:eastAsia="仿宋" w:cs="Times New Roman"/>
          <w:color w:val="auto"/>
          <w:sz w:val="32"/>
          <w:szCs w:val="32"/>
          <w:lang w:val="en-US" w:eastAsia="zh-CN"/>
        </w:rPr>
        <w:t>0</w:t>
      </w:r>
      <w:r>
        <w:rPr>
          <w:rFonts w:hint="eastAsia" w:eastAsia="仿宋" w:cs="Times New Roman"/>
          <w:sz w:val="32"/>
          <w:szCs w:val="32"/>
          <w:highlight w:val="none"/>
          <w:lang w:val="en-US" w:eastAsia="zh-CN"/>
        </w:rPr>
        <w:t>.5万元、教育教学活动交流1.6万元、学生活动费及运动会学生用餐、交通费、体检费等1.69万</w:t>
      </w:r>
      <w:r>
        <w:rPr>
          <w:rFonts w:hint="eastAsia" w:ascii="仿宋_GB2312" w:eastAsia="仿宋_GB2312"/>
          <w:color w:val="auto"/>
          <w:sz w:val="32"/>
          <w:szCs w:val="32"/>
          <w:highlight w:val="none"/>
          <w:lang w:val="en-US" w:eastAsia="zh-CN"/>
        </w:rPr>
        <w:t>元。</w:t>
      </w:r>
    </w:p>
    <w:p>
      <w:pPr>
        <w:spacing w:line="6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sz w:val="32"/>
          <w:szCs w:val="32"/>
        </w:rPr>
        <w:t>外事接待支出</w:t>
      </w:r>
      <w:r>
        <w:rPr>
          <w:rFonts w:hint="eastAsia" w:ascii="仿宋_GB2312" w:hAnsi="Times New Roman" w:eastAsia="仿宋_GB2312" w:cs="仿宋_GB2312"/>
          <w:color w:val="000000"/>
          <w:kern w:val="2"/>
          <w:sz w:val="32"/>
          <w:szCs w:val="32"/>
          <w:lang w:val="en-US" w:eastAsia="zh-CN" w:bidi="ar"/>
        </w:rPr>
        <w:t>决算与2020年持平</w:t>
      </w:r>
      <w:r>
        <w:rPr>
          <w:rFonts w:hint="eastAsia" w:ascii="Times New Roman" w:hAnsi="Times New Roman" w:eastAsia="仿宋" w:cs="Times New Roman"/>
          <w:sz w:val="32"/>
          <w:szCs w:val="32"/>
        </w:rPr>
        <w:t>。</w:t>
      </w:r>
    </w:p>
    <w:p>
      <w:pPr>
        <w:spacing w:line="600" w:lineRule="exact"/>
        <w:outlineLvl w:val="1"/>
        <w:rPr>
          <w:rFonts w:ascii="黑体" w:eastAsia="黑体"/>
          <w:sz w:val="32"/>
          <w:szCs w:val="32"/>
        </w:rPr>
      </w:pPr>
      <w:bookmarkStart w:id="40" w:name="_Toc15377218"/>
      <w:bookmarkStart w:id="41" w:name="_Toc15396610"/>
    </w:p>
    <w:p>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1.51</w:t>
      </w:r>
      <w:r>
        <w:rPr>
          <w:rFonts w:hint="eastAsia" w:ascii="仿宋_GB2312" w:eastAsia="仿宋_GB2312"/>
          <w:sz w:val="32"/>
          <w:szCs w:val="32"/>
        </w:rPr>
        <w:t>万元。</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年本单位未在政府性基金预算拨款安排“三公”经费支出</w:t>
      </w:r>
      <w:r>
        <w:rPr>
          <w:rFonts w:hint="eastAsia" w:ascii="仿宋_GB2312" w:eastAsia="仿宋_GB2312"/>
          <w:color w:val="auto"/>
          <w:sz w:val="32"/>
          <w:szCs w:val="32"/>
          <w:highlight w:val="none"/>
        </w:rPr>
        <w:t>。</w:t>
      </w:r>
    </w:p>
    <w:p>
      <w:pPr>
        <w:pStyle w:val="16"/>
      </w:pPr>
    </w:p>
    <w:p>
      <w:pPr>
        <w:numPr>
          <w:ilvl w:val="0"/>
          <w:numId w:val="3"/>
        </w:numPr>
        <w:spacing w:line="600" w:lineRule="exact"/>
        <w:ind w:firstLine="640"/>
        <w:outlineLvl w:val="1"/>
        <w:rPr>
          <w:rStyle w:val="30"/>
          <w:rFonts w:ascii="黑体" w:hAnsi="黑体" w:eastAsia="黑体"/>
          <w:b w:val="0"/>
        </w:rPr>
      </w:pPr>
      <w:bookmarkStart w:id="42" w:name="_Toc15377219"/>
      <w:bookmarkStart w:id="43" w:name="_Toc15396611"/>
      <w:r>
        <w:rPr>
          <w:rStyle w:val="30"/>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21年国有资本经营预算财政拨款支出0万元，年初未安排预算。</w:t>
      </w:r>
    </w:p>
    <w:p>
      <w:pPr>
        <w:spacing w:line="580" w:lineRule="exact"/>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30"/>
          <w:rFonts w:ascii="黑体" w:hAnsi="黑体" w:eastAsia="黑体"/>
          <w:b w:val="0"/>
        </w:rPr>
      </w:pPr>
      <w:bookmarkStart w:id="44" w:name="_Toc15377221"/>
      <w:bookmarkStart w:id="45" w:name="_Toc15396612"/>
      <w:r>
        <w:rPr>
          <w:rStyle w:val="30"/>
          <w:rFonts w:hint="eastAsia" w:ascii="黑体" w:hAnsi="黑体" w:eastAsia="黑体"/>
          <w:b w:val="0"/>
        </w:rPr>
        <w:t>预算绩效管理情况</w:t>
      </w:r>
    </w:p>
    <w:p>
      <w:pPr>
        <w:spacing w:line="58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sz w:val="32"/>
          <w:szCs w:val="32"/>
          <w:highlight w:val="none"/>
          <w:lang w:eastAsia="zh-CN"/>
        </w:rPr>
        <w:t>对追加预算</w:t>
      </w:r>
      <w:r>
        <w:rPr>
          <w:rFonts w:hint="eastAsia" w:ascii="仿宋_GB2312" w:hAnsi="仿宋_GB2312" w:eastAsia="仿宋_GB2312" w:cs="仿宋_GB2312"/>
          <w:color w:val="auto"/>
          <w:sz w:val="32"/>
          <w:szCs w:val="32"/>
          <w:highlight w:val="none"/>
          <w:lang w:eastAsia="zh-CN"/>
        </w:rPr>
        <w:t>乡村少年宫运行经费项目和校舍维修项目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pPr>
    </w:p>
    <w:p>
      <w:pPr>
        <w:numPr>
          <w:ilvl w:val="0"/>
          <w:numId w:val="3"/>
        </w:numPr>
        <w:spacing w:line="600" w:lineRule="exact"/>
        <w:ind w:firstLine="640"/>
        <w:outlineLvl w:val="1"/>
        <w:rPr>
          <w:rStyle w:val="30"/>
          <w:rFonts w:ascii="黑体" w:hAnsi="黑体" w:eastAsia="黑体"/>
          <w:b w:val="0"/>
        </w:rPr>
      </w:pPr>
      <w:r>
        <w:rPr>
          <w:rStyle w:val="30"/>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000000"/>
          <w:sz w:val="32"/>
          <w:szCs w:val="32"/>
          <w:lang w:val="en-US"/>
        </w:rPr>
      </w:pPr>
      <w:bookmarkStart w:id="47" w:name="_Toc15377223"/>
      <w:r>
        <w:rPr>
          <w:rFonts w:hint="eastAsia" w:ascii="仿宋_GB2312" w:hAnsi="Times New Roman" w:eastAsia="仿宋_GB2312" w:cs="仿宋_GB2312"/>
          <w:color w:val="000000"/>
          <w:kern w:val="2"/>
          <w:sz w:val="32"/>
          <w:szCs w:val="32"/>
          <w:lang w:val="en-US" w:eastAsia="zh-CN" w:bidi="ar"/>
        </w:rPr>
        <w:t>202</w:t>
      </w:r>
      <w:r>
        <w:rPr>
          <w:rFonts w:hint="eastAsia" w:ascii="仿宋_GB2312" w:eastAsia="仿宋_GB2312" w:cs="仿宋_GB2312"/>
          <w:color w:val="000000"/>
          <w:kern w:val="2"/>
          <w:sz w:val="32"/>
          <w:szCs w:val="32"/>
          <w:lang w:val="en-US" w:eastAsia="zh-CN" w:bidi="ar"/>
        </w:rPr>
        <w:t>1</w:t>
      </w:r>
      <w:r>
        <w:rPr>
          <w:rFonts w:hint="eastAsia" w:ascii="仿宋_GB2312" w:hAnsi="Times New Roman" w:eastAsia="仿宋_GB2312" w:cs="仿宋_GB2312"/>
          <w:color w:val="000000"/>
          <w:kern w:val="2"/>
          <w:sz w:val="32"/>
          <w:szCs w:val="32"/>
          <w:lang w:val="en-US" w:eastAsia="zh-CN" w:bidi="ar"/>
        </w:rPr>
        <w:t>年，</w:t>
      </w:r>
      <w:r>
        <w:rPr>
          <w:rFonts w:hint="eastAsia" w:ascii="仿宋_GB2312" w:hAnsi="Times New Roman" w:eastAsia="仿宋_GB2312" w:cs="仿宋_GB2312"/>
          <w:kern w:val="2"/>
          <w:sz w:val="32"/>
          <w:szCs w:val="32"/>
          <w:lang w:val="en-US" w:eastAsia="zh-CN" w:bidi="ar"/>
        </w:rPr>
        <w:t>我部门</w:t>
      </w:r>
      <w:r>
        <w:rPr>
          <w:rFonts w:hint="eastAsia" w:ascii="仿宋_GB2312" w:eastAsia="仿宋_GB2312" w:cs="仿宋_GB2312"/>
          <w:kern w:val="2"/>
          <w:sz w:val="32"/>
          <w:szCs w:val="32"/>
          <w:lang w:val="en-US" w:eastAsia="zh-CN" w:bidi="ar"/>
        </w:rPr>
        <w:t>机关</w:t>
      </w:r>
      <w:r>
        <w:rPr>
          <w:rFonts w:hint="eastAsia" w:ascii="仿宋_GB2312" w:hAnsi="Times New Roman" w:eastAsia="仿宋_GB2312" w:cs="仿宋_GB2312"/>
          <w:color w:val="000000"/>
          <w:kern w:val="2"/>
          <w:sz w:val="32"/>
          <w:szCs w:val="32"/>
          <w:lang w:val="en-US" w:eastAsia="zh-CN" w:bidi="ar"/>
        </w:rPr>
        <w:t>运行经费支出0元，</w:t>
      </w:r>
      <w:r>
        <w:rPr>
          <w:rFonts w:hint="eastAsia" w:ascii="仿宋_GB2312" w:eastAsia="仿宋_GB2312" w:cs="仿宋_GB2312"/>
          <w:color w:val="000000"/>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000000"/>
          <w:kern w:val="2"/>
          <w:sz w:val="32"/>
          <w:szCs w:val="32"/>
          <w:lang w:val="en-US" w:eastAsia="zh-CN" w:bidi="ar"/>
        </w:rPr>
        <w:t>。主要原因是本单位为事业单位，</w:t>
      </w:r>
      <w:r>
        <w:rPr>
          <w:rFonts w:hint="eastAsia" w:ascii="仿宋_GB2312" w:eastAsia="仿宋_GB2312" w:cs="仿宋_GB2312"/>
          <w:color w:val="000000"/>
          <w:kern w:val="2"/>
          <w:sz w:val="32"/>
          <w:szCs w:val="32"/>
          <w:lang w:val="en-US" w:eastAsia="zh-CN" w:bidi="ar"/>
        </w:rPr>
        <w:t>未发生</w:t>
      </w:r>
      <w:r>
        <w:rPr>
          <w:rFonts w:hint="eastAsia" w:ascii="仿宋_GB2312" w:hAnsi="Times New Roman" w:eastAsia="仿宋_GB2312" w:cs="仿宋_GB2312"/>
          <w:color w:val="000000"/>
          <w:kern w:val="2"/>
          <w:sz w:val="32"/>
          <w:szCs w:val="32"/>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pPr>
        <w:spacing w:line="600" w:lineRule="exact"/>
        <w:ind w:firstLine="640" w:firstLineChars="200"/>
        <w:rPr>
          <w:rFonts w:hint="default" w:ascii="仿宋_GB2312" w:eastAsia="仿宋_GB2312"/>
          <w:sz w:val="32"/>
          <w:szCs w:val="32"/>
          <w:highlight w:val="yellow"/>
          <w:lang w:val="en-US" w:eastAsia="zh-CN"/>
        </w:rPr>
      </w:pPr>
      <w:r>
        <w:rPr>
          <w:rFonts w:ascii="仿宋_GB2312" w:eastAsia="仿宋_GB2312"/>
          <w:sz w:val="32"/>
          <w:szCs w:val="32"/>
        </w:rPr>
        <w:t>20</w:t>
      </w:r>
      <w:r>
        <w:rPr>
          <w:rFonts w:hint="eastAsia" w:ascii="仿宋_GB2312" w:eastAsia="仿宋_GB2312"/>
          <w:sz w:val="32"/>
          <w:szCs w:val="32"/>
        </w:rPr>
        <w:t>21年，我单位政府采购支出</w:t>
      </w:r>
      <w:r>
        <w:rPr>
          <w:rFonts w:hint="eastAsia" w:ascii="仿宋_GB2312" w:eastAsia="仿宋_GB2312"/>
          <w:color w:val="000000"/>
          <w:sz w:val="32"/>
          <w:szCs w:val="32"/>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000000"/>
          <w:kern w:val="2"/>
          <w:sz w:val="32"/>
          <w:szCs w:val="32"/>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000000"/>
          <w:kern w:val="2"/>
          <w:sz w:val="32"/>
          <w:szCs w:val="32"/>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4"/>
        </w:numPr>
        <w:spacing w:line="600" w:lineRule="exact"/>
        <w:ind w:firstLine="660" w:firstLineChars="150"/>
        <w:jc w:val="center"/>
        <w:outlineLvl w:val="0"/>
        <w:rPr>
          <w:rStyle w:val="29"/>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9"/>
          <w:rFonts w:hint="eastAsia" w:ascii="黑体" w:hAnsi="黑体" w:eastAsia="黑体"/>
          <w:b w:val="0"/>
        </w:rPr>
        <w:t>词解释</w:t>
      </w:r>
      <w:bookmarkEnd w:id="49"/>
      <w:bookmarkEnd w:id="50"/>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教育（类）普通教育（款）</w:t>
      </w:r>
      <w:r>
        <w:rPr>
          <w:rFonts w:hint="eastAsia" w:ascii="仿宋_GB2312" w:eastAsia="仿宋_GB2312"/>
          <w:sz w:val="32"/>
          <w:szCs w:val="32"/>
          <w:lang w:val="en-US" w:eastAsia="zh-CN"/>
        </w:rPr>
        <w:t>初中</w:t>
      </w:r>
      <w:r>
        <w:rPr>
          <w:rFonts w:hint="eastAsia" w:ascii="仿宋_GB2312" w:eastAsia="仿宋_GB2312"/>
          <w:sz w:val="32"/>
          <w:szCs w:val="32"/>
        </w:rPr>
        <w:t>教育（项）：指</w:t>
      </w:r>
      <w:r>
        <w:rPr>
          <w:rFonts w:hint="eastAsia" w:ascii="仿宋_GB2312" w:eastAsia="仿宋_GB2312"/>
          <w:sz w:val="32"/>
          <w:szCs w:val="32"/>
          <w:lang w:val="en-US" w:eastAsia="zh-CN"/>
        </w:rPr>
        <w:t>初中</w:t>
      </w:r>
      <w:r>
        <w:rPr>
          <w:rFonts w:hint="eastAsia" w:ascii="仿宋_GB2312" w:eastAsia="仿宋_GB2312"/>
          <w:sz w:val="32"/>
          <w:szCs w:val="32"/>
        </w:rPr>
        <w:t>教育</w:t>
      </w:r>
      <w:r>
        <w:rPr>
          <w:rFonts w:hint="eastAsia" w:ascii="仿宋_GB2312" w:eastAsia="仿宋_GB2312"/>
          <w:sz w:val="32"/>
          <w:szCs w:val="32"/>
          <w:lang w:eastAsia="zh-CN"/>
        </w:rPr>
        <w:t>支出</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7.教育（类）普通教育（款）（款）其他</w:t>
      </w:r>
      <w:r>
        <w:rPr>
          <w:rFonts w:hint="eastAsia" w:ascii="仿宋_GB2312" w:eastAsia="仿宋_GB2312"/>
          <w:sz w:val="32"/>
          <w:szCs w:val="32"/>
          <w:lang w:val="en-US" w:eastAsia="zh-CN"/>
        </w:rPr>
        <w:t>普通</w:t>
      </w:r>
      <w:r>
        <w:rPr>
          <w:rFonts w:hint="eastAsia" w:ascii="仿宋_GB2312" w:eastAsia="仿宋_GB2312"/>
          <w:sz w:val="32"/>
          <w:szCs w:val="32"/>
        </w:rPr>
        <w:t>教育</w:t>
      </w:r>
      <w:r>
        <w:rPr>
          <w:rFonts w:hint="eastAsia" w:ascii="仿宋_GB2312" w:eastAsia="仿宋_GB2312"/>
          <w:sz w:val="32"/>
          <w:szCs w:val="32"/>
          <w:lang w:val="en-US" w:eastAsia="zh-CN"/>
        </w:rPr>
        <w:t>支出</w:t>
      </w:r>
      <w:r>
        <w:rPr>
          <w:rFonts w:hint="eastAsia" w:ascii="仿宋_GB2312" w:eastAsia="仿宋_GB2312"/>
          <w:sz w:val="32"/>
          <w:szCs w:val="32"/>
        </w:rPr>
        <w:t>（项）：</w:t>
      </w:r>
      <w:r>
        <w:rPr>
          <w:rFonts w:hint="eastAsia" w:ascii="仿宋_GB2312" w:eastAsia="仿宋_GB2312"/>
          <w:color w:val="auto"/>
          <w:sz w:val="32"/>
          <w:szCs w:val="32"/>
          <w:highlight w:val="none"/>
          <w:lang w:val="en-US" w:eastAsia="zh-CN"/>
        </w:rPr>
        <w:t>指其他普通教育支出</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8.</w:t>
      </w:r>
      <w:r>
        <w:rPr>
          <w:rFonts w:hint="eastAsia" w:ascii="仿宋_GB2312" w:hAnsi="Calibri" w:eastAsia="仿宋_GB2312" w:cs="仿宋"/>
          <w:color w:val="000000"/>
          <w:kern w:val="0"/>
          <w:sz w:val="32"/>
          <w:szCs w:val="32"/>
          <w:lang w:val="en-US" w:eastAsia="zh-CN" w:bidi="ar-SA"/>
        </w:rPr>
        <w:t>其他支出（类）彩票公益金安排的支出（款）用于体育事业的彩票公益金支出（项）：指</w:t>
      </w:r>
      <w:r>
        <w:rPr>
          <w:rFonts w:hint="eastAsia" w:ascii="仿宋_GB2312" w:hAnsi="Calibri" w:eastAsia="仿宋_GB2312" w:cs="仿宋"/>
          <w:color w:val="000000"/>
          <w:kern w:val="0"/>
          <w:sz w:val="32"/>
          <w:szCs w:val="32"/>
          <w:lang w:val="en-US" w:eastAsia="zh-CN"/>
        </w:rPr>
        <w:t>用于教育事业的彩票公益金支出。</w:t>
      </w:r>
    </w:p>
    <w:p>
      <w:pPr>
        <w:numPr>
          <w:ilvl w:val="0"/>
          <w:numId w:val="0"/>
        </w:numPr>
        <w:spacing w:line="60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lang w:val="en-US" w:eastAsia="zh-CN"/>
        </w:rPr>
      </w:pPr>
      <w:r>
        <w:rPr>
          <w:rFonts w:hint="eastAsia" w:ascii="仿宋_GB2312" w:hAnsi="Calibri" w:eastAsia="仿宋_GB2312" w:cs="仿宋"/>
          <w:color w:val="000000"/>
          <w:kern w:val="0"/>
          <w:sz w:val="32"/>
          <w:szCs w:val="32"/>
          <w:lang w:val="en-US" w:eastAsia="zh-CN" w:bidi="ar-SA"/>
        </w:rPr>
        <w:t>10.社会保障和就业支出（类）其他社会保障和就业支出（款）其他社会保障和就业支出（项）: 指其他用于社会保障和就业方面的支出。</w:t>
      </w:r>
    </w:p>
    <w:p>
      <w:pPr>
        <w:pStyle w:val="2"/>
        <w:ind w:firstLine="640" w:firstLineChars="200"/>
      </w:pPr>
      <w:r>
        <w:rPr>
          <w:rFonts w:hint="eastAsia" w:hAnsi="Calibri" w:cs="仿宋"/>
          <w:color w:val="000000"/>
          <w:kern w:val="0"/>
          <w:sz w:val="32"/>
          <w:szCs w:val="32"/>
          <w:lang w:val="en-US" w:eastAsia="zh-CN"/>
        </w:rPr>
        <w:t>11.</w:t>
      </w:r>
      <w:r>
        <w:rPr>
          <w:rFonts w:hint="eastAsia" w:ascii="仿宋_GB2312" w:hAnsi="Calibri" w:eastAsia="仿宋_GB2312" w:cs="仿宋"/>
          <w:color w:val="000000"/>
          <w:kern w:val="0"/>
          <w:sz w:val="32"/>
          <w:szCs w:val="32"/>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pPr>
      <w:r>
        <w:rPr>
          <w:rFonts w:hint="eastAsia" w:hAnsi="Calibri" w:cs="仿宋"/>
          <w:color w:val="000000"/>
          <w:kern w:val="0"/>
          <w:sz w:val="32"/>
          <w:szCs w:val="32"/>
          <w:lang w:val="en-US" w:eastAsia="zh-CN"/>
        </w:rPr>
        <w:t>12.</w:t>
      </w:r>
      <w:r>
        <w:rPr>
          <w:rFonts w:hint="eastAsia" w:ascii="仿宋_GB2312" w:hAnsi="Calibri" w:eastAsia="仿宋_GB2312" w:cs="仿宋"/>
          <w:color w:val="000000"/>
          <w:kern w:val="0"/>
          <w:sz w:val="32"/>
          <w:szCs w:val="32"/>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7"/>
        <w:spacing w:line="56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9"/>
          <w:rFonts w:hint="eastAsia" w:ascii="黑体" w:hAnsi="黑体" w:eastAsia="黑体"/>
          <w:b w:val="0"/>
          <w:color w:val="auto"/>
        </w:rPr>
        <w:t>四部分 附件</w:t>
      </w:r>
      <w:bookmarkEnd w:id="52"/>
    </w:p>
    <w:p>
      <w:pPr>
        <w:spacing w:line="572" w:lineRule="exact"/>
        <w:jc w:val="left"/>
        <w:outlineLvl w:val="0"/>
        <w:rPr>
          <w:rFonts w:hint="eastAsia" w:ascii="仿宋_GB2312" w:hAnsi="仿宋_GB2312" w:eastAsia="黑体" w:cs="仿宋_GB2312"/>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sz w:val="32"/>
                <w:szCs w:val="32"/>
                <w:lang w:eastAsia="zh-CN"/>
              </w:rPr>
            </w:pPr>
            <w:bookmarkStart w:id="53" w:name="_Toc15396618"/>
            <w:r>
              <w:rPr>
                <w:rFonts w:hint="eastAsia" w:ascii="宋体" w:hAnsi="宋体" w:cs="宋体"/>
                <w:b/>
                <w:sz w:val="32"/>
                <w:szCs w:val="32"/>
              </w:rPr>
              <w:t>2021年部门预算项目绩效目标自评</w:t>
            </w:r>
            <w:r>
              <w:rPr>
                <w:rFonts w:hint="eastAsia" w:ascii="宋体" w:hAnsi="宋体" w:cs="宋体"/>
                <w:b/>
                <w:sz w:val="32"/>
                <w:szCs w:val="32"/>
                <w:lang w:eastAsia="zh-CN"/>
              </w:rPr>
              <w:t>（乡村少年宫运行经费）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sz w:val="24"/>
                <w:lang w:val="en-US" w:eastAsia="zh-CN"/>
              </w:rPr>
            </w:pPr>
            <w:r>
              <w:rPr>
                <w:rFonts w:hint="eastAsia" w:ascii="宋体" w:hAnsi="宋体" w:cs="宋体"/>
                <w:sz w:val="24"/>
                <w:lang w:val="en-US" w:eastAsia="zh-CN"/>
              </w:rPr>
              <w:t>360303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sz w:val="24"/>
                <w:lang w:eastAsia="zh-CN"/>
              </w:rPr>
            </w:pPr>
            <w:r>
              <w:rPr>
                <w:rFonts w:hint="eastAsia" w:ascii="宋体" w:hAnsi="宋体" w:cs="宋体"/>
                <w:sz w:val="24"/>
                <w:lang w:eastAsia="zh-CN"/>
              </w:rPr>
              <w:t>广元市昭化区卫子初级中学</w:t>
            </w:r>
          </w:p>
        </w:tc>
      </w:tr>
      <w:tr>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1.51</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lang w:val="en-US"/>
              </w:rPr>
            </w:pPr>
            <w:r>
              <w:rPr>
                <w:rFonts w:hint="eastAsia" w:ascii="宋体" w:hAnsi="宋体" w:cs="宋体"/>
                <w:sz w:val="24"/>
                <w:lang w:val="en-US" w:eastAsia="zh-CN"/>
              </w:rPr>
              <w:t>1.51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lang w:val="en-US"/>
              </w:rPr>
            </w:pPr>
            <w:r>
              <w:rPr>
                <w:rFonts w:hint="eastAsia" w:ascii="宋体" w:hAnsi="宋体" w:cs="宋体"/>
                <w:sz w:val="24"/>
                <w:lang w:val="en-US" w:eastAsia="zh-CN"/>
              </w:rPr>
              <w:t>1.51</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sz w:val="24"/>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sz w:val="24"/>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sz w:val="24"/>
              </w:rPr>
            </w:pPr>
            <w:r>
              <w:rPr>
                <w:rFonts w:hint="default" w:ascii="宋体" w:hAnsi="宋体" w:cs="宋体"/>
                <w:sz w:val="22"/>
                <w:szCs w:val="22"/>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sz w:val="24"/>
                <w:lang w:eastAsia="zh-CN"/>
              </w:rPr>
            </w:pPr>
            <w:r>
              <w:rPr>
                <w:rFonts w:hint="eastAsia" w:ascii="宋体" w:hAnsi="宋体" w:eastAsia="宋体" w:cs="宋体"/>
                <w:sz w:val="22"/>
                <w:szCs w:val="22"/>
                <w:lang w:eastAsia="zh-CN"/>
              </w:rPr>
              <w:t>保障了乡村</w:t>
            </w:r>
            <w:r>
              <w:rPr>
                <w:rFonts w:hint="default" w:ascii="宋体" w:hAnsi="宋体" w:eastAsia="宋体" w:cs="宋体"/>
                <w:sz w:val="22"/>
                <w:szCs w:val="22"/>
              </w:rPr>
              <w:t>少年宫</w:t>
            </w:r>
            <w:r>
              <w:rPr>
                <w:rFonts w:hint="eastAsia" w:ascii="宋体" w:hAnsi="宋体" w:eastAsia="宋体" w:cs="宋体"/>
                <w:sz w:val="22"/>
                <w:szCs w:val="22"/>
                <w:lang w:eastAsia="zh-CN"/>
              </w:rPr>
              <w:t>的</w:t>
            </w:r>
            <w:r>
              <w:rPr>
                <w:rFonts w:hint="default" w:ascii="宋体" w:hAnsi="宋体" w:eastAsia="宋体" w:cs="宋体"/>
                <w:sz w:val="22"/>
                <w:szCs w:val="22"/>
              </w:rPr>
              <w:t>正常运转。满足</w:t>
            </w:r>
            <w:r>
              <w:rPr>
                <w:rFonts w:hint="eastAsia" w:ascii="宋体" w:hAnsi="宋体" w:eastAsia="宋体" w:cs="宋体"/>
                <w:sz w:val="22"/>
                <w:szCs w:val="22"/>
                <w:lang w:eastAsia="zh-CN"/>
              </w:rPr>
              <w:t>了</w:t>
            </w:r>
            <w:r>
              <w:rPr>
                <w:rFonts w:hint="default" w:ascii="宋体" w:hAnsi="宋体" w:eastAsia="宋体" w:cs="宋体"/>
                <w:sz w:val="22"/>
                <w:szCs w:val="22"/>
              </w:rPr>
              <w:t>学生精神文化需求、促进</w:t>
            </w:r>
            <w:r>
              <w:rPr>
                <w:rFonts w:hint="eastAsia" w:ascii="宋体" w:hAnsi="宋体" w:eastAsia="宋体" w:cs="宋体"/>
                <w:sz w:val="22"/>
                <w:szCs w:val="22"/>
                <w:lang w:eastAsia="zh-CN"/>
              </w:rPr>
              <w:t>了</w:t>
            </w:r>
            <w:r>
              <w:rPr>
                <w:rFonts w:hint="default" w:ascii="宋体" w:hAnsi="宋体" w:eastAsia="宋体" w:cs="宋体"/>
                <w:sz w:val="22"/>
                <w:szCs w:val="22"/>
              </w:rPr>
              <w:t>学生全面发展</w:t>
            </w:r>
            <w:r>
              <w:rPr>
                <w:rFonts w:hint="eastAsia" w:ascii="宋体" w:hAnsi="宋体" w:eastAsia="宋体" w:cs="宋体"/>
                <w:sz w:val="22"/>
                <w:szCs w:val="22"/>
                <w:lang w:eastAsia="zh-CN"/>
              </w:rPr>
              <w:t>，是</w:t>
            </w:r>
            <w:r>
              <w:rPr>
                <w:rFonts w:hint="default" w:ascii="宋体" w:hAnsi="宋体" w:eastAsia="宋体" w:cs="宋体"/>
                <w:sz w:val="22"/>
                <w:szCs w:val="22"/>
              </w:rPr>
              <w:t>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eastAsia="zh-CN"/>
              </w:rPr>
            </w:pPr>
            <w:r>
              <w:rPr>
                <w:rFonts w:hint="default" w:ascii="仿宋_GB2312" w:hAnsi="仿宋_GB2312" w:eastAsia="仿宋_GB2312" w:cs="仿宋_GB2312"/>
                <w:sz w:val="20"/>
                <w:szCs w:val="20"/>
              </w:rPr>
              <w:t>科学设置项目</w:t>
            </w:r>
            <w:r>
              <w:rPr>
                <w:rFonts w:hint="eastAsia" w:ascii="仿宋_GB2312" w:hAnsi="仿宋_GB2312" w:eastAsia="仿宋_GB2312" w:cs="仿宋_GB2312"/>
                <w:sz w:val="20"/>
                <w:szCs w:val="20"/>
                <w:lang w:eastAsia="zh-CN"/>
              </w:rPr>
              <w:t>，</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运行</w:t>
            </w:r>
            <w:r>
              <w:rPr>
                <w:rFonts w:hint="default" w:ascii="仿宋_GB2312" w:hAnsi="仿宋_GB2312" w:eastAsia="仿宋_GB2312" w:cs="仿宋_GB2312"/>
                <w:sz w:val="20"/>
                <w:szCs w:val="20"/>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运行经费</w:t>
            </w:r>
            <w:r>
              <w:rPr>
                <w:rFonts w:hint="eastAsia" w:ascii="仿宋_GB2312" w:hAnsi="仿宋_GB2312" w:eastAsia="仿宋_GB2312" w:cs="仿宋_GB2312"/>
                <w:sz w:val="20"/>
                <w:szCs w:val="20"/>
                <w:lang w:eastAsia="zh-CN"/>
              </w:rPr>
              <w:t>年</w:t>
            </w:r>
            <w:r>
              <w:rPr>
                <w:rFonts w:hint="default" w:ascii="仿宋_GB2312" w:hAnsi="仿宋_GB2312" w:eastAsia="仿宋_GB2312" w:cs="仿宋_GB2312"/>
                <w:sz w:val="20"/>
                <w:szCs w:val="20"/>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1.51万元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1.51万元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97%</w:t>
            </w:r>
          </w:p>
        </w:tc>
      </w:tr>
    </w:tbl>
    <w:p>
      <w:pPr>
        <w:rPr>
          <w:rFonts w:hint="eastAsia" w:ascii="黑体" w:hAnsi="黑体" w:eastAsia="黑体"/>
          <w:sz w:val="44"/>
          <w:szCs w:val="44"/>
        </w:rPr>
      </w:pPr>
      <w:r>
        <w:rPr>
          <w:rFonts w:hint="eastAsia" w:ascii="黑体" w:hAnsi="黑体" w:eastAsia="黑体"/>
          <w:sz w:val="44"/>
          <w:szCs w:val="44"/>
        </w:rPr>
        <w:br w:type="page"/>
      </w:r>
    </w:p>
    <w:p>
      <w:pPr>
        <w:spacing w:line="572" w:lineRule="exact"/>
        <w:jc w:val="left"/>
        <w:outlineLvl w:val="0"/>
        <w:rPr>
          <w:rFonts w:hint="eastAsia" w:ascii="仿宋_GB2312" w:hAnsi="仿宋_GB2312" w:eastAsia="黑体" w:cs="仿宋_GB2312"/>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bl>
      <w:tblPr>
        <w:tblStyle w:val="17"/>
        <w:tblpPr w:leftFromText="180" w:rightFromText="180" w:vertAnchor="text" w:horzAnchor="page" w:tblpX="1702" w:tblpY="109"/>
        <w:tblOverlap w:val="never"/>
        <w:tblW w:w="9434" w:type="dxa"/>
        <w:tblInd w:w="0" w:type="dxa"/>
        <w:tblLayout w:type="fixed"/>
        <w:tblCellMar>
          <w:top w:w="0" w:type="dxa"/>
          <w:left w:w="108" w:type="dxa"/>
          <w:bottom w:w="0" w:type="dxa"/>
          <w:right w:w="108" w:type="dxa"/>
        </w:tblCellMar>
      </w:tblPr>
      <w:tblGrid>
        <w:gridCol w:w="1110"/>
        <w:gridCol w:w="1002"/>
        <w:gridCol w:w="1212"/>
        <w:gridCol w:w="2380"/>
        <w:gridCol w:w="1175"/>
        <w:gridCol w:w="2319"/>
        <w:gridCol w:w="236"/>
      </w:tblGrid>
      <w:tr>
        <w:tblPrEx>
          <w:tblCellMar>
            <w:top w:w="0" w:type="dxa"/>
            <w:left w:w="108" w:type="dxa"/>
            <w:bottom w:w="0" w:type="dxa"/>
            <w:right w:w="108" w:type="dxa"/>
          </w:tblCellMar>
        </w:tblPrEx>
        <w:trPr>
          <w:trHeight w:val="743" w:hRule="atLeast"/>
        </w:trPr>
        <w:tc>
          <w:tcPr>
            <w:tcW w:w="919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sz w:val="32"/>
                <w:szCs w:val="32"/>
                <w:lang w:eastAsia="zh-CN"/>
              </w:rPr>
            </w:pPr>
            <w:r>
              <w:rPr>
                <w:rFonts w:hint="eastAsia" w:ascii="宋体" w:hAnsi="宋体" w:cs="宋体"/>
                <w:b/>
                <w:sz w:val="32"/>
                <w:szCs w:val="32"/>
              </w:rPr>
              <w:t>2021年部门预算项目绩效目标自评</w:t>
            </w:r>
            <w:r>
              <w:rPr>
                <w:rFonts w:hint="eastAsia" w:ascii="宋体" w:hAnsi="宋体" w:cs="宋体"/>
                <w:b/>
                <w:sz w:val="32"/>
                <w:szCs w:val="32"/>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kern w:val="0"/>
                <w:sz w:val="32"/>
                <w:szCs w:val="32"/>
              </w:rPr>
            </w:pPr>
          </w:p>
        </w:tc>
      </w:tr>
      <w:tr>
        <w:tblPrEx>
          <w:tblCellMar>
            <w:top w:w="0" w:type="dxa"/>
            <w:left w:w="108" w:type="dxa"/>
            <w:bottom w:w="0" w:type="dxa"/>
            <w:right w:w="108" w:type="dxa"/>
          </w:tblCellMar>
        </w:tblPrEx>
        <w:trPr>
          <w:gridAfter w:val="1"/>
          <w:wAfter w:w="236" w:type="dxa"/>
          <w:trHeight w:val="653" w:hRule="atLeast"/>
        </w:trPr>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主管部门及代码</w:t>
            </w:r>
          </w:p>
        </w:tc>
        <w:tc>
          <w:tcPr>
            <w:tcW w:w="35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sz w:val="24"/>
                <w:lang w:val="en-US" w:eastAsia="zh-CN"/>
              </w:rPr>
            </w:pPr>
            <w:r>
              <w:rPr>
                <w:rFonts w:hint="eastAsia" w:ascii="宋体" w:hAnsi="宋体" w:cs="宋体"/>
                <w:sz w:val="24"/>
                <w:lang w:val="en-US" w:eastAsia="zh-CN"/>
              </w:rPr>
              <w:t>360303</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实施单位</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sz w:val="24"/>
                <w:lang w:eastAsia="zh-CN"/>
              </w:rPr>
            </w:pPr>
            <w:r>
              <w:rPr>
                <w:rFonts w:hint="eastAsia" w:ascii="宋体" w:hAnsi="宋体" w:cs="宋体"/>
                <w:sz w:val="24"/>
                <w:lang w:eastAsia="zh-CN"/>
              </w:rPr>
              <w:t>广元市昭化区卫子初级中学</w:t>
            </w:r>
          </w:p>
        </w:tc>
      </w:tr>
      <w:tr>
        <w:tblPrEx>
          <w:tblCellMar>
            <w:top w:w="0" w:type="dxa"/>
            <w:left w:w="108" w:type="dxa"/>
            <w:bottom w:w="0" w:type="dxa"/>
            <w:right w:w="108" w:type="dxa"/>
          </w:tblCellMar>
        </w:tblPrEx>
        <w:trPr>
          <w:gridAfter w:val="1"/>
          <w:wAfter w:w="236" w:type="dxa"/>
          <w:trHeight w:val="427" w:hRule="atLeast"/>
        </w:trPr>
        <w:tc>
          <w:tcPr>
            <w:tcW w:w="21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（万元）</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预算数：</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290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 xml:space="preserve"> 执行数：</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sz w:val="24"/>
                <w:lang w:val="en-US" w:eastAsia="zh-CN"/>
              </w:rPr>
            </w:pPr>
            <w:r>
              <w:rPr>
                <w:rFonts w:hint="eastAsia" w:ascii="宋体" w:hAnsi="宋体" w:cs="宋体"/>
                <w:sz w:val="24"/>
                <w:lang w:val="en-US" w:eastAsia="zh-CN"/>
              </w:rPr>
              <w:t>290</w:t>
            </w:r>
          </w:p>
        </w:tc>
      </w:tr>
      <w:tr>
        <w:tblPrEx>
          <w:tblCellMar>
            <w:top w:w="0" w:type="dxa"/>
            <w:left w:w="108" w:type="dxa"/>
            <w:bottom w:w="0" w:type="dxa"/>
            <w:right w:w="108" w:type="dxa"/>
          </w:tblCellMar>
        </w:tblPrEx>
        <w:trPr>
          <w:gridAfter w:val="1"/>
          <w:wAfter w:w="236" w:type="dxa"/>
          <w:trHeight w:val="776" w:hRule="atLeast"/>
        </w:trPr>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sz w:val="24"/>
                <w:lang w:val="en-US" w:eastAsia="zh-CN"/>
              </w:rPr>
              <w:t>290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kern w:val="0"/>
                <w:sz w:val="24"/>
              </w:rPr>
            </w:pPr>
            <w:r>
              <w:rPr>
                <w:rFonts w:hint="eastAsia" w:ascii="宋体" w:hAnsi="宋体" w:cs="宋体"/>
                <w:kern w:val="0"/>
                <w:sz w:val="24"/>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财政拨款</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sz w:val="24"/>
                <w:lang w:val="en-US" w:eastAsia="zh-CN"/>
              </w:rPr>
              <w:t>290</w:t>
            </w:r>
          </w:p>
        </w:tc>
      </w:tr>
      <w:tr>
        <w:tblPrEx>
          <w:tblCellMar>
            <w:top w:w="0" w:type="dxa"/>
            <w:left w:w="108" w:type="dxa"/>
            <w:bottom w:w="0" w:type="dxa"/>
            <w:right w:w="108" w:type="dxa"/>
          </w:tblCellMar>
        </w:tblPrEx>
        <w:trPr>
          <w:gridAfter w:val="1"/>
          <w:wAfter w:w="236" w:type="dxa"/>
          <w:trHeight w:val="427" w:hRule="atLeast"/>
        </w:trPr>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sz w:val="24"/>
                <w:lang w:val="en-US" w:eastAsia="zh-CN"/>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sz w:val="24"/>
              </w:rPr>
            </w:pPr>
            <w:r>
              <w:rPr>
                <w:rFonts w:hint="eastAsia" w:ascii="宋体" w:hAnsi="宋体" w:cs="宋体"/>
                <w:kern w:val="0"/>
                <w:sz w:val="24"/>
              </w:rPr>
              <w:t>其他资金</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sz w:val="24"/>
                <w:lang w:val="en-US" w:eastAsia="zh-CN"/>
              </w:rPr>
            </w:pPr>
          </w:p>
        </w:tc>
      </w:tr>
      <w:tr>
        <w:tblPrEx>
          <w:tblCellMar>
            <w:top w:w="0" w:type="dxa"/>
            <w:left w:w="108" w:type="dxa"/>
            <w:bottom w:w="0" w:type="dxa"/>
            <w:right w:w="108" w:type="dxa"/>
          </w:tblCellMar>
        </w:tblPrEx>
        <w:trPr>
          <w:gridAfter w:val="1"/>
          <w:wAfter w:w="236" w:type="dxa"/>
          <w:trHeight w:val="403"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kern w:val="0"/>
                <w:sz w:val="24"/>
              </w:rPr>
            </w:pPr>
            <w:r>
              <w:rPr>
                <w:rFonts w:hint="eastAsia" w:ascii="宋体" w:hAnsi="宋体" w:cs="宋体"/>
                <w:kern w:val="0"/>
                <w:sz w:val="24"/>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完成情况</w:t>
            </w:r>
          </w:p>
        </w:tc>
        <w:tc>
          <w:tcPr>
            <w:tcW w:w="45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预期目标</w:t>
            </w:r>
          </w:p>
        </w:tc>
        <w:tc>
          <w:tcPr>
            <w:tcW w:w="3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1297"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sz w:val="24"/>
              </w:rPr>
            </w:pPr>
          </w:p>
        </w:tc>
        <w:tc>
          <w:tcPr>
            <w:tcW w:w="4594"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sz w:val="24"/>
                <w:lang w:eastAsia="zh-CN"/>
              </w:rPr>
            </w:pPr>
            <w:r>
              <w:rPr>
                <w:rFonts w:hint="default" w:ascii="宋体" w:hAnsi="宋体" w:cs="宋体"/>
                <w:sz w:val="22"/>
                <w:szCs w:val="22"/>
              </w:rPr>
              <w:t>校舍</w:t>
            </w:r>
            <w:r>
              <w:rPr>
                <w:rFonts w:hint="eastAsia" w:ascii="宋体" w:hAnsi="宋体" w:cs="宋体"/>
                <w:sz w:val="22"/>
                <w:szCs w:val="22"/>
                <w:lang w:eastAsia="zh-CN"/>
              </w:rPr>
              <w:t>维修面积</w:t>
            </w:r>
            <w:r>
              <w:rPr>
                <w:rFonts w:hint="eastAsia" w:ascii="宋体" w:hAnsi="宋体" w:cs="宋体"/>
                <w:sz w:val="22"/>
                <w:szCs w:val="22"/>
                <w:lang w:val="en-US" w:eastAsia="zh-CN"/>
              </w:rPr>
              <w:t>3680</w:t>
            </w:r>
            <w:r>
              <w:rPr>
                <w:rFonts w:hint="default" w:ascii="宋体" w:hAnsi="宋体" w:cs="宋体"/>
                <w:sz w:val="22"/>
                <w:szCs w:val="22"/>
              </w:rPr>
              <w:t>平方米，改善学校办学条件和基础设施配套，提供高质量硬件设施设备，营造良好的学习氛围</w:t>
            </w:r>
            <w:r>
              <w:rPr>
                <w:rFonts w:hint="eastAsia" w:ascii="宋体" w:hAnsi="宋体" w:cs="宋体"/>
                <w:sz w:val="22"/>
                <w:szCs w:val="22"/>
                <w:lang w:eastAsia="zh-CN"/>
              </w:rPr>
              <w:t>。</w:t>
            </w:r>
          </w:p>
        </w:tc>
        <w:tc>
          <w:tcPr>
            <w:tcW w:w="3494"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sz w:val="24"/>
                <w:lang w:eastAsia="zh-CN"/>
              </w:rPr>
            </w:pPr>
            <w:r>
              <w:rPr>
                <w:rFonts w:hint="eastAsia" w:ascii="宋体" w:hAnsi="宋体" w:eastAsia="宋体" w:cs="宋体"/>
                <w:sz w:val="22"/>
                <w:szCs w:val="22"/>
                <w:lang w:eastAsia="zh-CN"/>
              </w:rPr>
              <w:t>完成</w:t>
            </w:r>
            <w:r>
              <w:rPr>
                <w:rFonts w:hint="eastAsia" w:ascii="宋体" w:hAnsi="宋体" w:cs="宋体"/>
                <w:sz w:val="22"/>
                <w:szCs w:val="22"/>
                <w:lang w:val="en-US" w:eastAsia="zh-CN"/>
              </w:rPr>
              <w:t>3680</w:t>
            </w:r>
            <w:r>
              <w:rPr>
                <w:rFonts w:hint="default" w:ascii="宋体" w:hAnsi="宋体" w:cs="宋体"/>
                <w:sz w:val="22"/>
                <w:szCs w:val="22"/>
              </w:rPr>
              <w:t>平方米</w:t>
            </w:r>
            <w:r>
              <w:rPr>
                <w:rFonts w:hint="eastAsia" w:ascii="宋体" w:hAnsi="宋体" w:cs="宋体"/>
                <w:sz w:val="22"/>
                <w:szCs w:val="22"/>
                <w:lang w:eastAsia="zh-CN"/>
              </w:rPr>
              <w:t>的校舍维修，</w:t>
            </w:r>
            <w:r>
              <w:rPr>
                <w:rFonts w:hint="default" w:ascii="宋体" w:hAnsi="宋体" w:cs="宋体"/>
                <w:sz w:val="22"/>
                <w:szCs w:val="22"/>
              </w:rPr>
              <w:t>改善</w:t>
            </w:r>
            <w:r>
              <w:rPr>
                <w:rFonts w:hint="eastAsia" w:ascii="宋体" w:hAnsi="宋体" w:cs="宋体"/>
                <w:sz w:val="22"/>
                <w:szCs w:val="22"/>
                <w:lang w:eastAsia="zh-CN"/>
              </w:rPr>
              <w:t>了</w:t>
            </w:r>
            <w:r>
              <w:rPr>
                <w:rFonts w:hint="default" w:ascii="宋体" w:hAnsi="宋体" w:cs="宋体"/>
                <w:sz w:val="22"/>
                <w:szCs w:val="22"/>
              </w:rPr>
              <w:t>学校办学条件和基础设施配套，提供</w:t>
            </w:r>
            <w:r>
              <w:rPr>
                <w:rFonts w:hint="eastAsia" w:ascii="宋体" w:hAnsi="宋体" w:cs="宋体"/>
                <w:sz w:val="22"/>
                <w:szCs w:val="22"/>
                <w:lang w:eastAsia="zh-CN"/>
              </w:rPr>
              <w:t>了</w:t>
            </w:r>
            <w:r>
              <w:rPr>
                <w:rFonts w:hint="default" w:ascii="宋体" w:hAnsi="宋体" w:cs="宋体"/>
                <w:sz w:val="22"/>
                <w:szCs w:val="22"/>
              </w:rPr>
              <w:t>高质量硬件设施设备，营造</w:t>
            </w:r>
            <w:r>
              <w:rPr>
                <w:rFonts w:hint="eastAsia" w:ascii="宋体" w:hAnsi="宋体" w:cs="宋体"/>
                <w:sz w:val="22"/>
                <w:szCs w:val="22"/>
                <w:lang w:eastAsia="zh-CN"/>
              </w:rPr>
              <w:t>了</w:t>
            </w:r>
            <w:r>
              <w:rPr>
                <w:rFonts w:hint="default" w:ascii="宋体" w:hAnsi="宋体" w:cs="宋体"/>
                <w:sz w:val="22"/>
                <w:szCs w:val="22"/>
              </w:rPr>
              <w:t>良好的学习氛围</w:t>
            </w:r>
            <w:r>
              <w:rPr>
                <w:rFonts w:hint="eastAsia" w:ascii="宋体" w:hAnsi="宋体" w:cs="宋体"/>
                <w:sz w:val="22"/>
                <w:szCs w:val="22"/>
                <w:lang w:eastAsia="zh-CN"/>
              </w:rPr>
              <w:t>。</w:t>
            </w:r>
          </w:p>
        </w:tc>
      </w:tr>
      <w:tr>
        <w:tblPrEx>
          <w:tblCellMar>
            <w:top w:w="0" w:type="dxa"/>
            <w:left w:w="108" w:type="dxa"/>
            <w:bottom w:w="0" w:type="dxa"/>
            <w:right w:w="108" w:type="dxa"/>
          </w:tblCellMar>
        </w:tblPrEx>
        <w:trPr>
          <w:gridAfter w:val="1"/>
          <w:wAfter w:w="236" w:type="dxa"/>
          <w:trHeight w:val="838" w:hRule="atLeast"/>
        </w:trPr>
        <w:tc>
          <w:tcPr>
            <w:tcW w:w="111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29"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改扩建面积</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3680m²</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3680m²</w:t>
            </w:r>
          </w:p>
        </w:tc>
      </w:tr>
      <w:tr>
        <w:tblPrEx>
          <w:tblCellMar>
            <w:top w:w="0" w:type="dxa"/>
            <w:left w:w="108" w:type="dxa"/>
            <w:bottom w:w="0" w:type="dxa"/>
            <w:right w:w="108" w:type="dxa"/>
          </w:tblCellMar>
        </w:tblPrEx>
        <w:trPr>
          <w:gridAfter w:val="1"/>
          <w:wAfter w:w="236" w:type="dxa"/>
          <w:trHeight w:val="658"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校舍维修</w:t>
            </w:r>
            <w:r>
              <w:rPr>
                <w:rFonts w:hint="default" w:ascii="仿宋_GB2312" w:hAnsi="仿宋_GB2312" w:eastAsia="仿宋_GB2312" w:cs="仿宋_GB2312"/>
                <w:sz w:val="20"/>
                <w:szCs w:val="20"/>
              </w:rPr>
              <w:t>竣工验收合格率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100%</w:t>
            </w:r>
          </w:p>
        </w:tc>
      </w:tr>
      <w:tr>
        <w:tblPrEx>
          <w:tblCellMar>
            <w:top w:w="0" w:type="dxa"/>
            <w:left w:w="108" w:type="dxa"/>
            <w:bottom w:w="0" w:type="dxa"/>
            <w:right w:w="108" w:type="dxa"/>
          </w:tblCellMar>
        </w:tblPrEx>
        <w:trPr>
          <w:gridAfter w:val="1"/>
          <w:wAfter w:w="236" w:type="dxa"/>
          <w:trHeight w:val="473"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校舍</w:t>
            </w:r>
            <w:r>
              <w:rPr>
                <w:rFonts w:hint="eastAsia" w:ascii="仿宋_GB2312" w:hAnsi="仿宋_GB2312" w:eastAsia="仿宋_GB2312" w:cs="仿宋_GB2312"/>
                <w:sz w:val="20"/>
                <w:szCs w:val="20"/>
                <w:lang w:eastAsia="zh-CN"/>
              </w:rPr>
              <w:t>维修</w:t>
            </w:r>
            <w:r>
              <w:rPr>
                <w:rFonts w:hint="default" w:ascii="仿宋_GB2312" w:hAnsi="仿宋_GB2312" w:eastAsia="仿宋_GB2312" w:cs="仿宋_GB2312"/>
                <w:sz w:val="20"/>
                <w:szCs w:val="20"/>
              </w:rPr>
              <w:t>质量标准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77"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设备购置质量标准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kern w:val="2"/>
                <w:sz w:val="20"/>
                <w:szCs w:val="20"/>
                <w:lang w:val="en-US" w:eastAsia="zh-CN" w:bidi="ar-SA"/>
              </w:rPr>
            </w:pPr>
            <w:r>
              <w:rPr>
                <w:rFonts w:hint="default"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43"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校舍维修建设周期</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1年</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1年</w:t>
            </w:r>
          </w:p>
        </w:tc>
      </w:tr>
      <w:tr>
        <w:tblPrEx>
          <w:tblCellMar>
            <w:top w:w="0" w:type="dxa"/>
            <w:left w:w="108" w:type="dxa"/>
            <w:bottom w:w="0" w:type="dxa"/>
            <w:right w:w="108" w:type="dxa"/>
          </w:tblCellMar>
        </w:tblPrEx>
        <w:trPr>
          <w:gridAfter w:val="1"/>
          <w:wAfter w:w="236" w:type="dxa"/>
          <w:trHeight w:val="765"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校舍</w:t>
            </w:r>
            <w:r>
              <w:rPr>
                <w:rFonts w:hint="eastAsia" w:ascii="仿宋_GB2312" w:hAnsi="仿宋_GB2312" w:eastAsia="仿宋_GB2312" w:cs="仿宋_GB2312"/>
                <w:sz w:val="20"/>
                <w:szCs w:val="20"/>
                <w:lang w:eastAsia="zh-CN"/>
              </w:rPr>
              <w:t>维修</w:t>
            </w:r>
            <w:r>
              <w:rPr>
                <w:rFonts w:hint="default" w:ascii="仿宋_GB2312" w:hAnsi="仿宋_GB2312" w:eastAsia="仿宋_GB2312" w:cs="仿宋_GB2312"/>
                <w:sz w:val="20"/>
                <w:szCs w:val="20"/>
              </w:rPr>
              <w:t>类项目每平方米造价</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≤800元</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788元</w:t>
            </w:r>
          </w:p>
        </w:tc>
      </w:tr>
      <w:tr>
        <w:tblPrEx>
          <w:tblCellMar>
            <w:top w:w="0" w:type="dxa"/>
            <w:left w:w="108" w:type="dxa"/>
            <w:bottom w:w="0" w:type="dxa"/>
            <w:right w:w="108" w:type="dxa"/>
          </w:tblCellMar>
        </w:tblPrEx>
        <w:trPr>
          <w:gridAfter w:val="1"/>
          <w:wAfter w:w="236" w:type="dxa"/>
          <w:trHeight w:val="653"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社会效益  指标</w:t>
            </w:r>
          </w:p>
        </w:tc>
        <w:tc>
          <w:tcPr>
            <w:tcW w:w="238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53"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指标</w:t>
            </w:r>
          </w:p>
        </w:tc>
        <w:tc>
          <w:tcPr>
            <w:tcW w:w="238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建筑能源消耗水平降低</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53"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可持续影响指标</w:t>
            </w:r>
          </w:p>
        </w:tc>
        <w:tc>
          <w:tcPr>
            <w:tcW w:w="238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吸引外流学生持续回流</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有效</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sz w:val="20"/>
                <w:szCs w:val="20"/>
                <w:lang w:eastAsia="zh-CN"/>
              </w:rPr>
              <w:t>有效</w:t>
            </w:r>
          </w:p>
        </w:tc>
      </w:tr>
      <w:tr>
        <w:tblPrEx>
          <w:tblCellMar>
            <w:top w:w="0" w:type="dxa"/>
            <w:left w:w="108" w:type="dxa"/>
            <w:bottom w:w="0" w:type="dxa"/>
            <w:right w:w="108" w:type="dxa"/>
          </w:tblCellMar>
        </w:tblPrEx>
        <w:trPr>
          <w:gridAfter w:val="1"/>
          <w:wAfter w:w="236" w:type="dxa"/>
          <w:trHeight w:val="719"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学生满意度</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96</w:t>
            </w:r>
            <w:bookmarkStart w:id="67" w:name="_GoBack"/>
            <w:bookmarkEnd w:id="67"/>
            <w:r>
              <w:rPr>
                <w:rFonts w:hint="eastAsia" w:ascii="仿宋_GB2312" w:hAnsi="仿宋_GB2312" w:eastAsia="仿宋_GB2312" w:cs="仿宋_GB2312"/>
                <w:sz w:val="20"/>
                <w:szCs w:val="20"/>
                <w:lang w:val="en-US" w:eastAsia="zh-CN"/>
              </w:rPr>
              <w:t>%</w:t>
            </w:r>
          </w:p>
        </w:tc>
      </w:tr>
      <w:tr>
        <w:tblPrEx>
          <w:tblCellMar>
            <w:top w:w="0" w:type="dxa"/>
            <w:left w:w="108" w:type="dxa"/>
            <w:bottom w:w="0" w:type="dxa"/>
            <w:right w:w="108" w:type="dxa"/>
          </w:tblCellMar>
        </w:tblPrEx>
        <w:trPr>
          <w:gridAfter w:val="1"/>
          <w:wAfter w:w="236" w:type="dxa"/>
          <w:trHeight w:val="714" w:hRule="atLeast"/>
        </w:trPr>
        <w:tc>
          <w:tcPr>
            <w:tcW w:w="111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sz w:val="28"/>
                <w:szCs w:val="28"/>
              </w:rPr>
            </w:pPr>
          </w:p>
        </w:tc>
        <w:tc>
          <w:tcPr>
            <w:tcW w:w="100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8"/>
                <w:szCs w:val="28"/>
              </w:rPr>
            </w:pPr>
          </w:p>
        </w:tc>
        <w:tc>
          <w:tcPr>
            <w:tcW w:w="121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kern w:val="0"/>
                <w:sz w:val="20"/>
                <w:szCs w:val="20"/>
              </w:rPr>
            </w:pPr>
          </w:p>
        </w:tc>
        <w:tc>
          <w:tcPr>
            <w:tcW w:w="2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社会满意度</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sz w:val="20"/>
                <w:szCs w:val="20"/>
              </w:rPr>
            </w:pPr>
            <w:r>
              <w:rPr>
                <w:rFonts w:hint="default" w:ascii="仿宋_GB2312" w:hAnsi="仿宋_GB2312" w:eastAsia="仿宋_GB2312" w:cs="仿宋_GB2312"/>
                <w:sz w:val="20"/>
                <w:szCs w:val="20"/>
              </w:rPr>
              <w:t>≥95%</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97%</w:t>
            </w:r>
          </w:p>
        </w:tc>
      </w:tr>
    </w:tbl>
    <w:p>
      <w:pPr>
        <w:spacing w:line="600" w:lineRule="exact"/>
        <w:jc w:val="center"/>
        <w:outlineLvl w:val="0"/>
        <w:rPr>
          <w:rFonts w:ascii="仿宋" w:hAnsi="仿宋" w:eastAsia="仿宋"/>
        </w:rPr>
      </w:pPr>
      <w:r>
        <w:rPr>
          <w:rFonts w:hint="eastAsia" w:ascii="黑体" w:hAnsi="黑体" w:eastAsia="黑体"/>
          <w:sz w:val="44"/>
          <w:szCs w:val="44"/>
        </w:rPr>
        <w:t>第</w:t>
      </w:r>
      <w:r>
        <w:rPr>
          <w:rStyle w:val="29"/>
          <w:rFonts w:hint="eastAsia" w:ascii="黑体" w:hAnsi="黑体" w:eastAsia="黑体"/>
          <w:b w:val="0"/>
        </w:rPr>
        <w:t>五部分 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0"/>
          <w:rFonts w:hint="eastAsia" w:ascii="仿宋" w:hAnsi="仿宋" w:eastAsia="仿宋"/>
          <w:b w:val="0"/>
          <w:bCs w:val="0"/>
        </w:rPr>
        <w:t>入决算表</w:t>
      </w:r>
      <w:bookmarkEnd w:id="55"/>
    </w:p>
    <w:p>
      <w:pPr>
        <w:pStyle w:val="4"/>
        <w:rPr>
          <w:rFonts w:ascii="仿宋" w:hAnsi="仿宋" w:eastAsia="仿宋"/>
        </w:rPr>
      </w:pPr>
      <w:bookmarkStart w:id="56"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7"/>
    </w:p>
    <w:p>
      <w:pPr>
        <w:pStyle w:val="4"/>
        <w:rPr>
          <w:rStyle w:val="30"/>
          <w:rFonts w:ascii="仿宋" w:hAnsi="仿宋" w:eastAsia="仿宋"/>
          <w:b w:val="0"/>
          <w:bCs w:val="0"/>
        </w:rPr>
      </w:pPr>
      <w:bookmarkStart w:id="58"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0"/>
          <w:rFonts w:hint="eastAsia" w:ascii="仿宋" w:hAnsi="仿宋" w:eastAsia="仿宋"/>
          <w:b w:val="0"/>
          <w:bCs w:val="0"/>
        </w:rPr>
        <w:t>十、</w:t>
      </w:r>
      <w:r>
        <w:rPr>
          <w:rFonts w:hint="eastAsia" w:ascii="仿宋" w:hAnsi="仿宋" w:eastAsia="仿宋"/>
          <w:b w:val="0"/>
        </w:rPr>
        <w:t>一</w:t>
      </w:r>
      <w:r>
        <w:rPr>
          <w:rStyle w:val="30"/>
          <w:rFonts w:hint="eastAsia" w:ascii="仿宋" w:hAnsi="仿宋" w:eastAsia="仿宋"/>
          <w:b w:val="0"/>
          <w:bCs w:val="0"/>
        </w:rPr>
        <w:t>般公共预算财政拨款“三公”经费支出决算表</w:t>
      </w:r>
      <w:bookmarkEnd w:id="63"/>
    </w:p>
    <w:p>
      <w:pPr>
        <w:pStyle w:val="4"/>
        <w:rPr>
          <w:rFonts w:ascii="仿宋" w:hAnsi="仿宋" w:eastAsia="仿宋"/>
        </w:rPr>
      </w:pPr>
      <w:bookmarkStart w:id="64" w:name="_Toc15396629"/>
      <w:r>
        <w:rPr>
          <w:rStyle w:val="30"/>
          <w:rFonts w:hint="eastAsia" w:ascii="仿宋" w:hAnsi="仿宋" w:eastAsia="仿宋"/>
          <w:b w:val="0"/>
          <w:bCs w:val="0"/>
        </w:rPr>
        <w:t>十一、</w:t>
      </w:r>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64"/>
    </w:p>
    <w:p>
      <w:pPr>
        <w:pStyle w:val="4"/>
        <w:rPr>
          <w:rFonts w:ascii="仿宋" w:hAnsi="仿宋" w:eastAsia="仿宋"/>
        </w:rPr>
      </w:pPr>
      <w:bookmarkStart w:id="65" w:name="_Toc15396630"/>
      <w:r>
        <w:rPr>
          <w:rStyle w:val="30"/>
          <w:rFonts w:hint="eastAsia" w:ascii="仿宋" w:hAnsi="仿宋" w:eastAsia="仿宋"/>
          <w:b w:val="0"/>
          <w:bCs w:val="0"/>
        </w:rPr>
        <w:t>十二、</w:t>
      </w:r>
      <w:r>
        <w:rPr>
          <w:rFonts w:hint="eastAsia" w:ascii="仿宋" w:hAnsi="仿宋" w:eastAsia="仿宋"/>
          <w:b w:val="0"/>
        </w:rPr>
        <w:t>政</w:t>
      </w:r>
      <w:r>
        <w:rPr>
          <w:rStyle w:val="30"/>
          <w:rFonts w:hint="eastAsia" w:ascii="仿宋" w:hAnsi="仿宋" w:eastAsia="仿宋"/>
          <w:b w:val="0"/>
          <w:bCs w:val="0"/>
        </w:rPr>
        <w:t>府性基金预算财政拨款“三公”经费支出决算表</w:t>
      </w:r>
      <w:bookmarkEnd w:id="65"/>
    </w:p>
    <w:p>
      <w:pPr>
        <w:pStyle w:val="4"/>
        <w:rPr>
          <w:rStyle w:val="30"/>
          <w:rFonts w:ascii="仿宋" w:hAnsi="仿宋" w:eastAsia="仿宋"/>
          <w:b w:val="0"/>
          <w:bCs w:val="0"/>
        </w:rPr>
      </w:pPr>
      <w:bookmarkStart w:id="66" w:name="_Toc15396631"/>
      <w:r>
        <w:rPr>
          <w:rStyle w:val="30"/>
          <w:rFonts w:hint="eastAsia" w:ascii="仿宋" w:hAnsi="仿宋" w:eastAsia="仿宋"/>
          <w:b w:val="0"/>
          <w:bCs w:val="0"/>
        </w:rPr>
        <w:t>十三、</w:t>
      </w:r>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66"/>
    </w:p>
    <w:p>
      <w:pPr>
        <w:rPr>
          <w:rFonts w:eastAsia="仿宋"/>
        </w:rPr>
      </w:pPr>
      <w:r>
        <w:rPr>
          <w:rStyle w:val="30"/>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F27D19"/>
    <w:rsid w:val="060B6771"/>
    <w:rsid w:val="0A2032A3"/>
    <w:rsid w:val="0B8A37D8"/>
    <w:rsid w:val="0EC71F0D"/>
    <w:rsid w:val="0F930041"/>
    <w:rsid w:val="103C2486"/>
    <w:rsid w:val="10C055FF"/>
    <w:rsid w:val="112C7A85"/>
    <w:rsid w:val="118107EC"/>
    <w:rsid w:val="11DD6519"/>
    <w:rsid w:val="12910332"/>
    <w:rsid w:val="157E27B0"/>
    <w:rsid w:val="15E46934"/>
    <w:rsid w:val="16BB723D"/>
    <w:rsid w:val="16CD208A"/>
    <w:rsid w:val="177D300F"/>
    <w:rsid w:val="18015F3F"/>
    <w:rsid w:val="1BE8440E"/>
    <w:rsid w:val="1D155CEE"/>
    <w:rsid w:val="20F57F95"/>
    <w:rsid w:val="21073438"/>
    <w:rsid w:val="23066A21"/>
    <w:rsid w:val="23EF1892"/>
    <w:rsid w:val="240371BF"/>
    <w:rsid w:val="24D54B4E"/>
    <w:rsid w:val="25C741E6"/>
    <w:rsid w:val="261B76FC"/>
    <w:rsid w:val="26F94B1F"/>
    <w:rsid w:val="27842671"/>
    <w:rsid w:val="28131221"/>
    <w:rsid w:val="29FD04D3"/>
    <w:rsid w:val="2ABE7A3E"/>
    <w:rsid w:val="2BAE4DE0"/>
    <w:rsid w:val="2C0D4D5A"/>
    <w:rsid w:val="2E0F5245"/>
    <w:rsid w:val="2EFA178C"/>
    <w:rsid w:val="2F890DE9"/>
    <w:rsid w:val="30B46D73"/>
    <w:rsid w:val="319F7F4E"/>
    <w:rsid w:val="32E05DEF"/>
    <w:rsid w:val="334B1FFE"/>
    <w:rsid w:val="353C0D20"/>
    <w:rsid w:val="387C73A9"/>
    <w:rsid w:val="392C0A3B"/>
    <w:rsid w:val="393D2421"/>
    <w:rsid w:val="39AE70AB"/>
    <w:rsid w:val="3C0C0783"/>
    <w:rsid w:val="3F795B0E"/>
    <w:rsid w:val="3F9F3A96"/>
    <w:rsid w:val="449776B0"/>
    <w:rsid w:val="482C010F"/>
    <w:rsid w:val="493C27E9"/>
    <w:rsid w:val="496F39ED"/>
    <w:rsid w:val="49FF41D3"/>
    <w:rsid w:val="4A185DC8"/>
    <w:rsid w:val="4BE068DB"/>
    <w:rsid w:val="4BF6002B"/>
    <w:rsid w:val="4DD52FF7"/>
    <w:rsid w:val="4ECE2238"/>
    <w:rsid w:val="4FD61684"/>
    <w:rsid w:val="503645ED"/>
    <w:rsid w:val="508F3649"/>
    <w:rsid w:val="51DB4B86"/>
    <w:rsid w:val="52FB5859"/>
    <w:rsid w:val="54181E8F"/>
    <w:rsid w:val="55156759"/>
    <w:rsid w:val="55333C3E"/>
    <w:rsid w:val="58737E60"/>
    <w:rsid w:val="58895B36"/>
    <w:rsid w:val="59F9006D"/>
    <w:rsid w:val="5E2A5E8A"/>
    <w:rsid w:val="5EEF25B2"/>
    <w:rsid w:val="60EE7955"/>
    <w:rsid w:val="64A80084"/>
    <w:rsid w:val="64CA39A1"/>
    <w:rsid w:val="65B126BB"/>
    <w:rsid w:val="6C4A05C8"/>
    <w:rsid w:val="6C6E6699"/>
    <w:rsid w:val="6EDA0CDC"/>
    <w:rsid w:val="6FA80655"/>
    <w:rsid w:val="7266259D"/>
    <w:rsid w:val="72734D90"/>
    <w:rsid w:val="727D7081"/>
    <w:rsid w:val="72E456B5"/>
    <w:rsid w:val="74E366CA"/>
    <w:rsid w:val="79E7B28D"/>
    <w:rsid w:val="7AC82E51"/>
    <w:rsid w:val="7B390C4C"/>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1001.51</c:v>
                </c:pt>
                <c:pt idx="1">
                  <c:v>1055.09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1001.51</c:v>
                </c:pt>
                <c:pt idx="1">
                  <c:v>1055.09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0.9986</c:v>
                </c:pt>
                <c:pt idx="1">
                  <c:v>0.0014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72.37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27.63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763.57</c:v>
                </c:pt>
                <c:pt idx="1">
                  <c:v>291.51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1001.51</c:v>
                </c:pt>
                <c:pt idx="1">
                  <c:v>1055.09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1001.51</c:v>
                </c:pt>
                <c:pt idx="1">
                  <c:v>1055.09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manualLayout>
          <c:layoutTarget val="inner"/>
          <c:xMode val="edge"/>
          <c:yMode val="edge"/>
          <c:x val="0.0275"/>
          <c:y val="0.318640467339352"/>
          <c:w val="0.945"/>
          <c:h val="0.548964418481147"/>
        </c:manualLayout>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998.51</c:v>
                </c:pt>
                <c:pt idx="1">
                  <c:v>1053.57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17</Pages>
  <Words>5115</Words>
  <Characters>5575</Characters>
  <Lines>47</Lines>
  <Paragraphs>13</Paragraphs>
  <TotalTime>8</TotalTime>
  <ScaleCrop>false</ScaleCrop>
  <LinksUpToDate>false</LinksUpToDate>
  <CharactersWithSpaces>5639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2022-09-30T14:42:06Z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C49946098EBA4699840366156882466E</vt:lpwstr>
  </property>
</Properties>
</file>