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color w:val="auto"/>
          <w:sz w:val="72"/>
          <w:szCs w:val="72"/>
          <w:highlight w:val="none"/>
        </w:rPr>
      </w:pPr>
      <w:bookmarkStart w:id="0" w:name="_Toc15306267"/>
      <w:bookmarkStart w:id="67" w:name="_GoBack"/>
      <w:bookmarkEnd w:id="67"/>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1" w:name="_Toc15378441"/>
      <w:bookmarkStart w:id="2" w:name="_Toc15396597"/>
      <w:bookmarkStart w:id="3" w:name="_Toc15396475"/>
      <w:bookmarkStart w:id="4" w:name="_Toc15377193"/>
      <w:bookmarkStart w:id="5" w:name="_Toc15377425"/>
      <w:r>
        <w:rPr>
          <w:rFonts w:hint="eastAsia" w:ascii="方正小标宋_GBK" w:hAnsi="方正小标宋_GBK" w:eastAsia="方正小标宋_GBK" w:cs="方正小标宋_GBK"/>
          <w:color w:val="auto"/>
          <w:sz w:val="72"/>
          <w:szCs w:val="72"/>
          <w:highlight w:val="none"/>
        </w:rPr>
        <w:t>2021年度</w:t>
      </w:r>
      <w:bookmarkEnd w:id="1"/>
      <w:bookmarkEnd w:id="2"/>
      <w:bookmarkEnd w:id="3"/>
      <w:bookmarkEnd w:id="4"/>
      <w:bookmarkEnd w:id="5"/>
    </w:p>
    <w:p>
      <w:pPr>
        <w:adjustRightInd w:val="0"/>
        <w:snapToGrid w:val="0"/>
        <w:spacing w:line="360" w:lineRule="auto"/>
        <w:jc w:val="center"/>
        <w:outlineLvl w:val="0"/>
        <w:rPr>
          <w:rFonts w:hint="eastAsia" w:ascii="方正小标宋_GBK" w:hAnsi="方正小标宋_GBK" w:eastAsia="方正小标宋_GBK" w:cs="方正小标宋_GBK"/>
          <w:color w:val="auto"/>
          <w:sz w:val="72"/>
          <w:szCs w:val="72"/>
          <w:highlight w:val="none"/>
        </w:rPr>
      </w:pPr>
      <w:bookmarkStart w:id="6" w:name="_Toc15377426"/>
      <w:bookmarkStart w:id="7" w:name="_Toc15378442"/>
      <w:bookmarkStart w:id="8" w:name="_Toc15377194"/>
      <w:bookmarkStart w:id="9" w:name="_Toc15396476"/>
      <w:bookmarkStart w:id="10" w:name="_Toc15396598"/>
      <w:r>
        <w:rPr>
          <w:rFonts w:hint="eastAsia" w:ascii="方正小标宋_GBK" w:hAnsi="方正小标宋_GBK" w:eastAsia="方正小标宋_GBK" w:cs="方正小标宋_GBK"/>
          <w:color w:val="auto"/>
          <w:sz w:val="72"/>
          <w:szCs w:val="72"/>
          <w:highlight w:val="none"/>
        </w:rPr>
        <w:t>四川省</w:t>
      </w:r>
      <w:bookmarkEnd w:id="0"/>
      <w:bookmarkStart w:id="11" w:name="_Toc15306268"/>
      <w:r>
        <w:rPr>
          <w:rFonts w:hint="eastAsia" w:ascii="方正小标宋_GBK" w:hAnsi="方正小标宋_GBK" w:eastAsia="方正小标宋_GBK" w:cs="方正小标宋_GBK"/>
          <w:color w:val="auto"/>
          <w:sz w:val="72"/>
          <w:szCs w:val="72"/>
          <w:highlight w:val="none"/>
        </w:rPr>
        <w:t>广元市昭化区</w:t>
      </w:r>
    </w:p>
    <w:p>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r>
        <w:rPr>
          <w:rFonts w:hint="eastAsia" w:ascii="方正小标宋_GBK" w:hAnsi="方正小标宋_GBK" w:eastAsia="方正小标宋_GBK" w:cs="方正小标宋_GBK"/>
          <w:color w:val="auto"/>
          <w:sz w:val="72"/>
          <w:szCs w:val="72"/>
          <w:highlight w:val="none"/>
          <w:lang w:eastAsia="zh-CN"/>
        </w:rPr>
        <w:t>王家初级中学</w:t>
      </w:r>
      <w:r>
        <w:rPr>
          <w:rFonts w:hint="eastAsia" w:ascii="方正小标宋_GBK" w:hAnsi="方正小标宋_GBK" w:eastAsia="方正小标宋_GBK" w:cs="方正小标宋_GBK"/>
          <w:color w:val="auto"/>
          <w:sz w:val="72"/>
          <w:szCs w:val="72"/>
          <w:highlight w:val="none"/>
        </w:rPr>
        <w:t>单位决算</w:t>
      </w:r>
      <w:bookmarkEnd w:id="6"/>
      <w:bookmarkEnd w:id="7"/>
      <w:bookmarkEnd w:id="8"/>
      <w:bookmarkEnd w:id="9"/>
      <w:bookmarkEnd w:id="10"/>
      <w:bookmarkEnd w:id="11"/>
    </w:p>
    <w:p>
      <w:pPr>
        <w:widowControl/>
        <w:jc w:val="center"/>
        <w:rPr>
          <w:rFonts w:ascii="黑体" w:hAnsi="黑体" w:eastAsia="黑体"/>
          <w:color w:val="auto"/>
          <w:sz w:val="48"/>
          <w:szCs w:val="4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pStyle w:val="13"/>
        <w:jc w:val="both"/>
        <w:rPr>
          <w:color w:val="auto"/>
          <w:highlight w:val="none"/>
        </w:rPr>
      </w:pPr>
    </w:p>
    <w:p>
      <w:pPr>
        <w:rPr>
          <w:color w:val="auto"/>
          <w:highlight w:val="none"/>
        </w:rPr>
      </w:pPr>
    </w:p>
    <w:p>
      <w:pPr>
        <w:pStyle w:val="13"/>
        <w:keepNext w:val="0"/>
        <w:keepLines w:val="0"/>
        <w:pageBreakBefore w:val="0"/>
        <w:widowControl w:val="0"/>
        <w:tabs>
          <w:tab w:val="right" w:leader="middleDot" w:pos="8296"/>
        </w:tabs>
        <w:kinsoku/>
        <w:wordWrap/>
        <w:overflowPunct/>
        <w:topLinePunct w:val="0"/>
        <w:autoSpaceDE/>
        <w:autoSpaceDN/>
        <w:bidi w:val="0"/>
        <w:adjustRightInd w:val="0"/>
        <w:snapToGrid w:val="0"/>
        <w:spacing w:before="0" w:line="440" w:lineRule="exact"/>
        <w:jc w:val="left"/>
        <w:textAlignment w:val="auto"/>
        <w:rPr>
          <w:rFonts w:hint="default" w:eastAsia="仿宋" w:cstheme="minorBidi"/>
          <w:color w:val="auto"/>
          <w:sz w:val="24"/>
          <w:szCs w:val="24"/>
          <w:highlight w:val="none"/>
          <w:lang w:val="en-US" w:eastAsia="zh-CN"/>
        </w:rPr>
      </w:pPr>
      <w:bookmarkStart w:id="12" w:name="_Toc15377196"/>
      <w:bookmarkStart w:id="13" w:name="_Toc15396599"/>
      <w:r>
        <w:rPr>
          <w:rFonts w:hint="eastAsia"/>
          <w:color w:val="auto"/>
          <w:sz w:val="24"/>
          <w:highlight w:val="none"/>
        </w:rPr>
        <w:t>第一部分</w:t>
      </w:r>
      <w:r>
        <w:rPr>
          <w:color w:val="auto"/>
          <w:sz w:val="24"/>
          <w:highlight w:val="none"/>
        </w:rPr>
        <w:t xml:space="preserve"> </w:t>
      </w:r>
      <w:r>
        <w:rPr>
          <w:rFonts w:hint="eastAsia"/>
          <w:color w:val="auto"/>
          <w:sz w:val="24"/>
          <w:highlight w:val="none"/>
          <w:lang w:eastAsia="zh-CN"/>
        </w:rPr>
        <w:t>单位</w:t>
      </w:r>
      <w:r>
        <w:rPr>
          <w:rFonts w:hint="eastAsia"/>
          <w:color w:val="auto"/>
          <w:sz w:val="24"/>
          <w:highlight w:val="none"/>
        </w:rPr>
        <w:t>概况</w:t>
      </w:r>
      <w:r>
        <w:rPr>
          <w:rFonts w:hint="eastAsia"/>
          <w:color w:val="auto"/>
          <w:sz w:val="24"/>
          <w:highlight w:val="none"/>
          <w:lang w:val="en-US" w:eastAsia="zh-CN"/>
        </w:rPr>
        <w:tab/>
      </w:r>
      <w:r>
        <w:rPr>
          <w:rFonts w:hint="eastAsia"/>
          <w:color w:val="auto"/>
          <w:sz w:val="24"/>
          <w:highlight w:val="none"/>
          <w:lang w:val="en-US" w:eastAsia="zh-CN"/>
        </w:rPr>
        <w:t>4</w:t>
      </w:r>
    </w:p>
    <w:p>
      <w:pPr>
        <w:pStyle w:val="14"/>
        <w:adjustRightInd w:val="0"/>
        <w:snapToGrid w:val="0"/>
        <w:spacing w:line="440" w:lineRule="exact"/>
        <w:jc w:val="distribute"/>
        <w:rPr>
          <w:rFonts w:hint="default" w:eastAsia="宋体"/>
          <w:color w:val="auto"/>
          <w:sz w:val="24"/>
          <w:highlight w:val="none"/>
          <w:lang w:val="en-US" w:eastAsia="zh-CN"/>
        </w:rPr>
      </w:pPr>
      <w:r>
        <w:rPr>
          <w:rFonts w:hint="eastAsia"/>
          <w:color w:val="auto"/>
          <w:sz w:val="24"/>
          <w:highlight w:val="none"/>
        </w:rPr>
        <w:t>一、职能</w:t>
      </w:r>
      <w:r>
        <w:rPr>
          <w:rFonts w:hint="eastAsia"/>
          <w:color w:val="auto"/>
          <w:sz w:val="24"/>
          <w:highlight w:val="none"/>
          <w:lang w:eastAsia="zh-CN"/>
        </w:rPr>
        <w:t>简介</w:t>
      </w:r>
      <w:r>
        <w:rPr>
          <w:rFonts w:hint="eastAsia"/>
          <w:color w:val="auto"/>
          <w:sz w:val="24"/>
          <w:highlight w:val="none"/>
          <w:lang w:val="en-US" w:eastAsia="zh-CN"/>
        </w:rPr>
        <w:tab/>
      </w:r>
      <w:r>
        <w:rPr>
          <w:rFonts w:hint="eastAsia"/>
          <w:color w:val="auto"/>
          <w:sz w:val="24"/>
          <w:highlight w:val="none"/>
          <w:lang w:val="en-US" w:eastAsia="zh-CN"/>
        </w:rPr>
        <w:t>4</w:t>
      </w:r>
    </w:p>
    <w:p>
      <w:pPr>
        <w:pStyle w:val="14"/>
        <w:adjustRightInd w:val="0"/>
        <w:snapToGrid w:val="0"/>
        <w:spacing w:line="440" w:lineRule="exact"/>
        <w:jc w:val="distribute"/>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eastAsia="zh-CN"/>
        </w:rPr>
        <w:t>二、</w:t>
      </w:r>
      <w:r>
        <w:rPr>
          <w:rFonts w:hint="eastAsia" w:asciiTheme="minorEastAsia" w:hAnsiTheme="minorEastAsia" w:eastAsiaTheme="minorEastAsia" w:cstheme="minorEastAsia"/>
          <w:color w:val="auto"/>
          <w:sz w:val="24"/>
          <w:highlight w:val="none"/>
          <w:lang w:val="en-US" w:eastAsia="zh-CN"/>
        </w:rPr>
        <w:t>2021年重点</w:t>
      </w:r>
      <w:r>
        <w:rPr>
          <w:rFonts w:hint="eastAsia" w:asciiTheme="minorEastAsia" w:hAnsiTheme="minorEastAsia" w:eastAsiaTheme="minorEastAsia" w:cstheme="minorEastAsia"/>
          <w:color w:val="auto"/>
          <w:sz w:val="24"/>
          <w:highlight w:val="none"/>
        </w:rPr>
        <w:t>工作</w:t>
      </w:r>
      <w:r>
        <w:rPr>
          <w:rFonts w:hint="eastAsia" w:asciiTheme="minorEastAsia" w:hAnsiTheme="minorEastAsia" w:eastAsiaTheme="minorEastAsia" w:cstheme="minorEastAsia"/>
          <w:color w:val="auto"/>
          <w:sz w:val="24"/>
          <w:highlight w:val="none"/>
          <w:lang w:eastAsia="zh-CN"/>
        </w:rPr>
        <w:t>完成情况</w:t>
      </w:r>
      <w:r>
        <w:rPr>
          <w:rFonts w:hint="eastAsia"/>
          <w:color w:val="auto"/>
          <w:sz w:val="24"/>
          <w:highlight w:val="none"/>
          <w:lang w:val="en-US" w:eastAsia="zh-CN"/>
        </w:rPr>
        <w:tab/>
      </w:r>
      <w:r>
        <w:rPr>
          <w:rFonts w:hint="eastAsia"/>
          <w:color w:val="auto"/>
          <w:sz w:val="24"/>
          <w:highlight w:val="none"/>
          <w:lang w:val="en-US" w:eastAsia="zh-CN"/>
        </w:rPr>
        <w:t>5</w:t>
      </w:r>
    </w:p>
    <w:p>
      <w:pPr>
        <w:pStyle w:val="13"/>
        <w:adjustRightInd w:val="0"/>
        <w:snapToGrid w:val="0"/>
        <w:spacing w:before="0" w:line="440" w:lineRule="exact"/>
        <w:jc w:val="left"/>
        <w:rPr>
          <w:rFonts w:hint="default"/>
          <w:color w:val="auto"/>
          <w:sz w:val="24"/>
          <w:szCs w:val="24"/>
          <w:highlight w:val="none"/>
          <w:lang w:val="en-US"/>
        </w:rPr>
      </w:pPr>
      <w:r>
        <w:rPr>
          <w:rFonts w:hint="eastAsia"/>
          <w:color w:val="auto"/>
          <w:sz w:val="24"/>
          <w:highlight w:val="none"/>
        </w:rPr>
        <w:t>第二部分</w:t>
      </w:r>
      <w:r>
        <w:rPr>
          <w:rFonts w:hint="eastAsia"/>
          <w:color w:val="auto"/>
          <w:sz w:val="24"/>
          <w:highlight w:val="none"/>
          <w:lang w:val="en-US" w:eastAsia="zh-CN"/>
        </w:rPr>
        <w:t xml:space="preserve"> 2021年度</w:t>
      </w:r>
      <w:r>
        <w:rPr>
          <w:rFonts w:hint="eastAsia"/>
          <w:color w:val="auto"/>
          <w:sz w:val="24"/>
          <w:highlight w:val="none"/>
          <w:lang w:eastAsia="zh-CN"/>
        </w:rPr>
        <w:t>单位</w:t>
      </w:r>
      <w:r>
        <w:rPr>
          <w:rFonts w:hint="eastAsia"/>
          <w:color w:val="auto"/>
          <w:sz w:val="24"/>
          <w:highlight w:val="none"/>
        </w:rPr>
        <w:t>决算情况说明</w:t>
      </w:r>
      <w:r>
        <w:rPr>
          <w:rFonts w:hint="eastAsia"/>
          <w:color w:val="auto"/>
          <w:sz w:val="24"/>
          <w:highlight w:val="none"/>
          <w:lang w:val="en-US" w:eastAsia="zh-CN"/>
        </w:rPr>
        <w:tab/>
      </w:r>
      <w:r>
        <w:rPr>
          <w:rFonts w:hint="eastAsia"/>
          <w:color w:val="auto"/>
          <w:sz w:val="24"/>
          <w:highlight w:val="none"/>
          <w:lang w:val="en-US" w:eastAsia="zh-CN"/>
        </w:rPr>
        <w:t>9</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一、收入支出决算总体情况说明</w:t>
      </w:r>
      <w:r>
        <w:rPr>
          <w:rFonts w:hint="eastAsia"/>
          <w:color w:val="auto"/>
          <w:sz w:val="24"/>
          <w:highlight w:val="none"/>
          <w:lang w:val="en-US" w:eastAsia="zh-CN"/>
        </w:rPr>
        <w:tab/>
      </w:r>
      <w:r>
        <w:rPr>
          <w:rFonts w:hint="eastAsia"/>
          <w:color w:val="auto"/>
          <w:sz w:val="24"/>
          <w:highlight w:val="none"/>
          <w:lang w:val="en-US" w:eastAsia="zh-CN"/>
        </w:rPr>
        <w:t>9</w:t>
      </w:r>
    </w:p>
    <w:p>
      <w:pPr>
        <w:pStyle w:val="14"/>
        <w:adjustRightInd w:val="0"/>
        <w:snapToGrid w:val="0"/>
        <w:spacing w:line="440" w:lineRule="exact"/>
        <w:jc w:val="distribute"/>
        <w:rPr>
          <w:rFonts w:ascii="仿宋" w:hAnsi="仿宋" w:eastAsia="仿宋" w:cstheme="minorBidi"/>
          <w:color w:val="auto"/>
          <w:sz w:val="24"/>
          <w:highlight w:val="none"/>
        </w:rPr>
      </w:pPr>
      <w:r>
        <w:rPr>
          <w:rFonts w:hint="eastAsia"/>
          <w:color w:val="auto"/>
          <w:sz w:val="24"/>
          <w:highlight w:val="none"/>
        </w:rPr>
        <w:t>二、收入决算情况说明</w:t>
      </w:r>
      <w:r>
        <w:rPr>
          <w:rFonts w:hint="eastAsia"/>
          <w:color w:val="auto"/>
          <w:sz w:val="24"/>
          <w:highlight w:val="none"/>
          <w:lang w:val="en-US" w:eastAsia="zh-CN"/>
        </w:rPr>
        <w:tab/>
      </w:r>
      <w:r>
        <w:rPr>
          <w:rFonts w:hint="eastAsia"/>
          <w:color w:val="auto"/>
          <w:sz w:val="24"/>
          <w:highlight w:val="none"/>
          <w:lang w:val="en-US" w:eastAsia="zh-CN"/>
        </w:rPr>
        <w:t>9</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三、支出决算情况说明</w:t>
      </w:r>
      <w:r>
        <w:rPr>
          <w:rFonts w:hint="eastAsia"/>
          <w:color w:val="auto"/>
          <w:sz w:val="24"/>
          <w:highlight w:val="none"/>
          <w:lang w:val="en-US" w:eastAsia="zh-CN"/>
        </w:rPr>
        <w:tab/>
      </w:r>
      <w:r>
        <w:rPr>
          <w:rFonts w:hint="eastAsia"/>
          <w:color w:val="auto"/>
          <w:sz w:val="24"/>
          <w:highlight w:val="none"/>
          <w:lang w:val="en-US" w:eastAsia="zh-CN"/>
        </w:rPr>
        <w:t>10</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四、财政拨款收入支出决算总体情况说明</w:t>
      </w:r>
      <w:r>
        <w:rPr>
          <w:rFonts w:hint="eastAsia"/>
          <w:color w:val="auto"/>
          <w:sz w:val="24"/>
          <w:highlight w:val="none"/>
          <w:lang w:val="en-US" w:eastAsia="zh-CN"/>
        </w:rPr>
        <w:tab/>
      </w:r>
      <w:r>
        <w:rPr>
          <w:rFonts w:hint="eastAsia"/>
          <w:color w:val="auto"/>
          <w:sz w:val="24"/>
          <w:highlight w:val="none"/>
          <w:lang w:val="en-US" w:eastAsia="zh-CN"/>
        </w:rPr>
        <w:t>10</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五、一般公共预算财政拨款支出决算情况说明</w:t>
      </w:r>
      <w:r>
        <w:rPr>
          <w:rFonts w:hint="eastAsia"/>
          <w:color w:val="auto"/>
          <w:sz w:val="24"/>
          <w:highlight w:val="none"/>
          <w:lang w:val="en-US" w:eastAsia="zh-CN"/>
        </w:rPr>
        <w:tab/>
      </w:r>
      <w:r>
        <w:rPr>
          <w:rFonts w:hint="eastAsia"/>
          <w:color w:val="auto"/>
          <w:sz w:val="24"/>
          <w:highlight w:val="none"/>
          <w:lang w:val="en-US" w:eastAsia="zh-CN"/>
        </w:rPr>
        <w:t>11</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六、一般公共预算财政拨款基本支出决算情况说明</w:t>
      </w:r>
      <w:r>
        <w:rPr>
          <w:rFonts w:hint="eastAsia"/>
          <w:color w:val="auto"/>
          <w:sz w:val="24"/>
          <w:highlight w:val="none"/>
          <w:lang w:val="en-US" w:eastAsia="zh-CN"/>
        </w:rPr>
        <w:tab/>
      </w:r>
      <w:r>
        <w:rPr>
          <w:rFonts w:hint="eastAsia"/>
          <w:color w:val="auto"/>
          <w:sz w:val="24"/>
          <w:highlight w:val="none"/>
          <w:lang w:val="en-US" w:eastAsia="zh-CN"/>
        </w:rPr>
        <w:t>12</w:t>
      </w:r>
    </w:p>
    <w:p>
      <w:pPr>
        <w:pStyle w:val="14"/>
        <w:adjustRightInd w:val="0"/>
        <w:snapToGrid w:val="0"/>
        <w:spacing w:line="440" w:lineRule="exact"/>
        <w:jc w:val="distribute"/>
        <w:rPr>
          <w:rFonts w:hint="eastAsia"/>
          <w:color w:val="auto"/>
          <w:sz w:val="24"/>
          <w:highlight w:val="none"/>
          <w:lang w:val="en-US" w:eastAsia="zh-CN"/>
        </w:rPr>
      </w:pPr>
      <w:r>
        <w:rPr>
          <w:rFonts w:hint="eastAsia"/>
          <w:color w:val="auto"/>
          <w:sz w:val="24"/>
          <w:highlight w:val="none"/>
        </w:rPr>
        <w:t>七、</w:t>
      </w:r>
      <w:r>
        <w:rPr>
          <w:rFonts w:hint="eastAsia"/>
          <w:color w:val="auto"/>
          <w:sz w:val="24"/>
          <w:highlight w:val="none"/>
          <w:lang w:eastAsia="zh-CN"/>
        </w:rPr>
        <w:t>“</w:t>
      </w:r>
      <w:r>
        <w:rPr>
          <w:rFonts w:hint="eastAsia"/>
          <w:color w:val="auto"/>
          <w:sz w:val="24"/>
          <w:highlight w:val="none"/>
        </w:rPr>
        <w:t>三公”经费财政拨款支出决算情况说明</w:t>
      </w:r>
      <w:r>
        <w:rPr>
          <w:rFonts w:hint="eastAsia"/>
          <w:color w:val="auto"/>
          <w:sz w:val="24"/>
          <w:highlight w:val="none"/>
          <w:lang w:val="en-US" w:eastAsia="zh-CN"/>
        </w:rPr>
        <w:tab/>
      </w:r>
      <w:r>
        <w:rPr>
          <w:rFonts w:hint="eastAsia"/>
          <w:color w:val="auto"/>
          <w:sz w:val="24"/>
          <w:highlight w:val="none"/>
          <w:lang w:val="en-US" w:eastAsia="zh-CN"/>
        </w:rPr>
        <w:t>13</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八、政府性基金预算支出决算情况说明</w:t>
      </w:r>
      <w:r>
        <w:rPr>
          <w:rFonts w:hint="eastAsia"/>
          <w:color w:val="auto"/>
          <w:sz w:val="24"/>
          <w:highlight w:val="none"/>
          <w:lang w:val="en-US" w:eastAsia="zh-CN"/>
        </w:rPr>
        <w:tab/>
      </w:r>
      <w:r>
        <w:rPr>
          <w:rFonts w:hint="eastAsia"/>
          <w:color w:val="auto"/>
          <w:sz w:val="24"/>
          <w:highlight w:val="none"/>
          <w:lang w:val="en-US" w:eastAsia="zh-CN"/>
        </w:rPr>
        <w:t>14</w:t>
      </w:r>
    </w:p>
    <w:p>
      <w:pPr>
        <w:pStyle w:val="14"/>
        <w:adjustRightInd w:val="0"/>
        <w:snapToGrid w:val="0"/>
        <w:spacing w:line="440" w:lineRule="exact"/>
        <w:jc w:val="distribute"/>
        <w:rPr>
          <w:rFonts w:hint="eastAsia"/>
          <w:color w:val="auto"/>
          <w:sz w:val="24"/>
          <w:highlight w:val="none"/>
        </w:rPr>
      </w:pPr>
      <w:r>
        <w:rPr>
          <w:rFonts w:hint="eastAsia"/>
          <w:color w:val="auto"/>
          <w:sz w:val="24"/>
          <w:highlight w:val="none"/>
        </w:rPr>
        <w:t>九、国有资本经营预算支出决算情况说明</w:t>
      </w:r>
      <w:r>
        <w:rPr>
          <w:rFonts w:hint="eastAsia"/>
          <w:color w:val="auto"/>
          <w:sz w:val="24"/>
          <w:highlight w:val="none"/>
          <w:lang w:val="en-US" w:eastAsia="zh-CN"/>
        </w:rPr>
        <w:tab/>
      </w:r>
      <w:r>
        <w:rPr>
          <w:rFonts w:hint="eastAsia"/>
          <w:color w:val="auto"/>
          <w:sz w:val="24"/>
          <w:highlight w:val="none"/>
          <w:lang w:val="en-US" w:eastAsia="zh-CN"/>
        </w:rPr>
        <w:t>15</w:t>
      </w:r>
    </w:p>
    <w:p>
      <w:pPr>
        <w:pStyle w:val="14"/>
        <w:adjustRightInd w:val="0"/>
        <w:snapToGrid w:val="0"/>
        <w:spacing w:line="440" w:lineRule="exact"/>
        <w:jc w:val="distribute"/>
        <w:rPr>
          <w:rFonts w:hint="default" w:eastAsia="宋体"/>
          <w:color w:val="auto"/>
          <w:highlight w:val="none"/>
          <w:lang w:val="en-US" w:eastAsia="zh-CN"/>
        </w:rPr>
      </w:pPr>
      <w:r>
        <w:rPr>
          <w:rFonts w:hint="eastAsia"/>
          <w:color w:val="auto"/>
          <w:sz w:val="24"/>
          <w:highlight w:val="none"/>
        </w:rPr>
        <w:t>十、</w:t>
      </w:r>
      <w:r>
        <w:rPr>
          <w:rFonts w:hint="eastAsia" w:asciiTheme="minorEastAsia" w:hAnsiTheme="minorEastAsia" w:eastAsiaTheme="minorEastAsia" w:cstheme="minorEastAsia"/>
          <w:color w:val="auto"/>
          <w:sz w:val="24"/>
          <w:highlight w:val="none"/>
          <w:lang w:val="en-US" w:eastAsia="zh-CN"/>
        </w:rPr>
        <w:t>预算绩效管理情况</w:t>
      </w:r>
      <w:r>
        <w:rPr>
          <w:rFonts w:hint="eastAsia"/>
          <w:color w:val="auto"/>
          <w:sz w:val="24"/>
          <w:highlight w:val="none"/>
          <w:lang w:val="en-US" w:eastAsia="zh-CN"/>
        </w:rPr>
        <w:tab/>
      </w:r>
      <w:r>
        <w:rPr>
          <w:rFonts w:hint="eastAsia"/>
          <w:color w:val="auto"/>
          <w:sz w:val="24"/>
          <w:highlight w:val="none"/>
          <w:lang w:val="en-US" w:eastAsia="zh-CN"/>
        </w:rPr>
        <w:t>15</w:t>
      </w:r>
    </w:p>
    <w:p>
      <w:pPr>
        <w:pStyle w:val="14"/>
        <w:adjustRightInd w:val="0"/>
        <w:snapToGrid w:val="0"/>
        <w:spacing w:line="440" w:lineRule="exact"/>
        <w:jc w:val="distribute"/>
        <w:rPr>
          <w:rFonts w:hint="default" w:eastAsia="宋体"/>
          <w:color w:val="auto"/>
          <w:highlight w:val="none"/>
          <w:lang w:val="en-US" w:eastAsia="zh-CN"/>
        </w:rPr>
      </w:pPr>
      <w:r>
        <w:rPr>
          <w:rFonts w:hint="eastAsia"/>
          <w:color w:val="auto"/>
          <w:sz w:val="24"/>
          <w:highlight w:val="none"/>
          <w:lang w:val="en-US" w:eastAsia="zh-CN"/>
        </w:rPr>
        <w:t>十一、</w:t>
      </w:r>
      <w:r>
        <w:rPr>
          <w:rFonts w:hint="eastAsia"/>
          <w:color w:val="auto"/>
          <w:sz w:val="24"/>
          <w:highlight w:val="none"/>
        </w:rPr>
        <w:t>其他重要事项的情况说明</w:t>
      </w:r>
      <w:r>
        <w:rPr>
          <w:rFonts w:hint="eastAsia"/>
          <w:color w:val="auto"/>
          <w:sz w:val="24"/>
          <w:highlight w:val="none"/>
          <w:lang w:val="en-US" w:eastAsia="zh-CN"/>
        </w:rPr>
        <w:tab/>
      </w:r>
      <w:r>
        <w:rPr>
          <w:rFonts w:hint="eastAsia"/>
          <w:color w:val="auto"/>
          <w:sz w:val="24"/>
          <w:highlight w:val="none"/>
          <w:lang w:val="en-US" w:eastAsia="zh-CN"/>
        </w:rPr>
        <w:t>15</w:t>
      </w:r>
    </w:p>
    <w:p>
      <w:pPr>
        <w:pStyle w:val="13"/>
        <w:adjustRightInd w:val="0"/>
        <w:snapToGrid w:val="0"/>
        <w:spacing w:before="0" w:line="440" w:lineRule="exact"/>
        <w:jc w:val="left"/>
        <w:rPr>
          <w:rFonts w:hint="default" w:ascii="Times New Roman" w:hAnsi="Times New Roman" w:eastAsia="宋体" w:cs="Times New Roman"/>
          <w:color w:val="auto"/>
          <w:kern w:val="2"/>
          <w:sz w:val="24"/>
          <w:szCs w:val="24"/>
          <w:highlight w:val="none"/>
          <w:lang w:val="en-US" w:eastAsia="zh-CN" w:bidi="ar-SA"/>
        </w:rPr>
      </w:pPr>
      <w:r>
        <w:rPr>
          <w:rFonts w:hint="eastAsia"/>
          <w:color w:val="auto"/>
          <w:sz w:val="24"/>
          <w:highlight w:val="none"/>
        </w:rPr>
        <w:t>第三部分</w:t>
      </w:r>
      <w:r>
        <w:rPr>
          <w:color w:val="auto"/>
          <w:sz w:val="24"/>
          <w:highlight w:val="none"/>
        </w:rPr>
        <w:t xml:space="preserve"> </w:t>
      </w:r>
      <w:r>
        <w:rPr>
          <w:rFonts w:hint="eastAsia"/>
          <w:color w:val="auto"/>
          <w:sz w:val="24"/>
          <w:highlight w:val="none"/>
        </w:rPr>
        <w:t>名词解释</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17</w:t>
      </w:r>
    </w:p>
    <w:p>
      <w:pPr>
        <w:pStyle w:val="13"/>
        <w:adjustRightInd w:val="0"/>
        <w:snapToGrid w:val="0"/>
        <w:spacing w:before="0" w:line="440" w:lineRule="exact"/>
        <w:jc w:val="left"/>
        <w:rPr>
          <w:rFonts w:hint="default" w:cstheme="minorBidi"/>
          <w:color w:val="auto"/>
          <w:sz w:val="24"/>
          <w:szCs w:val="24"/>
          <w:highlight w:val="none"/>
          <w:lang w:val="en-US"/>
        </w:rPr>
      </w:pPr>
      <w:r>
        <w:rPr>
          <w:rFonts w:hint="eastAsia"/>
          <w:color w:val="auto"/>
          <w:sz w:val="24"/>
          <w:highlight w:val="none"/>
        </w:rPr>
        <w:t>第四部分</w:t>
      </w:r>
      <w:r>
        <w:rPr>
          <w:color w:val="auto"/>
          <w:sz w:val="24"/>
          <w:highlight w:val="none"/>
        </w:rPr>
        <w:t xml:space="preserve"> </w:t>
      </w:r>
      <w:r>
        <w:rPr>
          <w:rFonts w:hint="eastAsia"/>
          <w:color w:val="auto"/>
          <w:sz w:val="24"/>
          <w:highlight w:val="none"/>
        </w:rPr>
        <w:t>附件</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19</w:t>
      </w:r>
    </w:p>
    <w:p>
      <w:pPr>
        <w:pStyle w:val="13"/>
        <w:adjustRightInd w:val="0"/>
        <w:snapToGrid w:val="0"/>
        <w:spacing w:before="0" w:line="440" w:lineRule="exact"/>
        <w:jc w:val="left"/>
        <w:rPr>
          <w:rFonts w:hint="default" w:cstheme="minorBidi"/>
          <w:color w:val="auto"/>
          <w:sz w:val="24"/>
          <w:szCs w:val="24"/>
          <w:highlight w:val="none"/>
          <w:lang w:val="en-US"/>
        </w:rPr>
      </w:pPr>
      <w:r>
        <w:rPr>
          <w:rFonts w:hint="eastAsia"/>
          <w:color w:val="auto"/>
          <w:sz w:val="24"/>
          <w:highlight w:val="none"/>
        </w:rPr>
        <w:t>第五部分</w:t>
      </w:r>
      <w:r>
        <w:rPr>
          <w:color w:val="auto"/>
          <w:sz w:val="24"/>
          <w:highlight w:val="none"/>
        </w:rPr>
        <w:t xml:space="preserve"> </w:t>
      </w:r>
      <w:r>
        <w:rPr>
          <w:rFonts w:hint="eastAsia"/>
          <w:color w:val="auto"/>
          <w:sz w:val="24"/>
          <w:highlight w:val="none"/>
        </w:rPr>
        <w:t>附表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21</w:t>
      </w:r>
    </w:p>
    <w:p>
      <w:pPr>
        <w:pStyle w:val="14"/>
        <w:adjustRightInd w:val="0"/>
        <w:snapToGrid w:val="0"/>
        <w:spacing w:line="440" w:lineRule="exact"/>
        <w:jc w:val="left"/>
        <w:rPr>
          <w:rFonts w:hint="default"/>
          <w:color w:val="auto"/>
          <w:sz w:val="24"/>
          <w:highlight w:val="none"/>
          <w:lang w:val="en-US"/>
        </w:rPr>
      </w:pPr>
      <w:r>
        <w:rPr>
          <w:rFonts w:hint="eastAsia"/>
          <w:color w:val="auto"/>
          <w:sz w:val="24"/>
          <w:highlight w:val="none"/>
        </w:rPr>
        <w:t>一、收入支出决算总表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w:t>
      </w:r>
      <w:r>
        <w:rPr>
          <w:rFonts w:hint="eastAsia" w:cs="Times New Roman"/>
          <w:color w:val="auto"/>
          <w:kern w:val="2"/>
          <w:sz w:val="24"/>
          <w:szCs w:val="24"/>
          <w:highlight w:val="none"/>
          <w:lang w:val="en-US" w:eastAsia="zh-CN" w:bidi="ar-SA"/>
        </w:rPr>
        <w:t>1</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二、收入决算表</w:t>
      </w:r>
      <w:r>
        <w:rPr>
          <w:rFonts w:hint="eastAsia"/>
          <w:color w:val="auto"/>
          <w:sz w:val="24"/>
          <w:highlight w:val="none"/>
          <w:lang w:val="en-US" w:eastAsia="zh-CN"/>
        </w:rPr>
        <w:tab/>
      </w:r>
      <w:r>
        <w:rPr>
          <w:rFonts w:hint="eastAsia"/>
          <w:color w:val="auto"/>
          <w:sz w:val="24"/>
          <w:highlight w:val="none"/>
          <w:lang w:val="en-US" w:eastAsia="zh-CN"/>
        </w:rPr>
        <w:t>21</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三、支出决算表</w:t>
      </w:r>
      <w:r>
        <w:rPr>
          <w:rFonts w:hint="eastAsia"/>
          <w:color w:val="auto"/>
          <w:sz w:val="24"/>
          <w:highlight w:val="none"/>
          <w:lang w:val="en-US" w:eastAsia="zh-CN"/>
        </w:rPr>
        <w:tab/>
      </w:r>
      <w:r>
        <w:rPr>
          <w:rFonts w:hint="eastAsia"/>
          <w:color w:val="auto"/>
          <w:sz w:val="24"/>
          <w:highlight w:val="none"/>
          <w:lang w:val="en-US" w:eastAsia="zh-CN"/>
        </w:rPr>
        <w:t>21</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四、财政拨款收入支出决算总表</w:t>
      </w:r>
      <w:r>
        <w:rPr>
          <w:rFonts w:hint="eastAsia"/>
          <w:color w:val="auto"/>
          <w:sz w:val="24"/>
          <w:highlight w:val="none"/>
          <w:lang w:val="en-US" w:eastAsia="zh-CN"/>
        </w:rPr>
        <w:tab/>
      </w:r>
      <w:r>
        <w:rPr>
          <w:rFonts w:hint="eastAsia"/>
          <w:color w:val="auto"/>
          <w:sz w:val="24"/>
          <w:highlight w:val="none"/>
          <w:lang w:val="en-US" w:eastAsia="zh-CN"/>
        </w:rPr>
        <w:t>21</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五、财政拨款支出决算明细表</w:t>
      </w:r>
      <w:r>
        <w:rPr>
          <w:rFonts w:hint="eastAsia"/>
          <w:color w:val="auto"/>
          <w:sz w:val="24"/>
          <w:highlight w:val="none"/>
          <w:lang w:val="en-US" w:eastAsia="zh-CN"/>
        </w:rPr>
        <w:tab/>
      </w:r>
      <w:r>
        <w:rPr>
          <w:rFonts w:hint="eastAsia"/>
          <w:color w:val="auto"/>
          <w:sz w:val="24"/>
          <w:highlight w:val="none"/>
          <w:lang w:val="en-US" w:eastAsia="zh-CN"/>
        </w:rPr>
        <w:t>21</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六、一般公共预算财政拨款支出决算表</w:t>
      </w:r>
      <w:r>
        <w:rPr>
          <w:rFonts w:hint="eastAsia"/>
          <w:color w:val="auto"/>
          <w:sz w:val="24"/>
          <w:highlight w:val="none"/>
          <w:lang w:val="en-US" w:eastAsia="zh-CN"/>
        </w:rPr>
        <w:tab/>
      </w:r>
      <w:r>
        <w:rPr>
          <w:rFonts w:hint="eastAsia"/>
          <w:color w:val="auto"/>
          <w:sz w:val="24"/>
          <w:highlight w:val="none"/>
          <w:lang w:val="en-US" w:eastAsia="zh-CN"/>
        </w:rPr>
        <w:t>21</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七、一般公共预算财政拨款支出决算明细表</w:t>
      </w:r>
      <w:r>
        <w:rPr>
          <w:rFonts w:hint="eastAsia"/>
          <w:color w:val="auto"/>
          <w:sz w:val="24"/>
          <w:highlight w:val="none"/>
          <w:lang w:val="en-US" w:eastAsia="zh-CN"/>
        </w:rPr>
        <w:tab/>
      </w:r>
      <w:r>
        <w:rPr>
          <w:rFonts w:hint="eastAsia"/>
          <w:color w:val="auto"/>
          <w:sz w:val="24"/>
          <w:highlight w:val="none"/>
          <w:lang w:val="en-US" w:eastAsia="zh-CN"/>
        </w:rPr>
        <w:t>21</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八、一般公共预算财政拨款基本支出决算表</w:t>
      </w:r>
      <w:r>
        <w:rPr>
          <w:rFonts w:hint="eastAsia"/>
          <w:color w:val="auto"/>
          <w:sz w:val="24"/>
          <w:highlight w:val="none"/>
          <w:lang w:val="en-US" w:eastAsia="zh-CN"/>
        </w:rPr>
        <w:tab/>
      </w:r>
      <w:r>
        <w:rPr>
          <w:rFonts w:hint="eastAsia"/>
          <w:color w:val="auto"/>
          <w:sz w:val="24"/>
          <w:highlight w:val="none"/>
          <w:lang w:val="en-US" w:eastAsia="zh-CN"/>
        </w:rPr>
        <w:t>21</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九、一般公共预算财政拨款项目支出决算表</w:t>
      </w:r>
      <w:r>
        <w:rPr>
          <w:rFonts w:hint="eastAsia"/>
          <w:color w:val="auto"/>
          <w:sz w:val="24"/>
          <w:highlight w:val="none"/>
          <w:lang w:val="en-US" w:eastAsia="zh-CN"/>
        </w:rPr>
        <w:tab/>
      </w:r>
      <w:r>
        <w:rPr>
          <w:rFonts w:hint="eastAsia"/>
          <w:color w:val="auto"/>
          <w:sz w:val="24"/>
          <w:highlight w:val="none"/>
          <w:lang w:val="en-US" w:eastAsia="zh-CN"/>
        </w:rPr>
        <w:t>21</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十、一般公共预算财政拨款“三公”经费支出决算表</w:t>
      </w:r>
      <w:r>
        <w:rPr>
          <w:rFonts w:hint="eastAsia"/>
          <w:color w:val="auto"/>
          <w:sz w:val="24"/>
          <w:highlight w:val="none"/>
          <w:lang w:val="en-US" w:eastAsia="zh-CN"/>
        </w:rPr>
        <w:tab/>
      </w:r>
      <w:r>
        <w:rPr>
          <w:rFonts w:hint="eastAsia"/>
          <w:color w:val="auto"/>
          <w:sz w:val="24"/>
          <w:highlight w:val="none"/>
          <w:lang w:val="en-US" w:eastAsia="zh-CN"/>
        </w:rPr>
        <w:t>21</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十一、政府性基金预算财政拨款收入支出决算表</w:t>
      </w:r>
      <w:r>
        <w:rPr>
          <w:rFonts w:hint="eastAsia"/>
          <w:color w:val="auto"/>
          <w:sz w:val="24"/>
          <w:highlight w:val="none"/>
          <w:lang w:val="en-US" w:eastAsia="zh-CN"/>
        </w:rPr>
        <w:tab/>
      </w:r>
      <w:r>
        <w:rPr>
          <w:rFonts w:hint="eastAsia"/>
          <w:color w:val="auto"/>
          <w:sz w:val="24"/>
          <w:highlight w:val="none"/>
          <w:lang w:val="en-US" w:eastAsia="zh-CN"/>
        </w:rPr>
        <w:t>21</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十二、政府性基金预算财政拨款“三公”经费支出决算表</w:t>
      </w:r>
      <w:r>
        <w:rPr>
          <w:rFonts w:hint="eastAsia"/>
          <w:color w:val="auto"/>
          <w:sz w:val="24"/>
          <w:highlight w:val="none"/>
          <w:lang w:val="en-US" w:eastAsia="zh-CN"/>
        </w:rPr>
        <w:tab/>
      </w:r>
      <w:r>
        <w:rPr>
          <w:rFonts w:hint="eastAsia"/>
          <w:color w:val="auto"/>
          <w:sz w:val="24"/>
          <w:highlight w:val="none"/>
          <w:lang w:val="en-US" w:eastAsia="zh-CN"/>
        </w:rPr>
        <w:t>21</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十三、国有资本经营预算</w:t>
      </w:r>
      <w:r>
        <w:rPr>
          <w:rFonts w:hint="eastAsia"/>
          <w:color w:val="auto"/>
          <w:sz w:val="24"/>
          <w:highlight w:val="none"/>
          <w:lang w:eastAsia="zh-CN"/>
        </w:rPr>
        <w:t>财政拨款收入</w:t>
      </w:r>
      <w:r>
        <w:rPr>
          <w:rFonts w:hint="eastAsia"/>
          <w:color w:val="auto"/>
          <w:sz w:val="24"/>
          <w:highlight w:val="none"/>
        </w:rPr>
        <w:t>支出决算表</w:t>
      </w:r>
      <w:r>
        <w:rPr>
          <w:rFonts w:hint="eastAsia"/>
          <w:color w:val="auto"/>
          <w:sz w:val="24"/>
          <w:highlight w:val="none"/>
          <w:lang w:val="en-US" w:eastAsia="zh-CN"/>
        </w:rPr>
        <w:tab/>
      </w:r>
      <w:r>
        <w:rPr>
          <w:rFonts w:hint="eastAsia"/>
          <w:color w:val="auto"/>
          <w:sz w:val="24"/>
          <w:highlight w:val="none"/>
          <w:lang w:val="en-US" w:eastAsia="zh-CN"/>
        </w:rPr>
        <w:t>21</w:t>
      </w:r>
    </w:p>
    <w:p>
      <w:pPr>
        <w:pStyle w:val="14"/>
        <w:adjustRightInd w:val="0"/>
        <w:snapToGrid w:val="0"/>
        <w:spacing w:line="440" w:lineRule="exact"/>
        <w:jc w:val="left"/>
        <w:rPr>
          <w:rFonts w:ascii="仿宋" w:hAnsi="仿宋" w:eastAsia="仿宋"/>
          <w:bCs/>
          <w:color w:val="auto"/>
          <w:kern w:val="44"/>
          <w:sz w:val="24"/>
          <w:highlight w:val="none"/>
        </w:rPr>
      </w:pPr>
      <w:r>
        <w:rPr>
          <w:rFonts w:hint="eastAsia"/>
          <w:color w:val="auto"/>
          <w:sz w:val="24"/>
          <w:highlight w:val="none"/>
          <w:lang w:val="en-US" w:eastAsia="zh-CN"/>
        </w:rPr>
        <w:t>十四、国有资本经营预算财政拨款支出决算表</w:t>
      </w:r>
      <w:r>
        <w:rPr>
          <w:rFonts w:hint="eastAsia"/>
          <w:color w:val="auto"/>
          <w:sz w:val="24"/>
          <w:highlight w:val="none"/>
          <w:lang w:val="en-US" w:eastAsia="zh-CN"/>
        </w:rPr>
        <w:tab/>
      </w:r>
      <w:r>
        <w:rPr>
          <w:rFonts w:hint="eastAsia"/>
          <w:color w:val="auto"/>
          <w:sz w:val="24"/>
          <w:highlight w:val="none"/>
          <w:lang w:val="en-US" w:eastAsia="zh-CN"/>
        </w:rPr>
        <w:t>21</w:t>
      </w:r>
      <w:r>
        <w:rPr>
          <w:rFonts w:ascii="仿宋" w:hAnsi="仿宋" w:eastAsia="仿宋"/>
          <w:b/>
          <w:color w:val="auto"/>
          <w:sz w:val="24"/>
          <w:highlight w:val="none"/>
        </w:rPr>
        <w:br w:type="page"/>
      </w:r>
    </w:p>
    <w:p>
      <w:pPr>
        <w:pStyle w:val="3"/>
        <w:jc w:val="center"/>
        <w:rPr>
          <w:rStyle w:val="29"/>
          <w:rFonts w:ascii="黑体" w:hAnsi="黑体" w:eastAsia="黑体"/>
          <w:b/>
          <w:bCs w:val="0"/>
          <w:color w:val="auto"/>
          <w:highlight w:val="none"/>
        </w:rPr>
      </w:pPr>
      <w:r>
        <w:rPr>
          <w:rFonts w:hint="eastAsia" w:ascii="黑体" w:hAnsi="黑体" w:eastAsia="黑体"/>
          <w:b w:val="0"/>
          <w:color w:val="auto"/>
          <w:highlight w:val="none"/>
        </w:rPr>
        <w:t>第一部分 单位</w:t>
      </w:r>
      <w:r>
        <w:rPr>
          <w:rStyle w:val="29"/>
          <w:rFonts w:hint="eastAsia" w:ascii="黑体" w:hAnsi="黑体" w:eastAsia="黑体"/>
          <w:b w:val="0"/>
          <w:bCs w:val="0"/>
          <w:color w:val="auto"/>
          <w:highlight w:val="none"/>
        </w:rPr>
        <w:t>概况</w:t>
      </w:r>
      <w:bookmarkEnd w:id="12"/>
      <w:bookmarkEnd w:id="13"/>
    </w:p>
    <w:p>
      <w:pPr>
        <w:widowControl/>
        <w:jc w:val="left"/>
        <w:rPr>
          <w:rFonts w:ascii="黑体" w:eastAsia="黑体"/>
          <w:color w:val="auto"/>
          <w:sz w:val="32"/>
          <w:szCs w:val="32"/>
          <w:highlight w:val="none"/>
        </w:rPr>
      </w:pPr>
    </w:p>
    <w:p>
      <w:pPr>
        <w:pStyle w:val="4"/>
        <w:numPr>
          <w:ilvl w:val="0"/>
          <w:numId w:val="1"/>
        </w:numPr>
        <w:rPr>
          <w:rStyle w:val="30"/>
          <w:rFonts w:ascii="黑体" w:hAnsi="黑体" w:eastAsia="黑体"/>
          <w:b w:val="0"/>
          <w:bCs w:val="0"/>
          <w:color w:val="auto"/>
          <w:highlight w:val="none"/>
        </w:rPr>
      </w:pPr>
      <w:bookmarkStart w:id="14" w:name="_Toc15377197"/>
      <w:bookmarkStart w:id="15" w:name="_Toc15396600"/>
      <w:r>
        <w:rPr>
          <w:rStyle w:val="30"/>
          <w:rFonts w:hint="eastAsia" w:ascii="黑体" w:hAnsi="黑体" w:eastAsia="黑体"/>
          <w:b w:val="0"/>
          <w:bCs w:val="0"/>
          <w:color w:val="auto"/>
          <w:highlight w:val="none"/>
        </w:rPr>
        <w:t>职能简介</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1.贯彻党的教育方针，坚持社会主义办学方向，实行教育与生产劳动相结合，对学生进行德育、智育、体育、美育和劳动等方面的教育。</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2.负责配合政府依法动员、组织适龄儿童、少年入学，严格控制学生辍学，依法保证适龄儿童、少年接受九年义务教育。</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3.负责依法制定学校章程，并按照章程自主管理。</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4.负责制定学校教育发展规划，并抓好组织和实施工作。</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5.负责按照教育主管部门发布的指导性教学计划、 教学大纲，组织实施教育教学活动。</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6.</w:t>
      </w:r>
      <w:r>
        <w:rPr>
          <w:rFonts w:hint="eastAsia" w:ascii="仿宋_GB2312" w:eastAsia="仿宋_GB2312"/>
          <w:color w:val="auto"/>
          <w:kern w:val="0"/>
          <w:szCs w:val="20"/>
          <w:highlight w:val="none"/>
        </w:rPr>
        <w:t xml:space="preserve"> </w:t>
      </w:r>
      <w:r>
        <w:rPr>
          <w:rFonts w:hint="eastAsia" w:ascii="仿宋" w:hAnsi="仿宋" w:eastAsia="仿宋" w:cs="仿宋"/>
          <w:color w:val="auto"/>
          <w:sz w:val="32"/>
          <w:szCs w:val="32"/>
          <w:highlight w:val="none"/>
        </w:rPr>
        <w:t>负责学籍管理并对学生实施奖励或处分。</w:t>
      </w:r>
    </w:p>
    <w:p>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7.</w:t>
      </w:r>
      <w:r>
        <w:rPr>
          <w:rFonts w:hint="eastAsia" w:ascii="仿宋_GB2312" w:eastAsia="仿宋_GB2312"/>
          <w:color w:val="auto"/>
          <w:kern w:val="0"/>
          <w:szCs w:val="20"/>
          <w:highlight w:val="none"/>
        </w:rPr>
        <w:t xml:space="preserve"> </w:t>
      </w:r>
      <w:r>
        <w:rPr>
          <w:rFonts w:hint="eastAsia" w:ascii="仿宋" w:hAnsi="仿宋" w:eastAsia="仿宋" w:cs="仿宋"/>
          <w:color w:val="auto"/>
          <w:sz w:val="32"/>
          <w:szCs w:val="32"/>
          <w:highlight w:val="none"/>
        </w:rPr>
        <w:t>负责依法制定本校教师及其他职工聘任办法并对教师及其他员工实施包括奖励、处分在内的具体管理活动。</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8. 负责科学管理、合理使用学校的设施和经费，并积极筹措资金，改善办学条件。</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9. 负责维护学校、师生的合法权益，有权拒绝任何组织和个人对教育教学活动</w:t>
      </w:r>
      <w:r>
        <w:rPr>
          <w:rFonts w:hint="eastAsia" w:ascii="仿宋" w:hAnsi="仿宋" w:eastAsia="仿宋" w:cs="仿宋"/>
          <w:color w:val="auto"/>
          <w:sz w:val="32"/>
          <w:szCs w:val="32"/>
          <w:highlight w:val="none"/>
          <w:lang w:eastAsia="zh-CN"/>
        </w:rPr>
        <w:t>的</w:t>
      </w:r>
      <w:r>
        <w:rPr>
          <w:rFonts w:hint="eastAsia" w:ascii="仿宋" w:hAnsi="仿宋" w:eastAsia="仿宋" w:cs="仿宋"/>
          <w:color w:val="auto"/>
          <w:sz w:val="32"/>
          <w:szCs w:val="32"/>
          <w:highlight w:val="none"/>
        </w:rPr>
        <w:t>非法干扰。</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10.</w:t>
      </w:r>
      <w:r>
        <w:rPr>
          <w:rFonts w:hint="eastAsia" w:ascii="仿宋_GB2312" w:eastAsia="仿宋_GB2312"/>
          <w:color w:val="auto"/>
          <w:kern w:val="0"/>
          <w:szCs w:val="20"/>
          <w:highlight w:val="none"/>
        </w:rPr>
        <w:t xml:space="preserve"> </w:t>
      </w:r>
      <w:r>
        <w:rPr>
          <w:rFonts w:hint="eastAsia" w:ascii="仿宋" w:hAnsi="仿宋" w:eastAsia="仿宋" w:cs="仿宋"/>
          <w:color w:val="auto"/>
          <w:sz w:val="32"/>
          <w:szCs w:val="32"/>
          <w:highlight w:val="none"/>
        </w:rPr>
        <w:t>依法接受各级教育行政部门的检查指导和人民群众的监督。</w:t>
      </w:r>
    </w:p>
    <w:p>
      <w:pPr>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11.承办上级交办的其他事项。</w:t>
      </w:r>
    </w:p>
    <w:p>
      <w:pPr>
        <w:pStyle w:val="4"/>
        <w:rPr>
          <w:rFonts w:ascii="黑体" w:hAnsi="黑体" w:eastAsia="黑体"/>
          <w:b w:val="0"/>
          <w:color w:val="auto"/>
          <w:highlight w:val="none"/>
        </w:rPr>
      </w:pPr>
      <w:r>
        <w:rPr>
          <w:rFonts w:hint="eastAsia" w:ascii="黑体" w:hAnsi="黑体" w:eastAsia="黑体"/>
          <w:b w:val="0"/>
          <w:color w:val="auto"/>
          <w:highlight w:val="none"/>
        </w:rPr>
        <w:t>二、2021年重点工作</w:t>
      </w:r>
      <w:bookmarkEnd w:id="14"/>
      <w:bookmarkEnd w:id="15"/>
      <w:r>
        <w:rPr>
          <w:rFonts w:hint="eastAsia" w:ascii="黑体" w:hAnsi="黑体" w:eastAsia="黑体"/>
          <w:b w:val="0"/>
          <w:color w:val="auto"/>
          <w:highlight w:val="none"/>
        </w:rPr>
        <w:t>完成情况</w:t>
      </w:r>
    </w:p>
    <w:p>
      <w:pPr>
        <w:keepNext w:val="0"/>
        <w:keepLines w:val="0"/>
        <w:pageBreakBefore w:val="0"/>
        <w:widowControl w:val="0"/>
        <w:kinsoku/>
        <w:wordWrap/>
        <w:overflowPunct/>
        <w:topLinePunct w:val="0"/>
        <w:autoSpaceDE/>
        <w:autoSpaceDN/>
        <w:adjustRightInd w:val="0"/>
        <w:snapToGrid w:val="0"/>
        <w:spacing w:line="360" w:lineRule="auto"/>
        <w:ind w:left="319" w:leftChars="152" w:firstLine="320" w:firstLineChars="100"/>
        <w:jc w:val="left"/>
        <w:rPr>
          <w:rFonts w:ascii="楷体" w:eastAsia="楷体" w:cs="楷体"/>
          <w:b w:val="0"/>
          <w:bCs w:val="0"/>
          <w:color w:val="auto"/>
          <w:sz w:val="32"/>
          <w:szCs w:val="32"/>
          <w:highlight w:val="none"/>
        </w:rPr>
      </w:pPr>
      <w:r>
        <w:rPr>
          <w:rFonts w:ascii="楷体" w:eastAsia="楷体" w:cs="楷体"/>
          <w:b w:val="0"/>
          <w:bCs w:val="0"/>
          <w:color w:val="auto"/>
          <w:sz w:val="32"/>
          <w:szCs w:val="32"/>
          <w:highlight w:val="none"/>
        </w:rPr>
        <w:t>（一）</w:t>
      </w:r>
      <w:r>
        <w:rPr>
          <w:rFonts w:hint="eastAsia" w:ascii="楷体" w:eastAsia="楷体" w:cs="楷体"/>
          <w:b w:val="0"/>
          <w:bCs w:val="0"/>
          <w:color w:val="auto"/>
          <w:sz w:val="32"/>
          <w:szCs w:val="32"/>
          <w:highlight w:val="none"/>
          <w:lang w:eastAsia="zh-CN"/>
        </w:rPr>
        <w:t>完善体系</w:t>
      </w:r>
      <w:r>
        <w:rPr>
          <w:rFonts w:ascii="楷体" w:eastAsia="楷体" w:cs="楷体"/>
          <w:b w:val="0"/>
          <w:bCs w:val="0"/>
          <w:color w:val="auto"/>
          <w:sz w:val="32"/>
          <w:szCs w:val="32"/>
          <w:highlight w:val="none"/>
        </w:rPr>
        <w:t>，</w:t>
      </w:r>
      <w:r>
        <w:rPr>
          <w:rFonts w:hint="eastAsia" w:ascii="楷体" w:eastAsia="楷体" w:cs="楷体"/>
          <w:b w:val="0"/>
          <w:bCs w:val="0"/>
          <w:color w:val="auto"/>
          <w:sz w:val="32"/>
          <w:szCs w:val="32"/>
          <w:highlight w:val="none"/>
          <w:lang w:eastAsia="zh-CN"/>
        </w:rPr>
        <w:t>优化管理</w:t>
      </w:r>
    </w:p>
    <w:p>
      <w:pPr>
        <w:ind w:firstLine="640" w:firstLineChars="200"/>
        <w:rPr>
          <w:rFonts w:hint="eastAsia" w:ascii="仿宋_GB2312" w:eastAsia="仿宋_GB2312"/>
          <w:b w:val="0"/>
          <w:bCs w:val="0"/>
          <w:color w:val="auto"/>
          <w:sz w:val="32"/>
          <w:szCs w:val="32"/>
          <w:highlight w:val="none"/>
          <w:lang w:eastAsia="zh-CN"/>
        </w:rPr>
      </w:pPr>
      <w:r>
        <w:rPr>
          <w:rFonts w:ascii="仿宋_GB2312" w:eastAsia="仿宋_GB2312"/>
          <w:b w:val="0"/>
          <w:bCs w:val="0"/>
          <w:color w:val="auto"/>
          <w:sz w:val="32"/>
          <w:szCs w:val="32"/>
          <w:highlight w:val="none"/>
        </w:rPr>
        <w:t>本年度，</w:t>
      </w:r>
      <w:r>
        <w:rPr>
          <w:rFonts w:hint="eastAsia" w:ascii="仿宋_GB2312" w:eastAsia="仿宋_GB2312"/>
          <w:b w:val="0"/>
          <w:bCs w:val="0"/>
          <w:color w:val="auto"/>
          <w:sz w:val="32"/>
          <w:szCs w:val="32"/>
          <w:highlight w:val="none"/>
          <w:lang w:eastAsia="zh-CN"/>
        </w:rPr>
        <w:t>结合作风纪律整顿工作，区教育局教研室的督查工作，以自查、他查的方式剖析了在学校管理方面的情况。结合检查结果：一是完善了《王家初级中学教学常规管理办法》主要是结合五项管理和“双减”要求，对于科学化作业布置、批改做了新的要求，更注重作业的实效性，减少重复性作业的布置。二是制定了《王家初级中学教研工作方案》，对于学校课题研发，教研组建设，教师教研活动开展作出了明细的要求，为学校教师的成长，教学质量的提升奠定基础。三是加强班子队伍管理，用制度管理人，形成明确分工，落实责任，实施目标考核，成功构建起各司其职、各负其责、协调运作的规范管理格局。</w:t>
      </w:r>
    </w:p>
    <w:p>
      <w:pPr>
        <w:keepNext w:val="0"/>
        <w:keepLines w:val="0"/>
        <w:pageBreakBefore w:val="0"/>
        <w:widowControl w:val="0"/>
        <w:kinsoku/>
        <w:wordWrap/>
        <w:overflowPunct/>
        <w:topLinePunct w:val="0"/>
        <w:autoSpaceDE/>
        <w:autoSpaceDN/>
        <w:adjustRightInd w:val="0"/>
        <w:snapToGrid w:val="0"/>
        <w:spacing w:line="360" w:lineRule="auto"/>
        <w:ind w:firstLine="640" w:firstLineChars="200"/>
        <w:jc w:val="left"/>
        <w:rPr>
          <w:rFonts w:ascii="楷体" w:eastAsia="楷体" w:cs="楷体"/>
          <w:b w:val="0"/>
          <w:bCs w:val="0"/>
          <w:color w:val="auto"/>
          <w:sz w:val="32"/>
          <w:szCs w:val="32"/>
          <w:highlight w:val="none"/>
        </w:rPr>
      </w:pPr>
      <w:r>
        <w:rPr>
          <w:rFonts w:hint="eastAsia" w:ascii="楷体" w:eastAsia="楷体" w:cs="楷体"/>
          <w:b w:val="0"/>
          <w:bCs w:val="0"/>
          <w:color w:val="auto"/>
          <w:sz w:val="32"/>
          <w:szCs w:val="32"/>
          <w:highlight w:val="none"/>
          <w:lang w:val="en-US" w:eastAsia="zh-CN"/>
        </w:rPr>
        <w:t>(二)</w:t>
      </w:r>
      <w:r>
        <w:rPr>
          <w:rFonts w:ascii="楷体" w:eastAsia="楷体" w:cs="楷体"/>
          <w:b w:val="0"/>
          <w:bCs w:val="0"/>
          <w:color w:val="auto"/>
          <w:sz w:val="32"/>
          <w:szCs w:val="32"/>
          <w:highlight w:val="none"/>
        </w:rPr>
        <w:t>着力效能，创新举措，</w:t>
      </w:r>
      <w:r>
        <w:rPr>
          <w:rFonts w:hint="eastAsia" w:ascii="楷体" w:eastAsia="楷体" w:cs="楷体"/>
          <w:b w:val="0"/>
          <w:bCs w:val="0"/>
          <w:color w:val="auto"/>
          <w:sz w:val="32"/>
          <w:szCs w:val="32"/>
          <w:highlight w:val="none"/>
        </w:rPr>
        <w:t>“三</w:t>
      </w:r>
      <w:r>
        <w:rPr>
          <w:rFonts w:hint="eastAsia" w:ascii="楷体" w:eastAsia="楷体" w:cs="楷体"/>
          <w:b w:val="0"/>
          <w:bCs w:val="0"/>
          <w:color w:val="auto"/>
          <w:sz w:val="32"/>
          <w:szCs w:val="32"/>
          <w:highlight w:val="none"/>
          <w:lang w:eastAsia="zh-CN"/>
        </w:rPr>
        <w:t>加强</w:t>
      </w:r>
      <w:r>
        <w:rPr>
          <w:rFonts w:hint="eastAsia" w:ascii="楷体" w:eastAsia="楷体" w:cs="楷体"/>
          <w:b w:val="0"/>
          <w:bCs w:val="0"/>
          <w:color w:val="auto"/>
          <w:sz w:val="32"/>
          <w:szCs w:val="32"/>
          <w:highlight w:val="none"/>
        </w:rPr>
        <w:t>”</w:t>
      </w:r>
      <w:r>
        <w:rPr>
          <w:rFonts w:ascii="楷体" w:eastAsia="楷体" w:cs="楷体"/>
          <w:b w:val="0"/>
          <w:bCs w:val="0"/>
          <w:color w:val="auto"/>
          <w:sz w:val="32"/>
          <w:szCs w:val="32"/>
          <w:highlight w:val="none"/>
        </w:rPr>
        <w:t>提升学校质量</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left"/>
        <w:textAlignment w:val="auto"/>
        <w:rPr>
          <w:rFonts w:hint="eastAsia" w:ascii="仿宋_GB2312" w:eastAsia="仿宋_GB2312"/>
          <w:b w:val="0"/>
          <w:bCs w:val="0"/>
          <w:color w:val="auto"/>
          <w:sz w:val="32"/>
          <w:szCs w:val="32"/>
          <w:highlight w:val="none"/>
          <w:lang w:eastAsia="zh-CN"/>
        </w:rPr>
      </w:pPr>
      <w:r>
        <w:rPr>
          <w:rFonts w:ascii="仿宋_GB2312" w:eastAsia="仿宋_GB2312"/>
          <w:b w:val="0"/>
          <w:bCs w:val="0"/>
          <w:color w:val="auto"/>
          <w:sz w:val="32"/>
          <w:szCs w:val="32"/>
          <w:highlight w:val="none"/>
        </w:rPr>
        <w:t>1</w:t>
      </w:r>
      <w:r>
        <w:rPr>
          <w:rFonts w:hint="eastAsia" w:ascii="仿宋_GB2312" w:eastAsia="仿宋_GB2312"/>
          <w:b w:val="0"/>
          <w:bCs w:val="0"/>
          <w:color w:val="auto"/>
          <w:sz w:val="32"/>
          <w:szCs w:val="32"/>
          <w:highlight w:val="none"/>
          <w:lang w:val="en-US" w:eastAsia="zh-CN"/>
        </w:rPr>
        <w:t>.</w:t>
      </w:r>
      <w:r>
        <w:rPr>
          <w:rFonts w:hint="eastAsia" w:ascii="仿宋_GB2312" w:eastAsia="仿宋_GB2312"/>
          <w:b w:val="0"/>
          <w:bCs w:val="0"/>
          <w:color w:val="auto"/>
          <w:sz w:val="32"/>
          <w:szCs w:val="32"/>
          <w:highlight w:val="none"/>
          <w:lang w:eastAsia="zh-CN"/>
        </w:rPr>
        <w:t>加强</w:t>
      </w:r>
      <w:r>
        <w:rPr>
          <w:rFonts w:ascii="仿宋_GB2312" w:eastAsia="仿宋_GB2312"/>
          <w:b w:val="0"/>
          <w:bCs w:val="0"/>
          <w:color w:val="auto"/>
          <w:sz w:val="32"/>
          <w:szCs w:val="32"/>
          <w:highlight w:val="none"/>
        </w:rPr>
        <w:t>教师队伍，促教师队伍的整体化</w:t>
      </w:r>
      <w:r>
        <w:rPr>
          <w:rFonts w:hint="eastAsia" w:ascii="仿宋_GB2312" w:eastAsia="仿宋_GB2312"/>
          <w:b w:val="0"/>
          <w:bCs w:val="0"/>
          <w:color w:val="auto"/>
          <w:sz w:val="32"/>
          <w:szCs w:val="32"/>
          <w:highlight w:val="none"/>
          <w:lang w:eastAsia="zh-CN"/>
        </w:rPr>
        <w:t>成长</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left"/>
        <w:textAlignment w:val="auto"/>
        <w:rPr>
          <w:rFonts w:ascii="仿宋_GB2312" w:eastAsia="仿宋_GB2312"/>
          <w:b w:val="0"/>
          <w:bCs w:val="0"/>
          <w:color w:val="auto"/>
          <w:sz w:val="32"/>
          <w:szCs w:val="32"/>
          <w:highlight w:val="none"/>
        </w:rPr>
      </w:pPr>
      <w:r>
        <w:rPr>
          <w:rFonts w:ascii="仿宋_GB2312" w:eastAsia="仿宋_GB2312"/>
          <w:b w:val="0"/>
          <w:bCs w:val="0"/>
          <w:color w:val="auto"/>
          <w:sz w:val="32"/>
          <w:szCs w:val="32"/>
          <w:highlight w:val="none"/>
        </w:rPr>
        <w:t>树立生存意识，全校教师明确，教师是学校之本，是学校成败兴衰的关键，是学校发展的有力保障。</w:t>
      </w:r>
      <w:r>
        <w:rPr>
          <w:rFonts w:hint="eastAsia" w:ascii="仿宋_GB2312" w:eastAsia="仿宋_GB2312"/>
          <w:b w:val="0"/>
          <w:bCs w:val="0"/>
          <w:color w:val="auto"/>
          <w:sz w:val="32"/>
          <w:szCs w:val="32"/>
          <w:highlight w:val="none"/>
          <w:lang w:eastAsia="zh-CN"/>
        </w:rPr>
        <w:t>一是</w:t>
      </w:r>
      <w:r>
        <w:rPr>
          <w:rFonts w:ascii="仿宋_GB2312" w:eastAsia="仿宋_GB2312"/>
          <w:b w:val="0"/>
          <w:bCs w:val="0"/>
          <w:color w:val="auto"/>
          <w:sz w:val="32"/>
          <w:szCs w:val="32"/>
          <w:highlight w:val="none"/>
        </w:rPr>
        <w:t>落实教师个人发展目标，采取对不同年龄段教师设置不同的发展计划，并做好过程监督和平台搭建工作。</w:t>
      </w:r>
      <w:r>
        <w:rPr>
          <w:rFonts w:hint="eastAsia" w:ascii="仿宋_GB2312" w:eastAsia="仿宋_GB2312"/>
          <w:b w:val="0"/>
          <w:bCs w:val="0"/>
          <w:color w:val="auto"/>
          <w:sz w:val="32"/>
          <w:szCs w:val="32"/>
          <w:highlight w:val="none"/>
          <w:lang w:eastAsia="zh-CN"/>
        </w:rPr>
        <w:t>二是</w:t>
      </w:r>
      <w:r>
        <w:rPr>
          <w:rFonts w:ascii="仿宋_GB2312" w:eastAsia="仿宋_GB2312"/>
          <w:b w:val="0"/>
          <w:bCs w:val="0"/>
          <w:color w:val="auto"/>
          <w:sz w:val="32"/>
          <w:szCs w:val="32"/>
          <w:highlight w:val="none"/>
        </w:rPr>
        <w:t>积极鼓励教师参加各级各类的培训，学习后进行培训知识的运用提升，采取培训经验分享，分享后教科室签字才能</w:t>
      </w:r>
      <w:r>
        <w:rPr>
          <w:rFonts w:hint="eastAsia" w:ascii="仿宋_GB2312" w:eastAsia="仿宋_GB2312"/>
          <w:b w:val="0"/>
          <w:bCs w:val="0"/>
          <w:color w:val="auto"/>
          <w:sz w:val="32"/>
          <w:szCs w:val="32"/>
          <w:highlight w:val="none"/>
          <w:lang w:eastAsia="zh-CN"/>
        </w:rPr>
        <w:t>报账</w:t>
      </w:r>
      <w:r>
        <w:rPr>
          <w:rFonts w:ascii="仿宋_GB2312" w:eastAsia="仿宋_GB2312"/>
          <w:b w:val="0"/>
          <w:bCs w:val="0"/>
          <w:color w:val="auto"/>
          <w:sz w:val="32"/>
          <w:szCs w:val="32"/>
          <w:highlight w:val="none"/>
        </w:rPr>
        <w:t>。</w:t>
      </w:r>
      <w:r>
        <w:rPr>
          <w:rFonts w:hint="eastAsia" w:ascii="仿宋_GB2312" w:eastAsia="仿宋_GB2312"/>
          <w:b w:val="0"/>
          <w:bCs w:val="0"/>
          <w:color w:val="auto"/>
          <w:sz w:val="32"/>
          <w:szCs w:val="32"/>
          <w:highlight w:val="none"/>
          <w:lang w:eastAsia="zh-CN"/>
        </w:rPr>
        <w:t>三是</w:t>
      </w:r>
      <w:r>
        <w:rPr>
          <w:rFonts w:ascii="仿宋_GB2312" w:eastAsia="仿宋_GB2312"/>
          <w:b w:val="0"/>
          <w:bCs w:val="0"/>
          <w:color w:val="auto"/>
          <w:sz w:val="32"/>
          <w:szCs w:val="32"/>
          <w:highlight w:val="none"/>
        </w:rPr>
        <w:t>鼓励教师参加教育教学大比武，促进个人教学课堂水平的提升，鼓励教师参加，校内初赛，教研组共同打磨，集体作战</w:t>
      </w:r>
      <w:r>
        <w:rPr>
          <w:rFonts w:hint="eastAsia" w:ascii="仿宋_GB2312" w:eastAsia="仿宋_GB2312"/>
          <w:b w:val="0"/>
          <w:bCs w:val="0"/>
          <w:color w:val="auto"/>
          <w:sz w:val="32"/>
          <w:szCs w:val="32"/>
          <w:highlight w:val="none"/>
          <w:lang w:eastAsia="zh-CN"/>
        </w:rPr>
        <w:t>。本年度</w:t>
      </w:r>
      <w:r>
        <w:rPr>
          <w:rFonts w:ascii="仿宋_GB2312" w:eastAsia="仿宋_GB2312"/>
          <w:b w:val="0"/>
          <w:bCs w:val="0"/>
          <w:color w:val="auto"/>
          <w:sz w:val="32"/>
          <w:szCs w:val="32"/>
          <w:highlight w:val="none"/>
        </w:rPr>
        <w:t>的</w:t>
      </w:r>
      <w:r>
        <w:rPr>
          <w:rFonts w:hint="eastAsia" w:ascii="仿宋_GB2312" w:eastAsia="仿宋_GB2312"/>
          <w:b w:val="0"/>
          <w:bCs w:val="0"/>
          <w:color w:val="auto"/>
          <w:sz w:val="32"/>
          <w:szCs w:val="32"/>
          <w:highlight w:val="none"/>
          <w:lang w:eastAsia="zh-CN"/>
        </w:rPr>
        <w:t>四川省优课大赛，</w:t>
      </w:r>
      <w:r>
        <w:rPr>
          <w:rFonts w:ascii="仿宋_GB2312" w:eastAsia="仿宋_GB2312"/>
          <w:b w:val="0"/>
          <w:bCs w:val="0"/>
          <w:color w:val="auto"/>
          <w:sz w:val="32"/>
          <w:szCs w:val="32"/>
          <w:highlight w:val="none"/>
        </w:rPr>
        <w:t>我校</w:t>
      </w:r>
      <w:r>
        <w:rPr>
          <w:rFonts w:hint="eastAsia" w:ascii="仿宋_GB2312" w:eastAsia="仿宋_GB2312"/>
          <w:b w:val="0"/>
          <w:bCs w:val="0"/>
          <w:color w:val="auto"/>
          <w:sz w:val="32"/>
          <w:szCs w:val="32"/>
          <w:highlight w:val="none"/>
          <w:lang w:eastAsia="zh-CN"/>
        </w:rPr>
        <w:t>周安琼老师和赵爽老师分别获得省优课一等奖和三等奖。广元市教师教学大比武我校的信息技术、美术代表昭化区初中学段两个学科，获得广元市教学大比武一等奖。通过推荐、考核、评选了广元市初中历史学科“名教师”一名，姚国兴老师。四是</w:t>
      </w:r>
      <w:r>
        <w:rPr>
          <w:rFonts w:ascii="仿宋_GB2312" w:eastAsia="仿宋_GB2312"/>
          <w:b w:val="0"/>
          <w:bCs w:val="0"/>
          <w:color w:val="auto"/>
          <w:sz w:val="32"/>
          <w:szCs w:val="32"/>
          <w:highlight w:val="none"/>
        </w:rPr>
        <w:t>做好</w:t>
      </w:r>
      <w:r>
        <w:rPr>
          <w:rFonts w:hint="eastAsia" w:ascii="仿宋_GB2312" w:eastAsia="仿宋_GB2312"/>
          <w:b w:val="0"/>
          <w:bCs w:val="0"/>
          <w:color w:val="auto"/>
          <w:sz w:val="32"/>
          <w:szCs w:val="32"/>
          <w:highlight w:val="none"/>
        </w:rPr>
        <w:t>“青蓝</w:t>
      </w:r>
      <w:r>
        <w:rPr>
          <w:rFonts w:ascii="仿宋_GB2312" w:eastAsia="仿宋_GB2312"/>
          <w:b w:val="0"/>
          <w:bCs w:val="0"/>
          <w:color w:val="auto"/>
          <w:sz w:val="32"/>
          <w:szCs w:val="32"/>
          <w:highlight w:val="none"/>
        </w:rPr>
        <w:t>工程</w:t>
      </w:r>
      <w:r>
        <w:rPr>
          <w:rFonts w:hint="eastAsia" w:ascii="仿宋_GB2312" w:eastAsia="仿宋_GB2312"/>
          <w:b w:val="0"/>
          <w:bCs w:val="0"/>
          <w:color w:val="auto"/>
          <w:sz w:val="32"/>
          <w:szCs w:val="32"/>
          <w:highlight w:val="none"/>
        </w:rPr>
        <w:t>”、“</w:t>
      </w:r>
      <w:r>
        <w:rPr>
          <w:rFonts w:ascii="仿宋_GB2312" w:eastAsia="仿宋_GB2312"/>
          <w:b w:val="0"/>
          <w:bCs w:val="0"/>
          <w:color w:val="auto"/>
          <w:sz w:val="32"/>
          <w:szCs w:val="32"/>
          <w:highlight w:val="none"/>
        </w:rPr>
        <w:t>年级、学科捆绑</w:t>
      </w:r>
      <w:r>
        <w:rPr>
          <w:rFonts w:hint="eastAsia" w:ascii="仿宋_GB2312" w:eastAsia="仿宋_GB2312"/>
          <w:b w:val="0"/>
          <w:bCs w:val="0"/>
          <w:color w:val="auto"/>
          <w:sz w:val="32"/>
          <w:szCs w:val="32"/>
          <w:highlight w:val="none"/>
        </w:rPr>
        <w:t>”</w:t>
      </w:r>
      <w:r>
        <w:rPr>
          <w:rFonts w:ascii="仿宋_GB2312" w:eastAsia="仿宋_GB2312"/>
          <w:b w:val="0"/>
          <w:bCs w:val="0"/>
          <w:color w:val="auto"/>
          <w:sz w:val="32"/>
          <w:szCs w:val="32"/>
          <w:highlight w:val="none"/>
        </w:rPr>
        <w:t>考核，促进教师有效的交流和团结协作。</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left"/>
        <w:textAlignment w:val="auto"/>
        <w:rPr>
          <w:rFonts w:ascii="仿宋_GB2312" w:eastAsia="仿宋_GB2312"/>
          <w:b w:val="0"/>
          <w:bCs w:val="0"/>
          <w:color w:val="auto"/>
          <w:sz w:val="32"/>
          <w:szCs w:val="32"/>
          <w:highlight w:val="none"/>
        </w:rPr>
      </w:pPr>
      <w:r>
        <w:rPr>
          <w:rFonts w:ascii="仿宋_GB2312" w:eastAsia="仿宋_GB2312"/>
          <w:b w:val="0"/>
          <w:bCs w:val="0"/>
          <w:color w:val="auto"/>
          <w:sz w:val="32"/>
          <w:szCs w:val="32"/>
          <w:highlight w:val="none"/>
        </w:rPr>
        <w:t>2</w:t>
      </w:r>
      <w:r>
        <w:rPr>
          <w:rFonts w:hint="eastAsia" w:ascii="仿宋_GB2312" w:eastAsia="仿宋_GB2312"/>
          <w:b w:val="0"/>
          <w:bCs w:val="0"/>
          <w:color w:val="auto"/>
          <w:sz w:val="32"/>
          <w:szCs w:val="32"/>
          <w:highlight w:val="none"/>
          <w:lang w:val="en-US" w:eastAsia="zh-CN"/>
        </w:rPr>
        <w:t>.</w:t>
      </w:r>
      <w:r>
        <w:rPr>
          <w:rFonts w:hint="eastAsia" w:ascii="仿宋_GB2312" w:eastAsia="仿宋_GB2312"/>
          <w:b w:val="0"/>
          <w:bCs w:val="0"/>
          <w:color w:val="auto"/>
          <w:sz w:val="32"/>
          <w:szCs w:val="32"/>
          <w:highlight w:val="none"/>
          <w:lang w:eastAsia="zh-CN"/>
        </w:rPr>
        <w:t>加强</w:t>
      </w:r>
      <w:r>
        <w:rPr>
          <w:rFonts w:ascii="仿宋_GB2312" w:eastAsia="仿宋_GB2312"/>
          <w:b w:val="0"/>
          <w:bCs w:val="0"/>
          <w:color w:val="auto"/>
          <w:sz w:val="32"/>
          <w:szCs w:val="32"/>
          <w:highlight w:val="none"/>
        </w:rPr>
        <w:t>教学过程管理，促进教学质量的提升。</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left"/>
        <w:textAlignment w:val="auto"/>
        <w:rPr>
          <w:rFonts w:ascii="仿宋_GB2312" w:eastAsia="仿宋_GB2312"/>
          <w:b w:val="0"/>
          <w:bCs w:val="0"/>
          <w:color w:val="auto"/>
          <w:sz w:val="32"/>
          <w:szCs w:val="32"/>
          <w:highlight w:val="none"/>
        </w:rPr>
      </w:pPr>
      <w:r>
        <w:rPr>
          <w:rFonts w:ascii="仿宋_GB2312" w:eastAsia="仿宋_GB2312"/>
          <w:b w:val="0"/>
          <w:bCs w:val="0"/>
          <w:color w:val="auto"/>
          <w:sz w:val="32"/>
          <w:szCs w:val="32"/>
          <w:highlight w:val="none"/>
        </w:rPr>
        <w:t>教学工作是学校的中心工作，教育教学质量是学校的生命线。一是</w:t>
      </w:r>
      <w:r>
        <w:rPr>
          <w:rFonts w:hint="eastAsia" w:ascii="仿宋_GB2312" w:eastAsia="仿宋_GB2312"/>
          <w:b w:val="0"/>
          <w:bCs w:val="0"/>
          <w:color w:val="auto"/>
          <w:sz w:val="32"/>
          <w:szCs w:val="32"/>
          <w:highlight w:val="none"/>
          <w:lang w:eastAsia="zh-CN"/>
        </w:rPr>
        <w:t>以新完善的《王家初级中学教学常规管理办法》为导向</w:t>
      </w:r>
      <w:r>
        <w:rPr>
          <w:rFonts w:ascii="仿宋_GB2312" w:eastAsia="仿宋_GB2312"/>
          <w:b w:val="0"/>
          <w:bCs w:val="0"/>
          <w:color w:val="auto"/>
          <w:sz w:val="32"/>
          <w:szCs w:val="32"/>
          <w:highlight w:val="none"/>
        </w:rPr>
        <w:t>备课时做到备教材、备学生、备教法。二是扎实开展好教学成绩分析，做到用数据说话，用数据导向。三是做好常规分成，差异化教学，利用课后延时服务对学生有针对性辅导。四是认真学习中考的各项改革文件的学习，探究其中的主要变化点，探讨其中的应对策略，集体作战，共同攻坚。</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left"/>
        <w:textAlignment w:val="auto"/>
        <w:rPr>
          <w:rFonts w:ascii="楷体" w:eastAsia="楷体" w:cs="楷体"/>
          <w:b w:val="0"/>
          <w:bCs w:val="0"/>
          <w:color w:val="auto"/>
          <w:sz w:val="32"/>
          <w:szCs w:val="32"/>
          <w:highlight w:val="none"/>
          <w:lang w:val="en-US" w:eastAsia="zh-CN"/>
        </w:rPr>
      </w:pPr>
      <w:r>
        <w:rPr>
          <w:rFonts w:ascii="仿宋_GB2312" w:eastAsia="仿宋_GB2312"/>
          <w:b w:val="0"/>
          <w:bCs w:val="0"/>
          <w:color w:val="auto"/>
          <w:sz w:val="32"/>
          <w:szCs w:val="32"/>
          <w:highlight w:val="none"/>
        </w:rPr>
        <w:t>3</w:t>
      </w:r>
      <w:r>
        <w:rPr>
          <w:rFonts w:hint="eastAsia" w:ascii="仿宋_GB2312" w:eastAsia="仿宋_GB2312"/>
          <w:b w:val="0"/>
          <w:bCs w:val="0"/>
          <w:color w:val="auto"/>
          <w:sz w:val="32"/>
          <w:szCs w:val="32"/>
          <w:highlight w:val="none"/>
          <w:lang w:val="en-US" w:eastAsia="zh-CN"/>
        </w:rPr>
        <w:t>.</w:t>
      </w:r>
      <w:r>
        <w:rPr>
          <w:rFonts w:hint="eastAsia" w:ascii="仿宋_GB2312" w:eastAsia="仿宋_GB2312"/>
          <w:b w:val="0"/>
          <w:bCs w:val="0"/>
          <w:color w:val="auto"/>
          <w:sz w:val="32"/>
          <w:szCs w:val="32"/>
          <w:highlight w:val="none"/>
          <w:lang w:eastAsia="zh-CN"/>
        </w:rPr>
        <w:t>加强</w:t>
      </w:r>
      <w:r>
        <w:rPr>
          <w:rFonts w:hint="eastAsia" w:ascii="仿宋_GB2312" w:eastAsia="仿宋_GB2312" w:cs="楷体"/>
          <w:b w:val="0"/>
          <w:bCs w:val="0"/>
          <w:color w:val="auto"/>
          <w:sz w:val="32"/>
          <w:szCs w:val="32"/>
          <w:highlight w:val="none"/>
          <w:lang w:val="en-US" w:eastAsia="zh-CN"/>
        </w:rPr>
        <w:t>教研科研，</w:t>
      </w:r>
      <w:r>
        <w:rPr>
          <w:rFonts w:ascii="仿宋_GB2312" w:eastAsia="仿宋_GB2312" w:cs="楷体"/>
          <w:b w:val="0"/>
          <w:bCs w:val="0"/>
          <w:color w:val="auto"/>
          <w:sz w:val="32"/>
          <w:szCs w:val="32"/>
          <w:highlight w:val="none"/>
          <w:lang w:val="en-US" w:eastAsia="zh-CN"/>
        </w:rPr>
        <w:t>总结教育教学成果</w:t>
      </w:r>
    </w:p>
    <w:p>
      <w:pPr>
        <w:keepNext w:val="0"/>
        <w:keepLines w:val="0"/>
        <w:pageBreakBefore w:val="0"/>
        <w:widowControl w:val="0"/>
        <w:kinsoku/>
        <w:wordWrap/>
        <w:overflowPunct/>
        <w:topLinePunct w:val="0"/>
        <w:autoSpaceDE/>
        <w:autoSpaceDN/>
        <w:adjustRightInd w:val="0"/>
        <w:snapToGrid w:val="0"/>
        <w:spacing w:line="360" w:lineRule="auto"/>
        <w:ind w:firstLine="640" w:firstLineChars="200"/>
        <w:jc w:val="left"/>
        <w:rPr>
          <w:rFonts w:ascii="仿宋_GB2312" w:eastAsia="仿宋_GB2312" w:cs="Times New Roman"/>
          <w:b w:val="0"/>
          <w:bCs w:val="0"/>
          <w:color w:val="auto"/>
          <w:sz w:val="32"/>
          <w:szCs w:val="32"/>
          <w:highlight w:val="none"/>
          <w:lang w:val="en-US" w:eastAsia="zh-CN"/>
        </w:rPr>
      </w:pPr>
      <w:r>
        <w:rPr>
          <w:rFonts w:ascii="仿宋_GB2312" w:eastAsia="仿宋_GB2312"/>
          <w:b w:val="0"/>
          <w:bCs w:val="0"/>
          <w:color w:val="auto"/>
          <w:sz w:val="32"/>
          <w:szCs w:val="32"/>
          <w:highlight w:val="none"/>
        </w:rPr>
        <w:t>好教师看课堂，成名师看教研。针对我校教师，教育教学能力强，部分教师是全区学科的骨干，但是理论总结能力弱，主要</w:t>
      </w:r>
      <w:r>
        <w:rPr>
          <w:rFonts w:hint="eastAsia" w:ascii="仿宋_GB2312" w:eastAsia="仿宋_GB2312"/>
          <w:b w:val="0"/>
          <w:bCs w:val="0"/>
          <w:color w:val="auto"/>
          <w:sz w:val="32"/>
          <w:szCs w:val="32"/>
          <w:highlight w:val="none"/>
          <w:lang w:eastAsia="zh-CN"/>
        </w:rPr>
        <w:t>以《王家初级中学教研工作方案》开展教研工作</w:t>
      </w:r>
      <w:r>
        <w:rPr>
          <w:rFonts w:ascii="仿宋_GB2312" w:eastAsia="仿宋_GB2312"/>
          <w:b w:val="0"/>
          <w:bCs w:val="0"/>
          <w:color w:val="auto"/>
          <w:sz w:val="32"/>
          <w:szCs w:val="32"/>
          <w:highlight w:val="none"/>
        </w:rPr>
        <w:t>一是</w:t>
      </w:r>
      <w:r>
        <w:rPr>
          <w:rFonts w:hint="eastAsia" w:ascii="仿宋_GB2312" w:eastAsia="仿宋_GB2312" w:cs="Times New Roman"/>
          <w:b w:val="0"/>
          <w:bCs w:val="0"/>
          <w:color w:val="auto"/>
          <w:sz w:val="32"/>
          <w:szCs w:val="32"/>
          <w:highlight w:val="none"/>
          <w:lang w:val="en-US" w:eastAsia="zh-CN"/>
        </w:rPr>
        <w:t>用</w:t>
      </w:r>
      <w:r>
        <w:rPr>
          <w:rFonts w:ascii="仿宋_GB2312" w:eastAsia="仿宋_GB2312" w:cs="Times New Roman"/>
          <w:b w:val="0"/>
          <w:bCs w:val="0"/>
          <w:color w:val="auto"/>
          <w:sz w:val="32"/>
          <w:szCs w:val="32"/>
          <w:highlight w:val="none"/>
          <w:lang w:val="en-US" w:eastAsia="zh-CN"/>
        </w:rPr>
        <w:t>小</w:t>
      </w:r>
      <w:r>
        <w:rPr>
          <w:rFonts w:hint="eastAsia" w:ascii="仿宋_GB2312" w:eastAsia="仿宋_GB2312" w:cs="Times New Roman"/>
          <w:b w:val="0"/>
          <w:bCs w:val="0"/>
          <w:color w:val="auto"/>
          <w:sz w:val="32"/>
          <w:szCs w:val="32"/>
          <w:highlight w:val="none"/>
          <w:lang w:val="en-US" w:eastAsia="zh-CN"/>
        </w:rPr>
        <w:t>课题促专业发展和教育教学实力提升，我校姚国兴教师区级课题《</w:t>
      </w:r>
      <w:r>
        <w:rPr>
          <w:rFonts w:ascii="仿宋_GB2312" w:eastAsia="仿宋_GB2312" w:cs="Times New Roman"/>
          <w:b w:val="0"/>
          <w:bCs w:val="0"/>
          <w:color w:val="auto"/>
          <w:sz w:val="32"/>
          <w:szCs w:val="32"/>
          <w:highlight w:val="none"/>
          <w:lang w:val="en-US" w:eastAsia="zh-CN"/>
        </w:rPr>
        <w:t>“</w:t>
      </w:r>
      <w:r>
        <w:rPr>
          <w:rFonts w:hint="eastAsia" w:ascii="仿宋_GB2312" w:eastAsia="仿宋_GB2312" w:cs="Times New Roman"/>
          <w:b w:val="0"/>
          <w:bCs w:val="0"/>
          <w:color w:val="auto"/>
          <w:sz w:val="32"/>
          <w:szCs w:val="32"/>
          <w:highlight w:val="none"/>
          <w:lang w:val="en-US" w:eastAsia="zh-CN"/>
        </w:rPr>
        <w:t>框架式导学案+微课</w:t>
      </w:r>
      <w:r>
        <w:rPr>
          <w:rFonts w:ascii="仿宋_GB2312" w:eastAsia="仿宋_GB2312" w:cs="Times New Roman"/>
          <w:b w:val="0"/>
          <w:bCs w:val="0"/>
          <w:color w:val="auto"/>
          <w:sz w:val="32"/>
          <w:szCs w:val="32"/>
          <w:highlight w:val="none"/>
          <w:lang w:val="en-US" w:eastAsia="zh-CN"/>
        </w:rPr>
        <w:t>”</w:t>
      </w:r>
      <w:r>
        <w:rPr>
          <w:rFonts w:hint="eastAsia" w:ascii="仿宋_GB2312" w:eastAsia="仿宋_GB2312" w:cs="Times New Roman"/>
          <w:b w:val="0"/>
          <w:bCs w:val="0"/>
          <w:color w:val="auto"/>
          <w:sz w:val="32"/>
          <w:szCs w:val="32"/>
          <w:highlight w:val="none"/>
          <w:lang w:val="en-US" w:eastAsia="zh-CN"/>
        </w:rPr>
        <w:t>提高初中历史课堂效率的有效性研究》和艺体组教师《农村初中艺体特长生校本培养策略实践研究》的两个区级课题已经完成</w:t>
      </w:r>
      <w:r>
        <w:rPr>
          <w:rFonts w:ascii="仿宋_GB2312" w:eastAsia="仿宋_GB2312" w:cs="Times New Roman"/>
          <w:b w:val="0"/>
          <w:bCs w:val="0"/>
          <w:color w:val="auto"/>
          <w:sz w:val="32"/>
          <w:szCs w:val="32"/>
          <w:highlight w:val="none"/>
          <w:lang w:val="en-US" w:eastAsia="zh-CN"/>
        </w:rPr>
        <w:t>了第一阶段的教研总结</w:t>
      </w:r>
      <w:r>
        <w:rPr>
          <w:rFonts w:hint="eastAsia" w:ascii="仿宋_GB2312" w:eastAsia="仿宋_GB2312" w:cs="Times New Roman"/>
          <w:b w:val="0"/>
          <w:bCs w:val="0"/>
          <w:color w:val="auto"/>
          <w:sz w:val="32"/>
          <w:szCs w:val="32"/>
          <w:highlight w:val="none"/>
          <w:lang w:val="en-US" w:eastAsia="zh-CN"/>
        </w:rPr>
        <w:t>，进入第二阶段的工作提经验阶段。</w:t>
      </w:r>
      <w:r>
        <w:rPr>
          <w:rFonts w:ascii="仿宋_GB2312" w:eastAsia="仿宋_GB2312" w:cs="Times New Roman"/>
          <w:b w:val="0"/>
          <w:bCs w:val="0"/>
          <w:color w:val="auto"/>
          <w:sz w:val="32"/>
          <w:szCs w:val="32"/>
          <w:highlight w:val="none"/>
          <w:lang w:val="en-US" w:eastAsia="zh-CN"/>
        </w:rPr>
        <w:t>二</w:t>
      </w:r>
      <w:r>
        <w:rPr>
          <w:rFonts w:hint="eastAsia" w:ascii="仿宋_GB2312" w:eastAsia="仿宋_GB2312" w:cs="Times New Roman"/>
          <w:b w:val="0"/>
          <w:bCs w:val="0"/>
          <w:color w:val="auto"/>
          <w:sz w:val="32"/>
          <w:szCs w:val="32"/>
          <w:highlight w:val="none"/>
          <w:lang w:val="en-US" w:eastAsia="zh-CN"/>
        </w:rPr>
        <w:t>是加强教师理论学习，并加强个人教学反思，形成文本并总结推广</w:t>
      </w:r>
      <w:r>
        <w:rPr>
          <w:rFonts w:ascii="仿宋_GB2312" w:eastAsia="仿宋_GB2312" w:cs="Times New Roman"/>
          <w:b w:val="0"/>
          <w:bCs w:val="0"/>
          <w:color w:val="auto"/>
          <w:sz w:val="32"/>
          <w:szCs w:val="32"/>
          <w:highlight w:val="none"/>
          <w:lang w:val="en-US" w:eastAsia="zh-CN"/>
        </w:rPr>
        <w:t>；三是评课、议课改变谈怎样更好，怎样更有效。课堂亮点总结提炼化，做好详细记载，课堂打造推广。</w:t>
      </w:r>
    </w:p>
    <w:p>
      <w:pPr>
        <w:keepNext w:val="0"/>
        <w:keepLines w:val="0"/>
        <w:pageBreakBefore w:val="0"/>
        <w:widowControl w:val="0"/>
        <w:kinsoku/>
        <w:wordWrap/>
        <w:overflowPunct/>
        <w:topLinePunct w:val="0"/>
        <w:autoSpaceDE/>
        <w:autoSpaceDN/>
        <w:adjustRightInd w:val="0"/>
        <w:snapToGrid w:val="0"/>
        <w:spacing w:line="360" w:lineRule="auto"/>
        <w:ind w:firstLine="640" w:firstLineChars="200"/>
        <w:jc w:val="left"/>
        <w:rPr>
          <w:rFonts w:hint="eastAsia" w:ascii="黑体" w:eastAsia="黑体" w:cs="楷体"/>
          <w:b w:val="0"/>
          <w:bCs w:val="0"/>
          <w:color w:val="auto"/>
          <w:sz w:val="32"/>
          <w:szCs w:val="32"/>
          <w:highlight w:val="none"/>
          <w:lang w:eastAsia="zh-CN"/>
        </w:rPr>
      </w:pPr>
      <w:r>
        <w:rPr>
          <w:rFonts w:hint="eastAsia" w:ascii="黑体" w:eastAsia="黑体" w:cs="楷体"/>
          <w:b w:val="0"/>
          <w:bCs w:val="0"/>
          <w:color w:val="auto"/>
          <w:sz w:val="32"/>
          <w:szCs w:val="32"/>
          <w:highlight w:val="none"/>
          <w:lang w:eastAsia="zh-CN"/>
        </w:rPr>
        <w:t>（三）</w:t>
      </w:r>
      <w:r>
        <w:rPr>
          <w:rFonts w:hint="eastAsia" w:ascii="黑体" w:eastAsia="黑体" w:cs="楷体"/>
          <w:b w:val="0"/>
          <w:bCs w:val="0"/>
          <w:color w:val="auto"/>
          <w:sz w:val="32"/>
          <w:szCs w:val="32"/>
          <w:highlight w:val="none"/>
        </w:rPr>
        <w:t>强化</w:t>
      </w:r>
      <w:r>
        <w:rPr>
          <w:rFonts w:hint="eastAsia" w:ascii="黑体" w:eastAsia="黑体" w:cs="楷体"/>
          <w:b w:val="0"/>
          <w:bCs w:val="0"/>
          <w:color w:val="auto"/>
          <w:sz w:val="32"/>
          <w:szCs w:val="32"/>
          <w:highlight w:val="none"/>
          <w:lang w:eastAsia="zh-CN"/>
        </w:rPr>
        <w:t>德育</w:t>
      </w:r>
      <w:r>
        <w:rPr>
          <w:rFonts w:hint="eastAsia" w:ascii="黑体" w:eastAsia="黑体" w:cs="楷体"/>
          <w:b w:val="0"/>
          <w:bCs w:val="0"/>
          <w:color w:val="auto"/>
          <w:sz w:val="32"/>
          <w:szCs w:val="32"/>
          <w:highlight w:val="none"/>
        </w:rPr>
        <w:t>，不断提升</w:t>
      </w:r>
      <w:r>
        <w:rPr>
          <w:rFonts w:hint="eastAsia" w:ascii="黑体" w:eastAsia="黑体" w:cs="楷体"/>
          <w:b w:val="0"/>
          <w:bCs w:val="0"/>
          <w:color w:val="auto"/>
          <w:sz w:val="32"/>
          <w:szCs w:val="32"/>
          <w:highlight w:val="none"/>
          <w:lang w:eastAsia="zh-CN"/>
        </w:rPr>
        <w:t>学生思想引领</w:t>
      </w:r>
    </w:p>
    <w:p>
      <w:pPr>
        <w:keepNext w:val="0"/>
        <w:keepLines w:val="0"/>
        <w:pageBreakBefore w:val="0"/>
        <w:widowControl w:val="0"/>
        <w:kinsoku/>
        <w:wordWrap/>
        <w:overflowPunct/>
        <w:topLinePunct w:val="0"/>
        <w:autoSpaceDE/>
        <w:autoSpaceDN/>
        <w:adjustRightInd w:val="0"/>
        <w:snapToGrid w:val="0"/>
        <w:spacing w:line="360" w:lineRule="auto"/>
        <w:ind w:firstLine="640" w:firstLineChars="200"/>
        <w:jc w:val="left"/>
        <w:rPr>
          <w:rFonts w:hint="default" w:ascii="仿宋_GB2312" w:eastAsia="仿宋_GB2312" w:cs="Times New Roman"/>
          <w:b w:val="0"/>
          <w:bCs w:val="0"/>
          <w:color w:val="auto"/>
          <w:sz w:val="32"/>
          <w:szCs w:val="32"/>
          <w:highlight w:val="none"/>
          <w:lang w:val="en-US" w:eastAsia="zh-CN"/>
        </w:rPr>
      </w:pPr>
      <w:r>
        <w:rPr>
          <w:rFonts w:hint="eastAsia" w:ascii="仿宋_GB2312" w:eastAsia="仿宋_GB2312" w:cs="Times New Roman"/>
          <w:b w:val="0"/>
          <w:bCs w:val="0"/>
          <w:color w:val="auto"/>
          <w:sz w:val="32"/>
          <w:szCs w:val="32"/>
          <w:highlight w:val="none"/>
          <w:lang w:val="en-US" w:eastAsia="zh-CN"/>
        </w:rPr>
        <w:t>我校学生多为留守学生，学习成绩也不是特别优异，做了学情分析后，对于我校学生明确了学生发展目标“努力学生，多元成长”。一是师生明确学习活动是提升学生眼界、知识处理、学业监测的重要手段，树立在校学习是第一要务，不与他人比，只与自己比，努力学习。二是借助“我们的节日”活动，每个节日开办相关的活动。如：端午节办黑板报明传统礼节；青年节演讲比赛明担当；建党节100周年文艺汇演、画展，“知党史，颂党恩”；国庆节征文话祖国发展；一二九越野赛强体魄，知历史等。三是做好“延时服务”，实现学生多元发展，都找到自己的闪光点，为自信人生铺道路。结合寄宿制学校的特点，延时服务我校主要围绕两根线：一根学业辅导，为部分学生查漏补缺，培优辅差。二根开展了以绘画、书法、象棋为主的室内兴趣活动和以足球、篮球、乒乓球、羽毛球为主的室外兴趣活动。并组织学生参加相关比赛，获得成绩让学生更自信，初中学习生活更丰富，也从爱好中找寻人生目标。四是加强法治教育，为学生成长保驾护航。开展以为疫情防控为专题的防控教育；开展以安全教育为主的防灭火、交通、防溺水、防煤气中毒等的讲座、班会等活动；开展以校园防欺凌、女生防侵害的专题教育；开展以法律法规学习为专题防邪教、禁毒、刑事案件、未成年人保护、校规校纪的知识学习。以上活动特邀区检察院、区团委、区妇联、王家派出所、柏林沟消防点等单位协同开展。</w:t>
      </w:r>
    </w:p>
    <w:p>
      <w:pPr>
        <w:pStyle w:val="16"/>
        <w:rPr>
          <w:color w:val="auto"/>
          <w:highlight w:val="none"/>
        </w:rPr>
      </w:pPr>
    </w:p>
    <w:p>
      <w:pPr>
        <w:rPr>
          <w:rFonts w:hint="eastAsia" w:ascii="黑体" w:hAnsi="黑体" w:eastAsia="黑体"/>
          <w:b w:val="0"/>
          <w:color w:val="auto"/>
          <w:highlight w:val="none"/>
        </w:rPr>
      </w:pPr>
      <w:bookmarkStart w:id="16" w:name="_Toc15377204"/>
      <w:bookmarkStart w:id="17" w:name="_Toc15396602"/>
      <w:r>
        <w:rPr>
          <w:rFonts w:hint="eastAsia" w:ascii="黑体" w:hAnsi="黑体" w:eastAsia="黑体"/>
          <w:b w:val="0"/>
          <w:color w:val="auto"/>
          <w:highlight w:val="none"/>
        </w:rPr>
        <w:br w:type="page"/>
      </w:r>
    </w:p>
    <w:p>
      <w:pPr>
        <w:pStyle w:val="3"/>
        <w:ind w:right="440"/>
        <w:jc w:val="center"/>
        <w:rPr>
          <w:rStyle w:val="29"/>
          <w:rFonts w:ascii="黑体" w:hAnsi="黑体" w:eastAsia="黑体"/>
          <w:b w:val="0"/>
          <w:bCs/>
          <w:color w:val="auto"/>
          <w:highlight w:val="none"/>
        </w:rPr>
      </w:pPr>
      <w:r>
        <w:rPr>
          <w:rFonts w:hint="eastAsia" w:ascii="黑体" w:hAnsi="黑体" w:eastAsia="黑体"/>
          <w:b w:val="0"/>
          <w:color w:val="auto"/>
          <w:highlight w:val="none"/>
        </w:rPr>
        <w:t>第二部分 2021年度</w:t>
      </w:r>
      <w:r>
        <w:rPr>
          <w:rStyle w:val="29"/>
          <w:rFonts w:hint="eastAsia" w:ascii="黑体" w:hAnsi="黑体" w:eastAsia="黑体"/>
          <w:b w:val="0"/>
          <w:bCs/>
          <w:color w:val="auto"/>
          <w:highlight w:val="none"/>
        </w:rPr>
        <w:t>单位决算情况说明</w:t>
      </w:r>
      <w:bookmarkEnd w:id="16"/>
      <w:bookmarkEnd w:id="17"/>
    </w:p>
    <w:p>
      <w:pPr>
        <w:rPr>
          <w:color w:val="auto"/>
          <w:highlight w:val="none"/>
        </w:rPr>
      </w:pPr>
    </w:p>
    <w:p>
      <w:pPr>
        <w:pStyle w:val="28"/>
        <w:numPr>
          <w:ilvl w:val="0"/>
          <w:numId w:val="2"/>
        </w:numPr>
        <w:spacing w:line="600" w:lineRule="exact"/>
        <w:ind w:firstLineChars="0"/>
        <w:outlineLvl w:val="1"/>
        <w:rPr>
          <w:rStyle w:val="30"/>
          <w:rFonts w:ascii="黑体" w:hAnsi="黑体" w:eastAsia="黑体"/>
          <w:b w:val="0"/>
          <w:color w:val="auto"/>
          <w:highlight w:val="none"/>
        </w:rPr>
      </w:pPr>
      <w:bookmarkStart w:id="18" w:name="_Toc15396603"/>
      <w:bookmarkStart w:id="19" w:name="_Toc15377205"/>
      <w:r>
        <w:rPr>
          <w:rFonts w:hint="eastAsia" w:ascii="黑体" w:hAnsi="黑体" w:eastAsia="黑体"/>
          <w:color w:val="auto"/>
          <w:sz w:val="32"/>
          <w:szCs w:val="32"/>
          <w:highlight w:val="none"/>
        </w:rPr>
        <w:t>收</w:t>
      </w:r>
      <w:r>
        <w:rPr>
          <w:rStyle w:val="30"/>
          <w:rFonts w:hint="eastAsia" w:ascii="黑体" w:hAnsi="黑体" w:eastAsia="黑体"/>
          <w:b w:val="0"/>
          <w:color w:val="auto"/>
          <w:highlight w:val="none"/>
        </w:rPr>
        <w:t>入支出决算总体情况说明</w:t>
      </w:r>
      <w:bookmarkEnd w:id="18"/>
      <w:bookmarkEnd w:id="19"/>
    </w:p>
    <w:p>
      <w:pPr>
        <w:spacing w:line="600" w:lineRule="exact"/>
        <w:ind w:firstLine="640" w:firstLineChars="200"/>
        <w:outlineLvl w:val="1"/>
        <w:rPr>
          <w:rFonts w:hint="eastAsia" w:eastAsia="宋体"/>
          <w:color w:val="auto"/>
          <w:highlight w:val="none"/>
          <w:lang w:eastAsia="zh-CN"/>
        </w:rPr>
      </w:pPr>
      <w:r>
        <w:rPr>
          <w:rFonts w:hint="eastAsia" w:ascii="仿宋" w:hAnsi="仿宋" w:eastAsia="仿宋"/>
          <w:color w:val="auto"/>
          <w:sz w:val="32"/>
          <w:szCs w:val="32"/>
          <w:highlight w:val="none"/>
        </w:rPr>
        <w:t>2021年度收、支总计</w:t>
      </w:r>
      <w:r>
        <w:rPr>
          <w:rFonts w:hint="eastAsia" w:ascii="仿宋" w:hAnsi="仿宋" w:eastAsia="仿宋"/>
          <w:color w:val="auto"/>
          <w:sz w:val="32"/>
          <w:szCs w:val="32"/>
          <w:highlight w:val="none"/>
          <w:lang w:val="en-US" w:eastAsia="zh-CN"/>
        </w:rPr>
        <w:t>942.89</w:t>
      </w:r>
      <w:r>
        <w:rPr>
          <w:rFonts w:hint="eastAsia" w:ascii="仿宋" w:hAnsi="仿宋" w:eastAsia="仿宋"/>
          <w:color w:val="auto"/>
          <w:sz w:val="32"/>
          <w:szCs w:val="32"/>
          <w:highlight w:val="none"/>
        </w:rPr>
        <w:t>万元。与2020年相比，收、支总计各</w:t>
      </w:r>
      <w:r>
        <w:rPr>
          <w:rFonts w:hint="eastAsia" w:ascii="仿宋" w:hAnsi="仿宋" w:eastAsia="仿宋"/>
          <w:color w:val="auto"/>
          <w:sz w:val="32"/>
          <w:szCs w:val="32"/>
          <w:highlight w:val="none"/>
          <w:lang w:val="en-US" w:eastAsia="zh-CN"/>
        </w:rPr>
        <w:t>减少85.83</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val="en-US" w:eastAsia="zh-CN"/>
        </w:rPr>
        <w:t>下降8.34</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教育支出减少</w:t>
      </w:r>
      <w:r>
        <w:rPr>
          <w:rFonts w:hint="eastAsia" w:ascii="仿宋" w:hAnsi="仿宋" w:eastAsia="仿宋"/>
          <w:color w:val="auto"/>
          <w:sz w:val="32"/>
          <w:szCs w:val="32"/>
          <w:highlight w:val="none"/>
        </w:rPr>
        <w:t>。</w:t>
      </w:r>
    </w:p>
    <w:p>
      <w:pPr>
        <w:pStyle w:val="28"/>
        <w:numPr>
          <w:ilvl w:val="0"/>
          <w:numId w:val="2"/>
        </w:numPr>
        <w:spacing w:line="600" w:lineRule="exact"/>
        <w:ind w:firstLineChars="0"/>
        <w:outlineLvl w:val="1"/>
        <w:rPr>
          <w:rStyle w:val="30"/>
          <w:rFonts w:ascii="黑体" w:hAnsi="黑体" w:eastAsia="黑体"/>
          <w:b w:val="0"/>
          <w:color w:val="auto"/>
          <w:highlight w:val="none"/>
        </w:rPr>
      </w:pPr>
      <w:bookmarkStart w:id="20" w:name="_Toc15396604"/>
      <w:bookmarkStart w:id="21" w:name="_Toc15377206"/>
      <w:r>
        <w:rPr>
          <w:rFonts w:hint="eastAsia" w:eastAsia="宋体"/>
          <w:color w:val="auto"/>
          <w:highlight w:val="none"/>
          <w:lang w:eastAsia="zh-CN"/>
        </w:rPr>
        <w:drawing>
          <wp:anchor distT="0" distB="0" distL="114300" distR="114300" simplePos="0" relativeHeight="251660288" behindDoc="0" locked="0" layoutInCell="1" allowOverlap="1">
            <wp:simplePos x="0" y="0"/>
            <wp:positionH relativeFrom="column">
              <wp:posOffset>213995</wp:posOffset>
            </wp:positionH>
            <wp:positionV relativeFrom="paragraph">
              <wp:posOffset>22860</wp:posOffset>
            </wp:positionV>
            <wp:extent cx="5080000" cy="2125345"/>
            <wp:effectExtent l="4445" t="4445" r="20955" b="2286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r>
        <w:rPr>
          <w:rFonts w:hint="eastAsia" w:ascii="黑体" w:hAnsi="黑体" w:eastAsia="黑体"/>
          <w:color w:val="auto"/>
          <w:sz w:val="32"/>
          <w:szCs w:val="32"/>
          <w:highlight w:val="none"/>
        </w:rPr>
        <w:t>收</w:t>
      </w:r>
      <w:r>
        <w:rPr>
          <w:rStyle w:val="30"/>
          <w:rFonts w:hint="eastAsia" w:ascii="黑体" w:hAnsi="黑体" w:eastAsia="黑体"/>
          <w:b w:val="0"/>
          <w:color w:val="auto"/>
          <w:highlight w:val="none"/>
        </w:rPr>
        <w:t>入决算情况说明</w:t>
      </w:r>
      <w:bookmarkEnd w:id="20"/>
      <w:bookmarkEnd w:id="21"/>
    </w:p>
    <w:p>
      <w:pPr>
        <w:spacing w:line="600" w:lineRule="exact"/>
        <w:ind w:firstLine="640" w:firstLineChars="200"/>
        <w:outlineLvl w:val="1"/>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21年本年收入合计</w:t>
      </w:r>
      <w:r>
        <w:rPr>
          <w:rFonts w:hint="eastAsia" w:ascii="仿宋" w:hAnsi="仿宋" w:eastAsia="仿宋"/>
          <w:color w:val="auto"/>
          <w:sz w:val="32"/>
          <w:szCs w:val="32"/>
          <w:highlight w:val="none"/>
          <w:lang w:val="en-US" w:eastAsia="zh-CN"/>
        </w:rPr>
        <w:t>942.89</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942.89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pStyle w:val="16"/>
        <w:rPr>
          <w:rFonts w:hint="eastAsia" w:eastAsia="宋体"/>
          <w:color w:val="auto"/>
          <w:highlight w:val="none"/>
          <w:lang w:eastAsia="zh-CN"/>
        </w:rPr>
      </w:pPr>
      <w:r>
        <w:rPr>
          <w:rFonts w:hint="eastAsia" w:eastAsia="宋体"/>
          <w:color w:val="auto"/>
          <w:highlight w:val="none"/>
          <w:lang w:eastAsia="zh-CN"/>
        </w:rPr>
        <w:drawing>
          <wp:anchor distT="0" distB="0" distL="114300" distR="114300" simplePos="0" relativeHeight="251661312" behindDoc="0" locked="0" layoutInCell="1" allowOverlap="1">
            <wp:simplePos x="0" y="0"/>
            <wp:positionH relativeFrom="column">
              <wp:posOffset>-38100</wp:posOffset>
            </wp:positionH>
            <wp:positionV relativeFrom="paragraph">
              <wp:posOffset>17780</wp:posOffset>
            </wp:positionV>
            <wp:extent cx="5584825" cy="2523490"/>
            <wp:effectExtent l="4445" t="4445" r="11430" b="5715"/>
            <wp:wrapTopAndBottom/>
            <wp:docPr id="13" name="图表 13" descr="7b0a202020202263686172745265734964223a20223230343734353235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pPr>
        <w:pStyle w:val="16"/>
        <w:ind w:left="0" w:leftChars="0" w:firstLine="640" w:firstLineChars="200"/>
        <w:rPr>
          <w:rStyle w:val="30"/>
          <w:rFonts w:ascii="黑体" w:hAnsi="黑体" w:eastAsia="黑体"/>
          <w:b w:val="0"/>
          <w:color w:val="auto"/>
          <w:highlight w:val="none"/>
        </w:rPr>
      </w:pPr>
      <w:bookmarkStart w:id="22" w:name="_Toc15396605"/>
      <w:bookmarkStart w:id="23" w:name="_Toc15377207"/>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30"/>
          <w:rFonts w:hint="eastAsia" w:ascii="黑体" w:hAnsi="黑体" w:eastAsia="黑体"/>
          <w:b w:val="0"/>
          <w:color w:val="auto"/>
          <w:highlight w:val="none"/>
        </w:rPr>
        <w:t>出决算情况说明</w:t>
      </w:r>
      <w:bookmarkEnd w:id="22"/>
      <w:bookmarkEnd w:id="23"/>
    </w:p>
    <w:p>
      <w:pPr>
        <w:spacing w:line="600" w:lineRule="exact"/>
        <w:ind w:firstLine="640" w:firstLineChars="200"/>
        <w:outlineLvl w:val="1"/>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21年本年支出合计942.89万元，其中：基本支出</w:t>
      </w:r>
      <w:r>
        <w:rPr>
          <w:rFonts w:hint="eastAsia" w:ascii="仿宋" w:hAnsi="仿宋" w:eastAsia="仿宋"/>
          <w:color w:val="auto"/>
          <w:sz w:val="32"/>
          <w:szCs w:val="32"/>
          <w:highlight w:val="none"/>
          <w:lang w:val="en-US" w:eastAsia="zh-CN"/>
        </w:rPr>
        <w:t>684.39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72.58</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258.50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27.42</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ind w:firstLine="640" w:firstLineChars="200"/>
        <w:outlineLvl w:val="1"/>
        <w:rPr>
          <w:rStyle w:val="30"/>
          <w:rFonts w:ascii="黑体" w:hAnsi="黑体" w:eastAsia="黑体"/>
          <w:b w:val="0"/>
          <w:color w:val="auto"/>
          <w:highlight w:val="none"/>
        </w:rPr>
      </w:pPr>
      <w:bookmarkStart w:id="24" w:name="_Toc15377208"/>
      <w:bookmarkStart w:id="25" w:name="_Toc15396606"/>
      <w:r>
        <w:rPr>
          <w:rFonts w:hint="eastAsia" w:ascii="仿宋" w:hAnsi="仿宋" w:eastAsia="仿宋"/>
          <w:color w:val="auto"/>
          <w:sz w:val="32"/>
          <w:szCs w:val="32"/>
          <w:highlight w:val="none"/>
          <w:shd w:val="pct10" w:color="auto" w:fill="FFFFFF"/>
        </w:rPr>
        <w:drawing>
          <wp:anchor distT="0" distB="0" distL="114300" distR="114300" simplePos="0" relativeHeight="251659264" behindDoc="0" locked="0" layoutInCell="1" allowOverlap="1">
            <wp:simplePos x="0" y="0"/>
            <wp:positionH relativeFrom="column">
              <wp:posOffset>43815</wp:posOffset>
            </wp:positionH>
            <wp:positionV relativeFrom="paragraph">
              <wp:posOffset>118110</wp:posOffset>
            </wp:positionV>
            <wp:extent cx="5080000" cy="2748915"/>
            <wp:effectExtent l="4445" t="4445" r="20955" b="8890"/>
            <wp:wrapTopAndBottom/>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黑体" w:hAnsi="黑体" w:eastAsia="黑体"/>
          <w:color w:val="auto"/>
          <w:sz w:val="32"/>
          <w:szCs w:val="32"/>
          <w:highlight w:val="none"/>
        </w:rPr>
        <w:t>四、财</w:t>
      </w:r>
      <w:r>
        <w:rPr>
          <w:rStyle w:val="30"/>
          <w:rFonts w:hint="eastAsia" w:ascii="黑体" w:hAnsi="黑体" w:eastAsia="黑体"/>
          <w:b w:val="0"/>
          <w:color w:val="auto"/>
          <w:highlight w:val="none"/>
        </w:rPr>
        <w:t>政拨款收入支出决算总体情况说明</w:t>
      </w:r>
      <w:bookmarkEnd w:id="24"/>
      <w:bookmarkEnd w:id="25"/>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21年财政拨款收、支总计</w:t>
      </w:r>
      <w:r>
        <w:rPr>
          <w:rFonts w:hint="eastAsia" w:ascii="仿宋" w:hAnsi="仿宋" w:eastAsia="仿宋"/>
          <w:color w:val="auto"/>
          <w:sz w:val="32"/>
          <w:szCs w:val="32"/>
          <w:highlight w:val="none"/>
          <w:lang w:val="en-US" w:eastAsia="zh-CN"/>
        </w:rPr>
        <w:t>942</w:t>
      </w:r>
      <w:r>
        <w:rPr>
          <w:rFonts w:hint="eastAsia" w:ascii="仿宋" w:hAnsi="仿宋" w:eastAsia="仿宋"/>
          <w:color w:val="auto"/>
          <w:sz w:val="32"/>
          <w:szCs w:val="32"/>
          <w:highlight w:val="none"/>
        </w:rPr>
        <w:t>.89万元。与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20年相比，财政拨款收、支总计各</w:t>
      </w:r>
      <w:r>
        <w:rPr>
          <w:rFonts w:hint="eastAsia" w:ascii="仿宋" w:hAnsi="仿宋" w:eastAsia="仿宋"/>
          <w:color w:val="auto"/>
          <w:sz w:val="32"/>
          <w:szCs w:val="32"/>
          <w:highlight w:val="none"/>
          <w:lang w:val="en-US" w:eastAsia="zh-CN"/>
        </w:rPr>
        <w:t>减少85.83</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val="en-US" w:eastAsia="zh-CN"/>
        </w:rPr>
        <w:t>下降8.34</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教育支出减少</w:t>
      </w:r>
      <w:r>
        <w:rPr>
          <w:rFonts w:hint="eastAsia" w:ascii="仿宋" w:hAnsi="仿宋" w:eastAsia="仿宋"/>
          <w:color w:val="auto"/>
          <w:sz w:val="32"/>
          <w:szCs w:val="32"/>
          <w:highlight w:val="none"/>
        </w:rPr>
        <w:t>。</w:t>
      </w:r>
    </w:p>
    <w:p>
      <w:pPr>
        <w:pStyle w:val="16"/>
        <w:rPr>
          <w:color w:val="auto"/>
          <w:highlight w:val="none"/>
        </w:rPr>
      </w:pPr>
      <w:r>
        <w:rPr>
          <w:rFonts w:hint="eastAsia" w:eastAsia="宋体"/>
          <w:color w:val="auto"/>
          <w:highlight w:val="none"/>
          <w:lang w:eastAsia="zh-CN"/>
        </w:rPr>
        <w:drawing>
          <wp:anchor distT="0" distB="0" distL="114300" distR="114300" simplePos="0" relativeHeight="251662336" behindDoc="0" locked="0" layoutInCell="1" allowOverlap="1">
            <wp:simplePos x="0" y="0"/>
            <wp:positionH relativeFrom="column">
              <wp:posOffset>4445</wp:posOffset>
            </wp:positionH>
            <wp:positionV relativeFrom="paragraph">
              <wp:posOffset>208280</wp:posOffset>
            </wp:positionV>
            <wp:extent cx="5080000" cy="2734945"/>
            <wp:effectExtent l="4445" t="4445" r="20955" b="22860"/>
            <wp:wrapTopAndBottom/>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spacing w:line="600" w:lineRule="exact"/>
        <w:ind w:firstLine="640" w:firstLineChars="200"/>
        <w:outlineLvl w:val="1"/>
        <w:rPr>
          <w:rStyle w:val="30"/>
          <w:rFonts w:ascii="黑体" w:hAnsi="黑体" w:eastAsia="黑体"/>
          <w:b w:val="0"/>
          <w:color w:val="auto"/>
          <w:highlight w:val="none"/>
        </w:rPr>
      </w:pPr>
      <w:bookmarkStart w:id="26" w:name="_Toc15377209"/>
      <w:bookmarkStart w:id="27" w:name="_Toc15396607"/>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30"/>
          <w:rFonts w:hint="eastAsia" w:ascii="黑体" w:hAnsi="黑体" w:eastAsia="黑体"/>
          <w:b w:val="0"/>
          <w:color w:val="auto"/>
          <w:highlight w:val="none"/>
        </w:rPr>
        <w:t>般公共预算财政拨款支出决算情况说明</w:t>
      </w:r>
      <w:bookmarkEnd w:id="26"/>
      <w:bookmarkEnd w:id="27"/>
    </w:p>
    <w:p>
      <w:pPr>
        <w:spacing w:line="600" w:lineRule="exact"/>
        <w:ind w:firstLine="643" w:firstLineChars="200"/>
        <w:outlineLvl w:val="2"/>
        <w:rPr>
          <w:rFonts w:ascii="仿宋" w:hAnsi="仿宋" w:eastAsia="仿宋"/>
          <w:b/>
          <w:color w:val="auto"/>
          <w:sz w:val="32"/>
          <w:szCs w:val="32"/>
          <w:highlight w:val="none"/>
        </w:rPr>
      </w:pPr>
      <w:bookmarkStart w:id="28" w:name="_Toc15377210"/>
      <w:r>
        <w:rPr>
          <w:rFonts w:hint="eastAsia" w:ascii="仿宋" w:hAnsi="仿宋" w:eastAsia="仿宋"/>
          <w:b/>
          <w:color w:val="auto"/>
          <w:sz w:val="32"/>
          <w:szCs w:val="32"/>
          <w:highlight w:val="none"/>
        </w:rPr>
        <w:t>（一）一般公共预算财政拨款支出决算总体情况</w:t>
      </w:r>
      <w:bookmarkEnd w:id="28"/>
    </w:p>
    <w:p>
      <w:pPr>
        <w:spacing w:line="600" w:lineRule="exact"/>
        <w:ind w:firstLine="640"/>
        <w:rPr>
          <w:rFonts w:hint="eastAsia" w:ascii="仿宋" w:hAnsi="仿宋" w:eastAsia="仿宋"/>
          <w:b/>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w:t>
      </w:r>
      <w:r>
        <w:rPr>
          <w:rFonts w:hint="eastAsia" w:ascii="仿宋" w:hAnsi="仿宋" w:eastAsia="仿宋"/>
          <w:color w:val="auto"/>
          <w:sz w:val="32"/>
          <w:szCs w:val="32"/>
          <w:highlight w:val="none"/>
          <w:lang w:val="en-US" w:eastAsia="zh-CN"/>
        </w:rPr>
        <w:t>942</w:t>
      </w:r>
      <w:r>
        <w:rPr>
          <w:rFonts w:hint="eastAsia" w:ascii="仿宋" w:hAnsi="仿宋" w:eastAsia="仿宋"/>
          <w:color w:val="auto"/>
          <w:sz w:val="32"/>
          <w:szCs w:val="32"/>
          <w:highlight w:val="none"/>
        </w:rPr>
        <w:t>.89万元，占本年支出合计的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w:t>
      </w:r>
      <w:r>
        <w:rPr>
          <w:rFonts w:hint="eastAsia" w:ascii="仿宋" w:hAnsi="仿宋" w:eastAsia="仿宋"/>
          <w:color w:val="auto"/>
          <w:sz w:val="32"/>
          <w:szCs w:val="32"/>
          <w:highlight w:val="none"/>
          <w:lang w:val="en-US" w:eastAsia="zh-CN"/>
        </w:rPr>
        <w:t>1028.72</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相比，一般公共预算财政拨款支出</w:t>
      </w:r>
      <w:r>
        <w:rPr>
          <w:rFonts w:hint="eastAsia" w:ascii="仿宋" w:hAnsi="仿宋" w:eastAsia="仿宋"/>
          <w:color w:val="auto"/>
          <w:sz w:val="32"/>
          <w:szCs w:val="32"/>
          <w:highlight w:val="none"/>
          <w:lang w:val="en-US" w:eastAsia="zh-CN"/>
        </w:rPr>
        <w:t>减少85.83</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val="en-US" w:eastAsia="zh-CN"/>
        </w:rPr>
        <w:t>下降</w:t>
      </w:r>
      <w:r>
        <w:rPr>
          <w:rFonts w:hint="eastAsia" w:ascii="仿宋" w:hAnsi="仿宋" w:eastAsia="仿宋"/>
          <w:color w:val="auto"/>
          <w:sz w:val="32"/>
          <w:szCs w:val="32"/>
          <w:highlight w:val="none"/>
        </w:rPr>
        <w:t>8.</w:t>
      </w:r>
      <w:r>
        <w:rPr>
          <w:rFonts w:hint="eastAsia" w:ascii="仿宋" w:hAnsi="仿宋" w:eastAsia="仿宋"/>
          <w:color w:val="auto"/>
          <w:sz w:val="32"/>
          <w:szCs w:val="32"/>
          <w:highlight w:val="none"/>
          <w:lang w:val="en-US" w:eastAsia="zh-CN"/>
        </w:rPr>
        <w:t>34</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教育支出减少</w:t>
      </w:r>
      <w:r>
        <w:rPr>
          <w:rFonts w:hint="eastAsia" w:ascii="仿宋" w:hAnsi="仿宋" w:eastAsia="仿宋"/>
          <w:color w:val="auto"/>
          <w:sz w:val="32"/>
          <w:szCs w:val="32"/>
          <w:highlight w:val="none"/>
        </w:rPr>
        <w:t>。</w:t>
      </w:r>
    </w:p>
    <w:p>
      <w:pPr>
        <w:spacing w:line="600" w:lineRule="exact"/>
        <w:ind w:firstLine="643" w:firstLineChars="200"/>
        <w:outlineLvl w:val="2"/>
        <w:rPr>
          <w:rFonts w:ascii="仿宋" w:hAnsi="仿宋" w:eastAsia="仿宋"/>
          <w:b/>
          <w:color w:val="auto"/>
          <w:sz w:val="32"/>
          <w:szCs w:val="32"/>
          <w:highlight w:val="none"/>
        </w:rPr>
      </w:pPr>
      <w:bookmarkStart w:id="29" w:name="_Toc15377211"/>
      <w:r>
        <w:rPr>
          <w:rFonts w:hint="eastAsia" w:ascii="仿宋" w:hAnsi="仿宋" w:eastAsia="仿宋"/>
          <w:b/>
          <w:color w:val="auto"/>
          <w:sz w:val="32"/>
          <w:szCs w:val="32"/>
          <w:highlight w:val="none"/>
          <w:lang w:eastAsia="zh-CN"/>
        </w:rPr>
        <w:drawing>
          <wp:anchor distT="0" distB="0" distL="114300" distR="114300" simplePos="0" relativeHeight="251663360" behindDoc="0" locked="0" layoutInCell="1" allowOverlap="1">
            <wp:simplePos x="0" y="0"/>
            <wp:positionH relativeFrom="column">
              <wp:posOffset>4445</wp:posOffset>
            </wp:positionH>
            <wp:positionV relativeFrom="paragraph">
              <wp:posOffset>118110</wp:posOffset>
            </wp:positionV>
            <wp:extent cx="5080000" cy="2391410"/>
            <wp:effectExtent l="4445" t="4445" r="20955" b="23495"/>
            <wp:wrapTopAndBottom/>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仿宋" w:hAnsi="仿宋" w:eastAsia="仿宋"/>
          <w:b/>
          <w:color w:val="auto"/>
          <w:sz w:val="32"/>
          <w:szCs w:val="32"/>
          <w:highlight w:val="none"/>
        </w:rPr>
        <w:t>（二）一般公共预算财政拨款支出决算结构情况</w:t>
      </w:r>
      <w:bookmarkEnd w:id="29"/>
    </w:p>
    <w:p>
      <w:pPr>
        <w:spacing w:line="600" w:lineRule="exact"/>
        <w:ind w:firstLine="640"/>
        <w:rPr>
          <w:rFonts w:hint="default" w:ascii="仿宋" w:hAnsi="仿宋" w:eastAsia="仿宋"/>
          <w:b/>
          <w:color w:val="auto"/>
          <w:sz w:val="32"/>
          <w:szCs w:val="32"/>
          <w:highlight w:val="none"/>
          <w:lang w:val="en-US" w:eastAsia="zh-CN"/>
        </w:rPr>
      </w:pPr>
      <w:r>
        <w:rPr>
          <w:rFonts w:hint="eastAsia" w:ascii="仿宋" w:hAnsi="仿宋" w:eastAsia="仿宋"/>
          <w:b/>
          <w:color w:val="auto"/>
          <w:sz w:val="32"/>
          <w:szCs w:val="32"/>
          <w:highlight w:val="none"/>
        </w:rPr>
        <w:drawing>
          <wp:anchor distT="0" distB="0" distL="114300" distR="114300" simplePos="0" relativeHeight="251664384" behindDoc="0" locked="0" layoutInCell="1" allowOverlap="1">
            <wp:simplePos x="0" y="0"/>
            <wp:positionH relativeFrom="column">
              <wp:posOffset>52070</wp:posOffset>
            </wp:positionH>
            <wp:positionV relativeFrom="paragraph">
              <wp:posOffset>1480820</wp:posOffset>
            </wp:positionV>
            <wp:extent cx="5080000" cy="2000250"/>
            <wp:effectExtent l="5080" t="4445" r="20320" b="14605"/>
            <wp:wrapTopAndBottom/>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w:t>
      </w:r>
      <w:r>
        <w:rPr>
          <w:rFonts w:hint="eastAsia" w:ascii="仿宋" w:hAnsi="仿宋" w:eastAsia="仿宋"/>
          <w:color w:val="auto"/>
          <w:sz w:val="32"/>
          <w:szCs w:val="32"/>
          <w:highlight w:val="none"/>
          <w:lang w:val="en-US" w:eastAsia="zh-CN"/>
        </w:rPr>
        <w:t>942</w:t>
      </w:r>
      <w:r>
        <w:rPr>
          <w:rFonts w:hint="eastAsia" w:ascii="仿宋" w:hAnsi="仿宋" w:eastAsia="仿宋"/>
          <w:color w:val="auto"/>
          <w:sz w:val="32"/>
          <w:szCs w:val="32"/>
          <w:highlight w:val="none"/>
        </w:rPr>
        <w:t>.89万元，主要用于以下方面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教育支出（类）</w:t>
      </w:r>
      <w:r>
        <w:rPr>
          <w:rFonts w:hint="eastAsia" w:ascii="仿宋" w:hAnsi="仿宋" w:eastAsia="仿宋"/>
          <w:color w:val="auto"/>
          <w:sz w:val="32"/>
          <w:szCs w:val="32"/>
          <w:highlight w:val="none"/>
          <w:lang w:val="en-US" w:eastAsia="zh-CN"/>
        </w:rPr>
        <w:t>925.18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98.12</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r>
        <w:rPr>
          <w:rFonts w:hint="eastAsia" w:ascii="仿宋" w:hAnsi="仿宋" w:eastAsia="仿宋"/>
          <w:b/>
          <w:bCs/>
          <w:color w:val="auto"/>
          <w:sz w:val="32"/>
          <w:szCs w:val="32"/>
          <w:highlight w:val="none"/>
          <w:lang w:eastAsia="zh-CN"/>
        </w:rPr>
        <w:t>社会保障和就业支出（类）</w:t>
      </w:r>
      <w:r>
        <w:rPr>
          <w:rFonts w:hint="eastAsia" w:ascii="仿宋" w:hAnsi="仿宋" w:eastAsia="仿宋"/>
          <w:color w:val="auto"/>
          <w:sz w:val="32"/>
          <w:szCs w:val="32"/>
          <w:highlight w:val="none"/>
          <w:lang w:val="en-US" w:eastAsia="zh-CN"/>
        </w:rPr>
        <w:t>17.7万元，占1.88%。</w:t>
      </w:r>
    </w:p>
    <w:p>
      <w:pPr>
        <w:spacing w:line="600" w:lineRule="exact"/>
        <w:ind w:firstLine="640"/>
        <w:rPr>
          <w:rFonts w:hint="eastAsia" w:ascii="仿宋" w:hAnsi="仿宋" w:eastAsia="仿宋"/>
          <w:color w:val="auto"/>
          <w:sz w:val="32"/>
          <w:szCs w:val="32"/>
          <w:highlight w:val="none"/>
          <w:lang w:eastAsia="zh-CN"/>
        </w:rPr>
      </w:pPr>
    </w:p>
    <w:p>
      <w:pPr>
        <w:spacing w:line="600" w:lineRule="exact"/>
        <w:rPr>
          <w:rFonts w:ascii="仿宋" w:hAnsi="仿宋" w:eastAsia="仿宋"/>
          <w:b/>
          <w:color w:val="auto"/>
          <w:sz w:val="32"/>
          <w:szCs w:val="32"/>
          <w:highlight w:val="none"/>
        </w:rPr>
      </w:pPr>
      <w:bookmarkStart w:id="30" w:name="_Toc15377212"/>
      <w:r>
        <w:rPr>
          <w:rFonts w:hint="eastAsia" w:ascii="仿宋" w:hAnsi="仿宋" w:eastAsia="仿宋"/>
          <w:b/>
          <w:color w:val="auto"/>
          <w:sz w:val="32"/>
          <w:szCs w:val="32"/>
          <w:highlight w:val="none"/>
        </w:rPr>
        <w:t>（三）一般公共预算财政拨款支出决算具体情况</w:t>
      </w:r>
      <w:bookmarkEnd w:id="30"/>
    </w:p>
    <w:p>
      <w:pPr>
        <w:spacing w:line="600" w:lineRule="exact"/>
        <w:ind w:firstLine="643" w:firstLineChars="200"/>
        <w:outlineLvl w:val="2"/>
        <w:rPr>
          <w:rFonts w:ascii="仿宋" w:hAnsi="仿宋" w:eastAsia="仿宋"/>
          <w:color w:val="auto"/>
          <w:sz w:val="32"/>
          <w:szCs w:val="32"/>
          <w:highlight w:val="none"/>
        </w:rPr>
      </w:pPr>
      <w:bookmarkStart w:id="31" w:name="_Toc15377213"/>
      <w:bookmarkStart w:id="32" w:name="_Toc15378460"/>
      <w:bookmarkStart w:id="33" w:name="_Toc15377444"/>
      <w:r>
        <w:rPr>
          <w:rFonts w:hint="eastAsia" w:ascii="仿宋" w:hAnsi="仿宋" w:eastAsia="仿宋"/>
          <w:b/>
          <w:color w:val="auto"/>
          <w:sz w:val="32"/>
          <w:szCs w:val="32"/>
          <w:highlight w:val="none"/>
        </w:rPr>
        <w:t>2021年一般公共预算支出决算数为</w:t>
      </w:r>
      <w:r>
        <w:rPr>
          <w:rFonts w:hint="eastAsia" w:ascii="仿宋" w:hAnsi="仿宋" w:eastAsia="仿宋"/>
          <w:b/>
          <w:color w:val="auto"/>
          <w:sz w:val="32"/>
          <w:szCs w:val="32"/>
          <w:highlight w:val="none"/>
          <w:lang w:val="en-US" w:eastAsia="zh-CN"/>
        </w:rPr>
        <w:t>942.89万元</w:t>
      </w:r>
      <w:r>
        <w:rPr>
          <w:rFonts w:hint="eastAsia" w:ascii="仿宋" w:hAnsi="仿宋" w:eastAsia="仿宋"/>
          <w:color w:val="auto"/>
          <w:sz w:val="32"/>
          <w:szCs w:val="32"/>
          <w:highlight w:val="none"/>
        </w:rPr>
        <w:t>，</w:t>
      </w:r>
      <w:r>
        <w:rPr>
          <w:rStyle w:val="19"/>
          <w:rFonts w:hint="eastAsia" w:ascii="仿宋" w:hAnsi="仿宋" w:eastAsia="仿宋"/>
          <w:bCs/>
          <w:color w:val="auto"/>
          <w:sz w:val="32"/>
          <w:szCs w:val="32"/>
          <w:highlight w:val="none"/>
        </w:rPr>
        <w:t>完成预算100</w:t>
      </w:r>
      <w:r>
        <w:rPr>
          <w:rStyle w:val="19"/>
          <w:rFonts w:ascii="仿宋" w:hAnsi="仿宋" w:eastAsia="仿宋"/>
          <w:bCs/>
          <w:color w:val="auto"/>
          <w:sz w:val="32"/>
          <w:szCs w:val="32"/>
          <w:highlight w:val="none"/>
        </w:rPr>
        <w:t>%</w:t>
      </w:r>
      <w:r>
        <w:rPr>
          <w:rStyle w:val="19"/>
          <w:rFonts w:hint="eastAsia" w:ascii="仿宋" w:hAnsi="仿宋" w:eastAsia="仿宋"/>
          <w:bCs/>
          <w:color w:val="auto"/>
          <w:sz w:val="32"/>
          <w:szCs w:val="32"/>
          <w:highlight w:val="none"/>
        </w:rPr>
        <w:t>。其中：</w:t>
      </w:r>
      <w:bookmarkEnd w:id="31"/>
      <w:bookmarkEnd w:id="32"/>
      <w:bookmarkEnd w:id="33"/>
    </w:p>
    <w:p>
      <w:pPr>
        <w:numPr>
          <w:ilvl w:val="0"/>
          <w:numId w:val="3"/>
        </w:numPr>
        <w:spacing w:line="600" w:lineRule="exact"/>
        <w:ind w:firstLine="643" w:firstLineChars="200"/>
        <w:rPr>
          <w:rStyle w:val="19"/>
          <w:rFonts w:hint="eastAsia" w:ascii="仿宋" w:hAnsi="仿宋" w:eastAsia="仿宋"/>
          <w:b w:val="0"/>
          <w:bCs/>
          <w:color w:val="auto"/>
          <w:sz w:val="32"/>
          <w:szCs w:val="32"/>
          <w:highlight w:val="none"/>
        </w:rPr>
      </w:pPr>
      <w:r>
        <w:rPr>
          <w:rStyle w:val="19"/>
          <w:rFonts w:hint="eastAsia" w:ascii="仿宋" w:hAnsi="仿宋" w:eastAsia="仿宋"/>
          <w:bCs/>
          <w:color w:val="auto"/>
          <w:sz w:val="32"/>
          <w:szCs w:val="32"/>
          <w:highlight w:val="none"/>
        </w:rPr>
        <w:t>教育205（类）普通教育02（款）</w:t>
      </w:r>
      <w:r>
        <w:rPr>
          <w:rStyle w:val="19"/>
          <w:rFonts w:hint="eastAsia" w:ascii="仿宋" w:hAnsi="仿宋" w:eastAsia="仿宋"/>
          <w:bCs/>
          <w:color w:val="auto"/>
          <w:sz w:val="32"/>
          <w:szCs w:val="32"/>
          <w:highlight w:val="none"/>
          <w:lang w:val="en-US" w:eastAsia="zh-CN"/>
        </w:rPr>
        <w:t>初中</w:t>
      </w:r>
      <w:r>
        <w:rPr>
          <w:rStyle w:val="19"/>
          <w:rFonts w:hint="eastAsia" w:ascii="仿宋" w:hAnsi="仿宋" w:eastAsia="仿宋"/>
          <w:bCs/>
          <w:color w:val="auto"/>
          <w:sz w:val="32"/>
          <w:szCs w:val="32"/>
          <w:highlight w:val="none"/>
        </w:rPr>
        <w:t>教育0</w:t>
      </w:r>
      <w:r>
        <w:rPr>
          <w:rStyle w:val="19"/>
          <w:rFonts w:hint="eastAsia" w:ascii="仿宋" w:hAnsi="仿宋" w:eastAsia="仿宋"/>
          <w:bCs/>
          <w:color w:val="auto"/>
          <w:sz w:val="32"/>
          <w:szCs w:val="32"/>
          <w:highlight w:val="none"/>
          <w:lang w:val="en-US" w:eastAsia="zh-CN"/>
        </w:rPr>
        <w:t>3</w:t>
      </w:r>
      <w:r>
        <w:rPr>
          <w:rStyle w:val="19"/>
          <w:rFonts w:hint="eastAsia" w:ascii="仿宋" w:hAnsi="仿宋" w:eastAsia="仿宋"/>
          <w:bCs/>
          <w:color w:val="auto"/>
          <w:sz w:val="32"/>
          <w:szCs w:val="32"/>
          <w:highlight w:val="none"/>
        </w:rPr>
        <w:t>（项）</w:t>
      </w:r>
      <w:r>
        <w:rPr>
          <w:rStyle w:val="19"/>
          <w:rFonts w:ascii="仿宋" w:hAnsi="仿宋" w:eastAsia="仿宋"/>
          <w:bCs/>
          <w:color w:val="auto"/>
          <w:sz w:val="32"/>
          <w:szCs w:val="32"/>
          <w:highlight w:val="none"/>
        </w:rPr>
        <w:t>:</w:t>
      </w:r>
      <w:r>
        <w:rPr>
          <w:rStyle w:val="19"/>
          <w:rFonts w:ascii="仿宋" w:hAnsi="仿宋" w:eastAsia="仿宋"/>
          <w:b w:val="0"/>
          <w:bCs/>
          <w:color w:val="auto"/>
          <w:sz w:val="32"/>
          <w:szCs w:val="32"/>
          <w:highlight w:val="none"/>
        </w:rPr>
        <w:t xml:space="preserve"> </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666.68</w:t>
      </w:r>
      <w:r>
        <w:rPr>
          <w:rStyle w:val="19"/>
          <w:rFonts w:hint="eastAsia" w:ascii="仿宋" w:hAnsi="仿宋" w:eastAsia="仿宋"/>
          <w:b w:val="0"/>
          <w:bCs/>
          <w:color w:val="auto"/>
          <w:sz w:val="32"/>
          <w:szCs w:val="32"/>
          <w:highlight w:val="none"/>
        </w:rPr>
        <w:t>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lang w:eastAsia="zh-CN"/>
        </w:rPr>
        <w:t>，</w:t>
      </w:r>
      <w:r>
        <w:rPr>
          <w:rStyle w:val="19"/>
          <w:rFonts w:hint="eastAsia" w:ascii="仿宋" w:hAnsi="仿宋" w:eastAsia="仿宋"/>
          <w:b w:val="0"/>
          <w:bCs/>
          <w:color w:val="auto"/>
          <w:sz w:val="32"/>
          <w:szCs w:val="32"/>
          <w:highlight w:val="none"/>
        </w:rPr>
        <w:t>决算数等于预算数。</w:t>
      </w:r>
    </w:p>
    <w:p>
      <w:pPr>
        <w:spacing w:line="600" w:lineRule="exact"/>
        <w:ind w:firstLine="643" w:firstLineChars="200"/>
        <w:rPr>
          <w:color w:val="auto"/>
          <w:highlight w:val="none"/>
        </w:rPr>
      </w:pPr>
      <w:r>
        <w:rPr>
          <w:rStyle w:val="19"/>
          <w:rFonts w:hint="eastAsia" w:ascii="仿宋" w:hAnsi="仿宋" w:eastAsia="仿宋"/>
          <w:bCs/>
          <w:color w:val="auto"/>
          <w:sz w:val="32"/>
          <w:szCs w:val="32"/>
          <w:highlight w:val="none"/>
          <w:lang w:val="en-US" w:eastAsia="zh-CN"/>
        </w:rPr>
        <w:t>2</w:t>
      </w:r>
      <w:r>
        <w:rPr>
          <w:rStyle w:val="19"/>
          <w:rFonts w:ascii="仿宋" w:hAnsi="仿宋" w:eastAsia="仿宋"/>
          <w:bCs/>
          <w:color w:val="auto"/>
          <w:sz w:val="32"/>
          <w:szCs w:val="32"/>
          <w:highlight w:val="none"/>
        </w:rPr>
        <w:t>.</w:t>
      </w:r>
      <w:r>
        <w:rPr>
          <w:rStyle w:val="19"/>
          <w:rFonts w:hint="eastAsia" w:ascii="仿宋" w:hAnsi="仿宋" w:eastAsia="仿宋"/>
          <w:bCs/>
          <w:color w:val="auto"/>
          <w:sz w:val="32"/>
          <w:szCs w:val="32"/>
          <w:highlight w:val="none"/>
        </w:rPr>
        <w:t>教育</w:t>
      </w:r>
      <w:r>
        <w:rPr>
          <w:rStyle w:val="19"/>
          <w:rFonts w:hint="eastAsia" w:ascii="仿宋" w:hAnsi="仿宋" w:eastAsia="仿宋"/>
          <w:bCs/>
          <w:color w:val="auto"/>
          <w:sz w:val="32"/>
          <w:szCs w:val="32"/>
          <w:highlight w:val="none"/>
          <w:lang w:val="en-US" w:eastAsia="zh-CN"/>
        </w:rPr>
        <w:t>205</w:t>
      </w:r>
      <w:r>
        <w:rPr>
          <w:rStyle w:val="19"/>
          <w:rFonts w:hint="eastAsia" w:ascii="仿宋" w:hAnsi="仿宋" w:eastAsia="仿宋"/>
          <w:bCs/>
          <w:color w:val="auto"/>
          <w:sz w:val="32"/>
          <w:szCs w:val="32"/>
          <w:highlight w:val="none"/>
        </w:rPr>
        <w:t>（类）</w:t>
      </w:r>
      <w:r>
        <w:rPr>
          <w:rStyle w:val="19"/>
          <w:rFonts w:hint="eastAsia" w:ascii="仿宋" w:hAnsi="仿宋" w:eastAsia="仿宋"/>
          <w:bCs/>
          <w:color w:val="auto"/>
          <w:sz w:val="32"/>
          <w:szCs w:val="32"/>
          <w:highlight w:val="none"/>
        </w:rPr>
        <w:t>普通教育02</w:t>
      </w:r>
      <w:r>
        <w:rPr>
          <w:rStyle w:val="19"/>
          <w:rFonts w:hint="eastAsia" w:ascii="仿宋" w:hAnsi="仿宋" w:eastAsia="仿宋"/>
          <w:bCs/>
          <w:color w:val="auto"/>
          <w:sz w:val="32"/>
          <w:szCs w:val="32"/>
          <w:highlight w:val="none"/>
        </w:rPr>
        <w:t>（款）</w:t>
      </w:r>
      <w:r>
        <w:rPr>
          <w:rStyle w:val="19"/>
          <w:rFonts w:hint="eastAsia" w:ascii="仿宋" w:hAnsi="仿宋" w:eastAsia="仿宋"/>
          <w:bCs/>
          <w:color w:val="auto"/>
          <w:sz w:val="32"/>
          <w:szCs w:val="32"/>
          <w:highlight w:val="none"/>
          <w:lang w:val="en-US" w:eastAsia="zh-CN"/>
        </w:rPr>
        <w:t>其他普通教育支出99</w:t>
      </w:r>
      <w:r>
        <w:rPr>
          <w:rStyle w:val="19"/>
          <w:rFonts w:hint="eastAsia" w:ascii="仿宋" w:hAnsi="仿宋" w:eastAsia="仿宋"/>
          <w:bCs/>
          <w:color w:val="auto"/>
          <w:sz w:val="32"/>
          <w:szCs w:val="32"/>
          <w:highlight w:val="none"/>
        </w:rPr>
        <w:t>（项）</w:t>
      </w:r>
      <w:r>
        <w:rPr>
          <w:rStyle w:val="19"/>
          <w:rFonts w:ascii="仿宋" w:hAnsi="仿宋" w:eastAsia="仿宋"/>
          <w:bCs/>
          <w:color w:val="auto"/>
          <w:sz w:val="32"/>
          <w:szCs w:val="32"/>
          <w:highlight w:val="none"/>
        </w:rPr>
        <w:t>:</w:t>
      </w:r>
      <w:r>
        <w:rPr>
          <w:rStyle w:val="19"/>
          <w:rFonts w:ascii="仿宋" w:hAnsi="仿宋" w:eastAsia="仿宋"/>
          <w:b w:val="0"/>
          <w:bCs/>
          <w:color w:val="auto"/>
          <w:sz w:val="32"/>
          <w:szCs w:val="32"/>
          <w:highlight w:val="none"/>
        </w:rPr>
        <w:t xml:space="preserve"> </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258.5</w:t>
      </w:r>
      <w:r>
        <w:rPr>
          <w:rStyle w:val="19"/>
          <w:rFonts w:hint="eastAsia" w:ascii="仿宋" w:hAnsi="仿宋" w:eastAsia="仿宋"/>
          <w:b w:val="0"/>
          <w:bCs/>
          <w:color w:val="auto"/>
          <w:sz w:val="32"/>
          <w:szCs w:val="32"/>
          <w:highlight w:val="none"/>
        </w:rPr>
        <w:t>万元，完成预算</w:t>
      </w:r>
      <w:r>
        <w:rPr>
          <w:rStyle w:val="19"/>
          <w:rFonts w:hint="eastAsia" w:ascii="仿宋" w:hAnsi="仿宋" w:eastAsia="仿宋"/>
          <w:b w:val="0"/>
          <w:bCs/>
          <w:color w:val="auto"/>
          <w:sz w:val="32"/>
          <w:szCs w:val="32"/>
          <w:highlight w:val="none"/>
          <w:lang w:val="en-US" w:eastAsia="zh-CN"/>
        </w:rPr>
        <w:t>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w:t>
      </w:r>
    </w:p>
    <w:p>
      <w:pPr>
        <w:spacing w:line="600" w:lineRule="exact"/>
        <w:ind w:firstLine="643" w:firstLineChars="200"/>
        <w:rPr>
          <w:rStyle w:val="19"/>
          <w:rFonts w:hint="eastAsia" w:ascii="仿宋" w:hAnsi="仿宋" w:eastAsia="仿宋"/>
          <w:bCs/>
          <w:color w:val="auto"/>
          <w:sz w:val="32"/>
          <w:szCs w:val="32"/>
          <w:highlight w:val="none"/>
        </w:rPr>
      </w:pPr>
      <w:r>
        <w:rPr>
          <w:rStyle w:val="19"/>
          <w:rFonts w:hint="eastAsia" w:ascii="仿宋" w:hAnsi="仿宋" w:eastAsia="仿宋"/>
          <w:bCs/>
          <w:color w:val="auto"/>
          <w:sz w:val="32"/>
          <w:szCs w:val="32"/>
          <w:highlight w:val="none"/>
          <w:lang w:val="en-US" w:eastAsia="zh-CN"/>
        </w:rPr>
        <w:t>3</w:t>
      </w:r>
      <w:r>
        <w:rPr>
          <w:rStyle w:val="19"/>
          <w:rFonts w:ascii="仿宋" w:hAnsi="仿宋" w:eastAsia="仿宋"/>
          <w:bCs/>
          <w:color w:val="auto"/>
          <w:sz w:val="32"/>
          <w:szCs w:val="32"/>
          <w:highlight w:val="none"/>
        </w:rPr>
        <w:t>.</w:t>
      </w:r>
      <w:r>
        <w:rPr>
          <w:rStyle w:val="19"/>
          <w:rFonts w:hint="eastAsia" w:ascii="仿宋" w:hAnsi="仿宋" w:eastAsia="仿宋"/>
          <w:bCs/>
          <w:color w:val="auto"/>
          <w:sz w:val="32"/>
          <w:szCs w:val="32"/>
          <w:highlight w:val="none"/>
        </w:rPr>
        <w:t>社会保障和就业支出</w:t>
      </w:r>
      <w:r>
        <w:rPr>
          <w:rStyle w:val="19"/>
          <w:rFonts w:hint="eastAsia" w:ascii="仿宋" w:hAnsi="仿宋" w:eastAsia="仿宋"/>
          <w:bCs/>
          <w:color w:val="auto"/>
          <w:sz w:val="32"/>
          <w:szCs w:val="32"/>
          <w:highlight w:val="none"/>
          <w:lang w:val="en-US" w:eastAsia="zh-CN"/>
        </w:rPr>
        <w:t>208</w:t>
      </w:r>
      <w:r>
        <w:rPr>
          <w:rStyle w:val="19"/>
          <w:rFonts w:hint="eastAsia" w:ascii="仿宋" w:hAnsi="仿宋" w:eastAsia="仿宋"/>
          <w:bCs/>
          <w:color w:val="auto"/>
          <w:sz w:val="32"/>
          <w:szCs w:val="32"/>
          <w:highlight w:val="none"/>
        </w:rPr>
        <w:t>（类）</w:t>
      </w:r>
      <w:r>
        <w:rPr>
          <w:rStyle w:val="19"/>
          <w:rFonts w:hint="eastAsia" w:ascii="仿宋" w:hAnsi="仿宋" w:eastAsia="仿宋"/>
          <w:bCs/>
          <w:color w:val="auto"/>
          <w:sz w:val="32"/>
          <w:szCs w:val="32"/>
          <w:highlight w:val="none"/>
          <w:lang w:val="en-US" w:eastAsia="zh-CN"/>
        </w:rPr>
        <w:t>抚恤08</w:t>
      </w:r>
      <w:r>
        <w:rPr>
          <w:rStyle w:val="19"/>
          <w:rFonts w:hint="eastAsia" w:ascii="仿宋" w:hAnsi="仿宋" w:eastAsia="仿宋"/>
          <w:bCs/>
          <w:color w:val="auto"/>
          <w:sz w:val="32"/>
          <w:szCs w:val="32"/>
          <w:highlight w:val="none"/>
        </w:rPr>
        <w:t>（款）</w:t>
      </w:r>
      <w:r>
        <w:rPr>
          <w:rStyle w:val="19"/>
          <w:rFonts w:hint="eastAsia" w:ascii="仿宋" w:hAnsi="仿宋" w:eastAsia="仿宋"/>
          <w:bCs/>
          <w:color w:val="auto"/>
          <w:sz w:val="32"/>
          <w:szCs w:val="32"/>
          <w:highlight w:val="none"/>
          <w:lang w:val="en-US" w:eastAsia="zh-CN"/>
        </w:rPr>
        <w:t>死亡抚恤01</w:t>
      </w:r>
      <w:r>
        <w:rPr>
          <w:rStyle w:val="19"/>
          <w:rFonts w:hint="eastAsia" w:ascii="仿宋" w:hAnsi="仿宋" w:eastAsia="仿宋"/>
          <w:bCs/>
          <w:color w:val="auto"/>
          <w:sz w:val="32"/>
          <w:szCs w:val="32"/>
          <w:highlight w:val="none"/>
        </w:rPr>
        <w:t>（项）</w:t>
      </w:r>
      <w:r>
        <w:rPr>
          <w:rStyle w:val="19"/>
          <w:rFonts w:ascii="仿宋" w:hAnsi="仿宋" w:eastAsia="仿宋"/>
          <w:bCs/>
          <w:color w:val="auto"/>
          <w:sz w:val="32"/>
          <w:szCs w:val="32"/>
          <w:highlight w:val="none"/>
        </w:rPr>
        <w:t>:</w:t>
      </w:r>
      <w:r>
        <w:rPr>
          <w:rStyle w:val="19"/>
          <w:rFonts w:ascii="仿宋" w:hAnsi="仿宋" w:eastAsia="仿宋"/>
          <w:b w:val="0"/>
          <w:bCs/>
          <w:color w:val="auto"/>
          <w:sz w:val="32"/>
          <w:szCs w:val="32"/>
          <w:highlight w:val="none"/>
        </w:rPr>
        <w:t xml:space="preserve"> </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17.70</w:t>
      </w:r>
      <w:r>
        <w:rPr>
          <w:rStyle w:val="19"/>
          <w:rFonts w:hint="eastAsia" w:ascii="仿宋" w:hAnsi="仿宋" w:eastAsia="仿宋"/>
          <w:b w:val="0"/>
          <w:bCs/>
          <w:color w:val="auto"/>
          <w:sz w:val="32"/>
          <w:szCs w:val="32"/>
          <w:highlight w:val="none"/>
        </w:rPr>
        <w:t>万元，完成预算</w:t>
      </w:r>
      <w:r>
        <w:rPr>
          <w:rStyle w:val="19"/>
          <w:rFonts w:hint="eastAsia" w:ascii="仿宋" w:hAnsi="仿宋" w:eastAsia="仿宋"/>
          <w:b w:val="0"/>
          <w:bCs/>
          <w:color w:val="auto"/>
          <w:sz w:val="32"/>
          <w:szCs w:val="32"/>
          <w:highlight w:val="none"/>
          <w:lang w:val="en-US" w:eastAsia="zh-CN"/>
        </w:rPr>
        <w:t>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w:t>
      </w:r>
    </w:p>
    <w:p>
      <w:pPr>
        <w:pStyle w:val="16"/>
        <w:rPr>
          <w:color w:val="auto"/>
          <w:highlight w:val="none"/>
        </w:rPr>
      </w:pPr>
    </w:p>
    <w:p>
      <w:pPr>
        <w:tabs>
          <w:tab w:val="right" w:pos="8306"/>
        </w:tabs>
        <w:spacing w:line="600" w:lineRule="exact"/>
        <w:ind w:firstLine="640"/>
        <w:outlineLvl w:val="1"/>
        <w:rPr>
          <w:rStyle w:val="30"/>
          <w:color w:val="auto"/>
          <w:highlight w:val="none"/>
        </w:rPr>
      </w:pPr>
      <w:bookmarkStart w:id="34" w:name="_Toc15377214"/>
      <w:bookmarkStart w:id="35" w:name="_Toc15396608"/>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30"/>
          <w:rFonts w:hint="eastAsia" w:ascii="黑体" w:hAnsi="黑体" w:eastAsia="黑体"/>
          <w:b w:val="0"/>
          <w:color w:val="auto"/>
          <w:highlight w:val="none"/>
        </w:rPr>
        <w:t>般公共预算财政拨款基本支出决算情况说明</w:t>
      </w:r>
      <w:bookmarkEnd w:id="34"/>
      <w:bookmarkEnd w:id="35"/>
      <w:r>
        <w:rPr>
          <w:rStyle w:val="30"/>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21年一般公共预算财政拨款基本支出</w:t>
      </w:r>
      <w:r>
        <w:rPr>
          <w:rFonts w:hint="eastAsia" w:ascii="仿宋" w:hAnsi="仿宋" w:eastAsia="仿宋"/>
          <w:color w:val="auto"/>
          <w:sz w:val="32"/>
          <w:szCs w:val="32"/>
          <w:highlight w:val="none"/>
          <w:lang w:val="en-US" w:eastAsia="zh-CN"/>
        </w:rPr>
        <w:t>684.38</w:t>
      </w:r>
      <w:r>
        <w:rPr>
          <w:rFonts w:hint="eastAsia" w:ascii="仿宋" w:hAnsi="仿宋" w:eastAsia="仿宋"/>
          <w:color w:val="auto"/>
          <w:sz w:val="32"/>
          <w:szCs w:val="32"/>
          <w:highlight w:val="none"/>
        </w:rPr>
        <w:t>万元，其中：</w:t>
      </w:r>
    </w:p>
    <w:p>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616.96</w:t>
      </w:r>
      <w:r>
        <w:rPr>
          <w:rFonts w:hint="eastAsia" w:ascii="仿宋" w:hAnsi="仿宋" w:eastAsia="仿宋"/>
          <w:color w:val="auto"/>
          <w:sz w:val="32"/>
          <w:szCs w:val="32"/>
          <w:highlight w:val="none"/>
        </w:rPr>
        <w:t>万元，主要包括：基本工资、津贴补贴、绩效工资、机关事业单位基本养老保险缴费、职业年金缴费、职工基本医疗保险缴费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其他社会保障缴费、其他工资福利支出、住房公积金、生活补助、助学金</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奖励金、抚恤金等。</w:t>
      </w:r>
    </w:p>
    <w:p>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67.42</w:t>
      </w:r>
      <w:r>
        <w:rPr>
          <w:rFonts w:hint="eastAsia" w:ascii="仿宋" w:hAnsi="仿宋" w:eastAsia="仿宋"/>
          <w:color w:val="auto"/>
          <w:sz w:val="32"/>
          <w:szCs w:val="32"/>
          <w:highlight w:val="none"/>
        </w:rPr>
        <w:t>万元，主要包括：办公费、印刷费、手续费、水费、电费、邮电费、差旅费、维修（护）费、培训费、公务接待费、工会经费等。</w:t>
      </w:r>
    </w:p>
    <w:p>
      <w:pPr>
        <w:spacing w:line="600" w:lineRule="exact"/>
        <w:ind w:firstLine="640"/>
        <w:outlineLvl w:val="1"/>
        <w:rPr>
          <w:rStyle w:val="30"/>
          <w:rFonts w:ascii="黑体" w:hAnsi="黑体" w:eastAsia="黑体"/>
          <w:b w:val="0"/>
          <w:color w:val="auto"/>
          <w:highlight w:val="none"/>
        </w:rPr>
      </w:pPr>
      <w:bookmarkStart w:id="36" w:name="_Toc15396609"/>
      <w:bookmarkStart w:id="37" w:name="_Toc15377215"/>
      <w:r>
        <w:rPr>
          <w:rFonts w:hint="eastAsia" w:ascii="黑体" w:eastAsia="黑体"/>
          <w:color w:val="auto"/>
          <w:sz w:val="32"/>
          <w:szCs w:val="32"/>
          <w:highlight w:val="none"/>
        </w:rPr>
        <w:t>七、</w:t>
      </w:r>
      <w:r>
        <w:rPr>
          <w:rStyle w:val="30"/>
          <w:rFonts w:hint="eastAsia" w:ascii="黑体" w:hAnsi="黑体" w:eastAsia="黑体"/>
          <w:color w:val="auto"/>
          <w:highlight w:val="none"/>
        </w:rPr>
        <w:t>“</w:t>
      </w:r>
      <w:r>
        <w:rPr>
          <w:rStyle w:val="30"/>
          <w:rFonts w:hint="eastAsia" w:ascii="黑体" w:hAnsi="黑体" w:eastAsia="黑体"/>
          <w:b w:val="0"/>
          <w:color w:val="auto"/>
          <w:highlight w:val="none"/>
        </w:rPr>
        <w:t>三公”经费财政拨款支出决算情况说明</w:t>
      </w:r>
      <w:bookmarkEnd w:id="36"/>
      <w:bookmarkEnd w:id="37"/>
    </w:p>
    <w:p>
      <w:pPr>
        <w:spacing w:line="600" w:lineRule="exact"/>
        <w:ind w:firstLine="640"/>
        <w:outlineLvl w:val="2"/>
        <w:rPr>
          <w:rFonts w:ascii="仿宋" w:hAnsi="仿宋" w:eastAsia="仿宋"/>
          <w:b/>
          <w:color w:val="auto"/>
          <w:sz w:val="32"/>
          <w:szCs w:val="32"/>
          <w:highlight w:val="none"/>
        </w:rPr>
      </w:pPr>
      <w:bookmarkStart w:id="38" w:name="_Toc15377216"/>
      <w:r>
        <w:rPr>
          <w:rFonts w:hint="eastAsia" w:ascii="仿宋" w:hAnsi="仿宋" w:eastAsia="仿宋"/>
          <w:b/>
          <w:color w:val="auto"/>
          <w:sz w:val="32"/>
          <w:szCs w:val="32"/>
          <w:highlight w:val="none"/>
        </w:rPr>
        <w:t>（一）“三公”经费财政拨款支出决算总体情况说明</w:t>
      </w:r>
      <w:bookmarkEnd w:id="38"/>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21年“三公”经费财政拨款支出决算为</w:t>
      </w:r>
      <w:r>
        <w:rPr>
          <w:rFonts w:hint="eastAsia" w:ascii="仿宋" w:hAnsi="仿宋" w:eastAsia="仿宋"/>
          <w:color w:val="auto"/>
          <w:sz w:val="32"/>
          <w:szCs w:val="32"/>
          <w:highlight w:val="none"/>
          <w:lang w:val="en-US" w:eastAsia="zh-CN"/>
        </w:rPr>
        <w:t>2.53</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97.31</w:t>
      </w:r>
      <w:r>
        <w:rPr>
          <w:rFonts w:ascii="仿宋" w:hAnsi="仿宋" w:eastAsia="仿宋"/>
          <w:color w:val="auto"/>
          <w:sz w:val="32"/>
          <w:szCs w:val="32"/>
          <w:highlight w:val="none"/>
        </w:rPr>
        <w:t>%</w:t>
      </w:r>
      <w:r>
        <w:rPr>
          <w:rFonts w:hint="eastAsia" w:ascii="仿宋" w:hAnsi="仿宋" w:eastAsia="仿宋"/>
          <w:color w:val="auto"/>
          <w:sz w:val="32"/>
          <w:szCs w:val="32"/>
          <w:highlight w:val="none"/>
        </w:rPr>
        <w:t>，决算数小于预算数的主要原因</w:t>
      </w:r>
      <w:r>
        <w:rPr>
          <w:rFonts w:hint="eastAsia" w:ascii="仿宋" w:hAnsi="仿宋" w:eastAsia="仿宋"/>
          <w:color w:val="auto"/>
          <w:sz w:val="32"/>
          <w:szCs w:val="32"/>
          <w:highlight w:val="none"/>
        </w:rPr>
        <w:t>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p>
    <w:p>
      <w:pPr>
        <w:spacing w:line="600" w:lineRule="exact"/>
        <w:ind w:firstLine="640"/>
        <w:outlineLvl w:val="2"/>
        <w:rPr>
          <w:rFonts w:ascii="仿宋" w:hAnsi="仿宋" w:eastAsia="仿宋"/>
          <w:b/>
          <w:color w:val="auto"/>
          <w:sz w:val="32"/>
          <w:szCs w:val="32"/>
          <w:highlight w:val="none"/>
        </w:rPr>
      </w:pPr>
      <w:bookmarkStart w:id="39" w:name="_Toc15377217"/>
      <w:r>
        <w:rPr>
          <w:rFonts w:hint="eastAsia" w:ascii="仿宋" w:hAnsi="仿宋" w:eastAsia="仿宋"/>
          <w:b/>
          <w:color w:val="auto"/>
          <w:sz w:val="32"/>
          <w:szCs w:val="32"/>
          <w:highlight w:val="none"/>
        </w:rPr>
        <w:t>（二）“三公”经费财政拨款支出决算具体情况说明</w:t>
      </w:r>
      <w:bookmarkEnd w:id="39"/>
    </w:p>
    <w:p>
      <w:pPr>
        <w:spacing w:line="600" w:lineRule="exact"/>
        <w:ind w:firstLine="640" w:firstLineChars="200"/>
        <w:rPr>
          <w:rFonts w:hint="eastAsia"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21年“三公”经费财政拨款支出决算中，因公出国（境）费支出决算0万元，当年未安排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公务用车购置及运行维护费支出决算0万元，当年未安排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2.53</w:t>
      </w:r>
      <w:r>
        <w:rPr>
          <w:rFonts w:hint="eastAsia" w:ascii="仿宋" w:hAnsi="仿宋" w:eastAsia="仿宋"/>
          <w:color w:val="auto"/>
          <w:sz w:val="32"/>
          <w:szCs w:val="32"/>
          <w:highlight w:val="none"/>
        </w:rPr>
        <w:t>万元，占100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 w:hAnsi="仿宋" w:eastAsia="仿宋"/>
          <w:color w:val="auto"/>
          <w:sz w:val="32"/>
          <w:szCs w:val="32"/>
          <w:highlight w:val="none"/>
          <w:lang w:eastAsia="zh-CN"/>
        </w:rPr>
        <w:drawing>
          <wp:anchor distT="0" distB="0" distL="114300" distR="114300" simplePos="0" relativeHeight="251665408" behindDoc="0" locked="0" layoutInCell="1" allowOverlap="1">
            <wp:simplePos x="0" y="0"/>
            <wp:positionH relativeFrom="column">
              <wp:posOffset>1270</wp:posOffset>
            </wp:positionH>
            <wp:positionV relativeFrom="paragraph">
              <wp:posOffset>242570</wp:posOffset>
            </wp:positionV>
            <wp:extent cx="5080000" cy="2771775"/>
            <wp:effectExtent l="4445" t="4445" r="20955" b="5080"/>
            <wp:wrapTopAndBottom/>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_GB2312" w:hAnsi="Times New Roman" w:eastAsia="仿宋_GB2312" w:cs="仿宋_GB2312"/>
          <w:b/>
          <w:bCs w:val="0"/>
          <w:color w:val="auto"/>
          <w:kern w:val="2"/>
          <w:sz w:val="32"/>
          <w:szCs w:val="32"/>
          <w:highlight w:val="none"/>
          <w:lang w:val="en-US" w:eastAsia="zh-CN" w:bidi="ar"/>
        </w:rPr>
        <w:t>1.因公出国（境）经费支出</w:t>
      </w:r>
      <w:r>
        <w:rPr>
          <w:rFonts w:hint="eastAsia" w:ascii="仿宋_GB2312" w:hAnsi="Times New Roman" w:eastAsia="仿宋_GB2312" w:cs="仿宋_GB2312"/>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_GB2312" w:hAnsi="Times New Roman" w:eastAsia="仿宋_GB2312" w:cs="仿宋_GB2312"/>
          <w:b/>
          <w:bCs w:val="0"/>
          <w:color w:val="auto"/>
          <w:kern w:val="2"/>
          <w:sz w:val="32"/>
          <w:szCs w:val="32"/>
          <w:highlight w:val="none"/>
          <w:lang w:val="en-US" w:eastAsia="zh-CN" w:bidi="ar"/>
        </w:rPr>
        <w:t>2.公务用车购置及运行维护费支出</w:t>
      </w:r>
      <w:r>
        <w:rPr>
          <w:rFonts w:hint="eastAsia" w:ascii="仿宋_GB2312" w:hAnsi="Times New Roman" w:eastAsia="仿宋_GB2312" w:cs="仿宋_GB2312"/>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pPr>
        <w:keepNext w:val="0"/>
        <w:keepLines w:val="0"/>
        <w:widowControl w:val="0"/>
        <w:suppressLineNumbers w:val="0"/>
        <w:spacing w:before="0" w:beforeAutospacing="0" w:after="0" w:afterAutospacing="0" w:line="600" w:lineRule="exact"/>
        <w:ind w:right="0" w:firstLine="643" w:firstLineChars="200"/>
        <w:jc w:val="both"/>
        <w:rPr>
          <w:rFonts w:hint="eastAsia" w:ascii="仿宋_GB2312" w:eastAsia="仿宋_GB2312" w:cs="仿宋_GB2312"/>
          <w:bCs/>
          <w:color w:val="auto"/>
          <w:sz w:val="32"/>
          <w:szCs w:val="32"/>
          <w:highlight w:val="none"/>
          <w:lang w:val="en-US"/>
        </w:rPr>
      </w:pPr>
      <w:r>
        <w:rPr>
          <w:rFonts w:hint="eastAsia" w:ascii="仿宋_GB2312" w:hAnsi="Times New Roman" w:eastAsia="仿宋_GB2312" w:cs="仿宋_GB2312"/>
          <w:b/>
          <w:bCs/>
          <w:color w:val="auto"/>
          <w:kern w:val="2"/>
          <w:sz w:val="32"/>
          <w:szCs w:val="32"/>
          <w:highlight w:val="none"/>
          <w:lang w:val="en-US" w:eastAsia="zh-CN" w:bidi="ar"/>
        </w:rPr>
        <w:t>其中：</w:t>
      </w:r>
      <w:r>
        <w:rPr>
          <w:rFonts w:hint="eastAsia" w:ascii="仿宋_GB2312" w:hAnsi="Times New Roman" w:eastAsia="仿宋_GB2312" w:cs="仿宋_GB2312"/>
          <w:b/>
          <w:bCs w:val="0"/>
          <w:color w:val="auto"/>
          <w:kern w:val="2"/>
          <w:sz w:val="32"/>
          <w:szCs w:val="32"/>
          <w:highlight w:val="none"/>
          <w:lang w:val="en-US" w:eastAsia="zh-CN" w:bidi="ar"/>
        </w:rPr>
        <w:t>公务用车购置支出</w:t>
      </w:r>
      <w:r>
        <w:rPr>
          <w:rFonts w:hint="eastAsia" w:ascii="仿宋_GB2312" w:hAnsi="Times New Roman" w:eastAsia="仿宋_GB2312" w:cs="仿宋_GB2312"/>
          <w:bCs/>
          <w:color w:val="auto"/>
          <w:kern w:val="2"/>
          <w:sz w:val="32"/>
          <w:szCs w:val="32"/>
          <w:highlight w:val="none"/>
          <w:lang w:val="en-US" w:eastAsia="zh-CN" w:bidi="ar"/>
        </w:rPr>
        <w:t>0万元。</w:t>
      </w:r>
      <w:r>
        <w:rPr>
          <w:rFonts w:hint="eastAsia" w:ascii="仿宋_GB2312" w:eastAsia="仿宋_GB2312" w:cs="仿宋_GB2312"/>
          <w:bCs/>
          <w:color w:val="auto"/>
          <w:kern w:val="2"/>
          <w:sz w:val="32"/>
          <w:szCs w:val="32"/>
          <w:highlight w:val="none"/>
          <w:lang w:val="en-US" w:eastAsia="zh-CN" w:bidi="ar"/>
        </w:rPr>
        <w:t>全年按规定更新购置公务用车0辆，</w:t>
      </w:r>
      <w:r>
        <w:rPr>
          <w:rFonts w:hint="eastAsia" w:ascii="仿宋_GB2312" w:eastAsia="仿宋_GB2312" w:cs="仿宋_GB2312"/>
          <w:color w:val="auto"/>
          <w:kern w:val="2"/>
          <w:sz w:val="32"/>
          <w:szCs w:val="32"/>
          <w:highlight w:val="none"/>
          <w:lang w:val="en-US" w:eastAsia="zh-CN" w:bidi="ar"/>
        </w:rPr>
        <w:t>主要原因是我单位未购置公务用车。</w:t>
      </w:r>
      <w:r>
        <w:rPr>
          <w:rFonts w:hint="eastAsia" w:ascii="仿宋_GB2312" w:eastAsia="仿宋_GB2312" w:cs="仿宋_GB2312"/>
          <w:bCs/>
          <w:color w:val="auto"/>
          <w:kern w:val="2"/>
          <w:sz w:val="32"/>
          <w:szCs w:val="32"/>
          <w:highlight w:val="none"/>
          <w:lang w:val="en-US" w:eastAsia="zh-CN" w:bidi="ar"/>
        </w:rPr>
        <w:t>截止2021年12月底，单位共有公务用车0辆。</w:t>
      </w:r>
    </w:p>
    <w:p>
      <w:pPr>
        <w:keepNext w:val="0"/>
        <w:keepLines w:val="0"/>
        <w:widowControl w:val="0"/>
        <w:suppressLineNumbers w:val="0"/>
        <w:spacing w:before="0" w:beforeAutospacing="0" w:after="0" w:afterAutospacing="0" w:line="600" w:lineRule="exact"/>
        <w:ind w:right="0" w:firstLine="643" w:firstLineChars="200"/>
        <w:jc w:val="both"/>
        <w:rPr>
          <w:color w:val="auto"/>
          <w:highlight w:val="none"/>
        </w:rPr>
      </w:pPr>
      <w:r>
        <w:rPr>
          <w:rFonts w:hint="eastAsia" w:ascii="仿宋_GB2312" w:hAnsi="Times New Roman" w:eastAsia="仿宋_GB2312" w:cs="仿宋_GB2312"/>
          <w:b/>
          <w:bCs w:val="0"/>
          <w:color w:val="auto"/>
          <w:kern w:val="2"/>
          <w:sz w:val="32"/>
          <w:szCs w:val="32"/>
          <w:highlight w:val="none"/>
          <w:lang w:val="en-US" w:eastAsia="zh-CN" w:bidi="ar"/>
        </w:rPr>
        <w:t>公务用车运行维护费支出</w:t>
      </w:r>
      <w:r>
        <w:rPr>
          <w:rFonts w:hint="eastAsia" w:ascii="仿宋_GB2312" w:hAnsi="Times New Roman" w:eastAsia="仿宋_GB2312" w:cs="仿宋_GB2312"/>
          <w:color w:val="auto"/>
          <w:kern w:val="2"/>
          <w:sz w:val="32"/>
          <w:szCs w:val="32"/>
          <w:highlight w:val="none"/>
          <w:lang w:val="en-US" w:eastAsia="zh-CN" w:bidi="ar"/>
        </w:rPr>
        <w:t>0万元。</w:t>
      </w:r>
      <w:r>
        <w:rPr>
          <w:rFonts w:hint="eastAsia" w:ascii="仿宋_GB2312" w:eastAsia="仿宋_GB2312" w:cs="仿宋_GB2312"/>
          <w:color w:val="auto"/>
          <w:kern w:val="2"/>
          <w:sz w:val="32"/>
          <w:szCs w:val="32"/>
          <w:highlight w:val="none"/>
          <w:lang w:val="en-US" w:eastAsia="zh-CN" w:bidi="ar"/>
        </w:rPr>
        <w:t>主要原因是我单位无公务用车。</w:t>
      </w:r>
    </w:p>
    <w:p>
      <w:pPr>
        <w:spacing w:line="600" w:lineRule="exact"/>
        <w:ind w:firstLine="640"/>
        <w:rPr>
          <w:rFonts w:hint="default" w:ascii="Times New Roman" w:hAnsi="Times New Roman" w:eastAsia="仿宋" w:cs="Times New Roman"/>
          <w:color w:val="auto"/>
          <w:sz w:val="32"/>
          <w:szCs w:val="32"/>
          <w:highlight w:val="none"/>
        </w:rPr>
      </w:pPr>
      <w:r>
        <w:rPr>
          <w:rFonts w:ascii="仿宋_GB2312" w:eastAsia="仿宋_GB2312"/>
          <w:b/>
          <w:bCs w:val="0"/>
          <w:color w:val="auto"/>
          <w:sz w:val="32"/>
          <w:szCs w:val="32"/>
          <w:highlight w:val="none"/>
        </w:rPr>
        <w:t>3.</w:t>
      </w:r>
      <w:r>
        <w:rPr>
          <w:rFonts w:hint="default" w:ascii="Times New Roman" w:hAnsi="Times New Roman" w:eastAsia="仿宋" w:cs="Times New Roman"/>
          <w:b/>
          <w:bCs w:val="0"/>
          <w:color w:val="auto"/>
          <w:sz w:val="32"/>
          <w:szCs w:val="32"/>
          <w:highlight w:val="none"/>
        </w:rPr>
        <w:t>公务接待费支出</w:t>
      </w:r>
      <w:r>
        <w:rPr>
          <w:rFonts w:hint="eastAsia" w:ascii="仿宋" w:hAnsi="仿宋" w:eastAsia="仿宋"/>
          <w:color w:val="auto"/>
          <w:sz w:val="32"/>
          <w:szCs w:val="32"/>
          <w:highlight w:val="none"/>
          <w:lang w:val="en-US" w:eastAsia="zh-CN"/>
        </w:rPr>
        <w:t>2.53</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97.31</w:t>
      </w:r>
      <w:r>
        <w:rPr>
          <w:rFonts w:ascii="仿宋" w:hAnsi="仿宋" w:eastAsia="仿宋"/>
          <w:color w:val="auto"/>
          <w:sz w:val="32"/>
          <w:szCs w:val="32"/>
          <w:highlight w:val="none"/>
        </w:rPr>
        <w:t>%</w:t>
      </w:r>
      <w:r>
        <w:rPr>
          <w:rFonts w:hint="default" w:ascii="Times New Roman" w:hAnsi="Times New Roman" w:eastAsia="仿宋" w:cs="Times New Roman"/>
          <w:color w:val="auto"/>
          <w:sz w:val="32"/>
          <w:szCs w:val="32"/>
          <w:highlight w:val="none"/>
        </w:rPr>
        <w:t>。公务接待费支出决算</w:t>
      </w:r>
      <w:r>
        <w:rPr>
          <w:rFonts w:hint="eastAsia" w:ascii="仿宋_GB2312" w:eastAsia="仿宋_GB2312"/>
          <w:color w:val="auto"/>
          <w:sz w:val="32"/>
          <w:szCs w:val="32"/>
          <w:highlight w:val="none"/>
          <w:lang w:val="en-US" w:eastAsia="zh-CN"/>
        </w:rPr>
        <w:t>比2020减少0.05万元，下降1.94%</w:t>
      </w:r>
      <w:r>
        <w:rPr>
          <w:rFonts w:hint="default" w:ascii="Times New Roman" w:hAnsi="Times New Roman" w:eastAsia="仿宋" w:cs="Times New Roman"/>
          <w:color w:val="auto"/>
          <w:sz w:val="32"/>
          <w:szCs w:val="32"/>
          <w:highlight w:val="none"/>
        </w:rPr>
        <w:t>。</w:t>
      </w:r>
      <w:r>
        <w:rPr>
          <w:rFonts w:hint="eastAsia" w:ascii="Times New Roman" w:hAnsi="Times New Roman" w:eastAsia="仿宋" w:cs="Times New Roman"/>
          <w:color w:val="auto"/>
          <w:sz w:val="32"/>
          <w:szCs w:val="32"/>
          <w:highlight w:val="none"/>
          <w:lang w:eastAsia="zh-CN"/>
        </w:rPr>
        <w:t>主要原因是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r>
        <w:rPr>
          <w:rFonts w:hint="default" w:ascii="Times New Roman" w:hAnsi="Times New Roman" w:eastAsia="仿宋" w:cs="Times New Roman"/>
          <w:color w:val="auto"/>
          <w:sz w:val="32"/>
          <w:szCs w:val="32"/>
          <w:highlight w:val="none"/>
        </w:rPr>
        <w:t>其中：</w:t>
      </w:r>
    </w:p>
    <w:p>
      <w:pPr>
        <w:spacing w:line="600" w:lineRule="exact"/>
        <w:ind w:firstLine="640"/>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b/>
          <w:bCs/>
          <w:color w:val="auto"/>
          <w:sz w:val="32"/>
          <w:szCs w:val="32"/>
          <w:highlight w:val="none"/>
        </w:rPr>
        <w:t>国内公务接待支出</w:t>
      </w:r>
      <w:r>
        <w:rPr>
          <w:rFonts w:hint="eastAsia" w:eastAsia="仿宋" w:cs="Times New Roman"/>
          <w:color w:val="auto"/>
          <w:sz w:val="32"/>
          <w:szCs w:val="32"/>
          <w:highlight w:val="none"/>
          <w:lang w:val="en-US" w:eastAsia="zh-CN"/>
        </w:rPr>
        <w:t>2.53</w:t>
      </w:r>
      <w:r>
        <w:rPr>
          <w:rFonts w:hint="default" w:ascii="Times New Roman" w:hAnsi="Times New Roman" w:eastAsia="仿宋" w:cs="Times New Roman"/>
          <w:color w:val="auto"/>
          <w:sz w:val="32"/>
          <w:szCs w:val="32"/>
          <w:highlight w:val="none"/>
        </w:rPr>
        <w:t>万元，主要用于</w:t>
      </w:r>
      <w:r>
        <w:rPr>
          <w:rFonts w:hint="eastAsia" w:ascii="Times New Roman" w:hAnsi="Times New Roman" w:eastAsia="仿宋" w:cs="Times New Roman"/>
          <w:color w:val="auto"/>
          <w:sz w:val="32"/>
          <w:szCs w:val="32"/>
          <w:highlight w:val="none"/>
          <w:lang w:eastAsia="zh-CN"/>
        </w:rPr>
        <w:t>接待上级来访、</w:t>
      </w:r>
      <w:r>
        <w:rPr>
          <w:rFonts w:hint="eastAsia" w:ascii="仿宋_GB2312" w:hAnsi="Times New Roman" w:eastAsia="仿宋_GB2312" w:cs="Times New Roman"/>
          <w:color w:val="auto"/>
          <w:kern w:val="2"/>
          <w:sz w:val="32"/>
          <w:szCs w:val="32"/>
          <w:highlight w:val="none"/>
          <w:lang w:val="en-US" w:eastAsia="zh-CN" w:bidi="ar"/>
        </w:rPr>
        <w:t>教育教学活动</w:t>
      </w:r>
      <w:r>
        <w:rPr>
          <w:rFonts w:hint="eastAsia" w:ascii="仿宋_GB2312" w:eastAsia="仿宋_GB2312" w:cs="Times New Roman"/>
          <w:color w:val="auto"/>
          <w:kern w:val="2"/>
          <w:sz w:val="32"/>
          <w:szCs w:val="32"/>
          <w:highlight w:val="none"/>
          <w:lang w:val="en-US" w:eastAsia="zh-CN" w:bidi="ar"/>
        </w:rPr>
        <w:t>交流、</w:t>
      </w:r>
      <w:r>
        <w:rPr>
          <w:rFonts w:hint="eastAsia" w:ascii="仿宋_GB2312" w:eastAsia="仿宋_GB2312"/>
          <w:color w:val="auto"/>
          <w:sz w:val="32"/>
          <w:szCs w:val="32"/>
          <w:highlight w:val="none"/>
          <w:lang w:val="en-US" w:eastAsia="zh-CN"/>
        </w:rPr>
        <w:t>学生活动费及运动会学生用餐、交通费、体检费等</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color w:val="auto"/>
          <w:sz w:val="32"/>
          <w:szCs w:val="32"/>
          <w:highlight w:val="none"/>
        </w:rPr>
        <w:t>国内公务接待</w:t>
      </w:r>
      <w:r>
        <w:rPr>
          <w:rFonts w:hint="eastAsia" w:eastAsia="仿宋" w:cs="Times New Roman"/>
          <w:color w:val="auto"/>
          <w:sz w:val="32"/>
          <w:szCs w:val="32"/>
          <w:highlight w:val="none"/>
          <w:lang w:val="en-US" w:eastAsia="zh-CN"/>
        </w:rPr>
        <w:t>184</w:t>
      </w:r>
      <w:r>
        <w:rPr>
          <w:rFonts w:hint="default" w:ascii="Times New Roman" w:hAnsi="Times New Roman" w:eastAsia="仿宋" w:cs="Times New Roman"/>
          <w:color w:val="auto"/>
          <w:sz w:val="32"/>
          <w:szCs w:val="32"/>
          <w:highlight w:val="none"/>
        </w:rPr>
        <w:t>批次，</w:t>
      </w:r>
      <w:r>
        <w:rPr>
          <w:rFonts w:hint="eastAsia" w:eastAsia="仿宋" w:cs="Times New Roman"/>
          <w:color w:val="auto"/>
          <w:sz w:val="32"/>
          <w:szCs w:val="32"/>
          <w:highlight w:val="none"/>
          <w:lang w:val="en-US" w:eastAsia="zh-CN"/>
        </w:rPr>
        <w:t>563</w:t>
      </w:r>
      <w:r>
        <w:rPr>
          <w:rFonts w:hint="default" w:ascii="Times New Roman" w:hAnsi="Times New Roman" w:eastAsia="仿宋" w:cs="Times New Roman"/>
          <w:color w:val="auto"/>
          <w:sz w:val="32"/>
          <w:szCs w:val="32"/>
          <w:highlight w:val="none"/>
        </w:rPr>
        <w:t>人次（不包括陪同人员），共计支出</w:t>
      </w:r>
      <w:r>
        <w:rPr>
          <w:rFonts w:hint="eastAsia" w:eastAsia="仿宋" w:cs="Times New Roman"/>
          <w:color w:val="auto"/>
          <w:sz w:val="32"/>
          <w:szCs w:val="32"/>
          <w:highlight w:val="none"/>
          <w:lang w:val="en-US" w:eastAsia="zh-CN"/>
        </w:rPr>
        <w:t>2.53</w:t>
      </w:r>
      <w:r>
        <w:rPr>
          <w:rFonts w:hint="default" w:ascii="Times New Roman" w:hAnsi="Times New Roman" w:eastAsia="仿宋" w:cs="Times New Roman"/>
          <w:color w:val="auto"/>
          <w:sz w:val="32"/>
          <w:szCs w:val="32"/>
          <w:highlight w:val="none"/>
        </w:rPr>
        <w:t>万元</w:t>
      </w:r>
      <w:r>
        <w:rPr>
          <w:rFonts w:hint="eastAsia" w:eastAsia="仿宋" w:cs="Times New Roman"/>
          <w:color w:val="auto"/>
          <w:sz w:val="32"/>
          <w:szCs w:val="32"/>
          <w:highlight w:val="none"/>
          <w:lang w:eastAsia="zh-CN"/>
        </w:rPr>
        <w:t>，具体内容包括</w:t>
      </w:r>
      <w:r>
        <w:rPr>
          <w:rFonts w:hint="eastAsia" w:ascii="Times New Roman" w:hAnsi="Times New Roman" w:eastAsia="仿宋" w:cs="Times New Roman"/>
          <w:color w:val="auto"/>
          <w:sz w:val="32"/>
          <w:szCs w:val="32"/>
          <w:highlight w:val="none"/>
          <w:lang w:eastAsia="zh-CN"/>
        </w:rPr>
        <w:t>接待上级来访</w:t>
      </w:r>
      <w:r>
        <w:rPr>
          <w:rFonts w:hint="eastAsia" w:eastAsia="仿宋" w:cs="Times New Roman"/>
          <w:color w:val="auto"/>
          <w:sz w:val="32"/>
          <w:szCs w:val="32"/>
          <w:highlight w:val="none"/>
          <w:lang w:val="en-US" w:eastAsia="zh-CN"/>
        </w:rPr>
        <w:t>0.2万元</w:t>
      </w:r>
      <w:r>
        <w:rPr>
          <w:rFonts w:hint="eastAsia" w:ascii="Times New Roman" w:hAnsi="Times New Roman" w:eastAsia="仿宋" w:cs="Times New Roman"/>
          <w:color w:val="auto"/>
          <w:sz w:val="32"/>
          <w:szCs w:val="32"/>
          <w:highlight w:val="none"/>
          <w:lang w:eastAsia="zh-CN"/>
        </w:rPr>
        <w:t>、</w:t>
      </w:r>
      <w:r>
        <w:rPr>
          <w:rFonts w:hint="eastAsia" w:ascii="仿宋_GB2312" w:hAnsi="Times New Roman" w:eastAsia="仿宋_GB2312" w:cs="Times New Roman"/>
          <w:color w:val="auto"/>
          <w:kern w:val="2"/>
          <w:sz w:val="32"/>
          <w:szCs w:val="32"/>
          <w:highlight w:val="none"/>
          <w:lang w:val="en-US" w:eastAsia="zh-CN" w:bidi="ar"/>
        </w:rPr>
        <w:t>教育教学活动</w:t>
      </w:r>
      <w:r>
        <w:rPr>
          <w:rFonts w:hint="eastAsia" w:ascii="仿宋_GB2312" w:eastAsia="仿宋_GB2312" w:cs="Times New Roman"/>
          <w:color w:val="auto"/>
          <w:kern w:val="2"/>
          <w:sz w:val="32"/>
          <w:szCs w:val="32"/>
          <w:highlight w:val="none"/>
          <w:lang w:val="en-US" w:eastAsia="zh-CN" w:bidi="ar"/>
        </w:rPr>
        <w:t>交流0.1万元、</w:t>
      </w:r>
      <w:r>
        <w:rPr>
          <w:rFonts w:hint="eastAsia" w:ascii="仿宋_GB2312" w:eastAsia="仿宋_GB2312"/>
          <w:color w:val="auto"/>
          <w:sz w:val="32"/>
          <w:szCs w:val="32"/>
          <w:highlight w:val="none"/>
          <w:lang w:val="en-US" w:eastAsia="zh-CN"/>
        </w:rPr>
        <w:t>学生活动费及运动会学生用餐、交通费、体检费等0.81万元。</w:t>
      </w:r>
    </w:p>
    <w:p>
      <w:pPr>
        <w:spacing w:line="60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default" w:ascii="Times New Roman" w:hAnsi="Times New Roman" w:eastAsia="仿宋" w:cs="Times New Roman"/>
          <w:color w:val="auto"/>
          <w:sz w:val="32"/>
          <w:szCs w:val="32"/>
          <w:highlight w:val="none"/>
        </w:rPr>
        <w:t>外事接待支出</w:t>
      </w:r>
      <w:r>
        <w:rPr>
          <w:rFonts w:hint="eastAsia" w:ascii="仿宋_GB2312" w:hAnsi="Times New Roman" w:eastAsia="仿宋_GB2312" w:cs="仿宋_GB2312"/>
          <w:color w:val="auto"/>
          <w:kern w:val="2"/>
          <w:sz w:val="32"/>
          <w:szCs w:val="32"/>
          <w:highlight w:val="none"/>
          <w:lang w:val="en-US" w:eastAsia="zh-CN" w:bidi="ar"/>
        </w:rPr>
        <w:t>决算与2020年持平</w:t>
      </w:r>
      <w:r>
        <w:rPr>
          <w:rFonts w:hint="eastAsia" w:ascii="Times New Roman" w:hAnsi="Times New Roman" w:eastAsia="仿宋" w:cs="Times New Roman"/>
          <w:color w:val="auto"/>
          <w:sz w:val="32"/>
          <w:szCs w:val="32"/>
          <w:highlight w:val="none"/>
        </w:rPr>
        <w:t>。</w:t>
      </w:r>
    </w:p>
    <w:p>
      <w:pPr>
        <w:spacing w:line="600" w:lineRule="exact"/>
        <w:outlineLvl w:val="1"/>
        <w:rPr>
          <w:rFonts w:ascii="黑体" w:eastAsia="黑体"/>
          <w:color w:val="auto"/>
          <w:sz w:val="32"/>
          <w:szCs w:val="32"/>
          <w:highlight w:val="none"/>
        </w:rPr>
      </w:pPr>
      <w:bookmarkStart w:id="40" w:name="_Toc15377218"/>
      <w:bookmarkStart w:id="41" w:name="_Toc15396610"/>
    </w:p>
    <w:p>
      <w:pPr>
        <w:spacing w:line="600" w:lineRule="exact"/>
        <w:ind w:firstLine="640"/>
        <w:outlineLvl w:val="1"/>
        <w:rPr>
          <w:rStyle w:val="30"/>
          <w:rFonts w:ascii="黑体" w:hAnsi="黑体" w:eastAsia="黑体"/>
          <w:color w:val="auto"/>
          <w:highlight w:val="none"/>
        </w:rPr>
      </w:pPr>
      <w:r>
        <w:rPr>
          <w:rFonts w:hint="eastAsia" w:ascii="黑体" w:eastAsia="黑体"/>
          <w:color w:val="auto"/>
          <w:sz w:val="32"/>
          <w:szCs w:val="32"/>
          <w:highlight w:val="none"/>
        </w:rPr>
        <w:t>八、</w:t>
      </w:r>
      <w:r>
        <w:rPr>
          <w:rStyle w:val="30"/>
          <w:rFonts w:hint="eastAsia" w:ascii="黑体" w:hAnsi="黑体" w:eastAsia="黑体"/>
          <w:b w:val="0"/>
          <w:color w:val="auto"/>
          <w:highlight w:val="none"/>
        </w:rPr>
        <w:t>政府性基金预算支出决算情况说明</w:t>
      </w:r>
      <w:bookmarkEnd w:id="40"/>
      <w:bookmarkEnd w:id="41"/>
    </w:p>
    <w:p>
      <w:pPr>
        <w:spacing w:line="600" w:lineRule="exact"/>
        <w:ind w:firstLine="640"/>
        <w:rPr>
          <w:rFonts w:hint="eastAsia"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21年政府性基金预算财政拨款支出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万元。202</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年本单位未在政府性基金预算拨款安排“三公”经费支出</w:t>
      </w:r>
      <w:r>
        <w:rPr>
          <w:rFonts w:hint="eastAsia" w:ascii="仿宋_GB2312" w:eastAsia="仿宋_GB2312"/>
          <w:color w:val="auto"/>
          <w:sz w:val="32"/>
          <w:szCs w:val="32"/>
          <w:highlight w:val="none"/>
        </w:rPr>
        <w:t>。</w:t>
      </w:r>
    </w:p>
    <w:p>
      <w:pPr>
        <w:pStyle w:val="16"/>
        <w:rPr>
          <w:color w:val="auto"/>
          <w:highlight w:val="none"/>
        </w:rPr>
      </w:pPr>
    </w:p>
    <w:p>
      <w:pPr>
        <w:numPr>
          <w:ilvl w:val="0"/>
          <w:numId w:val="4"/>
        </w:numPr>
        <w:spacing w:line="600" w:lineRule="exact"/>
        <w:ind w:firstLine="640"/>
        <w:outlineLvl w:val="1"/>
        <w:rPr>
          <w:rStyle w:val="30"/>
          <w:rFonts w:ascii="黑体" w:hAnsi="黑体" w:eastAsia="黑体"/>
          <w:b w:val="0"/>
          <w:color w:val="auto"/>
          <w:highlight w:val="none"/>
        </w:rPr>
      </w:pPr>
      <w:bookmarkStart w:id="42" w:name="_Toc15396611"/>
      <w:bookmarkStart w:id="43" w:name="_Toc15377219"/>
      <w:r>
        <w:rPr>
          <w:rStyle w:val="30"/>
          <w:rFonts w:hint="eastAsia" w:ascii="黑体" w:hAnsi="黑体" w:eastAsia="黑体"/>
          <w:b w:val="0"/>
          <w:color w:val="auto"/>
          <w:highlight w:val="none"/>
        </w:rPr>
        <w:t>国有资本经营预算支出决算情况说明</w:t>
      </w:r>
      <w:bookmarkEnd w:id="42"/>
      <w:bookmarkEnd w:id="43"/>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21年国有资本经营预算财政拨款支出0万元，年初未安排预算。</w:t>
      </w:r>
    </w:p>
    <w:p>
      <w:pPr>
        <w:spacing w:line="580" w:lineRule="exact"/>
        <w:rPr>
          <w:rFonts w:ascii="方正小标宋简体" w:hAnsi="方正小标宋简体" w:eastAsia="方正小标宋简体" w:cs="方正小标宋简体"/>
          <w:color w:val="auto"/>
          <w:sz w:val="44"/>
          <w:szCs w:val="44"/>
          <w:highlight w:val="none"/>
        </w:rPr>
      </w:pPr>
    </w:p>
    <w:p>
      <w:pPr>
        <w:numPr>
          <w:ilvl w:val="0"/>
          <w:numId w:val="4"/>
        </w:numPr>
        <w:spacing w:line="600" w:lineRule="exact"/>
        <w:ind w:firstLine="640"/>
        <w:outlineLvl w:val="1"/>
        <w:rPr>
          <w:rStyle w:val="30"/>
          <w:rFonts w:ascii="黑体" w:hAnsi="黑体" w:eastAsia="黑体"/>
          <w:b w:val="0"/>
          <w:color w:val="auto"/>
          <w:highlight w:val="none"/>
        </w:rPr>
      </w:pPr>
      <w:bookmarkStart w:id="44" w:name="_Toc15377221"/>
      <w:bookmarkStart w:id="45" w:name="_Toc15396612"/>
      <w:r>
        <w:rPr>
          <w:rStyle w:val="30"/>
          <w:rFonts w:hint="eastAsia" w:ascii="黑体" w:hAnsi="黑体" w:eastAsia="黑体"/>
          <w:b w:val="0"/>
          <w:color w:val="auto"/>
          <w:highlight w:val="none"/>
        </w:rPr>
        <w:t>预算绩效管理情况</w:t>
      </w:r>
    </w:p>
    <w:p>
      <w:pPr>
        <w:spacing w:line="58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根据预算绩效管理要求，本单位在2021年度预算编制阶段，因无项目支出，故不涉及事前评估和项目绩效目标，预算执行过程中，</w:t>
      </w:r>
      <w:r>
        <w:rPr>
          <w:rFonts w:hint="eastAsia" w:ascii="仿宋_GB2312" w:hAnsi="仿宋_GB2312" w:eastAsia="仿宋_GB2312" w:cs="仿宋_GB2312"/>
          <w:color w:val="auto"/>
          <w:sz w:val="32"/>
          <w:szCs w:val="32"/>
          <w:highlight w:val="none"/>
          <w:lang w:eastAsia="zh-CN"/>
        </w:rPr>
        <w:t>对追加预算</w:t>
      </w:r>
      <w:r>
        <w:rPr>
          <w:rFonts w:hint="eastAsia" w:ascii="仿宋_GB2312" w:hAnsi="仿宋_GB2312" w:eastAsia="仿宋_GB2312" w:cs="仿宋_GB2312"/>
          <w:color w:val="auto"/>
          <w:sz w:val="32"/>
          <w:szCs w:val="32"/>
          <w:highlight w:val="none"/>
          <w:lang w:val="en-US" w:eastAsia="zh-CN"/>
        </w:rPr>
        <w:t>校舍维修</w:t>
      </w:r>
      <w:r>
        <w:rPr>
          <w:rFonts w:hint="eastAsia" w:ascii="仿宋_GB2312" w:hAnsi="仿宋_GB2312" w:eastAsia="仿宋_GB2312" w:cs="仿宋_GB2312"/>
          <w:color w:val="auto"/>
          <w:sz w:val="32"/>
          <w:szCs w:val="32"/>
          <w:highlight w:val="none"/>
          <w:lang w:eastAsia="zh-CN"/>
        </w:rPr>
        <w:t>项目和</w:t>
      </w:r>
      <w:r>
        <w:rPr>
          <w:rFonts w:hint="eastAsia" w:ascii="仿宋_GB2312" w:hAnsi="仿宋_GB2312" w:eastAsia="仿宋_GB2312" w:cs="仿宋_GB2312"/>
          <w:color w:val="auto"/>
          <w:sz w:val="32"/>
          <w:szCs w:val="32"/>
          <w:highlight w:val="none"/>
          <w:lang w:val="en-US" w:eastAsia="zh-CN"/>
        </w:rPr>
        <w:t>运动场建设</w:t>
      </w:r>
      <w:r>
        <w:rPr>
          <w:rFonts w:hint="eastAsia" w:ascii="仿宋_GB2312" w:hAnsi="仿宋_GB2312" w:eastAsia="仿宋_GB2312" w:cs="仿宋_GB2312"/>
          <w:color w:val="auto"/>
          <w:sz w:val="32"/>
          <w:szCs w:val="32"/>
          <w:highlight w:val="none"/>
          <w:lang w:eastAsia="zh-CN"/>
        </w:rPr>
        <w:t>项目</w:t>
      </w:r>
      <w:r>
        <w:rPr>
          <w:rFonts w:hint="eastAsia" w:ascii="仿宋_GB2312" w:hAnsi="仿宋_GB2312" w:eastAsia="仿宋_GB2312" w:cs="仿宋_GB2312"/>
          <w:color w:val="auto"/>
          <w:sz w:val="32"/>
          <w:szCs w:val="32"/>
          <w:highlight w:val="none"/>
        </w:rPr>
        <w:t>编制了绩效目标</w:t>
      </w:r>
      <w:r>
        <w:rPr>
          <w:rFonts w:hint="eastAsia" w:ascii="仿宋_GB2312" w:hAnsi="仿宋_GB2312" w:eastAsia="仿宋_GB2312" w:cs="仿宋_GB2312"/>
          <w:color w:val="auto"/>
          <w:sz w:val="32"/>
          <w:szCs w:val="32"/>
          <w:highlight w:val="none"/>
          <w:lang w:eastAsia="zh-CN"/>
        </w:rPr>
        <w:t>，并</w:t>
      </w:r>
      <w:r>
        <w:rPr>
          <w:rFonts w:hint="eastAsia" w:ascii="仿宋_GB2312" w:hAnsi="仿宋_GB2312" w:eastAsia="仿宋_GB2312" w:cs="仿宋_GB2312"/>
          <w:color w:val="auto"/>
          <w:sz w:val="32"/>
          <w:szCs w:val="32"/>
          <w:highlight w:val="none"/>
        </w:rPr>
        <w:t>开展</w:t>
      </w:r>
      <w:r>
        <w:rPr>
          <w:rFonts w:hint="eastAsia" w:ascii="仿宋_GB2312" w:hAnsi="仿宋_GB2312" w:eastAsia="仿宋_GB2312" w:cs="仿宋_GB2312"/>
          <w:color w:val="auto"/>
          <w:sz w:val="32"/>
          <w:szCs w:val="32"/>
          <w:highlight w:val="none"/>
          <w:lang w:eastAsia="zh-CN"/>
        </w:rPr>
        <w:t>了</w:t>
      </w:r>
      <w:r>
        <w:rPr>
          <w:rFonts w:hint="eastAsia" w:ascii="仿宋_GB2312" w:hAnsi="仿宋_GB2312" w:eastAsia="仿宋_GB2312" w:cs="仿宋_GB2312"/>
          <w:color w:val="auto"/>
          <w:sz w:val="32"/>
          <w:szCs w:val="32"/>
          <w:highlight w:val="none"/>
        </w:rPr>
        <w:t>绩效</w:t>
      </w:r>
      <w:r>
        <w:rPr>
          <w:rFonts w:hint="eastAsia" w:ascii="仿宋_GB2312" w:hAnsi="仿宋_GB2312" w:eastAsia="仿宋_GB2312" w:cs="仿宋_GB2312"/>
          <w:color w:val="auto"/>
          <w:sz w:val="32"/>
          <w:szCs w:val="32"/>
          <w:highlight w:val="none"/>
          <w:lang w:eastAsia="zh-CN"/>
        </w:rPr>
        <w:t>运行</w:t>
      </w:r>
      <w:r>
        <w:rPr>
          <w:rFonts w:hint="eastAsia" w:ascii="仿宋_GB2312" w:hAnsi="仿宋_GB2312" w:eastAsia="仿宋_GB2312" w:cs="仿宋_GB2312"/>
          <w:color w:val="auto"/>
          <w:sz w:val="32"/>
          <w:szCs w:val="32"/>
          <w:highlight w:val="none"/>
        </w:rPr>
        <w:t>监控，年终执行完毕后，对</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个项目开展了绩效自评，2021年部门预算项目绩效目标自评表见附件（第四部分）。</w:t>
      </w:r>
    </w:p>
    <w:p>
      <w:pPr>
        <w:pStyle w:val="2"/>
        <w:spacing w:before="93"/>
        <w:rPr>
          <w:color w:val="auto"/>
          <w:highlight w:val="none"/>
        </w:rPr>
      </w:pPr>
    </w:p>
    <w:p>
      <w:pPr>
        <w:numPr>
          <w:ilvl w:val="0"/>
          <w:numId w:val="4"/>
        </w:numPr>
        <w:spacing w:line="600" w:lineRule="exact"/>
        <w:ind w:firstLine="640"/>
        <w:outlineLvl w:val="1"/>
        <w:rPr>
          <w:rStyle w:val="30"/>
          <w:rFonts w:ascii="黑体" w:hAnsi="黑体" w:eastAsia="黑体"/>
          <w:b w:val="0"/>
          <w:color w:val="auto"/>
          <w:highlight w:val="none"/>
        </w:rPr>
      </w:pPr>
      <w:r>
        <w:rPr>
          <w:rStyle w:val="30"/>
          <w:rFonts w:hint="eastAsia" w:ascii="黑体" w:hAnsi="黑体" w:eastAsia="黑体"/>
          <w:b w:val="0"/>
          <w:color w:val="auto"/>
          <w:highlight w:val="none"/>
        </w:rPr>
        <w:t>其他重要事项的情况说明</w:t>
      </w:r>
      <w:bookmarkEnd w:id="44"/>
      <w:bookmarkEnd w:id="45"/>
    </w:p>
    <w:p>
      <w:pPr>
        <w:spacing w:line="600" w:lineRule="exact"/>
        <w:ind w:firstLine="643" w:firstLineChars="200"/>
        <w:outlineLvl w:val="2"/>
        <w:rPr>
          <w:rFonts w:ascii="仿宋" w:hAnsi="仿宋" w:eastAsia="仿宋"/>
          <w:color w:val="auto"/>
          <w:sz w:val="32"/>
          <w:szCs w:val="32"/>
          <w:highlight w:val="none"/>
        </w:rPr>
      </w:pPr>
      <w:bookmarkStart w:id="46" w:name="_Toc15377222"/>
      <w:r>
        <w:rPr>
          <w:rFonts w:hint="eastAsia" w:ascii="仿宋" w:hAnsi="仿宋" w:eastAsia="仿宋"/>
          <w:b/>
          <w:color w:val="auto"/>
          <w:sz w:val="32"/>
          <w:szCs w:val="32"/>
          <w:highlight w:val="none"/>
        </w:rPr>
        <w:t>（一）机关运行经费支出情况</w:t>
      </w:r>
      <w:bookmarkEnd w:id="46"/>
    </w:p>
    <w:p>
      <w:pPr>
        <w:keepNext w:val="0"/>
        <w:keepLines w:val="0"/>
        <w:widowControl w:val="0"/>
        <w:suppressLineNumbers w:val="0"/>
        <w:spacing w:before="0" w:beforeAutospacing="0" w:after="0" w:afterAutospacing="0" w:line="600" w:lineRule="exact"/>
        <w:ind w:left="0" w:right="0" w:firstLine="640"/>
        <w:jc w:val="both"/>
        <w:rPr>
          <w:rFonts w:hint="eastAsia" w:ascii="仿宋_GB2312" w:eastAsia="仿宋_GB2312" w:cs="仿宋_GB2312"/>
          <w:color w:val="auto"/>
          <w:sz w:val="32"/>
          <w:szCs w:val="32"/>
          <w:highlight w:val="none"/>
          <w:lang w:val="en-US"/>
        </w:rPr>
      </w:pPr>
      <w:bookmarkStart w:id="47" w:name="_Toc15377223"/>
      <w:r>
        <w:rPr>
          <w:rFonts w:hint="eastAsia" w:ascii="仿宋_GB2312" w:hAnsi="Times New Roman" w:eastAsia="仿宋_GB2312" w:cs="仿宋_GB2312"/>
          <w:color w:val="auto"/>
          <w:kern w:val="2"/>
          <w:sz w:val="32"/>
          <w:szCs w:val="32"/>
          <w:highlight w:val="none"/>
          <w:lang w:val="en-US" w:eastAsia="zh-CN" w:bidi="ar"/>
        </w:rPr>
        <w:t>202</w:t>
      </w:r>
      <w:r>
        <w:rPr>
          <w:rFonts w:hint="eastAsia" w:ascii="仿宋_GB2312" w:eastAsia="仿宋_GB2312" w:cs="仿宋_GB2312"/>
          <w:color w:val="auto"/>
          <w:kern w:val="2"/>
          <w:sz w:val="32"/>
          <w:szCs w:val="32"/>
          <w:highlight w:val="none"/>
          <w:lang w:val="en-US" w:eastAsia="zh-CN" w:bidi="ar"/>
        </w:rPr>
        <w:t>1</w:t>
      </w:r>
      <w:r>
        <w:rPr>
          <w:rFonts w:hint="eastAsia" w:ascii="仿宋_GB2312" w:hAnsi="Times New Roman" w:eastAsia="仿宋_GB2312" w:cs="仿宋_GB2312"/>
          <w:color w:val="auto"/>
          <w:kern w:val="2"/>
          <w:sz w:val="32"/>
          <w:szCs w:val="32"/>
          <w:highlight w:val="none"/>
          <w:lang w:val="en-US" w:eastAsia="zh-CN" w:bidi="ar"/>
        </w:rPr>
        <w:t>年，我部门</w:t>
      </w:r>
      <w:r>
        <w:rPr>
          <w:rFonts w:hint="eastAsia" w:ascii="仿宋_GB2312" w:eastAsia="仿宋_GB2312" w:cs="仿宋_GB2312"/>
          <w:color w:val="auto"/>
          <w:kern w:val="2"/>
          <w:sz w:val="32"/>
          <w:szCs w:val="32"/>
          <w:highlight w:val="none"/>
          <w:lang w:val="en-US" w:eastAsia="zh-CN" w:bidi="ar"/>
        </w:rPr>
        <w:t>机关</w:t>
      </w:r>
      <w:r>
        <w:rPr>
          <w:rFonts w:hint="eastAsia" w:ascii="仿宋_GB2312" w:hAnsi="Times New Roman" w:eastAsia="仿宋_GB2312" w:cs="仿宋_GB2312"/>
          <w:color w:val="auto"/>
          <w:kern w:val="2"/>
          <w:sz w:val="32"/>
          <w:szCs w:val="32"/>
          <w:highlight w:val="none"/>
          <w:lang w:val="en-US" w:eastAsia="zh-CN" w:bidi="ar"/>
        </w:rPr>
        <w:t>运行经费支出0元，</w:t>
      </w:r>
      <w:r>
        <w:rPr>
          <w:rFonts w:hint="eastAsia" w:ascii="仿宋_GB2312" w:eastAsia="仿宋_GB2312" w:cs="仿宋_GB2312"/>
          <w:color w:val="auto"/>
          <w:kern w:val="2"/>
          <w:sz w:val="32"/>
          <w:szCs w:val="32"/>
          <w:highlight w:val="none"/>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highlight w:val="none"/>
          <w:lang w:val="en-US" w:eastAsia="zh-CN" w:bidi="ar"/>
        </w:rPr>
        <w:t>。主要原因是本单位为事业单位，</w:t>
      </w:r>
      <w:r>
        <w:rPr>
          <w:rFonts w:hint="eastAsia" w:ascii="仿宋_GB2312" w:eastAsia="仿宋_GB2312" w:cs="仿宋_GB2312"/>
          <w:color w:val="auto"/>
          <w:kern w:val="2"/>
          <w:sz w:val="32"/>
          <w:szCs w:val="32"/>
          <w:highlight w:val="none"/>
          <w:lang w:val="en-US" w:eastAsia="zh-CN" w:bidi="ar"/>
        </w:rPr>
        <w:t>未发生</w:t>
      </w:r>
      <w:r>
        <w:rPr>
          <w:rFonts w:hint="eastAsia" w:ascii="仿宋_GB2312" w:hAnsi="Times New Roman" w:eastAsia="仿宋_GB2312" w:cs="仿宋_GB2312"/>
          <w:color w:val="auto"/>
          <w:kern w:val="2"/>
          <w:sz w:val="32"/>
          <w:szCs w:val="32"/>
          <w:highlight w:val="none"/>
          <w:lang w:val="en-US" w:eastAsia="zh-CN" w:bidi="ar"/>
        </w:rPr>
        <w:t>机关运行经费支出。</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47"/>
    </w:p>
    <w:p>
      <w:pPr>
        <w:spacing w:line="600" w:lineRule="exact"/>
        <w:ind w:firstLine="640" w:firstLineChars="200"/>
        <w:rPr>
          <w:rFonts w:hint="default" w:ascii="仿宋_GB2312" w:eastAsia="仿宋_GB2312"/>
          <w:color w:val="auto"/>
          <w:sz w:val="32"/>
          <w:szCs w:val="32"/>
          <w:highlight w:val="none"/>
          <w:lang w:val="en-US"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21年，我单位政府采购支出</w:t>
      </w:r>
      <w:r>
        <w:rPr>
          <w:rFonts w:hint="eastAsia" w:ascii="仿宋_GB2312" w:eastAsia="仿宋_GB2312"/>
          <w:color w:val="auto"/>
          <w:sz w:val="32"/>
          <w:szCs w:val="32"/>
          <w:highlight w:val="none"/>
          <w:lang w:eastAsia="zh-CN"/>
        </w:rPr>
        <w:t>年初未预算采购经费，</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 xml:space="preserve"> </w:t>
      </w:r>
      <w:r>
        <w:rPr>
          <w:rFonts w:hint="eastAsia" w:ascii="仿宋_GB2312" w:eastAsia="仿宋_GB2312" w:cs="仿宋_GB2312"/>
          <w:color w:val="auto"/>
          <w:kern w:val="2"/>
          <w:sz w:val="32"/>
          <w:szCs w:val="32"/>
          <w:highlight w:val="none"/>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highlight w:val="none"/>
          <w:lang w:val="en-US" w:eastAsia="zh-CN" w:bidi="ar"/>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48" w:name="_Toc15377224"/>
      <w:r>
        <w:rPr>
          <w:rFonts w:hint="eastAsia" w:ascii="仿宋" w:hAnsi="仿宋" w:eastAsia="仿宋"/>
          <w:b/>
          <w:color w:val="auto"/>
          <w:sz w:val="32"/>
          <w:szCs w:val="32"/>
          <w:highlight w:val="none"/>
        </w:rPr>
        <w:t>（三）国有资产占有使用情况</w:t>
      </w:r>
      <w:bookmarkEnd w:id="48"/>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我单位</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辆、应急保障用车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pStyle w:val="2"/>
        <w:spacing w:before="93"/>
        <w:rPr>
          <w:color w:val="auto"/>
          <w:highlight w:val="none"/>
        </w:rPr>
      </w:pPr>
    </w:p>
    <w:p>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numPr>
          <w:ilvl w:val="0"/>
          <w:numId w:val="5"/>
        </w:numPr>
        <w:spacing w:line="600" w:lineRule="exact"/>
        <w:ind w:firstLine="660" w:firstLineChars="150"/>
        <w:jc w:val="center"/>
        <w:outlineLvl w:val="0"/>
        <w:rPr>
          <w:rStyle w:val="29"/>
          <w:rFonts w:ascii="黑体" w:hAnsi="黑体" w:eastAsia="黑体"/>
          <w:b w:val="0"/>
          <w:color w:val="auto"/>
          <w:highlight w:val="none"/>
        </w:rPr>
      </w:pPr>
      <w:bookmarkStart w:id="49" w:name="_Toc15396613"/>
      <w:bookmarkStart w:id="50" w:name="_Toc15377225"/>
      <w:r>
        <w:rPr>
          <w:rFonts w:hint="eastAsia" w:ascii="黑体" w:hAnsi="黑体" w:eastAsia="黑体"/>
          <w:color w:val="auto"/>
          <w:sz w:val="44"/>
          <w:szCs w:val="44"/>
          <w:highlight w:val="none"/>
        </w:rPr>
        <w:t>名</w:t>
      </w:r>
      <w:r>
        <w:rPr>
          <w:rStyle w:val="29"/>
          <w:rFonts w:hint="eastAsia" w:ascii="黑体" w:hAnsi="黑体" w:eastAsia="黑体"/>
          <w:b w:val="0"/>
          <w:color w:val="auto"/>
          <w:highlight w:val="none"/>
        </w:rPr>
        <w:t>词解释</w:t>
      </w:r>
      <w:bookmarkEnd w:id="49"/>
      <w:bookmarkEnd w:id="50"/>
    </w:p>
    <w:p>
      <w:pPr>
        <w:spacing w:line="600" w:lineRule="exact"/>
        <w:jc w:val="left"/>
        <w:rPr>
          <w:rFonts w:ascii="宋体"/>
          <w:b/>
          <w:color w:val="auto"/>
          <w:sz w:val="44"/>
          <w:szCs w:val="44"/>
          <w:highlight w:val="none"/>
        </w:rPr>
      </w:pPr>
    </w:p>
    <w:p>
      <w:pPr>
        <w:pStyle w:val="2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2</w:t>
      </w:r>
      <w:r>
        <w:rPr>
          <w:rFonts w:ascii="仿宋_GB2312" w:eastAsia="仿宋_GB2312"/>
          <w:color w:val="auto"/>
          <w:sz w:val="32"/>
          <w:szCs w:val="32"/>
          <w:highlight w:val="none"/>
        </w:rPr>
        <w:t>.</w:t>
      </w:r>
      <w:r>
        <w:rPr>
          <w:rFonts w:hint="eastAsia" w:ascii="仿宋_GB2312" w:eastAsia="仿宋_GB2312"/>
          <w:color w:val="auto"/>
          <w:sz w:val="32"/>
          <w:szCs w:val="32"/>
          <w:highlight w:val="none"/>
        </w:rPr>
        <w:t>使用非财政拨款结余：指事业单位使用以前年度积累的非财政拨款结余弥补当年收支差额的金额。</w:t>
      </w:r>
      <w:r>
        <w:rPr>
          <w:rFonts w:ascii="仿宋_GB2312" w:eastAsia="仿宋_GB2312"/>
          <w:color w:val="auto"/>
          <w:sz w:val="32"/>
          <w:szCs w:val="32"/>
          <w:highlight w:val="none"/>
        </w:rPr>
        <w:t xml:space="preserve"> </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结余分配：指事业单位按照会计制度规定缴纳的所得税、提取的专用结余以及转入非财政拨款结余的金额等。</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5</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年末结转和结余：指单位按有关规定结转到下年或以后年度继续使用的资金。</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6</w:t>
      </w:r>
      <w:r>
        <w:rPr>
          <w:rFonts w:ascii="仿宋_GB2312" w:eastAsia="仿宋_GB2312"/>
          <w:color w:val="auto"/>
          <w:sz w:val="32"/>
          <w:szCs w:val="32"/>
          <w:highlight w:val="none"/>
        </w:rPr>
        <w:t>.</w:t>
      </w:r>
      <w:r>
        <w:rPr>
          <w:rFonts w:hint="eastAsia" w:ascii="仿宋_GB2312" w:eastAsia="仿宋_GB2312"/>
          <w:color w:val="auto"/>
          <w:sz w:val="32"/>
          <w:szCs w:val="32"/>
          <w:highlight w:val="none"/>
        </w:rPr>
        <w:t>教育（类）普通教育（款）</w:t>
      </w:r>
      <w:r>
        <w:rPr>
          <w:rFonts w:hint="eastAsia" w:ascii="仿宋_GB2312" w:eastAsia="仿宋_GB2312"/>
          <w:color w:val="auto"/>
          <w:sz w:val="32"/>
          <w:szCs w:val="32"/>
          <w:highlight w:val="none"/>
          <w:lang w:val="en-US" w:eastAsia="zh-CN"/>
        </w:rPr>
        <w:t>初中</w:t>
      </w:r>
      <w:r>
        <w:rPr>
          <w:rFonts w:hint="eastAsia" w:ascii="仿宋_GB2312" w:eastAsia="仿宋_GB2312"/>
          <w:color w:val="auto"/>
          <w:sz w:val="32"/>
          <w:szCs w:val="32"/>
          <w:highlight w:val="none"/>
        </w:rPr>
        <w:t>教育（项）：指</w:t>
      </w:r>
      <w:r>
        <w:rPr>
          <w:rFonts w:hint="eastAsia" w:ascii="仿宋_GB2312" w:eastAsia="仿宋_GB2312"/>
          <w:color w:val="auto"/>
          <w:sz w:val="32"/>
          <w:szCs w:val="32"/>
          <w:highlight w:val="none"/>
          <w:lang w:val="en-US" w:eastAsia="zh-CN"/>
        </w:rPr>
        <w:t>初中</w:t>
      </w:r>
      <w:r>
        <w:rPr>
          <w:rFonts w:hint="eastAsia" w:ascii="仿宋_GB2312" w:eastAsia="仿宋_GB2312"/>
          <w:color w:val="auto"/>
          <w:sz w:val="32"/>
          <w:szCs w:val="32"/>
          <w:highlight w:val="none"/>
        </w:rPr>
        <w:t>教育</w:t>
      </w:r>
      <w:r>
        <w:rPr>
          <w:rFonts w:hint="eastAsia" w:ascii="仿宋_GB2312" w:eastAsia="仿宋_GB2312"/>
          <w:color w:val="auto"/>
          <w:sz w:val="32"/>
          <w:szCs w:val="32"/>
          <w:highlight w:val="none"/>
          <w:lang w:eastAsia="zh-CN"/>
        </w:rPr>
        <w:t>支出</w:t>
      </w:r>
      <w:r>
        <w:rPr>
          <w:rFonts w:hint="eastAsia" w:ascii="仿宋_GB2312" w:eastAsia="仿宋_GB2312"/>
          <w:color w:val="auto"/>
          <w:sz w:val="32"/>
          <w:szCs w:val="32"/>
          <w:highlight w:val="none"/>
        </w:rPr>
        <w:t>。</w:t>
      </w:r>
    </w:p>
    <w:p>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7.教育（类）</w:t>
      </w:r>
      <w:r>
        <w:rPr>
          <w:rFonts w:hint="eastAsia" w:ascii="仿宋_GB2312" w:eastAsia="仿宋_GB2312"/>
          <w:color w:val="auto"/>
          <w:sz w:val="32"/>
          <w:szCs w:val="32"/>
          <w:highlight w:val="none"/>
          <w:lang w:val="en-US" w:eastAsia="zh-CN"/>
        </w:rPr>
        <w:t>普通教育</w:t>
      </w:r>
      <w:r>
        <w:rPr>
          <w:rFonts w:hint="eastAsia" w:ascii="仿宋_GB2312" w:eastAsia="仿宋_GB2312"/>
          <w:color w:val="auto"/>
          <w:sz w:val="32"/>
          <w:szCs w:val="32"/>
          <w:highlight w:val="none"/>
        </w:rPr>
        <w:t>（款）</w:t>
      </w:r>
      <w:r>
        <w:rPr>
          <w:rFonts w:hint="eastAsia" w:ascii="仿宋_GB2312" w:hAnsi="Times New Roman" w:eastAsia="仿宋_GB2312" w:cs="Times New Roman"/>
          <w:color w:val="auto"/>
          <w:sz w:val="32"/>
          <w:szCs w:val="32"/>
          <w:highlight w:val="none"/>
          <w:lang w:val="en-US" w:eastAsia="zh-CN"/>
        </w:rPr>
        <w:t>其他普通教育支出</w:t>
      </w:r>
      <w:r>
        <w:rPr>
          <w:rFonts w:hint="eastAsia" w:ascii="仿宋_GB2312" w:eastAsia="仿宋_GB2312"/>
          <w:color w:val="auto"/>
          <w:sz w:val="32"/>
          <w:szCs w:val="32"/>
          <w:highlight w:val="none"/>
        </w:rPr>
        <w:t>（项）：</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其他</w:t>
      </w:r>
      <w:r>
        <w:rPr>
          <w:rFonts w:hint="eastAsia" w:ascii="仿宋_GB2312" w:eastAsia="仿宋_GB2312"/>
          <w:color w:val="auto"/>
          <w:sz w:val="32"/>
          <w:szCs w:val="32"/>
          <w:highlight w:val="none"/>
          <w:lang w:val="en-US" w:eastAsia="zh-CN"/>
        </w:rPr>
        <w:t>普通</w:t>
      </w:r>
      <w:r>
        <w:rPr>
          <w:rFonts w:hint="eastAsia" w:ascii="仿宋_GB2312" w:eastAsia="仿宋_GB2312"/>
          <w:color w:val="auto"/>
          <w:sz w:val="32"/>
          <w:szCs w:val="32"/>
          <w:highlight w:val="none"/>
        </w:rPr>
        <w:t>教育</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rPr>
        <w:t>。</w:t>
      </w:r>
    </w:p>
    <w:p>
      <w:pPr>
        <w:pStyle w:val="4"/>
        <w:ind w:firstLine="640" w:firstLineChars="200"/>
        <w:rPr>
          <w:rFonts w:hint="default" w:ascii="仿宋_GB2312" w:hAnsi="Times New Roman" w:eastAsia="仿宋_GB2312" w:cs="Times New Roman"/>
          <w:b w:val="0"/>
          <w:bCs w:val="0"/>
          <w:color w:val="auto"/>
          <w:kern w:val="2"/>
          <w:sz w:val="32"/>
          <w:szCs w:val="32"/>
          <w:highlight w:val="none"/>
          <w:lang w:val="en-US" w:eastAsia="zh-CN" w:bidi="ar-SA"/>
        </w:rPr>
      </w:pPr>
      <w:r>
        <w:rPr>
          <w:rFonts w:hint="eastAsia" w:ascii="仿宋_GB2312" w:hAnsi="Times New Roman" w:eastAsia="仿宋_GB2312" w:cs="Times New Roman"/>
          <w:b w:val="0"/>
          <w:bCs w:val="0"/>
          <w:color w:val="auto"/>
          <w:kern w:val="2"/>
          <w:sz w:val="32"/>
          <w:szCs w:val="32"/>
          <w:highlight w:val="none"/>
          <w:lang w:val="en-US" w:eastAsia="zh-CN" w:bidi="ar-SA"/>
        </w:rPr>
        <w:t>8.社会保障和就业支出208（类）抚恤08（款）死亡抚恤01（项）: 指死亡抚恤支出。</w:t>
      </w:r>
    </w:p>
    <w:p>
      <w:pPr>
        <w:numPr>
          <w:ilvl w:val="0"/>
          <w:numId w:val="0"/>
        </w:numPr>
        <w:spacing w:line="600" w:lineRule="exact"/>
        <w:ind w:firstLine="640" w:firstLineChars="200"/>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9.社会保障和就业支出（类）行政事业单位养老支出（款）机关事业单位基本养老保险缴费支出（项）: 指机关事业单位实施养老保险制度由单位缴纳的基本养老保险费支出。</w:t>
      </w:r>
    </w:p>
    <w:p>
      <w:pPr>
        <w:pStyle w:val="16"/>
        <w:ind w:left="0" w:leftChars="0" w:firstLine="640" w:firstLineChars="200"/>
        <w:rPr>
          <w:rFonts w:hint="eastAsia"/>
          <w:color w:val="auto"/>
          <w:highlight w:val="none"/>
          <w:lang w:val="en-US" w:eastAsia="zh-CN"/>
        </w:rPr>
      </w:pPr>
      <w:r>
        <w:rPr>
          <w:rFonts w:hint="eastAsia" w:ascii="仿宋_GB2312" w:hAnsi="Calibri" w:eastAsia="仿宋_GB2312" w:cs="仿宋"/>
          <w:color w:val="auto"/>
          <w:kern w:val="0"/>
          <w:sz w:val="32"/>
          <w:szCs w:val="32"/>
          <w:highlight w:val="none"/>
          <w:lang w:val="en-US" w:eastAsia="zh-CN" w:bidi="ar-SA"/>
        </w:rPr>
        <w:t>10.社会保障和就业支出（类）其他社会保障和就业支出（款）其他社会保障和就业支出（项）: 指其他用于社会保障和就业方面的支出。</w:t>
      </w:r>
    </w:p>
    <w:p>
      <w:pPr>
        <w:pStyle w:val="2"/>
        <w:ind w:firstLine="640" w:firstLineChars="200"/>
        <w:rPr>
          <w:color w:val="auto"/>
          <w:highlight w:val="none"/>
        </w:rPr>
      </w:pPr>
      <w:r>
        <w:rPr>
          <w:rFonts w:hint="eastAsia" w:hAnsi="Calibri" w:cs="仿宋"/>
          <w:color w:val="auto"/>
          <w:kern w:val="0"/>
          <w:sz w:val="32"/>
          <w:szCs w:val="32"/>
          <w:highlight w:val="none"/>
          <w:lang w:val="en-US" w:eastAsia="zh-CN"/>
        </w:rPr>
        <w:t>11.</w:t>
      </w:r>
      <w:r>
        <w:rPr>
          <w:rFonts w:hint="eastAsia" w:ascii="仿宋_GB2312" w:hAnsi="Calibri" w:eastAsia="仿宋_GB2312" w:cs="仿宋"/>
          <w:color w:val="auto"/>
          <w:kern w:val="0"/>
          <w:sz w:val="32"/>
          <w:szCs w:val="32"/>
          <w:highlight w:val="none"/>
          <w:lang w:val="en-US" w:eastAsia="zh-CN"/>
        </w:rPr>
        <w:t>卫生健康（类）行政事业单位医疗（款）事业单位医疗（项）：指财政部门安排的事业单位基本医疗保险缴费经费，未参加医疗保险的事业单位的公费医疗经费，按国家规定享受离休人员待遇的医疗保险。</w:t>
      </w:r>
    </w:p>
    <w:p>
      <w:pPr>
        <w:pStyle w:val="2"/>
        <w:ind w:firstLine="640" w:firstLineChars="200"/>
        <w:rPr>
          <w:color w:val="auto"/>
          <w:highlight w:val="none"/>
        </w:rPr>
      </w:pPr>
      <w:r>
        <w:rPr>
          <w:rFonts w:hint="eastAsia" w:hAnsi="Calibri" w:cs="仿宋"/>
          <w:color w:val="auto"/>
          <w:kern w:val="0"/>
          <w:sz w:val="32"/>
          <w:szCs w:val="32"/>
          <w:highlight w:val="none"/>
          <w:lang w:val="en-US" w:eastAsia="zh-CN"/>
        </w:rPr>
        <w:t>12.</w:t>
      </w:r>
      <w:r>
        <w:rPr>
          <w:rFonts w:hint="eastAsia" w:ascii="仿宋_GB2312" w:hAnsi="Calibri" w:eastAsia="仿宋_GB2312" w:cs="仿宋"/>
          <w:color w:val="auto"/>
          <w:kern w:val="0"/>
          <w:sz w:val="32"/>
          <w:szCs w:val="32"/>
          <w:highlight w:val="none"/>
          <w:lang w:val="en-US" w:eastAsia="zh-CN"/>
        </w:rPr>
        <w:t>住房保障支出（类）住房改革支出（款）住房公积金（项）：指行政事业单位按人力资源和社会保障部、财政部规定的基本工资和津贴补贴以及规定比例为职工缴纳的住房公积金。</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pPr>
        <w:pStyle w:val="27"/>
        <w:spacing w:line="56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5</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51" w:name="_Toc15377226"/>
    </w:p>
    <w:p>
      <w:pPr>
        <w:pStyle w:val="27"/>
        <w:spacing w:line="560" w:lineRule="exact"/>
        <w:ind w:firstLine="883" w:firstLineChars="200"/>
        <w:jc w:val="center"/>
        <w:rPr>
          <w:rStyle w:val="29"/>
          <w:rFonts w:ascii="黑体" w:hAnsi="黑体" w:eastAsia="黑体"/>
          <w:b w:val="0"/>
          <w:color w:val="auto"/>
          <w:highlight w:val="none"/>
        </w:rPr>
      </w:pPr>
      <w:r>
        <w:rPr>
          <w:rFonts w:ascii="宋体"/>
          <w:b/>
          <w:color w:val="auto"/>
          <w:sz w:val="44"/>
          <w:szCs w:val="44"/>
          <w:highlight w:val="none"/>
        </w:rPr>
        <w:br w:type="page"/>
      </w:r>
      <w:bookmarkStart w:id="52" w:name="_Toc15396614"/>
      <w:r>
        <w:rPr>
          <w:rFonts w:hint="eastAsia" w:ascii="黑体" w:hAnsi="黑体" w:eastAsia="黑体"/>
          <w:color w:val="auto"/>
          <w:sz w:val="44"/>
          <w:szCs w:val="44"/>
          <w:highlight w:val="none"/>
        </w:rPr>
        <w:t>第</w:t>
      </w:r>
      <w:r>
        <w:rPr>
          <w:rStyle w:val="29"/>
          <w:rFonts w:hint="eastAsia" w:ascii="黑体" w:hAnsi="黑体" w:eastAsia="黑体"/>
          <w:b w:val="0"/>
          <w:color w:val="auto"/>
          <w:highlight w:val="none"/>
        </w:rPr>
        <w:t>四部分 附件</w:t>
      </w:r>
      <w:bookmarkEnd w:id="52"/>
    </w:p>
    <w:p>
      <w:pPr>
        <w:spacing w:line="572" w:lineRule="exact"/>
        <w:jc w:val="left"/>
        <w:outlineLvl w:val="0"/>
        <w:rPr>
          <w:rFonts w:hint="eastAsia" w:ascii="仿宋_GB2312" w:hAnsi="仿宋_GB2312" w:eastAsia="黑体" w:cs="仿宋_GB2312"/>
          <w:color w:val="auto"/>
          <w:sz w:val="32"/>
          <w:szCs w:val="32"/>
          <w:highlight w:val="none"/>
          <w:lang w:val="en-US" w:eastAsia="zh-CN"/>
        </w:rPr>
      </w:pPr>
      <w:r>
        <w:rPr>
          <w:rFonts w:hint="eastAsia" w:ascii="黑体" w:hAnsi="黑体" w:eastAsia="黑体" w:cs="黑体"/>
          <w:color w:val="auto"/>
          <w:sz w:val="32"/>
          <w:szCs w:val="32"/>
          <w:highlight w:val="none"/>
        </w:rPr>
        <w:t>附件</w:t>
      </w:r>
      <w:r>
        <w:rPr>
          <w:rFonts w:hint="eastAsia" w:ascii="黑体" w:hAnsi="黑体" w:eastAsia="黑体" w:cs="黑体"/>
          <w:color w:val="auto"/>
          <w:sz w:val="32"/>
          <w:szCs w:val="32"/>
          <w:highlight w:val="none"/>
          <w:lang w:val="en-US" w:eastAsia="zh-CN"/>
        </w:rPr>
        <w:t>1</w:t>
      </w:r>
      <w:bookmarkStart w:id="53" w:name="_Toc15396618"/>
    </w:p>
    <w:tbl>
      <w:tblPr>
        <w:tblStyle w:val="17"/>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rPr>
              <w:t>2021年部门预算项目绩效目标自评</w:t>
            </w:r>
            <w:r>
              <w:rPr>
                <w:rFonts w:hint="eastAsia" w:ascii="宋体" w:hAnsi="宋体" w:cs="宋体"/>
                <w:b/>
                <w:color w:val="auto"/>
                <w:sz w:val="32"/>
                <w:szCs w:val="32"/>
                <w:highlight w:val="none"/>
                <w:lang w:eastAsia="zh-CN"/>
              </w:rPr>
              <w:t>（校舍维修）</w:t>
            </w:r>
          </w:p>
        </w:tc>
        <w:tc>
          <w:tcPr>
            <w:tcW w:w="236" w:type="dxa"/>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b/>
                <w:color w:val="auto"/>
                <w:kern w:val="0"/>
                <w:sz w:val="32"/>
                <w:szCs w:val="32"/>
                <w:highlight w:val="none"/>
              </w:rPr>
            </w:pPr>
          </w:p>
        </w:tc>
      </w:tr>
      <w:tr>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360302</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实施单位</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广元市昭化区王家初级中学</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项目预算</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执行情况</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预算数：</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34.50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执行数：</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34.50</w:t>
            </w:r>
          </w:p>
        </w:tc>
      </w:tr>
      <w:tr>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lang w:val="en-US"/>
              </w:rPr>
            </w:pPr>
            <w:r>
              <w:rPr>
                <w:rFonts w:hint="eastAsia" w:ascii="宋体" w:hAnsi="宋体" w:cs="宋体"/>
                <w:color w:val="auto"/>
                <w:sz w:val="24"/>
                <w:highlight w:val="none"/>
                <w:lang w:val="en-US" w:eastAsia="zh-CN"/>
              </w:rPr>
              <w:t>34.50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sz w:val="24"/>
                <w:highlight w:val="none"/>
                <w:lang w:val="en-US" w:eastAsia="zh-CN"/>
              </w:rPr>
              <w:t>34.50</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宋体" w:hAnsi="宋体" w:eastAsia="宋体" w:cs="宋体"/>
                <w:color w:val="auto"/>
                <w:sz w:val="24"/>
                <w:highlight w:val="none"/>
                <w:lang w:val="en-US" w:eastAsia="zh-CN"/>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p>
        </w:tc>
      </w:tr>
      <w:tr>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年度总体目标</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完成情况</w:t>
            </w: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预期目标</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目标实际完成情况</w:t>
            </w:r>
          </w:p>
        </w:tc>
      </w:tr>
      <w:tr>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default" w:ascii="宋体" w:hAnsi="宋体" w:cs="宋体"/>
                <w:color w:val="auto"/>
                <w:sz w:val="22"/>
                <w:szCs w:val="22"/>
                <w:highlight w:val="none"/>
              </w:rPr>
              <w:t>校舍</w:t>
            </w:r>
            <w:r>
              <w:rPr>
                <w:rFonts w:hint="eastAsia" w:ascii="宋体" w:hAnsi="宋体" w:cs="宋体"/>
                <w:color w:val="auto"/>
                <w:sz w:val="22"/>
                <w:szCs w:val="22"/>
                <w:highlight w:val="none"/>
                <w:lang w:eastAsia="zh-CN"/>
              </w:rPr>
              <w:t>维修面积</w:t>
            </w:r>
            <w:r>
              <w:rPr>
                <w:rFonts w:hint="eastAsia" w:ascii="宋体" w:hAnsi="宋体" w:cs="宋体"/>
                <w:color w:val="auto"/>
                <w:sz w:val="22"/>
                <w:szCs w:val="22"/>
                <w:highlight w:val="none"/>
                <w:lang w:val="en-US" w:eastAsia="zh-CN"/>
              </w:rPr>
              <w:t>1720</w:t>
            </w:r>
            <w:r>
              <w:rPr>
                <w:rFonts w:hint="default" w:ascii="宋体" w:hAnsi="宋体" w:cs="宋体"/>
                <w:color w:val="auto"/>
                <w:sz w:val="22"/>
                <w:szCs w:val="22"/>
                <w:highlight w:val="none"/>
              </w:rPr>
              <w:t>平方米，改善学校办学条件和基础设施配套，提供高质量硬件设施设备，营造良好的学习氛围</w:t>
            </w:r>
            <w:r>
              <w:rPr>
                <w:rFonts w:hint="eastAsia" w:ascii="宋体" w:hAnsi="宋体" w:cs="宋体"/>
                <w:color w:val="auto"/>
                <w:sz w:val="22"/>
                <w:szCs w:val="22"/>
                <w:highlight w:val="none"/>
                <w:lang w:eastAsia="zh-CN"/>
              </w:rPr>
              <w:t>。</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eastAsia" w:ascii="宋体" w:hAnsi="宋体" w:eastAsia="宋体" w:cs="宋体"/>
                <w:color w:val="auto"/>
                <w:sz w:val="22"/>
                <w:szCs w:val="22"/>
                <w:highlight w:val="none"/>
                <w:lang w:eastAsia="zh-CN"/>
              </w:rPr>
              <w:t>完成</w:t>
            </w:r>
            <w:r>
              <w:rPr>
                <w:rFonts w:hint="eastAsia" w:ascii="宋体" w:hAnsi="宋体" w:cs="宋体"/>
                <w:color w:val="auto"/>
                <w:sz w:val="22"/>
                <w:szCs w:val="22"/>
                <w:highlight w:val="none"/>
                <w:lang w:val="en-US" w:eastAsia="zh-CN"/>
              </w:rPr>
              <w:t>1720</w:t>
            </w:r>
            <w:r>
              <w:rPr>
                <w:rFonts w:hint="default" w:ascii="宋体" w:hAnsi="宋体" w:cs="宋体"/>
                <w:color w:val="auto"/>
                <w:sz w:val="22"/>
                <w:szCs w:val="22"/>
                <w:highlight w:val="none"/>
              </w:rPr>
              <w:t>平方米</w:t>
            </w:r>
            <w:r>
              <w:rPr>
                <w:rFonts w:hint="eastAsia" w:ascii="宋体" w:hAnsi="宋体" w:cs="宋体"/>
                <w:color w:val="auto"/>
                <w:sz w:val="22"/>
                <w:szCs w:val="22"/>
                <w:highlight w:val="none"/>
                <w:lang w:eastAsia="zh-CN"/>
              </w:rPr>
              <w:t>的校舍维修，</w:t>
            </w:r>
            <w:r>
              <w:rPr>
                <w:rFonts w:hint="default" w:ascii="宋体" w:hAnsi="宋体" w:cs="宋体"/>
                <w:color w:val="auto"/>
                <w:sz w:val="22"/>
                <w:szCs w:val="22"/>
                <w:highlight w:val="none"/>
              </w:rPr>
              <w:t>改善</w:t>
            </w:r>
            <w:r>
              <w:rPr>
                <w:rFonts w:hint="eastAsia" w:ascii="宋体" w:hAnsi="宋体" w:cs="宋体"/>
                <w:color w:val="auto"/>
                <w:sz w:val="22"/>
                <w:szCs w:val="22"/>
                <w:highlight w:val="none"/>
                <w:lang w:eastAsia="zh-CN"/>
              </w:rPr>
              <w:t>了</w:t>
            </w:r>
            <w:r>
              <w:rPr>
                <w:rFonts w:hint="default" w:ascii="宋体" w:hAnsi="宋体" w:cs="宋体"/>
                <w:color w:val="auto"/>
                <w:sz w:val="22"/>
                <w:szCs w:val="22"/>
                <w:highlight w:val="none"/>
              </w:rPr>
              <w:t>学校办学条件和基础设施配套，提供</w:t>
            </w:r>
            <w:r>
              <w:rPr>
                <w:rFonts w:hint="eastAsia" w:ascii="宋体" w:hAnsi="宋体" w:cs="宋体"/>
                <w:color w:val="auto"/>
                <w:sz w:val="22"/>
                <w:szCs w:val="22"/>
                <w:highlight w:val="none"/>
                <w:lang w:eastAsia="zh-CN"/>
              </w:rPr>
              <w:t>了</w:t>
            </w:r>
            <w:r>
              <w:rPr>
                <w:rFonts w:hint="default" w:ascii="宋体" w:hAnsi="宋体" w:cs="宋体"/>
                <w:color w:val="auto"/>
                <w:sz w:val="22"/>
                <w:szCs w:val="22"/>
                <w:highlight w:val="none"/>
              </w:rPr>
              <w:t>高质量硬件设施设备，营造</w:t>
            </w:r>
            <w:r>
              <w:rPr>
                <w:rFonts w:hint="eastAsia" w:ascii="宋体" w:hAnsi="宋体" w:cs="宋体"/>
                <w:color w:val="auto"/>
                <w:sz w:val="22"/>
                <w:szCs w:val="22"/>
                <w:highlight w:val="none"/>
                <w:lang w:eastAsia="zh-CN"/>
              </w:rPr>
              <w:t>了</w:t>
            </w:r>
            <w:r>
              <w:rPr>
                <w:rFonts w:hint="default" w:ascii="宋体" w:hAnsi="宋体" w:cs="宋体"/>
                <w:color w:val="auto"/>
                <w:sz w:val="22"/>
                <w:szCs w:val="22"/>
                <w:highlight w:val="none"/>
              </w:rPr>
              <w:t>良好的学习氛围</w:t>
            </w:r>
            <w:r>
              <w:rPr>
                <w:rFonts w:hint="eastAsia" w:ascii="宋体" w:hAnsi="宋体" w:cs="宋体"/>
                <w:color w:val="auto"/>
                <w:sz w:val="22"/>
                <w:szCs w:val="22"/>
                <w:highlight w:val="none"/>
                <w:lang w:eastAsia="zh-CN"/>
              </w:rPr>
              <w:t>。</w:t>
            </w:r>
          </w:p>
        </w:tc>
      </w:tr>
      <w:tr>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一级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二级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三级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预期指标值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实际完成指标值</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完成</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数量指标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改扩建面积</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1720m²</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1720m²</w:t>
            </w:r>
          </w:p>
        </w:tc>
      </w:tr>
      <w:tr>
        <w:tblPrEx>
          <w:tblCellMar>
            <w:top w:w="0" w:type="dxa"/>
            <w:left w:w="108" w:type="dxa"/>
            <w:bottom w:w="0" w:type="dxa"/>
            <w:right w:w="108" w:type="dxa"/>
          </w:tblCellMar>
        </w:tblPrEx>
        <w:trPr>
          <w:gridAfter w:val="1"/>
          <w:wAfter w:w="236" w:type="dxa"/>
          <w:trHeight w:val="64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质量指标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校舍维修</w:t>
            </w:r>
            <w:r>
              <w:rPr>
                <w:rFonts w:hint="default" w:ascii="仿宋_GB2312" w:hAnsi="仿宋_GB2312" w:eastAsia="仿宋_GB2312" w:cs="仿宋_GB2312"/>
                <w:color w:val="auto"/>
                <w:sz w:val="20"/>
                <w:szCs w:val="20"/>
                <w:highlight w:val="none"/>
              </w:rPr>
              <w:t>竣工验收合格率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100%</w:t>
            </w:r>
          </w:p>
        </w:tc>
      </w:tr>
      <w:tr>
        <w:tblPrEx>
          <w:tblCellMar>
            <w:top w:w="0" w:type="dxa"/>
            <w:left w:w="108" w:type="dxa"/>
            <w:bottom w:w="0" w:type="dxa"/>
            <w:right w:w="108" w:type="dxa"/>
          </w:tblCellMar>
        </w:tblPrEx>
        <w:trPr>
          <w:gridAfter w:val="1"/>
          <w:wAfter w:w="236" w:type="dxa"/>
          <w:trHeight w:val="46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校舍</w:t>
            </w:r>
            <w:r>
              <w:rPr>
                <w:rFonts w:hint="eastAsia" w:ascii="仿宋_GB2312" w:hAnsi="仿宋_GB2312" w:eastAsia="仿宋_GB2312" w:cs="仿宋_GB2312"/>
                <w:color w:val="auto"/>
                <w:sz w:val="20"/>
                <w:szCs w:val="20"/>
                <w:highlight w:val="none"/>
                <w:lang w:eastAsia="zh-CN"/>
              </w:rPr>
              <w:t>维修</w:t>
            </w:r>
            <w:r>
              <w:rPr>
                <w:rFonts w:hint="default" w:ascii="仿宋_GB2312" w:hAnsi="仿宋_GB2312" w:eastAsia="仿宋_GB2312" w:cs="仿宋_GB2312"/>
                <w:color w:val="auto"/>
                <w:sz w:val="20"/>
                <w:szCs w:val="20"/>
                <w:highlight w:val="none"/>
              </w:rPr>
              <w:t>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r>
      <w:tr>
        <w:tblPrEx>
          <w:tblCellMar>
            <w:top w:w="0" w:type="dxa"/>
            <w:left w:w="108" w:type="dxa"/>
            <w:bottom w:w="0" w:type="dxa"/>
            <w:right w:w="108" w:type="dxa"/>
          </w:tblCellMar>
        </w:tblPrEx>
        <w:trPr>
          <w:gridAfter w:val="1"/>
          <w:wAfter w:w="236" w:type="dxa"/>
          <w:trHeight w:val="46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设备购置质量标准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r>
      <w:tr>
        <w:tblPrEx>
          <w:tblCellMar>
            <w:top w:w="0" w:type="dxa"/>
            <w:left w:w="108" w:type="dxa"/>
            <w:bottom w:w="0" w:type="dxa"/>
            <w:right w:w="108" w:type="dxa"/>
          </w:tblCellMar>
        </w:tblPrEx>
        <w:trPr>
          <w:gridAfter w:val="1"/>
          <w:wAfter w:w="236" w:type="dxa"/>
          <w:trHeight w:val="43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时效指标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校舍维修建设周期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1年</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1年</w:t>
            </w:r>
          </w:p>
        </w:tc>
      </w:tr>
      <w:tr>
        <w:tblPrEx>
          <w:tblCellMar>
            <w:top w:w="0" w:type="dxa"/>
            <w:left w:w="108" w:type="dxa"/>
            <w:bottom w:w="0" w:type="dxa"/>
            <w:right w:w="108" w:type="dxa"/>
          </w:tblCellMar>
        </w:tblPrEx>
        <w:trPr>
          <w:gridAfter w:val="1"/>
          <w:wAfter w:w="236" w:type="dxa"/>
          <w:trHeight w:val="40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设备购置周期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6个月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6个月</w:t>
            </w:r>
          </w:p>
        </w:tc>
      </w:tr>
      <w:tr>
        <w:tblPrEx>
          <w:tblCellMar>
            <w:top w:w="0" w:type="dxa"/>
            <w:left w:w="108" w:type="dxa"/>
            <w:bottom w:w="0" w:type="dxa"/>
            <w:right w:w="108" w:type="dxa"/>
          </w:tblCellMar>
        </w:tblPrEx>
        <w:trPr>
          <w:gridAfter w:val="1"/>
          <w:wAfter w:w="236" w:type="dxa"/>
          <w:trHeight w:val="75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成本指标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校舍</w:t>
            </w:r>
            <w:r>
              <w:rPr>
                <w:rFonts w:hint="eastAsia" w:ascii="仿宋_GB2312" w:hAnsi="仿宋_GB2312" w:eastAsia="仿宋_GB2312" w:cs="仿宋_GB2312"/>
                <w:color w:val="auto"/>
                <w:sz w:val="20"/>
                <w:szCs w:val="20"/>
                <w:highlight w:val="none"/>
                <w:lang w:eastAsia="zh-CN"/>
              </w:rPr>
              <w:t>维修</w:t>
            </w:r>
            <w:r>
              <w:rPr>
                <w:rFonts w:hint="default" w:ascii="仿宋_GB2312" w:hAnsi="仿宋_GB2312" w:eastAsia="仿宋_GB2312" w:cs="仿宋_GB2312"/>
                <w:color w:val="auto"/>
                <w:sz w:val="20"/>
                <w:szCs w:val="20"/>
                <w:highlight w:val="none"/>
              </w:rPr>
              <w:t>类项目每平方米造价</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≤800元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lang w:val="en-US"/>
              </w:rPr>
            </w:pPr>
            <w:r>
              <w:rPr>
                <w:rFonts w:hint="eastAsia" w:ascii="仿宋_GB2312" w:hAnsi="仿宋_GB2312" w:eastAsia="仿宋_GB2312" w:cs="仿宋_GB2312"/>
                <w:color w:val="auto"/>
                <w:sz w:val="20"/>
                <w:szCs w:val="20"/>
                <w:highlight w:val="none"/>
                <w:lang w:val="en-US" w:eastAsia="zh-CN"/>
              </w:rPr>
              <w:t>200元</w:t>
            </w:r>
          </w:p>
        </w:tc>
      </w:tr>
      <w:tr>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社会效益  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改善办学条件</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生态效益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建筑能源消耗水平降低</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bottom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可持续影响指标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吸引外流学生持续回流</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有效</w:t>
            </w:r>
          </w:p>
        </w:tc>
      </w:tr>
      <w:tr>
        <w:tblPrEx>
          <w:tblCellMar>
            <w:top w:w="0" w:type="dxa"/>
            <w:left w:w="108" w:type="dxa"/>
            <w:bottom w:w="0" w:type="dxa"/>
            <w:right w:w="108" w:type="dxa"/>
          </w:tblCellMar>
        </w:tblPrEx>
        <w:trPr>
          <w:gridAfter w:val="1"/>
          <w:wAfter w:w="236" w:type="dxa"/>
          <w:trHeight w:val="46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满意</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度指标</w:t>
            </w:r>
          </w:p>
        </w:tc>
        <w:tc>
          <w:tcPr>
            <w:tcW w:w="121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满意度</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学生满意度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97%</w:t>
            </w:r>
          </w:p>
        </w:tc>
      </w:tr>
      <w:tr>
        <w:tblPrEx>
          <w:tblCellMar>
            <w:top w:w="0" w:type="dxa"/>
            <w:left w:w="108" w:type="dxa"/>
            <w:bottom w:w="0" w:type="dxa"/>
            <w:right w:w="108" w:type="dxa"/>
          </w:tblCellMar>
        </w:tblPrEx>
        <w:trPr>
          <w:gridAfter w:val="1"/>
          <w:wAfter w:w="236" w:type="dxa"/>
          <w:trHeight w:val="510"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1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社会满意度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96%</w:t>
            </w:r>
          </w:p>
        </w:tc>
      </w:tr>
      <w:tr>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lang w:val="en-US" w:eastAsia="zh-CN"/>
              </w:rPr>
              <w:t>附件2</w:t>
            </w:r>
          </w:p>
          <w:p>
            <w:pPr>
              <w:keepNext w:val="0"/>
              <w:keepLines w:val="0"/>
              <w:widowControl/>
              <w:suppressLineNumbers w:val="0"/>
              <w:spacing w:before="0" w:beforeAutospacing="0" w:after="0" w:afterAutospacing="0"/>
              <w:ind w:left="0" w:right="0"/>
              <w:jc w:val="center"/>
              <w:textAlignment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2021年部门预算项目绩效目标自评</w:t>
            </w: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lang w:eastAsia="zh-CN"/>
              </w:rPr>
              <w:t>（</w:t>
            </w:r>
            <w:r>
              <w:rPr>
                <w:rFonts w:hint="eastAsia" w:ascii="宋体" w:hAnsi="宋体" w:cs="宋体"/>
                <w:b/>
                <w:color w:val="auto"/>
                <w:sz w:val="32"/>
                <w:szCs w:val="32"/>
                <w:highlight w:val="none"/>
                <w:lang w:val="en-US" w:eastAsia="zh-CN"/>
              </w:rPr>
              <w:t>王家初级中</w:t>
            </w:r>
            <w:r>
              <w:rPr>
                <w:rFonts w:hint="eastAsia" w:ascii="宋体" w:hAnsi="宋体" w:cs="宋体"/>
                <w:b/>
                <w:color w:val="auto"/>
                <w:sz w:val="32"/>
                <w:szCs w:val="32"/>
                <w:highlight w:val="none"/>
                <w:lang w:eastAsia="zh-CN"/>
              </w:rPr>
              <w:t>学</w:t>
            </w:r>
            <w:r>
              <w:rPr>
                <w:rFonts w:hint="eastAsia" w:ascii="宋体" w:hAnsi="宋体" w:cs="宋体"/>
                <w:b/>
                <w:color w:val="auto"/>
                <w:sz w:val="32"/>
                <w:szCs w:val="32"/>
                <w:highlight w:val="none"/>
                <w:lang w:val="en-US" w:eastAsia="zh-CN"/>
              </w:rPr>
              <w:t>运动场</w:t>
            </w:r>
            <w:r>
              <w:rPr>
                <w:rFonts w:hint="eastAsia" w:ascii="宋体" w:hAnsi="宋体" w:cs="宋体"/>
                <w:b/>
                <w:color w:val="auto"/>
                <w:sz w:val="32"/>
                <w:szCs w:val="32"/>
                <w:highlight w:val="none"/>
                <w:lang w:eastAsia="zh-CN"/>
              </w:rPr>
              <w:t>建设项目）</w:t>
            </w:r>
          </w:p>
        </w:tc>
        <w:tc>
          <w:tcPr>
            <w:tcW w:w="236" w:type="dxa"/>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b/>
                <w:color w:val="auto"/>
                <w:kern w:val="0"/>
                <w:sz w:val="32"/>
                <w:szCs w:val="32"/>
                <w:highlight w:val="none"/>
              </w:rPr>
            </w:pPr>
          </w:p>
        </w:tc>
      </w:tr>
      <w:tr>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360302</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实施单位</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eastAsia" w:ascii="宋体" w:hAnsi="宋体" w:eastAsia="宋体" w:cs="宋体"/>
                <w:color w:val="auto"/>
                <w:sz w:val="24"/>
                <w:highlight w:val="none"/>
                <w:lang w:eastAsia="zh-CN"/>
              </w:rPr>
            </w:pPr>
            <w:r>
              <w:rPr>
                <w:rFonts w:hint="eastAsia" w:ascii="宋体" w:hAnsi="宋体" w:cs="宋体"/>
                <w:color w:val="auto"/>
                <w:sz w:val="16"/>
                <w:szCs w:val="16"/>
                <w:highlight w:val="none"/>
                <w:lang w:eastAsia="zh-CN"/>
              </w:rPr>
              <w:t>广元市昭化区元坝镇第一小学</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项目预算</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执行情况</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预算数：</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224</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执行数：</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224</w:t>
            </w:r>
          </w:p>
        </w:tc>
      </w:tr>
      <w:tr>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lang w:val="en-US"/>
              </w:rPr>
            </w:pPr>
            <w:r>
              <w:rPr>
                <w:rFonts w:hint="eastAsia" w:ascii="宋体" w:hAnsi="宋体" w:cs="宋体"/>
                <w:color w:val="auto"/>
                <w:sz w:val="24"/>
                <w:highlight w:val="none"/>
                <w:lang w:val="en-US" w:eastAsia="zh-CN"/>
              </w:rPr>
              <w:t>224</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lang w:val="en-US"/>
              </w:rPr>
            </w:pPr>
            <w:r>
              <w:rPr>
                <w:rFonts w:hint="eastAsia" w:ascii="宋体" w:hAnsi="宋体" w:cs="宋体"/>
                <w:color w:val="auto"/>
                <w:sz w:val="24"/>
                <w:highlight w:val="none"/>
                <w:lang w:val="en-US" w:eastAsia="zh-CN"/>
              </w:rPr>
              <w:t>224</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宋体" w:hAnsi="宋体" w:eastAsia="宋体" w:cs="宋体"/>
                <w:color w:val="auto"/>
                <w:sz w:val="24"/>
                <w:highlight w:val="none"/>
                <w:lang w:val="en-US" w:eastAsia="zh-CN"/>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p>
        </w:tc>
      </w:tr>
      <w:tr>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年度总体目标</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完成情况</w:t>
            </w: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预期目标</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目标实际完成情况</w:t>
            </w:r>
          </w:p>
        </w:tc>
      </w:tr>
      <w:tr>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default" w:ascii="宋体" w:hAnsi="宋体" w:cs="宋体"/>
                <w:color w:val="auto"/>
                <w:sz w:val="21"/>
                <w:szCs w:val="21"/>
                <w:highlight w:val="none"/>
              </w:rPr>
              <w:t>支持欠发达地区特别是“三区三州”等原深度贫困地区巩固教育脱贫攻坚成果，积极扩大基础教育学位供给，提高义务教育巩固率，保障群众受教育权利，加快缩小与其他地区教育差距，阻断贫困代际传递。</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eastAsia" w:ascii="宋体" w:hAnsi="宋体" w:eastAsia="宋体" w:cs="宋体"/>
                <w:color w:val="auto"/>
                <w:sz w:val="22"/>
                <w:szCs w:val="22"/>
                <w:highlight w:val="none"/>
                <w:lang w:eastAsia="zh-CN"/>
              </w:rPr>
              <w:t>项目涵盖</w:t>
            </w:r>
            <w:r>
              <w:rPr>
                <w:rFonts w:hint="eastAsia" w:ascii="宋体" w:hAnsi="宋体" w:cs="宋体"/>
                <w:color w:val="auto"/>
                <w:sz w:val="22"/>
                <w:szCs w:val="22"/>
                <w:highlight w:val="none"/>
                <w:lang w:val="en-US" w:eastAsia="zh-CN"/>
              </w:rPr>
              <w:t>1</w:t>
            </w:r>
            <w:r>
              <w:rPr>
                <w:rFonts w:hint="eastAsia" w:ascii="宋体" w:hAnsi="宋体" w:eastAsia="宋体" w:cs="宋体"/>
                <w:color w:val="auto"/>
                <w:sz w:val="22"/>
                <w:szCs w:val="22"/>
                <w:highlight w:val="none"/>
                <w:lang w:eastAsia="zh-CN"/>
              </w:rPr>
              <w:t>所学校，惠及</w:t>
            </w:r>
            <w:r>
              <w:rPr>
                <w:rFonts w:hint="eastAsia" w:ascii="宋体" w:hAnsi="宋体" w:cs="宋体"/>
                <w:color w:val="auto"/>
                <w:sz w:val="22"/>
                <w:szCs w:val="22"/>
                <w:highlight w:val="none"/>
                <w:lang w:val="en-US" w:eastAsia="zh-CN"/>
              </w:rPr>
              <w:t>298</w:t>
            </w:r>
            <w:r>
              <w:rPr>
                <w:rFonts w:hint="eastAsia" w:ascii="宋体" w:hAnsi="宋体" w:eastAsia="宋体" w:cs="宋体"/>
                <w:color w:val="auto"/>
                <w:sz w:val="22"/>
                <w:szCs w:val="22"/>
                <w:highlight w:val="none"/>
                <w:lang w:eastAsia="zh-CN"/>
              </w:rPr>
              <w:t>名学生。提义务教育巩固率，保障群众受教育权利，加快缩小与其他地区教育差距。</w:t>
            </w:r>
          </w:p>
        </w:tc>
      </w:tr>
      <w:tr>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一级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二级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三级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预期指标值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实际完成指标值</w:t>
            </w:r>
          </w:p>
        </w:tc>
      </w:tr>
      <w:tr>
        <w:tblPrEx>
          <w:tblCellMar>
            <w:top w:w="0" w:type="dxa"/>
            <w:left w:w="108" w:type="dxa"/>
            <w:bottom w:w="0" w:type="dxa"/>
            <w:right w:w="108" w:type="dxa"/>
          </w:tblCellMar>
        </w:tblPrEx>
        <w:trPr>
          <w:gridAfter w:val="1"/>
          <w:wAfter w:w="236" w:type="dxa"/>
          <w:trHeight w:val="32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完成</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数量指标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项目涵盖学校</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1所</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1所</w:t>
            </w:r>
          </w:p>
        </w:tc>
      </w:tr>
      <w:tr>
        <w:tblPrEx>
          <w:tblCellMar>
            <w:top w:w="0" w:type="dxa"/>
            <w:left w:w="108" w:type="dxa"/>
            <w:bottom w:w="0" w:type="dxa"/>
            <w:right w:w="108" w:type="dxa"/>
          </w:tblCellMar>
        </w:tblPrEx>
        <w:trPr>
          <w:gridAfter w:val="1"/>
          <w:wAfter w:w="236" w:type="dxa"/>
          <w:trHeight w:val="30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惠及学生人数</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298人</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298人</w:t>
            </w:r>
          </w:p>
        </w:tc>
      </w:tr>
      <w:tr>
        <w:tblPrEx>
          <w:tblCellMar>
            <w:top w:w="0" w:type="dxa"/>
            <w:left w:w="108" w:type="dxa"/>
            <w:bottom w:w="0" w:type="dxa"/>
            <w:right w:w="108" w:type="dxa"/>
          </w:tblCellMar>
        </w:tblPrEx>
        <w:trPr>
          <w:gridAfter w:val="1"/>
          <w:wAfter w:w="236" w:type="dxa"/>
          <w:trHeight w:val="64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质量指标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审计、督查、巡视等指出问题项目比例</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0%</w:t>
            </w:r>
          </w:p>
        </w:tc>
      </w:tr>
      <w:tr>
        <w:tblPrEx>
          <w:tblCellMar>
            <w:top w:w="0" w:type="dxa"/>
            <w:left w:w="108" w:type="dxa"/>
            <w:bottom w:w="0" w:type="dxa"/>
            <w:right w:w="108" w:type="dxa"/>
          </w:tblCellMar>
        </w:tblPrEx>
        <w:trPr>
          <w:gridAfter w:val="1"/>
          <w:wAfter w:w="236" w:type="dxa"/>
          <w:trHeight w:val="36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项目工程质量合格率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100%</w:t>
            </w:r>
          </w:p>
        </w:tc>
      </w:tr>
      <w:tr>
        <w:tblPrEx>
          <w:tblCellMar>
            <w:top w:w="0" w:type="dxa"/>
            <w:left w:w="108" w:type="dxa"/>
            <w:bottom w:w="0" w:type="dxa"/>
            <w:right w:w="108" w:type="dxa"/>
          </w:tblCellMar>
        </w:tblPrEx>
        <w:trPr>
          <w:gridAfter w:val="1"/>
          <w:wAfter w:w="236" w:type="dxa"/>
          <w:trHeight w:val="43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时效指标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“两个责任”按项目落实到位率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default" w:ascii="仿宋_GB2312" w:hAnsi="仿宋_GB2312" w:eastAsia="仿宋_GB2312" w:cs="仿宋_GB2312"/>
                <w:color w:val="auto"/>
                <w:sz w:val="20"/>
                <w:szCs w:val="20"/>
                <w:highlight w:val="none"/>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100%</w:t>
            </w:r>
          </w:p>
        </w:tc>
      </w:tr>
      <w:tr>
        <w:tblPrEx>
          <w:tblCellMar>
            <w:top w:w="0" w:type="dxa"/>
            <w:left w:w="108" w:type="dxa"/>
            <w:bottom w:w="0" w:type="dxa"/>
            <w:right w:w="108" w:type="dxa"/>
          </w:tblCellMar>
        </w:tblPrEx>
        <w:trPr>
          <w:gridAfter w:val="1"/>
          <w:wAfter w:w="236" w:type="dxa"/>
          <w:trHeight w:val="40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项目开工率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lang w:val="en-US" w:eastAsia="zh-CN"/>
              </w:rPr>
            </w:pPr>
            <w:r>
              <w:rPr>
                <w:rFonts w:hint="default" w:ascii="仿宋_GB2312" w:hAnsi="仿宋_GB2312" w:eastAsia="仿宋_GB2312" w:cs="仿宋_GB2312"/>
                <w:color w:val="auto"/>
                <w:sz w:val="20"/>
                <w:szCs w:val="20"/>
                <w:highlight w:val="none"/>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default" w:ascii="仿宋_GB2312" w:hAnsi="仿宋_GB2312" w:eastAsia="仿宋_GB2312" w:cs="仿宋_GB2312"/>
                <w:color w:val="auto"/>
                <w:sz w:val="20"/>
                <w:szCs w:val="20"/>
                <w:highlight w:val="none"/>
              </w:rPr>
              <w:t>100%</w:t>
            </w:r>
          </w:p>
        </w:tc>
      </w:tr>
      <w:tr>
        <w:tblPrEx>
          <w:tblCellMar>
            <w:top w:w="0" w:type="dxa"/>
            <w:left w:w="108" w:type="dxa"/>
            <w:bottom w:w="0" w:type="dxa"/>
            <w:right w:w="108" w:type="dxa"/>
          </w:tblCellMar>
        </w:tblPrEx>
        <w:trPr>
          <w:gridAfter w:val="1"/>
          <w:wAfter w:w="236" w:type="dxa"/>
          <w:trHeight w:val="75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成本指标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超规模、超标准、超概算项目比例</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lang w:val="en-US"/>
              </w:rPr>
            </w:pPr>
            <w:r>
              <w:rPr>
                <w:rFonts w:hint="eastAsia" w:ascii="仿宋_GB2312" w:hAnsi="仿宋_GB2312" w:eastAsia="仿宋_GB2312" w:cs="仿宋_GB2312"/>
                <w:color w:val="auto"/>
                <w:sz w:val="20"/>
                <w:szCs w:val="20"/>
                <w:highlight w:val="none"/>
                <w:lang w:val="en-US" w:eastAsia="zh-CN"/>
              </w:rPr>
              <w:t>0%</w:t>
            </w:r>
          </w:p>
        </w:tc>
      </w:tr>
      <w:tr>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经济</w:t>
            </w:r>
            <w:r>
              <w:rPr>
                <w:rFonts w:hint="eastAsia" w:ascii="仿宋_GB2312" w:hAnsi="仿宋_GB2312" w:eastAsia="仿宋_GB2312" w:cs="仿宋_GB2312"/>
                <w:color w:val="auto"/>
                <w:sz w:val="20"/>
                <w:szCs w:val="20"/>
                <w:highlight w:val="none"/>
              </w:rPr>
              <w:t>效益  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带动地区经济，巩固教育脱贫攻坚成果</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社会</w:t>
            </w:r>
            <w:r>
              <w:rPr>
                <w:rFonts w:hint="default" w:ascii="仿宋_GB2312" w:hAnsi="仿宋_GB2312" w:eastAsia="仿宋_GB2312" w:cs="仿宋_GB2312"/>
                <w:color w:val="auto"/>
                <w:sz w:val="20"/>
                <w:szCs w:val="20"/>
                <w:highlight w:val="none"/>
              </w:rPr>
              <w:t>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提高义务教育巩固率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bottom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可持续影响指标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缩小与其他地区教育差距</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有效</w:t>
            </w:r>
          </w:p>
        </w:tc>
      </w:tr>
      <w:tr>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满意</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度指标</w:t>
            </w:r>
          </w:p>
        </w:tc>
        <w:tc>
          <w:tcPr>
            <w:tcW w:w="121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满意度</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学生及家长满意度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98%</w:t>
            </w:r>
          </w:p>
        </w:tc>
      </w:tr>
      <w:tr>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1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社会满意度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98%</w:t>
            </w:r>
          </w:p>
        </w:tc>
      </w:tr>
    </w:tbl>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ascii="仿宋" w:hAnsi="仿宋" w:eastAsia="仿宋"/>
          <w:color w:val="auto"/>
          <w:highlight w:val="none"/>
        </w:rPr>
      </w:pPr>
      <w:r>
        <w:rPr>
          <w:rFonts w:hint="eastAsia" w:ascii="黑体" w:hAnsi="黑体" w:eastAsia="黑体"/>
          <w:color w:val="auto"/>
          <w:sz w:val="44"/>
          <w:szCs w:val="44"/>
          <w:highlight w:val="none"/>
        </w:rPr>
        <w:t>第</w:t>
      </w:r>
      <w:r>
        <w:rPr>
          <w:rStyle w:val="29"/>
          <w:rFonts w:hint="eastAsia" w:ascii="黑体" w:hAnsi="黑体" w:eastAsia="黑体"/>
          <w:b w:val="0"/>
          <w:color w:val="auto"/>
          <w:highlight w:val="none"/>
        </w:rPr>
        <w:t>五部分 附表</w:t>
      </w:r>
      <w:bookmarkEnd w:id="51"/>
      <w:bookmarkEnd w:id="53"/>
      <w:bookmarkStart w:id="54" w:name="_Toc15396619"/>
    </w:p>
    <w:p>
      <w:pPr>
        <w:pStyle w:val="4"/>
        <w:rPr>
          <w:rFonts w:ascii="仿宋" w:hAnsi="仿宋" w:eastAsia="仿宋"/>
          <w:color w:val="auto"/>
          <w:highlight w:val="none"/>
        </w:rPr>
      </w:pPr>
      <w:r>
        <w:rPr>
          <w:rFonts w:hint="eastAsia" w:ascii="仿宋" w:hAnsi="仿宋" w:eastAsia="仿宋"/>
          <w:b w:val="0"/>
          <w:color w:val="auto"/>
          <w:highlight w:val="none"/>
        </w:rPr>
        <w:t>一、收</w:t>
      </w:r>
      <w:r>
        <w:rPr>
          <w:rStyle w:val="30"/>
          <w:rFonts w:hint="eastAsia" w:ascii="仿宋" w:hAnsi="仿宋" w:eastAsia="仿宋"/>
          <w:b w:val="0"/>
          <w:bCs w:val="0"/>
          <w:color w:val="auto"/>
          <w:highlight w:val="none"/>
        </w:rPr>
        <w:t>入支出决算总表</w:t>
      </w:r>
      <w:bookmarkEnd w:id="54"/>
    </w:p>
    <w:p>
      <w:pPr>
        <w:pStyle w:val="4"/>
        <w:rPr>
          <w:rFonts w:ascii="仿宋" w:hAnsi="仿宋" w:eastAsia="仿宋"/>
          <w:color w:val="auto"/>
          <w:highlight w:val="none"/>
        </w:rPr>
      </w:pPr>
      <w:bookmarkStart w:id="55" w:name="_Toc15396620"/>
      <w:r>
        <w:rPr>
          <w:rFonts w:hint="eastAsia" w:ascii="仿宋" w:hAnsi="仿宋" w:eastAsia="仿宋"/>
          <w:b w:val="0"/>
          <w:color w:val="auto"/>
          <w:highlight w:val="none"/>
        </w:rPr>
        <w:t>二、收</w:t>
      </w:r>
      <w:r>
        <w:rPr>
          <w:rStyle w:val="30"/>
          <w:rFonts w:hint="eastAsia" w:ascii="仿宋" w:hAnsi="仿宋" w:eastAsia="仿宋"/>
          <w:b w:val="0"/>
          <w:bCs w:val="0"/>
          <w:color w:val="auto"/>
          <w:highlight w:val="none"/>
        </w:rPr>
        <w:t>入决算表</w:t>
      </w:r>
      <w:bookmarkEnd w:id="55"/>
    </w:p>
    <w:p>
      <w:pPr>
        <w:pStyle w:val="4"/>
        <w:rPr>
          <w:rFonts w:ascii="仿宋" w:hAnsi="仿宋" w:eastAsia="仿宋"/>
          <w:color w:val="auto"/>
          <w:highlight w:val="none"/>
        </w:rPr>
      </w:pPr>
      <w:bookmarkStart w:id="56" w:name="_Toc15396621"/>
      <w:r>
        <w:rPr>
          <w:rStyle w:val="30"/>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30"/>
          <w:rFonts w:hint="eastAsia" w:ascii="仿宋" w:hAnsi="仿宋" w:eastAsia="仿宋"/>
          <w:b w:val="0"/>
          <w:bCs w:val="0"/>
          <w:color w:val="auto"/>
          <w:highlight w:val="none"/>
        </w:rPr>
        <w:t>出决算表</w:t>
      </w:r>
      <w:bookmarkEnd w:id="56"/>
    </w:p>
    <w:p>
      <w:pPr>
        <w:pStyle w:val="4"/>
        <w:rPr>
          <w:rFonts w:ascii="仿宋" w:hAnsi="仿宋" w:eastAsia="仿宋"/>
          <w:b w:val="0"/>
          <w:color w:val="auto"/>
          <w:highlight w:val="none"/>
        </w:rPr>
      </w:pPr>
      <w:bookmarkStart w:id="57" w:name="_Toc15396622"/>
      <w:r>
        <w:rPr>
          <w:rStyle w:val="30"/>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30"/>
          <w:rFonts w:hint="eastAsia" w:ascii="仿宋" w:hAnsi="仿宋" w:eastAsia="仿宋"/>
          <w:b w:val="0"/>
          <w:bCs w:val="0"/>
          <w:color w:val="auto"/>
          <w:highlight w:val="none"/>
        </w:rPr>
        <w:t>政拨款收入支出决算总表</w:t>
      </w:r>
      <w:bookmarkEnd w:id="57"/>
    </w:p>
    <w:p>
      <w:pPr>
        <w:pStyle w:val="4"/>
        <w:rPr>
          <w:rStyle w:val="30"/>
          <w:rFonts w:ascii="仿宋" w:hAnsi="仿宋" w:eastAsia="仿宋"/>
          <w:b w:val="0"/>
          <w:bCs w:val="0"/>
          <w:color w:val="auto"/>
          <w:highlight w:val="none"/>
        </w:rPr>
      </w:pPr>
      <w:bookmarkStart w:id="58" w:name="_Toc15396623"/>
      <w:r>
        <w:rPr>
          <w:rStyle w:val="30"/>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30"/>
          <w:rFonts w:hint="eastAsia" w:ascii="仿宋" w:hAnsi="仿宋" w:eastAsia="仿宋"/>
          <w:b w:val="0"/>
          <w:bCs w:val="0"/>
          <w:color w:val="auto"/>
          <w:highlight w:val="none"/>
        </w:rPr>
        <w:t>政拨款支出决算明细表</w:t>
      </w:r>
      <w:bookmarkEnd w:id="58"/>
      <w:bookmarkStart w:id="59" w:name="_Toc15396624"/>
    </w:p>
    <w:p>
      <w:pPr>
        <w:pStyle w:val="4"/>
        <w:rPr>
          <w:rFonts w:ascii="仿宋" w:hAnsi="仿宋" w:eastAsia="仿宋"/>
          <w:color w:val="auto"/>
          <w:highlight w:val="none"/>
        </w:rPr>
      </w:pPr>
      <w:r>
        <w:rPr>
          <w:rStyle w:val="30"/>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般公共预算财政拨款支出决算表</w:t>
      </w:r>
      <w:bookmarkEnd w:id="59"/>
    </w:p>
    <w:p>
      <w:pPr>
        <w:pStyle w:val="4"/>
        <w:rPr>
          <w:rFonts w:ascii="仿宋" w:hAnsi="仿宋" w:eastAsia="仿宋"/>
          <w:color w:val="auto"/>
          <w:highlight w:val="none"/>
        </w:rPr>
      </w:pPr>
      <w:bookmarkStart w:id="60" w:name="_Toc15396625"/>
      <w:r>
        <w:rPr>
          <w:rStyle w:val="30"/>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般公共预算财政拨款支出决算明细表</w:t>
      </w:r>
      <w:bookmarkEnd w:id="60"/>
    </w:p>
    <w:p>
      <w:pPr>
        <w:pStyle w:val="4"/>
        <w:rPr>
          <w:rFonts w:ascii="仿宋" w:hAnsi="仿宋" w:eastAsia="仿宋"/>
          <w:color w:val="auto"/>
          <w:highlight w:val="none"/>
        </w:rPr>
      </w:pPr>
      <w:bookmarkStart w:id="61" w:name="_Toc15396626"/>
      <w:r>
        <w:rPr>
          <w:rStyle w:val="30"/>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般公共预算财政拨款基本支出决算表</w:t>
      </w:r>
      <w:bookmarkEnd w:id="61"/>
    </w:p>
    <w:p>
      <w:pPr>
        <w:pStyle w:val="4"/>
        <w:rPr>
          <w:rFonts w:ascii="仿宋" w:hAnsi="仿宋" w:eastAsia="仿宋"/>
          <w:color w:val="auto"/>
          <w:highlight w:val="none"/>
        </w:rPr>
      </w:pPr>
      <w:bookmarkStart w:id="62" w:name="_Toc15396627"/>
      <w:r>
        <w:rPr>
          <w:rStyle w:val="30"/>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般公共预算财政拨款项目支出决算表</w:t>
      </w:r>
      <w:bookmarkEnd w:id="62"/>
    </w:p>
    <w:p>
      <w:pPr>
        <w:pStyle w:val="4"/>
        <w:rPr>
          <w:rFonts w:ascii="仿宋" w:hAnsi="仿宋" w:eastAsia="仿宋"/>
          <w:color w:val="auto"/>
          <w:highlight w:val="none"/>
        </w:rPr>
      </w:pPr>
      <w:bookmarkStart w:id="63" w:name="_Toc15396628"/>
      <w:r>
        <w:rPr>
          <w:rStyle w:val="30"/>
          <w:rFonts w:hint="eastAsia" w:ascii="仿宋" w:hAnsi="仿宋" w:eastAsia="仿宋"/>
          <w:b w:val="0"/>
          <w:bCs w:val="0"/>
          <w:color w:val="auto"/>
          <w:highlight w:val="none"/>
        </w:rPr>
        <w:t>十、</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般公共预算财政拨款“三公”经费支出决算表</w:t>
      </w:r>
      <w:bookmarkEnd w:id="63"/>
    </w:p>
    <w:p>
      <w:pPr>
        <w:pStyle w:val="4"/>
        <w:rPr>
          <w:rFonts w:ascii="仿宋" w:hAnsi="仿宋" w:eastAsia="仿宋"/>
          <w:color w:val="auto"/>
          <w:highlight w:val="none"/>
        </w:rPr>
      </w:pPr>
      <w:bookmarkStart w:id="64" w:name="_Toc15396629"/>
      <w:r>
        <w:rPr>
          <w:rStyle w:val="30"/>
          <w:rFonts w:hint="eastAsia" w:ascii="仿宋" w:hAnsi="仿宋" w:eastAsia="仿宋"/>
          <w:b w:val="0"/>
          <w:bCs w:val="0"/>
          <w:color w:val="auto"/>
          <w:highlight w:val="none"/>
        </w:rPr>
        <w:t>十一、</w:t>
      </w:r>
      <w:r>
        <w:rPr>
          <w:rFonts w:hint="eastAsia" w:ascii="仿宋" w:hAnsi="仿宋" w:eastAsia="仿宋"/>
          <w:b w:val="0"/>
          <w:color w:val="auto"/>
          <w:highlight w:val="none"/>
        </w:rPr>
        <w:t>政</w:t>
      </w:r>
      <w:r>
        <w:rPr>
          <w:rStyle w:val="30"/>
          <w:rFonts w:hint="eastAsia" w:ascii="仿宋" w:hAnsi="仿宋" w:eastAsia="仿宋"/>
          <w:b w:val="0"/>
          <w:bCs w:val="0"/>
          <w:color w:val="auto"/>
          <w:highlight w:val="none"/>
        </w:rPr>
        <w:t>府性基金预算财政拨款收入支出决算表</w:t>
      </w:r>
      <w:bookmarkEnd w:id="64"/>
    </w:p>
    <w:p>
      <w:pPr>
        <w:pStyle w:val="4"/>
        <w:rPr>
          <w:rFonts w:ascii="仿宋" w:hAnsi="仿宋" w:eastAsia="仿宋"/>
          <w:color w:val="auto"/>
          <w:highlight w:val="none"/>
        </w:rPr>
      </w:pPr>
      <w:bookmarkStart w:id="65" w:name="_Toc15396630"/>
      <w:r>
        <w:rPr>
          <w:rStyle w:val="30"/>
          <w:rFonts w:hint="eastAsia" w:ascii="仿宋" w:hAnsi="仿宋" w:eastAsia="仿宋"/>
          <w:b w:val="0"/>
          <w:bCs w:val="0"/>
          <w:color w:val="auto"/>
          <w:highlight w:val="none"/>
        </w:rPr>
        <w:t>十二、</w:t>
      </w:r>
      <w:r>
        <w:rPr>
          <w:rFonts w:hint="eastAsia" w:ascii="仿宋" w:hAnsi="仿宋" w:eastAsia="仿宋"/>
          <w:b w:val="0"/>
          <w:color w:val="auto"/>
          <w:highlight w:val="none"/>
        </w:rPr>
        <w:t>政</w:t>
      </w:r>
      <w:r>
        <w:rPr>
          <w:rStyle w:val="30"/>
          <w:rFonts w:hint="eastAsia" w:ascii="仿宋" w:hAnsi="仿宋" w:eastAsia="仿宋"/>
          <w:b w:val="0"/>
          <w:bCs w:val="0"/>
          <w:color w:val="auto"/>
          <w:highlight w:val="none"/>
        </w:rPr>
        <w:t>府性基金预算财政拨款“三公”经费支出决算表</w:t>
      </w:r>
      <w:bookmarkEnd w:id="65"/>
    </w:p>
    <w:p>
      <w:pPr>
        <w:pStyle w:val="4"/>
        <w:rPr>
          <w:rStyle w:val="30"/>
          <w:rFonts w:ascii="仿宋" w:hAnsi="仿宋" w:eastAsia="仿宋"/>
          <w:b w:val="0"/>
          <w:bCs w:val="0"/>
          <w:color w:val="auto"/>
          <w:highlight w:val="none"/>
        </w:rPr>
      </w:pPr>
      <w:bookmarkStart w:id="66" w:name="_Toc15396631"/>
      <w:r>
        <w:rPr>
          <w:rStyle w:val="30"/>
          <w:rFonts w:hint="eastAsia" w:ascii="仿宋" w:hAnsi="仿宋" w:eastAsia="仿宋"/>
          <w:b w:val="0"/>
          <w:bCs w:val="0"/>
          <w:color w:val="auto"/>
          <w:highlight w:val="none"/>
        </w:rPr>
        <w:t>十三、</w:t>
      </w:r>
      <w:r>
        <w:rPr>
          <w:rFonts w:hint="eastAsia" w:ascii="仿宋" w:hAnsi="仿宋" w:eastAsia="仿宋"/>
          <w:b w:val="0"/>
          <w:color w:val="auto"/>
          <w:highlight w:val="none"/>
        </w:rPr>
        <w:t>国</w:t>
      </w:r>
      <w:r>
        <w:rPr>
          <w:rStyle w:val="30"/>
          <w:rFonts w:hint="eastAsia" w:ascii="仿宋" w:hAnsi="仿宋" w:eastAsia="仿宋"/>
          <w:b w:val="0"/>
          <w:bCs w:val="0"/>
          <w:color w:val="auto"/>
          <w:highlight w:val="none"/>
        </w:rPr>
        <w:t>有资本经营预算财政拨款收入支出决算表</w:t>
      </w:r>
      <w:bookmarkEnd w:id="66"/>
    </w:p>
    <w:p>
      <w:pPr>
        <w:rPr>
          <w:rFonts w:eastAsia="仿宋"/>
          <w:color w:val="auto"/>
          <w:highlight w:val="none"/>
        </w:rPr>
      </w:pPr>
      <w:r>
        <w:rPr>
          <w:rStyle w:val="30"/>
          <w:rFonts w:hint="eastAsia" w:ascii="仿宋" w:hAnsi="仿宋" w:eastAsia="仿宋"/>
          <w:b w:val="0"/>
          <w:bCs w:val="0"/>
          <w:color w:val="auto"/>
          <w:highlight w:val="none"/>
        </w:rPr>
        <w:t>十四、国有资本经营预算财政拨款支出决算表</w:t>
      </w:r>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00000001" w:usb1="080E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1"/>
          <w:jc w:val="center"/>
        </w:pPr>
        <w:r>
          <w:fldChar w:fldCharType="begin"/>
        </w:r>
        <w:r>
          <w:instrText xml:space="preserve">PAGE   \* MERGEFORMAT</w:instrText>
        </w:r>
        <w:r>
          <w:fldChar w:fldCharType="separate"/>
        </w:r>
        <w:r>
          <w:rPr>
            <w:lang w:val="zh-CN"/>
          </w:rPr>
          <w:t>12</w:t>
        </w:r>
        <w:r>
          <w:fldChar w:fldCharType="end"/>
        </w:r>
      </w:p>
    </w:sdtContent>
  </w:sdt>
  <w:p>
    <w:pPr>
      <w:pStyle w:val="11"/>
    </w:pPr>
  </w:p>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5C95BF06"/>
    <w:multiLevelType w:val="singleLevel"/>
    <w:tmpl w:val="5C95BF06"/>
    <w:lvl w:ilvl="0" w:tentative="0">
      <w:start w:val="1"/>
      <w:numFmt w:val="decimal"/>
      <w:lvlText w:val="%1."/>
      <w:lvlJc w:val="left"/>
      <w:pPr>
        <w:tabs>
          <w:tab w:val="left" w:pos="312"/>
        </w:tabs>
      </w:pPr>
    </w:lvl>
  </w:abstractNum>
  <w:abstractNum w:abstractNumId="4">
    <w:nsid w:val="6492B4FE"/>
    <w:multiLevelType w:val="singleLevel"/>
    <w:tmpl w:val="6492B4FE"/>
    <w:lvl w:ilvl="0" w:tentative="0">
      <w:start w:val="1"/>
      <w:numFmt w:val="chineseCounting"/>
      <w:suff w:val="nothing"/>
      <w:lvlText w:val="%1、"/>
      <w:lvlJc w:val="left"/>
      <w:rPr>
        <w:rFonts w:hint="eastAsia"/>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3E14"/>
    <w:rsid w:val="00142216"/>
    <w:rsid w:val="00144D6A"/>
    <w:rsid w:val="0014729F"/>
    <w:rsid w:val="00157BAB"/>
    <w:rsid w:val="001654D1"/>
    <w:rsid w:val="00174518"/>
    <w:rsid w:val="0018106D"/>
    <w:rsid w:val="00184031"/>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B692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1B33"/>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469FB"/>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22EF"/>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65C9E"/>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0437"/>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6110308"/>
    <w:rsid w:val="07E6312F"/>
    <w:rsid w:val="08D062B9"/>
    <w:rsid w:val="0A2032A3"/>
    <w:rsid w:val="0B8A37D8"/>
    <w:rsid w:val="0EC71F0D"/>
    <w:rsid w:val="10C055FF"/>
    <w:rsid w:val="112C7A85"/>
    <w:rsid w:val="118107EC"/>
    <w:rsid w:val="11DD6519"/>
    <w:rsid w:val="124A57A8"/>
    <w:rsid w:val="12910332"/>
    <w:rsid w:val="141F6230"/>
    <w:rsid w:val="157E27B0"/>
    <w:rsid w:val="16BB723D"/>
    <w:rsid w:val="177D300F"/>
    <w:rsid w:val="18015F3F"/>
    <w:rsid w:val="1905715B"/>
    <w:rsid w:val="1A7867B1"/>
    <w:rsid w:val="1BE8440E"/>
    <w:rsid w:val="1C540FA4"/>
    <w:rsid w:val="1D155CEE"/>
    <w:rsid w:val="20F57F95"/>
    <w:rsid w:val="23066A21"/>
    <w:rsid w:val="240371BF"/>
    <w:rsid w:val="24D54B4E"/>
    <w:rsid w:val="25781413"/>
    <w:rsid w:val="25C741E6"/>
    <w:rsid w:val="27842671"/>
    <w:rsid w:val="292E3D88"/>
    <w:rsid w:val="29FD04D3"/>
    <w:rsid w:val="2ABE7A3E"/>
    <w:rsid w:val="2BAE4DE0"/>
    <w:rsid w:val="2C0D4D5A"/>
    <w:rsid w:val="2EFA178C"/>
    <w:rsid w:val="30B46D73"/>
    <w:rsid w:val="319F7F4E"/>
    <w:rsid w:val="32427031"/>
    <w:rsid w:val="32E05DEF"/>
    <w:rsid w:val="353C0D20"/>
    <w:rsid w:val="36A04C6E"/>
    <w:rsid w:val="36F86858"/>
    <w:rsid w:val="39AE70AB"/>
    <w:rsid w:val="3A984BE2"/>
    <w:rsid w:val="3C0C0783"/>
    <w:rsid w:val="3D901390"/>
    <w:rsid w:val="3F795B0E"/>
    <w:rsid w:val="3F9F3A96"/>
    <w:rsid w:val="474C7587"/>
    <w:rsid w:val="493C27E9"/>
    <w:rsid w:val="496F39ED"/>
    <w:rsid w:val="49FF41D3"/>
    <w:rsid w:val="4A185DC8"/>
    <w:rsid w:val="4BE068DB"/>
    <w:rsid w:val="4BF6002B"/>
    <w:rsid w:val="4C984B71"/>
    <w:rsid w:val="4ECE2238"/>
    <w:rsid w:val="4FD61684"/>
    <w:rsid w:val="503645ED"/>
    <w:rsid w:val="508F3649"/>
    <w:rsid w:val="51DB4B86"/>
    <w:rsid w:val="52FB5859"/>
    <w:rsid w:val="55333C3E"/>
    <w:rsid w:val="58737E60"/>
    <w:rsid w:val="5E4915C3"/>
    <w:rsid w:val="5EEF25B2"/>
    <w:rsid w:val="60EE7955"/>
    <w:rsid w:val="64A80084"/>
    <w:rsid w:val="64CA39A1"/>
    <w:rsid w:val="65B126BB"/>
    <w:rsid w:val="679715F1"/>
    <w:rsid w:val="6C4A05C8"/>
    <w:rsid w:val="6C6E6699"/>
    <w:rsid w:val="6E922B12"/>
    <w:rsid w:val="6EDA0CDC"/>
    <w:rsid w:val="72734D90"/>
    <w:rsid w:val="727D7081"/>
    <w:rsid w:val="72E456B5"/>
    <w:rsid w:val="74E366CA"/>
    <w:rsid w:val="76C02A5D"/>
    <w:rsid w:val="77AF64E3"/>
    <w:rsid w:val="784276CB"/>
    <w:rsid w:val="79E7B28D"/>
    <w:rsid w:val="7AC82E51"/>
    <w:rsid w:val="7B390C4C"/>
    <w:rsid w:val="7BFA24EA"/>
    <w:rsid w:val="7C1E3C37"/>
    <w:rsid w:val="7CAB154F"/>
    <w:rsid w:val="7E0A7F06"/>
    <w:rsid w:val="7F1B26B0"/>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4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2">
    <w:name w:val="Body Text"/>
    <w:basedOn w:val="1"/>
    <w:link w:val="37"/>
    <w:qFormat/>
    <w:uiPriority w:val="99"/>
    <w:pPr>
      <w:spacing w:beforeLines="30"/>
    </w:pPr>
    <w:rPr>
      <w:rFonts w:ascii="仿宋_GB2312" w:eastAsia="仿宋_GB2312"/>
      <w:kern w:val="0"/>
      <w:sz w:val="30"/>
    </w:rPr>
  </w:style>
  <w:style w:type="paragraph" w:styleId="6">
    <w:name w:val="annotation text"/>
    <w:basedOn w:val="1"/>
    <w:semiHidden/>
    <w:unhideWhenUsed/>
    <w:qFormat/>
    <w:uiPriority w:val="99"/>
    <w:pPr>
      <w:jc w:val="left"/>
    </w:pPr>
  </w:style>
  <w:style w:type="paragraph" w:styleId="7">
    <w:name w:val="Salutation"/>
    <w:basedOn w:val="1"/>
    <w:next w:val="1"/>
    <w:qFormat/>
    <w:uiPriority w:val="99"/>
  </w:style>
  <w:style w:type="paragraph" w:styleId="8">
    <w:name w:val="Body Text Indent"/>
    <w:basedOn w:val="1"/>
    <w:link w:val="38"/>
    <w:qFormat/>
    <w:uiPriority w:val="99"/>
    <w:pPr>
      <w:ind w:left="420" w:left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2"/>
    <w:semiHidden/>
    <w:unhideWhenUsed/>
    <w:qFormat/>
    <w:uiPriority w:val="99"/>
    <w:rPr>
      <w:sz w:val="18"/>
      <w:szCs w:val="18"/>
    </w:rPr>
  </w:style>
  <w:style w:type="paragraph" w:styleId="11">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paragraph" w:styleId="15">
    <w:name w:val="Normal (Web)"/>
    <w:basedOn w:val="1"/>
    <w:semiHidden/>
    <w:unhideWhenUsed/>
    <w:qFormat/>
    <w:uiPriority w:val="99"/>
    <w:rPr>
      <w:sz w:val="24"/>
    </w:rPr>
  </w:style>
  <w:style w:type="paragraph" w:styleId="16">
    <w:name w:val="Body Text First Indent 2"/>
    <w:basedOn w:val="8"/>
    <w:link w:val="39"/>
    <w:qFormat/>
    <w:uiPriority w:val="99"/>
    <w:pPr>
      <w:ind w:firstLine="420" w:firstLineChars="200"/>
    </w:pPr>
  </w:style>
  <w:style w:type="character" w:styleId="19">
    <w:name w:val="Strong"/>
    <w:basedOn w:val="18"/>
    <w:qFormat/>
    <w:uiPriority w:val="99"/>
    <w:rPr>
      <w:rFonts w:hint="default" w:ascii="Times New Roman" w:hAnsi="Times New Roman" w:cs="Times New Roman"/>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customStyle="1" w:styleId="21">
    <w:name w:val="Header Char"/>
    <w:basedOn w:val="18"/>
    <w:semiHidden/>
    <w:qFormat/>
    <w:uiPriority w:val="99"/>
    <w:rPr>
      <w:rFonts w:ascii="Times New Roman" w:hAnsi="Times New Roman"/>
      <w:sz w:val="18"/>
      <w:szCs w:val="18"/>
    </w:rPr>
  </w:style>
  <w:style w:type="character" w:customStyle="1" w:styleId="22">
    <w:name w:val="页眉 Char"/>
    <w:link w:val="12"/>
    <w:semiHidden/>
    <w:qFormat/>
    <w:locked/>
    <w:uiPriority w:val="99"/>
    <w:rPr>
      <w:sz w:val="18"/>
    </w:rPr>
  </w:style>
  <w:style w:type="character" w:customStyle="1" w:styleId="23">
    <w:name w:val="Footer Char"/>
    <w:basedOn w:val="18"/>
    <w:semiHidden/>
    <w:qFormat/>
    <w:uiPriority w:val="99"/>
    <w:rPr>
      <w:rFonts w:ascii="Times New Roman" w:hAnsi="Times New Roman"/>
      <w:sz w:val="18"/>
      <w:szCs w:val="18"/>
    </w:rPr>
  </w:style>
  <w:style w:type="character" w:customStyle="1" w:styleId="24">
    <w:name w:val="页脚 Char"/>
    <w:link w:val="11"/>
    <w:qFormat/>
    <w:locked/>
    <w:uiPriority w:val="99"/>
    <w:rPr>
      <w:sz w:val="18"/>
    </w:rPr>
  </w:style>
  <w:style w:type="character" w:customStyle="1" w:styleId="25">
    <w:name w:val="Body Text Char"/>
    <w:basedOn w:val="18"/>
    <w:semiHidden/>
    <w:qFormat/>
    <w:uiPriority w:val="99"/>
    <w:rPr>
      <w:rFonts w:ascii="Times New Roman" w:hAnsi="Times New Roman"/>
      <w:szCs w:val="24"/>
    </w:rPr>
  </w:style>
  <w:style w:type="character" w:customStyle="1" w:styleId="26">
    <w:name w:val="正文文本 Char"/>
    <w:link w:val="2"/>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8"/>
    <w:link w:val="3"/>
    <w:qFormat/>
    <w:uiPriority w:val="9"/>
    <w:rPr>
      <w:rFonts w:ascii="Times New Roman" w:hAnsi="Times New Roman"/>
      <w:b/>
      <w:bCs/>
      <w:kern w:val="44"/>
      <w:sz w:val="44"/>
      <w:szCs w:val="44"/>
    </w:rPr>
  </w:style>
  <w:style w:type="character" w:customStyle="1" w:styleId="30">
    <w:name w:val="标题 2 Char"/>
    <w:basedOn w:val="18"/>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8"/>
    <w:link w:val="10"/>
    <w:semiHidden/>
    <w:qFormat/>
    <w:uiPriority w:val="99"/>
    <w:rPr>
      <w:rFonts w:ascii="Times New Roman" w:hAnsi="Times New Roman"/>
      <w:kern w:val="2"/>
      <w:sz w:val="18"/>
      <w:szCs w:val="18"/>
    </w:rPr>
  </w:style>
  <w:style w:type="character" w:customStyle="1" w:styleId="33">
    <w:name w:val="标题 3 Char"/>
    <w:basedOn w:val="18"/>
    <w:link w:val="5"/>
    <w:qFormat/>
    <w:uiPriority w:val="9"/>
    <w:rPr>
      <w:rFonts w:ascii="Times New Roman" w:hAnsi="Times New Roman"/>
      <w:b/>
      <w:bCs/>
      <w:kern w:val="2"/>
      <w:sz w:val="32"/>
      <w:szCs w:val="32"/>
    </w:rPr>
  </w:style>
  <w:style w:type="paragraph" w:customStyle="1" w:styleId="3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5">
    <w:name w:val="正文文本 字符"/>
    <w:basedOn w:val="18"/>
    <w:qFormat/>
    <w:uiPriority w:val="0"/>
    <w:rPr>
      <w:kern w:val="2"/>
      <w:sz w:val="21"/>
      <w:szCs w:val="24"/>
    </w:rPr>
  </w:style>
  <w:style w:type="character" w:customStyle="1" w:styleId="36">
    <w:name w:val="标题 2 Char1"/>
    <w:basedOn w:val="18"/>
    <w:link w:val="4"/>
    <w:qFormat/>
    <w:uiPriority w:val="0"/>
    <w:rPr>
      <w:rFonts w:ascii="等线 Light" w:hAnsi="等线 Light" w:eastAsia="等线 Light" w:cs="Times New Roman"/>
      <w:b/>
      <w:bCs/>
      <w:kern w:val="2"/>
      <w:sz w:val="32"/>
      <w:szCs w:val="32"/>
    </w:rPr>
  </w:style>
  <w:style w:type="character" w:customStyle="1" w:styleId="37">
    <w:name w:val="正文文本 Char1"/>
    <w:basedOn w:val="18"/>
    <w:link w:val="2"/>
    <w:qFormat/>
    <w:uiPriority w:val="0"/>
    <w:rPr>
      <w:rFonts w:hint="eastAsia" w:ascii="仿宋_GB2312" w:eastAsia="仿宋_GB2312" w:cs="仿宋_GB2312"/>
      <w:sz w:val="24"/>
    </w:rPr>
  </w:style>
  <w:style w:type="character" w:customStyle="1" w:styleId="38">
    <w:name w:val="正文文本缩进 字符"/>
    <w:basedOn w:val="18"/>
    <w:link w:val="8"/>
    <w:qFormat/>
    <w:uiPriority w:val="0"/>
    <w:rPr>
      <w:rFonts w:hint="default" w:ascii="Times New Roman" w:hAnsi="Times New Roman" w:cs="Times New Roman"/>
      <w:kern w:val="2"/>
      <w:sz w:val="21"/>
      <w:szCs w:val="24"/>
    </w:rPr>
  </w:style>
  <w:style w:type="character" w:customStyle="1" w:styleId="39">
    <w:name w:val="正文首行缩进 2 字符"/>
    <w:basedOn w:val="38"/>
    <w:link w:val="16"/>
    <w:qFormat/>
    <w:uiPriority w:val="0"/>
    <w:rPr>
      <w:rFonts w:hint="default" w:ascii="Times New Roman" w:hAnsi="Times New Roman" w:cs="Times New Roman"/>
      <w:kern w:val="2"/>
      <w:sz w:val="21"/>
      <w:szCs w:val="24"/>
    </w:rPr>
  </w:style>
  <w:style w:type="character" w:customStyle="1" w:styleId="40">
    <w:name w:val="标题 2 字符"/>
    <w:basedOn w:val="18"/>
    <w:link w:val="4"/>
    <w:qFormat/>
    <w:uiPriority w:val="0"/>
    <w:rPr>
      <w:rFonts w:ascii="等线 Light" w:hAnsi="等线 Light" w:eastAsia="等线 Light" w:cs="Times New Roman"/>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收、支决算总计变动情况图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1028.72</c:v>
                </c:pt>
                <c:pt idx="1">
                  <c:v>942.89</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2018.72</c:v>
                </c:pt>
                <c:pt idx="1">
                  <c:v>942.89</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manualLayout>
          <c:layoutTarget val="inner"/>
          <c:xMode val="edge"/>
          <c:yMode val="edge"/>
          <c:x val="0.300694444444444"/>
          <c:y val="0.185185185185185"/>
          <c:w val="0.381944444444444"/>
          <c:h val="0.636574074074074"/>
        </c:manualLayout>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Lbls>
            <c:dLbl>
              <c:idx val="0"/>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extLst>
                <c:ext xmlns:c15="http://schemas.microsoft.com/office/drawing/2012/chart" uri="{CE6537A1-D6FC-4f65-9D91-7224C49458BB}"/>
              </c:extLst>
            </c:dLbl>
            <c:dLbl>
              <c:idx val="1"/>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extLst>
                <c:ext xmlns:c15="http://schemas.microsoft.com/office/drawing/2012/chart" uri="{CE6537A1-D6FC-4f65-9D91-7224C49458BB}"/>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c:v>
                </c:pt>
              </c:strCache>
            </c:strRef>
          </c:cat>
          <c:val>
            <c:numRef>
              <c:f>Sheet1!$B$2:$B$3</c:f>
              <c:numCache>
                <c:formatCode>0.00%</c:formatCode>
                <c:ptCount val="2"/>
                <c:pt idx="0">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cap="all" spc="50" baseline="0">
                <a:solidFill>
                  <a:schemeClr val="tx1">
                    <a:lumMod val="65000"/>
                    <a:lumOff val="35000"/>
                  </a:schemeClr>
                </a:solidFill>
                <a:latin typeface="+mn-lt"/>
                <a:ea typeface="+mn-ea"/>
                <a:cs typeface="+mn-cs"/>
              </a:defRPr>
            </a:pPr>
            <a:r>
              <a:t>支出决算结构图</a:t>
            </a:r>
          </a:p>
        </c:rich>
      </c:tx>
      <c:layout>
        <c:manualLayout>
          <c:xMode val="edge"/>
          <c:yMode val="edge"/>
          <c:x val="0.358"/>
          <c:y val="0.0362156291681996"/>
        </c:manualLayout>
      </c:layout>
      <c:overlay val="0"/>
      <c:spPr>
        <a:noFill/>
        <a:ln>
          <a:noFill/>
        </a:ln>
        <a:effectLst/>
      </c:spPr>
    </c:title>
    <c:autoTitleDeleted val="0"/>
    <c:plotArea>
      <c:layout/>
      <c:pieChart>
        <c:varyColors val="1"/>
        <c:ser>
          <c:idx val="0"/>
          <c:order val="0"/>
          <c:tx>
            <c:strRef>
              <c:f>Sheet1!$B$1</c:f>
              <c:strCache>
                <c:ptCount val="1"/>
                <c:pt idx="0">
                  <c:v>2021年本年支出合计</c:v>
                </c:pt>
              </c:strCache>
            </c:strRef>
          </c:tx>
          <c:spPr/>
          <c:explosion val="0"/>
          <c:dPt>
            <c:idx val="0"/>
            <c:bubble3D val="0"/>
            <c:spPr>
              <a:solidFill>
                <a:schemeClr val="accent1"/>
              </a:solidFill>
              <a:ln>
                <a:noFill/>
              </a:ln>
              <a:effectLst/>
            </c:spPr>
          </c:dPt>
          <c:dPt>
            <c:idx val="1"/>
            <c:bubble3D val="0"/>
            <c:spPr>
              <a:solidFill>
                <a:schemeClr val="accent2"/>
              </a:solidFill>
              <a:ln>
                <a:noFill/>
              </a:ln>
              <a:effectLst/>
            </c:spPr>
          </c:dPt>
          <c:dLbls>
            <c:dLbl>
              <c:idx val="0"/>
              <c:layout>
                <c:manualLayout>
                  <c:x val="-0.0780102018728391"/>
                  <c:y val="-0.0571859083581905"/>
                </c:manualLayout>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72.58</a:t>
                    </a:r>
                    <a:r>
                      <a:t>%</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27.42</a:t>
                    </a:r>
                    <a:r>
                      <a:t>%</a:t>
                    </a:r>
                  </a:p>
                </c:rich>
              </c:tx>
              <c:dLblPos val="inEnd"/>
              <c:showLegendKey val="0"/>
              <c:showVal val="0"/>
              <c:showCatName val="0"/>
              <c:showSerName val="0"/>
              <c:showPercent val="1"/>
              <c:showBubbleSize val="0"/>
              <c:extLst>
                <c:ext xmlns:c15="http://schemas.microsoft.com/office/drawing/2012/chart" uri="{CE6537A1-D6FC-4f65-9D91-7224C49458BB}">
                  <c15:layout>
                    <c:manualLayout>
                      <c:w val="0.150625"/>
                      <c:h val="0.112291350531108"/>
                    </c:manualLayout>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684.39</c:v>
                </c:pt>
                <c:pt idx="1">
                  <c:v>258.5</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财政拨款收、支决算总体变动情况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1085.8</c:v>
                </c:pt>
                <c:pt idx="1">
                  <c:v>1178.89</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1085.8</c:v>
                </c:pt>
                <c:pt idx="1">
                  <c:v>1178.89</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65000"/>
                    <a:lumOff val="35000"/>
                  </a:schemeClr>
                </a:solidFill>
                <a:effectLst/>
                <a:latin typeface="+mn-lt"/>
                <a:ea typeface="+mn-ea"/>
                <a:cs typeface="+mn-cs"/>
              </a:defRPr>
            </a:pPr>
            <a:r>
              <a:rPr sz="1400" b="1"/>
              <a:t>一般公共预算财政拨款支出决算变动情况</a:t>
            </a:r>
            <a:endParaRPr sz="1400" b="1"/>
          </a:p>
        </c:rich>
      </c:tx>
      <c:layout>
        <c:manualLayout>
          <c:xMode val="edge"/>
          <c:yMode val="edge"/>
          <c:x val="0.193"/>
          <c:y val="0.0358470525756771"/>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一般公共预算财政拨款支出</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1028.72</c:v>
                </c:pt>
                <c:pt idx="1">
                  <c:v>942.89</c:v>
                </c:pt>
              </c:numCache>
            </c:numRef>
          </c:val>
        </c:ser>
        <c:dLbls>
          <c:showLegendKey val="0"/>
          <c:showVal val="1"/>
          <c:showCatName val="0"/>
          <c:showSerName val="0"/>
          <c:showPercent val="0"/>
          <c:showBubbleSize val="0"/>
        </c:dLbls>
        <c:gapWidth val="41"/>
        <c:overlap val="0"/>
        <c:axId val="134079981"/>
        <c:axId val="758071448"/>
      </c:barChart>
      <c:catAx>
        <c:axId val="134079981"/>
        <c:scaling>
          <c:orientation val="minMax"/>
        </c:scaling>
        <c:delete val="0"/>
        <c:axPos val="b"/>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effectLst/>
                <a:latin typeface="+mn-lt"/>
                <a:ea typeface="+mn-ea"/>
                <a:cs typeface="+mn-cs"/>
              </a:defRPr>
            </a:pPr>
          </a:p>
        </c:txPr>
        <c:crossAx val="758071448"/>
        <c:crosses val="autoZero"/>
        <c:auto val="1"/>
        <c:lblAlgn val="ctr"/>
        <c:lblOffset val="100"/>
        <c:noMultiLvlLbl val="0"/>
      </c:catAx>
      <c:valAx>
        <c:axId val="758071448"/>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crossAx val="134079981"/>
        <c:crosses val="autoZero"/>
        <c:crossBetween val="between"/>
      </c:valAx>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Entry>
      <c:layout>
        <c:manualLayout>
          <c:xMode val="edge"/>
          <c:yMode val="edge"/>
          <c:x val="0.346625"/>
          <c:y val="0.19915029208709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a:effectLst/>
  </c:spPr>
  <c:txPr>
    <a:bodyPr/>
    <a:lstStyle/>
    <a:p>
      <a:pPr>
        <a:defRPr lang="zh-CN" sz="900"/>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65000"/>
                    <a:lumOff val="35000"/>
                  </a:schemeClr>
                </a:solidFill>
                <a:latin typeface="+mn-lt"/>
                <a:ea typeface="+mn-ea"/>
                <a:cs typeface="+mn-cs"/>
              </a:defRPr>
            </a:pPr>
            <a:r>
              <a:t>一般公共预算财政拨款支出决算结构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solidFill>
                <a:schemeClr val="accent1"/>
              </a:solidFill>
              <a:ln>
                <a:noFill/>
              </a:ln>
              <a:effectLst>
                <a:outerShdw blurRad="317500" algn="ctr" rotWithShape="0">
                  <a:prstClr val="black">
                    <a:alpha val="25000"/>
                  </a:prstClr>
                </a:outerShdw>
              </a:effectLst>
            </c:spPr>
          </c:dPt>
          <c:dPt>
            <c:idx val="1"/>
            <c:bubble3D val="0"/>
            <c:spPr>
              <a:solidFill>
                <a:schemeClr val="accent2"/>
              </a:solidFill>
              <a:ln>
                <a:noFill/>
              </a:ln>
              <a:effectLst>
                <a:outerShdw blurRad="317500" algn="ctr" rotWithShape="0">
                  <a:prstClr val="black">
                    <a:alpha val="25000"/>
                  </a:prstClr>
                </a:outerShdw>
              </a:effectLst>
            </c:spPr>
          </c:dPt>
          <c:dLbls>
            <c:dLbl>
              <c:idx val="0"/>
              <c:layout>
                <c:manualLayout>
                  <c:x val="-0.00187524234346355"/>
                  <c:y val="-0.363504402515277"/>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教育支出（类）</c:v>
                </c:pt>
                <c:pt idx="1">
                  <c:v>社会保障和就业支出</c:v>
                </c:pt>
              </c:strCache>
            </c:strRef>
          </c:cat>
          <c:val>
            <c:numRef>
              <c:f>Sheet1!$B$2:$B$3</c:f>
              <c:numCache>
                <c:formatCode>General</c:formatCode>
                <c:ptCount val="2"/>
                <c:pt idx="0">
                  <c:v>98.12</c:v>
                </c:pt>
                <c:pt idx="1">
                  <c:v>1.88</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t>“三公”经费财政拨款支出结构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dPt>
          <c:dLbls>
            <c:dLbl>
              <c:idx val="0"/>
              <c:delete val="1"/>
            </c:dLbl>
            <c:dLbl>
              <c:idx val="1"/>
              <c:delete val="1"/>
            </c:dLbl>
            <c:dLbl>
              <c:idx val="2"/>
              <c:layout>
                <c:manualLayout>
                  <c:x val="0.00187439869773377"/>
                  <c:y val="-0.32657607226201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2"/>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0%</c:formatCode>
                <c:ptCount val="3"/>
                <c:pt idx="0">
                  <c:v>0</c:v>
                </c:pt>
                <c:pt idx="1">
                  <c:v>0</c:v>
                </c:pt>
                <c:pt idx="2">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2"/>
              </a:solidFill>
              <a:latin typeface="+mn-lt"/>
              <a:ea typeface="+mn-ea"/>
              <a:cs typeface="+mn-cs"/>
            </a:defRPr>
          </a:pPr>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四川省财政厅</Company>
  <Pages>21</Pages>
  <Words>6767</Words>
  <Characters>7261</Characters>
  <Lines>47</Lines>
  <Paragraphs>13</Paragraphs>
  <TotalTime>6</TotalTime>
  <ScaleCrop>false</ScaleCrop>
  <LinksUpToDate>false</LinksUpToDate>
  <CharactersWithSpaces>7327</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king</cp:lastModifiedBy>
  <cp:lastPrinted>2022-09-27T03:56:00Z</cp:lastPrinted>
  <dcterms:modified xsi:type="dcterms:W3CDTF">2022-09-30T14:41:04Z</dcterms:modified>
  <dc:title>四川省***</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90E9467CCEFE4D188C1A3EBDCF3991AB</vt:lpwstr>
  </property>
</Properties>
</file>