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8441"/>
      <w:bookmarkStart w:id="2" w:name="_Toc15396597"/>
      <w:bookmarkStart w:id="3" w:name="_Toc15396475"/>
      <w:bookmarkStart w:id="4" w:name="_Toc15377425"/>
      <w:bookmarkStart w:id="5" w:name="_Toc15377193"/>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Start w:id="67" w:name="_GoBack"/>
      <w:bookmarkEnd w:id="67"/>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7194"/>
      <w:bookmarkStart w:id="7" w:name="_Toc15377426"/>
      <w:bookmarkStart w:id="8" w:name="_Toc15396476"/>
      <w:bookmarkStart w:id="9" w:name="_Toc15396598"/>
      <w:bookmarkStart w:id="10" w:name="_Toc15378442"/>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lang w:val="en-US" w:eastAsia="zh-CN"/>
        </w:rPr>
        <w:t>教育局</w:t>
      </w:r>
      <w:r>
        <w:rPr>
          <w:rFonts w:hint="eastAsia" w:ascii="方正小标宋_GBK" w:hAnsi="方正小标宋_GBK" w:eastAsia="方正小标宋_GBK" w:cs="方正小标宋_GBK"/>
          <w:color w:val="auto"/>
          <w:sz w:val="72"/>
          <w:szCs w:val="72"/>
          <w:highlight w:val="none"/>
          <w:lang w:eastAsia="zh-CN"/>
        </w:rPr>
        <w:t>部门</w:t>
      </w:r>
      <w:r>
        <w:rPr>
          <w:rFonts w:hint="eastAsia" w:ascii="方正小标宋_GBK" w:hAnsi="方正小标宋_GBK" w:eastAsia="方正小标宋_GBK" w:cs="方正小标宋_GBK"/>
          <w:color w:val="auto"/>
          <w:sz w:val="72"/>
          <w:szCs w:val="72"/>
          <w:highlight w:val="none"/>
        </w:rPr>
        <w:t>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5"/>
        <w:jc w:val="both"/>
        <w:rPr>
          <w:color w:val="auto"/>
          <w:highlight w:val="none"/>
        </w:rPr>
      </w:pPr>
    </w:p>
    <w:p>
      <w:pPr>
        <w:rPr>
          <w:color w:val="auto"/>
          <w:highlight w:val="none"/>
        </w:rPr>
      </w:pPr>
    </w:p>
    <w:p>
      <w:pPr>
        <w:pStyle w:val="15"/>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部门</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6"/>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6"/>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5"/>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部门</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6"/>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6"/>
        <w:adjustRightInd w:val="0"/>
        <w:snapToGrid w:val="0"/>
        <w:spacing w:line="440" w:lineRule="exact"/>
        <w:jc w:val="distribute"/>
        <w:rPr>
          <w:rFonts w:hint="eastAsia"/>
          <w:color w:val="auto"/>
          <w:sz w:val="24"/>
          <w:highlight w:val="none"/>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6"/>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15</w:t>
      </w:r>
    </w:p>
    <w:p>
      <w:pPr>
        <w:pStyle w:val="16"/>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5"/>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16</w:t>
      </w:r>
    </w:p>
    <w:p>
      <w:pPr>
        <w:pStyle w:val="15"/>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6"/>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6"/>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r>
        <w:rPr>
          <w:rFonts w:ascii="仿宋" w:hAnsi="仿宋" w:eastAsia="仿宋"/>
          <w:b/>
          <w:color w:val="auto"/>
          <w:sz w:val="24"/>
          <w:highlight w:val="none"/>
        </w:rPr>
        <w:br w:type="page"/>
      </w:r>
    </w:p>
    <w:p>
      <w:pPr>
        <w:pStyle w:val="3"/>
        <w:jc w:val="center"/>
        <w:rPr>
          <w:rStyle w:val="30"/>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部门</w:t>
      </w:r>
      <w:r>
        <w:rPr>
          <w:rStyle w:val="30"/>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1"/>
          <w:rFonts w:ascii="黑体" w:hAnsi="黑体" w:eastAsia="黑体"/>
          <w:b w:val="0"/>
          <w:bCs w:val="0"/>
          <w:color w:val="auto"/>
          <w:highlight w:val="none"/>
        </w:rPr>
      </w:pPr>
      <w:bookmarkStart w:id="14" w:name="_Toc15396600"/>
      <w:bookmarkStart w:id="15" w:name="_Toc15377197"/>
      <w:r>
        <w:rPr>
          <w:rStyle w:val="31"/>
          <w:rFonts w:hint="eastAsia" w:ascii="黑体" w:hAnsi="黑体" w:eastAsia="黑体"/>
          <w:b w:val="0"/>
          <w:bCs w:val="0"/>
          <w:color w:val="auto"/>
          <w:highlight w:val="none"/>
        </w:rPr>
        <w:t>职能简介</w:t>
      </w:r>
    </w:p>
    <w:p>
      <w:pPr>
        <w:rPr>
          <w:rFonts w:hint="eastAsia" w:ascii="仿宋" w:hAnsi="仿宋" w:eastAsia="仿宋" w:cs="仿宋"/>
          <w:color w:val="auto"/>
          <w:sz w:val="32"/>
          <w:szCs w:val="32"/>
          <w:highlight w:val="none"/>
          <w:lang w:eastAsia="zh-CN"/>
        </w:rPr>
      </w:pPr>
      <w:r>
        <w:rPr>
          <w:rFonts w:hint="eastAsia"/>
          <w:color w:val="auto"/>
          <w:highlight w:val="none"/>
          <w:lang w:val="en-US" w:eastAsia="zh-CN"/>
        </w:rPr>
        <w:t xml:space="preserve">   </w:t>
      </w:r>
      <w:r>
        <w:rPr>
          <w:rFonts w:hint="eastAsia"/>
          <w:color w:val="auto"/>
          <w:sz w:val="32"/>
          <w:szCs w:val="32"/>
          <w:highlight w:val="none"/>
          <w:lang w:val="en-US" w:eastAsia="zh-CN"/>
        </w:rPr>
        <w:t xml:space="preserve"> </w:t>
      </w:r>
      <w:r>
        <w:rPr>
          <w:rFonts w:hint="eastAsia" w:ascii="仿宋" w:hAnsi="仿宋" w:eastAsia="仿宋" w:cs="仿宋"/>
          <w:color w:val="auto"/>
          <w:sz w:val="32"/>
          <w:szCs w:val="32"/>
          <w:highlight w:val="none"/>
        </w:rPr>
        <w:t>1.贯彻执行中央、省、市有关教育方针政策和法律法规，提出全区教育发展战略，制订教育政策性、规范性文件并监督执行。</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2.编制全区教育事业的发展规划和年度计划并组织实施；确定教育事业发展重点、规模和速度。</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3.综合管理全区的教育事业，负责全区幼儿教育、基础教育、成人教育、职业教育和社会力量办学工作；指导各类学校的思想政治工作、教学工作、体育卫生工作、法制教育、国防教育和安全工作；管理教学质量、考试和学历教育工作；督导评估学校办学水平和教育质量；推动全区教育体制改革、办学体制改革和学校内部管理改革；调整学校布局结构；建立适应社会主义市场经济体制、政治体制需要的教育体制和运行机制。</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4.根据国务院关于基础教育改革与发展的决定，负责对完全中学、职业高级中学校长和副校长的推荐、考察或参与考察，按干部管理权限任用或聘用；根据《中华人民共和国义务教育法》，负责乡镇中心小学、初级中学校长的选拔、聘用、管理；推行中小学校长聘任制和负责制；实行校长任期制；负责全区中小学校长的培训、提高工作、加强学校干部队伍建设。</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5.统筹和指导全区教育督导工作，负责对中等及中等以下教育、扫除青壮年文盲工作的督导检查和评估验收工作，指导基础教育水平和质量的监测工作。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6.主管全区教师工作。会同有关部门规定教育系统人事管理工作的有关政策和规章制度；根据中央、省、市制定的各类学校编制标准管理学校的编制；根据国家、省、市教育发展规划纲要（2011-2020）和有关文件规定，组织实施，负责教师的招聘、调配交流、工资福利、考核奖惩工作，组织实施学校教师专业技术职务的评聘、技术工人的考核定级和教师资格考试、资格认定工作，负责教师的培养和教师的继续教育、职业教育训练工作，负责全区教育系统离退休人员管理工作；负责教育系统纪检监察的宣传教育工作，办理或会同有关部门办理全区教育系统干部职工违规违纪的查处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7.贯彻执行国家语言文字工作的方针政策，拟订语言文字工作中长期规划和工作计划，指导普通话推广和普通话师资培训工作。承担我区语言文字工作委员会的具体工作。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8.负责全区大中专学校招生考试和高等教育自学考试工作。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9.统一管理本部门的经费。参与制定教育经费、拨款、基建投资的政策和措施；具体组织实施经区财政预算的教育经费计划；会同物价、财政等部门制订教育收费项目及标准；协助教育费附加的征收管理；管理国家、省、市对我区教育项目的拨款经费；管理国内外对我区教育的援助资金和贷款。负责教育后勤与产业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10.负责全区教育管理资料统计、档案及信息系统的开发和建设工作；指导教育方针政策的宣传和舆论监督工作。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11.管理区教育局直属事业单位；指导全区教育系统社团、群团组织的管理工作。</w:t>
      </w:r>
    </w:p>
    <w:p>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12.承办区政府公布的有关行政审批事项和交办的其它事项。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1.党建工作全面加强。</w:t>
      </w:r>
      <w:r>
        <w:rPr>
          <w:rFonts w:hint="eastAsia" w:ascii="仿宋_GB2312" w:hAnsi="仿宋_GB2312" w:eastAsia="仿宋_GB2312" w:cs="仿宋_GB2312"/>
          <w:b w:val="0"/>
          <w:bCs w:val="0"/>
          <w:i w:val="0"/>
          <w:iCs w:val="0"/>
          <w:color w:val="auto"/>
          <w:kern w:val="2"/>
          <w:sz w:val="32"/>
          <w:szCs w:val="32"/>
          <w:highlight w:val="none"/>
          <w:lang w:val="en-US" w:eastAsia="zh-CN" w:bidi="ar-SA"/>
        </w:rPr>
        <w:t>深入学习贯彻落实习近平新时代中国特色社会主义思想和党的十九届五中、六中全会精神及习近平总书记“七一”重要讲话精神。发展新党员13名，转正16名，表扬优秀党务工作者15名、优秀共产党员35名，为31名老党员颁发“光荣在党50年”纪念章。研制全面从严治党“三张清单”，健全完善廉洁风险防控管理，扎实推进干部纪律作风整顿暨以案促改工作，召开党风廉政建设暨师德师风警示教育大会2次。落实意识形态责任制，定期分析研判，抓好常态化警示教育及关键岗位、特殊时间节点研判和提醒。</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2.教师队伍活力迸发。</w:t>
      </w:r>
      <w:r>
        <w:rPr>
          <w:rFonts w:hint="eastAsia" w:ascii="仿宋_GB2312" w:hAnsi="仿宋_GB2312" w:eastAsia="仿宋_GB2312" w:cs="仿宋_GB2312"/>
          <w:b w:val="0"/>
          <w:bCs w:val="0"/>
          <w:i w:val="0"/>
          <w:iCs w:val="0"/>
          <w:color w:val="auto"/>
          <w:kern w:val="2"/>
          <w:sz w:val="32"/>
          <w:szCs w:val="32"/>
          <w:highlight w:val="none"/>
          <w:lang w:val="en-US" w:eastAsia="zh-CN" w:bidi="ar-SA"/>
        </w:rPr>
        <w:t>印发《2021年师德师风专项治理实施方案》《师德专题教育实施方案》，全面部署教育系统师德教育，重点治理体罚和变相体罚学生等群众反映的突出问题。申报省属公费师范生2名、市属公费师范生10名。补充新教师51人。评选市级骨干教师8人，评选特级教师1人，“教育世家”1个。第四届区“三名工程”表彰“名校长”1人、“名班主任”10人、“名教师”17人。完成学校中层以上干部培训60人次。全年组织教师参加国家、省、市、区各级各类培训600余人次。</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3.德育工作方兴未艾。</w:t>
      </w:r>
      <w:r>
        <w:rPr>
          <w:rFonts w:hint="eastAsia" w:ascii="仿宋_GB2312" w:hAnsi="仿宋_GB2312" w:eastAsia="仿宋_GB2312" w:cs="仿宋_GB2312"/>
          <w:b w:val="0"/>
          <w:bCs w:val="0"/>
          <w:i w:val="0"/>
          <w:iCs w:val="0"/>
          <w:color w:val="auto"/>
          <w:kern w:val="2"/>
          <w:sz w:val="32"/>
          <w:szCs w:val="32"/>
          <w:highlight w:val="none"/>
          <w:lang w:val="en-US" w:eastAsia="zh-CN" w:bidi="ar-SA"/>
        </w:rPr>
        <w:t>开展中华经典诵写讲演、“我们的节日·端午”等主题节日活动，引导学生“扣好人生的第一粒扣子”。开展研学、劳动实践教育活动1.5万余人次。向市级推送优秀征文180余篇，讲故事、诵经典等视频22个，荣获省级一等奖1个，省级二等奖2个，市级一等奖12个。元坝中学蒲程康同学被评为广元市2021年度“新时代好少年”，4个爱教电影经典模仿片段视频在省级“学习强国”平台上报道，暑期开展的“千名教师访万家”活动被四川新闻网报道。</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4.素质教育全面落地。</w:t>
      </w:r>
      <w:r>
        <w:rPr>
          <w:rFonts w:hint="eastAsia" w:ascii="仿宋_GB2312" w:hAnsi="仿宋_GB2312" w:eastAsia="仿宋_GB2312" w:cs="仿宋_GB2312"/>
          <w:b w:val="0"/>
          <w:bCs w:val="0"/>
          <w:i w:val="0"/>
          <w:iCs w:val="0"/>
          <w:color w:val="auto"/>
          <w:kern w:val="2"/>
          <w:sz w:val="32"/>
          <w:szCs w:val="32"/>
          <w:highlight w:val="none"/>
          <w:lang w:val="en-US" w:eastAsia="zh-CN" w:bidi="ar-SA"/>
        </w:rPr>
        <w:t>组织5支优秀代表队参加市校园足球联赛，获得亚军2个。组织参加省16届校园影视作品、市第十届学生艺术等活动，虎跳初级中学、小新小学作品获省级一、二等奖，8件优秀作品获市奖，其中一等奖2个，元坝一小等3所学校获得优秀组织奖。创建射箭药博园、射箭金源顺农庄等4个市首批中小学劳动实践教育基地，朝阳小学劳动教育相关经验在学习强国报道。将结核、艾滋等季节性传染病防控纳入学校工作计划，开齐、开足健康教育课程，举办主题讲座70多场，开展宣传活动80余次，参与学生1.3万余人次。做好疫情防控，持续优化“两案”“九制”，紧盯“五个重点”，落实“一严二清三防四控”要求和“一日三检”，严格消杀、测温、登记和值班值守，把好校园准入关口，确保了师生“0感染”。</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5.教育质量稳中有升。</w:t>
      </w:r>
      <w:r>
        <w:rPr>
          <w:rFonts w:hint="eastAsia" w:ascii="仿宋_GB2312" w:hAnsi="仿宋_GB2312" w:eastAsia="仿宋_GB2312" w:cs="仿宋_GB2312"/>
          <w:b w:val="0"/>
          <w:bCs w:val="0"/>
          <w:i w:val="0"/>
          <w:iCs w:val="0"/>
          <w:color w:val="auto"/>
          <w:kern w:val="2"/>
          <w:sz w:val="32"/>
          <w:szCs w:val="32"/>
          <w:highlight w:val="none"/>
          <w:lang w:val="en-US" w:eastAsia="zh-CN" w:bidi="ar-SA"/>
        </w:rPr>
        <w:t>出台《广元市昭化区学前教育深化改革规范发展实施方案》。学前三年入园率93%，普惠率90.5%，公办园在园占比52.5%。完成中央峰景幼儿园治理，启动昭化镇中心幼儿园建设。持续推动义务教育小微学校联盟建设，制定《昭化区五项管理实施方案》，全面落实“双减”政策，相关经验在人民网、四川农村日报报道。义务教育阶段学校课后服务全面推行，受益学生8182人。着力提升职业教育服务地方经济能力，投资2550万元建设家居实训中心项目，持续实施“3+2”贯通培养。开展农民工技术班2个培训280人次。高三学生参加高职单招85人，录取率100%。</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6.教育科研持续深化。</w:t>
      </w:r>
      <w:r>
        <w:rPr>
          <w:rFonts w:hint="eastAsia" w:ascii="仿宋_GB2312" w:hAnsi="仿宋_GB2312" w:eastAsia="仿宋_GB2312" w:cs="仿宋_GB2312"/>
          <w:b w:val="0"/>
          <w:bCs w:val="0"/>
          <w:i w:val="0"/>
          <w:iCs w:val="0"/>
          <w:color w:val="auto"/>
          <w:kern w:val="2"/>
          <w:sz w:val="32"/>
          <w:szCs w:val="32"/>
          <w:highlight w:val="none"/>
          <w:lang w:val="en-US" w:eastAsia="zh-CN" w:bidi="ar-SA"/>
        </w:rPr>
        <w:t>在研课题61项，其中省级10项，市级课题22项，区级课题29项。开展深化教学视导500余人次，重点督导24次，送教送培40余人次，专题讲座、教材教法分析指导20场次。科研中心组“双轮”驱动建设活动20场100人次，区级以上名师、名校长、骨干教师晒课90%，上传录课108节，推优省级“精品课”2节。卫子初级中学等12所学校成功申报省、市教育科研优秀成果奖。参加全市教学大比武等教学展评系列活动和省中小学学生信息素养提升活动，昭化职中获省级一、二、三等奖，太公小学获中小学自制教具评选活动省级二等奖。</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7.全力推进两项改革工作。</w:t>
      </w:r>
      <w:r>
        <w:rPr>
          <w:rFonts w:hint="eastAsia" w:ascii="仿宋_GB2312" w:hAnsi="仿宋_GB2312" w:eastAsia="仿宋_GB2312" w:cs="仿宋_GB2312"/>
          <w:b w:val="0"/>
          <w:bCs w:val="0"/>
          <w:i w:val="0"/>
          <w:iCs w:val="0"/>
          <w:color w:val="auto"/>
          <w:kern w:val="2"/>
          <w:sz w:val="32"/>
          <w:szCs w:val="32"/>
          <w:highlight w:val="none"/>
          <w:lang w:val="en-US" w:eastAsia="zh-CN" w:bidi="ar-SA"/>
        </w:rPr>
        <w:t>成立两项改革“后半篇”文章基础教育布局调整领导小组和工作专班，制定《广元市昭化区两项改革“后半篇”文章基础教育学校布局调整专项工作方案（2021—2025年）》，坚持“稳妥撤并”和“转化利用”两手抓，推进新建、改扩建项目和部分学校闲置资源处置工作，相关经验在市两项改革办公室内刊刊载。</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8.民生工作全面提升。</w:t>
      </w:r>
      <w:r>
        <w:rPr>
          <w:rFonts w:hint="eastAsia" w:ascii="仿宋_GB2312" w:hAnsi="仿宋_GB2312" w:eastAsia="仿宋_GB2312" w:cs="仿宋_GB2312"/>
          <w:b w:val="0"/>
          <w:bCs w:val="0"/>
          <w:i w:val="0"/>
          <w:iCs w:val="0"/>
          <w:color w:val="auto"/>
          <w:kern w:val="2"/>
          <w:sz w:val="32"/>
          <w:szCs w:val="32"/>
          <w:highlight w:val="none"/>
          <w:lang w:val="en-US" w:eastAsia="zh-CN" w:bidi="ar-SA"/>
        </w:rPr>
        <w:t>2021年，减免学前保教费747人资金81.072万元；发放义务教育家庭经济困难学生生活补助3589人资金366.45625万元；发放普通高中国家助学金919人资金183.8万元。免除普通高中学费919人资金84.548万元；募集教育基金75.6万元。深化“5+2”学生食堂供餐，完成营养改善投资373.9万元，肉食计划投资192.73万元，惠及学生7773人。拟定昭化区特殊教育第三期计划，义务教育阶段适龄残疾儿童少年181人通过随班就读、送教上门等方式实现全部就读。</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9.办学条件提档升级。</w:t>
      </w:r>
      <w:r>
        <w:rPr>
          <w:rFonts w:hint="eastAsia" w:ascii="仿宋_GB2312" w:hAnsi="仿宋_GB2312" w:eastAsia="仿宋_GB2312" w:cs="仿宋_GB2312"/>
          <w:b w:val="0"/>
          <w:bCs w:val="0"/>
          <w:i w:val="0"/>
          <w:iCs w:val="0"/>
          <w:color w:val="auto"/>
          <w:kern w:val="2"/>
          <w:sz w:val="32"/>
          <w:szCs w:val="32"/>
          <w:highlight w:val="none"/>
          <w:lang w:val="en-US" w:eastAsia="zh-CN" w:bidi="ar-SA"/>
        </w:rPr>
        <w:t>入库项目7个，总投资12.0413亿元。争取项目到位资金3268余万元，完成区实验小学剑瓷楼、民盟烛光初级中学等9所学校义务教育薄弱环节与能力提升项目。元坝一小综合楼等6所学校中央预算内项目、元坝中学等2所学校澳门援建剩余资金项目正在实施。更换“班班通”67套，提升改造学校基础网络8所，安装互动教研及会议系统40套。承办全市教育信息化运用现场推进会。</w:t>
      </w:r>
    </w:p>
    <w:p>
      <w:pPr>
        <w:spacing w:line="576" w:lineRule="exact"/>
        <w:ind w:firstLine="643" w:firstLineChars="200"/>
        <w:rPr>
          <w:rFonts w:eastAsia="仿宋_GB2312"/>
          <w:bCs/>
          <w:color w:val="auto"/>
          <w:sz w:val="32"/>
          <w:szCs w:val="32"/>
          <w:highlight w:val="none"/>
        </w:rPr>
      </w:pPr>
      <w:r>
        <w:rPr>
          <w:rFonts w:hint="eastAsia" w:ascii="Times New Roman" w:hAnsi="Times New Roman" w:eastAsia="仿宋_GB2312" w:cs="Times New Roman"/>
          <w:b/>
          <w:bCs/>
          <w:color w:val="auto"/>
          <w:sz w:val="32"/>
          <w:szCs w:val="32"/>
          <w:highlight w:val="none"/>
          <w:lang w:val="en-US" w:eastAsia="zh-CN"/>
        </w:rPr>
        <w:t>10.系统总体平安和谐。</w:t>
      </w:r>
      <w:r>
        <w:rPr>
          <w:rFonts w:hint="eastAsia" w:ascii="仿宋_GB2312" w:hAnsi="仿宋_GB2312" w:eastAsia="仿宋_GB2312" w:cs="仿宋_GB2312"/>
          <w:b w:val="0"/>
          <w:bCs w:val="0"/>
          <w:i w:val="0"/>
          <w:iCs w:val="0"/>
          <w:color w:val="auto"/>
          <w:kern w:val="2"/>
          <w:sz w:val="32"/>
          <w:szCs w:val="32"/>
          <w:highlight w:val="none"/>
          <w:lang w:val="en-US" w:eastAsia="zh-CN" w:bidi="ar-SA"/>
        </w:rPr>
        <w:t>严格落实安全生产责任制，规范运行清单制管理和安全双重预警机制，整治隐患96起。常态化开展森林防灭火“六个一”、防溺水“六个一”以及防汛防震减灾、道路交通安全等宣传教育，扎实推进防范电信网络诈骗、防范打击侵害未成年人违法犯罪、安全防范建设三年行动等专项行动，53所公民办学校“三防”建设达标率100%。接待办理来信来访58件次，信访办结率100%、满意率100%。</w:t>
      </w:r>
    </w:p>
    <w:p>
      <w:pPr>
        <w:widowControl/>
        <w:jc w:val="left"/>
        <w:rPr>
          <w:rFonts w:ascii="仿宋" w:hAnsi="仿宋" w:eastAsia="仿宋"/>
          <w:color w:val="auto"/>
          <w:kern w:val="0"/>
          <w:sz w:val="32"/>
          <w:szCs w:val="32"/>
          <w:highlight w:val="none"/>
        </w:rPr>
      </w:pPr>
    </w:p>
    <w:p>
      <w:pPr>
        <w:pStyle w:val="10"/>
        <w:rPr>
          <w:color w:val="auto"/>
          <w:highlight w:val="none"/>
        </w:rPr>
      </w:pPr>
    </w:p>
    <w:p>
      <w:pPr>
        <w:rPr>
          <w:rFonts w:hint="eastAsia" w:ascii="黑体" w:hAnsi="黑体" w:eastAsia="黑体"/>
          <w:b w:val="0"/>
          <w:color w:val="auto"/>
          <w:highlight w:val="none"/>
        </w:rPr>
      </w:pPr>
      <w:bookmarkStart w:id="16" w:name="_Toc15396602"/>
      <w:bookmarkStart w:id="17" w:name="_Toc15377204"/>
      <w:r>
        <w:rPr>
          <w:rFonts w:hint="eastAsia" w:ascii="黑体" w:hAnsi="黑体" w:eastAsia="黑体"/>
          <w:b w:val="0"/>
          <w:color w:val="auto"/>
          <w:highlight w:val="none"/>
        </w:rPr>
        <w:br w:type="page"/>
      </w:r>
    </w:p>
    <w:p>
      <w:pPr>
        <w:pStyle w:val="3"/>
        <w:ind w:right="440"/>
        <w:jc w:val="center"/>
        <w:rPr>
          <w:rStyle w:val="30"/>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30"/>
          <w:rFonts w:hint="eastAsia" w:ascii="黑体" w:hAnsi="黑体" w:eastAsia="黑体"/>
          <w:b w:val="0"/>
          <w:bCs/>
          <w:color w:val="auto"/>
          <w:highlight w:val="none"/>
          <w:lang w:eastAsia="zh-CN"/>
        </w:rPr>
        <w:t>部门</w:t>
      </w:r>
      <w:r>
        <w:rPr>
          <w:rStyle w:val="30"/>
          <w:rFonts w:hint="eastAsia" w:ascii="黑体" w:hAnsi="黑体" w:eastAsia="黑体"/>
          <w:b w:val="0"/>
          <w:bCs/>
          <w:color w:val="auto"/>
          <w:highlight w:val="none"/>
        </w:rPr>
        <w:t>决算情况说明</w:t>
      </w:r>
      <w:bookmarkEnd w:id="16"/>
      <w:bookmarkEnd w:id="17"/>
    </w:p>
    <w:p>
      <w:pPr>
        <w:rPr>
          <w:color w:val="auto"/>
          <w:highlight w:val="none"/>
        </w:rPr>
      </w:pP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仿宋"/>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36027.92</w:t>
      </w:r>
      <w:r>
        <w:rPr>
          <w:rFonts w:hint="eastAsia" w:ascii="仿宋" w:hAnsi="仿宋" w:eastAsia="仿宋"/>
          <w:color w:val="auto"/>
          <w:sz w:val="32"/>
          <w:szCs w:val="32"/>
          <w:highlight w:val="none"/>
        </w:rPr>
        <w:t>万元。与2020年相比，收、支总计各增加</w:t>
      </w:r>
      <w:r>
        <w:rPr>
          <w:rFonts w:hint="eastAsia" w:ascii="仿宋" w:hAnsi="仿宋" w:eastAsia="仿宋"/>
          <w:color w:val="auto"/>
          <w:sz w:val="32"/>
          <w:szCs w:val="32"/>
          <w:highlight w:val="none"/>
          <w:lang w:val="en-US" w:eastAsia="zh-CN"/>
        </w:rPr>
        <w:t>46.42</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0.13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是基本支出增加。</w:t>
      </w: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59264" behindDoc="0" locked="0" layoutInCell="1" allowOverlap="1">
            <wp:simplePos x="0" y="0"/>
            <wp:positionH relativeFrom="column">
              <wp:posOffset>61595</wp:posOffset>
            </wp:positionH>
            <wp:positionV relativeFrom="paragraph">
              <wp:posOffset>32385</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36027.92</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34803.89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96.60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；政府性基金预算财政拨款收入24.03万元，占</w:t>
      </w:r>
      <w:r>
        <w:rPr>
          <w:rFonts w:hint="eastAsia" w:ascii="仿宋" w:hAnsi="仿宋" w:eastAsia="仿宋"/>
          <w:color w:val="auto"/>
          <w:sz w:val="32"/>
          <w:szCs w:val="32"/>
          <w:highlight w:val="none"/>
          <w:lang w:val="en-US" w:eastAsia="zh-CN"/>
        </w:rPr>
        <w:t>0.07</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，上年结转资金</w:t>
      </w:r>
      <w:r>
        <w:rPr>
          <w:rFonts w:hint="eastAsia" w:ascii="仿宋" w:hAnsi="仿宋" w:eastAsia="仿宋"/>
          <w:color w:val="auto"/>
          <w:sz w:val="32"/>
          <w:szCs w:val="32"/>
          <w:highlight w:val="none"/>
          <w:lang w:val="en-US" w:eastAsia="zh-CN"/>
        </w:rPr>
        <w:t>1200万元，占3.33%</w:t>
      </w:r>
      <w:r>
        <w:rPr>
          <w:rFonts w:hint="eastAsia" w:ascii="仿宋" w:hAnsi="仿宋" w:eastAsia="仿宋"/>
          <w:color w:val="auto"/>
          <w:sz w:val="32"/>
          <w:szCs w:val="32"/>
          <w:highlight w:val="none"/>
        </w:rPr>
        <w:t>。</w:t>
      </w:r>
    </w:p>
    <w:p>
      <w:pPr>
        <w:pStyle w:val="10"/>
        <w:rPr>
          <w:rFonts w:hint="eastAsia" w:eastAsia="宋体"/>
          <w:color w:val="auto"/>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-5080</wp:posOffset>
            </wp:positionH>
            <wp:positionV relativeFrom="paragraph">
              <wp:posOffset>33655</wp:posOffset>
            </wp:positionV>
            <wp:extent cx="5080000" cy="2094865"/>
            <wp:effectExtent l="4445" t="4445" r="20955" b="1524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0"/>
        <w:ind w:left="0" w:leftChars="0" w:firstLine="640" w:firstLineChars="200"/>
        <w:rPr>
          <w:rStyle w:val="31"/>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1"/>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36027.92</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23865.29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66.24</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12162.63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30.76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1"/>
          <w:rFonts w:ascii="黑体" w:hAnsi="黑体" w:eastAsia="黑体"/>
          <w:b w:val="0"/>
          <w:color w:val="auto"/>
          <w:highlight w:val="none"/>
        </w:rPr>
      </w:pPr>
      <w:bookmarkStart w:id="24" w:name="_Toc15377208"/>
      <w:bookmarkStart w:id="25" w:name="_Toc15396606"/>
      <w:r>
        <w:rPr>
          <w:rFonts w:hint="eastAsia" w:ascii="仿宋" w:hAnsi="仿宋" w:eastAsia="仿宋"/>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147320</wp:posOffset>
            </wp:positionH>
            <wp:positionV relativeFrom="paragraph">
              <wp:posOffset>94615</wp:posOffset>
            </wp:positionV>
            <wp:extent cx="5080000" cy="3028315"/>
            <wp:effectExtent l="4445" t="4445" r="20955" b="1524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color w:val="auto"/>
          <w:sz w:val="32"/>
          <w:szCs w:val="32"/>
          <w:highlight w:val="none"/>
        </w:rPr>
        <w:t>四、财</w:t>
      </w:r>
      <w:r>
        <w:rPr>
          <w:rStyle w:val="31"/>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36027.92</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w:t>
      </w:r>
      <w:r>
        <w:rPr>
          <w:rFonts w:hint="eastAsia" w:ascii="仿宋" w:hAnsi="仿宋" w:eastAsia="仿宋"/>
          <w:color w:val="auto"/>
          <w:sz w:val="32"/>
          <w:szCs w:val="32"/>
          <w:highlight w:val="none"/>
          <w:lang w:val="en-US" w:eastAsia="zh-CN"/>
        </w:rPr>
        <w:t>46.42</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0.13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是基本支出增加。</w:t>
      </w:r>
    </w:p>
    <w:p>
      <w:pPr>
        <w:pStyle w:val="10"/>
        <w:rPr>
          <w:color w:val="auto"/>
          <w:highlight w:val="none"/>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4445</wp:posOffset>
            </wp:positionH>
            <wp:positionV relativeFrom="paragraph">
              <wp:posOffset>208280</wp:posOffset>
            </wp:positionV>
            <wp:extent cx="5080000" cy="2373630"/>
            <wp:effectExtent l="4445" t="4445" r="20955" b="22225"/>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outlineLvl w:val="1"/>
        <w:rPr>
          <w:rStyle w:val="31"/>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36003.89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99.93</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34721.51</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w:t>
      </w:r>
      <w:r>
        <w:rPr>
          <w:rFonts w:hint="eastAsia" w:ascii="仿宋" w:hAnsi="仿宋" w:eastAsia="仿宋"/>
          <w:color w:val="auto"/>
          <w:sz w:val="32"/>
          <w:szCs w:val="32"/>
          <w:highlight w:val="none"/>
          <w:lang w:val="en-US" w:eastAsia="zh-CN"/>
        </w:rPr>
        <w:t>1282.38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3.69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w:t>
      </w:r>
      <w:r>
        <w:rPr>
          <w:rFonts w:hint="eastAsia" w:ascii="仿宋" w:hAnsi="仿宋" w:eastAsia="仿宋"/>
          <w:color w:val="auto"/>
          <w:sz w:val="32"/>
          <w:szCs w:val="32"/>
          <w:highlight w:val="none"/>
          <w:lang w:eastAsia="zh-CN"/>
        </w:rPr>
        <w:t>原因是</w:t>
      </w:r>
      <w:r>
        <w:rPr>
          <w:rFonts w:hint="eastAsia" w:ascii="仿宋" w:hAnsi="仿宋" w:eastAsia="仿宋"/>
          <w:color w:val="auto"/>
          <w:sz w:val="32"/>
          <w:szCs w:val="32"/>
          <w:highlight w:val="none"/>
          <w:lang w:val="en-US" w:eastAsia="zh-CN"/>
        </w:rPr>
        <w:t>结转2021年项目资金1200万元，基本支出增加</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4445</wp:posOffset>
            </wp:positionH>
            <wp:positionV relativeFrom="paragraph">
              <wp:posOffset>118110</wp:posOffset>
            </wp:positionV>
            <wp:extent cx="5080000" cy="2096770"/>
            <wp:effectExtent l="4445" t="4445" r="20955" b="1333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hint="eastAsia" w:ascii="仿宋" w:hAnsi="仿宋" w:eastAsia="仿宋"/>
          <w:color w:val="auto"/>
          <w:sz w:val="32"/>
          <w:szCs w:val="32"/>
          <w:highlight w:val="none"/>
          <w:lang w:eastAsia="zh-CN"/>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-33020</wp:posOffset>
            </wp:positionH>
            <wp:positionV relativeFrom="paragraph">
              <wp:posOffset>1212215</wp:posOffset>
            </wp:positionV>
            <wp:extent cx="5450205" cy="2334260"/>
            <wp:effectExtent l="5080" t="4445" r="12065" b="23495"/>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36003.89</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教育（类）支出</w:t>
      </w:r>
      <w:r>
        <w:rPr>
          <w:rFonts w:hint="eastAsia" w:ascii="仿宋" w:hAnsi="仿宋" w:eastAsia="仿宋"/>
          <w:color w:val="auto"/>
          <w:sz w:val="32"/>
          <w:szCs w:val="32"/>
          <w:highlight w:val="none"/>
          <w:lang w:val="en-US" w:eastAsia="zh-CN"/>
        </w:rPr>
        <w:t>35884.45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99.67</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社会保障和就业（类）支出</w:t>
      </w:r>
      <w:r>
        <w:rPr>
          <w:rFonts w:hint="eastAsia" w:ascii="仿宋" w:hAnsi="仿宋" w:eastAsia="仿宋"/>
          <w:color w:val="auto"/>
          <w:sz w:val="32"/>
          <w:szCs w:val="32"/>
          <w:highlight w:val="none"/>
          <w:lang w:val="en-US" w:eastAsia="zh-CN"/>
        </w:rPr>
        <w:t>117.44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0.33</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pStyle w:val="6"/>
        <w:rPr>
          <w:rFonts w:hint="eastAsia" w:ascii="仿宋" w:hAnsi="仿宋" w:eastAsia="仿宋"/>
          <w:color w:val="auto"/>
          <w:sz w:val="32"/>
          <w:szCs w:val="32"/>
          <w:highlight w:val="none"/>
          <w:lang w:eastAsia="zh-CN"/>
        </w:rPr>
      </w:pPr>
    </w:p>
    <w:p>
      <w:pPr>
        <w:pStyle w:val="6"/>
        <w:rPr>
          <w:rFonts w:hint="eastAsia" w:ascii="仿宋" w:hAnsi="仿宋" w:eastAsia="仿宋"/>
          <w:color w:val="auto"/>
          <w:sz w:val="32"/>
          <w:szCs w:val="32"/>
          <w:highlight w:val="none"/>
          <w:lang w:eastAsia="zh-CN"/>
        </w:rPr>
      </w:pPr>
    </w:p>
    <w:p>
      <w:pPr>
        <w:pStyle w:val="6"/>
        <w:rPr>
          <w:rFonts w:hint="eastAsia" w:ascii="仿宋" w:hAnsi="仿宋" w:eastAsia="仿宋"/>
          <w:color w:val="auto"/>
          <w:sz w:val="32"/>
          <w:szCs w:val="32"/>
          <w:highlight w:val="none"/>
          <w:lang w:eastAsia="zh-CN"/>
        </w:rPr>
      </w:pPr>
    </w:p>
    <w:p>
      <w:pPr>
        <w:pStyle w:val="6"/>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8460"/>
      <w:bookmarkStart w:id="32" w:name="_Toc15377213"/>
      <w:bookmarkStart w:id="33" w:name="_Toc15377444"/>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36003.89</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20"/>
          <w:rFonts w:hint="eastAsia" w:ascii="仿宋" w:hAnsi="仿宋" w:eastAsia="仿宋"/>
          <w:bCs/>
          <w:color w:val="auto"/>
          <w:sz w:val="32"/>
          <w:szCs w:val="32"/>
          <w:highlight w:val="none"/>
        </w:rPr>
        <w:t>完成预算100</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。其中：</w:t>
      </w:r>
      <w:bookmarkEnd w:id="31"/>
      <w:bookmarkEnd w:id="32"/>
      <w:bookmarkEnd w:id="33"/>
    </w:p>
    <w:p>
      <w:pPr>
        <w:numPr>
          <w:ilvl w:val="0"/>
          <w:numId w:val="3"/>
        </w:numPr>
        <w:spacing w:line="600" w:lineRule="exact"/>
        <w:ind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教育管理事务</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1</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行政运行</w:t>
      </w:r>
      <w:r>
        <w:rPr>
          <w:rStyle w:val="20"/>
          <w:rFonts w:hint="eastAsia" w:ascii="仿宋" w:hAnsi="仿宋" w:eastAsia="仿宋"/>
          <w:bCs/>
          <w:color w:val="auto"/>
          <w:sz w:val="32"/>
          <w:szCs w:val="32"/>
          <w:highlight w:val="none"/>
        </w:rPr>
        <w:t>02（项）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1025.32</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学前教育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1</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1889.92</w:t>
      </w:r>
      <w:r>
        <w:rPr>
          <w:rStyle w:val="20"/>
          <w:rFonts w:hint="eastAsia" w:ascii="仿宋" w:hAnsi="仿宋" w:eastAsia="仿宋"/>
          <w:b w:val="0"/>
          <w:bCs/>
          <w:color w:val="auto"/>
          <w:sz w:val="32"/>
          <w:szCs w:val="32"/>
          <w:highlight w:val="none"/>
        </w:rPr>
        <w:t>万元</w:t>
      </w:r>
      <w:r>
        <w:rPr>
          <w:rStyle w:val="20"/>
          <w:rFonts w:hint="eastAsia" w:ascii="仿宋" w:hAnsi="仿宋" w:eastAsia="仿宋"/>
          <w:b w:val="0"/>
          <w:bCs/>
          <w:color w:val="auto"/>
          <w:sz w:val="32"/>
          <w:szCs w:val="32"/>
          <w:highlight w:val="none"/>
          <w:lang w:eastAsia="zh-CN"/>
        </w:rPr>
        <w:t>（其中上年结转项目资金</w:t>
      </w:r>
      <w:r>
        <w:rPr>
          <w:rStyle w:val="20"/>
          <w:rFonts w:hint="eastAsia" w:ascii="仿宋" w:hAnsi="仿宋" w:eastAsia="仿宋"/>
          <w:b w:val="0"/>
          <w:bCs/>
          <w:color w:val="auto"/>
          <w:sz w:val="32"/>
          <w:szCs w:val="32"/>
          <w:highlight w:val="none"/>
          <w:lang w:val="en-US" w:eastAsia="zh-CN"/>
        </w:rPr>
        <w:t>1200万元）</w:t>
      </w:r>
      <w:r>
        <w:rPr>
          <w:rStyle w:val="20"/>
          <w:rFonts w:hint="eastAsia" w:ascii="仿宋" w:hAnsi="仿宋" w:eastAsia="仿宋"/>
          <w:b w:val="0"/>
          <w:bCs/>
          <w:color w:val="auto"/>
          <w:sz w:val="32"/>
          <w:szCs w:val="32"/>
          <w:highlight w:val="none"/>
        </w:rPr>
        <w:t>，完成预算100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小学教育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17005.04</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初中教育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3</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5087.56</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left="0" w:leftChars="0"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lang w:val="en-US" w:eastAsia="zh-CN"/>
        </w:rPr>
        <w:t>02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其他普通教育支出</w:t>
      </w:r>
      <w:r>
        <w:rPr>
          <w:rStyle w:val="20"/>
          <w:rFonts w:hint="eastAsia" w:ascii="仿宋" w:hAnsi="仿宋" w:eastAsia="仿宋"/>
          <w:bCs/>
          <w:color w:val="auto"/>
          <w:sz w:val="32"/>
          <w:szCs w:val="32"/>
          <w:highlight w:val="none"/>
          <w:lang w:val="en-US" w:eastAsia="zh-CN"/>
        </w:rPr>
        <w:t>99</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7814.5</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left="0" w:leftChars="0"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教育费附加安排支出</w:t>
      </w:r>
      <w:r>
        <w:rPr>
          <w:rStyle w:val="20"/>
          <w:rFonts w:hint="eastAsia" w:ascii="仿宋" w:hAnsi="仿宋" w:eastAsia="仿宋"/>
          <w:bCs/>
          <w:color w:val="auto"/>
          <w:sz w:val="32"/>
          <w:szCs w:val="32"/>
          <w:highlight w:val="none"/>
          <w:lang w:val="en-US" w:eastAsia="zh-CN"/>
        </w:rPr>
        <w:t>0</w:t>
      </w:r>
      <w:r>
        <w:rPr>
          <w:rStyle w:val="20"/>
          <w:rFonts w:hint="eastAsia" w:ascii="仿宋" w:hAnsi="仿宋" w:eastAsia="仿宋"/>
          <w:bCs/>
          <w:color w:val="auto"/>
          <w:sz w:val="32"/>
          <w:szCs w:val="32"/>
          <w:highlight w:val="none"/>
        </w:rPr>
        <w:t>9（款）</w:t>
      </w:r>
      <w:r>
        <w:rPr>
          <w:rStyle w:val="20"/>
          <w:rFonts w:hint="eastAsia" w:ascii="仿宋" w:hAnsi="仿宋" w:eastAsia="仿宋"/>
          <w:bCs/>
          <w:color w:val="auto"/>
          <w:sz w:val="32"/>
          <w:szCs w:val="32"/>
          <w:highlight w:val="none"/>
          <w:lang w:eastAsia="zh-CN"/>
        </w:rPr>
        <w:t>其他教育费附加安排支出</w:t>
      </w:r>
      <w:r>
        <w:rPr>
          <w:rStyle w:val="20"/>
          <w:rFonts w:hint="eastAsia" w:ascii="仿宋" w:hAnsi="仿宋" w:eastAsia="仿宋"/>
          <w:bCs/>
          <w:color w:val="auto"/>
          <w:sz w:val="32"/>
          <w:szCs w:val="32"/>
          <w:highlight w:val="none"/>
          <w:lang w:val="en-US" w:eastAsia="zh-CN"/>
        </w:rPr>
        <w:t>99</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383.10</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left="0" w:leftChars="0"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其他教育支出</w:t>
      </w:r>
      <w:r>
        <w:rPr>
          <w:rStyle w:val="20"/>
          <w:rFonts w:hint="eastAsia" w:ascii="仿宋" w:hAnsi="仿宋" w:eastAsia="仿宋"/>
          <w:bCs/>
          <w:color w:val="auto"/>
          <w:sz w:val="32"/>
          <w:szCs w:val="32"/>
          <w:highlight w:val="none"/>
          <w:lang w:val="en-US" w:eastAsia="zh-CN"/>
        </w:rPr>
        <w:t>9</w:t>
      </w:r>
      <w:r>
        <w:rPr>
          <w:rStyle w:val="20"/>
          <w:rFonts w:hint="eastAsia" w:ascii="仿宋" w:hAnsi="仿宋" w:eastAsia="仿宋"/>
          <w:bCs/>
          <w:color w:val="auto"/>
          <w:sz w:val="32"/>
          <w:szCs w:val="32"/>
          <w:highlight w:val="none"/>
        </w:rPr>
        <w:t>9（款）</w:t>
      </w:r>
      <w:r>
        <w:rPr>
          <w:rStyle w:val="20"/>
          <w:rFonts w:hint="eastAsia" w:ascii="仿宋" w:hAnsi="仿宋" w:eastAsia="仿宋"/>
          <w:bCs/>
          <w:color w:val="auto"/>
          <w:sz w:val="32"/>
          <w:szCs w:val="32"/>
          <w:highlight w:val="none"/>
          <w:lang w:eastAsia="zh-CN"/>
        </w:rPr>
        <w:t>其他教育支出</w:t>
      </w:r>
      <w:r>
        <w:rPr>
          <w:rStyle w:val="20"/>
          <w:rFonts w:hint="eastAsia" w:ascii="仿宋" w:hAnsi="仿宋" w:eastAsia="仿宋"/>
          <w:bCs/>
          <w:color w:val="auto"/>
          <w:sz w:val="32"/>
          <w:szCs w:val="32"/>
          <w:highlight w:val="none"/>
          <w:lang w:val="en-US" w:eastAsia="zh-CN"/>
        </w:rPr>
        <w:t>99</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2679</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left="0" w:leftChars="0" w:firstLine="643" w:firstLineChars="200"/>
        <w:rPr>
          <w:color w:val="auto"/>
          <w:highlight w:val="none"/>
        </w:rPr>
      </w:pPr>
      <w:r>
        <w:rPr>
          <w:rStyle w:val="20"/>
          <w:rFonts w:hint="eastAsia" w:ascii="仿宋" w:hAnsi="仿宋" w:eastAsia="仿宋"/>
          <w:bCs/>
          <w:color w:val="auto"/>
          <w:sz w:val="32"/>
          <w:szCs w:val="32"/>
          <w:highlight w:val="none"/>
          <w:lang w:eastAsia="zh-CN"/>
        </w:rPr>
        <w:t>文化旅游体育与传媒支出</w:t>
      </w:r>
      <w:r>
        <w:rPr>
          <w:rStyle w:val="20"/>
          <w:rFonts w:hint="eastAsia" w:ascii="仿宋" w:hAnsi="仿宋" w:eastAsia="仿宋"/>
          <w:bCs/>
          <w:color w:val="auto"/>
          <w:sz w:val="32"/>
          <w:szCs w:val="32"/>
          <w:highlight w:val="none"/>
        </w:rPr>
        <w:t>20</w:t>
      </w:r>
      <w:r>
        <w:rPr>
          <w:rStyle w:val="20"/>
          <w:rFonts w:hint="eastAsia" w:ascii="仿宋" w:hAnsi="仿宋" w:eastAsia="仿宋"/>
          <w:bCs/>
          <w:color w:val="auto"/>
          <w:sz w:val="32"/>
          <w:szCs w:val="32"/>
          <w:highlight w:val="none"/>
          <w:lang w:val="en-US" w:eastAsia="zh-CN"/>
        </w:rPr>
        <w:t>7</w:t>
      </w:r>
      <w:r>
        <w:rPr>
          <w:rStyle w:val="20"/>
          <w:rFonts w:hint="eastAsia" w:ascii="仿宋" w:hAnsi="仿宋" w:eastAsia="仿宋"/>
          <w:bCs/>
          <w:color w:val="auto"/>
          <w:sz w:val="32"/>
          <w:szCs w:val="32"/>
          <w:highlight w:val="none"/>
        </w:rPr>
        <w:t>（类）</w:t>
      </w:r>
      <w:r>
        <w:rPr>
          <w:rStyle w:val="20"/>
          <w:rFonts w:hint="eastAsia" w:ascii="仿宋" w:hAnsi="仿宋" w:eastAsia="仿宋"/>
          <w:bCs/>
          <w:color w:val="auto"/>
          <w:sz w:val="32"/>
          <w:szCs w:val="32"/>
          <w:highlight w:val="none"/>
          <w:lang w:eastAsia="zh-CN"/>
        </w:rPr>
        <w:t>其他文化旅游体育与传媒支出</w:t>
      </w:r>
      <w:r>
        <w:rPr>
          <w:rStyle w:val="20"/>
          <w:rFonts w:hint="eastAsia" w:ascii="仿宋" w:hAnsi="仿宋" w:eastAsia="仿宋"/>
          <w:bCs/>
          <w:color w:val="auto"/>
          <w:sz w:val="32"/>
          <w:szCs w:val="32"/>
          <w:highlight w:val="none"/>
          <w:lang w:val="en-US" w:eastAsia="zh-CN"/>
        </w:rPr>
        <w:t>9</w:t>
      </w:r>
      <w:r>
        <w:rPr>
          <w:rStyle w:val="20"/>
          <w:rFonts w:hint="eastAsia" w:ascii="仿宋" w:hAnsi="仿宋" w:eastAsia="仿宋"/>
          <w:bCs/>
          <w:color w:val="auto"/>
          <w:sz w:val="32"/>
          <w:szCs w:val="32"/>
          <w:highlight w:val="none"/>
        </w:rPr>
        <w:t>9（款）</w:t>
      </w:r>
      <w:r>
        <w:rPr>
          <w:rStyle w:val="20"/>
          <w:rFonts w:hint="eastAsia" w:ascii="仿宋" w:hAnsi="仿宋" w:eastAsia="仿宋"/>
          <w:bCs/>
          <w:color w:val="auto"/>
          <w:sz w:val="32"/>
          <w:szCs w:val="32"/>
          <w:highlight w:val="none"/>
          <w:lang w:eastAsia="zh-CN"/>
        </w:rPr>
        <w:t>传媒文化发展专项支出</w:t>
      </w:r>
      <w:r>
        <w:rPr>
          <w:rStyle w:val="20"/>
          <w:rFonts w:hint="eastAsia" w:ascii="仿宋" w:hAnsi="仿宋" w:eastAsia="仿宋"/>
          <w:bCs/>
          <w:color w:val="auto"/>
          <w:sz w:val="32"/>
          <w:szCs w:val="32"/>
          <w:highlight w:val="none"/>
          <w:lang w:val="en-US" w:eastAsia="zh-CN"/>
        </w:rPr>
        <w:t>02</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2.00</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left="0" w:leftChars="0" w:firstLine="643" w:firstLineChars="200"/>
        <w:rPr>
          <w:color w:val="auto"/>
          <w:highlight w:val="none"/>
        </w:rPr>
      </w:pPr>
      <w:r>
        <w:rPr>
          <w:rStyle w:val="20"/>
          <w:rFonts w:hint="eastAsia" w:ascii="仿宋" w:hAnsi="仿宋" w:eastAsia="仿宋"/>
          <w:bCs/>
          <w:color w:val="auto"/>
          <w:sz w:val="32"/>
          <w:szCs w:val="32"/>
          <w:highlight w:val="none"/>
          <w:lang w:eastAsia="zh-CN"/>
        </w:rPr>
        <w:t>社会保障和就业</w:t>
      </w:r>
      <w:r>
        <w:rPr>
          <w:rStyle w:val="20"/>
          <w:rFonts w:hint="eastAsia" w:ascii="仿宋" w:hAnsi="仿宋" w:eastAsia="仿宋"/>
          <w:bCs/>
          <w:color w:val="auto"/>
          <w:sz w:val="32"/>
          <w:szCs w:val="32"/>
          <w:highlight w:val="none"/>
        </w:rPr>
        <w:t>20</w:t>
      </w:r>
      <w:r>
        <w:rPr>
          <w:rStyle w:val="20"/>
          <w:rFonts w:hint="eastAsia" w:ascii="仿宋" w:hAnsi="仿宋" w:eastAsia="仿宋"/>
          <w:bCs/>
          <w:color w:val="auto"/>
          <w:sz w:val="32"/>
          <w:szCs w:val="32"/>
          <w:highlight w:val="none"/>
          <w:lang w:val="en-US" w:eastAsia="zh-CN"/>
        </w:rPr>
        <w:t>8</w:t>
      </w:r>
      <w:r>
        <w:rPr>
          <w:rStyle w:val="20"/>
          <w:rFonts w:hint="eastAsia" w:ascii="仿宋" w:hAnsi="仿宋" w:eastAsia="仿宋"/>
          <w:bCs/>
          <w:color w:val="auto"/>
          <w:sz w:val="32"/>
          <w:szCs w:val="32"/>
          <w:highlight w:val="none"/>
        </w:rPr>
        <w:t>（类）</w:t>
      </w:r>
      <w:r>
        <w:rPr>
          <w:rStyle w:val="20"/>
          <w:rFonts w:hint="eastAsia" w:ascii="仿宋" w:hAnsi="仿宋" w:eastAsia="仿宋"/>
          <w:bCs/>
          <w:color w:val="auto"/>
          <w:sz w:val="32"/>
          <w:szCs w:val="32"/>
          <w:highlight w:val="none"/>
          <w:lang w:eastAsia="zh-CN"/>
        </w:rPr>
        <w:t>抚恤</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8</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死亡抚恤</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1</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117.44</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pStyle w:val="10"/>
        <w:rPr>
          <w:color w:val="auto"/>
          <w:highlight w:val="none"/>
        </w:rPr>
      </w:pPr>
    </w:p>
    <w:p>
      <w:pPr>
        <w:tabs>
          <w:tab w:val="right" w:pos="8306"/>
        </w:tabs>
        <w:spacing w:line="600" w:lineRule="exact"/>
        <w:ind w:firstLine="640"/>
        <w:outlineLvl w:val="1"/>
        <w:rPr>
          <w:rStyle w:val="31"/>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般公共预算财政拨款基本支出决算情况说明</w:t>
      </w:r>
      <w:bookmarkEnd w:id="34"/>
      <w:bookmarkEnd w:id="35"/>
      <w:r>
        <w:rPr>
          <w:rStyle w:val="3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23865.29</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20701.30</w:t>
      </w:r>
      <w:r>
        <w:rPr>
          <w:rFonts w:hint="eastAsia" w:ascii="仿宋" w:hAnsi="仿宋" w:eastAsia="仿宋"/>
          <w:color w:val="auto"/>
          <w:sz w:val="32"/>
          <w:szCs w:val="32"/>
          <w:highlight w:val="none"/>
        </w:rPr>
        <w:t>万元，主要包括：基本工资、津贴补贴、</w:t>
      </w:r>
      <w:r>
        <w:rPr>
          <w:rFonts w:hint="eastAsia" w:ascii="仿宋" w:hAnsi="仿宋" w:eastAsia="仿宋"/>
          <w:color w:val="auto"/>
          <w:sz w:val="32"/>
          <w:szCs w:val="32"/>
          <w:highlight w:val="none"/>
          <w:lang w:eastAsia="zh-CN"/>
        </w:rPr>
        <w:t>奖金、</w:t>
      </w:r>
      <w:r>
        <w:rPr>
          <w:rFonts w:hint="eastAsia" w:ascii="仿宋" w:hAnsi="仿宋" w:eastAsia="仿宋"/>
          <w:color w:val="auto"/>
          <w:sz w:val="32"/>
          <w:szCs w:val="32"/>
          <w:highlight w:val="none"/>
        </w:rPr>
        <w:t>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其他社会保障缴费、其他工资福利支出、住房公积金</w:t>
      </w:r>
      <w:r>
        <w:rPr>
          <w:rFonts w:hint="eastAsia" w:ascii="仿宋" w:hAnsi="仿宋" w:eastAsia="仿宋"/>
          <w:color w:val="auto"/>
          <w:sz w:val="32"/>
          <w:szCs w:val="32"/>
          <w:highlight w:val="none"/>
          <w:lang w:eastAsia="zh-CN"/>
        </w:rPr>
        <w:t>、抚恤金、生活补助、助学金、奖励金、其他对个人和家庭的补助</w:t>
      </w:r>
      <w:r>
        <w:rPr>
          <w:rFonts w:hint="eastAsia" w:ascii="仿宋" w:hAnsi="仿宋" w:eastAsia="仿宋"/>
          <w:color w:val="auto"/>
          <w:sz w:val="32"/>
          <w:szCs w:val="32"/>
          <w:highlight w:val="none"/>
        </w:rPr>
        <w:t>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3163.99</w:t>
      </w:r>
      <w:r>
        <w:rPr>
          <w:rFonts w:hint="eastAsia" w:ascii="仿宋" w:hAnsi="仿宋" w:eastAsia="仿宋"/>
          <w:color w:val="auto"/>
          <w:sz w:val="32"/>
          <w:szCs w:val="32"/>
          <w:highlight w:val="none"/>
        </w:rPr>
        <w:t>万元，主要包括：办公费、印刷费、手续费、水费、电费、邮电费、差旅费、维修（护）费、</w:t>
      </w:r>
      <w:r>
        <w:rPr>
          <w:rFonts w:hint="eastAsia" w:ascii="仿宋" w:hAnsi="仿宋" w:eastAsia="仿宋"/>
          <w:color w:val="auto"/>
          <w:sz w:val="32"/>
          <w:szCs w:val="32"/>
          <w:highlight w:val="none"/>
          <w:lang w:eastAsia="zh-CN"/>
        </w:rPr>
        <w:t>租赁费、会议费、</w:t>
      </w:r>
      <w:r>
        <w:rPr>
          <w:rFonts w:hint="eastAsia" w:ascii="仿宋" w:hAnsi="仿宋" w:eastAsia="仿宋"/>
          <w:color w:val="auto"/>
          <w:sz w:val="32"/>
          <w:szCs w:val="32"/>
          <w:highlight w:val="none"/>
        </w:rPr>
        <w:t>培训费、公务接待费、</w:t>
      </w:r>
      <w:r>
        <w:rPr>
          <w:rFonts w:hint="eastAsia" w:ascii="仿宋" w:hAnsi="仿宋" w:eastAsia="仿宋"/>
          <w:color w:val="auto"/>
          <w:sz w:val="32"/>
          <w:szCs w:val="32"/>
          <w:highlight w:val="none"/>
          <w:lang w:eastAsia="zh-CN"/>
        </w:rPr>
        <w:t>劳务费、</w:t>
      </w:r>
      <w:r>
        <w:rPr>
          <w:rFonts w:hint="eastAsia" w:ascii="仿宋" w:hAnsi="仿宋" w:eastAsia="仿宋"/>
          <w:color w:val="auto"/>
          <w:sz w:val="32"/>
          <w:szCs w:val="32"/>
          <w:highlight w:val="none"/>
        </w:rPr>
        <w:t>工会经费</w:t>
      </w:r>
      <w:r>
        <w:rPr>
          <w:rFonts w:hint="eastAsia" w:ascii="仿宋" w:hAnsi="仿宋" w:eastAsia="仿宋"/>
          <w:color w:val="auto"/>
          <w:sz w:val="32"/>
          <w:szCs w:val="32"/>
          <w:highlight w:val="none"/>
          <w:lang w:eastAsia="zh-CN"/>
        </w:rPr>
        <w:t>、其他交通费、其他商品和服务支出</w:t>
      </w:r>
      <w:r>
        <w:rPr>
          <w:rFonts w:hint="eastAsia" w:ascii="仿宋" w:hAnsi="仿宋" w:eastAsia="仿宋"/>
          <w:color w:val="auto"/>
          <w:sz w:val="32"/>
          <w:szCs w:val="32"/>
          <w:highlight w:val="none"/>
        </w:rPr>
        <w:t>等。</w:t>
      </w:r>
    </w:p>
    <w:p>
      <w:pPr>
        <w:spacing w:line="600" w:lineRule="exact"/>
        <w:ind w:firstLine="640"/>
        <w:outlineLvl w:val="1"/>
        <w:rPr>
          <w:rStyle w:val="31"/>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1"/>
          <w:rFonts w:hint="eastAsia" w:ascii="黑体" w:hAnsi="黑体" w:eastAsia="黑体"/>
          <w:color w:val="auto"/>
          <w:highlight w:val="none"/>
        </w:rPr>
        <w:t>“</w:t>
      </w:r>
      <w:r>
        <w:rPr>
          <w:rStyle w:val="31"/>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44.22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预算数为</w:t>
      </w:r>
      <w:r>
        <w:rPr>
          <w:rFonts w:hint="eastAsia" w:ascii="仿宋" w:hAnsi="仿宋" w:eastAsia="仿宋"/>
          <w:color w:val="auto"/>
          <w:sz w:val="32"/>
          <w:szCs w:val="32"/>
          <w:highlight w:val="none"/>
          <w:lang w:val="en-US" w:eastAsia="zh-CN"/>
        </w:rPr>
        <w:t>46.88万元，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94.33</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44.22</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w:t>
      </w:r>
      <w:r>
        <w:rPr>
          <w:rFonts w:hint="eastAsia" w:ascii="仿宋_GB2312" w:eastAsia="仿宋_GB2312" w:cs="仿宋_GB2312"/>
          <w:bCs/>
          <w:color w:val="auto"/>
          <w:kern w:val="2"/>
          <w:sz w:val="32"/>
          <w:szCs w:val="32"/>
          <w:highlight w:val="none"/>
          <w:lang w:val="en-US" w:eastAsia="zh-CN" w:bidi="ar"/>
        </w:rPr>
        <w:t>部门</w:t>
      </w:r>
      <w:r>
        <w:rPr>
          <w:rFonts w:hint="eastAsia" w:ascii="仿宋_GB2312" w:eastAsia="仿宋_GB2312" w:cs="仿宋_GB2312"/>
          <w:color w:val="auto"/>
          <w:kern w:val="2"/>
          <w:sz w:val="32"/>
          <w:szCs w:val="32"/>
          <w:highlight w:val="none"/>
          <w:lang w:val="en-US" w:eastAsia="zh-CN" w:bidi="ar"/>
        </w:rPr>
        <w:t>未购置公务用车。</w:t>
      </w:r>
      <w:r>
        <w:rPr>
          <w:rFonts w:hint="eastAsia" w:ascii="仿宋_GB2312" w:eastAsia="仿宋_GB2312" w:cs="仿宋_GB2312"/>
          <w:bCs/>
          <w:color w:val="auto"/>
          <w:kern w:val="2"/>
          <w:sz w:val="32"/>
          <w:szCs w:val="32"/>
          <w:highlight w:val="none"/>
          <w:lang w:val="en-US" w:eastAsia="zh-CN" w:bidi="ar"/>
        </w:rPr>
        <w:t>截止2021年12月底，部门共有公务用车0辆。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主要原因是我部门无公务用车。</w:t>
      </w:r>
    </w:p>
    <w:p>
      <w:pPr>
        <w:numPr>
          <w:ilvl w:val="0"/>
          <w:numId w:val="4"/>
        </w:numPr>
        <w:spacing w:line="600" w:lineRule="exact"/>
        <w:ind w:firstLine="64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44.22</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94.33</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。公务接待费支出决算</w:t>
      </w:r>
      <w:r>
        <w:rPr>
          <w:rFonts w:hint="eastAsia" w:ascii="仿宋_GB2312" w:eastAsia="仿宋_GB2312"/>
          <w:color w:val="auto"/>
          <w:sz w:val="32"/>
          <w:szCs w:val="32"/>
          <w:highlight w:val="none"/>
          <w:lang w:val="en-US" w:eastAsia="zh-CN"/>
        </w:rPr>
        <w:t>与2020年减少1.27万元，下降2.79%</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numPr>
          <w:ilvl w:val="0"/>
          <w:numId w:val="0"/>
        </w:numPr>
        <w:spacing w:line="600" w:lineRule="exact"/>
        <w:ind w:firstLine="643" w:firstLineChars="200"/>
        <w:rPr>
          <w:rFonts w:hint="default" w:ascii="仿宋_GB2312" w:eastAsia="仿宋_GB2312"/>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ascii="仿宋" w:hAnsi="仿宋" w:eastAsia="仿宋"/>
          <w:color w:val="auto"/>
          <w:sz w:val="32"/>
          <w:szCs w:val="32"/>
          <w:highlight w:val="none"/>
          <w:lang w:val="en-US" w:eastAsia="zh-CN"/>
        </w:rPr>
        <w:t>44.22</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w:t>
      </w:r>
      <w:r>
        <w:rPr>
          <w:rFonts w:hint="eastAsia" w:ascii="仿宋_GB2312" w:eastAsia="仿宋_GB2312"/>
          <w:color w:val="auto"/>
          <w:sz w:val="32"/>
          <w:szCs w:val="32"/>
          <w:highlight w:val="none"/>
        </w:rPr>
        <w:t>各级部门</w:t>
      </w:r>
      <w:r>
        <w:rPr>
          <w:rFonts w:hint="eastAsia" w:ascii="仿宋_GB2312" w:eastAsia="仿宋_GB2312"/>
          <w:color w:val="auto"/>
          <w:sz w:val="32"/>
          <w:szCs w:val="32"/>
          <w:highlight w:val="none"/>
          <w:lang w:eastAsia="zh-CN"/>
        </w:rPr>
        <w:t>督导、</w:t>
      </w:r>
      <w:r>
        <w:rPr>
          <w:rFonts w:hint="eastAsia" w:ascii="仿宋_GB2312" w:eastAsia="仿宋_GB2312"/>
          <w:color w:val="auto"/>
          <w:sz w:val="32"/>
          <w:szCs w:val="32"/>
          <w:highlight w:val="none"/>
          <w:lang w:val="en-US" w:eastAsia="zh-CN"/>
        </w:rPr>
        <w:t>教育教学教研活动、招商引资和项目争取工作食宿费、交通费等</w:t>
      </w:r>
      <w:r>
        <w:rPr>
          <w:rFonts w:hint="default" w:ascii="仿宋_GB2312" w:eastAsia="仿宋_GB2312"/>
          <w:color w:val="auto"/>
          <w:sz w:val="32"/>
          <w:szCs w:val="32"/>
          <w:highlight w:val="none"/>
          <w:lang w:val="en-US" w:eastAsia="zh-CN"/>
        </w:rPr>
        <w:t>。国内公务接待</w:t>
      </w:r>
      <w:r>
        <w:rPr>
          <w:rFonts w:hint="eastAsia" w:ascii="仿宋_GB2312" w:eastAsia="仿宋_GB2312"/>
          <w:color w:val="auto"/>
          <w:sz w:val="32"/>
          <w:szCs w:val="32"/>
          <w:highlight w:val="none"/>
          <w:lang w:val="en-US" w:eastAsia="zh-CN"/>
        </w:rPr>
        <w:t>1997</w:t>
      </w:r>
      <w:r>
        <w:rPr>
          <w:rFonts w:hint="default" w:ascii="仿宋_GB2312" w:eastAsia="仿宋_GB2312"/>
          <w:color w:val="auto"/>
          <w:sz w:val="32"/>
          <w:szCs w:val="32"/>
          <w:highlight w:val="none"/>
          <w:lang w:val="en-US" w:eastAsia="zh-CN"/>
        </w:rPr>
        <w:t>批次，</w:t>
      </w:r>
      <w:r>
        <w:rPr>
          <w:rFonts w:hint="eastAsia" w:ascii="仿宋_GB2312" w:eastAsia="仿宋_GB2312"/>
          <w:color w:val="auto"/>
          <w:sz w:val="32"/>
          <w:szCs w:val="32"/>
          <w:highlight w:val="none"/>
          <w:lang w:val="en-US" w:eastAsia="zh-CN"/>
        </w:rPr>
        <w:t>8652</w:t>
      </w:r>
      <w:r>
        <w:rPr>
          <w:rFonts w:hint="default" w:ascii="仿宋_GB2312" w:eastAsia="仿宋_GB2312"/>
          <w:color w:val="auto"/>
          <w:sz w:val="32"/>
          <w:szCs w:val="32"/>
          <w:highlight w:val="none"/>
          <w:lang w:val="en-US" w:eastAsia="zh-CN"/>
        </w:rPr>
        <w:t>人次（不包括陪同人员），共计支出</w:t>
      </w:r>
      <w:r>
        <w:rPr>
          <w:rFonts w:hint="eastAsia" w:ascii="仿宋_GB2312" w:eastAsia="仿宋_GB2312"/>
          <w:color w:val="auto"/>
          <w:sz w:val="32"/>
          <w:szCs w:val="32"/>
          <w:highlight w:val="none"/>
          <w:lang w:val="en-US" w:eastAsia="zh-CN"/>
        </w:rPr>
        <w:t>44.22</w:t>
      </w:r>
      <w:r>
        <w:rPr>
          <w:rFonts w:hint="default"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en-US" w:eastAsia="zh-CN"/>
        </w:rPr>
        <w:t>，具体内容包括接待各级部门来访人9.25万元、业务培训和教研活动用餐19.06万元、各类督导检查接待费用5.54万元、专家讲座团队接待费用3.34万元、学生运动会食宿、交通费等5.03万元。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96610"/>
      <w:bookmarkStart w:id="41" w:name="_Toc15377218"/>
    </w:p>
    <w:p>
      <w:pPr>
        <w:spacing w:line="600" w:lineRule="exact"/>
        <w:ind w:firstLine="640"/>
        <w:outlineLvl w:val="1"/>
        <w:rPr>
          <w:rStyle w:val="31"/>
          <w:rFonts w:ascii="黑体" w:hAnsi="黑体" w:eastAsia="黑体"/>
          <w:color w:val="auto"/>
          <w:highlight w:val="none"/>
        </w:rPr>
      </w:pPr>
      <w:r>
        <w:rPr>
          <w:rFonts w:hint="eastAsia" w:ascii="黑体" w:eastAsia="黑体"/>
          <w:color w:val="auto"/>
          <w:sz w:val="32"/>
          <w:szCs w:val="32"/>
          <w:highlight w:val="none"/>
        </w:rPr>
        <w:t>八、</w:t>
      </w:r>
      <w:r>
        <w:rPr>
          <w:rStyle w:val="31"/>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24.03</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未在政府性基金预算拨款安排“三公”经费支出。</w:t>
      </w:r>
    </w:p>
    <w:p>
      <w:pPr>
        <w:pStyle w:val="10"/>
        <w:rPr>
          <w:color w:val="auto"/>
          <w:highlight w:val="none"/>
        </w:rPr>
      </w:pPr>
    </w:p>
    <w:p>
      <w:pPr>
        <w:numPr>
          <w:ilvl w:val="0"/>
          <w:numId w:val="5"/>
        </w:numPr>
        <w:spacing w:line="600" w:lineRule="exact"/>
        <w:ind w:firstLine="640"/>
        <w:outlineLvl w:val="1"/>
        <w:rPr>
          <w:rStyle w:val="31"/>
          <w:rFonts w:ascii="黑体" w:hAnsi="黑体" w:eastAsia="黑体"/>
          <w:b w:val="0"/>
          <w:color w:val="auto"/>
          <w:highlight w:val="none"/>
        </w:rPr>
      </w:pPr>
      <w:bookmarkStart w:id="42" w:name="_Toc15396611"/>
      <w:bookmarkStart w:id="43" w:name="_Toc15377219"/>
      <w:r>
        <w:rPr>
          <w:rStyle w:val="31"/>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5"/>
        </w:numPr>
        <w:spacing w:line="600" w:lineRule="exact"/>
        <w:ind w:firstLine="640"/>
        <w:outlineLvl w:val="1"/>
        <w:rPr>
          <w:rStyle w:val="31"/>
          <w:rFonts w:ascii="黑体" w:hAnsi="黑体" w:eastAsia="黑体"/>
          <w:b w:val="0"/>
          <w:color w:val="auto"/>
          <w:highlight w:val="none"/>
        </w:rPr>
      </w:pPr>
      <w:bookmarkStart w:id="44" w:name="_Toc15396612"/>
      <w:bookmarkStart w:id="45" w:name="_Toc15377221"/>
      <w:r>
        <w:rPr>
          <w:rStyle w:val="31"/>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w:t>
      </w:r>
      <w:r>
        <w:rPr>
          <w:rFonts w:hint="eastAsia" w:ascii="仿宋_GB2312" w:hAnsi="仿宋_GB2312" w:eastAsia="仿宋_GB2312" w:cs="仿宋_GB2312"/>
          <w:color w:val="auto"/>
          <w:sz w:val="32"/>
          <w:szCs w:val="32"/>
          <w:highlight w:val="none"/>
          <w:lang w:eastAsia="zh-CN"/>
        </w:rPr>
        <w:t>部门</w:t>
      </w:r>
      <w:r>
        <w:rPr>
          <w:rFonts w:hint="eastAsia" w:ascii="仿宋_GB2312" w:hAnsi="仿宋_GB2312" w:eastAsia="仿宋_GB2312" w:cs="仿宋_GB2312"/>
          <w:color w:val="auto"/>
          <w:sz w:val="32"/>
          <w:szCs w:val="32"/>
          <w:highlight w:val="none"/>
        </w:rPr>
        <w:t>在2021年度预算编制阶段，</w:t>
      </w:r>
      <w:r>
        <w:rPr>
          <w:rFonts w:hint="eastAsia" w:ascii="仿宋_GB2312" w:hAnsi="仿宋_GB2312" w:eastAsia="仿宋_GB2312" w:cs="仿宋_GB2312"/>
          <w:color w:val="auto"/>
          <w:sz w:val="32"/>
          <w:szCs w:val="32"/>
          <w:highlight w:val="none"/>
          <w:lang w:eastAsia="zh-CN"/>
        </w:rPr>
        <w:t>组织对2021年招商引资工作经费项目和2021年争取项目资金工作经费项目等</w:t>
      </w:r>
      <w:r>
        <w:rPr>
          <w:rFonts w:hint="eastAsia" w:ascii="仿宋_GB2312" w:hAnsi="仿宋_GB2312" w:eastAsia="仿宋_GB2312" w:cs="仿宋_GB2312"/>
          <w:color w:val="auto"/>
          <w:sz w:val="32"/>
          <w:szCs w:val="32"/>
          <w:highlight w:val="none"/>
          <w:lang w:val="en-US" w:eastAsia="zh-CN"/>
        </w:rPr>
        <w:t>2个项目开展了预算事前绩效评估，对2个项目编制了绩效目标</w:t>
      </w:r>
      <w:r>
        <w:rPr>
          <w:rFonts w:hint="eastAsia" w:ascii="仿宋_GB2312" w:hAnsi="仿宋_GB2312" w:eastAsia="仿宋_GB2312" w:cs="仿宋_GB2312"/>
          <w:color w:val="auto"/>
          <w:sz w:val="32"/>
          <w:szCs w:val="32"/>
          <w:highlight w:val="none"/>
        </w:rPr>
        <w:t>，预算执行过程中，</w:t>
      </w:r>
      <w:r>
        <w:rPr>
          <w:rFonts w:hint="eastAsia" w:ascii="仿宋_GB2312" w:hAnsi="仿宋_GB2312" w:eastAsia="仿宋_GB2312" w:cs="仿宋_GB2312"/>
          <w:color w:val="auto"/>
          <w:sz w:val="32"/>
          <w:szCs w:val="32"/>
          <w:highlight w:val="none"/>
          <w:lang w:eastAsia="zh-CN"/>
        </w:rPr>
        <w:t>选取</w:t>
      </w:r>
      <w:r>
        <w:rPr>
          <w:rFonts w:hint="eastAsia" w:ascii="仿宋_GB2312" w:hAnsi="仿宋_GB2312" w:eastAsia="仿宋_GB2312" w:cs="仿宋_GB2312"/>
          <w:color w:val="auto"/>
          <w:sz w:val="32"/>
          <w:szCs w:val="32"/>
          <w:highlight w:val="none"/>
          <w:lang w:val="en-US" w:eastAsia="zh-CN"/>
        </w:rPr>
        <w:t>2个项目开展绩效监控，</w:t>
      </w:r>
      <w:r>
        <w:rPr>
          <w:rFonts w:hint="eastAsia" w:ascii="仿宋_GB2312" w:hAnsi="仿宋_GB2312" w:eastAsia="仿宋_GB2312" w:cs="仿宋_GB2312"/>
          <w:color w:val="auto"/>
          <w:sz w:val="32"/>
          <w:szCs w:val="32"/>
          <w:highlight w:val="none"/>
        </w:rPr>
        <w:t>年终执行完毕</w:t>
      </w:r>
      <w:r>
        <w:rPr>
          <w:color w:val="auto"/>
          <w:highlight w:val="none"/>
        </w:rPr>
        <w:commentReference w:id="0"/>
      </w:r>
      <w:r>
        <w:rPr>
          <w:rFonts w:hint="eastAsia" w:ascii="仿宋_GB2312" w:hAnsi="仿宋_GB2312" w:eastAsia="仿宋_GB2312" w:cs="仿宋_GB2312"/>
          <w:color w:val="auto"/>
          <w:sz w:val="32"/>
          <w:szCs w:val="32"/>
          <w:highlight w:val="none"/>
        </w:rPr>
        <w:t>后，对</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5"/>
        </w:numPr>
        <w:spacing w:line="600" w:lineRule="exact"/>
        <w:ind w:firstLine="640"/>
        <w:outlineLvl w:val="1"/>
        <w:rPr>
          <w:rStyle w:val="31"/>
          <w:rFonts w:ascii="黑体" w:hAnsi="黑体" w:eastAsia="黑体"/>
          <w:b w:val="0"/>
          <w:color w:val="auto"/>
          <w:highlight w:val="none"/>
        </w:rPr>
      </w:pPr>
      <w:r>
        <w:rPr>
          <w:rStyle w:val="31"/>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w:t>
      </w:r>
      <w:r>
        <w:rPr>
          <w:rFonts w:hint="eastAsia" w:ascii="仿宋_GB2312" w:eastAsia="仿宋_GB2312" w:cs="仿宋_GB2312"/>
          <w:color w:val="auto"/>
          <w:kern w:val="2"/>
          <w:sz w:val="32"/>
          <w:szCs w:val="32"/>
          <w:highlight w:val="none"/>
          <w:lang w:val="en-US" w:eastAsia="zh-CN" w:bidi="ar"/>
        </w:rPr>
        <w:t>320.23</w:t>
      </w:r>
      <w:r>
        <w:rPr>
          <w:rFonts w:hint="eastAsia" w:ascii="仿宋_GB2312" w:hAnsi="Times New Roman" w:eastAsia="仿宋_GB2312" w:cs="仿宋_GB2312"/>
          <w:color w:val="auto"/>
          <w:kern w:val="2"/>
          <w:sz w:val="32"/>
          <w:szCs w:val="32"/>
          <w:highlight w:val="none"/>
          <w:lang w:val="en-US" w:eastAsia="zh-CN" w:bidi="ar"/>
        </w:rPr>
        <w:t>元，</w:t>
      </w:r>
      <w:r>
        <w:rPr>
          <w:rFonts w:hint="default" w:ascii="Times New Roman" w:hAnsi="Times New Roman" w:eastAsia="仿宋_GB2312" w:cs="Times New Roman"/>
          <w:color w:val="auto"/>
          <w:sz w:val="32"/>
          <w:szCs w:val="32"/>
          <w:highlight w:val="none"/>
        </w:rPr>
        <w:t>比</w:t>
      </w:r>
      <w:r>
        <w:rPr>
          <w:rFonts w:hint="eastAsia" w:eastAsia="仿宋_GB2312" w:cs="Times New Roman"/>
          <w:color w:val="auto"/>
          <w:sz w:val="32"/>
          <w:szCs w:val="32"/>
          <w:highlight w:val="none"/>
          <w:lang w:val="en-US" w:eastAsia="zh-CN"/>
        </w:rPr>
        <w:t>2020</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eastAsia="zh-CN"/>
        </w:rPr>
        <w:t>增加</w:t>
      </w:r>
      <w:r>
        <w:rPr>
          <w:rFonts w:hint="eastAsia" w:eastAsia="仿宋_GB2312" w:cs="Times New Roman"/>
          <w:color w:val="auto"/>
          <w:sz w:val="32"/>
          <w:szCs w:val="32"/>
          <w:highlight w:val="none"/>
          <w:lang w:val="en-US" w:eastAsia="zh-CN"/>
        </w:rPr>
        <w:t>320.87</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减少</w:t>
      </w:r>
      <w:r>
        <w:rPr>
          <w:rFonts w:hint="eastAsia" w:eastAsia="仿宋_GB2312" w:cs="Times New Roman"/>
          <w:color w:val="auto"/>
          <w:sz w:val="32"/>
          <w:szCs w:val="32"/>
          <w:highlight w:val="none"/>
          <w:lang w:val="en-US" w:eastAsia="zh-CN"/>
        </w:rPr>
        <w:t>0.20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主要原因是</w:t>
      </w:r>
      <w:r>
        <w:rPr>
          <w:rFonts w:hint="eastAsia" w:eastAsia="仿宋_GB2312" w:cs="Times New Roman"/>
          <w:color w:val="auto"/>
          <w:sz w:val="32"/>
          <w:szCs w:val="32"/>
          <w:highlight w:val="none"/>
          <w:lang w:eastAsia="zh-CN"/>
        </w:rPr>
        <w:t>人员较</w:t>
      </w:r>
      <w:r>
        <w:rPr>
          <w:rFonts w:hint="eastAsia" w:eastAsia="仿宋_GB2312" w:cs="Times New Roman"/>
          <w:color w:val="auto"/>
          <w:sz w:val="32"/>
          <w:szCs w:val="32"/>
          <w:highlight w:val="none"/>
          <w:lang w:val="en-US" w:eastAsia="zh-CN"/>
        </w:rPr>
        <w:t>2020年有所减少；</w:t>
      </w:r>
      <w:r>
        <w:rPr>
          <w:rFonts w:hint="eastAsia" w:eastAsia="仿宋_GB2312" w:cs="Times New Roman"/>
          <w:color w:val="auto"/>
          <w:sz w:val="32"/>
          <w:szCs w:val="32"/>
          <w:highlight w:val="none"/>
          <w:lang w:eastAsia="zh-CN"/>
        </w:rPr>
        <w:t>从严从紧控制接待费、差旅费、办公费等各项经费开支，厉行节约，反对浪费等。</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我部门</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6"/>
        </w:numPr>
        <w:spacing w:line="600" w:lineRule="exact"/>
        <w:ind w:firstLine="660" w:firstLineChars="150"/>
        <w:jc w:val="center"/>
        <w:outlineLvl w:val="0"/>
        <w:rPr>
          <w:rStyle w:val="30"/>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30"/>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8"/>
        <w:spacing w:line="560" w:lineRule="exact"/>
        <w:ind w:firstLine="640" w:firstLineChars="200"/>
        <w:rPr>
          <w:rFonts w:ascii="仿宋_GB2312" w:eastAsia="仿宋_GB2312"/>
          <w:color w:val="auto"/>
          <w:sz w:val="32"/>
          <w:szCs w:val="32"/>
          <w:highlight w:val="none"/>
        </w:rPr>
      </w:pPr>
      <w:bookmarkStart w:id="51"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8"/>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年末结转和结余：指单位按有关规定结转到下年或以后年度继续使用的资金。</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6</w:t>
      </w:r>
      <w:r>
        <w:rPr>
          <w:rFonts w:hint="eastAsia" w:ascii="仿宋" w:hAnsi="仿宋" w:eastAsia="仿宋" w:cs="仿宋"/>
          <w:color w:val="auto"/>
          <w:sz w:val="32"/>
          <w:szCs w:val="32"/>
          <w:highlight w:val="none"/>
        </w:rPr>
        <w:t>.教育支出205（类）教育管理事务01（款）：反映各类教育管理事务支出。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行政运行01（项）：指用于行政部门基本运行支出。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7</w:t>
      </w:r>
      <w:r>
        <w:rPr>
          <w:rFonts w:hint="eastAsia" w:ascii="仿宋" w:hAnsi="仿宋" w:eastAsia="仿宋" w:cs="仿宋"/>
          <w:color w:val="auto"/>
          <w:sz w:val="32"/>
          <w:szCs w:val="32"/>
          <w:highlight w:val="none"/>
        </w:rPr>
        <w:t>.教育支出205（类）普通教育02（款）：反映各类普通教育支出。政府各部门对社会中介组织等举办的各类教育的资助，如捐赠、补贴等。</w:t>
      </w:r>
    </w:p>
    <w:p>
      <w:pPr>
        <w:pStyle w:val="28"/>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学前教育01（项）：反映各部门举办的学前教育支出。</w:t>
      </w:r>
    </w:p>
    <w:p>
      <w:pPr>
        <w:pStyle w:val="28"/>
        <w:spacing w:line="560" w:lineRule="exact"/>
        <w:ind w:left="638" w:leftChars="304" w:firstLine="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学前教育0</w:t>
      </w:r>
      <w:r>
        <w:rPr>
          <w:rFonts w:hint="eastAsia" w:hAnsi="仿宋" w:cs="仿宋"/>
          <w:color w:val="auto"/>
          <w:sz w:val="32"/>
          <w:szCs w:val="32"/>
          <w:highlight w:val="none"/>
          <w:lang w:val="en-US" w:eastAsia="zh-CN"/>
        </w:rPr>
        <w:t>2</w:t>
      </w:r>
      <w:r>
        <w:rPr>
          <w:rFonts w:hint="eastAsia" w:ascii="仿宋" w:hAnsi="仿宋" w:eastAsia="仿宋" w:cs="仿宋"/>
          <w:color w:val="auto"/>
          <w:sz w:val="32"/>
          <w:szCs w:val="32"/>
          <w:highlight w:val="none"/>
        </w:rPr>
        <w:t>（项）：反映各部门举办的</w:t>
      </w:r>
      <w:r>
        <w:rPr>
          <w:rFonts w:hint="eastAsia" w:hAnsi="仿宋" w:cs="仿宋"/>
          <w:color w:val="auto"/>
          <w:sz w:val="32"/>
          <w:szCs w:val="32"/>
          <w:highlight w:val="none"/>
          <w:lang w:eastAsia="zh-CN"/>
        </w:rPr>
        <w:t>小学</w:t>
      </w:r>
      <w:r>
        <w:rPr>
          <w:rFonts w:hint="eastAsia" w:ascii="仿宋" w:hAnsi="仿宋" w:eastAsia="仿宋" w:cs="仿宋"/>
          <w:color w:val="auto"/>
          <w:sz w:val="32"/>
          <w:szCs w:val="32"/>
          <w:highlight w:val="none"/>
        </w:rPr>
        <w:t>教育支出。学前教育0</w:t>
      </w:r>
      <w:r>
        <w:rPr>
          <w:rFonts w:hint="eastAsia" w:hAnsi="仿宋" w:cs="仿宋"/>
          <w:color w:val="auto"/>
          <w:sz w:val="32"/>
          <w:szCs w:val="32"/>
          <w:highlight w:val="none"/>
          <w:lang w:val="en-US" w:eastAsia="zh-CN"/>
        </w:rPr>
        <w:t>3</w:t>
      </w:r>
      <w:r>
        <w:rPr>
          <w:rFonts w:hint="eastAsia" w:ascii="仿宋" w:hAnsi="仿宋" w:eastAsia="仿宋" w:cs="仿宋"/>
          <w:color w:val="auto"/>
          <w:sz w:val="32"/>
          <w:szCs w:val="32"/>
          <w:highlight w:val="none"/>
        </w:rPr>
        <w:t>（项）：反映各部门举办的</w:t>
      </w:r>
      <w:r>
        <w:rPr>
          <w:rFonts w:hint="eastAsia" w:hAnsi="仿宋" w:cs="仿宋"/>
          <w:color w:val="auto"/>
          <w:sz w:val="32"/>
          <w:szCs w:val="32"/>
          <w:highlight w:val="none"/>
          <w:lang w:eastAsia="zh-CN"/>
        </w:rPr>
        <w:t>初中</w:t>
      </w:r>
      <w:r>
        <w:rPr>
          <w:rFonts w:hint="eastAsia" w:ascii="仿宋" w:hAnsi="仿宋" w:eastAsia="仿宋" w:cs="仿宋"/>
          <w:color w:val="auto"/>
          <w:sz w:val="32"/>
          <w:szCs w:val="32"/>
          <w:highlight w:val="none"/>
        </w:rPr>
        <w:t>教育支出。</w:t>
      </w:r>
    </w:p>
    <w:p>
      <w:pPr>
        <w:pStyle w:val="28"/>
        <w:spacing w:line="560" w:lineRule="exact"/>
        <w:ind w:left="638" w:leftChars="304" w:firstLine="0" w:firstLineChars="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学前教育0</w:t>
      </w:r>
      <w:r>
        <w:rPr>
          <w:rFonts w:hint="eastAsia" w:hAnsi="仿宋" w:cs="仿宋"/>
          <w:color w:val="auto"/>
          <w:sz w:val="32"/>
          <w:szCs w:val="32"/>
          <w:highlight w:val="none"/>
          <w:lang w:val="en-US" w:eastAsia="zh-CN"/>
        </w:rPr>
        <w:t>4</w:t>
      </w:r>
      <w:r>
        <w:rPr>
          <w:rFonts w:hint="eastAsia" w:ascii="仿宋" w:hAnsi="仿宋" w:eastAsia="仿宋" w:cs="仿宋"/>
          <w:color w:val="auto"/>
          <w:sz w:val="32"/>
          <w:szCs w:val="32"/>
          <w:highlight w:val="none"/>
        </w:rPr>
        <w:t>（项）：反映各部门举办的</w:t>
      </w:r>
      <w:r>
        <w:rPr>
          <w:rFonts w:hint="eastAsia" w:hAnsi="仿宋" w:cs="仿宋"/>
          <w:color w:val="auto"/>
          <w:sz w:val="32"/>
          <w:szCs w:val="32"/>
          <w:highlight w:val="none"/>
          <w:lang w:eastAsia="zh-CN"/>
        </w:rPr>
        <w:t>高中</w:t>
      </w:r>
      <w:r>
        <w:rPr>
          <w:rFonts w:hint="eastAsia" w:ascii="仿宋" w:hAnsi="仿宋" w:eastAsia="仿宋" w:cs="仿宋"/>
          <w:color w:val="auto"/>
          <w:sz w:val="32"/>
          <w:szCs w:val="32"/>
          <w:highlight w:val="none"/>
        </w:rPr>
        <w:t>教育支出。</w:t>
      </w:r>
    </w:p>
    <w:p>
      <w:pPr>
        <w:pStyle w:val="28"/>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其他普通教育支出99（项）：反映除上述项目以外其他用于普通教育方面的支出。</w:t>
      </w:r>
    </w:p>
    <w:p>
      <w:pPr>
        <w:pStyle w:val="28"/>
        <w:numPr>
          <w:ilvl w:val="0"/>
          <w:numId w:val="7"/>
        </w:numPr>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教育支出205（类）</w:t>
      </w:r>
      <w:r>
        <w:rPr>
          <w:rFonts w:hint="eastAsia" w:hAnsi="仿宋" w:cs="仿宋"/>
          <w:color w:val="auto"/>
          <w:sz w:val="32"/>
          <w:szCs w:val="32"/>
          <w:highlight w:val="none"/>
          <w:lang w:eastAsia="zh-CN"/>
        </w:rPr>
        <w:t>职业</w:t>
      </w:r>
      <w:r>
        <w:rPr>
          <w:rFonts w:hint="eastAsia" w:ascii="仿宋" w:hAnsi="仿宋" w:eastAsia="仿宋" w:cs="仿宋"/>
          <w:color w:val="auto"/>
          <w:sz w:val="32"/>
          <w:szCs w:val="32"/>
          <w:highlight w:val="none"/>
        </w:rPr>
        <w:t>教育0</w:t>
      </w:r>
      <w:r>
        <w:rPr>
          <w:rFonts w:hint="eastAsia" w:hAnsi="仿宋" w:cs="仿宋"/>
          <w:color w:val="auto"/>
          <w:sz w:val="32"/>
          <w:szCs w:val="32"/>
          <w:highlight w:val="none"/>
          <w:lang w:val="en-US" w:eastAsia="zh-CN"/>
        </w:rPr>
        <w:t>3</w:t>
      </w:r>
      <w:r>
        <w:rPr>
          <w:rFonts w:hint="eastAsia" w:ascii="仿宋" w:hAnsi="仿宋" w:eastAsia="仿宋" w:cs="仿宋"/>
          <w:color w:val="auto"/>
          <w:sz w:val="32"/>
          <w:szCs w:val="32"/>
          <w:highlight w:val="none"/>
        </w:rPr>
        <w:t>（款）</w:t>
      </w:r>
      <w:r>
        <w:rPr>
          <w:rFonts w:hint="eastAsia" w:hAnsi="仿宋" w:cs="仿宋"/>
          <w:color w:val="auto"/>
          <w:sz w:val="32"/>
          <w:szCs w:val="32"/>
          <w:highlight w:val="none"/>
          <w:lang w:eastAsia="zh-CN"/>
        </w:rPr>
        <w:t>中等职业教育</w:t>
      </w:r>
      <w:r>
        <w:rPr>
          <w:rFonts w:hint="eastAsia" w:hAnsi="仿宋" w:cs="仿宋"/>
          <w:color w:val="auto"/>
          <w:sz w:val="32"/>
          <w:szCs w:val="32"/>
          <w:highlight w:val="none"/>
          <w:lang w:val="en-US" w:eastAsia="zh-CN"/>
        </w:rPr>
        <w:t>02</w:t>
      </w:r>
      <w:r>
        <w:rPr>
          <w:rFonts w:hint="eastAsia" w:ascii="仿宋" w:hAnsi="仿宋" w:eastAsia="仿宋" w:cs="仿宋"/>
          <w:color w:val="auto"/>
          <w:sz w:val="32"/>
          <w:szCs w:val="32"/>
          <w:highlight w:val="none"/>
        </w:rPr>
        <w:t>（项）：反映各部门举办的</w:t>
      </w:r>
      <w:r>
        <w:rPr>
          <w:rFonts w:hint="eastAsia" w:hAnsi="仿宋" w:cs="仿宋"/>
          <w:color w:val="auto"/>
          <w:sz w:val="32"/>
          <w:szCs w:val="32"/>
          <w:highlight w:val="none"/>
          <w:lang w:eastAsia="zh-CN"/>
        </w:rPr>
        <w:t>中等职业</w:t>
      </w:r>
      <w:r>
        <w:rPr>
          <w:rFonts w:hint="eastAsia" w:ascii="仿宋" w:hAnsi="仿宋" w:eastAsia="仿宋" w:cs="仿宋"/>
          <w:color w:val="auto"/>
          <w:sz w:val="32"/>
          <w:szCs w:val="32"/>
          <w:highlight w:val="none"/>
        </w:rPr>
        <w:t>教育支出。</w:t>
      </w:r>
    </w:p>
    <w:p>
      <w:pPr>
        <w:pStyle w:val="28"/>
        <w:numPr>
          <w:ilvl w:val="0"/>
          <w:numId w:val="7"/>
        </w:numPr>
        <w:spacing w:line="560" w:lineRule="exact"/>
        <w:ind w:left="0" w:leftChars="0"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教育支出205（类）</w:t>
      </w:r>
      <w:r>
        <w:rPr>
          <w:rFonts w:hint="eastAsia" w:hAnsi="仿宋" w:cs="仿宋"/>
          <w:color w:val="auto"/>
          <w:sz w:val="32"/>
          <w:szCs w:val="32"/>
          <w:highlight w:val="none"/>
          <w:lang w:eastAsia="zh-CN"/>
        </w:rPr>
        <w:t>进修及培训</w:t>
      </w:r>
      <w:r>
        <w:rPr>
          <w:rFonts w:hint="eastAsia" w:ascii="仿宋" w:hAnsi="仿宋" w:eastAsia="仿宋" w:cs="仿宋"/>
          <w:color w:val="auto"/>
          <w:sz w:val="32"/>
          <w:szCs w:val="32"/>
          <w:highlight w:val="none"/>
        </w:rPr>
        <w:t>0</w:t>
      </w:r>
      <w:r>
        <w:rPr>
          <w:rFonts w:hint="eastAsia" w:hAnsi="仿宋" w:cs="仿宋"/>
          <w:color w:val="auto"/>
          <w:sz w:val="32"/>
          <w:szCs w:val="32"/>
          <w:highlight w:val="none"/>
          <w:lang w:val="en-US" w:eastAsia="zh-CN"/>
        </w:rPr>
        <w:t>8</w:t>
      </w:r>
      <w:r>
        <w:rPr>
          <w:rFonts w:hint="eastAsia" w:ascii="仿宋" w:hAnsi="仿宋" w:eastAsia="仿宋" w:cs="仿宋"/>
          <w:color w:val="auto"/>
          <w:sz w:val="32"/>
          <w:szCs w:val="32"/>
          <w:highlight w:val="none"/>
        </w:rPr>
        <w:t>（款）</w:t>
      </w:r>
      <w:r>
        <w:rPr>
          <w:rFonts w:hint="eastAsia" w:hAnsi="仿宋" w:cs="仿宋"/>
          <w:color w:val="auto"/>
          <w:sz w:val="32"/>
          <w:szCs w:val="32"/>
          <w:highlight w:val="none"/>
          <w:lang w:eastAsia="zh-CN"/>
        </w:rPr>
        <w:t>干部培训</w:t>
      </w:r>
      <w:r>
        <w:rPr>
          <w:rFonts w:hint="eastAsia" w:hAnsi="仿宋" w:cs="仿宋"/>
          <w:color w:val="auto"/>
          <w:sz w:val="32"/>
          <w:szCs w:val="32"/>
          <w:highlight w:val="none"/>
          <w:lang w:val="en-US" w:eastAsia="zh-CN"/>
        </w:rPr>
        <w:t>02</w:t>
      </w:r>
      <w:r>
        <w:rPr>
          <w:rFonts w:hint="eastAsia" w:ascii="仿宋" w:hAnsi="仿宋" w:eastAsia="仿宋" w:cs="仿宋"/>
          <w:color w:val="auto"/>
          <w:sz w:val="32"/>
          <w:szCs w:val="32"/>
          <w:highlight w:val="none"/>
        </w:rPr>
        <w:t>（项）：反映各部门举办的</w:t>
      </w:r>
      <w:r>
        <w:rPr>
          <w:rFonts w:hint="eastAsia" w:hAnsi="仿宋" w:cs="仿宋"/>
          <w:color w:val="auto"/>
          <w:sz w:val="32"/>
          <w:szCs w:val="32"/>
          <w:highlight w:val="none"/>
          <w:lang w:eastAsia="zh-CN"/>
        </w:rPr>
        <w:t>干部培训类</w:t>
      </w:r>
      <w:r>
        <w:rPr>
          <w:rFonts w:hint="eastAsia" w:ascii="仿宋" w:hAnsi="仿宋" w:eastAsia="仿宋" w:cs="仿宋"/>
          <w:color w:val="auto"/>
          <w:sz w:val="32"/>
          <w:szCs w:val="32"/>
          <w:highlight w:val="none"/>
        </w:rPr>
        <w:t>教育支出。</w:t>
      </w:r>
    </w:p>
    <w:p>
      <w:pPr>
        <w:pStyle w:val="28"/>
        <w:spacing w:line="560" w:lineRule="exact"/>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 xml:space="preserve">    10.</w:t>
      </w:r>
      <w:r>
        <w:rPr>
          <w:rFonts w:hint="eastAsia" w:ascii="仿宋" w:hAnsi="仿宋" w:eastAsia="仿宋" w:cs="仿宋"/>
          <w:color w:val="auto"/>
          <w:sz w:val="32"/>
          <w:szCs w:val="32"/>
          <w:highlight w:val="none"/>
        </w:rPr>
        <w:t>教育支出205（类）教育费附加安排的支出09（款）</w:t>
      </w:r>
    </w:p>
    <w:p>
      <w:pPr>
        <w:pStyle w:val="28"/>
        <w:spacing w:line="560" w:lineRule="exac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其他教育费附加安排的支出99（项）：指政府各类教育费附加用于安排的教育支出。</w:t>
      </w:r>
    </w:p>
    <w:p>
      <w:pPr>
        <w:numPr>
          <w:ilvl w:val="0"/>
          <w:numId w:val="0"/>
        </w:numPr>
        <w:spacing w:line="600" w:lineRule="exact"/>
        <w:ind w:firstLine="640" w:firstLineChars="200"/>
        <w:rPr>
          <w:rFonts w:hint="eastAsia" w:eastAsia="仿宋"/>
          <w:b w:val="0"/>
          <w:bCs w:val="0"/>
          <w:color w:val="auto"/>
          <w:highlight w:val="none"/>
          <w:lang w:eastAsia="zh-CN"/>
        </w:rPr>
      </w:pPr>
      <w:r>
        <w:rPr>
          <w:rStyle w:val="20"/>
          <w:rFonts w:hint="eastAsia" w:ascii="仿宋" w:hAnsi="仿宋" w:eastAsia="仿宋"/>
          <w:b w:val="0"/>
          <w:bCs w:val="0"/>
          <w:color w:val="auto"/>
          <w:sz w:val="32"/>
          <w:szCs w:val="32"/>
          <w:highlight w:val="none"/>
          <w:lang w:val="en-US" w:eastAsia="zh-CN"/>
        </w:rPr>
        <w:t>11.</w:t>
      </w:r>
      <w:r>
        <w:rPr>
          <w:rStyle w:val="20"/>
          <w:rFonts w:hint="eastAsia" w:ascii="仿宋" w:hAnsi="仿宋" w:eastAsia="仿宋"/>
          <w:b w:val="0"/>
          <w:bCs w:val="0"/>
          <w:color w:val="auto"/>
          <w:sz w:val="32"/>
          <w:szCs w:val="32"/>
          <w:highlight w:val="none"/>
          <w:lang w:eastAsia="zh-CN"/>
        </w:rPr>
        <w:t>文化旅游体育与传媒支出</w:t>
      </w:r>
      <w:r>
        <w:rPr>
          <w:rStyle w:val="20"/>
          <w:rFonts w:hint="eastAsia" w:ascii="仿宋" w:hAnsi="仿宋" w:eastAsia="仿宋"/>
          <w:b w:val="0"/>
          <w:bCs w:val="0"/>
          <w:color w:val="auto"/>
          <w:sz w:val="32"/>
          <w:szCs w:val="32"/>
          <w:highlight w:val="none"/>
        </w:rPr>
        <w:t>20</w:t>
      </w:r>
      <w:r>
        <w:rPr>
          <w:rStyle w:val="20"/>
          <w:rFonts w:hint="eastAsia" w:ascii="仿宋" w:hAnsi="仿宋" w:eastAsia="仿宋"/>
          <w:b w:val="0"/>
          <w:bCs w:val="0"/>
          <w:color w:val="auto"/>
          <w:sz w:val="32"/>
          <w:szCs w:val="32"/>
          <w:highlight w:val="none"/>
          <w:lang w:val="en-US" w:eastAsia="zh-CN"/>
        </w:rPr>
        <w:t>7</w:t>
      </w:r>
      <w:r>
        <w:rPr>
          <w:rStyle w:val="20"/>
          <w:rFonts w:hint="eastAsia" w:ascii="仿宋" w:hAnsi="仿宋" w:eastAsia="仿宋"/>
          <w:b w:val="0"/>
          <w:bCs w:val="0"/>
          <w:color w:val="auto"/>
          <w:sz w:val="32"/>
          <w:szCs w:val="32"/>
          <w:highlight w:val="none"/>
        </w:rPr>
        <w:t>（类）</w:t>
      </w:r>
      <w:r>
        <w:rPr>
          <w:rStyle w:val="20"/>
          <w:rFonts w:hint="eastAsia" w:ascii="仿宋" w:hAnsi="仿宋" w:eastAsia="仿宋"/>
          <w:b w:val="0"/>
          <w:bCs w:val="0"/>
          <w:color w:val="auto"/>
          <w:sz w:val="32"/>
          <w:szCs w:val="32"/>
          <w:highlight w:val="none"/>
          <w:lang w:eastAsia="zh-CN"/>
        </w:rPr>
        <w:t>其他文化旅游体育与传媒支出</w:t>
      </w:r>
      <w:r>
        <w:rPr>
          <w:rStyle w:val="20"/>
          <w:rFonts w:hint="eastAsia" w:ascii="仿宋" w:hAnsi="仿宋" w:eastAsia="仿宋"/>
          <w:b w:val="0"/>
          <w:bCs w:val="0"/>
          <w:color w:val="auto"/>
          <w:sz w:val="32"/>
          <w:szCs w:val="32"/>
          <w:highlight w:val="none"/>
          <w:lang w:val="en-US" w:eastAsia="zh-CN"/>
        </w:rPr>
        <w:t>9</w:t>
      </w:r>
      <w:r>
        <w:rPr>
          <w:rStyle w:val="20"/>
          <w:rFonts w:hint="eastAsia" w:ascii="仿宋" w:hAnsi="仿宋" w:eastAsia="仿宋"/>
          <w:b w:val="0"/>
          <w:bCs w:val="0"/>
          <w:color w:val="auto"/>
          <w:sz w:val="32"/>
          <w:szCs w:val="32"/>
          <w:highlight w:val="none"/>
        </w:rPr>
        <w:t>9（款）</w:t>
      </w:r>
      <w:r>
        <w:rPr>
          <w:rStyle w:val="20"/>
          <w:rFonts w:hint="eastAsia" w:ascii="仿宋" w:hAnsi="仿宋" w:eastAsia="仿宋"/>
          <w:b w:val="0"/>
          <w:bCs w:val="0"/>
          <w:color w:val="auto"/>
          <w:sz w:val="32"/>
          <w:szCs w:val="32"/>
          <w:highlight w:val="none"/>
          <w:lang w:eastAsia="zh-CN"/>
        </w:rPr>
        <w:t>传媒文化发展专项支出</w:t>
      </w:r>
      <w:r>
        <w:rPr>
          <w:rStyle w:val="20"/>
          <w:rFonts w:hint="eastAsia" w:ascii="仿宋" w:hAnsi="仿宋" w:eastAsia="仿宋"/>
          <w:b w:val="0"/>
          <w:bCs w:val="0"/>
          <w:color w:val="auto"/>
          <w:sz w:val="32"/>
          <w:szCs w:val="32"/>
          <w:highlight w:val="none"/>
          <w:lang w:val="en-US" w:eastAsia="zh-CN"/>
        </w:rPr>
        <w:t>02</w:t>
      </w:r>
      <w:r>
        <w:rPr>
          <w:rStyle w:val="20"/>
          <w:rFonts w:hint="eastAsia" w:ascii="仿宋" w:hAnsi="仿宋" w:eastAsia="仿宋"/>
          <w:b w:val="0"/>
          <w:bCs w:val="0"/>
          <w:color w:val="auto"/>
          <w:sz w:val="32"/>
          <w:szCs w:val="32"/>
          <w:highlight w:val="none"/>
        </w:rPr>
        <w:t>（项）</w:t>
      </w:r>
      <w:r>
        <w:rPr>
          <w:rStyle w:val="20"/>
          <w:rFonts w:ascii="仿宋" w:hAnsi="仿宋" w:eastAsia="仿宋"/>
          <w:b w:val="0"/>
          <w:bCs w:val="0"/>
          <w:color w:val="auto"/>
          <w:sz w:val="32"/>
          <w:szCs w:val="32"/>
          <w:highlight w:val="none"/>
        </w:rPr>
        <w:t xml:space="preserve">: </w:t>
      </w:r>
      <w:r>
        <w:rPr>
          <w:rStyle w:val="20"/>
          <w:rFonts w:hint="eastAsia" w:ascii="仿宋" w:hAnsi="仿宋" w:eastAsia="仿宋"/>
          <w:b w:val="0"/>
          <w:bCs w:val="0"/>
          <w:color w:val="auto"/>
          <w:sz w:val="32"/>
          <w:szCs w:val="32"/>
          <w:highlight w:val="none"/>
          <w:lang w:eastAsia="zh-CN"/>
        </w:rPr>
        <w:t>指传媒文化发展专项支出。</w:t>
      </w:r>
    </w:p>
    <w:p>
      <w:pPr>
        <w:numPr>
          <w:ilvl w:val="0"/>
          <w:numId w:val="0"/>
        </w:numPr>
        <w:spacing w:line="600" w:lineRule="exact"/>
        <w:ind w:firstLine="640" w:firstLineChars="200"/>
        <w:rPr>
          <w:rStyle w:val="20"/>
          <w:rFonts w:hint="eastAsia" w:ascii="仿宋" w:hAnsi="仿宋" w:eastAsia="仿宋"/>
          <w:b w:val="0"/>
          <w:bCs w:val="0"/>
          <w:color w:val="auto"/>
          <w:sz w:val="32"/>
          <w:szCs w:val="32"/>
          <w:highlight w:val="none"/>
        </w:rPr>
      </w:pPr>
      <w:r>
        <w:rPr>
          <w:rStyle w:val="20"/>
          <w:rFonts w:hint="eastAsia" w:ascii="仿宋" w:hAnsi="仿宋" w:eastAsia="仿宋"/>
          <w:b w:val="0"/>
          <w:bCs w:val="0"/>
          <w:color w:val="auto"/>
          <w:sz w:val="32"/>
          <w:szCs w:val="32"/>
          <w:highlight w:val="none"/>
          <w:lang w:val="en-US" w:eastAsia="zh-CN"/>
        </w:rPr>
        <w:t>12.</w:t>
      </w:r>
      <w:r>
        <w:rPr>
          <w:rStyle w:val="20"/>
          <w:rFonts w:hint="eastAsia" w:ascii="仿宋" w:hAnsi="仿宋" w:eastAsia="仿宋"/>
          <w:b w:val="0"/>
          <w:bCs w:val="0"/>
          <w:color w:val="auto"/>
          <w:sz w:val="32"/>
          <w:szCs w:val="32"/>
          <w:highlight w:val="none"/>
          <w:lang w:eastAsia="zh-CN"/>
        </w:rPr>
        <w:t>社会保障和就业</w:t>
      </w:r>
      <w:r>
        <w:rPr>
          <w:rStyle w:val="20"/>
          <w:rFonts w:hint="eastAsia" w:ascii="仿宋" w:hAnsi="仿宋" w:eastAsia="仿宋"/>
          <w:b w:val="0"/>
          <w:bCs w:val="0"/>
          <w:color w:val="auto"/>
          <w:sz w:val="32"/>
          <w:szCs w:val="32"/>
          <w:highlight w:val="none"/>
        </w:rPr>
        <w:t>20</w:t>
      </w:r>
      <w:r>
        <w:rPr>
          <w:rStyle w:val="20"/>
          <w:rFonts w:hint="eastAsia" w:ascii="仿宋" w:hAnsi="仿宋" w:eastAsia="仿宋"/>
          <w:b w:val="0"/>
          <w:bCs w:val="0"/>
          <w:color w:val="auto"/>
          <w:sz w:val="32"/>
          <w:szCs w:val="32"/>
          <w:highlight w:val="none"/>
          <w:lang w:val="en-US" w:eastAsia="zh-CN"/>
        </w:rPr>
        <w:t>8</w:t>
      </w:r>
      <w:r>
        <w:rPr>
          <w:rStyle w:val="20"/>
          <w:rFonts w:hint="eastAsia" w:ascii="仿宋" w:hAnsi="仿宋" w:eastAsia="仿宋"/>
          <w:b w:val="0"/>
          <w:bCs w:val="0"/>
          <w:color w:val="auto"/>
          <w:sz w:val="32"/>
          <w:szCs w:val="32"/>
          <w:highlight w:val="none"/>
        </w:rPr>
        <w:t>（类）</w:t>
      </w:r>
      <w:r>
        <w:rPr>
          <w:rStyle w:val="20"/>
          <w:rFonts w:hint="eastAsia" w:ascii="仿宋" w:hAnsi="仿宋" w:eastAsia="仿宋"/>
          <w:b w:val="0"/>
          <w:bCs w:val="0"/>
          <w:color w:val="auto"/>
          <w:sz w:val="32"/>
          <w:szCs w:val="32"/>
          <w:highlight w:val="none"/>
          <w:lang w:eastAsia="zh-CN"/>
        </w:rPr>
        <w:t>行政事业单位养老</w:t>
      </w:r>
      <w:r>
        <w:rPr>
          <w:rStyle w:val="20"/>
          <w:rFonts w:hint="eastAsia" w:ascii="仿宋" w:hAnsi="仿宋" w:eastAsia="仿宋"/>
          <w:b w:val="0"/>
          <w:bCs w:val="0"/>
          <w:color w:val="auto"/>
          <w:sz w:val="32"/>
          <w:szCs w:val="32"/>
          <w:highlight w:val="none"/>
        </w:rPr>
        <w:t>0</w:t>
      </w:r>
      <w:r>
        <w:rPr>
          <w:rStyle w:val="20"/>
          <w:rFonts w:hint="eastAsia" w:ascii="仿宋" w:hAnsi="仿宋" w:eastAsia="仿宋"/>
          <w:b w:val="0"/>
          <w:bCs w:val="0"/>
          <w:color w:val="auto"/>
          <w:sz w:val="32"/>
          <w:szCs w:val="32"/>
          <w:highlight w:val="none"/>
          <w:lang w:val="en-US" w:eastAsia="zh-CN"/>
        </w:rPr>
        <w:t>5</w:t>
      </w:r>
      <w:r>
        <w:rPr>
          <w:rStyle w:val="20"/>
          <w:rFonts w:hint="eastAsia" w:ascii="仿宋" w:hAnsi="仿宋" w:eastAsia="仿宋"/>
          <w:b w:val="0"/>
          <w:bCs w:val="0"/>
          <w:color w:val="auto"/>
          <w:sz w:val="32"/>
          <w:szCs w:val="32"/>
          <w:highlight w:val="none"/>
        </w:rPr>
        <w:t>（款）</w:t>
      </w:r>
      <w:r>
        <w:rPr>
          <w:rStyle w:val="20"/>
          <w:rFonts w:hint="eastAsia" w:ascii="仿宋" w:hAnsi="仿宋" w:eastAsia="仿宋"/>
          <w:b w:val="0"/>
          <w:bCs w:val="0"/>
          <w:color w:val="auto"/>
          <w:sz w:val="32"/>
          <w:szCs w:val="32"/>
          <w:highlight w:val="none"/>
          <w:lang w:eastAsia="zh-CN"/>
        </w:rPr>
        <w:t>机关事业单位基本养老保险缴费支出</w:t>
      </w:r>
      <w:r>
        <w:rPr>
          <w:rStyle w:val="20"/>
          <w:rFonts w:hint="eastAsia" w:ascii="仿宋" w:hAnsi="仿宋" w:eastAsia="仿宋"/>
          <w:b w:val="0"/>
          <w:bCs w:val="0"/>
          <w:color w:val="auto"/>
          <w:sz w:val="32"/>
          <w:szCs w:val="32"/>
          <w:highlight w:val="none"/>
        </w:rPr>
        <w:t>0</w:t>
      </w:r>
      <w:r>
        <w:rPr>
          <w:rStyle w:val="20"/>
          <w:rFonts w:hint="eastAsia" w:ascii="仿宋" w:hAnsi="仿宋" w:eastAsia="仿宋"/>
          <w:b w:val="0"/>
          <w:bCs w:val="0"/>
          <w:color w:val="auto"/>
          <w:sz w:val="32"/>
          <w:szCs w:val="32"/>
          <w:highlight w:val="none"/>
          <w:lang w:val="en-US" w:eastAsia="zh-CN"/>
        </w:rPr>
        <w:t>5</w:t>
      </w:r>
      <w:r>
        <w:rPr>
          <w:rStyle w:val="20"/>
          <w:rFonts w:hint="eastAsia" w:ascii="仿宋" w:hAnsi="仿宋" w:eastAsia="仿宋"/>
          <w:b w:val="0"/>
          <w:bCs w:val="0"/>
          <w:color w:val="auto"/>
          <w:sz w:val="32"/>
          <w:szCs w:val="32"/>
          <w:highlight w:val="none"/>
        </w:rPr>
        <w:t>（项）</w:t>
      </w:r>
      <w:r>
        <w:rPr>
          <w:rStyle w:val="20"/>
          <w:rFonts w:ascii="仿宋" w:hAnsi="仿宋" w:eastAsia="仿宋"/>
          <w:b w:val="0"/>
          <w:bCs w:val="0"/>
          <w:color w:val="auto"/>
          <w:sz w:val="32"/>
          <w:szCs w:val="32"/>
          <w:highlight w:val="none"/>
        </w:rPr>
        <w:t xml:space="preserve">: </w:t>
      </w:r>
      <w:r>
        <w:rPr>
          <w:rStyle w:val="20"/>
          <w:rFonts w:hint="eastAsia" w:ascii="仿宋" w:hAnsi="仿宋" w:eastAsia="仿宋"/>
          <w:b w:val="0"/>
          <w:bCs w:val="0"/>
          <w:color w:val="auto"/>
          <w:sz w:val="32"/>
          <w:szCs w:val="32"/>
          <w:highlight w:val="none"/>
          <w:lang w:eastAsia="zh-CN"/>
        </w:rPr>
        <w:t>指机关事业单位基本养老保险缴费支出。</w:t>
      </w:r>
    </w:p>
    <w:p>
      <w:pPr>
        <w:numPr>
          <w:ilvl w:val="0"/>
          <w:numId w:val="0"/>
        </w:numPr>
        <w:spacing w:line="600" w:lineRule="exact"/>
        <w:ind w:firstLine="640" w:firstLineChars="200"/>
        <w:rPr>
          <w:rStyle w:val="20"/>
          <w:rFonts w:hint="eastAsia" w:ascii="仿宋" w:hAnsi="仿宋" w:eastAsia="仿宋"/>
          <w:b w:val="0"/>
          <w:bCs w:val="0"/>
          <w:color w:val="auto"/>
          <w:sz w:val="32"/>
          <w:szCs w:val="32"/>
          <w:highlight w:val="none"/>
        </w:rPr>
      </w:pPr>
      <w:r>
        <w:rPr>
          <w:rStyle w:val="20"/>
          <w:rFonts w:hint="eastAsia" w:ascii="仿宋" w:hAnsi="仿宋" w:eastAsia="仿宋"/>
          <w:b w:val="0"/>
          <w:bCs w:val="0"/>
          <w:color w:val="auto"/>
          <w:sz w:val="32"/>
          <w:szCs w:val="32"/>
          <w:highlight w:val="none"/>
          <w:lang w:val="en-US" w:eastAsia="zh-CN"/>
        </w:rPr>
        <w:t>13.</w:t>
      </w:r>
      <w:r>
        <w:rPr>
          <w:rStyle w:val="20"/>
          <w:rFonts w:hint="eastAsia" w:ascii="仿宋" w:hAnsi="仿宋" w:eastAsia="仿宋"/>
          <w:b w:val="0"/>
          <w:bCs w:val="0"/>
          <w:color w:val="auto"/>
          <w:sz w:val="32"/>
          <w:szCs w:val="32"/>
          <w:highlight w:val="none"/>
          <w:lang w:eastAsia="zh-CN"/>
        </w:rPr>
        <w:t>社会保障和就业</w:t>
      </w:r>
      <w:r>
        <w:rPr>
          <w:rStyle w:val="20"/>
          <w:rFonts w:hint="eastAsia" w:ascii="仿宋" w:hAnsi="仿宋" w:eastAsia="仿宋"/>
          <w:b w:val="0"/>
          <w:bCs w:val="0"/>
          <w:color w:val="auto"/>
          <w:sz w:val="32"/>
          <w:szCs w:val="32"/>
          <w:highlight w:val="none"/>
        </w:rPr>
        <w:t>20</w:t>
      </w:r>
      <w:r>
        <w:rPr>
          <w:rStyle w:val="20"/>
          <w:rFonts w:hint="eastAsia" w:ascii="仿宋" w:hAnsi="仿宋" w:eastAsia="仿宋"/>
          <w:b w:val="0"/>
          <w:bCs w:val="0"/>
          <w:color w:val="auto"/>
          <w:sz w:val="32"/>
          <w:szCs w:val="32"/>
          <w:highlight w:val="none"/>
          <w:lang w:val="en-US" w:eastAsia="zh-CN"/>
        </w:rPr>
        <w:t>8</w:t>
      </w:r>
      <w:r>
        <w:rPr>
          <w:rStyle w:val="20"/>
          <w:rFonts w:hint="eastAsia" w:ascii="仿宋" w:hAnsi="仿宋" w:eastAsia="仿宋"/>
          <w:b w:val="0"/>
          <w:bCs w:val="0"/>
          <w:color w:val="auto"/>
          <w:sz w:val="32"/>
          <w:szCs w:val="32"/>
          <w:highlight w:val="none"/>
        </w:rPr>
        <w:t>（类）</w:t>
      </w:r>
      <w:r>
        <w:rPr>
          <w:rStyle w:val="20"/>
          <w:rFonts w:hint="eastAsia" w:ascii="仿宋" w:hAnsi="仿宋" w:eastAsia="仿宋"/>
          <w:b w:val="0"/>
          <w:bCs w:val="0"/>
          <w:color w:val="auto"/>
          <w:sz w:val="32"/>
          <w:szCs w:val="32"/>
          <w:highlight w:val="none"/>
          <w:lang w:eastAsia="zh-CN"/>
        </w:rPr>
        <w:t>抚恤</w:t>
      </w:r>
      <w:r>
        <w:rPr>
          <w:rStyle w:val="20"/>
          <w:rFonts w:hint="eastAsia" w:ascii="仿宋" w:hAnsi="仿宋" w:eastAsia="仿宋"/>
          <w:b w:val="0"/>
          <w:bCs w:val="0"/>
          <w:color w:val="auto"/>
          <w:sz w:val="32"/>
          <w:szCs w:val="32"/>
          <w:highlight w:val="none"/>
        </w:rPr>
        <w:t>0</w:t>
      </w:r>
      <w:r>
        <w:rPr>
          <w:rStyle w:val="20"/>
          <w:rFonts w:hint="eastAsia" w:ascii="仿宋" w:hAnsi="仿宋" w:eastAsia="仿宋"/>
          <w:b w:val="0"/>
          <w:bCs w:val="0"/>
          <w:color w:val="auto"/>
          <w:sz w:val="32"/>
          <w:szCs w:val="32"/>
          <w:highlight w:val="none"/>
          <w:lang w:val="en-US" w:eastAsia="zh-CN"/>
        </w:rPr>
        <w:t>8</w:t>
      </w:r>
      <w:r>
        <w:rPr>
          <w:rStyle w:val="20"/>
          <w:rFonts w:hint="eastAsia" w:ascii="仿宋" w:hAnsi="仿宋" w:eastAsia="仿宋"/>
          <w:b w:val="0"/>
          <w:bCs w:val="0"/>
          <w:color w:val="auto"/>
          <w:sz w:val="32"/>
          <w:szCs w:val="32"/>
          <w:highlight w:val="none"/>
        </w:rPr>
        <w:t>（款）</w:t>
      </w:r>
      <w:r>
        <w:rPr>
          <w:rStyle w:val="20"/>
          <w:rFonts w:hint="eastAsia" w:ascii="仿宋" w:hAnsi="仿宋" w:eastAsia="仿宋"/>
          <w:b w:val="0"/>
          <w:bCs w:val="0"/>
          <w:color w:val="auto"/>
          <w:sz w:val="32"/>
          <w:szCs w:val="32"/>
          <w:highlight w:val="none"/>
          <w:lang w:eastAsia="zh-CN"/>
        </w:rPr>
        <w:t>死亡抚恤</w:t>
      </w:r>
      <w:r>
        <w:rPr>
          <w:rStyle w:val="20"/>
          <w:rFonts w:hint="eastAsia" w:ascii="仿宋" w:hAnsi="仿宋" w:eastAsia="仿宋"/>
          <w:b w:val="0"/>
          <w:bCs w:val="0"/>
          <w:color w:val="auto"/>
          <w:sz w:val="32"/>
          <w:szCs w:val="32"/>
          <w:highlight w:val="none"/>
        </w:rPr>
        <w:t>0</w:t>
      </w:r>
      <w:r>
        <w:rPr>
          <w:rStyle w:val="20"/>
          <w:rFonts w:hint="eastAsia" w:ascii="仿宋" w:hAnsi="仿宋" w:eastAsia="仿宋"/>
          <w:b w:val="0"/>
          <w:bCs w:val="0"/>
          <w:color w:val="auto"/>
          <w:sz w:val="32"/>
          <w:szCs w:val="32"/>
          <w:highlight w:val="none"/>
          <w:lang w:val="en-US" w:eastAsia="zh-CN"/>
        </w:rPr>
        <w:t>1</w:t>
      </w:r>
      <w:r>
        <w:rPr>
          <w:rStyle w:val="20"/>
          <w:rFonts w:hint="eastAsia" w:ascii="仿宋" w:hAnsi="仿宋" w:eastAsia="仿宋"/>
          <w:b w:val="0"/>
          <w:bCs w:val="0"/>
          <w:color w:val="auto"/>
          <w:sz w:val="32"/>
          <w:szCs w:val="32"/>
          <w:highlight w:val="none"/>
        </w:rPr>
        <w:t>（项）</w:t>
      </w:r>
      <w:r>
        <w:rPr>
          <w:rStyle w:val="20"/>
          <w:rFonts w:ascii="仿宋" w:hAnsi="仿宋" w:eastAsia="仿宋"/>
          <w:b w:val="0"/>
          <w:bCs w:val="0"/>
          <w:color w:val="auto"/>
          <w:sz w:val="32"/>
          <w:szCs w:val="32"/>
          <w:highlight w:val="none"/>
        </w:rPr>
        <w:t xml:space="preserve">: </w:t>
      </w:r>
      <w:r>
        <w:rPr>
          <w:rStyle w:val="20"/>
          <w:rFonts w:hint="eastAsia" w:ascii="仿宋" w:hAnsi="仿宋" w:eastAsia="仿宋"/>
          <w:b w:val="0"/>
          <w:bCs w:val="0"/>
          <w:color w:val="auto"/>
          <w:sz w:val="32"/>
          <w:szCs w:val="32"/>
          <w:highlight w:val="none"/>
          <w:lang w:eastAsia="zh-CN"/>
        </w:rPr>
        <w:t>指其他社会保障和就业的项目支出。</w:t>
      </w:r>
    </w:p>
    <w:p>
      <w:pPr>
        <w:numPr>
          <w:ilvl w:val="0"/>
          <w:numId w:val="0"/>
        </w:numPr>
        <w:spacing w:line="600" w:lineRule="exact"/>
        <w:ind w:firstLine="640" w:firstLineChars="200"/>
        <w:rPr>
          <w:rStyle w:val="20"/>
          <w:rFonts w:hint="eastAsia" w:ascii="仿宋" w:hAnsi="仿宋" w:eastAsia="仿宋"/>
          <w:b w:val="0"/>
          <w:bCs w:val="0"/>
          <w:color w:val="auto"/>
          <w:sz w:val="32"/>
          <w:szCs w:val="32"/>
          <w:highlight w:val="none"/>
          <w:lang w:eastAsia="zh-CN"/>
        </w:rPr>
      </w:pPr>
      <w:r>
        <w:rPr>
          <w:rStyle w:val="20"/>
          <w:rFonts w:hint="eastAsia" w:ascii="仿宋" w:hAnsi="仿宋" w:eastAsia="仿宋"/>
          <w:b w:val="0"/>
          <w:bCs w:val="0"/>
          <w:color w:val="auto"/>
          <w:sz w:val="32"/>
          <w:szCs w:val="32"/>
          <w:highlight w:val="none"/>
          <w:lang w:val="en-US" w:eastAsia="zh-CN"/>
        </w:rPr>
        <w:t>14.</w:t>
      </w:r>
      <w:r>
        <w:rPr>
          <w:rStyle w:val="20"/>
          <w:rFonts w:hint="eastAsia" w:ascii="仿宋" w:hAnsi="仿宋" w:eastAsia="仿宋"/>
          <w:b w:val="0"/>
          <w:bCs w:val="0"/>
          <w:color w:val="auto"/>
          <w:sz w:val="32"/>
          <w:szCs w:val="32"/>
          <w:highlight w:val="none"/>
          <w:lang w:eastAsia="zh-CN"/>
        </w:rPr>
        <w:t>社会保障和就业20</w:t>
      </w:r>
      <w:r>
        <w:rPr>
          <w:rStyle w:val="20"/>
          <w:rFonts w:hint="eastAsia" w:ascii="仿宋" w:hAnsi="仿宋" w:eastAsia="仿宋"/>
          <w:b w:val="0"/>
          <w:bCs w:val="0"/>
          <w:color w:val="auto"/>
          <w:sz w:val="32"/>
          <w:szCs w:val="32"/>
          <w:highlight w:val="none"/>
          <w:lang w:val="en-US" w:eastAsia="zh-CN"/>
        </w:rPr>
        <w:t>8</w:t>
      </w:r>
      <w:r>
        <w:rPr>
          <w:rStyle w:val="20"/>
          <w:rFonts w:hint="eastAsia" w:ascii="仿宋" w:hAnsi="仿宋" w:eastAsia="仿宋"/>
          <w:b w:val="0"/>
          <w:bCs w:val="0"/>
          <w:color w:val="auto"/>
          <w:sz w:val="32"/>
          <w:szCs w:val="32"/>
          <w:highlight w:val="none"/>
          <w:lang w:eastAsia="zh-CN"/>
        </w:rPr>
        <w:t>（类）其他社保保险和就业</w:t>
      </w:r>
      <w:r>
        <w:rPr>
          <w:rStyle w:val="20"/>
          <w:rFonts w:hint="eastAsia" w:ascii="仿宋" w:hAnsi="仿宋" w:eastAsia="仿宋"/>
          <w:b w:val="0"/>
          <w:bCs w:val="0"/>
          <w:color w:val="auto"/>
          <w:sz w:val="32"/>
          <w:szCs w:val="32"/>
          <w:highlight w:val="none"/>
          <w:lang w:val="en-US" w:eastAsia="zh-CN"/>
        </w:rPr>
        <w:t>99</w:t>
      </w:r>
      <w:r>
        <w:rPr>
          <w:rStyle w:val="20"/>
          <w:rFonts w:hint="eastAsia" w:ascii="仿宋" w:hAnsi="仿宋" w:eastAsia="仿宋"/>
          <w:b w:val="0"/>
          <w:bCs w:val="0"/>
          <w:color w:val="auto"/>
          <w:sz w:val="32"/>
          <w:szCs w:val="32"/>
          <w:highlight w:val="none"/>
          <w:lang w:eastAsia="zh-CN"/>
        </w:rPr>
        <w:t>（款）其他社保保险和就业</w:t>
      </w:r>
      <w:r>
        <w:rPr>
          <w:rStyle w:val="20"/>
          <w:rFonts w:hint="eastAsia" w:ascii="仿宋" w:hAnsi="仿宋" w:eastAsia="仿宋"/>
          <w:b w:val="0"/>
          <w:bCs w:val="0"/>
          <w:color w:val="auto"/>
          <w:sz w:val="32"/>
          <w:szCs w:val="32"/>
          <w:highlight w:val="none"/>
          <w:lang w:val="en-US" w:eastAsia="zh-CN"/>
        </w:rPr>
        <w:t>99</w:t>
      </w:r>
      <w:r>
        <w:rPr>
          <w:rStyle w:val="20"/>
          <w:rFonts w:hint="eastAsia" w:ascii="仿宋" w:hAnsi="仿宋" w:eastAsia="仿宋"/>
          <w:b w:val="0"/>
          <w:bCs w:val="0"/>
          <w:color w:val="auto"/>
          <w:sz w:val="32"/>
          <w:szCs w:val="32"/>
          <w:highlight w:val="none"/>
          <w:lang w:eastAsia="zh-CN"/>
        </w:rPr>
        <w:t>（项）: 指其他社会保障和就业的项目支出。</w:t>
      </w:r>
    </w:p>
    <w:p>
      <w:pPr>
        <w:numPr>
          <w:ilvl w:val="0"/>
          <w:numId w:val="0"/>
        </w:numPr>
        <w:spacing w:line="600" w:lineRule="exact"/>
        <w:ind w:firstLine="640" w:firstLineChars="200"/>
        <w:rPr>
          <w:rStyle w:val="20"/>
          <w:rFonts w:hint="eastAsia" w:ascii="仿宋" w:hAnsi="仿宋" w:eastAsia="仿宋"/>
          <w:b w:val="0"/>
          <w:bCs w:val="0"/>
          <w:color w:val="auto"/>
          <w:sz w:val="32"/>
          <w:szCs w:val="32"/>
          <w:highlight w:val="none"/>
          <w:lang w:eastAsia="zh-CN"/>
        </w:rPr>
      </w:pPr>
      <w:r>
        <w:rPr>
          <w:rStyle w:val="20"/>
          <w:rFonts w:hint="eastAsia" w:ascii="仿宋" w:hAnsi="仿宋" w:eastAsia="仿宋"/>
          <w:b w:val="0"/>
          <w:bCs w:val="0"/>
          <w:color w:val="auto"/>
          <w:sz w:val="32"/>
          <w:szCs w:val="32"/>
          <w:highlight w:val="none"/>
          <w:lang w:val="en-US" w:eastAsia="zh-CN"/>
        </w:rPr>
        <w:t>15.</w:t>
      </w:r>
      <w:r>
        <w:rPr>
          <w:rStyle w:val="20"/>
          <w:rFonts w:hint="eastAsia" w:ascii="仿宋" w:hAnsi="仿宋" w:eastAsia="仿宋"/>
          <w:b w:val="0"/>
          <w:bCs w:val="0"/>
          <w:color w:val="auto"/>
          <w:sz w:val="32"/>
          <w:szCs w:val="32"/>
          <w:highlight w:val="none"/>
          <w:lang w:eastAsia="zh-CN"/>
        </w:rPr>
        <w:t>卫生健康支出2</w:t>
      </w:r>
      <w:r>
        <w:rPr>
          <w:rStyle w:val="20"/>
          <w:rFonts w:hint="eastAsia" w:ascii="仿宋" w:hAnsi="仿宋" w:eastAsia="仿宋"/>
          <w:b w:val="0"/>
          <w:bCs w:val="0"/>
          <w:color w:val="auto"/>
          <w:sz w:val="32"/>
          <w:szCs w:val="32"/>
          <w:highlight w:val="none"/>
          <w:lang w:val="en-US" w:eastAsia="zh-CN"/>
        </w:rPr>
        <w:t>10</w:t>
      </w:r>
      <w:r>
        <w:rPr>
          <w:rStyle w:val="20"/>
          <w:rFonts w:hint="eastAsia" w:ascii="仿宋" w:hAnsi="仿宋" w:eastAsia="仿宋"/>
          <w:b w:val="0"/>
          <w:bCs w:val="0"/>
          <w:color w:val="auto"/>
          <w:sz w:val="32"/>
          <w:szCs w:val="32"/>
          <w:highlight w:val="none"/>
          <w:lang w:eastAsia="zh-CN"/>
        </w:rPr>
        <w:t>（类）行政事业单位医疗</w:t>
      </w:r>
      <w:r>
        <w:rPr>
          <w:rStyle w:val="20"/>
          <w:rFonts w:hint="eastAsia" w:ascii="仿宋" w:hAnsi="仿宋" w:eastAsia="仿宋"/>
          <w:b w:val="0"/>
          <w:bCs w:val="0"/>
          <w:color w:val="auto"/>
          <w:sz w:val="32"/>
          <w:szCs w:val="32"/>
          <w:highlight w:val="none"/>
          <w:lang w:val="en-US" w:eastAsia="zh-CN"/>
        </w:rPr>
        <w:t>11</w:t>
      </w:r>
      <w:r>
        <w:rPr>
          <w:rStyle w:val="20"/>
          <w:rFonts w:hint="eastAsia" w:ascii="仿宋" w:hAnsi="仿宋" w:eastAsia="仿宋"/>
          <w:b w:val="0"/>
          <w:bCs w:val="0"/>
          <w:color w:val="auto"/>
          <w:sz w:val="32"/>
          <w:szCs w:val="32"/>
          <w:highlight w:val="none"/>
          <w:lang w:eastAsia="zh-CN"/>
        </w:rPr>
        <w:t>（款）事业单位医疗</w:t>
      </w:r>
      <w:r>
        <w:rPr>
          <w:rStyle w:val="20"/>
          <w:rFonts w:hint="eastAsia" w:ascii="仿宋" w:hAnsi="仿宋" w:eastAsia="仿宋"/>
          <w:b w:val="0"/>
          <w:bCs w:val="0"/>
          <w:color w:val="auto"/>
          <w:sz w:val="32"/>
          <w:szCs w:val="32"/>
          <w:highlight w:val="none"/>
          <w:lang w:val="en-US" w:eastAsia="zh-CN"/>
        </w:rPr>
        <w:t>02</w:t>
      </w:r>
      <w:r>
        <w:rPr>
          <w:rStyle w:val="20"/>
          <w:rFonts w:hint="eastAsia" w:ascii="仿宋" w:hAnsi="仿宋" w:eastAsia="仿宋"/>
          <w:b w:val="0"/>
          <w:bCs w:val="0"/>
          <w:color w:val="auto"/>
          <w:sz w:val="32"/>
          <w:szCs w:val="32"/>
          <w:highlight w:val="none"/>
          <w:lang w:eastAsia="zh-CN"/>
        </w:rPr>
        <w:t>（项）: 指财政部门集中安排的事业单位基本医疗保险缴费经费。</w:t>
      </w:r>
    </w:p>
    <w:p>
      <w:pPr>
        <w:pStyle w:val="28"/>
        <w:spacing w:line="560" w:lineRule="exact"/>
        <w:ind w:firstLine="640" w:firstLineChars="200"/>
        <w:rPr>
          <w:rFonts w:hint="eastAsia" w:ascii="仿宋" w:hAnsi="仿宋" w:eastAsia="仿宋" w:cs="仿宋"/>
          <w:color w:val="auto"/>
          <w:sz w:val="32"/>
          <w:szCs w:val="32"/>
          <w:highlight w:val="none"/>
        </w:rPr>
      </w:pPr>
      <w:r>
        <w:rPr>
          <w:rFonts w:hint="eastAsia" w:hAnsi="仿宋" w:cs="仿宋"/>
          <w:color w:val="auto"/>
          <w:sz w:val="32"/>
          <w:szCs w:val="32"/>
          <w:highlight w:val="none"/>
          <w:lang w:val="en-US" w:eastAsia="zh-CN"/>
        </w:rPr>
        <w:t>16</w:t>
      </w:r>
      <w:r>
        <w:rPr>
          <w:rFonts w:hint="eastAsia" w:ascii="仿宋" w:hAnsi="仿宋" w:eastAsia="仿宋" w:cs="仿宋"/>
          <w:color w:val="auto"/>
          <w:sz w:val="32"/>
          <w:szCs w:val="32"/>
          <w:highlight w:val="none"/>
        </w:rPr>
        <w:t>.住房保障221（类）住房改革02（款）住房公积金01（项）:反映行政事业单位按人力资源和社会保障部、财政部规定的基本工资和津贴补贴以及规定比例为职工缴纳的住房公积金。</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_GB2312" w:eastAsia="仿宋_GB2312" w:cs="仿宋"/>
          <w:color w:val="auto"/>
          <w:kern w:val="0"/>
          <w:sz w:val="32"/>
          <w:szCs w:val="32"/>
          <w:highlight w:val="none"/>
          <w:lang w:val="en-US" w:eastAsia="zh-CN"/>
        </w:rPr>
        <w:t>17.</w:t>
      </w:r>
      <w:r>
        <w:rPr>
          <w:rFonts w:ascii="仿宋_GB2312" w:hAnsi="Calibri" w:eastAsia="仿宋_GB2312" w:cs="仿宋"/>
          <w:color w:val="auto"/>
          <w:kern w:val="0"/>
          <w:sz w:val="32"/>
          <w:szCs w:val="32"/>
          <w:highlight w:val="none"/>
        </w:rPr>
        <w:t>其他支出（类）彩票公益金安排的支出（款）彩票公益金支出(项）：指用</w:t>
      </w:r>
      <w:r>
        <w:rPr>
          <w:rFonts w:hint="eastAsia" w:ascii="仿宋_GB2312" w:eastAsia="仿宋_GB2312" w:cs="仿宋"/>
          <w:color w:val="auto"/>
          <w:kern w:val="0"/>
          <w:sz w:val="32"/>
          <w:szCs w:val="32"/>
          <w:highlight w:val="none"/>
          <w:lang w:eastAsia="zh-CN"/>
        </w:rPr>
        <w:t>用于教育事业的</w:t>
      </w:r>
      <w:r>
        <w:rPr>
          <w:rFonts w:ascii="仿宋_GB2312" w:hAnsi="Calibri" w:eastAsia="仿宋_GB2312" w:cs="仿宋"/>
          <w:color w:val="auto"/>
          <w:kern w:val="0"/>
          <w:sz w:val="32"/>
          <w:szCs w:val="32"/>
          <w:highlight w:val="none"/>
        </w:rPr>
        <w:t>彩票公益金支出。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18</w:t>
      </w:r>
      <w:r>
        <w:rPr>
          <w:rFonts w:hint="eastAsia" w:ascii="仿宋" w:hAnsi="仿宋" w:eastAsia="仿宋" w:cs="仿宋"/>
          <w:color w:val="auto"/>
          <w:sz w:val="32"/>
          <w:szCs w:val="32"/>
          <w:highlight w:val="none"/>
        </w:rPr>
        <w:t>.基本支出：指为保障机构正常运转、完成日常工作任务而发生的人员支出和公用支出。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w:t>
      </w:r>
      <w:r>
        <w:rPr>
          <w:rFonts w:hint="eastAsia" w:hAnsi="仿宋" w:cs="仿宋"/>
          <w:color w:val="auto"/>
          <w:sz w:val="32"/>
          <w:szCs w:val="32"/>
          <w:highlight w:val="none"/>
          <w:lang w:val="en-US" w:eastAsia="zh-CN"/>
        </w:rPr>
        <w:t>9</w:t>
      </w:r>
      <w:r>
        <w:rPr>
          <w:rFonts w:hint="eastAsia" w:ascii="仿宋" w:hAnsi="仿宋" w:eastAsia="仿宋" w:cs="仿宋"/>
          <w:color w:val="auto"/>
          <w:sz w:val="32"/>
          <w:szCs w:val="32"/>
          <w:highlight w:val="none"/>
        </w:rPr>
        <w:t>.项目支出：指在基本支出之外为完成特定行政任务和事业发展目标所发生的支出。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20</w:t>
      </w:r>
      <w:r>
        <w:rPr>
          <w:rFonts w:hint="eastAsia" w:ascii="仿宋" w:hAnsi="仿宋" w:eastAsia="仿宋" w:cs="仿宋"/>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jc w:val="left"/>
        <w:rPr>
          <w:rFonts w:hint="eastAsia" w:ascii="仿宋_GB2312" w:eastAsia="仿宋_GB2312"/>
          <w:color w:val="auto"/>
          <w:sz w:val="32"/>
          <w:szCs w:val="32"/>
          <w:highlight w:val="none"/>
        </w:rPr>
      </w:pPr>
      <w:r>
        <w:rPr>
          <w:rFonts w:hint="eastAsia" w:hAnsi="仿宋" w:cs="仿宋"/>
          <w:color w:val="auto"/>
          <w:sz w:val="32"/>
          <w:szCs w:val="32"/>
          <w:highlight w:val="none"/>
          <w:lang w:val="en-US" w:eastAsia="zh-CN"/>
        </w:rPr>
        <w:t>21</w:t>
      </w:r>
      <w:r>
        <w:rPr>
          <w:rFonts w:hint="eastAsia" w:ascii="仿宋" w:hAnsi="仿宋" w:eastAsia="仿宋" w:cs="仿宋"/>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费以及其他费用。</w:t>
      </w:r>
    </w:p>
    <w:p>
      <w:pPr>
        <w:pStyle w:val="28"/>
        <w:spacing w:line="560" w:lineRule="exact"/>
        <w:ind w:firstLine="883" w:firstLineChars="200"/>
        <w:jc w:val="center"/>
        <w:rPr>
          <w:rStyle w:val="30"/>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8"/>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1920"/>
        <w:gridCol w:w="1845"/>
        <w:gridCol w:w="2120"/>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（招商引资工作经费）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2.5</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2.5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2.5</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140"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提升全区教育办学综合实力，减少对政府的依托。完成1000万元的招商引资工作；力争引进一所高质量的教育集团学校，提升昭化教育质量。</w:t>
            </w:r>
          </w:p>
        </w:tc>
        <w:tc>
          <w:tcPr>
            <w:tcW w:w="396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1.完成中小学研学实践活动基地建设项目1050万元的招商引资工作；2.引进绵阳东辰教育集团与元坝中学合作办学，提升昭化教育质量。</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招商引资任务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2个</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2个</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招商引资任务金额</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1000万元</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1050万元</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教育办学水平</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提升全区教育教学水平</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年工作经费</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2.5万元</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2.5万元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经济效益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经济水平</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用优质教育资源带动我区经济发展</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r>
              <w:rPr>
                <w:rFonts w:hint="eastAsia" w:ascii="仿宋_GB2312" w:hAnsi="仿宋_GB2312" w:eastAsia="仿宋_GB2312" w:cs="仿宋_GB2312"/>
                <w:color w:val="auto"/>
                <w:sz w:val="20"/>
                <w:szCs w:val="20"/>
                <w:highlight w:val="none"/>
                <w:lang w:eastAsia="zh-CN"/>
              </w:rPr>
              <w:t>利</w:t>
            </w:r>
            <w:r>
              <w:rPr>
                <w:rFonts w:hint="default" w:ascii="仿宋_GB2312" w:hAnsi="仿宋_GB2312" w:eastAsia="仿宋_GB2312" w:cs="仿宋_GB2312"/>
                <w:color w:val="auto"/>
                <w:sz w:val="20"/>
                <w:szCs w:val="20"/>
                <w:highlight w:val="none"/>
              </w:rPr>
              <w:t>用优质教育资源带动我区经济发展</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rPr>
              <w:t>社会效益  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社会效益</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引进优质教育资源，为孩子在家门口提供优质教育</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引进绵阳东辰教育集团与元坝中学合作办学，提升昭化教育质量，为孩子在家门口提供优质教育</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学生及家长满意度</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tbl>
      <w:tblPr>
        <w:tblStyle w:val="18"/>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040"/>
        <w:gridCol w:w="1523"/>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（争取项目资金工作经费）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10.5</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10.5</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10.5</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10.5</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260"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1.在政策范围内，向上级争取专项建设资金4194.41万元，推进全区教育健康快速发展，减少对政府的依托；2.完成2所优质幼儿园建设，缓解学前教育学位压力；3.力争引进一所高质量的教育集团学校，提升昭化教育质量。</w:t>
            </w:r>
          </w:p>
        </w:tc>
        <w:tc>
          <w:tcPr>
            <w:tcW w:w="384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1"/>
                <w:szCs w:val="21"/>
                <w:highlight w:val="none"/>
                <w:lang w:eastAsia="zh-CN"/>
              </w:rPr>
              <w:t>1.在政策范围内，向上级争取专项建设资金5211.51万元，推进全区教育健康快速发展，减少对政府的依托；2.完成中央峰景幼儿育、昭化小学幼儿园2所优质幼儿园建设，环节学前教育学位压力；3.引进绵阳东辰教育集团与元坝中学合作办学，提升昭化教育质量。</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捐助学生助学资金、教师激励基金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50万元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144.99万元</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争取上级专项资金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4194.41万元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5211.51万元</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建设优质幼儿园</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2个</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2个</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争取金额的达成率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kern w:val="2"/>
                <w:sz w:val="20"/>
                <w:szCs w:val="20"/>
                <w:highlight w:val="none"/>
                <w:lang w:val="en-US" w:eastAsia="zh-CN" w:bidi="ar-SA"/>
              </w:rPr>
              <w:t>124.2%</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幼儿园硬件条件</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kern w:val="2"/>
                <w:sz w:val="20"/>
                <w:szCs w:val="20"/>
                <w:highlight w:val="none"/>
                <w:lang w:val="en-US" w:eastAsia="zh-CN" w:bidi="ar-SA"/>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kern w:val="2"/>
                <w:sz w:val="20"/>
                <w:szCs w:val="20"/>
                <w:highlight w:val="none"/>
                <w:lang w:val="en-US" w:eastAsia="zh-CN" w:bidi="ar-SA"/>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完成时效</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争取上级专项资金工作经费</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10.5万元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10.5万元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经济</w:t>
            </w:r>
            <w:r>
              <w:rPr>
                <w:rFonts w:hint="eastAsia" w:ascii="仿宋_GB2312" w:hAnsi="仿宋_GB2312" w:eastAsia="仿宋_GB2312" w:cs="仿宋_GB2312"/>
                <w:color w:val="auto"/>
                <w:sz w:val="20"/>
                <w:szCs w:val="20"/>
                <w:highlight w:val="none"/>
              </w:rPr>
              <w:t>效益  指标</w:t>
            </w:r>
          </w:p>
        </w:tc>
        <w:tc>
          <w:tcPr>
            <w:tcW w:w="20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规范使用资金，带动其他服务产业发展</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0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提升全区办学水平</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师生满意度</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bl>
    <w:p>
      <w:pPr>
        <w:spacing w:line="572" w:lineRule="exact"/>
        <w:jc w:val="left"/>
        <w:outlineLvl w:val="0"/>
        <w:rPr>
          <w:rFonts w:hint="default" w:ascii="仿宋_GB2312" w:hAnsi="仿宋_GB2312" w:eastAsia="黑体" w:cs="仿宋_GB2312"/>
          <w:color w:val="auto"/>
          <w:sz w:val="32"/>
          <w:szCs w:val="32"/>
          <w:highlight w:val="none"/>
          <w:lang w:val="en-US" w:eastAsia="zh-CN"/>
        </w:rPr>
      </w:pPr>
      <w:r>
        <w:rPr>
          <w:rFonts w:hint="eastAsia" w:ascii="仿宋_GB2312" w:hAnsi="仿宋_GB2312" w:eastAsia="黑体" w:cs="仿宋_GB2312"/>
          <w:color w:val="auto"/>
          <w:sz w:val="32"/>
          <w:szCs w:val="32"/>
          <w:highlight w:val="none"/>
          <w:lang w:val="en-US" w:eastAsia="zh-CN"/>
        </w:rPr>
        <w:t>附件3</w:t>
      </w:r>
    </w:p>
    <w:tbl>
      <w:tblPr>
        <w:tblStyle w:val="18"/>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040"/>
        <w:gridCol w:w="1523"/>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（中央峰景幼儿园扩建项目）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400</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400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400</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400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260"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完成中央峰景幼儿园扩建项目。积极推进学前教育事业发展，坚持学前教育公益性和普惠性，构建覆盖城乡、布局合理的学前教育公共服务体系，做到确保公益、促进均衡、提升内涵、激发活力，为每个适龄儿童提供条件基本均衡、入园机会均等的学前教育。</w:t>
            </w:r>
          </w:p>
        </w:tc>
        <w:tc>
          <w:tcPr>
            <w:tcW w:w="384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1"/>
                <w:szCs w:val="21"/>
                <w:highlight w:val="none"/>
                <w:lang w:eastAsia="zh-CN"/>
              </w:rPr>
              <w:t>完成中央峰景幼儿园扩建项目。积极推进学前教育事业发展，坚持学前教育公益性和普惠性，构建覆盖城乡、布局合理的学前教育公共服务体系，做到确保公益、促进均衡、提升内涵、激发活力，为每个适龄儿童提供条件基本均衡、入园机会均等的学前教育。</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改扩建幼儿园数量</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普惠性学前教育覆盖率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92%</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改扩建幼儿园验收合格率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设备采购质量合格率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项目开工率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中央峰景幼儿园扩建资金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400万元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400万元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社会效益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指标</w:t>
            </w:r>
          </w:p>
        </w:tc>
        <w:tc>
          <w:tcPr>
            <w:tcW w:w="20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构建覆盖城乡、布局合理的学前教育公共服务体系</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可持续影响指标</w:t>
            </w:r>
          </w:p>
        </w:tc>
        <w:tc>
          <w:tcPr>
            <w:tcW w:w="20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提升学前教育保教质量</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师生满意度</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95%</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spacing w:line="572" w:lineRule="exact"/>
        <w:jc w:val="left"/>
        <w:outlineLvl w:val="0"/>
        <w:rPr>
          <w:rFonts w:hint="default" w:ascii="仿宋_GB2312" w:hAnsi="仿宋_GB2312" w:eastAsia="黑体" w:cs="仿宋_GB2312"/>
          <w:color w:val="auto"/>
          <w:sz w:val="32"/>
          <w:szCs w:val="32"/>
          <w:highlight w:val="none"/>
          <w:lang w:val="en-US" w:eastAsia="zh-CN"/>
        </w:rPr>
      </w:pPr>
      <w:r>
        <w:rPr>
          <w:rFonts w:hint="eastAsia" w:ascii="仿宋_GB2312" w:hAnsi="仿宋_GB2312" w:eastAsia="黑体" w:cs="仿宋_GB2312"/>
          <w:color w:val="auto"/>
          <w:sz w:val="32"/>
          <w:szCs w:val="32"/>
          <w:highlight w:val="none"/>
          <w:lang w:val="en-US" w:eastAsia="zh-CN"/>
        </w:rPr>
        <w:t>附件4</w:t>
      </w:r>
    </w:p>
    <w:tbl>
      <w:tblPr>
        <w:tblStyle w:val="18"/>
        <w:tblpPr w:leftFromText="180" w:rightFromText="180" w:vertAnchor="text" w:horzAnchor="page" w:tblpX="1702" w:tblpY="109"/>
        <w:tblOverlap w:val="never"/>
        <w:tblW w:w="9156" w:type="dxa"/>
        <w:tblInd w:w="0" w:type="dxa"/>
        <w:tblLayout w:type="fixed"/>
        <w:tblCellMar>
          <w:top w:w="0" w:type="dxa"/>
          <w:left w:w="108" w:type="dxa"/>
          <w:bottom w:w="0" w:type="dxa"/>
          <w:right w:w="108" w:type="dxa"/>
        </w:tblCellMar>
      </w:tblPr>
      <w:tblGrid>
        <w:gridCol w:w="1074"/>
        <w:gridCol w:w="972"/>
        <w:gridCol w:w="1173"/>
        <w:gridCol w:w="1975"/>
        <w:gridCol w:w="1472"/>
        <w:gridCol w:w="2254"/>
        <w:gridCol w:w="236"/>
      </w:tblGrid>
      <w:tr>
        <w:tblPrEx>
          <w:tblCellMar>
            <w:top w:w="0" w:type="dxa"/>
            <w:left w:w="108" w:type="dxa"/>
            <w:bottom w:w="0" w:type="dxa"/>
            <w:right w:w="108" w:type="dxa"/>
          </w:tblCellMar>
        </w:tblPrEx>
        <w:trPr>
          <w:trHeight w:val="1417" w:hRule="atLeast"/>
        </w:trPr>
        <w:tc>
          <w:tcPr>
            <w:tcW w:w="8920"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（特级教师（校长）表彰奖励经费）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476" w:hRule="atLeast"/>
        </w:trPr>
        <w:tc>
          <w:tcPr>
            <w:tcW w:w="2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503" w:hRule="atLeast"/>
        </w:trPr>
        <w:tc>
          <w:tcPr>
            <w:tcW w:w="20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w:t>
            </w:r>
          </w:p>
        </w:tc>
      </w:tr>
      <w:tr>
        <w:tblPrEx>
          <w:tblCellMar>
            <w:top w:w="0" w:type="dxa"/>
            <w:left w:w="108" w:type="dxa"/>
            <w:bottom w:w="0" w:type="dxa"/>
            <w:right w:w="108" w:type="dxa"/>
          </w:tblCellMar>
        </w:tblPrEx>
        <w:trPr>
          <w:gridAfter w:val="1"/>
          <w:wAfter w:w="236" w:type="dxa"/>
          <w:trHeight w:val="897" w:hRule="atLeast"/>
        </w:trPr>
        <w:tc>
          <w:tcPr>
            <w:tcW w:w="2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w:t>
            </w:r>
          </w:p>
        </w:tc>
      </w:tr>
      <w:tr>
        <w:tblPrEx>
          <w:tblCellMar>
            <w:top w:w="0" w:type="dxa"/>
            <w:left w:w="108" w:type="dxa"/>
            <w:bottom w:w="0" w:type="dxa"/>
            <w:right w:w="108" w:type="dxa"/>
          </w:tblCellMar>
        </w:tblPrEx>
        <w:trPr>
          <w:gridAfter w:val="1"/>
          <w:wAfter w:w="236" w:type="dxa"/>
          <w:trHeight w:val="503" w:hRule="atLeast"/>
        </w:trPr>
        <w:tc>
          <w:tcPr>
            <w:tcW w:w="2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476" w:hRule="atLeast"/>
        </w:trPr>
        <w:tc>
          <w:tcPr>
            <w:tcW w:w="10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1485"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120"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大力弘扬尊师重教的良好风尚，表彰在教育教学中做出特殊贡献的教师（校长），进一步激励引导广大教师（校长）投身教育、奉献教育。</w:t>
            </w:r>
          </w:p>
        </w:tc>
        <w:tc>
          <w:tcPr>
            <w:tcW w:w="3726"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1"/>
                <w:szCs w:val="21"/>
                <w:highlight w:val="none"/>
                <w:lang w:eastAsia="zh-CN"/>
              </w:rPr>
              <w:t>表彰在教育教学中做出特殊贡献的教师（校长）1人，进一步激励引导广大教师（校长）投身教育、奉献教育。</w:t>
            </w:r>
          </w:p>
        </w:tc>
      </w:tr>
      <w:tr>
        <w:tblPrEx>
          <w:tblCellMar>
            <w:top w:w="0" w:type="dxa"/>
            <w:left w:w="108" w:type="dxa"/>
            <w:bottom w:w="0" w:type="dxa"/>
            <w:right w:w="108" w:type="dxa"/>
          </w:tblCellMar>
        </w:tblPrEx>
        <w:trPr>
          <w:gridAfter w:val="1"/>
          <w:wAfter w:w="236" w:type="dxa"/>
          <w:trHeight w:val="967" w:hRule="atLeast"/>
        </w:trPr>
        <w:tc>
          <w:tcPr>
            <w:tcW w:w="107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732"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表彰人数</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1人</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1人</w:t>
            </w:r>
          </w:p>
        </w:tc>
      </w:tr>
      <w:tr>
        <w:tblPrEx>
          <w:tblCellMar>
            <w:top w:w="0" w:type="dxa"/>
            <w:left w:w="108" w:type="dxa"/>
            <w:bottom w:w="0" w:type="dxa"/>
            <w:right w:w="108" w:type="dxa"/>
          </w:tblCellMar>
        </w:tblPrEx>
        <w:trPr>
          <w:gridAfter w:val="1"/>
          <w:wAfter w:w="236" w:type="dxa"/>
          <w:trHeight w:val="1123"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7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激励引导广大教师（校长）投身教育、奉献教育</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有效</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522"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7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表彰影响时效</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长期</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长期</w:t>
            </w:r>
          </w:p>
        </w:tc>
      </w:tr>
      <w:tr>
        <w:tblPrEx>
          <w:tblCellMar>
            <w:top w:w="0" w:type="dxa"/>
            <w:left w:w="108" w:type="dxa"/>
            <w:bottom w:w="0" w:type="dxa"/>
            <w:right w:w="108" w:type="dxa"/>
          </w:tblCellMar>
        </w:tblPrEx>
        <w:trPr>
          <w:gridAfter w:val="1"/>
          <w:wAfter w:w="236" w:type="dxa"/>
          <w:trHeight w:val="884"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7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表彰奖励经费标准</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1万元</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1万元</w:t>
            </w:r>
          </w:p>
        </w:tc>
      </w:tr>
      <w:tr>
        <w:tblPrEx>
          <w:tblCellMar>
            <w:top w:w="0" w:type="dxa"/>
            <w:left w:w="108" w:type="dxa"/>
            <w:bottom w:w="0" w:type="dxa"/>
            <w:right w:w="108" w:type="dxa"/>
          </w:tblCellMar>
        </w:tblPrEx>
        <w:trPr>
          <w:gridAfter w:val="1"/>
          <w:wAfter w:w="236" w:type="dxa"/>
          <w:trHeight w:val="957"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社会效益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指标</w:t>
            </w:r>
          </w:p>
        </w:tc>
        <w:tc>
          <w:tcPr>
            <w:tcW w:w="197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弘扬尊师重教的良好风尚</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832"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17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教师</w:t>
            </w:r>
            <w:r>
              <w:rPr>
                <w:rFonts w:hint="default" w:ascii="仿宋_GB2312" w:hAnsi="仿宋_GB2312" w:eastAsia="仿宋_GB2312" w:cs="仿宋_GB2312"/>
                <w:color w:val="auto"/>
                <w:sz w:val="20"/>
                <w:szCs w:val="20"/>
                <w:highlight w:val="none"/>
              </w:rPr>
              <w:t>满意度</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848" w:hRule="atLeast"/>
        </w:trPr>
        <w:tc>
          <w:tcPr>
            <w:tcW w:w="107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17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bl>
    <w:p>
      <w:pPr>
        <w:spacing w:line="572" w:lineRule="exact"/>
        <w:jc w:val="left"/>
        <w:outlineLvl w:val="0"/>
        <w:rPr>
          <w:rFonts w:hint="default" w:ascii="仿宋_GB2312" w:hAnsi="仿宋_GB2312" w:eastAsia="黑体" w:cs="仿宋_GB2312"/>
          <w:color w:val="auto"/>
          <w:sz w:val="32"/>
          <w:szCs w:val="32"/>
          <w:highlight w:val="none"/>
          <w:lang w:val="en-US" w:eastAsia="zh-CN"/>
        </w:rPr>
      </w:pPr>
      <w:r>
        <w:rPr>
          <w:rFonts w:hint="eastAsia" w:ascii="仿宋_GB2312" w:hAnsi="仿宋_GB2312" w:eastAsia="黑体" w:cs="仿宋_GB2312"/>
          <w:color w:val="auto"/>
          <w:sz w:val="32"/>
          <w:szCs w:val="32"/>
          <w:highlight w:val="none"/>
          <w:lang w:val="en-US" w:eastAsia="zh-CN"/>
        </w:rPr>
        <w:t>附件5</w:t>
      </w:r>
    </w:p>
    <w:tbl>
      <w:tblPr>
        <w:tblStyle w:val="18"/>
        <w:tblpPr w:leftFromText="180" w:rightFromText="180" w:vertAnchor="text" w:horzAnchor="page" w:tblpX="1510" w:tblpY="109"/>
        <w:tblOverlap w:val="never"/>
        <w:tblW w:w="8839" w:type="dxa"/>
        <w:tblInd w:w="0" w:type="dxa"/>
        <w:tblLayout w:type="fixed"/>
        <w:tblCellMar>
          <w:top w:w="0" w:type="dxa"/>
          <w:left w:w="108" w:type="dxa"/>
          <w:bottom w:w="0" w:type="dxa"/>
          <w:right w:w="108" w:type="dxa"/>
        </w:tblCellMar>
      </w:tblPr>
      <w:tblGrid>
        <w:gridCol w:w="848"/>
        <w:gridCol w:w="878"/>
        <w:gridCol w:w="1229"/>
        <w:gridCol w:w="1575"/>
        <w:gridCol w:w="1944"/>
        <w:gridCol w:w="2129"/>
        <w:gridCol w:w="236"/>
      </w:tblGrid>
      <w:tr>
        <w:tblPrEx>
          <w:tblCellMar>
            <w:top w:w="0" w:type="dxa"/>
            <w:left w:w="108" w:type="dxa"/>
            <w:bottom w:w="0" w:type="dxa"/>
            <w:right w:w="108" w:type="dxa"/>
          </w:tblCellMar>
        </w:tblPrEx>
        <w:trPr>
          <w:trHeight w:val="629" w:hRule="atLeast"/>
        </w:trPr>
        <w:tc>
          <w:tcPr>
            <w:tcW w:w="8603"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28"/>
                <w:szCs w:val="28"/>
                <w:highlight w:val="none"/>
              </w:rPr>
              <w:t>2021年部门预算项目绩效目标自评</w:t>
            </w:r>
            <w:r>
              <w:rPr>
                <w:rFonts w:hint="eastAsia" w:ascii="宋体" w:hAnsi="宋体" w:cs="宋体"/>
                <w:b/>
                <w:color w:val="auto"/>
                <w:sz w:val="28"/>
                <w:szCs w:val="28"/>
                <w:highlight w:val="none"/>
                <w:lang w:eastAsia="zh-CN"/>
              </w:rPr>
              <w:t>（家庭经济困难学生生活补助）</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655" w:hRule="atLeast"/>
        </w:trPr>
        <w:tc>
          <w:tcPr>
            <w:tcW w:w="1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2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332" w:hRule="atLeast"/>
        </w:trPr>
        <w:tc>
          <w:tcPr>
            <w:tcW w:w="17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366.45625</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366.45625</w:t>
            </w:r>
          </w:p>
        </w:tc>
      </w:tr>
      <w:tr>
        <w:tblPrEx>
          <w:tblCellMar>
            <w:top w:w="0" w:type="dxa"/>
            <w:left w:w="108" w:type="dxa"/>
            <w:bottom w:w="0" w:type="dxa"/>
            <w:right w:w="108" w:type="dxa"/>
          </w:tblCellMar>
        </w:tblPrEx>
        <w:trPr>
          <w:gridAfter w:val="1"/>
          <w:wAfter w:w="236" w:type="dxa"/>
          <w:trHeight w:val="655" w:hRule="atLeast"/>
        </w:trPr>
        <w:tc>
          <w:tcPr>
            <w:tcW w:w="17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366.45625</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366.45625</w:t>
            </w:r>
          </w:p>
        </w:tc>
      </w:tr>
      <w:tr>
        <w:tblPrEx>
          <w:tblCellMar>
            <w:top w:w="0" w:type="dxa"/>
            <w:left w:w="108" w:type="dxa"/>
            <w:bottom w:w="0" w:type="dxa"/>
            <w:right w:w="108" w:type="dxa"/>
          </w:tblCellMar>
        </w:tblPrEx>
        <w:trPr>
          <w:gridAfter w:val="1"/>
          <w:wAfter w:w="236" w:type="dxa"/>
          <w:trHeight w:val="332" w:hRule="atLeast"/>
        </w:trPr>
        <w:tc>
          <w:tcPr>
            <w:tcW w:w="17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32"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3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4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1946"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3682"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1"/>
                <w:szCs w:val="21"/>
                <w:highlight w:val="none"/>
                <w:lang w:eastAsia="zh-CN"/>
              </w:rPr>
            </w:pPr>
            <w:r>
              <w:rPr>
                <w:rFonts w:hint="default" w:ascii="宋体" w:hAnsi="宋体" w:cs="宋体"/>
                <w:color w:val="auto"/>
                <w:sz w:val="20"/>
                <w:szCs w:val="20"/>
                <w:highlight w:val="none"/>
              </w:rPr>
              <w:t>1.严肃财经纪律，落实好资助政策，保证资金安全，及时下达资金，督促学校按时落实资助资金；2.加大宣传力度，落实好城乡义务教育阶段家庭经济困难学生生活补助资助政策；3.提高贫困家庭经济收入，助力家庭脱贫。</w:t>
            </w:r>
          </w:p>
        </w:tc>
        <w:tc>
          <w:tcPr>
            <w:tcW w:w="4073"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color w:val="auto"/>
                <w:sz w:val="18"/>
                <w:szCs w:val="21"/>
                <w:highlight w:val="none"/>
              </w:rPr>
            </w:pPr>
            <w:r>
              <w:rPr>
                <w:rFonts w:hint="eastAsia"/>
                <w:color w:val="auto"/>
                <w:sz w:val="18"/>
                <w:szCs w:val="21"/>
                <w:highlight w:val="none"/>
              </w:rPr>
              <w:t>1.严肃财经纪律，落实好资助政策，保证资金安全，及时下达资金，督促学校按时落实资助资金；</w:t>
            </w:r>
          </w:p>
          <w:p>
            <w:pPr>
              <w:keepNext w:val="0"/>
              <w:keepLines w:val="0"/>
              <w:widowControl/>
              <w:suppressLineNumbers w:val="0"/>
              <w:spacing w:before="0" w:beforeAutospacing="0" w:after="0" w:afterAutospacing="0" w:line="320" w:lineRule="exact"/>
              <w:ind w:left="0" w:right="0"/>
              <w:jc w:val="left"/>
              <w:textAlignment w:val="top"/>
              <w:rPr>
                <w:rFonts w:hint="eastAsia"/>
                <w:color w:val="auto"/>
                <w:sz w:val="18"/>
                <w:szCs w:val="21"/>
                <w:highlight w:val="none"/>
              </w:rPr>
            </w:pPr>
            <w:r>
              <w:rPr>
                <w:rFonts w:hint="eastAsia"/>
                <w:color w:val="auto"/>
                <w:sz w:val="18"/>
                <w:szCs w:val="21"/>
                <w:highlight w:val="none"/>
              </w:rPr>
              <w:t>2.加大宣传力度，落实好城乡义务教育阶段家庭经济困难学生生活补助资助政策；</w:t>
            </w:r>
          </w:p>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1"/>
                <w:szCs w:val="21"/>
                <w:highlight w:val="none"/>
                <w:lang w:eastAsia="zh-CN"/>
              </w:rPr>
            </w:pPr>
            <w:r>
              <w:rPr>
                <w:rFonts w:hint="eastAsia"/>
                <w:color w:val="auto"/>
                <w:sz w:val="18"/>
                <w:szCs w:val="21"/>
                <w:highlight w:val="none"/>
              </w:rPr>
              <w:t>3.提高贫困家庭经济收入，助力家庭脱贫。</w:t>
            </w:r>
          </w:p>
        </w:tc>
      </w:tr>
      <w:tr>
        <w:tblPrEx>
          <w:tblCellMar>
            <w:top w:w="0" w:type="dxa"/>
            <w:left w:w="108" w:type="dxa"/>
            <w:bottom w:w="0" w:type="dxa"/>
            <w:right w:w="108" w:type="dxa"/>
          </w:tblCellMar>
        </w:tblPrEx>
        <w:trPr>
          <w:gridAfter w:val="1"/>
          <w:wAfter w:w="236" w:type="dxa"/>
          <w:trHeight w:val="655" w:hRule="atLeast"/>
        </w:trPr>
        <w:tc>
          <w:tcPr>
            <w:tcW w:w="84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8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2"/>
                <w:szCs w:val="22"/>
                <w:highlight w:val="none"/>
              </w:rPr>
            </w:pPr>
            <w:r>
              <w:rPr>
                <w:rFonts w:hint="eastAsia" w:ascii="仿宋_GB2312" w:hAnsi="仿宋_GB2312" w:eastAsia="仿宋_GB2312" w:cs="仿宋_GB2312"/>
                <w:color w:val="auto"/>
                <w:kern w:val="0"/>
                <w:sz w:val="22"/>
                <w:szCs w:val="22"/>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指标</w:t>
            </w:r>
          </w:p>
        </w:tc>
        <w:tc>
          <w:tcPr>
            <w:tcW w:w="122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义务教育阶段寄宿生人数</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6542</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3346</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2"/>
                <w:szCs w:val="22"/>
                <w:highlight w:val="none"/>
              </w:rPr>
            </w:pPr>
          </w:p>
        </w:tc>
        <w:tc>
          <w:tcPr>
            <w:tcW w:w="122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义务教育阶段非寄宿生人数</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1719</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536</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建档立卡脱贫困户子女受助率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color w:val="auto"/>
                <w:highlight w:val="none"/>
              </w:rPr>
              <w:t>100%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color w:val="auto"/>
                <w:highlight w:val="none"/>
              </w:rPr>
              <w:t>100%</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申请程序资金管理符合规定</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资助范围和标准符合规定</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332"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春季发放时间</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5月份</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5月份</w:t>
            </w:r>
          </w:p>
        </w:tc>
      </w:tr>
      <w:tr>
        <w:tblPrEx>
          <w:tblCellMar>
            <w:top w:w="0" w:type="dxa"/>
            <w:left w:w="108" w:type="dxa"/>
            <w:bottom w:w="0" w:type="dxa"/>
            <w:right w:w="108" w:type="dxa"/>
          </w:tblCellMar>
        </w:tblPrEx>
        <w:trPr>
          <w:gridAfter w:val="1"/>
          <w:wAfter w:w="236" w:type="dxa"/>
          <w:trHeight w:val="332"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秋季发放时间</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11月份</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11月份</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小学补助标准</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寄宿生：1000元/年</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非寄宿生：500元/年</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寄宿生：1000元/年</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非寄宿生：500元/年</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初中补助标准</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寄宿生：1250元/年</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非寄宿生：625元/年</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寄宿生：1250元/年</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非寄宿生：625元/年</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2"/>
                <w:szCs w:val="22"/>
                <w:highlight w:val="none"/>
              </w:rPr>
            </w:pPr>
            <w:r>
              <w:rPr>
                <w:rFonts w:hint="eastAsia" w:ascii="仿宋_GB2312" w:hAnsi="仿宋_GB2312" w:eastAsia="仿宋_GB2312" w:cs="仿宋_GB2312"/>
                <w:color w:val="auto"/>
                <w:kern w:val="0"/>
                <w:sz w:val="22"/>
                <w:szCs w:val="22"/>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指标</w:t>
            </w:r>
          </w:p>
        </w:tc>
        <w:tc>
          <w:tcPr>
            <w:tcW w:w="1229"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社会效益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指标</w:t>
            </w:r>
          </w:p>
        </w:tc>
        <w:tc>
          <w:tcPr>
            <w:tcW w:w="157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13"/>
                <w:szCs w:val="13"/>
                <w:highlight w:val="none"/>
              </w:rPr>
              <w:t>建档立卡脱贫困户子女因贫辍学和失学比例</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0%</w:t>
            </w:r>
          </w:p>
        </w:tc>
      </w:tr>
      <w:tr>
        <w:tblPrEx>
          <w:tblCellMar>
            <w:top w:w="0" w:type="dxa"/>
            <w:left w:w="108" w:type="dxa"/>
            <w:bottom w:w="0" w:type="dxa"/>
            <w:right w:w="108" w:type="dxa"/>
          </w:tblCellMar>
        </w:tblPrEx>
        <w:trPr>
          <w:gridAfter w:val="1"/>
          <w:wAfter w:w="236" w:type="dxa"/>
          <w:trHeight w:val="420"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2"/>
                <w:szCs w:val="22"/>
                <w:highlight w:val="none"/>
              </w:rPr>
            </w:pPr>
          </w:p>
        </w:tc>
        <w:tc>
          <w:tcPr>
            <w:tcW w:w="1229"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p>
        </w:tc>
        <w:tc>
          <w:tcPr>
            <w:tcW w:w="157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政策知晓率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367"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2"/>
                <w:szCs w:val="22"/>
                <w:highlight w:val="none"/>
              </w:rPr>
            </w:pPr>
            <w:r>
              <w:rPr>
                <w:rFonts w:hint="eastAsia" w:ascii="仿宋_GB2312" w:hAnsi="仿宋_GB2312" w:eastAsia="仿宋_GB2312" w:cs="仿宋_GB2312"/>
                <w:color w:val="auto"/>
                <w:kern w:val="0"/>
                <w:sz w:val="22"/>
                <w:szCs w:val="22"/>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度指标</w:t>
            </w:r>
          </w:p>
        </w:tc>
        <w:tc>
          <w:tcPr>
            <w:tcW w:w="122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教师</w:t>
            </w:r>
            <w:r>
              <w:rPr>
                <w:rFonts w:hint="default" w:ascii="仿宋_GB2312" w:hAnsi="仿宋_GB2312" w:eastAsia="仿宋_GB2312" w:cs="仿宋_GB2312"/>
                <w:color w:val="auto"/>
                <w:sz w:val="20"/>
                <w:szCs w:val="20"/>
                <w:highlight w:val="none"/>
              </w:rPr>
              <w:t>满意度</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448" w:hRule="atLeast"/>
        </w:trPr>
        <w:tc>
          <w:tcPr>
            <w:tcW w:w="848"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2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1"/>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1"/>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1"/>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政拨款收入支出决算总表</w:t>
      </w:r>
      <w:bookmarkEnd w:id="57"/>
    </w:p>
    <w:p>
      <w:pPr>
        <w:pStyle w:val="4"/>
        <w:rPr>
          <w:rStyle w:val="31"/>
          <w:rFonts w:ascii="仿宋" w:hAnsi="仿宋" w:eastAsia="仿宋"/>
          <w:b w:val="0"/>
          <w:bCs w:val="0"/>
          <w:color w:val="auto"/>
          <w:highlight w:val="none"/>
        </w:rPr>
      </w:pPr>
      <w:bookmarkStart w:id="58" w:name="_Toc15396623"/>
      <w:r>
        <w:rPr>
          <w:rStyle w:val="3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1"/>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1"/>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1"/>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府性基金预算财政拨款“三公”经费支出决算表</w:t>
      </w:r>
      <w:bookmarkEnd w:id="65"/>
    </w:p>
    <w:p>
      <w:pPr>
        <w:pStyle w:val="4"/>
        <w:rPr>
          <w:rStyle w:val="31"/>
          <w:rFonts w:ascii="仿宋" w:hAnsi="仿宋" w:eastAsia="仿宋"/>
          <w:b w:val="0"/>
          <w:bCs w:val="0"/>
          <w:color w:val="auto"/>
          <w:highlight w:val="none"/>
        </w:rPr>
      </w:pPr>
      <w:bookmarkStart w:id="66" w:name="_Toc15396631"/>
      <w:r>
        <w:rPr>
          <w:rStyle w:val="31"/>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1"/>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1"/>
          <w:rFonts w:hint="eastAsia" w:ascii="仿宋" w:hAnsi="仿宋" w:eastAsia="仿宋"/>
          <w:b w:val="0"/>
          <w:bCs w:val="0"/>
          <w:color w:val="auto"/>
          <w:highlight w:val="none"/>
        </w:rPr>
        <w:t>十四、国有资本经营预算财政拨款支出决算表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佳" w:date="2022-09-27T14:40:55Z" w:initials="佳">
    <w:p w14:paraId="15281C3E">
      <w:pPr>
        <w:pStyle w:val="7"/>
        <w:rPr>
          <w:rFonts w:hint="default" w:eastAsia="仿宋_GB2312"/>
          <w:lang w:val="en-US" w:eastAsia="zh-CN"/>
        </w:rPr>
      </w:pPr>
      <w:r>
        <w:rPr>
          <w:rFonts w:hint="eastAsia" w:ascii="仿宋_GB2312" w:hAnsi="仿宋_GB2312" w:eastAsia="仿宋_GB2312" w:cs="仿宋_GB2312"/>
          <w:sz w:val="32"/>
          <w:szCs w:val="32"/>
          <w:highlight w:val="yellow"/>
        </w:rPr>
        <w:t>根据预算绩效管理要求，本单位在2021年度预算编制阶段，</w:t>
      </w:r>
      <w:r>
        <w:rPr>
          <w:rFonts w:hint="eastAsia" w:ascii="仿宋_GB2312" w:hAnsi="仿宋_GB2312" w:eastAsia="仿宋_GB2312" w:cs="仿宋_GB2312"/>
          <w:sz w:val="32"/>
          <w:szCs w:val="32"/>
          <w:highlight w:val="yellow"/>
          <w:lang w:val="en-US" w:eastAsia="zh-CN"/>
        </w:rPr>
        <w:t>不涉及事前评估项目，对   几个（）重点基本支出）编制了绩效目标，在</w:t>
      </w:r>
      <w:r>
        <w:rPr>
          <w:rFonts w:hint="eastAsia" w:ascii="仿宋_GB2312" w:hAnsi="仿宋_GB2312" w:eastAsia="仿宋_GB2312" w:cs="仿宋_GB2312"/>
          <w:sz w:val="32"/>
          <w:szCs w:val="32"/>
          <w:highlight w:val="yellow"/>
        </w:rPr>
        <w:t>预算执行过程中，</w:t>
      </w:r>
      <w:r>
        <w:rPr>
          <w:rFonts w:hint="eastAsia" w:ascii="仿宋_GB2312" w:hAnsi="仿宋_GB2312" w:eastAsia="仿宋_GB2312" w:cs="仿宋_GB2312"/>
          <w:sz w:val="32"/>
          <w:szCs w:val="32"/>
          <w:highlight w:val="yellow"/>
          <w:lang w:val="en-US" w:eastAsia="zh-CN"/>
        </w:rPr>
        <w:t>对  开展了绩效自评，</w:t>
      </w:r>
      <w:r>
        <w:rPr>
          <w:rFonts w:hint="eastAsia" w:ascii="仿宋_GB2312" w:hAnsi="仿宋_GB2312" w:eastAsia="仿宋_GB2312" w:cs="仿宋_GB2312"/>
          <w:sz w:val="32"/>
          <w:szCs w:val="32"/>
          <w:highlight w:val="yellow"/>
        </w:rPr>
        <w:t>2021年部门预算项目绩效目标自评表见主管单位附件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281C3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3"/>
          <w:jc w:val="center"/>
        </w:pPr>
        <w:r>
          <w:fldChar w:fldCharType="begin"/>
        </w:r>
        <w:r>
          <w:instrText xml:space="preserve">PAGE   \* MERGEFORMAT</w:instrText>
        </w:r>
        <w:r>
          <w:fldChar w:fldCharType="separate"/>
        </w:r>
        <w:r>
          <w:rPr>
            <w:lang w:val="zh-CN"/>
          </w:rPr>
          <w:t>12</w:t>
        </w:r>
        <w: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7CA08"/>
    <w:multiLevelType w:val="singleLevel"/>
    <w:tmpl w:val="A107CA08"/>
    <w:lvl w:ilvl="0" w:tentative="0">
      <w:start w:val="1"/>
      <w:numFmt w:val="decimal"/>
      <w:lvlText w:val="%1."/>
      <w:lvlJc w:val="left"/>
      <w:pPr>
        <w:tabs>
          <w:tab w:val="left" w:pos="312"/>
        </w:tabs>
      </w:pPr>
      <w:rPr>
        <w:rFonts w:hint="default"/>
        <w:sz w:val="32"/>
        <w:szCs w:val="32"/>
      </w:rPr>
    </w:lvl>
  </w:abstractNum>
  <w:abstractNum w:abstractNumId="1">
    <w:nsid w:val="B8ED3588"/>
    <w:multiLevelType w:val="singleLevel"/>
    <w:tmpl w:val="B8ED3588"/>
    <w:lvl w:ilvl="0" w:tentative="0">
      <w:start w:val="3"/>
      <w:numFmt w:val="decimal"/>
      <w:lvlText w:val="%1."/>
      <w:lvlJc w:val="left"/>
      <w:pPr>
        <w:tabs>
          <w:tab w:val="left" w:pos="312"/>
        </w:tabs>
      </w:p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4">
    <w:nsid w:val="EAB3A681"/>
    <w:multiLevelType w:val="singleLevel"/>
    <w:tmpl w:val="EAB3A681"/>
    <w:lvl w:ilvl="0" w:tentative="0">
      <w:start w:val="8"/>
      <w:numFmt w:val="decimal"/>
      <w:lvlText w:val="%1."/>
      <w:lvlJc w:val="left"/>
      <w:pPr>
        <w:tabs>
          <w:tab w:val="left" w:pos="312"/>
        </w:tabs>
      </w:p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6492B4FE"/>
    <w:multiLevelType w:val="singleLevel"/>
    <w:tmpl w:val="6492B4FE"/>
    <w:lvl w:ilvl="0" w:tentative="0">
      <w:start w:val="1"/>
      <w:numFmt w:val="chineseCounting"/>
      <w:suff w:val="nothing"/>
      <w:lvlText w:val="%1、"/>
      <w:lvlJc w:val="left"/>
      <w:rPr>
        <w:rFonts w:hint="eastAsia"/>
      </w:rPr>
    </w:lvl>
  </w:abstractNum>
  <w:num w:numId="1">
    <w:abstractNumId w:val="6"/>
  </w:num>
  <w:num w:numId="2">
    <w:abstractNumId w:val="5"/>
  </w:num>
  <w:num w:numId="3">
    <w:abstractNumId w:val="0"/>
  </w:num>
  <w:num w:numId="4">
    <w:abstractNumId w:val="1"/>
  </w:num>
  <w:num w:numId="5">
    <w:abstractNumId w:val="2"/>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佳">
    <w15:presenceInfo w15:providerId="None" w15:userId="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EC71F0D"/>
    <w:rsid w:val="10C055FF"/>
    <w:rsid w:val="112C7A85"/>
    <w:rsid w:val="118107EC"/>
    <w:rsid w:val="11DD6519"/>
    <w:rsid w:val="122E5DFF"/>
    <w:rsid w:val="12910332"/>
    <w:rsid w:val="153B1A13"/>
    <w:rsid w:val="157E27B0"/>
    <w:rsid w:val="16BB723D"/>
    <w:rsid w:val="16C034D1"/>
    <w:rsid w:val="177D300F"/>
    <w:rsid w:val="18015F3F"/>
    <w:rsid w:val="1BE8440E"/>
    <w:rsid w:val="1D155CEE"/>
    <w:rsid w:val="20F57F95"/>
    <w:rsid w:val="23066A21"/>
    <w:rsid w:val="240371BF"/>
    <w:rsid w:val="24335407"/>
    <w:rsid w:val="24D54B4E"/>
    <w:rsid w:val="25C741E6"/>
    <w:rsid w:val="25F7199C"/>
    <w:rsid w:val="2753659C"/>
    <w:rsid w:val="27842671"/>
    <w:rsid w:val="29FD04D3"/>
    <w:rsid w:val="2ABE7A3E"/>
    <w:rsid w:val="2C0D4D5A"/>
    <w:rsid w:val="2E114AFB"/>
    <w:rsid w:val="2EFA178C"/>
    <w:rsid w:val="30B46D73"/>
    <w:rsid w:val="319F7F4E"/>
    <w:rsid w:val="32E05DEF"/>
    <w:rsid w:val="353C0D20"/>
    <w:rsid w:val="39AE70AB"/>
    <w:rsid w:val="3C0C0783"/>
    <w:rsid w:val="3F795B0E"/>
    <w:rsid w:val="3F9F3A96"/>
    <w:rsid w:val="493C27E9"/>
    <w:rsid w:val="496F39ED"/>
    <w:rsid w:val="49FF41D3"/>
    <w:rsid w:val="4A185DC8"/>
    <w:rsid w:val="4AB8212E"/>
    <w:rsid w:val="4BE068DB"/>
    <w:rsid w:val="4BF6002B"/>
    <w:rsid w:val="4E361621"/>
    <w:rsid w:val="4ECE2238"/>
    <w:rsid w:val="4F86405D"/>
    <w:rsid w:val="4FD61684"/>
    <w:rsid w:val="503645ED"/>
    <w:rsid w:val="508F3649"/>
    <w:rsid w:val="51DB4B86"/>
    <w:rsid w:val="542B2C9A"/>
    <w:rsid w:val="55333C3E"/>
    <w:rsid w:val="58737E60"/>
    <w:rsid w:val="5EE23BDB"/>
    <w:rsid w:val="5FF5706E"/>
    <w:rsid w:val="60557755"/>
    <w:rsid w:val="64A80084"/>
    <w:rsid w:val="64CA39A1"/>
    <w:rsid w:val="65B126BB"/>
    <w:rsid w:val="680A10FD"/>
    <w:rsid w:val="6A191833"/>
    <w:rsid w:val="6C4A05C8"/>
    <w:rsid w:val="6C6E6699"/>
    <w:rsid w:val="6EDA0CDC"/>
    <w:rsid w:val="71C32FA0"/>
    <w:rsid w:val="72734D90"/>
    <w:rsid w:val="727D7081"/>
    <w:rsid w:val="72AE3C93"/>
    <w:rsid w:val="72E456B5"/>
    <w:rsid w:val="74E366CA"/>
    <w:rsid w:val="79E7B28D"/>
    <w:rsid w:val="7A16365E"/>
    <w:rsid w:val="7BFA24EA"/>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next w:val="1"/>
    <w:link w:val="38"/>
    <w:qFormat/>
    <w:uiPriority w:val="99"/>
    <w:pPr>
      <w:spacing w:beforeLines="30"/>
    </w:pPr>
    <w:rPr>
      <w:rFonts w:ascii="仿宋_GB2312" w:eastAsia="仿宋_GB2312"/>
      <w:kern w:val="0"/>
      <w:sz w:val="30"/>
    </w:rPr>
  </w:style>
  <w:style w:type="paragraph" w:styleId="6">
    <w:name w:val="Normal Indent"/>
    <w:basedOn w:val="1"/>
    <w:qFormat/>
    <w:uiPriority w:val="99"/>
    <w:pPr>
      <w:ind w:firstLine="420" w:firstLineChars="200"/>
    </w:pPr>
  </w:style>
  <w:style w:type="paragraph" w:styleId="7">
    <w:name w:val="annotation text"/>
    <w:basedOn w:val="1"/>
    <w:semiHidden/>
    <w:unhideWhenUsed/>
    <w:qFormat/>
    <w:uiPriority w:val="99"/>
    <w:pPr>
      <w:jc w:val="left"/>
    </w:pPr>
  </w:style>
  <w:style w:type="paragraph" w:styleId="8">
    <w:name w:val="Salutation"/>
    <w:basedOn w:val="1"/>
    <w:next w:val="1"/>
    <w:qFormat/>
    <w:uiPriority w:val="99"/>
  </w:style>
  <w:style w:type="paragraph" w:styleId="9">
    <w:name w:val="Body Text Indent"/>
    <w:basedOn w:val="1"/>
    <w:next w:val="10"/>
    <w:link w:val="39"/>
    <w:qFormat/>
    <w:uiPriority w:val="99"/>
    <w:pPr>
      <w:ind w:left="420" w:leftChars="200"/>
    </w:pPr>
  </w:style>
  <w:style w:type="paragraph" w:styleId="10">
    <w:name w:val="Body Text First Indent 2"/>
    <w:basedOn w:val="9"/>
    <w:next w:val="1"/>
    <w:link w:val="40"/>
    <w:qFormat/>
    <w:uiPriority w:val="99"/>
    <w:pPr>
      <w:ind w:firstLine="420" w:firstLineChars="200"/>
    </w:pPr>
  </w:style>
  <w:style w:type="paragraph" w:styleId="11">
    <w:name w:val="toc 3"/>
    <w:basedOn w:val="1"/>
    <w:next w:val="1"/>
    <w:unhideWhenUsed/>
    <w:qFormat/>
    <w:uiPriority w:val="39"/>
    <w:pPr>
      <w:tabs>
        <w:tab w:val="right" w:leader="dot" w:pos="8296"/>
      </w:tabs>
      <w:ind w:left="840" w:leftChars="400"/>
    </w:pPr>
  </w:style>
  <w:style w:type="paragraph" w:styleId="12">
    <w:name w:val="Balloon Text"/>
    <w:basedOn w:val="1"/>
    <w:link w:val="33"/>
    <w:semiHidden/>
    <w:unhideWhenUsed/>
    <w:qFormat/>
    <w:uiPriority w:val="99"/>
    <w:rPr>
      <w:sz w:val="18"/>
      <w:szCs w:val="18"/>
    </w:rPr>
  </w:style>
  <w:style w:type="paragraph" w:styleId="13">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semiHidden/>
    <w:unhideWhenUsed/>
    <w:qFormat/>
    <w:uiPriority w:val="99"/>
    <w:rPr>
      <w:sz w:val="24"/>
    </w:rPr>
  </w:style>
  <w:style w:type="character" w:styleId="20">
    <w:name w:val="Strong"/>
    <w:basedOn w:val="19"/>
    <w:qFormat/>
    <w:uiPriority w:val="99"/>
    <w:rPr>
      <w:rFonts w:hint="default" w:ascii="Times New Roman" w:hAnsi="Times New Roman" w:cs="Times New Roman"/>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Header Char"/>
    <w:basedOn w:val="19"/>
    <w:semiHidden/>
    <w:qFormat/>
    <w:uiPriority w:val="99"/>
    <w:rPr>
      <w:rFonts w:ascii="Times New Roman" w:hAnsi="Times New Roman"/>
      <w:sz w:val="18"/>
      <w:szCs w:val="18"/>
    </w:rPr>
  </w:style>
  <w:style w:type="character" w:customStyle="1" w:styleId="23">
    <w:name w:val="页眉 Char"/>
    <w:link w:val="14"/>
    <w:semiHidden/>
    <w:qFormat/>
    <w:locked/>
    <w:uiPriority w:val="99"/>
    <w:rPr>
      <w:sz w:val="18"/>
    </w:rPr>
  </w:style>
  <w:style w:type="character" w:customStyle="1" w:styleId="24">
    <w:name w:val="Footer Char"/>
    <w:basedOn w:val="19"/>
    <w:semiHidden/>
    <w:qFormat/>
    <w:uiPriority w:val="99"/>
    <w:rPr>
      <w:rFonts w:ascii="Times New Roman" w:hAnsi="Times New Roman"/>
      <w:sz w:val="18"/>
      <w:szCs w:val="18"/>
    </w:rPr>
  </w:style>
  <w:style w:type="character" w:customStyle="1" w:styleId="25">
    <w:name w:val="页脚 Char"/>
    <w:link w:val="13"/>
    <w:qFormat/>
    <w:locked/>
    <w:uiPriority w:val="99"/>
    <w:rPr>
      <w:sz w:val="18"/>
    </w:rPr>
  </w:style>
  <w:style w:type="character" w:customStyle="1" w:styleId="26">
    <w:name w:val="Body Text Char"/>
    <w:basedOn w:val="19"/>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9"/>
    <w:link w:val="3"/>
    <w:qFormat/>
    <w:uiPriority w:val="9"/>
    <w:rPr>
      <w:rFonts w:ascii="Times New Roman" w:hAnsi="Times New Roman"/>
      <w:b/>
      <w:bCs/>
      <w:kern w:val="44"/>
      <w:sz w:val="44"/>
      <w:szCs w:val="44"/>
    </w:rPr>
  </w:style>
  <w:style w:type="character" w:customStyle="1" w:styleId="31">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9"/>
    <w:link w:val="12"/>
    <w:semiHidden/>
    <w:qFormat/>
    <w:uiPriority w:val="99"/>
    <w:rPr>
      <w:rFonts w:ascii="Times New Roman" w:hAnsi="Times New Roman"/>
      <w:kern w:val="2"/>
      <w:sz w:val="18"/>
      <w:szCs w:val="18"/>
    </w:rPr>
  </w:style>
  <w:style w:type="character" w:customStyle="1" w:styleId="34">
    <w:name w:val="标题 3 Char"/>
    <w:basedOn w:val="19"/>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正文文本 字符"/>
    <w:basedOn w:val="19"/>
    <w:qFormat/>
    <w:uiPriority w:val="0"/>
    <w:rPr>
      <w:kern w:val="2"/>
      <w:sz w:val="21"/>
      <w:szCs w:val="24"/>
    </w:rPr>
  </w:style>
  <w:style w:type="character" w:customStyle="1" w:styleId="37">
    <w:name w:val="标题 2 Char1"/>
    <w:basedOn w:val="19"/>
    <w:link w:val="4"/>
    <w:qFormat/>
    <w:uiPriority w:val="0"/>
    <w:rPr>
      <w:rFonts w:ascii="等线 Light" w:hAnsi="等线 Light" w:eastAsia="等线 Light" w:cs="Times New Roman"/>
      <w:b/>
      <w:bCs/>
      <w:kern w:val="2"/>
      <w:sz w:val="32"/>
      <w:szCs w:val="32"/>
    </w:rPr>
  </w:style>
  <w:style w:type="character" w:customStyle="1" w:styleId="38">
    <w:name w:val="正文文本 Char1"/>
    <w:basedOn w:val="19"/>
    <w:link w:val="2"/>
    <w:qFormat/>
    <w:uiPriority w:val="0"/>
    <w:rPr>
      <w:rFonts w:hint="eastAsia" w:ascii="仿宋_GB2312" w:eastAsia="仿宋_GB2312" w:cs="仿宋_GB2312"/>
      <w:sz w:val="24"/>
    </w:rPr>
  </w:style>
  <w:style w:type="character" w:customStyle="1" w:styleId="39">
    <w:name w:val="正文文本缩进 字符"/>
    <w:basedOn w:val="19"/>
    <w:link w:val="9"/>
    <w:qFormat/>
    <w:uiPriority w:val="0"/>
    <w:rPr>
      <w:rFonts w:hint="default" w:ascii="Times New Roman" w:hAnsi="Times New Roman" w:cs="Times New Roman"/>
      <w:kern w:val="2"/>
      <w:sz w:val="21"/>
      <w:szCs w:val="24"/>
    </w:rPr>
  </w:style>
  <w:style w:type="character" w:customStyle="1" w:styleId="40">
    <w:name w:val="正文首行缩进 2 字符"/>
    <w:basedOn w:val="39"/>
    <w:link w:val="10"/>
    <w:qFormat/>
    <w:uiPriority w:val="0"/>
    <w:rPr>
      <w:rFonts w:hint="default" w:ascii="Times New Roman" w:hAnsi="Times New Roman" w:cs="Times New Roman"/>
      <w:kern w:val="2"/>
      <w:sz w:val="21"/>
      <w:szCs w:val="24"/>
    </w:rPr>
  </w:style>
  <w:style w:type="character" w:customStyle="1" w:styleId="41">
    <w:name w:val="标题 2 字符"/>
    <w:basedOn w:val="19"/>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35981.5</c:v>
                </c:pt>
                <c:pt idx="1">
                  <c:v>36027.92</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35981.5</c:v>
                </c:pt>
                <c:pt idx="1">
                  <c:v>36027.92</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收入结算结构图</a:t>
            </a:r>
          </a:p>
        </c:rich>
      </c:tx>
      <c:layout>
        <c:manualLayout>
          <c:xMode val="edge"/>
          <c:yMode val="edge"/>
          <c:x val="0.539"/>
          <c:y val="0.072749317975144"/>
        </c:manualLayout>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dLbl>
              <c:idx val="0"/>
              <c:layout/>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dLbl>
              <c:idx val="1"/>
              <c:layout>
                <c:manualLayout>
                  <c:x val="-0.0816051553612339"/>
                  <c:y val="-0.0260351640422889"/>
                </c:manualLayout>
              </c:layout>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837521957454571"/>
                  <c:y val="-0.0350769741115755"/>
                </c:manualLayout>
              </c:layout>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Sheet1!$A$2:$A$4</c:f>
              <c:strCache>
                <c:ptCount val="3"/>
                <c:pt idx="0">
                  <c:v>一般公共预算财政拨款收入</c:v>
                </c:pt>
                <c:pt idx="1">
                  <c:v>政府性基金预算财政拨款收入</c:v>
                </c:pt>
                <c:pt idx="2">
                  <c:v>上年结转资金</c:v>
                </c:pt>
              </c:strCache>
            </c:strRef>
          </c:cat>
          <c:val>
            <c:numRef>
              <c:f>Sheet1!$B$2:$B$4</c:f>
              <c:numCache>
                <c:formatCode>0.00%</c:formatCode>
                <c:ptCount val="3"/>
                <c:pt idx="0">
                  <c:v>0.966</c:v>
                </c:pt>
                <c:pt idx="1">
                  <c:v>0.0007</c:v>
                </c:pt>
                <c:pt idx="2">
                  <c:v>0.0333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547"/>
          <c:y val="0.426492876629282"/>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b="1"/>
              <a:t>支出决算结构图</a:t>
            </a:r>
            <a:endParaRPr b="1"/>
          </a:p>
        </c:rich>
      </c:tx>
      <c:layout/>
      <c:overlay val="0"/>
      <c:spPr>
        <a:noFill/>
        <a:ln>
          <a:noFill/>
        </a:ln>
        <a:effectLst/>
      </c:spPr>
    </c:title>
    <c:autoTitleDeleted val="0"/>
    <c:plotArea>
      <c:layout/>
      <c:pieChart>
        <c:varyColors val="1"/>
        <c:ser>
          <c:idx val="0"/>
          <c:order val="0"/>
          <c:tx>
            <c:strRef>
              <c:f>Sheet1!$B$1</c:f>
              <c:strCache>
                <c:ptCount val="1"/>
                <c:pt idx="0">
                  <c:v>百分比</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0.6624</c:v>
                </c:pt>
                <c:pt idx="1">
                  <c:v>0.3076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3850625"/>
          <c:y val="0.85907153714145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35981.5</c:v>
                </c:pt>
                <c:pt idx="1">
                  <c:v>36027.92</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35981.5</c:v>
                </c:pt>
                <c:pt idx="1">
                  <c:v>36027.92</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34721.51</c:v>
                </c:pt>
                <c:pt idx="1">
                  <c:v>36003.89</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ysClr val="windowText" lastClr="000000"/>
                </a:solidFill>
                <a:latin typeface="+mn-lt"/>
                <a:ea typeface="+mn-ea"/>
                <a:cs typeface="+mn-cs"/>
              </a:defRPr>
            </a:pPr>
            <a:r>
              <a:rPr>
                <a:solidFill>
                  <a:sysClr val="windowText" lastClr="000000"/>
                </a:solidFill>
              </a:rPr>
              <a:t>一般公共预算财政拨款支出决算结构</a:t>
            </a:r>
            <a:endParaRPr>
              <a:solidFill>
                <a:sysClr val="windowText" lastClr="000000"/>
              </a:solidFill>
            </a:endParaRP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dLbl>
              <c:idx val="0"/>
              <c:layout>
                <c:manualLayout>
                  <c:x val="0.00523396447235107"/>
                  <c:y val="-0.179111902520644"/>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0285344826985281"/>
                  <c:y val="0.0202799489957761"/>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教育（类）</c:v>
                </c:pt>
                <c:pt idx="1">
                  <c:v>社会保障和就业（类）</c:v>
                </c:pt>
              </c:strCache>
            </c:strRef>
          </c:cat>
          <c:val>
            <c:numRef>
              <c:f>Sheet1!$B$2:$B$3</c:f>
              <c:numCache>
                <c:formatCode>General</c:formatCode>
                <c:ptCount val="2"/>
                <c:pt idx="0">
                  <c:v>99.67</c:v>
                </c:pt>
                <c:pt idx="1">
                  <c:v>0.33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0034952813701503"/>
          <c:y val="0.831949685534591"/>
          <c:w val="0.993009437259699"/>
          <c:h val="0.152955974842767"/>
        </c:manualLayout>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28</Pages>
  <Words>10590</Words>
  <Characters>11676</Characters>
  <Lines>47</Lines>
  <Paragraphs>13</Paragraphs>
  <TotalTime>2</TotalTime>
  <ScaleCrop>false</ScaleCrop>
  <LinksUpToDate>false</LinksUpToDate>
  <CharactersWithSpaces>11801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2022-09-30T15:35:36Z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