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6189F">
      <w:pPr>
        <w:pStyle w:val="7"/>
        <w:widowControl/>
        <w:spacing w:before="120" w:line="540" w:lineRule="atLeast"/>
        <w:jc w:val="center"/>
      </w:pPr>
      <w:r>
        <w:rPr>
          <w:rFonts w:ascii="微软雅黑" w:hAnsi="微软雅黑" w:eastAsia="微软雅黑" w:cs="微软雅黑"/>
          <w:sz w:val="43"/>
          <w:szCs w:val="43"/>
        </w:rPr>
        <w:t> </w:t>
      </w:r>
    </w:p>
    <w:p w14:paraId="402EF51E">
      <w:pPr>
        <w:snapToGrid w:val="0"/>
        <w:spacing w:line="700" w:lineRule="exact"/>
        <w:jc w:val="center"/>
        <w:rPr>
          <w:rFonts w:ascii="黑体" w:hAnsi="黑体" w:eastAsia="黑体"/>
          <w:b/>
          <w:bCs/>
          <w:sz w:val="44"/>
          <w:szCs w:val="44"/>
        </w:rPr>
      </w:pPr>
      <w:r>
        <w:rPr>
          <w:rFonts w:ascii="黑体" w:hAnsi="黑体" w:eastAsia="黑体"/>
          <w:b/>
          <w:bCs/>
          <w:sz w:val="44"/>
          <w:szCs w:val="44"/>
        </w:rPr>
        <w:t>广元市昭化区</w:t>
      </w:r>
      <w:r>
        <w:rPr>
          <w:rFonts w:hint="eastAsia" w:ascii="黑体" w:hAnsi="黑体" w:eastAsia="黑体"/>
          <w:b/>
          <w:bCs/>
          <w:sz w:val="44"/>
          <w:szCs w:val="44"/>
        </w:rPr>
        <w:t>昭化区机关幼儿园</w:t>
      </w:r>
    </w:p>
    <w:p w14:paraId="604A483F">
      <w:pPr>
        <w:snapToGrid w:val="0"/>
        <w:spacing w:line="700" w:lineRule="exact"/>
        <w:jc w:val="center"/>
        <w:rPr>
          <w:rFonts w:ascii="黑体" w:hAnsi="黑体" w:eastAsia="黑体"/>
          <w:b/>
          <w:bCs/>
          <w:sz w:val="44"/>
          <w:szCs w:val="44"/>
        </w:rPr>
      </w:pPr>
      <w:r>
        <w:rPr>
          <w:rFonts w:hint="eastAsia" w:ascii="黑体" w:hAnsi="黑体" w:eastAsia="黑体"/>
          <w:b/>
          <w:bCs/>
          <w:sz w:val="44"/>
          <w:szCs w:val="44"/>
        </w:rPr>
        <w:t>2021</w:t>
      </w:r>
      <w:r>
        <w:rPr>
          <w:rFonts w:ascii="黑体" w:hAnsi="黑体" w:eastAsia="黑体"/>
          <w:b/>
          <w:bCs/>
          <w:sz w:val="44"/>
          <w:szCs w:val="44"/>
        </w:rPr>
        <w:t>年</w:t>
      </w:r>
      <w:r>
        <w:rPr>
          <w:rFonts w:hint="eastAsia" w:ascii="黑体" w:hAnsi="黑体" w:eastAsia="黑体"/>
          <w:b/>
          <w:bCs/>
          <w:sz w:val="44"/>
          <w:szCs w:val="44"/>
        </w:rPr>
        <w:t>单位</w:t>
      </w:r>
      <w:r>
        <w:rPr>
          <w:rFonts w:ascii="黑体" w:hAnsi="黑体" w:eastAsia="黑体"/>
          <w:b/>
          <w:bCs/>
          <w:sz w:val="44"/>
          <w:szCs w:val="44"/>
        </w:rPr>
        <w:t>预算情况说明</w:t>
      </w:r>
    </w:p>
    <w:p w14:paraId="14E18FB0">
      <w:pPr>
        <w:pStyle w:val="7"/>
        <w:widowControl/>
        <w:spacing w:before="120" w:line="540" w:lineRule="atLeast"/>
        <w:jc w:val="center"/>
        <w:rPr>
          <w:rFonts w:ascii="宋体" w:hAnsi="宋体" w:cs="宋体"/>
          <w:b/>
          <w:sz w:val="31"/>
          <w:szCs w:val="31"/>
        </w:rPr>
      </w:pPr>
      <w:r>
        <w:rPr>
          <w:rFonts w:hint="eastAsia" w:ascii="宋体" w:hAnsi="宋体" w:cs="宋体"/>
          <w:b/>
          <w:sz w:val="31"/>
          <w:szCs w:val="31"/>
        </w:rPr>
        <w:t> </w:t>
      </w:r>
    </w:p>
    <w:p w14:paraId="400D43EF">
      <w:pPr>
        <w:pStyle w:val="7"/>
        <w:widowControl/>
        <w:spacing w:before="120" w:line="540" w:lineRule="atLeast"/>
        <w:jc w:val="center"/>
        <w:rPr>
          <w:rFonts w:ascii="宋体" w:hAnsi="宋体" w:cs="宋体"/>
          <w:b/>
          <w:sz w:val="31"/>
          <w:szCs w:val="31"/>
        </w:rPr>
      </w:pPr>
    </w:p>
    <w:p w14:paraId="5650F5B4">
      <w:pPr>
        <w:pStyle w:val="7"/>
        <w:widowControl/>
        <w:spacing w:before="120" w:line="540" w:lineRule="atLeast"/>
        <w:jc w:val="center"/>
        <w:rPr>
          <w:rFonts w:ascii="宋体" w:hAnsi="宋体" w:cs="宋体"/>
          <w:b/>
          <w:sz w:val="31"/>
          <w:szCs w:val="31"/>
        </w:rPr>
      </w:pPr>
    </w:p>
    <w:p w14:paraId="072E3B1F">
      <w:pPr>
        <w:pStyle w:val="7"/>
        <w:widowControl/>
        <w:spacing w:before="120" w:line="540" w:lineRule="atLeast"/>
        <w:jc w:val="center"/>
        <w:rPr>
          <w:rFonts w:ascii="宋体" w:hAnsi="宋体" w:cs="宋体"/>
          <w:b/>
          <w:sz w:val="31"/>
          <w:szCs w:val="31"/>
        </w:rPr>
      </w:pPr>
    </w:p>
    <w:p w14:paraId="68F5E9C3">
      <w:pPr>
        <w:pStyle w:val="7"/>
        <w:widowControl/>
        <w:spacing w:before="120" w:line="540" w:lineRule="atLeast"/>
        <w:jc w:val="center"/>
        <w:rPr>
          <w:rFonts w:ascii="宋体" w:hAnsi="宋体" w:cs="宋体"/>
          <w:b/>
          <w:sz w:val="31"/>
          <w:szCs w:val="31"/>
        </w:rPr>
      </w:pPr>
    </w:p>
    <w:p w14:paraId="63B50AB3">
      <w:pPr>
        <w:pStyle w:val="7"/>
        <w:widowControl/>
        <w:spacing w:before="120" w:line="540" w:lineRule="atLeast"/>
        <w:jc w:val="center"/>
        <w:rPr>
          <w:rFonts w:ascii="宋体" w:hAnsi="宋体" w:cs="宋体"/>
          <w:b/>
          <w:sz w:val="31"/>
          <w:szCs w:val="31"/>
        </w:rPr>
      </w:pPr>
    </w:p>
    <w:p w14:paraId="3AB1BE54">
      <w:pPr>
        <w:pStyle w:val="7"/>
        <w:widowControl/>
        <w:spacing w:before="120" w:line="540" w:lineRule="atLeast"/>
        <w:jc w:val="center"/>
        <w:rPr>
          <w:rFonts w:ascii="宋体" w:hAnsi="宋体" w:cs="宋体"/>
          <w:b/>
          <w:sz w:val="31"/>
          <w:szCs w:val="31"/>
        </w:rPr>
      </w:pPr>
    </w:p>
    <w:p w14:paraId="67909CFA">
      <w:pPr>
        <w:pStyle w:val="7"/>
        <w:widowControl/>
        <w:spacing w:before="120" w:line="540" w:lineRule="atLeast"/>
        <w:jc w:val="center"/>
        <w:rPr>
          <w:rFonts w:ascii="宋体" w:hAnsi="宋体" w:cs="宋体"/>
          <w:b/>
          <w:sz w:val="31"/>
          <w:szCs w:val="31"/>
        </w:rPr>
      </w:pPr>
    </w:p>
    <w:p w14:paraId="3FED0265">
      <w:pPr>
        <w:pStyle w:val="7"/>
        <w:widowControl/>
        <w:spacing w:before="120" w:line="540" w:lineRule="atLeast"/>
        <w:jc w:val="center"/>
        <w:rPr>
          <w:rFonts w:ascii="宋体" w:hAnsi="宋体" w:cs="宋体"/>
          <w:b/>
          <w:sz w:val="31"/>
          <w:szCs w:val="31"/>
        </w:rPr>
      </w:pPr>
    </w:p>
    <w:p w14:paraId="220DFF31">
      <w:pPr>
        <w:pStyle w:val="7"/>
        <w:widowControl/>
        <w:spacing w:before="120" w:line="540" w:lineRule="atLeast"/>
        <w:jc w:val="center"/>
        <w:rPr>
          <w:rFonts w:ascii="宋体" w:hAnsi="宋体" w:cs="宋体"/>
          <w:b/>
          <w:sz w:val="31"/>
          <w:szCs w:val="31"/>
        </w:rPr>
      </w:pPr>
    </w:p>
    <w:p w14:paraId="1FD88DAC">
      <w:pPr>
        <w:pStyle w:val="7"/>
        <w:widowControl/>
        <w:spacing w:before="120" w:line="540" w:lineRule="atLeast"/>
        <w:jc w:val="center"/>
        <w:rPr>
          <w:rFonts w:ascii="宋体" w:hAnsi="宋体" w:cs="宋体"/>
          <w:b/>
          <w:sz w:val="31"/>
          <w:szCs w:val="31"/>
        </w:rPr>
      </w:pPr>
    </w:p>
    <w:p w14:paraId="3488C9D7">
      <w:pPr>
        <w:pStyle w:val="7"/>
        <w:widowControl/>
        <w:spacing w:before="120" w:line="540" w:lineRule="atLeast"/>
        <w:jc w:val="center"/>
        <w:rPr>
          <w:rFonts w:ascii="宋体" w:hAnsi="宋体" w:cs="宋体"/>
          <w:b/>
          <w:sz w:val="31"/>
          <w:szCs w:val="31"/>
        </w:rPr>
      </w:pPr>
    </w:p>
    <w:p w14:paraId="3281E00F">
      <w:pPr>
        <w:pStyle w:val="7"/>
        <w:widowControl/>
        <w:spacing w:before="120" w:line="540" w:lineRule="atLeast"/>
        <w:jc w:val="center"/>
        <w:rPr>
          <w:rFonts w:ascii="宋体" w:hAnsi="宋体" w:cs="宋体"/>
          <w:b/>
          <w:sz w:val="31"/>
          <w:szCs w:val="31"/>
        </w:rPr>
      </w:pPr>
    </w:p>
    <w:p w14:paraId="5E379281">
      <w:pPr>
        <w:pStyle w:val="7"/>
        <w:widowControl/>
        <w:spacing w:before="120" w:line="540" w:lineRule="atLeast"/>
        <w:jc w:val="center"/>
        <w:rPr>
          <w:rFonts w:ascii="宋体" w:hAnsi="宋体" w:cs="宋体"/>
          <w:b/>
          <w:sz w:val="31"/>
          <w:szCs w:val="31"/>
        </w:rPr>
      </w:pPr>
    </w:p>
    <w:p w14:paraId="1130C11A">
      <w:pPr>
        <w:pStyle w:val="7"/>
        <w:widowControl/>
        <w:spacing w:before="120" w:line="540" w:lineRule="atLeast"/>
        <w:jc w:val="center"/>
      </w:pPr>
    </w:p>
    <w:p w14:paraId="5D587988">
      <w:pPr>
        <w:jc w:val="center"/>
        <w:rPr>
          <w:rFonts w:asciiTheme="minorEastAsia" w:hAnsiTheme="minorEastAsia" w:eastAsiaTheme="minorEastAsia"/>
          <w:b/>
          <w:bCs/>
          <w:sz w:val="44"/>
          <w:szCs w:val="44"/>
        </w:rPr>
        <w:sectPr>
          <w:footerReference r:id="rId3" w:type="default"/>
          <w:pgSz w:w="11906" w:h="16838"/>
          <w:pgMar w:top="1440" w:right="1800" w:bottom="1440" w:left="1800" w:header="851" w:footer="992" w:gutter="0"/>
          <w:pgNumType w:start="2"/>
          <w:cols w:space="720" w:num="1"/>
          <w:docGrid w:type="lines" w:linePitch="312" w:charSpace="0"/>
        </w:sectPr>
      </w:pPr>
    </w:p>
    <w:p w14:paraId="022540B6">
      <w:pPr>
        <w:jc w:val="center"/>
        <w:rPr>
          <w:rFonts w:ascii="Times New Roman" w:hAnsi="Times New Roman" w:eastAsia="黑体"/>
          <w:color w:val="000000"/>
          <w:szCs w:val="32"/>
        </w:rPr>
      </w:pPr>
      <w:r>
        <w:rPr>
          <w:rFonts w:hint="eastAsia" w:ascii="黑体" w:hAnsi="黑体" w:eastAsia="黑体"/>
          <w:color w:val="000000"/>
          <w:sz w:val="32"/>
          <w:szCs w:val="32"/>
          <w:lang w:eastAsia="zh-CN"/>
        </w:rPr>
        <w:tab/>
      </w:r>
      <w:r>
        <w:rPr>
          <w:rFonts w:asciiTheme="minorEastAsia" w:hAnsiTheme="minorEastAsia" w:eastAsiaTheme="minorEastAsia"/>
          <w:b/>
          <w:bCs/>
          <w:sz w:val="44"/>
          <w:szCs w:val="44"/>
        </w:rPr>
        <w:t>目录</w:t>
      </w:r>
    </w:p>
    <w:p w14:paraId="6FF2B8C5">
      <w:pPr>
        <w:pStyle w:val="7"/>
        <w:widowControl/>
        <w:spacing w:before="120" w:line="540" w:lineRule="atLeast"/>
        <w:jc w:val="center"/>
      </w:pPr>
    </w:p>
    <w:p w14:paraId="32EF6A6D">
      <w:pPr>
        <w:pStyle w:val="6"/>
        <w:numPr>
          <w:ilvl w:val="0"/>
          <w:numId w:val="1"/>
        </w:numPr>
        <w:bidi w:val="0"/>
        <w:rPr>
          <w:rFonts w:hint="eastAsia"/>
          <w:sz w:val="24"/>
        </w:rPr>
      </w:pPr>
      <w:r>
        <w:rPr>
          <w:rFonts w:hint="eastAsia"/>
        </w:rPr>
        <w:t>基本职能及主要工作</w:t>
      </w:r>
      <w:r>
        <w:rPr>
          <w:sz w:val="24"/>
        </w:rPr>
        <w:tab/>
      </w:r>
      <w:r>
        <w:rPr>
          <w:rFonts w:hint="eastAsia"/>
          <w:sz w:val="24"/>
          <w:lang w:val="en-US" w:eastAsia="zh-CN"/>
        </w:rPr>
        <w:t>2</w:t>
      </w:r>
    </w:p>
    <w:p w14:paraId="6A656355">
      <w:pPr>
        <w:pStyle w:val="6"/>
        <w:numPr>
          <w:ilvl w:val="0"/>
          <w:numId w:val="0"/>
        </w:numPr>
        <w:bidi w:val="0"/>
        <w:jc w:val="both"/>
        <w:rPr>
          <w:rFonts w:hint="eastAsia" w:eastAsia="仿宋"/>
          <w:lang w:val="en-US" w:eastAsia="zh-CN"/>
        </w:rPr>
      </w:pPr>
      <w:r>
        <w:rPr>
          <w:rFonts w:hint="eastAsia"/>
        </w:rPr>
        <w:t>二、部门预算单位构成</w:t>
      </w:r>
      <w:r>
        <w:rPr>
          <w:rFonts w:hint="eastAsia"/>
        </w:rPr>
        <w:tab/>
      </w:r>
      <w:r>
        <w:rPr>
          <w:rFonts w:hint="eastAsia"/>
          <w:lang w:val="en-US" w:eastAsia="zh-CN"/>
        </w:rPr>
        <w:t>8</w:t>
      </w:r>
    </w:p>
    <w:p w14:paraId="3015AF52">
      <w:pPr>
        <w:pStyle w:val="6"/>
        <w:bidi w:val="0"/>
        <w:rPr>
          <w:rFonts w:hint="eastAsia" w:eastAsia="仿宋"/>
          <w:lang w:val="en-US" w:eastAsia="zh-CN"/>
        </w:rPr>
      </w:pPr>
      <w:r>
        <w:rPr>
          <w:rFonts w:hint="eastAsia"/>
        </w:rPr>
        <w:t>三、收支预算情况说明</w:t>
      </w:r>
      <w:r>
        <w:rPr>
          <w:rFonts w:hint="eastAsia"/>
        </w:rPr>
        <w:tab/>
      </w:r>
      <w:r>
        <w:rPr>
          <w:rFonts w:hint="eastAsia"/>
          <w:lang w:val="en-US" w:eastAsia="zh-CN"/>
        </w:rPr>
        <w:t>8</w:t>
      </w:r>
    </w:p>
    <w:p w14:paraId="246C6FE7">
      <w:pPr>
        <w:pStyle w:val="6"/>
        <w:bidi w:val="0"/>
        <w:rPr>
          <w:rFonts w:hint="eastAsia" w:eastAsia="仿宋"/>
          <w:lang w:val="en-US" w:eastAsia="zh-CN"/>
        </w:rPr>
      </w:pPr>
      <w:r>
        <w:rPr>
          <w:rFonts w:hint="eastAsia"/>
        </w:rPr>
        <w:t>四、财政拨款收支预算情况说明</w:t>
      </w:r>
      <w:r>
        <w:rPr>
          <w:rFonts w:hint="eastAsia"/>
        </w:rPr>
        <w:tab/>
      </w:r>
      <w:r>
        <w:rPr>
          <w:rFonts w:hint="eastAsia"/>
          <w:lang w:val="en-US" w:eastAsia="zh-CN"/>
        </w:rPr>
        <w:t>9</w:t>
      </w:r>
    </w:p>
    <w:p w14:paraId="649FBB3B">
      <w:pPr>
        <w:pStyle w:val="6"/>
        <w:bidi w:val="0"/>
        <w:rPr>
          <w:rFonts w:hint="eastAsia" w:eastAsia="仿宋"/>
          <w:lang w:val="en-US" w:eastAsia="zh-CN"/>
        </w:rPr>
      </w:pPr>
      <w:r>
        <w:rPr>
          <w:rFonts w:hint="eastAsia"/>
        </w:rPr>
        <w:t>五、一般公共预算当年拨款情况说明</w:t>
      </w:r>
      <w:r>
        <w:rPr>
          <w:rStyle w:val="21"/>
          <w:rFonts w:hint="eastAsia"/>
        </w:rPr>
        <w:tab/>
      </w:r>
      <w:r>
        <w:rPr>
          <w:rStyle w:val="21"/>
          <w:rFonts w:hint="eastAsia"/>
          <w:lang w:val="en-US" w:eastAsia="zh-CN"/>
        </w:rPr>
        <w:t>9</w:t>
      </w:r>
    </w:p>
    <w:p w14:paraId="2FFAB576">
      <w:pPr>
        <w:pStyle w:val="6"/>
        <w:bidi w:val="0"/>
        <w:rPr>
          <w:rFonts w:hint="default" w:eastAsia="仿宋"/>
          <w:lang w:val="en-US" w:eastAsia="zh-CN"/>
        </w:rPr>
      </w:pPr>
      <w:r>
        <w:rPr>
          <w:rFonts w:hint="eastAsia"/>
        </w:rPr>
        <w:t>六、一般公共预算基本支出情况说明</w:t>
      </w:r>
      <w:r>
        <w:rPr>
          <w:rFonts w:hint="eastAsia"/>
        </w:rPr>
        <w:tab/>
      </w:r>
      <w:r>
        <w:rPr>
          <w:rFonts w:hint="eastAsia"/>
          <w:lang w:val="en-US" w:eastAsia="zh-CN"/>
        </w:rPr>
        <w:t>10</w:t>
      </w:r>
    </w:p>
    <w:p w14:paraId="65D5CFDC">
      <w:pPr>
        <w:pStyle w:val="6"/>
        <w:bidi w:val="0"/>
        <w:rPr>
          <w:rFonts w:hint="default" w:eastAsia="仿宋"/>
          <w:lang w:val="en-US" w:eastAsia="zh-CN"/>
        </w:rPr>
      </w:pPr>
      <w:r>
        <w:rPr>
          <w:rFonts w:hint="eastAsia"/>
        </w:rPr>
        <w:t>七、“三公”经费财政拨款预算安排情况说明</w:t>
      </w:r>
      <w:r>
        <w:rPr>
          <w:rFonts w:hint="eastAsia"/>
        </w:rPr>
        <w:tab/>
      </w:r>
      <w:r>
        <w:rPr>
          <w:rFonts w:hint="eastAsia"/>
          <w:lang w:val="en-US" w:eastAsia="zh-CN"/>
        </w:rPr>
        <w:t>10</w:t>
      </w:r>
    </w:p>
    <w:p w14:paraId="48113DF5">
      <w:pPr>
        <w:pStyle w:val="6"/>
        <w:bidi w:val="0"/>
        <w:rPr>
          <w:rFonts w:hint="default" w:eastAsia="仿宋"/>
          <w:lang w:val="en-US" w:eastAsia="zh-CN"/>
        </w:rPr>
      </w:pPr>
      <w:r>
        <w:rPr>
          <w:rFonts w:hint="eastAsia"/>
        </w:rPr>
        <w:t>八、政府性基金预算支出情况说明</w:t>
      </w:r>
      <w:r>
        <w:rPr>
          <w:rFonts w:hint="eastAsia"/>
        </w:rPr>
        <w:tab/>
      </w:r>
      <w:r>
        <w:rPr>
          <w:rFonts w:hint="eastAsia"/>
          <w:lang w:val="en-US" w:eastAsia="zh-CN"/>
        </w:rPr>
        <w:t>11</w:t>
      </w:r>
    </w:p>
    <w:p w14:paraId="7B01CB7C">
      <w:pPr>
        <w:pStyle w:val="6"/>
        <w:bidi w:val="0"/>
        <w:rPr>
          <w:rFonts w:hint="default" w:eastAsia="仿宋"/>
          <w:lang w:val="en-US" w:eastAsia="zh-CN"/>
        </w:rPr>
      </w:pPr>
      <w:r>
        <w:rPr>
          <w:rFonts w:hint="eastAsia"/>
        </w:rPr>
        <w:t>九、国有资本经营预算支出情况说明</w:t>
      </w:r>
      <w:r>
        <w:rPr>
          <w:rFonts w:hint="eastAsia"/>
        </w:rPr>
        <w:tab/>
      </w:r>
      <w:r>
        <w:rPr>
          <w:rFonts w:hint="eastAsia"/>
          <w:lang w:val="en-US" w:eastAsia="zh-CN"/>
        </w:rPr>
        <w:t>11</w:t>
      </w:r>
    </w:p>
    <w:p w14:paraId="346D8184">
      <w:pPr>
        <w:pStyle w:val="6"/>
        <w:bidi w:val="0"/>
        <w:rPr>
          <w:rFonts w:hint="default" w:eastAsia="仿宋"/>
          <w:lang w:val="en-US" w:eastAsia="zh-CN"/>
        </w:rPr>
      </w:pPr>
      <w:r>
        <w:rPr>
          <w:rFonts w:hint="eastAsia"/>
        </w:rPr>
        <w:t>十、其他重要事项的情况说明</w:t>
      </w:r>
      <w:r>
        <w:rPr>
          <w:rFonts w:hint="eastAsia"/>
        </w:rPr>
        <w:tab/>
      </w:r>
      <w:r>
        <w:rPr>
          <w:rFonts w:hint="eastAsia"/>
          <w:lang w:val="en-US" w:eastAsia="zh-CN"/>
        </w:rPr>
        <w:t>11</w:t>
      </w:r>
    </w:p>
    <w:p w14:paraId="6867A30A">
      <w:pPr>
        <w:pStyle w:val="6"/>
        <w:bidi w:val="0"/>
        <w:rPr>
          <w:rFonts w:hint="eastAsia"/>
          <w:lang w:val="en-US" w:eastAsia="zh-CN"/>
        </w:rPr>
      </w:pPr>
      <w:r>
        <w:rPr>
          <w:rFonts w:hint="eastAsia"/>
        </w:rPr>
        <w:t>十一、名词解释</w:t>
      </w:r>
      <w:r>
        <w:rPr>
          <w:rFonts w:hint="eastAsia"/>
        </w:rPr>
        <w:tab/>
      </w:r>
      <w:r>
        <w:rPr>
          <w:rFonts w:hint="eastAsia"/>
          <w:lang w:val="en-US" w:eastAsia="zh-CN"/>
        </w:rPr>
        <w:t>12</w:t>
      </w:r>
    </w:p>
    <w:p w14:paraId="7C905B15">
      <w:pPr>
        <w:rPr>
          <w:rFonts w:hint="eastAsia"/>
          <w:lang w:val="en-US" w:eastAsia="zh-CN"/>
        </w:rPr>
      </w:pPr>
    </w:p>
    <w:p w14:paraId="2BA4A567">
      <w:pPr>
        <w:pStyle w:val="2"/>
        <w:rPr>
          <w:rFonts w:hint="eastAsia"/>
          <w:lang w:val="en-US" w:eastAsia="zh-CN"/>
        </w:rPr>
      </w:pPr>
    </w:p>
    <w:p w14:paraId="0FC5D924">
      <w:pPr>
        <w:pStyle w:val="7"/>
        <w:widowControl/>
        <w:tabs>
          <w:tab w:val="left" w:pos="2551"/>
        </w:tabs>
        <w:spacing w:before="120" w:line="540" w:lineRule="atLeast"/>
        <w:jc w:val="left"/>
        <w:rPr>
          <w:rFonts w:hint="eastAsia" w:ascii="黑体" w:hAnsi="黑体" w:eastAsia="黑体"/>
          <w:color w:val="000000"/>
          <w:sz w:val="32"/>
          <w:szCs w:val="32"/>
          <w:lang w:eastAsia="zh-CN"/>
        </w:rPr>
      </w:pPr>
    </w:p>
    <w:p w14:paraId="202EC73F">
      <w:pPr>
        <w:pStyle w:val="7"/>
        <w:widowControl/>
        <w:spacing w:before="120" w:line="540" w:lineRule="atLeast"/>
        <w:jc w:val="center"/>
        <w:rPr>
          <w:rFonts w:ascii="Times New Roman" w:hAnsi="Times New Roman" w:eastAsia="黑体"/>
          <w:color w:val="000000"/>
          <w:szCs w:val="32"/>
        </w:rPr>
      </w:pPr>
    </w:p>
    <w:p w14:paraId="58CEDC29">
      <w:pPr>
        <w:pStyle w:val="7"/>
        <w:widowControl/>
        <w:spacing w:before="120" w:line="540" w:lineRule="atLeast"/>
        <w:jc w:val="center"/>
        <w:rPr>
          <w:rFonts w:ascii="Times New Roman" w:hAnsi="Times New Roman" w:eastAsia="黑体"/>
          <w:color w:val="000000"/>
          <w:szCs w:val="32"/>
        </w:rPr>
      </w:pPr>
    </w:p>
    <w:p w14:paraId="29D7BBF8">
      <w:pPr>
        <w:pStyle w:val="7"/>
        <w:widowControl/>
        <w:spacing w:before="120" w:line="540" w:lineRule="atLeast"/>
        <w:jc w:val="center"/>
        <w:rPr>
          <w:rFonts w:ascii="Times New Roman" w:hAnsi="Times New Roman" w:eastAsia="黑体"/>
          <w:color w:val="000000"/>
          <w:szCs w:val="32"/>
        </w:rPr>
      </w:pPr>
    </w:p>
    <w:p w14:paraId="25D63379">
      <w:pPr>
        <w:pStyle w:val="7"/>
        <w:widowControl/>
        <w:spacing w:before="120" w:line="540" w:lineRule="atLeast"/>
        <w:jc w:val="both"/>
      </w:pPr>
    </w:p>
    <w:p w14:paraId="09EDCF3D">
      <w:pPr>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14:paraId="73777C99">
      <w:pPr>
        <w:ind w:firstLine="640" w:firstLineChars="200"/>
        <w:rPr>
          <w:rFonts w:ascii="黑体" w:hAnsi="黑体" w:eastAsia="黑体" w:cs="黑体"/>
          <w:sz w:val="32"/>
          <w:szCs w:val="32"/>
        </w:rPr>
      </w:pPr>
      <w:r>
        <w:rPr>
          <w:rFonts w:hint="eastAsia" w:ascii="黑体" w:hAnsi="黑体" w:eastAsia="黑体" w:cs="黑体"/>
          <w:sz w:val="32"/>
          <w:szCs w:val="32"/>
        </w:rPr>
        <w:t>（</w:t>
      </w:r>
      <w:r>
        <w:rPr>
          <w:rFonts w:ascii="黑体" w:hAnsi="黑体" w:eastAsia="黑体" w:cs="黑体"/>
          <w:sz w:val="32"/>
          <w:szCs w:val="32"/>
        </w:rPr>
        <w:t>一）</w:t>
      </w:r>
      <w:r>
        <w:rPr>
          <w:rFonts w:hint="eastAsia" w:ascii="黑体" w:hAnsi="黑体" w:eastAsia="黑体" w:cs="黑体"/>
          <w:sz w:val="32"/>
          <w:szCs w:val="32"/>
        </w:rPr>
        <w:t>幼儿园</w:t>
      </w:r>
      <w:r>
        <w:rPr>
          <w:rFonts w:ascii="黑体" w:hAnsi="黑体" w:eastAsia="黑体" w:cs="黑体"/>
          <w:sz w:val="32"/>
          <w:szCs w:val="32"/>
        </w:rPr>
        <w:t>职能简介</w:t>
      </w:r>
    </w:p>
    <w:p w14:paraId="5FE2F864">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1.贯彻党的教育方针，坚持社会主义办学方向，实行教育与生产劳动相结合，对幼儿进行德育、智育、体育、美育和劳动等方面的教育。</w:t>
      </w:r>
    </w:p>
    <w:p w14:paraId="2F811205">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2.负责配合政府依法动员、组织适龄幼儿入学，严格控制幼儿辍学，依法保证适龄幼儿接受教育。</w:t>
      </w:r>
    </w:p>
    <w:p w14:paraId="486128FE">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3.负责依法制定学校章程，并按照章程自主管理。</w:t>
      </w:r>
    </w:p>
    <w:p w14:paraId="553902F4">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4.负责制定学校教育发展规划， 并抓好组织实施和落实工作。</w:t>
      </w:r>
    </w:p>
    <w:p w14:paraId="2E7118DF">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5.负责按照教育主管部门发布的《幼儿园教育指导纲要》、《3-6岁儿童发展指南》， 组织实施保教活动。</w:t>
      </w:r>
    </w:p>
    <w:p w14:paraId="0EB0C33B">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6.</w:t>
      </w:r>
      <w:r>
        <w:rPr>
          <w:rFonts w:hint="eastAsia" w:ascii="仿宋_GB2312" w:eastAsia="仿宋_GB2312"/>
          <w:szCs w:val="20"/>
        </w:rPr>
        <w:t xml:space="preserve"> </w:t>
      </w:r>
      <w:r>
        <w:rPr>
          <w:rFonts w:hint="eastAsia" w:ascii="仿宋" w:hAnsi="仿宋" w:eastAsia="仿宋" w:cs="仿宋"/>
          <w:sz w:val="32"/>
          <w:szCs w:val="32"/>
        </w:rPr>
        <w:t>负责依法制定本校教师及其他职工聘任办法并对教师及其他员工实施包括奖励、处分在内的。</w:t>
      </w:r>
    </w:p>
    <w:p w14:paraId="20A23A03">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7.负责科学管理、合理使用学校的设施和经费，并积极筹措资金，改善办学条件。</w:t>
      </w:r>
    </w:p>
    <w:p w14:paraId="62EEEF9E">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8.负责维护学校、师生的合法权益，有权拒绝任何组织和个人对教育教学活动进行非法干扰。</w:t>
      </w:r>
    </w:p>
    <w:p w14:paraId="5C7B81A3">
      <w:pPr>
        <w:pStyle w:val="7"/>
        <w:adjustRightInd w:val="0"/>
        <w:spacing w:beforeLines="30" w:line="500" w:lineRule="exact"/>
        <w:ind w:firstLine="640" w:firstLineChars="200"/>
        <w:outlineLvl w:val="2"/>
        <w:rPr>
          <w:rFonts w:ascii="仿宋" w:hAnsi="仿宋" w:eastAsia="仿宋" w:cs="仿宋"/>
          <w:sz w:val="32"/>
          <w:szCs w:val="32"/>
        </w:rPr>
      </w:pPr>
      <w:r>
        <w:rPr>
          <w:rFonts w:hint="eastAsia" w:ascii="仿宋" w:hAnsi="仿宋" w:eastAsia="仿宋" w:cs="仿宋"/>
          <w:sz w:val="32"/>
          <w:szCs w:val="32"/>
        </w:rPr>
        <w:t>9.</w:t>
      </w:r>
      <w:r>
        <w:rPr>
          <w:rFonts w:hint="eastAsia" w:ascii="仿宋_GB2312" w:eastAsia="仿宋_GB2312"/>
          <w:szCs w:val="20"/>
        </w:rPr>
        <w:t xml:space="preserve"> </w:t>
      </w:r>
      <w:r>
        <w:rPr>
          <w:rFonts w:hint="eastAsia" w:ascii="仿宋" w:hAnsi="仿宋" w:eastAsia="仿宋" w:cs="仿宋"/>
          <w:sz w:val="32"/>
          <w:szCs w:val="32"/>
        </w:rPr>
        <w:t>依法接受各级教育行政部门的检查指导和人民群众的监督。</w:t>
      </w:r>
    </w:p>
    <w:p w14:paraId="79BE728D">
      <w:pPr>
        <w:ind w:firstLine="640" w:firstLineChars="200"/>
        <w:rPr>
          <w:rFonts w:ascii="仿宋" w:hAnsi="仿宋" w:eastAsia="仿宋"/>
          <w:sz w:val="32"/>
          <w:szCs w:val="32"/>
        </w:rPr>
      </w:pPr>
      <w:r>
        <w:rPr>
          <w:rFonts w:hint="eastAsia" w:ascii="仿宋" w:hAnsi="仿宋" w:eastAsia="仿宋" w:cs="仿宋"/>
          <w:sz w:val="32"/>
          <w:szCs w:val="32"/>
        </w:rPr>
        <w:t>10.承办上级交办的其他事项。</w:t>
      </w:r>
      <w:r>
        <w:rPr>
          <w:rFonts w:hint="eastAsia" w:ascii="仿宋" w:hAnsi="仿宋" w:eastAsia="仿宋"/>
          <w:sz w:val="32"/>
          <w:szCs w:val="32"/>
        </w:rPr>
        <w:t xml:space="preserve"> 　　</w:t>
      </w:r>
    </w:p>
    <w:p w14:paraId="63A55DFA">
      <w:pPr>
        <w:pStyle w:val="7"/>
        <w:widowControl/>
        <w:spacing w:before="120" w:line="600" w:lineRule="exact"/>
        <w:ind w:firstLine="660"/>
        <w:rPr>
          <w:rFonts w:ascii="黑体" w:hAnsi="黑体" w:eastAsia="黑体"/>
          <w:sz w:val="32"/>
          <w:szCs w:val="32"/>
        </w:rPr>
      </w:pPr>
      <w:r>
        <w:rPr>
          <w:rFonts w:ascii="黑体" w:hAnsi="黑体" w:eastAsia="黑体" w:cs="楷体_GB2312"/>
          <w:sz w:val="32"/>
          <w:szCs w:val="32"/>
        </w:rPr>
        <w:t>（二）202</w:t>
      </w:r>
      <w:r>
        <w:rPr>
          <w:rFonts w:hint="eastAsia" w:ascii="黑体" w:hAnsi="黑体" w:eastAsia="黑体" w:cs="楷体_GB2312"/>
          <w:sz w:val="32"/>
          <w:szCs w:val="32"/>
        </w:rPr>
        <w:t>1</w:t>
      </w:r>
      <w:r>
        <w:rPr>
          <w:rFonts w:ascii="黑体" w:hAnsi="黑体" w:eastAsia="黑体" w:cs="楷体_GB2312"/>
          <w:sz w:val="32"/>
          <w:szCs w:val="32"/>
        </w:rPr>
        <w:t>年工作</w:t>
      </w:r>
      <w:r>
        <w:rPr>
          <w:rFonts w:hint="eastAsia" w:ascii="黑体" w:hAnsi="黑体" w:eastAsia="黑体" w:cs="楷体_GB2312"/>
          <w:sz w:val="32"/>
          <w:szCs w:val="32"/>
        </w:rPr>
        <w:t>要点</w:t>
      </w:r>
    </w:p>
    <w:p w14:paraId="6F4D3330">
      <w:pPr>
        <w:ind w:firstLine="643" w:firstLineChars="200"/>
        <w:rPr>
          <w:rFonts w:ascii="仿宋" w:hAnsi="仿宋" w:eastAsia="仿宋" w:cs="仿宋"/>
          <w:sz w:val="32"/>
          <w:szCs w:val="32"/>
          <w:lang w:val="zh-CN"/>
        </w:rPr>
      </w:pPr>
      <w:r>
        <w:rPr>
          <w:rFonts w:hint="eastAsia" w:ascii="仿宋" w:hAnsi="仿宋" w:eastAsia="仿宋" w:cs="仿宋"/>
          <w:b/>
          <w:bCs/>
          <w:color w:val="333333"/>
          <w:sz w:val="32"/>
          <w:szCs w:val="32"/>
        </w:rPr>
        <w:t>1、</w:t>
      </w:r>
      <w:r>
        <w:rPr>
          <w:rFonts w:hint="eastAsia" w:ascii="仿宋" w:hAnsi="仿宋" w:eastAsia="仿宋" w:cs="仿宋"/>
          <w:b/>
          <w:bCs/>
          <w:kern w:val="0"/>
          <w:sz w:val="32"/>
          <w:szCs w:val="32"/>
        </w:rPr>
        <w:t>强化队伍管理工作。</w:t>
      </w:r>
      <w:r>
        <w:rPr>
          <w:rFonts w:hint="eastAsia" w:ascii="仿宋" w:hAnsi="仿宋" w:eastAsia="仿宋" w:cs="仿宋"/>
          <w:kern w:val="0"/>
          <w:sz w:val="32"/>
          <w:szCs w:val="32"/>
        </w:rPr>
        <w:t>纯洁队伍思想，规范教师行为，全面提高教师队伍整体素质。</w:t>
      </w:r>
      <w:r>
        <w:rPr>
          <w:rFonts w:hint="eastAsia" w:ascii="仿宋" w:hAnsi="仿宋" w:eastAsia="仿宋" w:cs="仿宋"/>
          <w:sz w:val="32"/>
          <w:szCs w:val="32"/>
        </w:rPr>
        <w:t>加强师德师风建设和考核工作，建立合理的考评机制和师德师风一票否决制。支部要按计划定期加强教职员工思想政治和法律法规学习教育（每周例会前5分钟），扎实开展好作风纪律教育，采取学习、交流、座谈、检测等方式大力提升和纯洁教师队伍的思想素质，提升士气，提倡奉献精神，让年老的不倚老卖老，年轻的勇挑重担，坚决杜绝拉小集团、开小会、宣传负面消息、工作</w:t>
      </w:r>
      <w:r>
        <w:rPr>
          <w:rFonts w:hint="eastAsia" w:ascii="仿宋" w:hAnsi="仿宋" w:eastAsia="仿宋" w:cs="仿宋"/>
          <w:sz w:val="32"/>
          <w:szCs w:val="32"/>
          <w:lang w:eastAsia="zh-CN"/>
        </w:rPr>
        <w:t>庸懒散</w:t>
      </w:r>
      <w:r>
        <w:rPr>
          <w:rFonts w:hint="eastAsia" w:ascii="仿宋" w:hAnsi="仿宋" w:eastAsia="仿宋" w:cs="仿宋"/>
          <w:sz w:val="32"/>
          <w:szCs w:val="32"/>
        </w:rPr>
        <w:t>浮托等现象，努力构建一个健康纯洁、尊重包容、积极向上的有温度有情怀的教师团队；党员及班子团队要以身作则</w:t>
      </w:r>
      <w:r>
        <w:rPr>
          <w:rFonts w:hint="eastAsia" w:ascii="仿宋" w:hAnsi="仿宋" w:eastAsia="仿宋" w:cs="仿宋"/>
          <w:kern w:val="0"/>
          <w:sz w:val="32"/>
          <w:szCs w:val="32"/>
        </w:rPr>
        <w:t>从政治上认识和对待作风问题，以行动作号令以身教作榜样率先垂范、以上率下，为全园教职工带好头。管理者既要挂帅更要出征，杜绝办公室遥控指挥，杜绝一味的派工方式，杜绝太过官方的管理姿态，杜绝随意调整和不完成教学任务的现象，杜绝因协调整合、支持配合不好而导致的工作冲突和矛盾问题；先进、优秀、人才、骨干、</w:t>
      </w:r>
      <w:r>
        <w:rPr>
          <w:rFonts w:hint="eastAsia" w:ascii="仿宋" w:hAnsi="仿宋" w:eastAsia="仿宋" w:cs="仿宋"/>
          <w:sz w:val="32"/>
          <w:szCs w:val="32"/>
        </w:rPr>
        <w:t>名师、高级职称教师</w:t>
      </w:r>
      <w:r>
        <w:rPr>
          <w:rFonts w:hint="eastAsia" w:ascii="仿宋" w:hAnsi="仿宋" w:eastAsia="仿宋" w:cs="仿宋"/>
          <w:kern w:val="0"/>
          <w:sz w:val="32"/>
          <w:szCs w:val="32"/>
        </w:rPr>
        <w:t>要名副其实，要在教育教学中充分发挥好榜样模范带头作用，让光环充分发光，让荣誉更为实在，掀起</w:t>
      </w:r>
      <w:r>
        <w:rPr>
          <w:rFonts w:hint="eastAsia" w:ascii="仿宋" w:hAnsi="仿宋" w:eastAsia="仿宋" w:cs="仿宋"/>
          <w:sz w:val="32"/>
          <w:szCs w:val="32"/>
        </w:rPr>
        <w:t>树典型学模范之风</w:t>
      </w:r>
      <w:r>
        <w:rPr>
          <w:rFonts w:hint="eastAsia" w:ascii="仿宋" w:hAnsi="仿宋" w:eastAsia="仿宋" w:cs="仿宋"/>
          <w:kern w:val="0"/>
          <w:sz w:val="32"/>
          <w:szCs w:val="32"/>
        </w:rPr>
        <w:t>；</w:t>
      </w:r>
      <w:r>
        <w:rPr>
          <w:rFonts w:hint="eastAsia" w:ascii="仿宋" w:hAnsi="仿宋" w:eastAsia="仿宋" w:cs="仿宋"/>
          <w:sz w:val="32"/>
          <w:szCs w:val="32"/>
        </w:rPr>
        <w:t>规范党员和班子民主生活会，勇于开展批评和自我批评；强化工作纪律管理制度，考核考勤制度要逗硬落实，增强教职员工的规矩意识责任意识；认真解读执行落实好第三届教代会出台的幼儿园各种评选制度考核办法，搞好公平公正的评优选先评职晋级工作，杜绝假公济私，以权谋私，杜绝欺瞒造假，无理取闹等给个人和集体造成不良影响恶劣行为；管理者与老师们要加强交流与沟通，构建良好的管理大工作环境，工会要务实开展好有益教师身心健康活跃团队精神的丰富多彩的活动，增强团队的凝聚力和向心力。深化微笑文化，践行微笑服务理念，以阳光的心态、暖心的言行待人处事。加强幼儿园的内控制度完善与管理，确保幼儿园的后勤、财务、项目、采购等工作规范严谨，确保幼儿园清正廉洁风清气正。</w:t>
      </w:r>
    </w:p>
    <w:p w14:paraId="43F08FF3">
      <w:pPr>
        <w:ind w:firstLine="643" w:firstLineChars="200"/>
        <w:rPr>
          <w:rFonts w:ascii="仿宋" w:hAnsi="仿宋" w:eastAsia="仿宋" w:cs="仿宋"/>
          <w:sz w:val="32"/>
          <w:szCs w:val="32"/>
          <w:lang w:val="zh-CN"/>
        </w:rPr>
      </w:pPr>
      <w:r>
        <w:rPr>
          <w:rFonts w:hint="eastAsia" w:ascii="仿宋" w:hAnsi="仿宋" w:eastAsia="仿宋" w:cs="仿宋"/>
          <w:b/>
          <w:bCs/>
          <w:sz w:val="32"/>
          <w:szCs w:val="32"/>
          <w:lang w:val="zh-CN"/>
        </w:rPr>
        <w:t>2、加强安全管理工作。</w:t>
      </w:r>
      <w:r>
        <w:rPr>
          <w:rFonts w:hint="eastAsia" w:ascii="仿宋" w:hAnsi="仿宋" w:eastAsia="仿宋" w:cs="仿宋"/>
          <w:sz w:val="32"/>
          <w:szCs w:val="32"/>
          <w:lang w:val="zh-CN"/>
        </w:rPr>
        <w:t>疫情防控不放松，以“零事故”为目标，全方位构建幼儿园安全管理体系，明确职责，细化安全考核细则，落实好“一岗双责”，逗硬执行安全责任一票否决制度，加大对门卫和食堂的规范管理力度。</w:t>
      </w:r>
    </w:p>
    <w:p w14:paraId="4326DE57">
      <w:pPr>
        <w:pStyle w:val="7"/>
        <w:widowControl/>
        <w:spacing w:before="90" w:line="480" w:lineRule="atLeast"/>
        <w:ind w:firstLine="643" w:firstLineChars="200"/>
        <w:jc w:val="both"/>
        <w:rPr>
          <w:rFonts w:ascii="仿宋" w:hAnsi="仿宋" w:eastAsia="仿宋" w:cs="仿宋"/>
          <w:bCs/>
          <w:color w:val="333333"/>
          <w:sz w:val="32"/>
          <w:szCs w:val="32"/>
        </w:rPr>
      </w:pPr>
      <w:r>
        <w:rPr>
          <w:rFonts w:hint="eastAsia" w:ascii="仿宋" w:hAnsi="仿宋" w:eastAsia="仿宋" w:cs="仿宋"/>
          <w:b/>
          <w:color w:val="333333"/>
          <w:sz w:val="32"/>
          <w:szCs w:val="32"/>
        </w:rPr>
        <w:t>3、规范班级管理工作。</w:t>
      </w:r>
      <w:r>
        <w:rPr>
          <w:rFonts w:hint="eastAsia" w:ascii="仿宋" w:hAnsi="仿宋" w:eastAsia="仿宋" w:cs="仿宋"/>
          <w:bCs/>
          <w:color w:val="333333"/>
          <w:sz w:val="32"/>
          <w:szCs w:val="32"/>
        </w:rPr>
        <w:t>教导处要认真落实好班级管理考核细则；定期开好班主任工作研讨会、经验交流总结会、培训会；明确班主任及配班教师职责；加强对班级管理工作、人员配合意识、责任意识的跟踪督察与考核。</w:t>
      </w:r>
    </w:p>
    <w:p w14:paraId="74A1B489">
      <w:pPr>
        <w:pStyle w:val="7"/>
        <w:widowControl/>
        <w:spacing w:before="90" w:line="480" w:lineRule="atLeast"/>
        <w:ind w:firstLine="643" w:firstLineChars="200"/>
        <w:jc w:val="both"/>
        <w:rPr>
          <w:rFonts w:ascii="仿宋" w:hAnsi="仿宋" w:eastAsia="仿宋" w:cs="仿宋"/>
          <w:bCs/>
          <w:color w:val="333333"/>
          <w:sz w:val="32"/>
          <w:szCs w:val="32"/>
        </w:rPr>
      </w:pPr>
      <w:r>
        <w:rPr>
          <w:rFonts w:hint="eastAsia" w:ascii="仿宋" w:hAnsi="仿宋" w:eastAsia="仿宋" w:cs="仿宋"/>
          <w:b/>
          <w:color w:val="333333"/>
          <w:sz w:val="32"/>
          <w:szCs w:val="32"/>
        </w:rPr>
        <w:t>4、重视家长工作。</w:t>
      </w:r>
      <w:r>
        <w:rPr>
          <w:rFonts w:hint="eastAsia" w:ascii="仿宋" w:hAnsi="仿宋" w:eastAsia="仿宋" w:cs="仿宋"/>
          <w:bCs/>
          <w:color w:val="333333"/>
          <w:sz w:val="32"/>
          <w:szCs w:val="32"/>
        </w:rPr>
        <w:t>家长工作是幼儿园各项工作是否良好开展的决定因素。要根据实际需要开好扎实有效的家长会、家委会；落实好家长助教活动；开展好家园交流技巧的培训研讨会、家长工作问诊研讨处方交流会；有针对性的搞好家长教育培训工作；做好家园共育的宣传宣讲工作，开展家长课堂讲座；争取社会各界的支持，</w:t>
      </w:r>
      <w:r>
        <w:rPr>
          <w:rFonts w:hint="eastAsia" w:ascii="仿宋" w:hAnsi="仿宋" w:eastAsia="仿宋" w:cs="仿宋"/>
          <w:sz w:val="32"/>
          <w:szCs w:val="32"/>
        </w:rPr>
        <w:t>搞好校园开放日活动，创建更为良好的办园环境。</w:t>
      </w:r>
    </w:p>
    <w:p w14:paraId="6D017D20">
      <w:pPr>
        <w:ind w:firstLine="630" w:firstLineChars="196"/>
        <w:rPr>
          <w:rFonts w:ascii="仿宋" w:hAnsi="仿宋" w:eastAsia="仿宋" w:cs="仿宋"/>
          <w:b/>
          <w:bCs/>
          <w:kern w:val="0"/>
          <w:sz w:val="32"/>
          <w:szCs w:val="32"/>
        </w:rPr>
      </w:pPr>
      <w:r>
        <w:rPr>
          <w:rFonts w:hint="eastAsia" w:ascii="仿宋" w:hAnsi="仿宋" w:eastAsia="仿宋" w:cs="仿宋"/>
          <w:b/>
          <w:bCs/>
          <w:kern w:val="0"/>
          <w:sz w:val="32"/>
          <w:szCs w:val="32"/>
        </w:rPr>
        <w:t>5、狠抓教学中心工作。</w:t>
      </w:r>
      <w:r>
        <w:rPr>
          <w:rFonts w:hint="eastAsia" w:ascii="仿宋" w:hAnsi="仿宋" w:eastAsia="仿宋" w:cs="仿宋"/>
          <w:kern w:val="0"/>
          <w:sz w:val="32"/>
          <w:szCs w:val="32"/>
        </w:rPr>
        <w:t>质量是一所幼儿园生存发展的生命线。要明确各段各领域的教学任务并落实责任，正确认识小学化倾向和游戏化教学；开展好定期与不定期的教学情况检查考核；开展好教育教学成果展评、汇报、检验活动；丰富教学课程内容，拓展园本课程研究活动；提高服务质量转变服务态度，规范好教育教学行为，奖勤罚懒；做好控流保生，控辍保学工作，确保生源稳中有升；扎实幼儿实践活动丰富德育活动常态行业参观；要特别强化孩子的行为习惯的养成教育和文明礼仪的培训培养。本期狠抓教学内容的落实，狠抓行为习惯的养成教育，部门要提出明确要求，扎实检查考核工作；开足开齐课程，开展好区角活动，科学育儿。</w:t>
      </w:r>
    </w:p>
    <w:p w14:paraId="6A9E74A0">
      <w:pPr>
        <w:ind w:firstLine="787" w:firstLineChars="245"/>
        <w:rPr>
          <w:rFonts w:ascii="仿宋" w:hAnsi="仿宋" w:eastAsia="仿宋" w:cs="仿宋"/>
          <w:b/>
          <w:bCs/>
          <w:kern w:val="0"/>
          <w:sz w:val="32"/>
          <w:szCs w:val="32"/>
        </w:rPr>
      </w:pPr>
      <w:r>
        <w:rPr>
          <w:rFonts w:hint="eastAsia" w:ascii="仿宋" w:hAnsi="仿宋" w:eastAsia="仿宋" w:cs="仿宋"/>
          <w:b/>
          <w:bCs/>
          <w:kern w:val="0"/>
          <w:sz w:val="32"/>
          <w:szCs w:val="32"/>
        </w:rPr>
        <w:t>6、扎实师资培训工作。</w:t>
      </w:r>
      <w:r>
        <w:rPr>
          <w:rFonts w:hint="eastAsia" w:ascii="仿宋" w:hAnsi="仿宋" w:eastAsia="仿宋" w:cs="仿宋"/>
          <w:kern w:val="0"/>
          <w:sz w:val="32"/>
          <w:szCs w:val="32"/>
        </w:rPr>
        <w:t>根据我园目前师资队伍实际情况制定科学有针对性的师培计划；加强对年轻教师的培训培养；开展号新聘教师见面课、合格课、研讨课等活动，制定临聘教师绩效考核方案并开展公平公正公开的考核工作；开展好不同年龄段教师的竞教竞技活动，促进师资水平的整体提高；落实好定期的业务学习，扎实指南的检测学习，开展1至2项技能培训；促进园所交流活动，常态化开展好师徒结对帮扶送交下乡活动；以课题研究提升教师的科研水平，有序开展市级课题研究，完成区级课题申奖工作。</w:t>
      </w:r>
    </w:p>
    <w:p w14:paraId="00A1A820">
      <w:pPr>
        <w:ind w:firstLine="636" w:firstLineChars="198"/>
        <w:rPr>
          <w:rFonts w:ascii="仿宋" w:hAnsi="仿宋" w:eastAsia="仿宋" w:cs="仿宋"/>
          <w:kern w:val="0"/>
          <w:sz w:val="32"/>
          <w:szCs w:val="32"/>
        </w:rPr>
      </w:pPr>
      <w:r>
        <w:rPr>
          <w:rFonts w:hint="eastAsia" w:ascii="仿宋" w:hAnsi="仿宋" w:eastAsia="仿宋" w:cs="仿宋"/>
          <w:b/>
          <w:bCs/>
          <w:kern w:val="0"/>
          <w:sz w:val="32"/>
          <w:szCs w:val="32"/>
        </w:rPr>
        <w:t>7、提升信息外宣工作。</w:t>
      </w:r>
      <w:r>
        <w:rPr>
          <w:rFonts w:hint="eastAsia" w:ascii="仿宋" w:hAnsi="仿宋" w:eastAsia="仿宋" w:cs="仿宋"/>
          <w:kern w:val="0"/>
          <w:sz w:val="32"/>
          <w:szCs w:val="32"/>
        </w:rPr>
        <w:t>活动要求高质量精品化，信息宣传工作要精准高质量，内容要规范、语言要精炼、图片要唯美；办公室严把质量关，各部门要严格信息要求规范信息内容；凡代表幼儿园发送的信息简报微信图片都必须要严格要求，不能不加思考不经过认真审核就发，要传递幼儿园的正能量、凸显亮点、特色，突出优势；各部门严格按要求完成信息宣传任务突出部门工作特色。规范微信QQ宣传平台。把它们作为幼儿园宣传幼儿园工作和活动的载体，传递正能量，激发团队活力，鼓舞工作积极性，不准在上面打广告、散布消极的非法的不讲政治的发泄私愤诋毁他人的言论，不发低级趣味的图片或信息，规范使用途径，大家要根据内容确定发送途径，不要随意乱发，通知群不发照片和其他非工作通知的信息，生活分享发微信群，凡是工作通知大家必须及时回复，对于幼儿园的活动等宣传大家要积极点赞，不要熟视无睹，对以上内容，纳入师德师风和各部门工作考核范畴。</w:t>
      </w:r>
    </w:p>
    <w:p w14:paraId="16D8C685">
      <w:pPr>
        <w:pStyle w:val="7"/>
        <w:widowControl/>
        <w:spacing w:line="540" w:lineRule="atLeast"/>
        <w:ind w:firstLine="555"/>
        <w:rPr>
          <w:rFonts w:ascii="仿宋" w:hAnsi="仿宋" w:eastAsia="仿宋" w:cs="仿宋"/>
          <w:sz w:val="32"/>
          <w:szCs w:val="32"/>
        </w:rPr>
      </w:pPr>
      <w:r>
        <w:rPr>
          <w:rFonts w:hint="eastAsia" w:ascii="仿宋" w:hAnsi="仿宋" w:eastAsia="仿宋" w:cs="仿宋"/>
          <w:b/>
          <w:bCs/>
          <w:sz w:val="32"/>
          <w:szCs w:val="32"/>
        </w:rPr>
        <w:t>8、着力特色亮点工作。</w:t>
      </w:r>
      <w:r>
        <w:rPr>
          <w:rFonts w:hint="eastAsia" w:ascii="仿宋" w:hAnsi="仿宋" w:eastAsia="仿宋" w:cs="仿宋"/>
          <w:sz w:val="32"/>
          <w:szCs w:val="32"/>
        </w:rPr>
        <w:t>各个部门，各个班级各位老师都要善于创新思维，不要穿新鞋走老路，克服思想上的惰性，要加强学习勇于实践与创新，努力打造部门工作特色、班级工作亮点、个人教学新模式，并将其做实做好形成常态提炼成果有推广价值。</w:t>
      </w:r>
    </w:p>
    <w:p w14:paraId="01296C72">
      <w:pPr>
        <w:pStyle w:val="7"/>
        <w:widowControl/>
        <w:spacing w:line="540" w:lineRule="atLeast"/>
        <w:ind w:firstLine="555"/>
        <w:rPr>
          <w:rStyle w:val="10"/>
          <w:rFonts w:ascii="仿宋" w:hAnsi="仿宋" w:eastAsia="仿宋" w:cs="仿宋"/>
          <w:sz w:val="32"/>
          <w:szCs w:val="32"/>
        </w:rPr>
      </w:pPr>
      <w:r>
        <w:rPr>
          <w:rFonts w:hint="eastAsia" w:ascii="仿宋" w:hAnsi="仿宋" w:eastAsia="仿宋" w:cs="仿宋"/>
          <w:b/>
          <w:bCs/>
          <w:color w:val="333333"/>
          <w:sz w:val="32"/>
          <w:szCs w:val="32"/>
        </w:rPr>
        <w:t>9、做好后勤保障工作。</w:t>
      </w:r>
      <w:r>
        <w:rPr>
          <w:rFonts w:hint="eastAsia" w:ascii="仿宋" w:hAnsi="仿宋" w:eastAsia="仿宋" w:cs="仿宋"/>
          <w:sz w:val="32"/>
          <w:szCs w:val="32"/>
        </w:rPr>
        <w:t>后勤工作是幼儿园各项工作的保障，其作用和影响不容忽视。财产的管理必须形成一贯的制度。做到家底清、责任明、维护好、管到位；物品采购必须要规范。先申请审核再落实采买；资金管理与使用必须严格遵守财务纪律。不能有任何违规违纪行为；食堂管理必须符合要求。人员培训要跟上，餐点服务要有创新、有变化、零利润。要在绿色环保、新鲜卫生、操作规范上有保障，确保饮食安全；要在花样、色彩上做文章，让孩子喜欢对餐饮感兴趣；要在品种上求突破，确保品种多样、质量精良、孩子营养；要在精细化上下功夫，让孩子吃饱吃好；要在餐前教育上多思考，激发孩子食欲传给孩子知识；要在陪餐上多用心，关注饮食质量、关心饮食安全、关心孩子就餐习惯，做好陪餐记录，及时反馈陪餐中发现的问题和积极的建议。项目工作要严格把关。把关程序的合理性，把关资料的完整性，把关设计的科学性，把关实施的安全性，把关质量的高要求。</w:t>
      </w:r>
    </w:p>
    <w:p w14:paraId="4EFA6F84">
      <w:pPr>
        <w:ind w:firstLine="643" w:firstLineChars="200"/>
        <w:rPr>
          <w:rFonts w:ascii="仿宋" w:hAnsi="仿宋" w:eastAsia="仿宋" w:cs="仿宋"/>
          <w:sz w:val="32"/>
          <w:szCs w:val="32"/>
        </w:rPr>
      </w:pPr>
      <w:r>
        <w:rPr>
          <w:rFonts w:hint="eastAsia" w:ascii="仿宋" w:hAnsi="仿宋" w:eastAsia="仿宋" w:cs="仿宋"/>
          <w:b/>
          <w:sz w:val="32"/>
          <w:szCs w:val="32"/>
        </w:rPr>
        <w:t>10、扎实推进项目落实。</w:t>
      </w:r>
      <w:r>
        <w:rPr>
          <w:rFonts w:hint="eastAsia" w:ascii="仿宋" w:hAnsi="仿宋" w:eastAsia="仿宋" w:cs="仿宋"/>
          <w:bCs/>
          <w:sz w:val="32"/>
          <w:szCs w:val="32"/>
        </w:rPr>
        <w:t>完善项目资料；</w:t>
      </w:r>
      <w:r>
        <w:rPr>
          <w:rFonts w:hint="eastAsia" w:ascii="仿宋" w:hAnsi="仿宋" w:eastAsia="仿宋" w:cs="仿宋"/>
          <w:kern w:val="0"/>
          <w:sz w:val="32"/>
          <w:szCs w:val="32"/>
        </w:rPr>
        <w:t>推进楼顶项目验收；加快峰景园区项目实施。</w:t>
      </w:r>
    </w:p>
    <w:p w14:paraId="438D835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虽然任务繁杂而艰巨，但我们必须迎难而上，要相信办法总比困难多。希望通过全园教职工共同努力，让我园队伍建设有成效，安全工作有保障，德育活动有特色，教学质量有提升，教育科研有亮点，家长工作有起色，后勤工作有口碑，分园工作有变化，办园品质有提升，让孩子发展得更好，老师成长得更快，质量提升得更明显，生源发展得更好，社会影响更大。但愿我们能用老师的“心血”换来家长的“满意”，用我们的“辛苦指数”换来大家的“幸福指数”。</w:t>
      </w:r>
    </w:p>
    <w:p w14:paraId="7E972804">
      <w:pPr>
        <w:ind w:firstLine="560" w:firstLineChars="200"/>
        <w:rPr>
          <w:rFonts w:ascii="黑体" w:hAnsi="黑体" w:eastAsia="黑体" w:cs="黑体"/>
          <w:sz w:val="32"/>
          <w:szCs w:val="32"/>
        </w:rPr>
      </w:pPr>
      <w:r>
        <w:rPr>
          <w:rFonts w:hint="eastAsia" w:ascii="仿宋" w:hAnsi="仿宋" w:eastAsia="仿宋" w:cs="仿宋"/>
          <w:sz w:val="28"/>
          <w:szCs w:val="28"/>
        </w:rPr>
        <w:t xml:space="preserve"> </w:t>
      </w:r>
      <w:r>
        <w:rPr>
          <w:rFonts w:hint="eastAsia" w:ascii="黑体" w:hAnsi="黑体" w:eastAsia="黑体" w:cs="黑体"/>
          <w:sz w:val="32"/>
          <w:szCs w:val="32"/>
        </w:rPr>
        <w:t>二、单位预算单位构成</w:t>
      </w:r>
    </w:p>
    <w:p w14:paraId="2798820B">
      <w:pPr>
        <w:ind w:firstLine="640" w:firstLineChars="200"/>
        <w:rPr>
          <w:rFonts w:ascii="仿宋" w:hAnsi="仿宋" w:eastAsia="仿宋"/>
          <w:sz w:val="32"/>
          <w:szCs w:val="32"/>
        </w:rPr>
      </w:pPr>
      <w:r>
        <w:rPr>
          <w:rFonts w:hint="eastAsia" w:ascii="仿宋" w:hAnsi="仿宋" w:eastAsia="仿宋"/>
          <w:sz w:val="32"/>
          <w:szCs w:val="32"/>
        </w:rPr>
        <w:t>本单位为广元市昭化区教育局我单位</w:t>
      </w:r>
      <w:r>
        <w:rPr>
          <w:rFonts w:ascii="仿宋" w:hAnsi="仿宋" w:eastAsia="仿宋"/>
          <w:sz w:val="32"/>
          <w:szCs w:val="32"/>
        </w:rPr>
        <w:t>属二级预算单位，</w:t>
      </w:r>
      <w:r>
        <w:rPr>
          <w:rFonts w:hint="eastAsia" w:ascii="仿宋" w:hAnsi="仿宋" w:eastAsia="仿宋"/>
          <w:sz w:val="32"/>
          <w:szCs w:val="32"/>
        </w:rPr>
        <w:t>单位性质为财政补助事业单位。2021年初共有幼儿708人，在编教师</w:t>
      </w:r>
      <w:r>
        <w:rPr>
          <w:rFonts w:ascii="仿宋" w:hAnsi="仿宋" w:eastAsia="仿宋"/>
          <w:sz w:val="32"/>
          <w:szCs w:val="32"/>
        </w:rPr>
        <w:t>28</w:t>
      </w:r>
      <w:r>
        <w:rPr>
          <w:rFonts w:hint="eastAsia" w:ascii="仿宋" w:hAnsi="仿宋" w:eastAsia="仿宋"/>
          <w:sz w:val="32"/>
          <w:szCs w:val="32"/>
        </w:rPr>
        <w:t>人。</w:t>
      </w:r>
    </w:p>
    <w:p w14:paraId="6B1E7CFF">
      <w:pPr>
        <w:pStyle w:val="2"/>
      </w:pPr>
    </w:p>
    <w:p w14:paraId="272A42B2">
      <w:pPr>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14:paraId="4BA7CEBB">
      <w:pPr>
        <w:spacing w:line="600" w:lineRule="exact"/>
        <w:ind w:firstLine="640" w:firstLineChars="200"/>
        <w:rPr>
          <w:rFonts w:ascii="仿宋" w:hAnsi="仿宋" w:eastAsia="仿宋"/>
          <w:sz w:val="32"/>
          <w:szCs w:val="32"/>
        </w:rPr>
      </w:pPr>
      <w:r>
        <w:rPr>
          <w:rFonts w:ascii="仿宋" w:hAnsi="仿宋" w:eastAsia="仿宋"/>
          <w:sz w:val="32"/>
          <w:szCs w:val="32"/>
        </w:rPr>
        <w:t>按照综合预算的原则，</w:t>
      </w:r>
      <w:r>
        <w:rPr>
          <w:rFonts w:hint="eastAsia" w:ascii="仿宋" w:hAnsi="仿宋" w:eastAsia="仿宋"/>
          <w:sz w:val="32"/>
          <w:szCs w:val="32"/>
        </w:rPr>
        <w:t>我单位</w:t>
      </w:r>
      <w:r>
        <w:rPr>
          <w:rFonts w:ascii="仿宋" w:hAnsi="仿宋" w:eastAsia="仿宋"/>
          <w:sz w:val="32"/>
          <w:szCs w:val="32"/>
        </w:rPr>
        <w:t>所有收入和支出均纳入</w:t>
      </w:r>
      <w:r>
        <w:rPr>
          <w:rFonts w:hint="eastAsia" w:ascii="仿宋" w:hAnsi="仿宋" w:eastAsia="仿宋"/>
          <w:sz w:val="32"/>
          <w:szCs w:val="32"/>
        </w:rPr>
        <w:t>单位</w:t>
      </w:r>
      <w:r>
        <w:rPr>
          <w:rFonts w:ascii="仿宋" w:hAnsi="仿宋" w:eastAsia="仿宋"/>
          <w:sz w:val="32"/>
          <w:szCs w:val="32"/>
        </w:rPr>
        <w:t>预算管理。收入包括：一般公共预算拨款收入；支出包括：教育支出。</w:t>
      </w: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年收支总预算</w:t>
      </w:r>
      <w:r>
        <w:rPr>
          <w:rFonts w:hint="eastAsia" w:ascii="仿宋" w:hAnsi="仿宋" w:eastAsia="仿宋"/>
          <w:sz w:val="32"/>
          <w:szCs w:val="32"/>
        </w:rPr>
        <w:t>665.7311</w:t>
      </w:r>
      <w:r>
        <w:rPr>
          <w:rFonts w:ascii="仿宋" w:hAnsi="仿宋" w:eastAsia="仿宋"/>
          <w:sz w:val="32"/>
          <w:szCs w:val="32"/>
        </w:rPr>
        <w:t>万元,比20</w:t>
      </w:r>
      <w:r>
        <w:rPr>
          <w:rFonts w:hint="eastAsia" w:ascii="仿宋" w:hAnsi="仿宋" w:eastAsia="仿宋"/>
          <w:sz w:val="32"/>
          <w:szCs w:val="32"/>
        </w:rPr>
        <w:t>20</w:t>
      </w:r>
      <w:r>
        <w:rPr>
          <w:rFonts w:ascii="仿宋" w:hAnsi="仿宋" w:eastAsia="仿宋"/>
          <w:sz w:val="32"/>
          <w:szCs w:val="32"/>
        </w:rPr>
        <w:t>年收支预算总数</w:t>
      </w:r>
      <w:r>
        <w:rPr>
          <w:rFonts w:hint="eastAsia" w:ascii="仿宋" w:hAnsi="仿宋" w:eastAsia="仿宋"/>
          <w:sz w:val="32"/>
          <w:szCs w:val="32"/>
        </w:rPr>
        <w:t>增加91.6114</w:t>
      </w:r>
      <w:r>
        <w:rPr>
          <w:rFonts w:ascii="仿宋" w:hAnsi="仿宋" w:eastAsia="仿宋"/>
          <w:sz w:val="32"/>
          <w:szCs w:val="32"/>
        </w:rPr>
        <w:t>万元，</w:t>
      </w:r>
      <w:r>
        <w:rPr>
          <w:rFonts w:hint="eastAsia" w:ascii="仿宋" w:hAnsi="仿宋" w:eastAsia="仿宋"/>
          <w:sz w:val="32"/>
          <w:szCs w:val="32"/>
        </w:rPr>
        <w:t>增加15.96%。</w:t>
      </w:r>
      <w:r>
        <w:rPr>
          <w:rFonts w:ascii="仿宋" w:hAnsi="仿宋" w:eastAsia="仿宋"/>
          <w:sz w:val="32"/>
          <w:szCs w:val="32"/>
        </w:rPr>
        <w:t>主要原因是202</w:t>
      </w:r>
      <w:r>
        <w:rPr>
          <w:rFonts w:hint="eastAsia" w:ascii="仿宋" w:hAnsi="仿宋" w:eastAsia="仿宋"/>
          <w:sz w:val="32"/>
          <w:szCs w:val="32"/>
        </w:rPr>
        <w:t>1</w:t>
      </w:r>
      <w:r>
        <w:rPr>
          <w:rFonts w:ascii="仿宋" w:hAnsi="仿宋" w:eastAsia="仿宋"/>
          <w:sz w:val="32"/>
          <w:szCs w:val="32"/>
        </w:rPr>
        <w:t>年</w:t>
      </w:r>
      <w:r>
        <w:rPr>
          <w:rFonts w:hint="eastAsia" w:ascii="仿宋" w:hAnsi="仿宋" w:eastAsia="仿宋"/>
          <w:sz w:val="32"/>
          <w:szCs w:val="32"/>
        </w:rPr>
        <w:t>单位人员经费增加。</w:t>
      </w:r>
    </w:p>
    <w:p w14:paraId="70995925">
      <w:pPr>
        <w:pStyle w:val="2"/>
      </w:pPr>
    </w:p>
    <w:p w14:paraId="02DC705D">
      <w:pPr>
        <w:ind w:firstLine="640" w:firstLineChars="200"/>
        <w:rPr>
          <w:rFonts w:ascii="黑体" w:hAnsi="黑体" w:eastAsia="黑体" w:cs="黑体"/>
          <w:sz w:val="32"/>
          <w:szCs w:val="32"/>
        </w:rPr>
      </w:pPr>
      <w:r>
        <w:rPr>
          <w:rFonts w:ascii="黑体" w:hAnsi="黑体" w:eastAsia="黑体" w:cs="黑体"/>
          <w:sz w:val="32"/>
          <w:szCs w:val="32"/>
        </w:rPr>
        <w:t>（一）收入预算情况</w:t>
      </w:r>
    </w:p>
    <w:p w14:paraId="0EB9396E">
      <w:pPr>
        <w:spacing w:line="600" w:lineRule="exact"/>
        <w:ind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年收入预算</w:t>
      </w:r>
      <w:r>
        <w:rPr>
          <w:rFonts w:hint="eastAsia" w:ascii="仿宋" w:hAnsi="仿宋" w:eastAsia="仿宋"/>
          <w:sz w:val="32"/>
          <w:szCs w:val="32"/>
        </w:rPr>
        <w:t>665.7311</w:t>
      </w:r>
      <w:r>
        <w:rPr>
          <w:rFonts w:ascii="仿宋" w:hAnsi="仿宋" w:eastAsia="仿宋"/>
          <w:sz w:val="32"/>
          <w:szCs w:val="32"/>
        </w:rPr>
        <w:t>万元，其中：一般公共预算拨款收入</w:t>
      </w:r>
      <w:r>
        <w:rPr>
          <w:rFonts w:hint="eastAsia" w:ascii="仿宋" w:hAnsi="仿宋" w:eastAsia="仿宋"/>
          <w:sz w:val="32"/>
          <w:szCs w:val="32"/>
        </w:rPr>
        <w:t>665.7311</w:t>
      </w:r>
      <w:r>
        <w:rPr>
          <w:rFonts w:ascii="仿宋" w:hAnsi="仿宋" w:eastAsia="仿宋"/>
          <w:sz w:val="32"/>
          <w:szCs w:val="32"/>
        </w:rPr>
        <w:t>万元，占</w:t>
      </w:r>
      <w:r>
        <w:rPr>
          <w:rFonts w:hint="eastAsia" w:ascii="仿宋" w:hAnsi="仿宋" w:eastAsia="仿宋"/>
          <w:sz w:val="32"/>
          <w:szCs w:val="32"/>
        </w:rPr>
        <w:t>100</w:t>
      </w:r>
      <w:r>
        <w:rPr>
          <w:rFonts w:ascii="仿宋" w:hAnsi="仿宋" w:eastAsia="仿宋"/>
          <w:sz w:val="32"/>
          <w:szCs w:val="32"/>
        </w:rPr>
        <w:t>%。</w:t>
      </w:r>
    </w:p>
    <w:p w14:paraId="57C218D0">
      <w:pPr>
        <w:pStyle w:val="2"/>
      </w:pPr>
    </w:p>
    <w:p w14:paraId="34FF2214">
      <w:pPr>
        <w:ind w:firstLine="640" w:firstLineChars="200"/>
        <w:rPr>
          <w:rFonts w:ascii="黑体" w:hAnsi="黑体" w:eastAsia="黑体" w:cs="黑体"/>
          <w:sz w:val="32"/>
          <w:szCs w:val="32"/>
        </w:rPr>
      </w:pPr>
      <w:r>
        <w:rPr>
          <w:rFonts w:ascii="黑体" w:hAnsi="黑体" w:eastAsia="黑体" w:cs="黑体"/>
          <w:sz w:val="32"/>
          <w:szCs w:val="32"/>
        </w:rPr>
        <w:t>（二）支出预算情况</w:t>
      </w:r>
    </w:p>
    <w:p w14:paraId="06A247AA">
      <w:pPr>
        <w:spacing w:line="600" w:lineRule="exact"/>
        <w:ind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年支出预算</w:t>
      </w:r>
      <w:r>
        <w:rPr>
          <w:rFonts w:hint="eastAsia" w:ascii="仿宋" w:hAnsi="仿宋" w:eastAsia="仿宋"/>
          <w:sz w:val="32"/>
          <w:szCs w:val="32"/>
        </w:rPr>
        <w:t>665.7311</w:t>
      </w:r>
      <w:r>
        <w:rPr>
          <w:rFonts w:ascii="仿宋" w:hAnsi="仿宋" w:eastAsia="仿宋"/>
          <w:sz w:val="32"/>
          <w:szCs w:val="32"/>
        </w:rPr>
        <w:t>万元，其中：基本支出</w:t>
      </w:r>
      <w:r>
        <w:rPr>
          <w:rFonts w:hint="eastAsia" w:ascii="仿宋" w:hAnsi="仿宋" w:eastAsia="仿宋"/>
          <w:sz w:val="32"/>
          <w:szCs w:val="32"/>
        </w:rPr>
        <w:t>665.7311</w:t>
      </w:r>
      <w:r>
        <w:rPr>
          <w:rFonts w:ascii="仿宋" w:hAnsi="仿宋" w:eastAsia="仿宋"/>
          <w:sz w:val="32"/>
          <w:szCs w:val="32"/>
        </w:rPr>
        <w:t>万元，占</w:t>
      </w:r>
      <w:r>
        <w:rPr>
          <w:rFonts w:hint="eastAsia" w:ascii="仿宋" w:hAnsi="仿宋" w:eastAsia="仿宋"/>
          <w:sz w:val="32"/>
          <w:szCs w:val="32"/>
        </w:rPr>
        <w:t>100</w:t>
      </w:r>
      <w:r>
        <w:rPr>
          <w:rFonts w:ascii="仿宋" w:hAnsi="仿宋" w:eastAsia="仿宋"/>
          <w:sz w:val="32"/>
          <w:szCs w:val="32"/>
        </w:rPr>
        <w:t>%；项目支出</w:t>
      </w:r>
      <w:r>
        <w:rPr>
          <w:rFonts w:hint="eastAsia" w:ascii="仿宋" w:hAnsi="仿宋" w:eastAsia="仿宋"/>
          <w:sz w:val="32"/>
          <w:szCs w:val="32"/>
        </w:rPr>
        <w:t>0</w:t>
      </w:r>
      <w:r>
        <w:rPr>
          <w:rFonts w:ascii="仿宋" w:hAnsi="仿宋" w:eastAsia="仿宋"/>
          <w:sz w:val="32"/>
          <w:szCs w:val="32"/>
        </w:rPr>
        <w:t>万元，占0.</w:t>
      </w:r>
      <w:r>
        <w:rPr>
          <w:rFonts w:hint="eastAsia" w:ascii="仿宋" w:hAnsi="仿宋" w:eastAsia="仿宋"/>
          <w:sz w:val="32"/>
          <w:szCs w:val="32"/>
        </w:rPr>
        <w:t>00</w:t>
      </w:r>
      <w:r>
        <w:rPr>
          <w:rFonts w:ascii="仿宋" w:hAnsi="仿宋" w:eastAsia="仿宋"/>
          <w:sz w:val="32"/>
          <w:szCs w:val="32"/>
        </w:rPr>
        <w:t>%。</w:t>
      </w:r>
    </w:p>
    <w:p w14:paraId="1F483818">
      <w:pPr>
        <w:pStyle w:val="2"/>
      </w:pPr>
    </w:p>
    <w:p w14:paraId="7D13A88B">
      <w:pPr>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14:paraId="69323299">
      <w:pPr>
        <w:spacing w:line="600" w:lineRule="exact"/>
        <w:ind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年财政拨款收支总预算</w:t>
      </w:r>
      <w:r>
        <w:rPr>
          <w:rFonts w:hint="eastAsia" w:ascii="仿宋" w:hAnsi="仿宋" w:eastAsia="仿宋"/>
          <w:sz w:val="32"/>
          <w:szCs w:val="32"/>
        </w:rPr>
        <w:t>665.7311</w:t>
      </w:r>
      <w:r>
        <w:rPr>
          <w:rFonts w:ascii="仿宋" w:hAnsi="仿宋" w:eastAsia="仿宋"/>
          <w:sz w:val="32"/>
          <w:szCs w:val="32"/>
        </w:rPr>
        <w:t>万元,比20</w:t>
      </w:r>
      <w:r>
        <w:rPr>
          <w:rFonts w:hint="eastAsia" w:ascii="仿宋" w:hAnsi="仿宋" w:eastAsia="仿宋"/>
          <w:sz w:val="32"/>
          <w:szCs w:val="32"/>
        </w:rPr>
        <w:t>20</w:t>
      </w:r>
      <w:r>
        <w:rPr>
          <w:rFonts w:ascii="仿宋" w:hAnsi="仿宋" w:eastAsia="仿宋"/>
          <w:sz w:val="32"/>
          <w:szCs w:val="32"/>
        </w:rPr>
        <w:t>年财政拨款收支总预算</w:t>
      </w:r>
      <w:r>
        <w:rPr>
          <w:rFonts w:hint="eastAsia" w:ascii="仿宋" w:hAnsi="仿宋" w:eastAsia="仿宋"/>
          <w:sz w:val="32"/>
          <w:szCs w:val="32"/>
        </w:rPr>
        <w:t>增加91.6114</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主要原因是202</w:t>
      </w:r>
      <w:r>
        <w:rPr>
          <w:rFonts w:hint="eastAsia" w:ascii="仿宋" w:hAnsi="仿宋" w:eastAsia="仿宋"/>
          <w:sz w:val="32"/>
          <w:szCs w:val="32"/>
        </w:rPr>
        <w:t>1</w:t>
      </w:r>
      <w:r>
        <w:rPr>
          <w:rFonts w:ascii="仿宋" w:hAnsi="仿宋" w:eastAsia="仿宋"/>
          <w:sz w:val="32"/>
          <w:szCs w:val="32"/>
        </w:rPr>
        <w:t>年</w:t>
      </w:r>
      <w:r>
        <w:rPr>
          <w:rFonts w:hint="eastAsia" w:ascii="仿宋" w:hAnsi="仿宋" w:eastAsia="仿宋"/>
          <w:sz w:val="32"/>
          <w:szCs w:val="32"/>
        </w:rPr>
        <w:t>单位人员经费增加</w:t>
      </w:r>
      <w:r>
        <w:rPr>
          <w:rFonts w:ascii="仿宋" w:hAnsi="仿宋" w:eastAsia="仿宋"/>
          <w:sz w:val="32"/>
          <w:szCs w:val="32"/>
        </w:rPr>
        <w:t>。</w:t>
      </w:r>
    </w:p>
    <w:p w14:paraId="58D5063C">
      <w:pPr>
        <w:spacing w:line="600" w:lineRule="exact"/>
        <w:ind w:left="790" w:leftChars="300" w:hanging="160" w:hangingChars="50"/>
        <w:rPr>
          <w:rFonts w:ascii="仿宋" w:hAnsi="仿宋" w:eastAsia="仿宋"/>
          <w:sz w:val="32"/>
          <w:szCs w:val="32"/>
        </w:rPr>
      </w:pPr>
      <w:r>
        <w:rPr>
          <w:rFonts w:ascii="仿宋" w:hAnsi="仿宋" w:eastAsia="仿宋"/>
          <w:sz w:val="32"/>
          <w:szCs w:val="32"/>
        </w:rPr>
        <w:t>收入包括：本年一般公共预算拨款收入</w:t>
      </w:r>
      <w:r>
        <w:rPr>
          <w:rFonts w:hint="eastAsia" w:ascii="仿宋" w:hAnsi="仿宋" w:eastAsia="仿宋"/>
          <w:sz w:val="32"/>
          <w:szCs w:val="32"/>
        </w:rPr>
        <w:t>665.7311</w:t>
      </w:r>
      <w:r>
        <w:rPr>
          <w:rFonts w:ascii="仿宋" w:hAnsi="仿宋" w:eastAsia="仿宋"/>
          <w:sz w:val="32"/>
          <w:szCs w:val="32"/>
        </w:rPr>
        <w:t>万</w:t>
      </w:r>
      <w:r>
        <w:rPr>
          <w:rFonts w:hint="eastAsia" w:ascii="仿宋" w:hAnsi="仿宋" w:eastAsia="仿宋"/>
          <w:sz w:val="32"/>
          <w:szCs w:val="32"/>
        </w:rPr>
        <w:t>。</w:t>
      </w:r>
    </w:p>
    <w:p w14:paraId="63B283F9">
      <w:pPr>
        <w:spacing w:line="600" w:lineRule="exact"/>
        <w:ind w:left="790" w:leftChars="300" w:hanging="160" w:hangingChars="50"/>
        <w:rPr>
          <w:rFonts w:ascii="仿宋" w:hAnsi="仿宋" w:eastAsia="仿宋"/>
          <w:sz w:val="32"/>
          <w:szCs w:val="32"/>
        </w:rPr>
      </w:pPr>
      <w:r>
        <w:rPr>
          <w:rFonts w:ascii="仿宋" w:hAnsi="仿宋" w:eastAsia="仿宋"/>
          <w:sz w:val="32"/>
          <w:szCs w:val="32"/>
        </w:rPr>
        <w:t>支出包括：教育支出</w:t>
      </w:r>
      <w:r>
        <w:rPr>
          <w:rFonts w:hint="eastAsia" w:ascii="仿宋" w:hAnsi="仿宋" w:eastAsia="仿宋"/>
          <w:sz w:val="32"/>
          <w:szCs w:val="32"/>
        </w:rPr>
        <w:t>665.7311</w:t>
      </w:r>
      <w:r>
        <w:rPr>
          <w:rFonts w:ascii="仿宋" w:hAnsi="仿宋" w:eastAsia="仿宋"/>
          <w:sz w:val="32"/>
          <w:szCs w:val="32"/>
        </w:rPr>
        <w:t>万元。</w:t>
      </w:r>
    </w:p>
    <w:p w14:paraId="129BF855">
      <w:pPr>
        <w:pStyle w:val="2"/>
      </w:pPr>
    </w:p>
    <w:p w14:paraId="392699AA">
      <w:pPr>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14:paraId="46A73D67">
      <w:pPr>
        <w:ind w:firstLine="640" w:firstLineChars="200"/>
        <w:rPr>
          <w:rFonts w:ascii="黑体" w:hAnsi="黑体" w:eastAsia="黑体" w:cs="黑体"/>
          <w:sz w:val="32"/>
          <w:szCs w:val="32"/>
        </w:rPr>
      </w:pPr>
      <w:r>
        <w:rPr>
          <w:rFonts w:ascii="黑体" w:hAnsi="黑体" w:eastAsia="黑体" w:cs="黑体"/>
          <w:sz w:val="32"/>
          <w:szCs w:val="32"/>
        </w:rPr>
        <w:t>（一）一般公共预算当年拨款规模变化情况</w:t>
      </w:r>
    </w:p>
    <w:p w14:paraId="6EFC2267">
      <w:pPr>
        <w:spacing w:line="600" w:lineRule="exact"/>
        <w:ind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年一般公共预算当年拨款</w:t>
      </w:r>
      <w:r>
        <w:rPr>
          <w:rFonts w:hint="eastAsia" w:ascii="仿宋" w:hAnsi="仿宋" w:eastAsia="仿宋"/>
          <w:sz w:val="32"/>
          <w:szCs w:val="32"/>
        </w:rPr>
        <w:t>665.7311</w:t>
      </w:r>
      <w:r>
        <w:rPr>
          <w:rFonts w:ascii="仿宋" w:hAnsi="仿宋" w:eastAsia="仿宋"/>
          <w:sz w:val="32"/>
          <w:szCs w:val="32"/>
        </w:rPr>
        <w:t>万元，</w:t>
      </w:r>
      <w:r>
        <w:rPr>
          <w:rFonts w:hint="eastAsia" w:ascii="仿宋" w:hAnsi="仿宋" w:eastAsia="仿宋"/>
          <w:sz w:val="32"/>
          <w:szCs w:val="32"/>
        </w:rPr>
        <w:t>100%。</w:t>
      </w:r>
    </w:p>
    <w:p w14:paraId="259B3726">
      <w:pPr>
        <w:ind w:firstLine="640" w:firstLineChars="200"/>
        <w:rPr>
          <w:rFonts w:ascii="黑体" w:hAnsi="黑体" w:eastAsia="黑体" w:cs="黑体"/>
          <w:sz w:val="32"/>
          <w:szCs w:val="32"/>
        </w:rPr>
      </w:pPr>
      <w:r>
        <w:rPr>
          <w:rFonts w:ascii="黑体" w:hAnsi="黑体" w:eastAsia="黑体" w:cs="黑体"/>
          <w:sz w:val="32"/>
          <w:szCs w:val="32"/>
        </w:rPr>
        <w:t>（二）一般公共预算当年拨款结构情况</w:t>
      </w:r>
    </w:p>
    <w:p w14:paraId="4702A1B8">
      <w:pPr>
        <w:spacing w:line="600" w:lineRule="exact"/>
        <w:ind w:firstLine="640" w:firstLineChars="200"/>
        <w:rPr>
          <w:rFonts w:ascii="仿宋" w:hAnsi="仿宋" w:eastAsia="仿宋"/>
          <w:sz w:val="32"/>
          <w:szCs w:val="32"/>
        </w:rPr>
      </w:pPr>
      <w:r>
        <w:rPr>
          <w:rFonts w:ascii="仿宋" w:hAnsi="仿宋" w:eastAsia="仿宋"/>
          <w:sz w:val="32"/>
          <w:szCs w:val="32"/>
        </w:rPr>
        <w:t>教育支出</w:t>
      </w:r>
      <w:r>
        <w:rPr>
          <w:rFonts w:hint="eastAsia" w:ascii="仿宋" w:hAnsi="仿宋" w:eastAsia="仿宋"/>
          <w:sz w:val="32"/>
          <w:szCs w:val="32"/>
        </w:rPr>
        <w:t>665.7311</w:t>
      </w:r>
      <w:r>
        <w:rPr>
          <w:rFonts w:ascii="仿宋" w:hAnsi="仿宋" w:eastAsia="仿宋"/>
          <w:sz w:val="32"/>
          <w:szCs w:val="32"/>
        </w:rPr>
        <w:t>万元，占</w:t>
      </w:r>
      <w:r>
        <w:rPr>
          <w:rFonts w:hint="eastAsia" w:ascii="仿宋" w:hAnsi="仿宋" w:eastAsia="仿宋"/>
          <w:sz w:val="32"/>
          <w:szCs w:val="32"/>
        </w:rPr>
        <w:t>100</w:t>
      </w:r>
      <w:r>
        <w:rPr>
          <w:rFonts w:ascii="仿宋" w:hAnsi="仿宋" w:eastAsia="仿宋"/>
          <w:sz w:val="32"/>
          <w:szCs w:val="32"/>
        </w:rPr>
        <w:t>%。</w:t>
      </w:r>
    </w:p>
    <w:p w14:paraId="0E5F5CE4">
      <w:pPr>
        <w:ind w:firstLine="640" w:firstLineChars="200"/>
        <w:rPr>
          <w:rFonts w:ascii="黑体" w:hAnsi="黑体" w:eastAsia="黑体" w:cs="黑体"/>
          <w:sz w:val="32"/>
          <w:szCs w:val="32"/>
        </w:rPr>
      </w:pPr>
      <w:r>
        <w:rPr>
          <w:rFonts w:ascii="黑体" w:hAnsi="黑体" w:eastAsia="黑体" w:cs="黑体"/>
          <w:sz w:val="32"/>
          <w:szCs w:val="32"/>
        </w:rPr>
        <w:t>（三）一般公共预算当年拨款具体使用情况</w:t>
      </w:r>
    </w:p>
    <w:p w14:paraId="1BA0C877">
      <w:pPr>
        <w:spacing w:line="600" w:lineRule="exact"/>
        <w:ind w:firstLine="640" w:firstLineChars="200"/>
        <w:rPr>
          <w:rFonts w:ascii="仿宋" w:hAnsi="仿宋" w:eastAsia="仿宋"/>
          <w:sz w:val="32"/>
          <w:szCs w:val="32"/>
        </w:rPr>
      </w:pPr>
      <w:r>
        <w:rPr>
          <w:rFonts w:hint="eastAsia" w:ascii="仿宋" w:hAnsi="仿宋" w:eastAsia="仿宋" w:cs="黑体"/>
          <w:sz w:val="32"/>
          <w:szCs w:val="32"/>
        </w:rPr>
        <w:t>教育支出</w:t>
      </w:r>
      <w:r>
        <w:rPr>
          <w:rFonts w:ascii="仿宋" w:hAnsi="仿宋" w:eastAsia="仿宋" w:cs="黑体"/>
          <w:sz w:val="32"/>
          <w:szCs w:val="32"/>
        </w:rPr>
        <w:t>（</w:t>
      </w:r>
      <w:r>
        <w:rPr>
          <w:rFonts w:hint="eastAsia" w:ascii="仿宋" w:hAnsi="仿宋" w:eastAsia="仿宋" w:cs="黑体"/>
          <w:sz w:val="32"/>
          <w:szCs w:val="32"/>
        </w:rPr>
        <w:t>205</w:t>
      </w:r>
      <w:r>
        <w:rPr>
          <w:rFonts w:ascii="仿宋" w:hAnsi="仿宋" w:eastAsia="仿宋" w:cs="黑体"/>
          <w:sz w:val="32"/>
          <w:szCs w:val="32"/>
        </w:rPr>
        <w:t>类）</w:t>
      </w:r>
      <w:r>
        <w:rPr>
          <w:rFonts w:hint="eastAsia" w:ascii="仿宋" w:hAnsi="仿宋" w:eastAsia="仿宋" w:cs="黑体"/>
          <w:sz w:val="32"/>
          <w:szCs w:val="32"/>
        </w:rPr>
        <w:t>普通教育</w:t>
      </w:r>
      <w:r>
        <w:rPr>
          <w:rFonts w:ascii="仿宋" w:hAnsi="仿宋" w:eastAsia="仿宋" w:cs="黑体"/>
          <w:sz w:val="32"/>
          <w:szCs w:val="32"/>
        </w:rPr>
        <w:t>（</w:t>
      </w:r>
      <w:r>
        <w:rPr>
          <w:rFonts w:hint="eastAsia" w:ascii="仿宋" w:hAnsi="仿宋" w:eastAsia="仿宋" w:cs="黑体"/>
          <w:sz w:val="32"/>
          <w:szCs w:val="32"/>
        </w:rPr>
        <w:t>02</w:t>
      </w:r>
      <w:r>
        <w:rPr>
          <w:rFonts w:ascii="仿宋" w:hAnsi="仿宋" w:eastAsia="仿宋" w:cs="黑体"/>
          <w:sz w:val="32"/>
          <w:szCs w:val="32"/>
        </w:rPr>
        <w:t>款）</w:t>
      </w:r>
      <w:r>
        <w:rPr>
          <w:rFonts w:hint="eastAsia" w:ascii="仿宋" w:hAnsi="仿宋" w:eastAsia="仿宋" w:cs="黑体"/>
          <w:sz w:val="32"/>
          <w:szCs w:val="32"/>
        </w:rPr>
        <w:t>学前教育</w:t>
      </w:r>
      <w:r>
        <w:rPr>
          <w:rFonts w:ascii="仿宋" w:hAnsi="仿宋" w:eastAsia="仿宋" w:cs="黑体"/>
          <w:sz w:val="32"/>
          <w:szCs w:val="32"/>
        </w:rPr>
        <w:t>（</w:t>
      </w:r>
      <w:r>
        <w:rPr>
          <w:rFonts w:hint="eastAsia" w:ascii="仿宋" w:hAnsi="仿宋" w:eastAsia="仿宋" w:cs="黑体"/>
          <w:sz w:val="32"/>
          <w:szCs w:val="32"/>
        </w:rPr>
        <w:t>01</w:t>
      </w:r>
      <w:r>
        <w:rPr>
          <w:rFonts w:ascii="仿宋" w:hAnsi="仿宋" w:eastAsia="仿宋" w:cs="黑体"/>
          <w:sz w:val="32"/>
          <w:szCs w:val="32"/>
        </w:rPr>
        <w:t>项）</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年预算数为</w:t>
      </w:r>
      <w:r>
        <w:rPr>
          <w:rFonts w:hint="eastAsia" w:ascii="仿宋" w:hAnsi="仿宋" w:eastAsia="仿宋"/>
          <w:sz w:val="32"/>
          <w:szCs w:val="32"/>
        </w:rPr>
        <w:t>665.7311</w:t>
      </w:r>
      <w:r>
        <w:rPr>
          <w:rFonts w:ascii="仿宋" w:hAnsi="仿宋" w:eastAsia="仿宋"/>
          <w:sz w:val="32"/>
          <w:szCs w:val="32"/>
        </w:rPr>
        <w:t>万元，主要用于：</w:t>
      </w:r>
      <w:r>
        <w:rPr>
          <w:rFonts w:hint="eastAsia" w:ascii="仿宋" w:hAnsi="仿宋" w:eastAsia="仿宋"/>
          <w:sz w:val="32"/>
          <w:szCs w:val="32"/>
        </w:rPr>
        <w:t>学前教育发展的基本支出，</w:t>
      </w:r>
      <w:r>
        <w:rPr>
          <w:rFonts w:ascii="仿宋" w:hAnsi="仿宋" w:eastAsia="仿宋"/>
          <w:sz w:val="32"/>
          <w:szCs w:val="32"/>
        </w:rPr>
        <w:t>包括基本工资、津贴补贴等人员经费以及办公费、印刷费、水电费等日常公用经费</w:t>
      </w:r>
      <w:r>
        <w:rPr>
          <w:rFonts w:hint="eastAsia" w:ascii="仿宋" w:hAnsi="仿宋" w:eastAsia="仿宋"/>
          <w:sz w:val="32"/>
          <w:szCs w:val="32"/>
        </w:rPr>
        <w:t>。</w:t>
      </w:r>
    </w:p>
    <w:p w14:paraId="51863399">
      <w:pPr>
        <w:pStyle w:val="2"/>
      </w:pPr>
    </w:p>
    <w:p w14:paraId="7D263CCB">
      <w:pPr>
        <w:spacing w:line="600" w:lineRule="exact"/>
      </w:pPr>
      <w:r>
        <w:rPr>
          <w:rFonts w:ascii="仿宋_GB2312" w:hAnsi="微软雅黑" w:eastAsia="仿宋_GB2312" w:cs="仿宋_GB2312"/>
          <w:sz w:val="31"/>
          <w:szCs w:val="31"/>
        </w:rPr>
        <w:t>　　</w:t>
      </w:r>
      <w:r>
        <w:rPr>
          <w:rFonts w:hint="eastAsia" w:ascii="黑体" w:hAnsi="黑体" w:eastAsia="黑体" w:cs="黑体"/>
          <w:sz w:val="32"/>
          <w:szCs w:val="32"/>
        </w:rPr>
        <w:t>六、一般公共预算基本支出情况说明</w:t>
      </w:r>
    </w:p>
    <w:p w14:paraId="1FF5CDA1">
      <w:pPr>
        <w:spacing w:line="600"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w:t>
      </w:r>
      <w:r>
        <w:rPr>
          <w:rFonts w:hint="eastAsia" w:ascii="仿宋" w:hAnsi="仿宋" w:eastAsia="仿宋"/>
          <w:sz w:val="32"/>
          <w:szCs w:val="32"/>
        </w:rPr>
        <w:t>我单位</w:t>
      </w:r>
      <w:r>
        <w:rPr>
          <w:rFonts w:ascii="仿宋" w:hAnsi="仿宋" w:eastAsia="仿宋"/>
          <w:sz w:val="32"/>
          <w:szCs w:val="32"/>
        </w:rPr>
        <w:t>一般公共预算基本支出</w:t>
      </w:r>
      <w:r>
        <w:rPr>
          <w:rFonts w:hint="eastAsia" w:ascii="仿宋" w:hAnsi="仿宋" w:eastAsia="仿宋"/>
          <w:sz w:val="32"/>
          <w:szCs w:val="32"/>
        </w:rPr>
        <w:t>665.7311</w:t>
      </w:r>
      <w:r>
        <w:rPr>
          <w:rFonts w:ascii="仿宋" w:hAnsi="仿宋" w:eastAsia="仿宋"/>
          <w:sz w:val="32"/>
          <w:szCs w:val="32"/>
        </w:rPr>
        <w:t>万元，其中：人员经费</w:t>
      </w:r>
      <w:r>
        <w:rPr>
          <w:rFonts w:hint="eastAsia" w:ascii="仿宋" w:hAnsi="仿宋" w:eastAsia="仿宋"/>
          <w:sz w:val="32"/>
          <w:szCs w:val="32"/>
        </w:rPr>
        <w:t>475.0311</w:t>
      </w:r>
      <w:r>
        <w:rPr>
          <w:rFonts w:ascii="仿宋" w:hAnsi="仿宋" w:eastAsia="仿宋"/>
          <w:sz w:val="32"/>
          <w:szCs w:val="32"/>
        </w:rPr>
        <w:t>万元，主要包括：基本工资、津贴补贴、奖金、</w:t>
      </w:r>
      <w:r>
        <w:rPr>
          <w:rFonts w:hint="eastAsia" w:ascii="仿宋" w:hAnsi="仿宋" w:eastAsia="仿宋"/>
          <w:sz w:val="32"/>
          <w:szCs w:val="32"/>
        </w:rPr>
        <w:t>绩效工资、</w:t>
      </w:r>
      <w:r>
        <w:rPr>
          <w:rFonts w:ascii="仿宋" w:hAnsi="仿宋" w:eastAsia="仿宋"/>
          <w:sz w:val="32"/>
          <w:szCs w:val="32"/>
        </w:rPr>
        <w:t>社会保险缴费、离休费、住房公积金等支出。</w:t>
      </w:r>
    </w:p>
    <w:p w14:paraId="6084DA1C">
      <w:pPr>
        <w:ind w:firstLine="640" w:firstLineChars="200"/>
        <w:rPr>
          <w:rFonts w:ascii="仿宋" w:hAnsi="仿宋" w:eastAsia="仿宋"/>
          <w:sz w:val="32"/>
          <w:szCs w:val="32"/>
        </w:rPr>
      </w:pPr>
      <w:r>
        <w:rPr>
          <w:rFonts w:ascii="仿宋" w:hAnsi="仿宋" w:eastAsia="仿宋"/>
          <w:sz w:val="32"/>
          <w:szCs w:val="32"/>
        </w:rPr>
        <w:t>公用经费</w:t>
      </w:r>
      <w:r>
        <w:rPr>
          <w:rFonts w:hint="eastAsia" w:ascii="仿宋" w:hAnsi="仿宋" w:eastAsia="仿宋"/>
          <w:sz w:val="32"/>
          <w:szCs w:val="32"/>
        </w:rPr>
        <w:t>190.7</w:t>
      </w:r>
      <w:r>
        <w:rPr>
          <w:rFonts w:ascii="仿宋" w:hAnsi="仿宋" w:eastAsia="仿宋"/>
          <w:sz w:val="32"/>
          <w:szCs w:val="32"/>
        </w:rPr>
        <w:t>万元，主要包括：办公费、水费、电费、邮电费、印刷费、差旅费、维修（护）费、物业管理费、劳务费、会议费、培训费、公务用车运行维护费、接待费、出国（境）费、其他交通费</w:t>
      </w:r>
      <w:r>
        <w:rPr>
          <w:rFonts w:hint="eastAsia" w:ascii="仿宋" w:hAnsi="仿宋" w:eastAsia="仿宋"/>
          <w:sz w:val="32"/>
          <w:szCs w:val="32"/>
        </w:rPr>
        <w:t>、生活补助、助学金</w:t>
      </w:r>
      <w:r>
        <w:rPr>
          <w:rFonts w:ascii="仿宋" w:hAnsi="仿宋" w:eastAsia="仿宋"/>
          <w:sz w:val="32"/>
          <w:szCs w:val="32"/>
        </w:rPr>
        <w:t>等支出。</w:t>
      </w:r>
    </w:p>
    <w:p w14:paraId="3E88117C">
      <w:pPr>
        <w:pStyle w:val="2"/>
      </w:pPr>
    </w:p>
    <w:p w14:paraId="4EC1AFED">
      <w:pPr>
        <w:pStyle w:val="7"/>
        <w:widowControl/>
        <w:spacing w:before="120" w:line="600" w:lineRule="exact"/>
        <w:ind w:firstLine="645"/>
        <w:rPr>
          <w:rFonts w:ascii="黑体" w:hAnsi="黑体" w:eastAsia="黑体" w:cs="黑体"/>
          <w:kern w:val="2"/>
          <w:sz w:val="32"/>
          <w:szCs w:val="32"/>
        </w:rPr>
      </w:pPr>
      <w:r>
        <w:rPr>
          <w:rFonts w:hint="eastAsia" w:ascii="黑体" w:hAnsi="黑体" w:eastAsia="黑体" w:cs="黑体"/>
          <w:kern w:val="2"/>
          <w:sz w:val="32"/>
          <w:szCs w:val="32"/>
        </w:rPr>
        <w:t>七、“三公”经费财政拨款预算安排情况说明</w:t>
      </w:r>
    </w:p>
    <w:p w14:paraId="708ABFFD">
      <w:pPr>
        <w:spacing w:line="600" w:lineRule="exact"/>
        <w:ind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年“三公”经费财政拨款预算数</w:t>
      </w:r>
      <w:r>
        <w:rPr>
          <w:rFonts w:hint="eastAsia" w:ascii="仿宋" w:hAnsi="仿宋" w:eastAsia="仿宋"/>
          <w:sz w:val="32"/>
          <w:szCs w:val="32"/>
        </w:rPr>
        <w:t>0</w:t>
      </w:r>
      <w:r>
        <w:rPr>
          <w:rFonts w:ascii="仿宋" w:hAnsi="仿宋" w:eastAsia="仿宋"/>
          <w:sz w:val="32"/>
          <w:szCs w:val="32"/>
        </w:rPr>
        <w:t>万元，其中：因公出国（境）经费 0万元；公务用车</w:t>
      </w:r>
      <w:r>
        <w:rPr>
          <w:rFonts w:hint="eastAsia" w:ascii="仿宋" w:hAnsi="仿宋" w:eastAsia="仿宋"/>
          <w:sz w:val="32"/>
          <w:szCs w:val="32"/>
        </w:rPr>
        <w:t>购置及</w:t>
      </w:r>
      <w:r>
        <w:rPr>
          <w:rFonts w:ascii="仿宋" w:hAnsi="仿宋" w:eastAsia="仿宋"/>
          <w:sz w:val="32"/>
          <w:szCs w:val="32"/>
        </w:rPr>
        <w:t>运行维护费0万元；公务接待费预算</w:t>
      </w:r>
      <w:r>
        <w:rPr>
          <w:rFonts w:hint="eastAsia" w:ascii="仿宋" w:hAnsi="仿宋" w:eastAsia="仿宋"/>
          <w:sz w:val="32"/>
          <w:szCs w:val="32"/>
        </w:rPr>
        <w:t>0</w:t>
      </w:r>
      <w:r>
        <w:rPr>
          <w:rFonts w:ascii="仿宋" w:hAnsi="仿宋" w:eastAsia="仿宋"/>
          <w:sz w:val="32"/>
          <w:szCs w:val="32"/>
        </w:rPr>
        <w:t>万元。</w:t>
      </w:r>
    </w:p>
    <w:p w14:paraId="7E1636CB">
      <w:pPr>
        <w:spacing w:line="600" w:lineRule="exact"/>
        <w:ind w:firstLine="640" w:firstLineChars="200"/>
        <w:rPr>
          <w:rFonts w:ascii="仿宋" w:hAnsi="仿宋" w:eastAsia="仿宋"/>
          <w:sz w:val="32"/>
          <w:szCs w:val="32"/>
        </w:rPr>
      </w:pPr>
      <w:r>
        <w:rPr>
          <w:rFonts w:ascii="仿宋" w:hAnsi="仿宋" w:eastAsia="仿宋"/>
          <w:sz w:val="32"/>
          <w:szCs w:val="32"/>
        </w:rPr>
        <w:t>公务接待费</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w:t>
      </w:r>
      <w:r>
        <w:rPr>
          <w:rFonts w:ascii="仿宋" w:hAnsi="仿宋" w:eastAsia="仿宋"/>
          <w:sz w:val="32"/>
          <w:szCs w:val="32"/>
        </w:rPr>
        <w:t>年预算</w:t>
      </w:r>
      <w:r>
        <w:rPr>
          <w:rFonts w:hint="eastAsia" w:ascii="仿宋" w:hAnsi="仿宋" w:eastAsia="仿宋"/>
          <w:sz w:val="32"/>
          <w:szCs w:val="32"/>
        </w:rPr>
        <w:t>持平</w:t>
      </w:r>
      <w:r>
        <w:rPr>
          <w:rFonts w:ascii="仿宋" w:hAnsi="仿宋" w:eastAsia="仿宋"/>
          <w:sz w:val="32"/>
          <w:szCs w:val="32"/>
        </w:rPr>
        <w:t>。主要原因是按照党中央、国务院关于过“紧日子”和坚持厉行节约反对浪费的要求，进一步减少公务接待费支出。</w:t>
      </w:r>
    </w:p>
    <w:p w14:paraId="7CE86462">
      <w:pPr>
        <w:pStyle w:val="7"/>
        <w:widowControl/>
        <w:numPr>
          <w:ilvl w:val="0"/>
          <w:numId w:val="2"/>
        </w:numPr>
        <w:spacing w:before="120" w:line="576" w:lineRule="exact"/>
        <w:ind w:firstLine="645"/>
        <w:rPr>
          <w:rFonts w:ascii="仿宋" w:hAnsi="仿宋" w:eastAsia="仿宋"/>
          <w:sz w:val="32"/>
          <w:szCs w:val="32"/>
        </w:rPr>
      </w:pPr>
      <w:r>
        <w:rPr>
          <w:rFonts w:ascii="仿宋" w:hAnsi="仿宋" w:eastAsia="仿宋"/>
          <w:sz w:val="32"/>
          <w:szCs w:val="32"/>
        </w:rPr>
        <w:t>因公出国（境）经费较2020年预算持平。</w:t>
      </w:r>
    </w:p>
    <w:p w14:paraId="2BCA6022">
      <w:pPr>
        <w:pStyle w:val="7"/>
        <w:widowControl/>
        <w:spacing w:before="120" w:line="576" w:lineRule="exact"/>
        <w:ind w:firstLine="640" w:firstLineChars="200"/>
        <w:rPr>
          <w:rFonts w:ascii="仿宋" w:hAnsi="仿宋" w:eastAsia="仿宋"/>
          <w:sz w:val="32"/>
          <w:szCs w:val="32"/>
        </w:rPr>
      </w:pPr>
      <w:r>
        <w:rPr>
          <w:rFonts w:ascii="仿宋" w:hAnsi="仿宋" w:eastAsia="仿宋"/>
          <w:sz w:val="32"/>
          <w:szCs w:val="32"/>
        </w:rPr>
        <w:t xml:space="preserve">（二）公务接待费较2020年预算持平。 </w:t>
      </w:r>
    </w:p>
    <w:p w14:paraId="0A4D6824">
      <w:pPr>
        <w:pStyle w:val="7"/>
        <w:widowControl/>
        <w:spacing w:before="120" w:line="576" w:lineRule="exact"/>
        <w:ind w:firstLine="645"/>
        <w:rPr>
          <w:rFonts w:ascii="仿宋" w:hAnsi="仿宋" w:eastAsia="仿宋"/>
          <w:sz w:val="32"/>
          <w:szCs w:val="32"/>
        </w:rPr>
      </w:pPr>
      <w:r>
        <w:rPr>
          <w:rFonts w:ascii="仿宋" w:hAnsi="仿宋" w:eastAsia="仿宋"/>
          <w:sz w:val="32"/>
          <w:szCs w:val="32"/>
        </w:rPr>
        <w:t>（三）公务用车购置及运行维护费与2020年预算</w:t>
      </w:r>
      <w:r>
        <w:rPr>
          <w:rFonts w:hint="eastAsia" w:ascii="仿宋" w:hAnsi="仿宋" w:eastAsia="仿宋"/>
          <w:sz w:val="32"/>
          <w:szCs w:val="32"/>
        </w:rPr>
        <w:t>持平</w:t>
      </w:r>
      <w:r>
        <w:rPr>
          <w:rFonts w:ascii="仿宋" w:hAnsi="仿宋" w:eastAsia="仿宋"/>
          <w:sz w:val="32"/>
          <w:szCs w:val="32"/>
        </w:rPr>
        <w:t>。</w:t>
      </w:r>
    </w:p>
    <w:p w14:paraId="3208D58B">
      <w:pPr>
        <w:pStyle w:val="7"/>
        <w:widowControl/>
        <w:spacing w:before="120" w:line="600" w:lineRule="exact"/>
        <w:ind w:firstLine="645"/>
        <w:rPr>
          <w:rFonts w:ascii="黑体" w:hAnsi="黑体" w:eastAsia="黑体" w:cs="黑体"/>
          <w:kern w:val="2"/>
          <w:sz w:val="32"/>
          <w:szCs w:val="32"/>
        </w:rPr>
      </w:pPr>
      <w:r>
        <w:rPr>
          <w:rFonts w:hint="eastAsia" w:ascii="黑体" w:hAnsi="黑体" w:eastAsia="黑体" w:cs="黑体"/>
          <w:kern w:val="2"/>
          <w:sz w:val="32"/>
          <w:szCs w:val="32"/>
        </w:rPr>
        <w:t>八、政府性基金预算支出情况说明</w:t>
      </w:r>
    </w:p>
    <w:p w14:paraId="2C0F193A">
      <w:pPr>
        <w:spacing w:line="600" w:lineRule="exact"/>
        <w:ind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年没有使用政府性基金预算拨款安排的支出。</w:t>
      </w:r>
      <w:r>
        <w:rPr>
          <w:rFonts w:hint="eastAsia" w:ascii="仿宋" w:hAnsi="仿宋" w:eastAsia="仿宋"/>
          <w:sz w:val="32"/>
          <w:szCs w:val="32"/>
        </w:rPr>
        <w:t>2021年本单位未在政府性基金预算拨款安排</w:t>
      </w:r>
      <w:r>
        <w:rPr>
          <w:rFonts w:hint="eastAsia" w:ascii="仿宋" w:hAnsi="仿宋" w:eastAsia="仿宋"/>
          <w:sz w:val="32"/>
          <w:szCs w:val="32"/>
          <w:lang w:eastAsia="zh-CN"/>
        </w:rPr>
        <w:t>“三公”经费</w:t>
      </w:r>
      <w:r>
        <w:rPr>
          <w:rFonts w:hint="eastAsia" w:ascii="仿宋" w:hAnsi="仿宋" w:eastAsia="仿宋"/>
          <w:sz w:val="32"/>
          <w:szCs w:val="32"/>
        </w:rPr>
        <w:t>支出。</w:t>
      </w:r>
    </w:p>
    <w:p w14:paraId="342E9A8B">
      <w:pPr>
        <w:pStyle w:val="2"/>
      </w:pPr>
    </w:p>
    <w:p w14:paraId="07F53F9D">
      <w:pPr>
        <w:pStyle w:val="7"/>
        <w:widowControl/>
        <w:spacing w:before="120" w:line="600" w:lineRule="exact"/>
        <w:ind w:firstLine="645"/>
        <w:rPr>
          <w:rFonts w:ascii="黑体" w:hAnsi="黑体" w:eastAsia="黑体" w:cs="黑体"/>
          <w:kern w:val="2"/>
          <w:sz w:val="32"/>
          <w:szCs w:val="32"/>
        </w:rPr>
      </w:pPr>
      <w:r>
        <w:rPr>
          <w:rFonts w:hint="eastAsia" w:ascii="黑体" w:hAnsi="黑体" w:eastAsia="黑体" w:cs="黑体"/>
          <w:kern w:val="2"/>
          <w:sz w:val="32"/>
          <w:szCs w:val="32"/>
        </w:rPr>
        <w:t>九、国有资本经营预算支出情况说明</w:t>
      </w:r>
    </w:p>
    <w:p w14:paraId="7FDE2522">
      <w:pPr>
        <w:spacing w:line="600" w:lineRule="exact"/>
        <w:ind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w:t>
      </w:r>
      <w:r>
        <w:rPr>
          <w:rFonts w:hint="eastAsia" w:ascii="仿宋" w:hAnsi="仿宋" w:eastAsia="仿宋"/>
          <w:sz w:val="32"/>
          <w:szCs w:val="32"/>
        </w:rPr>
        <w:t>无</w:t>
      </w:r>
      <w:r>
        <w:rPr>
          <w:rFonts w:ascii="仿宋" w:hAnsi="仿宋" w:eastAsia="仿宋"/>
          <w:sz w:val="32"/>
          <w:szCs w:val="32"/>
        </w:rPr>
        <w:t>国有资本经营预算拨款安排的支出。</w:t>
      </w:r>
    </w:p>
    <w:p w14:paraId="4E51A760">
      <w:pPr>
        <w:pStyle w:val="2"/>
      </w:pPr>
      <w:bookmarkStart w:id="0" w:name="_GoBack"/>
      <w:bookmarkEnd w:id="0"/>
    </w:p>
    <w:p w14:paraId="4BA2093B">
      <w:pPr>
        <w:pStyle w:val="7"/>
        <w:widowControl/>
        <w:spacing w:before="120" w:line="600" w:lineRule="exact"/>
        <w:ind w:firstLine="645"/>
        <w:rPr>
          <w:rFonts w:ascii="黑体" w:hAnsi="黑体" w:eastAsia="黑体" w:cs="黑体"/>
          <w:kern w:val="2"/>
          <w:sz w:val="32"/>
          <w:szCs w:val="32"/>
        </w:rPr>
      </w:pPr>
      <w:r>
        <w:rPr>
          <w:rFonts w:hint="eastAsia" w:ascii="黑体" w:hAnsi="黑体" w:eastAsia="黑体" w:cs="黑体"/>
          <w:kern w:val="2"/>
          <w:sz w:val="32"/>
          <w:szCs w:val="32"/>
        </w:rPr>
        <w:t>十、其他重要事项的情况说明</w:t>
      </w:r>
    </w:p>
    <w:p w14:paraId="33819113">
      <w:pPr>
        <w:pStyle w:val="7"/>
        <w:widowControl/>
        <w:spacing w:before="120" w:line="600" w:lineRule="exact"/>
        <w:ind w:firstLine="645"/>
        <w:rPr>
          <w:rFonts w:ascii="黑体" w:hAnsi="黑体" w:eastAsia="黑体" w:cs="黑体"/>
          <w:kern w:val="2"/>
          <w:sz w:val="32"/>
          <w:szCs w:val="32"/>
        </w:rPr>
      </w:pPr>
      <w:r>
        <w:rPr>
          <w:rFonts w:ascii="黑体" w:hAnsi="黑体" w:eastAsia="黑体" w:cs="黑体"/>
          <w:kern w:val="2"/>
          <w:sz w:val="32"/>
          <w:szCs w:val="32"/>
        </w:rPr>
        <w:t>（一）机关运行经费</w:t>
      </w:r>
    </w:p>
    <w:p w14:paraId="0A7E4698">
      <w:pPr>
        <w:pStyle w:val="7"/>
        <w:widowControl/>
        <w:spacing w:before="120" w:line="576" w:lineRule="exact"/>
        <w:ind w:firstLine="645"/>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年，本单位属于公益</w:t>
      </w:r>
      <w:r>
        <w:rPr>
          <w:rFonts w:hint="eastAsia" w:ascii="仿宋" w:hAnsi="仿宋" w:eastAsia="仿宋"/>
          <w:sz w:val="32"/>
          <w:szCs w:val="32"/>
        </w:rPr>
        <w:t>二</w:t>
      </w:r>
      <w:r>
        <w:rPr>
          <w:rFonts w:ascii="仿宋" w:hAnsi="仿宋" w:eastAsia="仿宋"/>
          <w:sz w:val="32"/>
          <w:szCs w:val="32"/>
        </w:rPr>
        <w:t xml:space="preserve">类事业单位无机关运行经费。 </w:t>
      </w:r>
    </w:p>
    <w:p w14:paraId="2DD4DA10">
      <w:pPr>
        <w:pStyle w:val="7"/>
        <w:widowControl/>
        <w:spacing w:before="120" w:line="600" w:lineRule="exact"/>
        <w:ind w:firstLine="645"/>
        <w:rPr>
          <w:rFonts w:ascii="黑体" w:hAnsi="黑体" w:eastAsia="黑体" w:cs="黑体"/>
          <w:kern w:val="2"/>
          <w:sz w:val="32"/>
          <w:szCs w:val="32"/>
        </w:rPr>
      </w:pPr>
      <w:r>
        <w:rPr>
          <w:rFonts w:ascii="黑体" w:hAnsi="黑体" w:eastAsia="黑体" w:cs="黑体"/>
          <w:kern w:val="2"/>
          <w:sz w:val="32"/>
          <w:szCs w:val="32"/>
        </w:rPr>
        <w:t>（二）政府采购情况</w:t>
      </w:r>
    </w:p>
    <w:p w14:paraId="012B46C6">
      <w:pPr>
        <w:spacing w:line="600" w:lineRule="exac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1</w:t>
      </w:r>
      <w:r>
        <w:rPr>
          <w:rFonts w:ascii="仿宋" w:hAnsi="仿宋" w:eastAsia="仿宋"/>
          <w:sz w:val="32"/>
          <w:szCs w:val="32"/>
        </w:rPr>
        <w:t>年，</w:t>
      </w:r>
      <w:r>
        <w:rPr>
          <w:rFonts w:hint="eastAsia" w:ascii="仿宋" w:hAnsi="仿宋" w:eastAsia="仿宋"/>
          <w:sz w:val="32"/>
          <w:szCs w:val="32"/>
        </w:rPr>
        <w:t>我单位没有</w:t>
      </w:r>
      <w:r>
        <w:rPr>
          <w:rFonts w:ascii="仿宋" w:hAnsi="仿宋" w:eastAsia="仿宋"/>
          <w:sz w:val="32"/>
          <w:szCs w:val="32"/>
        </w:rPr>
        <w:t>安排政府采购预算</w:t>
      </w:r>
      <w:r>
        <w:rPr>
          <w:rFonts w:hint="eastAsia" w:ascii="仿宋" w:hAnsi="仿宋" w:eastAsia="仿宋"/>
          <w:sz w:val="32"/>
          <w:szCs w:val="32"/>
        </w:rPr>
        <w:t>。</w:t>
      </w:r>
    </w:p>
    <w:p w14:paraId="5B84B705">
      <w:pPr>
        <w:pStyle w:val="7"/>
        <w:widowControl/>
        <w:spacing w:before="120" w:line="600" w:lineRule="exact"/>
        <w:ind w:firstLine="645"/>
        <w:rPr>
          <w:rFonts w:ascii="黑体" w:hAnsi="黑体" w:eastAsia="黑体" w:cs="黑体"/>
          <w:kern w:val="2"/>
          <w:sz w:val="32"/>
          <w:szCs w:val="32"/>
        </w:rPr>
      </w:pPr>
      <w:r>
        <w:rPr>
          <w:rFonts w:ascii="黑体" w:hAnsi="黑体" w:eastAsia="黑体" w:cs="黑体"/>
          <w:kern w:val="2"/>
          <w:sz w:val="32"/>
          <w:szCs w:val="32"/>
        </w:rPr>
        <w:t>（三）国有资产占有使用情况</w:t>
      </w:r>
    </w:p>
    <w:p w14:paraId="5A6F3B6E">
      <w:pPr>
        <w:spacing w:line="600" w:lineRule="exact"/>
        <w:ind w:firstLine="640" w:firstLineChars="200"/>
        <w:rPr>
          <w:rFonts w:ascii="仿宋" w:hAnsi="仿宋" w:eastAsia="仿宋"/>
          <w:sz w:val="32"/>
          <w:szCs w:val="32"/>
        </w:rPr>
      </w:pPr>
      <w:r>
        <w:rPr>
          <w:rFonts w:ascii="仿宋" w:hAnsi="仿宋" w:eastAsia="仿宋"/>
          <w:sz w:val="32"/>
          <w:szCs w:val="32"/>
        </w:rPr>
        <w:t>截至20</w:t>
      </w:r>
      <w:r>
        <w:rPr>
          <w:rFonts w:hint="eastAsia" w:ascii="仿宋" w:hAnsi="仿宋" w:eastAsia="仿宋"/>
          <w:sz w:val="32"/>
          <w:szCs w:val="32"/>
        </w:rPr>
        <w:t>20</w:t>
      </w:r>
      <w:r>
        <w:rPr>
          <w:rFonts w:ascii="仿宋" w:hAnsi="仿宋" w:eastAsia="仿宋"/>
          <w:sz w:val="32"/>
          <w:szCs w:val="32"/>
        </w:rPr>
        <w:t>年底，</w:t>
      </w:r>
      <w:r>
        <w:rPr>
          <w:rFonts w:hint="eastAsia" w:ascii="仿宋" w:hAnsi="仿宋" w:eastAsia="仿宋"/>
          <w:sz w:val="32"/>
          <w:szCs w:val="32"/>
        </w:rPr>
        <w:t>我单位</w:t>
      </w:r>
      <w:r>
        <w:rPr>
          <w:rFonts w:ascii="仿宋" w:hAnsi="仿宋" w:eastAsia="仿宋"/>
          <w:sz w:val="32"/>
          <w:szCs w:val="32"/>
        </w:rPr>
        <w:t>共有车辆</w:t>
      </w:r>
      <w:r>
        <w:rPr>
          <w:rFonts w:hint="eastAsia" w:ascii="仿宋" w:hAnsi="仿宋" w:eastAsia="仿宋"/>
          <w:sz w:val="32"/>
          <w:szCs w:val="32"/>
        </w:rPr>
        <w:t>0</w:t>
      </w:r>
      <w:r>
        <w:rPr>
          <w:rFonts w:ascii="仿宋" w:hAnsi="仿宋" w:eastAsia="仿宋"/>
          <w:sz w:val="32"/>
          <w:szCs w:val="32"/>
        </w:rPr>
        <w:t>辆。单位价值200万元以上大型设备0台（套）。</w:t>
      </w:r>
    </w:p>
    <w:p w14:paraId="0CEB8D0B">
      <w:pPr>
        <w:spacing w:line="600" w:lineRule="exact"/>
        <w:ind w:firstLine="640" w:firstLineChars="200"/>
        <w:rPr>
          <w:rFonts w:ascii="仿宋" w:hAnsi="仿宋" w:eastAsia="仿宋"/>
          <w:sz w:val="32"/>
          <w:szCs w:val="32"/>
        </w:rPr>
      </w:pPr>
      <w:r>
        <w:rPr>
          <w:rFonts w:ascii="仿宋" w:hAnsi="仿宋" w:eastAsia="仿宋"/>
          <w:sz w:val="32"/>
          <w:szCs w:val="32"/>
        </w:rPr>
        <w:t>2021年</w:t>
      </w:r>
      <w:r>
        <w:rPr>
          <w:rFonts w:hint="eastAsia" w:ascii="仿宋" w:hAnsi="仿宋" w:eastAsia="仿宋"/>
          <w:sz w:val="32"/>
          <w:szCs w:val="32"/>
        </w:rPr>
        <w:t>单位</w:t>
      </w:r>
      <w:r>
        <w:rPr>
          <w:rFonts w:ascii="仿宋" w:hAnsi="仿宋" w:eastAsia="仿宋"/>
          <w:sz w:val="32"/>
          <w:szCs w:val="32"/>
        </w:rPr>
        <w:t>预算未安排购置单位价值200万元以上大型设备。</w:t>
      </w:r>
    </w:p>
    <w:p w14:paraId="11ABD754">
      <w:pPr>
        <w:pStyle w:val="7"/>
        <w:widowControl/>
        <w:spacing w:before="120" w:line="600" w:lineRule="exact"/>
        <w:ind w:firstLine="645"/>
        <w:rPr>
          <w:rFonts w:ascii="黑体" w:hAnsi="黑体" w:eastAsia="黑体" w:cs="黑体"/>
          <w:kern w:val="2"/>
          <w:sz w:val="32"/>
          <w:szCs w:val="32"/>
        </w:rPr>
      </w:pPr>
      <w:r>
        <w:rPr>
          <w:rFonts w:ascii="黑体" w:hAnsi="黑体" w:eastAsia="黑体" w:cs="黑体"/>
          <w:kern w:val="2"/>
          <w:sz w:val="32"/>
          <w:szCs w:val="32"/>
        </w:rPr>
        <w:t>（四）绩效目标设置情况</w:t>
      </w:r>
    </w:p>
    <w:p w14:paraId="537AE4D8">
      <w:pPr>
        <w:pStyle w:val="7"/>
        <w:widowControl/>
        <w:spacing w:line="576"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2021年我单位实行绩效目标管理的项目0个，一般公共预算0万元。</w:t>
      </w:r>
    </w:p>
    <w:p w14:paraId="516604C2">
      <w:pPr>
        <w:pStyle w:val="7"/>
        <w:widowControl/>
        <w:spacing w:line="576" w:lineRule="exact"/>
        <w:ind w:firstLine="640" w:firstLineChars="200"/>
        <w:jc w:val="both"/>
        <w:rPr>
          <w:rFonts w:ascii="仿宋" w:hAnsi="仿宋" w:eastAsia="仿宋" w:cs="仿宋"/>
          <w:sz w:val="32"/>
          <w:szCs w:val="32"/>
        </w:rPr>
      </w:pPr>
    </w:p>
    <w:p w14:paraId="771A4E85">
      <w:pPr>
        <w:pStyle w:val="7"/>
        <w:widowControl/>
        <w:spacing w:before="120" w:line="600" w:lineRule="exact"/>
        <w:ind w:firstLine="645"/>
        <w:rPr>
          <w:rFonts w:ascii="黑体" w:hAnsi="黑体" w:eastAsia="黑体"/>
          <w:kern w:val="2"/>
          <w:sz w:val="32"/>
          <w:szCs w:val="32"/>
        </w:rPr>
      </w:pPr>
      <w:r>
        <w:rPr>
          <w:rFonts w:hint="eastAsia" w:ascii="黑体" w:hAnsi="黑体" w:eastAsia="黑体"/>
          <w:kern w:val="2"/>
          <w:sz w:val="32"/>
          <w:szCs w:val="32"/>
        </w:rPr>
        <w:t>十一、名词解释</w:t>
      </w:r>
    </w:p>
    <w:p w14:paraId="75240AE5">
      <w:pPr>
        <w:ind w:firstLine="640" w:firstLineChars="200"/>
        <w:rPr>
          <w:rFonts w:ascii="Times New Roman" w:hAnsi="Times New Roman" w:eastAsia="仿宋_GB2312"/>
          <w:sz w:val="32"/>
          <w:szCs w:val="32"/>
        </w:rPr>
      </w:pPr>
      <w:r>
        <w:rPr>
          <w:rFonts w:ascii="Times New Roman" w:hAnsi="Times New Roman" w:eastAsia="仿宋_GB2312"/>
          <w:sz w:val="32"/>
          <w:szCs w:val="32"/>
        </w:rPr>
        <w:t> （一）一般公共预算拨款收入：</w:t>
      </w:r>
      <w:r>
        <w:rPr>
          <w:rFonts w:ascii="仿宋" w:hAnsi="仿宋" w:eastAsia="仿宋"/>
          <w:sz w:val="32"/>
          <w:szCs w:val="32"/>
        </w:rPr>
        <w:t>指</w:t>
      </w:r>
      <w:r>
        <w:rPr>
          <w:rFonts w:hint="eastAsia" w:ascii="仿宋" w:hAnsi="仿宋" w:eastAsia="仿宋"/>
          <w:sz w:val="32"/>
          <w:szCs w:val="32"/>
        </w:rPr>
        <w:t>同</w:t>
      </w:r>
      <w:r>
        <w:rPr>
          <w:rFonts w:ascii="仿宋" w:hAnsi="仿宋" w:eastAsia="仿宋"/>
          <w:sz w:val="32"/>
          <w:szCs w:val="32"/>
        </w:rPr>
        <w:t>级财政当年拨付的资金。</w:t>
      </w:r>
      <w:r>
        <w:rPr>
          <w:rFonts w:hint="eastAsia" w:ascii="Times New Roman" w:hAnsi="Times New Roman" w:eastAsia="仿宋_GB2312"/>
          <w:sz w:val="32"/>
          <w:szCs w:val="32"/>
        </w:rPr>
        <w:br w:type="textWrapping"/>
      </w:r>
      <w:r>
        <w:rPr>
          <w:rFonts w:ascii="Times New Roman" w:hAnsi="Times New Roman" w:eastAsia="仿宋_GB2312"/>
          <w:sz w:val="32"/>
          <w:szCs w:val="32"/>
        </w:rPr>
        <w:t>　　</w:t>
      </w:r>
      <w:r>
        <w:rPr>
          <w:rFonts w:hint="eastAsia" w:ascii="Times New Roman" w:hAnsi="Times New Roman" w:eastAsia="仿宋_GB2312"/>
          <w:sz w:val="32"/>
          <w:szCs w:val="32"/>
        </w:rPr>
        <w:t>（二）教育（类）205（款）02（项）01：</w:t>
      </w:r>
      <w:r>
        <w:rPr>
          <w:rFonts w:hint="eastAsia" w:ascii="仿宋" w:hAnsi="仿宋" w:eastAsia="仿宋"/>
          <w:sz w:val="32"/>
          <w:szCs w:val="32"/>
        </w:rPr>
        <w:t>指学期教育</w:t>
      </w:r>
      <w:r>
        <w:rPr>
          <w:rFonts w:hint="eastAsia" w:ascii="Times New Roman" w:hAnsi="Times New Roman" w:eastAsia="仿宋_GB2312"/>
          <w:sz w:val="32"/>
          <w:szCs w:val="32"/>
        </w:rPr>
        <w:t>。</w:t>
      </w:r>
    </w:p>
    <w:p w14:paraId="662381DB">
      <w:pPr>
        <w:spacing w:line="600" w:lineRule="exact"/>
        <w:ind w:firstLine="640" w:firstLineChars="200"/>
        <w:rPr>
          <w:rFonts w:ascii="仿宋" w:hAnsi="仿宋" w:eastAsia="仿宋"/>
          <w:sz w:val="32"/>
          <w:szCs w:val="32"/>
        </w:rPr>
      </w:pPr>
      <w:r>
        <w:rPr>
          <w:rFonts w:ascii="Times New Roman" w:hAnsi="Times New Roman" w:eastAsia="仿宋_GB2312"/>
          <w:sz w:val="32"/>
          <w:szCs w:val="32"/>
        </w:rPr>
        <w:t>（</w:t>
      </w:r>
      <w:r>
        <w:rPr>
          <w:rFonts w:hint="eastAsia" w:ascii="Times New Roman" w:hAnsi="Times New Roman" w:eastAsia="仿宋_GB2312"/>
          <w:sz w:val="32"/>
          <w:szCs w:val="32"/>
        </w:rPr>
        <w:t>三</w:t>
      </w:r>
      <w:r>
        <w:rPr>
          <w:rFonts w:ascii="Times New Roman" w:hAnsi="Times New Roman" w:eastAsia="仿宋_GB2312"/>
          <w:sz w:val="32"/>
          <w:szCs w:val="32"/>
        </w:rPr>
        <w:t>）基本支出：</w:t>
      </w:r>
      <w:r>
        <w:rPr>
          <w:rFonts w:ascii="仿宋" w:hAnsi="仿宋" w:eastAsia="仿宋"/>
          <w:sz w:val="32"/>
          <w:szCs w:val="32"/>
        </w:rPr>
        <w:t>指为保证机构正常运转，完成日常工作任务而发生的人员支出和公用支出。</w:t>
      </w:r>
      <w:r>
        <w:rPr>
          <w:rFonts w:hint="eastAsia" w:ascii="Times New Roman" w:hAnsi="Times New Roman" w:eastAsia="仿宋_GB2312"/>
          <w:sz w:val="32"/>
          <w:szCs w:val="32"/>
        </w:rPr>
        <w:br w:type="textWrapping"/>
      </w:r>
      <w:r>
        <w:rPr>
          <w:rFonts w:ascii="Times New Roman" w:hAnsi="Times New Roman" w:eastAsia="仿宋_GB2312"/>
          <w:sz w:val="32"/>
          <w:szCs w:val="32"/>
        </w:rPr>
        <w:t>　　（</w:t>
      </w:r>
      <w:r>
        <w:rPr>
          <w:rFonts w:hint="eastAsia" w:ascii="Times New Roman" w:hAnsi="Times New Roman" w:eastAsia="仿宋_GB2312"/>
          <w:sz w:val="32"/>
          <w:szCs w:val="32"/>
        </w:rPr>
        <w:t>四</w:t>
      </w:r>
      <w:r>
        <w:rPr>
          <w:rFonts w:ascii="Times New Roman" w:hAnsi="Times New Roman" w:eastAsia="仿宋_GB2312"/>
          <w:sz w:val="32"/>
          <w:szCs w:val="32"/>
        </w:rPr>
        <w:t>）项目支出：</w:t>
      </w:r>
      <w:r>
        <w:rPr>
          <w:rFonts w:ascii="仿宋" w:hAnsi="仿宋" w:eastAsia="仿宋"/>
          <w:sz w:val="32"/>
          <w:szCs w:val="32"/>
        </w:rPr>
        <w:t>指在基本支出之外为完成特定行政任务和事业发展目标所发生的支出。</w:t>
      </w:r>
    </w:p>
    <w:p w14:paraId="7E672CAA">
      <w:pPr>
        <w:pStyle w:val="7"/>
        <w:widowControl/>
        <w:spacing w:before="120" w:line="576" w:lineRule="exact"/>
        <w:ind w:firstLine="640" w:firstLineChars="200"/>
        <w:rPr>
          <w:rFonts w:ascii="仿宋" w:hAnsi="仿宋" w:eastAsia="仿宋"/>
          <w:sz w:val="31"/>
          <w:szCs w:val="31"/>
        </w:rPr>
      </w:pPr>
      <w:r>
        <w:rPr>
          <w:rFonts w:ascii="Times New Roman" w:hAnsi="Times New Roman" w:eastAsia="仿宋_GB2312"/>
          <w:sz w:val="32"/>
          <w:szCs w:val="32"/>
        </w:rPr>
        <w:t>（</w:t>
      </w:r>
      <w:r>
        <w:rPr>
          <w:rFonts w:hint="eastAsia" w:ascii="Times New Roman" w:hAnsi="Times New Roman" w:eastAsia="仿宋_GB2312"/>
          <w:sz w:val="32"/>
          <w:szCs w:val="32"/>
        </w:rPr>
        <w:t>五</w:t>
      </w:r>
      <w:r>
        <w:rPr>
          <w:rFonts w:ascii="Times New Roman" w:hAnsi="Times New Roman" w:eastAsia="仿宋_GB2312"/>
          <w:sz w:val="32"/>
          <w:szCs w:val="32"/>
        </w:rPr>
        <w:t>）“三公”经费：</w:t>
      </w:r>
      <w:r>
        <w:rPr>
          <w:rFonts w:hint="eastAsia" w:ascii="仿宋" w:hAnsi="仿宋" w:eastAsia="仿宋"/>
          <w:sz w:val="31"/>
          <w:szCs w:val="31"/>
        </w:rPr>
        <w:t>公务接待费反映单位按规定开支的各类公务接待（含外宾接待）支出。</w:t>
      </w:r>
    </w:p>
    <w:p w14:paraId="14F905F7">
      <w:pPr>
        <w:pStyle w:val="7"/>
        <w:widowControl/>
        <w:spacing w:before="120" w:line="600" w:lineRule="atLeast"/>
        <w:jc w:val="both"/>
      </w:pPr>
      <w:r>
        <w:rPr>
          <w:rFonts w:hint="eastAsia" w:ascii="微软雅黑" w:hAnsi="微软雅黑" w:eastAsia="微软雅黑" w:cs="微软雅黑"/>
          <w:sz w:val="31"/>
          <w:szCs w:val="31"/>
        </w:rPr>
        <w:t> </w:t>
      </w:r>
    </w:p>
    <w:p w14:paraId="5375DF91">
      <w:r>
        <w:rPr>
          <w:rFonts w:hint="eastAsia" w:ascii="微软雅黑" w:hAnsi="微软雅黑" w:eastAsia="微软雅黑" w:cs="微软雅黑"/>
          <w:i/>
          <w:sz w:val="31"/>
          <w:szCs w:val="31"/>
        </w:rPr>
        <w:t>　　</w:t>
      </w: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0069C">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5D814">
    <w:pPr>
      <w:pStyle w:val="4"/>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24AA239">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1BCF52"/>
    <w:multiLevelType w:val="singleLevel"/>
    <w:tmpl w:val="C61BCF52"/>
    <w:lvl w:ilvl="0" w:tentative="0">
      <w:start w:val="1"/>
      <w:numFmt w:val="chineseCounting"/>
      <w:suff w:val="nothing"/>
      <w:lvlText w:val="（%1）"/>
      <w:lvlJc w:val="left"/>
      <w:rPr>
        <w:rFonts w:hint="eastAsia"/>
      </w:rPr>
    </w:lvl>
  </w:abstractNum>
  <w:abstractNum w:abstractNumId="1">
    <w:nsid w:val="FD2487F2"/>
    <w:multiLevelType w:val="singleLevel"/>
    <w:tmpl w:val="FD2487F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JlMjZlYjIwOWVjNWUwNTllYjZiNWFjOTI1ZTBjNTkifQ=="/>
  </w:docVars>
  <w:rsids>
    <w:rsidRoot w:val="00172A27"/>
    <w:rsid w:val="000472A2"/>
    <w:rsid w:val="000976B0"/>
    <w:rsid w:val="000D7883"/>
    <w:rsid w:val="001253A3"/>
    <w:rsid w:val="00172A27"/>
    <w:rsid w:val="001B6DC7"/>
    <w:rsid w:val="002720BD"/>
    <w:rsid w:val="002B109B"/>
    <w:rsid w:val="002C4536"/>
    <w:rsid w:val="002C6A08"/>
    <w:rsid w:val="002F14A9"/>
    <w:rsid w:val="003D6755"/>
    <w:rsid w:val="00400AE5"/>
    <w:rsid w:val="0044317E"/>
    <w:rsid w:val="004504B2"/>
    <w:rsid w:val="0049109C"/>
    <w:rsid w:val="004B0195"/>
    <w:rsid w:val="00672233"/>
    <w:rsid w:val="0072100B"/>
    <w:rsid w:val="007624BE"/>
    <w:rsid w:val="007D3852"/>
    <w:rsid w:val="00843D39"/>
    <w:rsid w:val="008E3D10"/>
    <w:rsid w:val="00923437"/>
    <w:rsid w:val="00987E9E"/>
    <w:rsid w:val="009D37A2"/>
    <w:rsid w:val="009F4154"/>
    <w:rsid w:val="00A220F3"/>
    <w:rsid w:val="00A77435"/>
    <w:rsid w:val="00AA59D0"/>
    <w:rsid w:val="00B27C93"/>
    <w:rsid w:val="00B924FB"/>
    <w:rsid w:val="00BC421C"/>
    <w:rsid w:val="00BC6915"/>
    <w:rsid w:val="00BD5531"/>
    <w:rsid w:val="00C42C8F"/>
    <w:rsid w:val="00C96872"/>
    <w:rsid w:val="00CE1640"/>
    <w:rsid w:val="00CE391B"/>
    <w:rsid w:val="00D61288"/>
    <w:rsid w:val="00DB6A66"/>
    <w:rsid w:val="00E557C1"/>
    <w:rsid w:val="00E84C64"/>
    <w:rsid w:val="00E92F14"/>
    <w:rsid w:val="00EF45ED"/>
    <w:rsid w:val="00F67AB8"/>
    <w:rsid w:val="00FB4273"/>
    <w:rsid w:val="00FE7DCA"/>
    <w:rsid w:val="00FF59AE"/>
    <w:rsid w:val="0551414B"/>
    <w:rsid w:val="0C9E53B2"/>
    <w:rsid w:val="0E5D4C00"/>
    <w:rsid w:val="2E2C6459"/>
    <w:rsid w:val="370876FD"/>
    <w:rsid w:val="3EE22DA8"/>
    <w:rsid w:val="455A4FCE"/>
    <w:rsid w:val="60F958CE"/>
    <w:rsid w:val="686805F0"/>
    <w:rsid w:val="7F9E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cs="Cambria"/>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0"/>
    <w:qFormat/>
    <w:uiPriority w:val="99"/>
    <w:pPr>
      <w:spacing w:beforeLines="30"/>
    </w:pPr>
    <w:rPr>
      <w:rFonts w:ascii="仿宋_GB2312" w:eastAsia="仿宋_GB2312"/>
      <w:kern w:val="0"/>
      <w:sz w:val="24"/>
      <w:szCs w:val="20"/>
    </w:rPr>
  </w:style>
  <w:style w:type="paragraph" w:styleId="4">
    <w:name w:val="footer"/>
    <w:basedOn w:val="1"/>
    <w:link w:val="19"/>
    <w:qFormat/>
    <w:uiPriority w:val="99"/>
    <w:pPr>
      <w:tabs>
        <w:tab w:val="center" w:pos="4153"/>
        <w:tab w:val="right" w:pos="8306"/>
      </w:tabs>
      <w:snapToGrid w:val="0"/>
      <w:jc w:val="left"/>
    </w:pPr>
    <w:rPr>
      <w:sz w:val="18"/>
      <w:szCs w:val="18"/>
    </w:rPr>
  </w:style>
  <w:style w:type="paragraph" w:styleId="5">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link w:val="21"/>
    <w:unhideWhenUsed/>
    <w:qFormat/>
    <w:uiPriority w:val="39"/>
    <w:pPr>
      <w:tabs>
        <w:tab w:val="right" w:leader="dot" w:pos="8296"/>
      </w:tabs>
      <w:spacing w:before="93"/>
      <w:jc w:val="center"/>
    </w:pPr>
    <w:rPr>
      <w:rFonts w:ascii="仿宋" w:hAnsi="仿宋" w:eastAsia="仿宋"/>
      <w:sz w:val="28"/>
      <w:szCs w:val="28"/>
    </w:rPr>
  </w:style>
  <w:style w:type="paragraph" w:styleId="7">
    <w:name w:val="Normal (Web)"/>
    <w:basedOn w:val="1"/>
    <w:qFormat/>
    <w:uiPriority w:val="0"/>
    <w:pPr>
      <w:jc w:val="left"/>
    </w:pPr>
    <w:rPr>
      <w:kern w:val="0"/>
      <w:sz w:val="24"/>
    </w:rPr>
  </w:style>
  <w:style w:type="character" w:styleId="10">
    <w:name w:val="Strong"/>
    <w:qFormat/>
    <w:uiPriority w:val="0"/>
    <w:rPr>
      <w:b/>
      <w:bCs/>
    </w:rPr>
  </w:style>
  <w:style w:type="character" w:styleId="11">
    <w:name w:val="FollowedHyperlink"/>
    <w:qFormat/>
    <w:uiPriority w:val="0"/>
    <w:rPr>
      <w:color w:val="1970B4"/>
      <w:u w:val="none"/>
    </w:rPr>
  </w:style>
  <w:style w:type="character" w:styleId="12">
    <w:name w:val="HTML Definition"/>
    <w:qFormat/>
    <w:uiPriority w:val="0"/>
  </w:style>
  <w:style w:type="character" w:styleId="13">
    <w:name w:val="HTML Variable"/>
    <w:qFormat/>
    <w:uiPriority w:val="0"/>
  </w:style>
  <w:style w:type="character" w:styleId="14">
    <w:name w:val="Hyperlink"/>
    <w:qFormat/>
    <w:uiPriority w:val="0"/>
    <w:rPr>
      <w:color w:val="1970B4"/>
      <w:u w:val="none"/>
    </w:rPr>
  </w:style>
  <w:style w:type="character" w:styleId="15">
    <w:name w:val="HTML Code"/>
    <w:qFormat/>
    <w:uiPriority w:val="0"/>
    <w:rPr>
      <w:rFonts w:ascii="Courier New" w:hAnsi="Courier New"/>
      <w:sz w:val="20"/>
    </w:rPr>
  </w:style>
  <w:style w:type="character" w:styleId="16">
    <w:name w:val="HTML Cite"/>
    <w:qFormat/>
    <w:uiPriority w:val="0"/>
  </w:style>
  <w:style w:type="character" w:customStyle="1" w:styleId="17">
    <w:name w:val="ca-22"/>
    <w:basedOn w:val="9"/>
    <w:qFormat/>
    <w:uiPriority w:val="0"/>
  </w:style>
  <w:style w:type="character" w:customStyle="1" w:styleId="18">
    <w:name w:val="页眉 Char"/>
    <w:basedOn w:val="9"/>
    <w:link w:val="5"/>
    <w:qFormat/>
    <w:uiPriority w:val="0"/>
    <w:rPr>
      <w:rFonts w:ascii="Calibri" w:hAnsi="Calibri"/>
      <w:kern w:val="2"/>
      <w:sz w:val="18"/>
      <w:szCs w:val="18"/>
    </w:rPr>
  </w:style>
  <w:style w:type="character" w:customStyle="1" w:styleId="19">
    <w:name w:val="页脚 Char"/>
    <w:basedOn w:val="9"/>
    <w:link w:val="4"/>
    <w:qFormat/>
    <w:uiPriority w:val="99"/>
    <w:rPr>
      <w:rFonts w:ascii="Calibri" w:hAnsi="Calibri"/>
      <w:kern w:val="2"/>
      <w:sz w:val="18"/>
      <w:szCs w:val="18"/>
    </w:rPr>
  </w:style>
  <w:style w:type="character" w:customStyle="1" w:styleId="20">
    <w:name w:val="正文文本 Char"/>
    <w:basedOn w:val="9"/>
    <w:link w:val="3"/>
    <w:qFormat/>
    <w:uiPriority w:val="99"/>
    <w:rPr>
      <w:rFonts w:ascii="仿宋_GB2312" w:hAnsi="Calibri" w:eastAsia="仿宋_GB2312"/>
      <w:sz w:val="24"/>
    </w:rPr>
  </w:style>
  <w:style w:type="character" w:customStyle="1" w:styleId="21">
    <w:name w:val="目录 1 Char"/>
    <w:link w:val="6"/>
    <w:qFormat/>
    <w:uiPriority w:val="39"/>
    <w:rPr>
      <w:rFonts w:ascii="仿宋" w:hAnsi="仿宋" w:eastAsia="仿宋"/>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4788</Words>
  <Characters>5033</Characters>
  <Lines>6</Lines>
  <Paragraphs>11</Paragraphs>
  <TotalTime>0</TotalTime>
  <ScaleCrop>false</ScaleCrop>
  <LinksUpToDate>false</LinksUpToDate>
  <CharactersWithSpaces>5068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2022-09-24T08:55:00Z</dcterms:created>
  <dc:creator>丽丽</dc:creator>
  <cp:lastModifiedBy>昭化融媒体</cp:lastModifiedBy>
  <cp:lastPrinted>2022-07-13T11:03:00Z</cp:lastPrinted>
  <dcterms:modified xsi:type="dcterms:W3CDTF">2025-01-09T01:40:42Z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F6475A3E815843EE90218665544D6E1B</vt:lpwstr>
  </property>
  <property fmtid="{D5CDD505-2E9C-101B-9397-08002B2CF9AE}" pid="4" name="KSOTemplateDocerSaveRecord">
    <vt:lpwstr>eyJoZGlkIjoiMGVhYTg4NGNkZWJkODFjNzcyZDRjM2M4Y2UzNjI5ZmUiLCJ1c2VySWQiOiI2MTE2MzEwMDYifQ==</vt:lpwstr>
  </property>
</Properties>
</file>