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b/>
          <w:bCs/>
          <w:color w:val="auto"/>
          <w:sz w:val="48"/>
          <w:szCs w:val="48"/>
        </w:rPr>
      </w:pPr>
      <w:r>
        <w:rPr>
          <w:rFonts w:hint="eastAsia"/>
          <w:b/>
          <w:bCs/>
          <w:color w:val="auto"/>
          <w:sz w:val="48"/>
          <w:szCs w:val="48"/>
        </w:rPr>
        <w:t>四川省广元市元坝中学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color w:val="auto"/>
          <w:sz w:val="48"/>
          <w:szCs w:val="48"/>
          <w:lang w:eastAsia="zh-CN"/>
        </w:rPr>
      </w:pPr>
      <w:r>
        <w:rPr>
          <w:rFonts w:hint="eastAsia"/>
          <w:b/>
          <w:bCs/>
          <w:color w:val="auto"/>
          <w:sz w:val="48"/>
          <w:szCs w:val="48"/>
        </w:rPr>
        <w:t>20</w:t>
      </w:r>
      <w:r>
        <w:rPr>
          <w:rFonts w:hint="eastAsia"/>
          <w:b/>
          <w:bCs/>
          <w:color w:val="auto"/>
          <w:sz w:val="48"/>
          <w:szCs w:val="48"/>
          <w:lang w:val="en-US" w:eastAsia="zh-CN"/>
        </w:rPr>
        <w:t>19</w:t>
      </w:r>
      <w:r>
        <w:rPr>
          <w:rFonts w:hint="eastAsia"/>
          <w:b/>
          <w:bCs/>
          <w:color w:val="auto"/>
          <w:sz w:val="48"/>
          <w:szCs w:val="48"/>
        </w:rPr>
        <w:t>年部门综合</w:t>
      </w:r>
      <w:r>
        <w:rPr>
          <w:rFonts w:hint="eastAsia"/>
          <w:b/>
          <w:bCs/>
          <w:color w:val="auto"/>
          <w:sz w:val="48"/>
          <w:szCs w:val="48"/>
          <w:lang w:val="en-US" w:eastAsia="zh-CN"/>
        </w:rPr>
        <w:t>决算</w:t>
      </w:r>
      <w:r>
        <w:rPr>
          <w:rFonts w:hint="eastAsia"/>
          <w:b/>
          <w:bCs/>
          <w:color w:val="auto"/>
          <w:sz w:val="48"/>
          <w:szCs w:val="48"/>
        </w:rPr>
        <w:t>编制情况</w:t>
      </w:r>
      <w:r>
        <w:rPr>
          <w:rFonts w:hint="eastAsia"/>
          <w:b/>
          <w:bCs/>
          <w:color w:val="auto"/>
          <w:sz w:val="48"/>
          <w:szCs w:val="48"/>
          <w:lang w:val="en-US" w:eastAsia="zh-CN"/>
        </w:rPr>
        <w:t>说明</w:t>
      </w:r>
      <w:bookmarkStart w:id="63" w:name="_GoBack"/>
      <w:bookmarkEnd w:id="63"/>
    </w:p>
    <w:p>
      <w:pPr>
        <w:pStyle w:val="2"/>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 w:name="_Toc15377196"/>
      <w:bookmarkStart w:id="2"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
      <w:bookmarkEnd w:id="2"/>
    </w:p>
    <w:p>
      <w:pPr>
        <w:widowControl/>
        <w:jc w:val="left"/>
        <w:rPr>
          <w:rFonts w:ascii="黑体" w:eastAsia="黑体"/>
          <w:color w:val="000000"/>
          <w:sz w:val="32"/>
          <w:szCs w:val="32"/>
        </w:rPr>
      </w:pPr>
    </w:p>
    <w:p>
      <w:pPr>
        <w:pStyle w:val="2"/>
        <w:rPr>
          <w:rStyle w:val="25"/>
          <w:rFonts w:ascii="仿宋" w:hAnsi="仿宋" w:eastAsia="仿宋"/>
          <w:b w:val="0"/>
          <w:bCs w:val="0"/>
        </w:rPr>
      </w:pPr>
      <w:bookmarkStart w:id="3" w:name="_Toc15377197"/>
      <w:bookmarkStart w:id="4"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3"/>
      <w:bookmarkEnd w:id="4"/>
    </w:p>
    <w:p>
      <w:pPr>
        <w:numPr>
          <w:ilvl w:val="0"/>
          <w:numId w:val="0"/>
        </w:numPr>
        <w:snapToGrid w:val="0"/>
        <w:spacing w:line="588" w:lineRule="exact"/>
        <w:ind w:firstLine="640" w:firstLineChars="200"/>
        <w:rPr>
          <w:rFonts w:hint="eastAsia" w:ascii="仿宋_GB2312" w:hAnsi="仿宋" w:eastAsia="仿宋_GB2312"/>
          <w:sz w:val="32"/>
          <w:szCs w:val="32"/>
        </w:rPr>
      </w:pPr>
      <w:bookmarkStart w:id="5" w:name="_Toc15378445"/>
      <w:bookmarkStart w:id="6" w:name="_Toc15377198"/>
      <w:bookmarkStart w:id="7" w:name="_Toc15396601"/>
      <w:bookmarkStart w:id="8" w:name="_Toc15377200"/>
      <w:r>
        <w:rPr>
          <w:rFonts w:hint="eastAsia" w:ascii="仿宋" w:hAnsi="仿宋" w:eastAsia="仿宋"/>
          <w:bCs/>
          <w:color w:val="000000"/>
          <w:sz w:val="32"/>
          <w:szCs w:val="32"/>
        </w:rPr>
        <w:t>（一）主要职能。</w:t>
      </w:r>
      <w:bookmarkEnd w:id="5"/>
      <w:bookmarkEnd w:id="6"/>
      <w:r>
        <w:rPr>
          <w:rFonts w:hint="eastAsia" w:ascii="仿宋_GB2312" w:hAnsi="仿宋" w:eastAsia="仿宋_GB2312"/>
          <w:sz w:val="32"/>
          <w:szCs w:val="32"/>
          <w:lang w:val="en-US" w:eastAsia="zh-CN"/>
        </w:rPr>
        <w:t>实施高初中学历教育，促进基础教育发展</w:t>
      </w:r>
    </w:p>
    <w:p>
      <w:pPr>
        <w:pStyle w:val="5"/>
        <w:adjustRightInd w:val="0"/>
        <w:snapToGrid w:val="0"/>
        <w:spacing w:before="93" w:beforeLines="0" w:line="600" w:lineRule="exact"/>
        <w:ind w:firstLine="672" w:firstLineChars="210"/>
        <w:outlineLvl w:val="2"/>
        <w:rPr>
          <w:rFonts w:hint="eastAsia" w:ascii="仿宋" w:hAnsi="仿宋" w:eastAsia="仿宋"/>
          <w:bCs/>
          <w:color w:val="000000"/>
          <w:sz w:val="32"/>
          <w:szCs w:val="32"/>
        </w:rPr>
      </w:pPr>
      <w:bookmarkStart w:id="9" w:name="_Toc15377199"/>
      <w:bookmarkStart w:id="10"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年重点工作完成情况。</w:t>
      </w:r>
      <w:bookmarkEnd w:id="9"/>
      <w:bookmarkEnd w:id="10"/>
    </w:p>
    <w:p>
      <w:pPr>
        <w:numPr>
          <w:ilvl w:val="0"/>
          <w:numId w:val="0"/>
        </w:numPr>
        <w:ind w:firstLine="620" w:firstLineChars="200"/>
        <w:rPr>
          <w:rFonts w:hint="eastAsia" w:ascii="楷体_GB2312" w:hAnsi="微软雅黑" w:eastAsia="楷体_GB2312" w:cs="楷体_GB2312"/>
          <w:color w:val="666666"/>
          <w:kern w:val="0"/>
          <w:sz w:val="31"/>
          <w:szCs w:val="31"/>
          <w:lang w:val="en-US" w:eastAsia="zh-CN" w:bidi="ar"/>
        </w:rPr>
      </w:pPr>
      <w:r>
        <w:rPr>
          <w:rFonts w:hint="eastAsia" w:ascii="楷体_GB2312" w:hAnsi="微软雅黑" w:eastAsia="楷体_GB2312" w:cs="楷体_GB2312"/>
          <w:color w:val="666666"/>
          <w:kern w:val="0"/>
          <w:sz w:val="31"/>
          <w:szCs w:val="31"/>
          <w:lang w:val="en-US" w:eastAsia="zh-CN" w:bidi="ar"/>
        </w:rPr>
        <w:t>1.结合教育教学，加强党建工作</w:t>
      </w:r>
      <w:r>
        <w:rPr>
          <w:rFonts w:hint="default" w:ascii="楷体_GB2312" w:hAnsi="微软雅黑" w:eastAsia="楷体_GB2312" w:cs="楷体_GB2312"/>
          <w:color w:val="666666"/>
          <w:kern w:val="0"/>
          <w:sz w:val="31"/>
          <w:szCs w:val="31"/>
          <w:lang w:val="en-US" w:eastAsia="zh-CN" w:bidi="ar"/>
        </w:rPr>
        <w:t>。</w:t>
      </w:r>
      <w:r>
        <w:rPr>
          <w:rFonts w:hint="eastAsia" w:ascii="楷体_GB2312" w:hAnsi="微软雅黑" w:eastAsia="楷体_GB2312" w:cs="楷体_GB2312"/>
          <w:color w:val="666666"/>
          <w:kern w:val="0"/>
          <w:sz w:val="31"/>
          <w:szCs w:val="31"/>
          <w:lang w:val="en-US" w:eastAsia="zh-CN" w:bidi="ar"/>
        </w:rPr>
        <w:t>深入落实中组部、教育部党组《关于加强中小学校党的建设工作的意见》；</w:t>
      </w:r>
      <w:r>
        <w:rPr>
          <w:rFonts w:hint="default" w:ascii="楷体_GB2312" w:hAnsi="微软雅黑" w:eastAsia="楷体_GB2312" w:cs="楷体_GB2312"/>
          <w:color w:val="666666"/>
          <w:kern w:val="0"/>
          <w:sz w:val="31"/>
          <w:szCs w:val="31"/>
          <w:lang w:val="en-US" w:eastAsia="zh-CN" w:bidi="ar"/>
        </w:rPr>
        <w:t>学习贯彻党的十九大精神；</w:t>
      </w:r>
      <w:r>
        <w:rPr>
          <w:rFonts w:hint="eastAsia" w:ascii="楷体_GB2312" w:hAnsi="微软雅黑" w:eastAsia="楷体_GB2312" w:cs="楷体_GB2312"/>
          <w:color w:val="666666"/>
          <w:kern w:val="0"/>
          <w:sz w:val="31"/>
          <w:szCs w:val="31"/>
          <w:lang w:val="en-US" w:eastAsia="zh-CN" w:bidi="ar"/>
        </w:rPr>
        <w:t>持续</w:t>
      </w:r>
      <w:r>
        <w:rPr>
          <w:rFonts w:hint="default" w:ascii="楷体_GB2312" w:hAnsi="微软雅黑" w:eastAsia="楷体_GB2312" w:cs="楷体_GB2312"/>
          <w:color w:val="666666"/>
          <w:kern w:val="0"/>
          <w:sz w:val="31"/>
          <w:szCs w:val="31"/>
          <w:lang w:val="en-US" w:eastAsia="zh-CN" w:bidi="ar"/>
        </w:rPr>
        <w:t>学习贯彻</w:t>
      </w:r>
      <w:r>
        <w:rPr>
          <w:rFonts w:hint="eastAsia" w:ascii="楷体_GB2312" w:hAnsi="微软雅黑" w:eastAsia="楷体_GB2312" w:cs="楷体_GB2312"/>
          <w:color w:val="666666"/>
          <w:kern w:val="0"/>
          <w:sz w:val="31"/>
          <w:szCs w:val="31"/>
          <w:lang w:val="en-US" w:eastAsia="zh-CN" w:bidi="ar"/>
        </w:rPr>
        <w:t>全国</w:t>
      </w:r>
      <w:r>
        <w:rPr>
          <w:rFonts w:hint="default" w:ascii="楷体_GB2312" w:hAnsi="微软雅黑" w:eastAsia="楷体_GB2312" w:cs="楷体_GB2312"/>
          <w:color w:val="666666"/>
          <w:kern w:val="0"/>
          <w:sz w:val="31"/>
          <w:szCs w:val="31"/>
          <w:lang w:val="en-US" w:eastAsia="zh-CN" w:bidi="ar"/>
        </w:rPr>
        <w:t>“两会”精神；开展“学习强国”活动</w:t>
      </w:r>
      <w:r>
        <w:rPr>
          <w:rFonts w:hint="eastAsia" w:ascii="楷体_GB2312" w:hAnsi="微软雅黑" w:eastAsia="楷体_GB2312" w:cs="楷体_GB2312"/>
          <w:color w:val="666666"/>
          <w:kern w:val="0"/>
          <w:sz w:val="31"/>
          <w:szCs w:val="31"/>
          <w:lang w:val="en-US" w:eastAsia="zh-CN" w:bidi="ar"/>
        </w:rPr>
        <w:t>和</w:t>
      </w:r>
      <w:r>
        <w:rPr>
          <w:rFonts w:hint="default" w:ascii="楷体_GB2312" w:hAnsi="微软雅黑" w:eastAsia="楷体_GB2312" w:cs="楷体_GB2312"/>
          <w:color w:val="666666"/>
          <w:kern w:val="0"/>
          <w:sz w:val="31"/>
          <w:szCs w:val="31"/>
          <w:lang w:val="en-US" w:eastAsia="zh-CN" w:bidi="ar"/>
        </w:rPr>
        <w:t>“主题党日”“两学一做”“三会一课”</w:t>
      </w:r>
      <w:r>
        <w:rPr>
          <w:rFonts w:hint="eastAsia" w:ascii="楷体_GB2312" w:hAnsi="微软雅黑" w:eastAsia="楷体_GB2312" w:cs="楷体_GB2312"/>
          <w:color w:val="666666"/>
          <w:kern w:val="0"/>
          <w:sz w:val="31"/>
          <w:szCs w:val="31"/>
          <w:lang w:val="en-US" w:eastAsia="zh-CN" w:bidi="ar"/>
        </w:rPr>
        <w:t>学习教育</w:t>
      </w:r>
    </w:p>
    <w:p>
      <w:pPr>
        <w:numPr>
          <w:ilvl w:val="0"/>
          <w:numId w:val="0"/>
        </w:numPr>
        <w:ind w:firstLine="620" w:firstLineChars="200"/>
        <w:rPr>
          <w:rFonts w:hint="default" w:ascii="楷体_GB2312" w:hAnsi="微软雅黑" w:eastAsia="楷体_GB2312" w:cs="楷体_GB2312"/>
          <w:color w:val="666666"/>
          <w:kern w:val="0"/>
          <w:sz w:val="31"/>
          <w:szCs w:val="31"/>
          <w:lang w:val="en-US" w:eastAsia="zh-CN" w:bidi="ar"/>
        </w:rPr>
      </w:pPr>
      <w:r>
        <w:rPr>
          <w:rFonts w:hint="eastAsia" w:ascii="楷体_GB2312" w:hAnsi="微软雅黑" w:eastAsia="楷体_GB2312" w:cs="楷体_GB2312"/>
          <w:color w:val="666666"/>
          <w:kern w:val="0"/>
          <w:sz w:val="31"/>
          <w:szCs w:val="31"/>
          <w:lang w:val="en-US" w:eastAsia="zh-CN" w:bidi="ar"/>
        </w:rPr>
        <w:t>2.着力素质提升，抓好队伍建设。完善选人用人制度，合理选拔使用干部；进一步完善培训制度，提高干部管理素质；加强传带帮扶，加强青年教师培养；</w:t>
      </w:r>
    </w:p>
    <w:p>
      <w:pPr>
        <w:ind w:firstLine="620" w:firstLineChars="200"/>
        <w:rPr>
          <w:rFonts w:hint="eastAsia" w:ascii="楷体_GB2312" w:hAnsi="微软雅黑" w:eastAsia="楷体_GB2312" w:cs="楷体_GB2312"/>
          <w:color w:val="666666"/>
          <w:kern w:val="0"/>
          <w:sz w:val="31"/>
          <w:szCs w:val="31"/>
          <w:lang w:val="en-US" w:eastAsia="zh-CN" w:bidi="ar"/>
        </w:rPr>
      </w:pPr>
      <w:r>
        <w:rPr>
          <w:rFonts w:hint="eastAsia" w:ascii="楷体_GB2312" w:hAnsi="微软雅黑" w:eastAsia="楷体_GB2312" w:cs="楷体_GB2312"/>
          <w:color w:val="666666"/>
          <w:kern w:val="0"/>
          <w:sz w:val="31"/>
          <w:szCs w:val="31"/>
          <w:lang w:val="en-US" w:eastAsia="zh-CN" w:bidi="ar"/>
        </w:rPr>
        <w:t>3.确保科学规范，加强制度建设。规范制度建立，通过“废、改、立”制定制度清单；强化制度执行，凡事有人管，凡责有人担；突出制度实效，用制度管人管事，向管理要质量。</w:t>
      </w:r>
    </w:p>
    <w:p>
      <w:pPr>
        <w:spacing w:line="600" w:lineRule="exact"/>
        <w:ind w:firstLine="620" w:firstLineChars="200"/>
        <w:rPr>
          <w:rFonts w:hint="eastAsia" w:ascii="楷体_GB2312" w:hAnsi="微软雅黑" w:eastAsia="楷体_GB2312" w:cs="楷体_GB2312"/>
          <w:color w:val="666666"/>
          <w:kern w:val="0"/>
          <w:sz w:val="31"/>
          <w:szCs w:val="31"/>
          <w:lang w:val="en-US" w:eastAsia="zh-CN" w:bidi="ar"/>
        </w:rPr>
      </w:pPr>
      <w:r>
        <w:rPr>
          <w:rFonts w:hint="eastAsia" w:ascii="楷体_GB2312" w:hAnsi="微软雅黑" w:eastAsia="楷体_GB2312" w:cs="楷体_GB2312"/>
          <w:color w:val="666666"/>
          <w:kern w:val="0"/>
          <w:sz w:val="31"/>
          <w:szCs w:val="31"/>
          <w:lang w:val="en-US" w:eastAsia="zh-CN" w:bidi="ar"/>
        </w:rPr>
        <w:t>4.突出立德树人，抓好政教工作。加强思想教育，积极践行社会主义核心价值观；坚持五育并举，培养德才兼备的合格人才；规范管理，实现常规管理系统化；同时丰富载体，培养学生优秀品质；专项治理，防邪反邪，崇尚科学并做好，营造浓厚学风，形成优良校风；</w:t>
      </w:r>
    </w:p>
    <w:p>
      <w:pPr>
        <w:spacing w:line="600" w:lineRule="exact"/>
        <w:ind w:firstLine="620" w:firstLineChars="200"/>
        <w:rPr>
          <w:rFonts w:hint="default" w:ascii="楷体_GB2312" w:hAnsi="微软雅黑" w:eastAsia="楷体_GB2312" w:cs="楷体_GB2312"/>
          <w:color w:val="666666"/>
          <w:kern w:val="0"/>
          <w:sz w:val="31"/>
          <w:szCs w:val="31"/>
          <w:lang w:val="en-US" w:eastAsia="zh-CN" w:bidi="ar"/>
        </w:rPr>
      </w:pPr>
      <w:r>
        <w:rPr>
          <w:rFonts w:hint="eastAsia" w:ascii="楷体_GB2312" w:hAnsi="微软雅黑" w:eastAsia="楷体_GB2312" w:cs="楷体_GB2312"/>
          <w:color w:val="666666"/>
          <w:kern w:val="0"/>
          <w:sz w:val="31"/>
          <w:szCs w:val="31"/>
          <w:lang w:val="en-US" w:eastAsia="zh-CN" w:bidi="ar"/>
        </w:rPr>
        <w:t>5.构建和谐校园，抓实体卫艺工作。外防输入，内防扩散，严防死守，扎实做好“新冠肺炎”疫情防控工作；科学规划，特色定位，强化卫生工作，加强艾滋病、肠道、肺结核等季节性传染病防控；</w:t>
      </w:r>
    </w:p>
    <w:p>
      <w:pPr>
        <w:ind w:firstLine="555"/>
        <w:rPr>
          <w:rFonts w:hint="eastAsia" w:ascii="楷体_GB2312" w:hAnsi="微软雅黑" w:eastAsia="楷体_GB2312" w:cs="楷体_GB2312"/>
          <w:color w:val="666666"/>
          <w:kern w:val="0"/>
          <w:sz w:val="31"/>
          <w:szCs w:val="31"/>
          <w:lang w:val="en-US" w:eastAsia="zh-CN" w:bidi="ar"/>
        </w:rPr>
      </w:pPr>
      <w:r>
        <w:rPr>
          <w:rFonts w:hint="eastAsia" w:ascii="楷体_GB2312" w:hAnsi="微软雅黑" w:eastAsia="楷体_GB2312" w:cs="楷体_GB2312"/>
          <w:color w:val="666666"/>
          <w:kern w:val="0"/>
          <w:sz w:val="31"/>
          <w:szCs w:val="31"/>
          <w:lang w:val="en-US" w:eastAsia="zh-CN" w:bidi="ar"/>
        </w:rPr>
        <w:t>6.紧盯质量目标，狠抓教学管理。优化师资，确保学科教学均衡发展；坚持教学“六认真”，优化教学手段，推广“六环节循环教学模式”，抓好教学常规管理和教学视导工作，按时完成教学任务。利用好网班教学资源，搞好结对导学和培优辅差工作；推动学校高质量发展；并有条不紊的推进高考综合改革保障条件建设，确保“选课走班”正常进行。</w:t>
      </w:r>
    </w:p>
    <w:p>
      <w:pPr>
        <w:spacing w:line="600" w:lineRule="exact"/>
        <w:ind w:firstLine="620" w:firstLineChars="200"/>
        <w:rPr>
          <w:rFonts w:hint="eastAsia" w:ascii="楷体_GB2312" w:hAnsi="微软雅黑" w:eastAsia="楷体_GB2312" w:cs="楷体_GB2312"/>
          <w:color w:val="666666"/>
          <w:kern w:val="0"/>
          <w:sz w:val="31"/>
          <w:szCs w:val="31"/>
          <w:lang w:val="en-US" w:eastAsia="zh-CN" w:bidi="ar"/>
        </w:rPr>
      </w:pPr>
      <w:r>
        <w:rPr>
          <w:rFonts w:hint="eastAsia" w:ascii="楷体_GB2312" w:hAnsi="微软雅黑" w:eastAsia="楷体_GB2312" w:cs="楷体_GB2312"/>
          <w:color w:val="666666"/>
          <w:kern w:val="0"/>
          <w:sz w:val="31"/>
          <w:szCs w:val="31"/>
          <w:lang w:val="en-US" w:eastAsia="zh-CN" w:bidi="ar"/>
        </w:rPr>
        <w:t>7.强化活动育人，搞活团建工作。全程教育，提高团员素质；并办好社团，丰富学生生活；同时加强爱国主义教育和性理健康教育，促进学生政治思想素质和心理健康成长。</w:t>
      </w:r>
    </w:p>
    <w:p>
      <w:pPr>
        <w:spacing w:line="600" w:lineRule="exact"/>
        <w:ind w:firstLine="620" w:firstLineChars="200"/>
        <w:rPr>
          <w:rFonts w:hint="eastAsia" w:ascii="楷体_GB2312" w:hAnsi="微软雅黑" w:eastAsia="楷体_GB2312" w:cs="楷体_GB2312"/>
          <w:color w:val="666666"/>
          <w:kern w:val="0"/>
          <w:sz w:val="31"/>
          <w:szCs w:val="31"/>
          <w:lang w:val="en-US" w:eastAsia="zh-CN" w:bidi="ar"/>
        </w:rPr>
      </w:pPr>
      <w:r>
        <w:rPr>
          <w:rFonts w:hint="eastAsia" w:ascii="楷体_GB2312" w:hAnsi="微软雅黑" w:eastAsia="楷体_GB2312" w:cs="楷体_GB2312"/>
          <w:color w:val="666666"/>
          <w:kern w:val="0"/>
          <w:sz w:val="31"/>
          <w:szCs w:val="31"/>
          <w:lang w:val="en-US" w:eastAsia="zh-CN" w:bidi="ar"/>
        </w:rPr>
        <w:t>8.坚持以人为本，抓好工会工作。建设“教职工活动之家”，丰富教职工生活；加强学校人文关怀，做好各项慰问工作并统筹落实，组织教职工体检。</w:t>
      </w:r>
    </w:p>
    <w:p>
      <w:pPr>
        <w:spacing w:line="600" w:lineRule="exact"/>
        <w:ind w:firstLine="620" w:firstLineChars="200"/>
        <w:jc w:val="left"/>
        <w:rPr>
          <w:rFonts w:hint="default" w:ascii="楷体_GB2312" w:hAnsi="微软雅黑" w:eastAsia="楷体_GB2312" w:cs="楷体_GB2312"/>
          <w:color w:val="666666"/>
          <w:kern w:val="0"/>
          <w:sz w:val="31"/>
          <w:szCs w:val="31"/>
          <w:lang w:val="en-US" w:eastAsia="zh-CN" w:bidi="ar"/>
        </w:rPr>
      </w:pPr>
      <w:r>
        <w:rPr>
          <w:rFonts w:hint="eastAsia" w:ascii="楷体_GB2312" w:hAnsi="微软雅黑" w:eastAsia="楷体_GB2312" w:cs="楷体_GB2312"/>
          <w:color w:val="666666"/>
          <w:kern w:val="0"/>
          <w:sz w:val="31"/>
          <w:szCs w:val="31"/>
          <w:lang w:val="en-US" w:eastAsia="zh-CN" w:bidi="ar"/>
        </w:rPr>
        <w:t>9.坚持服务大局，认真完成驻村扶贫、综合治理、教育宣传、统战等上级交办的中心工作。</w:t>
      </w:r>
    </w:p>
    <w:p>
      <w:pPr>
        <w:pStyle w:val="2"/>
        <w:rPr>
          <w:rStyle w:val="25"/>
          <w:b w:val="0"/>
          <w:bCs w:val="0"/>
        </w:rPr>
      </w:pPr>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7"/>
      <w:bookmarkEnd w:id="8"/>
    </w:p>
    <w:p>
      <w:pPr>
        <w:pStyle w:val="3"/>
        <w:ind w:right="440" w:firstLine="640" w:firstLineChars="200"/>
        <w:jc w:val="left"/>
        <w:rPr>
          <w:rFonts w:hint="eastAsia" w:ascii="仿宋" w:hAnsi="仿宋" w:eastAsia="仿宋" w:cs="Times New Roman"/>
          <w:b w:val="0"/>
          <w:bCs w:val="0"/>
          <w:color w:val="000000"/>
          <w:kern w:val="2"/>
          <w:sz w:val="32"/>
          <w:szCs w:val="32"/>
          <w:lang w:val="en-US" w:eastAsia="zh-CN"/>
        </w:rPr>
      </w:pPr>
      <w:bookmarkStart w:id="11" w:name="_Toc15377204"/>
      <w:bookmarkStart w:id="12" w:name="_Toc15396602"/>
      <w:r>
        <w:rPr>
          <w:rFonts w:hint="eastAsia" w:ascii="仿宋" w:hAnsi="仿宋" w:eastAsia="仿宋" w:cs="Times New Roman"/>
          <w:b w:val="0"/>
          <w:bCs w:val="0"/>
          <w:color w:val="000000"/>
          <w:kern w:val="2"/>
          <w:sz w:val="32"/>
          <w:szCs w:val="32"/>
          <w:lang w:val="en-US" w:eastAsia="zh-CN"/>
        </w:rPr>
        <w:t>我校为区政府一级预算单位。</w:t>
      </w:r>
    </w:p>
    <w:p>
      <w:pPr>
        <w:pStyle w:val="3"/>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11"/>
      <w:bookmarkEnd w:id="12"/>
    </w:p>
    <w:p/>
    <w:p>
      <w:pPr>
        <w:pStyle w:val="23"/>
        <w:numPr>
          <w:ilvl w:val="0"/>
          <w:numId w:val="1"/>
        </w:numPr>
        <w:spacing w:line="600" w:lineRule="exact"/>
        <w:ind w:firstLineChars="0"/>
        <w:outlineLvl w:val="1"/>
        <w:rPr>
          <w:rStyle w:val="25"/>
          <w:rFonts w:ascii="黑体" w:hAnsi="黑体" w:eastAsia="黑体"/>
          <w:b w:val="0"/>
        </w:rPr>
      </w:pPr>
      <w:bookmarkStart w:id="13" w:name="_Toc15377205"/>
      <w:bookmarkStart w:id="14"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13"/>
      <w:bookmarkEnd w:id="14"/>
    </w:p>
    <w:p>
      <w:pPr>
        <w:spacing w:line="600" w:lineRule="exact"/>
        <w:ind w:firstLine="640" w:firstLineChars="200"/>
        <w:rPr>
          <w:rFonts w:hint="default" w:ascii="仿宋" w:hAnsi="仿宋" w:eastAsia="仿宋"/>
          <w:color w:val="000000" w:themeColor="text1"/>
          <w:sz w:val="32"/>
          <w:szCs w:val="32"/>
          <w:lang w:val="en-US"/>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3077.54</w:t>
      </w:r>
      <w:r>
        <w:rPr>
          <w:rFonts w:hint="eastAsia" w:ascii="仿宋" w:hAnsi="仿宋" w:eastAsia="仿宋"/>
          <w:color w:val="000000"/>
          <w:sz w:val="32"/>
          <w:szCs w:val="32"/>
        </w:rPr>
        <w:t>万元。与2018年相比，收、支总计各减少</w:t>
      </w:r>
      <w:r>
        <w:rPr>
          <w:rFonts w:hint="eastAsia" w:ascii="仿宋" w:hAnsi="仿宋" w:eastAsia="仿宋"/>
          <w:color w:val="000000"/>
          <w:sz w:val="32"/>
          <w:szCs w:val="32"/>
          <w:lang w:val="en-US" w:eastAsia="zh-CN"/>
        </w:rPr>
        <w:t>176.68</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7.9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学生人数和教师人数减少。</w:t>
      </w:r>
    </w:p>
    <w:p>
      <w:pPr>
        <w:pStyle w:val="23"/>
        <w:numPr>
          <w:ilvl w:val="0"/>
          <w:numId w:val="1"/>
        </w:numPr>
        <w:spacing w:line="600" w:lineRule="exact"/>
        <w:ind w:firstLineChars="0"/>
        <w:outlineLvl w:val="1"/>
        <w:rPr>
          <w:rStyle w:val="25"/>
          <w:rFonts w:ascii="黑体" w:hAnsi="黑体" w:eastAsia="黑体"/>
          <w:b w:val="0"/>
        </w:rPr>
      </w:pPr>
      <w:bookmarkStart w:id="15" w:name="_Toc15377206"/>
      <w:bookmarkStart w:id="16"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15"/>
      <w:bookmarkEnd w:id="16"/>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2989.02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2989.02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3"/>
        <w:numPr>
          <w:ilvl w:val="0"/>
          <w:numId w:val="1"/>
        </w:numPr>
        <w:spacing w:line="600" w:lineRule="exact"/>
        <w:ind w:firstLineChars="0"/>
        <w:outlineLvl w:val="1"/>
        <w:rPr>
          <w:rStyle w:val="25"/>
          <w:rFonts w:ascii="黑体" w:hAnsi="黑体" w:eastAsia="黑体"/>
          <w:b w:val="0"/>
        </w:rPr>
      </w:pPr>
      <w:bookmarkStart w:id="17" w:name="_Toc15396605"/>
      <w:bookmarkStart w:id="18"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17"/>
      <w:bookmarkEnd w:id="18"/>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3077.54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3077.54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5"/>
          <w:rFonts w:ascii="黑体" w:hAnsi="黑体" w:eastAsia="黑体"/>
          <w:b w:val="0"/>
        </w:rPr>
      </w:pPr>
      <w:bookmarkStart w:id="19" w:name="_Toc15377208"/>
      <w:bookmarkStart w:id="20"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19"/>
      <w:bookmarkEnd w:id="20"/>
    </w:p>
    <w:p>
      <w:pPr>
        <w:spacing w:line="600" w:lineRule="exact"/>
        <w:ind w:firstLine="640"/>
        <w:rPr>
          <w:rFonts w:hint="default" w:ascii="仿宋" w:hAnsi="仿宋" w:eastAsia="仿宋"/>
          <w:color w:val="000000" w:themeColor="text1"/>
          <w:sz w:val="32"/>
          <w:szCs w:val="32"/>
          <w:lang w:val="en-US"/>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3077.54</w:t>
      </w:r>
      <w:r>
        <w:rPr>
          <w:rFonts w:hint="eastAsia" w:ascii="仿宋" w:hAnsi="仿宋" w:eastAsia="仿宋"/>
          <w:color w:val="000000"/>
          <w:sz w:val="32"/>
          <w:szCs w:val="32"/>
        </w:rPr>
        <w:t>万元。与2018年相比，收、支总计各减少</w:t>
      </w:r>
      <w:r>
        <w:rPr>
          <w:rFonts w:hint="eastAsia" w:ascii="仿宋" w:hAnsi="仿宋" w:eastAsia="仿宋"/>
          <w:color w:val="000000"/>
          <w:sz w:val="32"/>
          <w:szCs w:val="32"/>
          <w:lang w:val="en-US" w:eastAsia="zh-CN"/>
        </w:rPr>
        <w:t>176.68</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7.9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学生人数和教师人数减少。</w:t>
      </w:r>
    </w:p>
    <w:p>
      <w:pPr>
        <w:spacing w:line="600" w:lineRule="exact"/>
        <w:ind w:firstLine="640" w:firstLineChars="200"/>
        <w:outlineLvl w:val="1"/>
        <w:rPr>
          <w:rStyle w:val="25"/>
          <w:rFonts w:ascii="黑体" w:hAnsi="黑体" w:eastAsia="黑体"/>
          <w:b w:val="0"/>
        </w:rPr>
      </w:pPr>
      <w:bookmarkStart w:id="21" w:name="_Toc15396607"/>
      <w:bookmarkStart w:id="22"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21"/>
      <w:bookmarkEnd w:id="22"/>
    </w:p>
    <w:p>
      <w:pPr>
        <w:spacing w:line="600" w:lineRule="exact"/>
        <w:ind w:firstLine="643" w:firstLineChars="200"/>
        <w:outlineLvl w:val="2"/>
        <w:rPr>
          <w:rFonts w:ascii="仿宋" w:hAnsi="仿宋" w:eastAsia="仿宋"/>
          <w:b/>
          <w:color w:val="000000"/>
          <w:sz w:val="32"/>
          <w:szCs w:val="32"/>
        </w:rPr>
      </w:pPr>
      <w:bookmarkStart w:id="23" w:name="_Toc15377210"/>
      <w:r>
        <w:rPr>
          <w:rFonts w:hint="eastAsia" w:ascii="仿宋" w:hAnsi="仿宋" w:eastAsia="仿宋"/>
          <w:b/>
          <w:color w:val="000000"/>
          <w:sz w:val="32"/>
          <w:szCs w:val="32"/>
        </w:rPr>
        <w:t>（一）一般公共预算财政拨款支出决算总体情况</w:t>
      </w:r>
      <w:bookmarkEnd w:id="23"/>
    </w:p>
    <w:p>
      <w:pPr>
        <w:spacing w:line="600" w:lineRule="exact"/>
        <w:ind w:firstLine="640"/>
        <w:rPr>
          <w:rFonts w:hint="default" w:ascii="仿宋" w:hAnsi="仿宋" w:eastAsia="仿宋"/>
          <w:color w:val="000000" w:themeColor="text1"/>
          <w:sz w:val="32"/>
          <w:szCs w:val="32"/>
          <w:lang w:val="en-US"/>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3077.54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176.68</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学生人数和教师人数减少。</w:t>
      </w:r>
    </w:p>
    <w:p>
      <w:pPr>
        <w:spacing w:line="600" w:lineRule="exact"/>
        <w:ind w:firstLine="643" w:firstLineChars="200"/>
        <w:outlineLvl w:val="2"/>
        <w:rPr>
          <w:rFonts w:ascii="仿宋" w:hAnsi="仿宋" w:eastAsia="仿宋"/>
          <w:b/>
          <w:color w:val="000000"/>
          <w:sz w:val="32"/>
          <w:szCs w:val="32"/>
        </w:rPr>
      </w:pPr>
      <w:bookmarkStart w:id="24" w:name="_Toc15377211"/>
      <w:r>
        <w:rPr>
          <w:rFonts w:hint="eastAsia" w:ascii="仿宋" w:hAnsi="仿宋" w:eastAsia="仿宋"/>
          <w:b/>
          <w:color w:val="000000"/>
          <w:sz w:val="32"/>
          <w:szCs w:val="32"/>
        </w:rPr>
        <w:t>（二）一般公共预算财政拨款支出决算结构情况</w:t>
      </w:r>
      <w:bookmarkEnd w:id="24"/>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3077.54</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3077.54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100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pPr>
        <w:spacing w:line="600" w:lineRule="exact"/>
        <w:ind w:firstLine="643" w:firstLineChars="200"/>
        <w:outlineLvl w:val="2"/>
        <w:rPr>
          <w:rFonts w:ascii="仿宋" w:hAnsi="仿宋" w:eastAsia="仿宋"/>
          <w:b/>
          <w:color w:val="000000"/>
          <w:sz w:val="32"/>
          <w:szCs w:val="32"/>
        </w:rPr>
      </w:pPr>
      <w:bookmarkStart w:id="25" w:name="_Toc15377212"/>
      <w:r>
        <w:rPr>
          <w:rFonts w:hint="eastAsia" w:ascii="仿宋" w:hAnsi="仿宋" w:eastAsia="仿宋"/>
          <w:b/>
          <w:color w:val="000000"/>
          <w:sz w:val="32"/>
          <w:szCs w:val="32"/>
        </w:rPr>
        <w:t>（三）一般公共预算财政拨款支出决算具体情况</w:t>
      </w:r>
      <w:bookmarkEnd w:id="25"/>
    </w:p>
    <w:p>
      <w:pPr>
        <w:spacing w:line="600" w:lineRule="exact"/>
        <w:ind w:firstLine="643" w:firstLineChars="200"/>
        <w:outlineLvl w:val="2"/>
        <w:rPr>
          <w:rFonts w:ascii="仿宋" w:hAnsi="仿宋" w:eastAsia="仿宋"/>
          <w:color w:val="FF0000"/>
          <w:sz w:val="32"/>
          <w:szCs w:val="32"/>
        </w:rPr>
      </w:pPr>
      <w:bookmarkStart w:id="26" w:name="_Toc15377444"/>
      <w:bookmarkStart w:id="27" w:name="_Toc15377213"/>
      <w:bookmarkStart w:id="28" w:name="_Toc15378460"/>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3077.54</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96.93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26"/>
      <w:bookmarkEnd w:id="27"/>
      <w:bookmarkEnd w:id="28"/>
    </w:p>
    <w:p>
      <w:pPr>
        <w:spacing w:line="600" w:lineRule="exact"/>
        <w:ind w:firstLine="640"/>
        <w:rPr>
          <w:rFonts w:hint="default" w:ascii="仿宋" w:hAnsi="仿宋" w:eastAsia="仿宋"/>
          <w:color w:val="000000" w:themeColor="text1"/>
          <w:sz w:val="32"/>
          <w:szCs w:val="32"/>
          <w:lang w:val="en-US"/>
        </w:rPr>
      </w:pPr>
      <w:r>
        <w:rPr>
          <w:rStyle w:val="14"/>
          <w:rFonts w:hint="eastAsia" w:ascii="仿宋" w:hAnsi="仿宋" w:eastAsia="仿宋"/>
          <w:bCs/>
          <w:color w:val="000000"/>
          <w:sz w:val="32"/>
          <w:szCs w:val="32"/>
        </w:rPr>
        <w:t>教育</w:t>
      </w:r>
      <w:r>
        <w:rPr>
          <w:rStyle w:val="14"/>
          <w:rFonts w:hint="eastAsia" w:ascii="仿宋" w:hAnsi="仿宋" w:eastAsia="仿宋"/>
          <w:bCs/>
          <w:color w:val="000000"/>
          <w:sz w:val="32"/>
          <w:szCs w:val="32"/>
          <w:lang w:val="en-US" w:eastAsia="zh-CN"/>
        </w:rPr>
        <w:t>205</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04</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3077.54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96.93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w:t>
      </w:r>
      <w:r>
        <w:rPr>
          <w:rFonts w:hint="eastAsia" w:ascii="仿宋" w:hAnsi="仿宋" w:eastAsia="仿宋"/>
          <w:color w:val="000000"/>
          <w:sz w:val="32"/>
          <w:szCs w:val="32"/>
          <w:lang w:val="en-US" w:eastAsia="zh-CN"/>
        </w:rPr>
        <w:t>学生人数和教师人数减少。</w:t>
      </w:r>
    </w:p>
    <w:p>
      <w:pPr>
        <w:tabs>
          <w:tab w:val="right" w:pos="8306"/>
        </w:tabs>
        <w:spacing w:line="600" w:lineRule="exact"/>
        <w:ind w:firstLine="640"/>
        <w:outlineLvl w:val="1"/>
        <w:rPr>
          <w:rStyle w:val="25"/>
        </w:rPr>
      </w:pPr>
      <w:bookmarkStart w:id="29" w:name="_Toc15377214"/>
      <w:bookmarkStart w:id="30"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29"/>
      <w:bookmarkEnd w:id="30"/>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3077.54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2790.73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286.81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31" w:name="_Toc15396609"/>
      <w:bookmarkStart w:id="32"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1"/>
      <w:bookmarkEnd w:id="32"/>
    </w:p>
    <w:p>
      <w:pPr>
        <w:spacing w:line="600" w:lineRule="exact"/>
        <w:ind w:firstLine="640"/>
        <w:outlineLvl w:val="2"/>
        <w:rPr>
          <w:rFonts w:ascii="仿宋" w:hAnsi="仿宋" w:eastAsia="仿宋"/>
          <w:b/>
          <w:color w:val="000000"/>
          <w:sz w:val="32"/>
          <w:szCs w:val="32"/>
        </w:rPr>
      </w:pPr>
      <w:bookmarkStart w:id="33" w:name="_Toc15377216"/>
      <w:r>
        <w:rPr>
          <w:rFonts w:hint="eastAsia" w:ascii="仿宋" w:hAnsi="仿宋" w:eastAsia="仿宋"/>
          <w:b/>
          <w:color w:val="000000"/>
          <w:sz w:val="32"/>
          <w:szCs w:val="32"/>
        </w:rPr>
        <w:t>（一）“三公”经费财政拨款支出决算总体情况说明</w:t>
      </w:r>
      <w:bookmarkEnd w:id="3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4.49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34" w:name="_Toc15377217"/>
      <w:r>
        <w:rPr>
          <w:rFonts w:hint="eastAsia" w:ascii="仿宋" w:hAnsi="仿宋" w:eastAsia="仿宋"/>
          <w:b/>
          <w:color w:val="000000"/>
          <w:sz w:val="32"/>
          <w:szCs w:val="32"/>
        </w:rPr>
        <w:t>（二）“三公”经费财政拨款支出决算具体情况说明</w:t>
      </w:r>
      <w:bookmarkEnd w:id="3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2.14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47.66</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2.35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52.34</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2.14</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97.3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12.76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减少外出，节约成本。</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2.14</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单位</w:t>
      </w:r>
      <w:r>
        <w:rPr>
          <w:rFonts w:hint="eastAsia" w:ascii="仿宋_GB2312" w:eastAsia="仿宋_GB2312"/>
          <w:color w:val="000000"/>
          <w:sz w:val="32"/>
          <w:szCs w:val="32"/>
        </w:rPr>
        <w:t>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2.35</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94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8.5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减少公务活动。</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2.35</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学校创建省二级示范高中和学术交流等等</w:t>
      </w:r>
      <w:r>
        <w:rPr>
          <w:rFonts w:hint="eastAsia" w:ascii="仿宋_GB2312" w:eastAsia="仿宋_GB2312"/>
          <w:color w:val="000000"/>
          <w:sz w:val="32"/>
          <w:szCs w:val="32"/>
        </w:rPr>
        <w:t>业务活动开支的交通费、住宿费、用餐费等。国内公务接待</w:t>
      </w:r>
      <w:r>
        <w:rPr>
          <w:rFonts w:hint="eastAsia" w:ascii="仿宋_GB2312" w:eastAsia="仿宋_GB2312"/>
          <w:color w:val="000000"/>
          <w:sz w:val="32"/>
          <w:szCs w:val="32"/>
          <w:lang w:val="en-US" w:eastAsia="zh-CN"/>
        </w:rPr>
        <w:t>112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570</w:t>
      </w:r>
      <w:r>
        <w:rPr>
          <w:rFonts w:hint="eastAsia" w:ascii="仿宋_GB2312" w:eastAsia="仿宋_GB2312"/>
          <w:color w:val="000000"/>
          <w:sz w:val="32"/>
          <w:szCs w:val="32"/>
        </w:rPr>
        <w:t>人次。</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bookmarkStart w:id="35" w:name="_Toc15396610"/>
      <w:bookmarkStart w:id="36"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35"/>
      <w:bookmarkEnd w:id="3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5"/>
          <w:rFonts w:ascii="黑体" w:hAnsi="黑体" w:eastAsia="黑体"/>
          <w:b w:val="0"/>
        </w:rPr>
      </w:pPr>
      <w:bookmarkStart w:id="37" w:name="_Toc15377219"/>
      <w:bookmarkStart w:id="38" w:name="_Toc15396611"/>
      <w:r>
        <w:rPr>
          <w:rStyle w:val="25"/>
          <w:rFonts w:hint="eastAsia" w:ascii="黑体" w:hAnsi="黑体" w:eastAsia="黑体"/>
          <w:b w:val="0"/>
        </w:rPr>
        <w:t>国有资本经营预算支出决算情况说明</w:t>
      </w:r>
      <w:bookmarkEnd w:id="37"/>
      <w:bookmarkEnd w:id="3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hAnsi="黑体" w:eastAsia="黑体"/>
        </w:rPr>
      </w:pPr>
      <w:bookmarkStart w:id="39" w:name="_Toc15396612"/>
      <w:bookmarkStart w:id="40"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39"/>
      <w:bookmarkEnd w:id="40"/>
    </w:p>
    <w:p>
      <w:pPr>
        <w:spacing w:line="600" w:lineRule="exact"/>
        <w:ind w:firstLine="643" w:firstLineChars="200"/>
        <w:outlineLvl w:val="2"/>
        <w:rPr>
          <w:rFonts w:ascii="仿宋" w:hAnsi="仿宋" w:eastAsia="仿宋"/>
          <w:color w:val="000000"/>
          <w:sz w:val="32"/>
          <w:szCs w:val="32"/>
        </w:rPr>
      </w:pPr>
      <w:bookmarkStart w:id="41" w:name="_Toc15377222"/>
      <w:r>
        <w:rPr>
          <w:rFonts w:hint="eastAsia" w:ascii="仿宋" w:hAnsi="仿宋" w:eastAsia="仿宋"/>
          <w:b/>
          <w:color w:val="000000"/>
          <w:sz w:val="32"/>
          <w:szCs w:val="32"/>
        </w:rPr>
        <w:t>（一）</w:t>
      </w:r>
      <w:r>
        <w:rPr>
          <w:rFonts w:hint="eastAsia" w:ascii="仿宋" w:hAnsi="仿宋" w:eastAsia="仿宋"/>
          <w:b/>
          <w:color w:val="000000"/>
          <w:sz w:val="32"/>
          <w:szCs w:val="32"/>
          <w:lang w:val="en-US" w:eastAsia="zh-CN"/>
        </w:rPr>
        <w:t>高中教育</w:t>
      </w:r>
      <w:r>
        <w:rPr>
          <w:rFonts w:hint="eastAsia" w:ascii="仿宋" w:hAnsi="仿宋" w:eastAsia="仿宋"/>
          <w:b/>
          <w:color w:val="000000"/>
          <w:sz w:val="32"/>
          <w:szCs w:val="32"/>
        </w:rPr>
        <w:t>运行经费支出情况</w:t>
      </w:r>
      <w:bookmarkEnd w:id="41"/>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元坝中学高中教育</w:t>
      </w:r>
      <w:r>
        <w:rPr>
          <w:rFonts w:hint="eastAsia" w:ascii="仿宋_GB2312" w:eastAsia="仿宋_GB2312"/>
          <w:color w:val="000000"/>
          <w:sz w:val="32"/>
          <w:szCs w:val="32"/>
        </w:rPr>
        <w:t>运行经费支出</w:t>
      </w:r>
      <w:r>
        <w:rPr>
          <w:rFonts w:hint="eastAsia" w:ascii="仿宋_GB2312" w:eastAsia="仿宋_GB2312"/>
          <w:color w:val="000000"/>
          <w:sz w:val="32"/>
          <w:szCs w:val="32"/>
          <w:lang w:val="en-US" w:eastAsia="zh-CN"/>
        </w:rPr>
        <w:t>3077.54</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176.68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 w:hAnsi="仿宋" w:eastAsia="仿宋"/>
          <w:color w:val="000000"/>
          <w:sz w:val="32"/>
          <w:szCs w:val="32"/>
          <w:lang w:val="en-US" w:eastAsia="zh-CN"/>
        </w:rPr>
        <w:t>学生人数和教师人数减少</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2" w:name="_Toc15377223"/>
      <w:r>
        <w:rPr>
          <w:rFonts w:hint="eastAsia" w:ascii="仿宋" w:hAnsi="仿宋" w:eastAsia="仿宋"/>
          <w:b/>
          <w:color w:val="000000"/>
          <w:sz w:val="32"/>
          <w:szCs w:val="32"/>
        </w:rPr>
        <w:t>（二）政府采购支出情况</w:t>
      </w:r>
      <w:bookmarkEnd w:id="42"/>
    </w:p>
    <w:p>
      <w:pPr>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lang w:val="en-US" w:eastAsia="zh-CN"/>
        </w:rPr>
        <w:t>无政府采购支出。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3" w:name="_Toc15377224"/>
      <w:r>
        <w:rPr>
          <w:rFonts w:hint="eastAsia" w:ascii="仿宋" w:hAnsi="仿宋" w:eastAsia="仿宋"/>
          <w:b/>
          <w:color w:val="000000"/>
          <w:sz w:val="32"/>
          <w:szCs w:val="32"/>
        </w:rPr>
        <w:t>（三）国有资产占有使用情况</w:t>
      </w:r>
      <w:bookmarkEnd w:id="43"/>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元坝中学</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val="en-US" w:eastAsia="zh-CN"/>
        </w:rPr>
        <w:t>单位日常公务活动。</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30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个项目编制了绩效目标，预算执行过程中，选取XX个项目开展绩效监控，年终执行完毕后，对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val="en-US" w:eastAsia="zh-CN"/>
        </w:rPr>
        <w:t>普通高中助学金和免学费整体情况良好，社会效益明显。</w:t>
      </w:r>
    </w:p>
    <w:p>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val="en-US" w:eastAsia="zh-CN"/>
        </w:rPr>
        <w:t>普通高中贫困家庭学生助学金</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普通高中免学费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1、普通高中贫困学生助学金</w:t>
      </w:r>
      <w:r>
        <w:rPr>
          <w:rFonts w:hint="eastAsia" w:ascii="仿宋_GB2312" w:hAnsi="仿宋_GB2312" w:eastAsia="仿宋_GB2312" w:cs="仿宋_GB2312"/>
          <w:sz w:val="32"/>
          <w:szCs w:val="32"/>
          <w:lang w:eastAsia="zh-CN"/>
        </w:rPr>
        <w:t>补助</w:t>
      </w:r>
      <w:r>
        <w:rPr>
          <w:rFonts w:hint="eastAsia" w:ascii="仿宋_GB2312" w:hAnsi="仿宋_GB2312" w:eastAsia="仿宋_GB2312" w:cs="仿宋_GB2312"/>
          <w:sz w:val="32"/>
          <w:szCs w:val="32"/>
        </w:rPr>
        <w:t>项目绩效目标完成情况综述。</w:t>
      </w:r>
      <w:r>
        <w:rPr>
          <w:rFonts w:hint="eastAsia" w:ascii="仿宋_GB2312" w:hAnsi="仿宋_GB2312" w:eastAsia="仿宋_GB2312" w:cs="仿宋_GB2312"/>
          <w:sz w:val="32"/>
          <w:szCs w:val="32"/>
          <w:highlight w:val="none"/>
          <w:lang w:val="en-US" w:eastAsia="zh-CN"/>
        </w:rPr>
        <w:t>项目全年预算数179.8万元，执行数为179.8万元，完成预算的100%。通过项目实施，保障899名普通高中</w:t>
      </w:r>
      <w:r>
        <w:rPr>
          <w:rFonts w:hint="eastAsia" w:ascii="仿宋_GB2312" w:hAnsi="仿宋_GB2312" w:eastAsia="仿宋_GB2312" w:cs="仿宋_GB2312"/>
          <w:sz w:val="32"/>
          <w:szCs w:val="32"/>
          <w:lang w:val="en-US" w:eastAsia="zh-CN"/>
        </w:rPr>
        <w:t>家庭经济困难问题，提高了农村非义务教育阶段贫困家庭学生的生活水平。</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部分补助申请理由不充分较抽象</w:t>
      </w:r>
      <w:r>
        <w:rPr>
          <w:rFonts w:hint="eastAsia" w:ascii="仿宋_GB2312" w:hAnsi="仿宋_GB2312" w:eastAsia="仿宋_GB2312" w:cs="仿宋_GB2312"/>
          <w:sz w:val="32"/>
          <w:szCs w:val="32"/>
          <w:lang w:eastAsia="zh-CN"/>
        </w:rPr>
        <w:t>，二是打卡发放时部分学生银行卡较为混乱，每期都在变换，不好管理</w:t>
      </w:r>
      <w:r>
        <w:rPr>
          <w:rFonts w:hint="eastAsia" w:ascii="仿宋_GB2312" w:hAnsi="仿宋_GB2312" w:eastAsia="仿宋_GB2312" w:cs="仿宋_GB2312"/>
          <w:sz w:val="32"/>
          <w:szCs w:val="32"/>
        </w:rPr>
        <w:t>。下一步改进措施：进一步完善申报程序及申请资料的填写、审核</w:t>
      </w:r>
      <w:r>
        <w:rPr>
          <w:rFonts w:hint="eastAsia" w:ascii="仿宋_GB2312" w:hAnsi="仿宋_GB2312" w:eastAsia="仿宋_GB2312" w:cs="仿宋_GB2312"/>
          <w:sz w:val="32"/>
          <w:szCs w:val="32"/>
          <w:lang w:eastAsia="zh-CN"/>
        </w:rPr>
        <w:t>，确保补助资金真正补助到贫困家庭；按照扶贫资金“一卡通”要求，全部通过学生本人的社保卡发放，保障资金准确及时发放到学生手中。</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2、普通高中免学费补助项目绩效目标完成情况综述。项目全年预算数61.132万元，执行数为61.132万元，完成预算的100%。通过项目实施，保障899名普通高中</w:t>
      </w:r>
      <w:r>
        <w:rPr>
          <w:rFonts w:hint="eastAsia" w:ascii="仿宋_GB2312" w:hAnsi="仿宋_GB2312" w:eastAsia="仿宋_GB2312" w:cs="仿宋_GB2312"/>
          <w:sz w:val="32"/>
          <w:szCs w:val="32"/>
          <w:lang w:val="en-US" w:eastAsia="zh-CN"/>
        </w:rPr>
        <w:t>家庭经济困难问题，提高了农村非义务教育阶段贫困家庭学生的生活水平。</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部分补助申请理由不充分较抽象</w:t>
      </w:r>
      <w:r>
        <w:rPr>
          <w:rFonts w:hint="eastAsia" w:ascii="仿宋_GB2312" w:hAnsi="仿宋_GB2312" w:eastAsia="仿宋_GB2312" w:cs="仿宋_GB2312"/>
          <w:sz w:val="32"/>
          <w:szCs w:val="32"/>
          <w:lang w:eastAsia="zh-CN"/>
        </w:rPr>
        <w:t>，二是打卡发放时部分学生银行卡较为混乱，每期都在变换，不好管理</w:t>
      </w:r>
      <w:r>
        <w:rPr>
          <w:rFonts w:hint="eastAsia" w:ascii="仿宋_GB2312" w:hAnsi="仿宋_GB2312" w:eastAsia="仿宋_GB2312" w:cs="仿宋_GB2312"/>
          <w:sz w:val="32"/>
          <w:szCs w:val="32"/>
        </w:rPr>
        <w:t>。下一步改进措施：进一步完善申报程序及申请资料的填写、审核</w:t>
      </w:r>
      <w:r>
        <w:rPr>
          <w:rFonts w:hint="eastAsia" w:ascii="仿宋_GB2312" w:hAnsi="仿宋_GB2312" w:eastAsia="仿宋_GB2312" w:cs="仿宋_GB2312"/>
          <w:sz w:val="32"/>
          <w:szCs w:val="32"/>
          <w:lang w:eastAsia="zh-CN"/>
        </w:rPr>
        <w:t>，确保补助资金真正补助到贫困家庭；按照扶贫资金“一卡通”要求，全部通过学生本人的社保卡发放，保障资金准确及时发放到学生手中。</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563"/>
        <w:gridCol w:w="1194"/>
        <w:gridCol w:w="1109"/>
        <w:gridCol w:w="2308"/>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Style w:val="23"/>
              <w:widowControl/>
              <w:ind w:left="0" w:leftChars="0" w:firstLine="0" w:firstLineChars="0"/>
              <w:jc w:val="center"/>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8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0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28"/>
                <w:szCs w:val="28"/>
                <w:lang w:val="en-US" w:eastAsia="zh-CN"/>
              </w:rPr>
              <w:t>普通高中贫困学生助学金</w:t>
            </w:r>
          </w:p>
        </w:tc>
      </w:tr>
      <w:tr>
        <w:tblPrEx>
          <w:tblCellMar>
            <w:top w:w="0" w:type="dxa"/>
            <w:left w:w="0" w:type="dxa"/>
            <w:bottom w:w="0" w:type="dxa"/>
            <w:right w:w="0" w:type="dxa"/>
          </w:tblCellMar>
        </w:tblPrEx>
        <w:trPr>
          <w:trHeight w:val="276" w:hRule="atLeast"/>
          <w:jc w:val="center"/>
        </w:trPr>
        <w:tc>
          <w:tcPr>
            <w:tcW w:w="28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0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四川省广元市元坝中学</w:t>
            </w:r>
          </w:p>
        </w:tc>
      </w:tr>
      <w:tr>
        <w:tblPrEx>
          <w:tblCellMar>
            <w:top w:w="0" w:type="dxa"/>
            <w:left w:w="0" w:type="dxa"/>
            <w:bottom w:w="0" w:type="dxa"/>
            <w:right w:w="0" w:type="dxa"/>
          </w:tblCellMar>
        </w:tblPrEx>
        <w:trPr>
          <w:trHeight w:val="276"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0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179.8万元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179.8万元</w:t>
            </w:r>
          </w:p>
        </w:tc>
      </w:tr>
      <w:tr>
        <w:tblPrEx>
          <w:tblCellMar>
            <w:top w:w="0" w:type="dxa"/>
            <w:left w:w="0" w:type="dxa"/>
            <w:bottom w:w="0" w:type="dxa"/>
            <w:right w:w="0" w:type="dxa"/>
          </w:tblCellMar>
        </w:tblPrEx>
        <w:trPr>
          <w:trHeight w:val="276"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230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179.8万元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179.8万元</w:t>
            </w:r>
          </w:p>
        </w:tc>
      </w:tr>
      <w:tr>
        <w:tblPrEx>
          <w:tblCellMar>
            <w:top w:w="0" w:type="dxa"/>
            <w:left w:w="0" w:type="dxa"/>
            <w:bottom w:w="0" w:type="dxa"/>
            <w:right w:w="0" w:type="dxa"/>
          </w:tblCellMar>
        </w:tblPrEx>
        <w:trPr>
          <w:trHeight w:val="1511"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230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6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46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sz w:val="24"/>
              </w:rPr>
              <w:t>1.严肃财经纪律，落实好资助政策，保证资金安全，及时下达资金，督促学校按时落实资助资金。</w:t>
            </w:r>
          </w:p>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sz w:val="24"/>
              </w:rPr>
              <w:t>2.加大宣传力度，落实好城乡义务教育阶段寄宿学生生活费补助资助政策；</w:t>
            </w:r>
          </w:p>
          <w:p>
            <w:pPr>
              <w:widowControl/>
              <w:jc w:val="center"/>
              <w:textAlignment w:val="center"/>
              <w:rPr>
                <w:rFonts w:ascii="宋体" w:hAnsi="宋体" w:cs="宋体"/>
                <w:color w:val="000000"/>
                <w:sz w:val="24"/>
              </w:rPr>
            </w:pPr>
            <w:r>
              <w:rPr>
                <w:rFonts w:hint="eastAsia" w:ascii="仿宋" w:hAnsi="仿宋" w:eastAsia="仿宋" w:cs="仿宋"/>
                <w:color w:val="000000"/>
                <w:sz w:val="24"/>
              </w:rPr>
              <w:t>3.提高贫困家庭经济收入，助力家庭脱贫。</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sz w:val="24"/>
              </w:rPr>
              <w:t>1.严肃财经纪律，落实好资助政策，保证资金安全，及时下达资金，学校按时落实资助资金。</w:t>
            </w:r>
          </w:p>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sz w:val="24"/>
              </w:rPr>
              <w:t>2.加大宣传力度，落实好城乡义务教育阶段寄宿学生生活费补助资助政策；</w:t>
            </w:r>
          </w:p>
          <w:p>
            <w:pPr>
              <w:widowControl/>
              <w:jc w:val="left"/>
              <w:textAlignment w:val="center"/>
              <w:rPr>
                <w:rFonts w:ascii="宋体" w:hAnsi="宋体" w:cs="宋体"/>
                <w:color w:val="000000"/>
                <w:sz w:val="24"/>
              </w:rPr>
            </w:pPr>
            <w:r>
              <w:rPr>
                <w:rFonts w:hint="eastAsia" w:ascii="仿宋" w:hAnsi="仿宋" w:eastAsia="仿宋" w:cs="仿宋"/>
                <w:color w:val="000000"/>
                <w:sz w:val="24"/>
              </w:rPr>
              <w:t>3.提高贫困家庭经济收入，助力家庭脱贫。</w:t>
            </w:r>
          </w:p>
        </w:tc>
      </w:tr>
      <w:tr>
        <w:tblPrEx>
          <w:tblCellMar>
            <w:top w:w="0" w:type="dxa"/>
            <w:left w:w="0" w:type="dxa"/>
            <w:bottom w:w="0" w:type="dxa"/>
            <w:right w:w="0" w:type="dxa"/>
          </w:tblCellMar>
        </w:tblPrEx>
        <w:trPr>
          <w:trHeight w:val="1042" w:hRule="atLeast"/>
          <w:jc w:val="center"/>
        </w:trPr>
        <w:tc>
          <w:tcPr>
            <w:tcW w:w="56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一级指标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二级指标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建档立卡贫困户</w:t>
            </w:r>
            <w:r>
              <w:rPr>
                <w:rFonts w:hint="eastAsia" w:ascii="仿宋" w:hAnsi="仿宋" w:eastAsia="仿宋" w:cs="仿宋"/>
                <w:color w:val="000000"/>
                <w:sz w:val="24"/>
              </w:rPr>
              <w:t>补助人数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303人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303人</w:t>
            </w:r>
          </w:p>
        </w:tc>
      </w:tr>
      <w:tr>
        <w:tblPrEx>
          <w:tblCellMar>
            <w:top w:w="0" w:type="dxa"/>
            <w:left w:w="0" w:type="dxa"/>
            <w:bottom w:w="0" w:type="dxa"/>
            <w:right w:w="0" w:type="dxa"/>
          </w:tblCellMar>
        </w:tblPrEx>
        <w:trPr>
          <w:trHeight w:val="1297"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低保户子女</w:t>
            </w:r>
            <w:r>
              <w:rPr>
                <w:rFonts w:hint="eastAsia" w:ascii="仿宋" w:hAnsi="仿宋" w:eastAsia="仿宋" w:cs="仿宋"/>
                <w:color w:val="000000"/>
                <w:sz w:val="24"/>
              </w:rPr>
              <w:t>补助人数</w:t>
            </w:r>
            <w:r>
              <w:rPr>
                <w:rFonts w:hint="eastAsia" w:ascii="仿宋" w:hAnsi="仿宋" w:eastAsia="仿宋" w:cs="仿宋"/>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103人</w:t>
            </w:r>
          </w:p>
        </w:tc>
      </w:tr>
      <w:tr>
        <w:tblPrEx>
          <w:tblCellMar>
            <w:top w:w="0" w:type="dxa"/>
            <w:left w:w="0" w:type="dxa"/>
            <w:bottom w:w="0" w:type="dxa"/>
            <w:right w:w="0" w:type="dxa"/>
          </w:tblCellMar>
        </w:tblPrEx>
        <w:trPr>
          <w:trHeight w:val="1042"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残疾学生</w:t>
            </w:r>
            <w:r>
              <w:rPr>
                <w:rFonts w:hint="eastAsia" w:ascii="仿宋" w:hAnsi="仿宋" w:eastAsia="仿宋" w:cs="仿宋"/>
                <w:color w:val="000000"/>
                <w:sz w:val="24"/>
              </w:rPr>
              <w:t>补助人数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5人</w:t>
            </w:r>
          </w:p>
        </w:tc>
      </w:tr>
      <w:tr>
        <w:tblPrEx>
          <w:tblCellMar>
            <w:top w:w="0" w:type="dxa"/>
            <w:left w:w="0" w:type="dxa"/>
            <w:bottom w:w="0" w:type="dxa"/>
            <w:right w:w="0" w:type="dxa"/>
          </w:tblCellMar>
        </w:tblPrEx>
        <w:trPr>
          <w:trHeight w:val="1042"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仿宋" w:hAnsi="仿宋" w:eastAsia="仿宋" w:cs="仿宋"/>
                <w:color w:val="000000"/>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一般贫困户子女</w:t>
            </w:r>
            <w:r>
              <w:rPr>
                <w:rFonts w:hint="eastAsia" w:ascii="仿宋" w:hAnsi="仿宋" w:eastAsia="仿宋" w:cs="仿宋"/>
                <w:color w:val="000000"/>
                <w:sz w:val="24"/>
              </w:rPr>
              <w:t>补助人数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488人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488人</w:t>
            </w:r>
          </w:p>
        </w:tc>
      </w:tr>
      <w:tr>
        <w:tblPrEx>
          <w:tblCellMar>
            <w:top w:w="0" w:type="dxa"/>
            <w:left w:w="0" w:type="dxa"/>
            <w:bottom w:w="0" w:type="dxa"/>
            <w:right w:w="0" w:type="dxa"/>
          </w:tblCellMar>
        </w:tblPrEx>
        <w:trPr>
          <w:trHeight w:val="1042"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eastAsia="zh-CN"/>
              </w:rPr>
              <w:t>成本指标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接受基础教育</w:t>
            </w:r>
            <w:r>
              <w:rPr>
                <w:rFonts w:hint="eastAsia" w:ascii="仿宋" w:hAnsi="仿宋" w:eastAsia="仿宋" w:cs="仿宋"/>
                <w:color w:val="000000"/>
                <w:sz w:val="24"/>
              </w:rPr>
              <w:t>人均补助标准</w:t>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1000元/学期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1000元/学期</w:t>
            </w:r>
          </w:p>
        </w:tc>
      </w:tr>
      <w:tr>
        <w:tblPrEx>
          <w:tblCellMar>
            <w:top w:w="0" w:type="dxa"/>
            <w:left w:w="0" w:type="dxa"/>
            <w:bottom w:w="0" w:type="dxa"/>
            <w:right w:w="0" w:type="dxa"/>
          </w:tblCellMar>
        </w:tblPrEx>
        <w:trPr>
          <w:trHeight w:val="1042"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eastAsia="zh-CN"/>
              </w:rPr>
              <w:t>社会效益</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建档立卡贫困户子女全程全部接受资助</w:t>
            </w:r>
            <w:r>
              <w:rPr>
                <w:rFonts w:hint="eastAsia" w:ascii="仿宋" w:hAnsi="仿宋" w:eastAsia="仿宋" w:cs="仿宋"/>
                <w:color w:val="000000"/>
                <w:sz w:val="24"/>
              </w:rPr>
              <w:t>补助的比例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经济</w:t>
            </w:r>
            <w:r>
              <w:rPr>
                <w:rFonts w:hint="eastAsia" w:ascii="仿宋" w:hAnsi="仿宋" w:eastAsia="仿宋" w:cs="仿宋"/>
                <w:color w:val="000000"/>
                <w:sz w:val="24"/>
                <w:lang w:eastAsia="zh-CN"/>
              </w:rPr>
              <w:t>效益</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全校资助资金发放金额</w:t>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179.8万元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179.8万元</w:t>
            </w:r>
          </w:p>
        </w:tc>
      </w:tr>
      <w:tr>
        <w:tblPrEx>
          <w:tblCellMar>
            <w:top w:w="0" w:type="dxa"/>
            <w:left w:w="0" w:type="dxa"/>
            <w:bottom w:w="0" w:type="dxa"/>
            <w:right w:w="0" w:type="dxa"/>
          </w:tblCellMar>
        </w:tblPrEx>
        <w:trPr>
          <w:trHeight w:val="1297"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eastAsia="zh-CN"/>
              </w:rPr>
              <w:t>社会效益</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eastAsia="zh-CN"/>
              </w:rPr>
              <w:t>政策知晓率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100</w:t>
            </w:r>
          </w:p>
        </w:tc>
      </w:tr>
      <w:tr>
        <w:tblPrEx>
          <w:tblCellMar>
            <w:top w:w="0" w:type="dxa"/>
            <w:left w:w="0" w:type="dxa"/>
            <w:bottom w:w="0" w:type="dxa"/>
            <w:right w:w="0" w:type="dxa"/>
          </w:tblCellMar>
        </w:tblPrEx>
        <w:trPr>
          <w:trHeight w:val="1297"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仿宋" w:hAnsi="仿宋" w:eastAsia="仿宋" w:cs="仿宋"/>
                <w:color w:val="000000"/>
                <w:kern w:val="0"/>
                <w:sz w:val="24"/>
              </w:rPr>
              <w:t>满意度指标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服务对象满意度指标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rPr>
              <w:t>接受补助学生满意度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100%</w:t>
            </w:r>
          </w:p>
        </w:tc>
      </w:tr>
      <w:tr>
        <w:tblPrEx>
          <w:tblCellMar>
            <w:top w:w="0" w:type="dxa"/>
            <w:left w:w="0" w:type="dxa"/>
            <w:bottom w:w="0" w:type="dxa"/>
            <w:right w:w="0" w:type="dxa"/>
          </w:tblCellMar>
        </w:tblPrEx>
        <w:trPr>
          <w:trHeight w:val="1050" w:hRule="atLeast"/>
          <w:jc w:val="center"/>
        </w:trPr>
        <w:tc>
          <w:tcPr>
            <w:tcW w:w="56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kern w:val="0"/>
                <w:sz w:val="24"/>
              </w:rPr>
              <w:t>满意度指标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服务对象满意度指标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rPr>
              <w:t>接受补助</w:t>
            </w:r>
            <w:r>
              <w:rPr>
                <w:rFonts w:hint="eastAsia" w:ascii="仿宋" w:hAnsi="仿宋" w:eastAsia="仿宋" w:cs="仿宋"/>
                <w:color w:val="000000"/>
                <w:sz w:val="24"/>
                <w:lang w:val="en-US" w:eastAsia="zh-CN"/>
              </w:rPr>
              <w:t>学生家长</w:t>
            </w:r>
            <w:r>
              <w:rPr>
                <w:rFonts w:hint="eastAsia" w:ascii="仿宋" w:hAnsi="仿宋" w:eastAsia="仿宋" w:cs="仿宋"/>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100%</w:t>
            </w:r>
          </w:p>
        </w:tc>
      </w:tr>
    </w:tbl>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3"/>
        <w:gridCol w:w="1194"/>
        <w:gridCol w:w="1109"/>
        <w:gridCol w:w="2308"/>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3" w:hRule="atLeast"/>
        </w:trPr>
        <w:tc>
          <w:tcPr>
            <w:tcW w:w="9960" w:type="dxa"/>
            <w:gridSpan w:val="6"/>
            <w:noWrap w:val="0"/>
            <w:tcMar>
              <w:top w:w="15" w:type="dxa"/>
              <w:left w:w="15" w:type="dxa"/>
              <w:bottom w:w="0" w:type="dxa"/>
              <w:right w:w="15" w:type="dxa"/>
            </w:tcMar>
            <w:vAlign w:val="center"/>
          </w:tcPr>
          <w:p>
            <w:pPr>
              <w:pStyle w:val="23"/>
              <w:widowControl/>
              <w:ind w:left="0" w:leftChars="0" w:firstLine="0" w:firstLineChars="0"/>
              <w:jc w:val="center"/>
              <w:textAlignment w:val="center"/>
              <w:rPr>
                <w:rFonts w:hint="eastAsia" w:ascii="黑体" w:hAnsi="黑体" w:eastAsia="黑体" w:cs="宋体"/>
                <w:bCs/>
                <w:color w:val="000000"/>
                <w:kern w:val="0"/>
                <w:sz w:val="36"/>
                <w:szCs w:val="36"/>
              </w:rPr>
            </w:pPr>
          </w:p>
          <w:p>
            <w:pPr>
              <w:pStyle w:val="23"/>
              <w:widowControl/>
              <w:ind w:left="0" w:leftChars="0" w:firstLine="0" w:firstLineChars="0"/>
              <w:jc w:val="center"/>
              <w:textAlignment w:val="center"/>
              <w:rPr>
                <w:rFonts w:hint="eastAsia" w:ascii="黑体" w:hAnsi="黑体" w:eastAsia="黑体" w:cs="宋体"/>
                <w:bCs/>
                <w:color w:val="000000"/>
                <w:kern w:val="0"/>
                <w:sz w:val="32"/>
                <w:szCs w:val="32"/>
              </w:rPr>
            </w:pPr>
          </w:p>
          <w:p>
            <w:pPr>
              <w:pStyle w:val="23"/>
              <w:widowControl/>
              <w:ind w:left="0" w:leftChars="0" w:firstLine="0" w:firstLineChars="0"/>
              <w:jc w:val="center"/>
              <w:textAlignment w:val="center"/>
              <w:rPr>
                <w:rFonts w:hint="eastAsia" w:ascii="黑体" w:hAnsi="黑体" w:eastAsia="黑体" w:cs="宋体"/>
                <w:bCs/>
                <w:color w:val="000000"/>
                <w:kern w:val="0"/>
                <w:sz w:val="32"/>
                <w:szCs w:val="32"/>
              </w:rPr>
            </w:pPr>
          </w:p>
          <w:p>
            <w:pPr>
              <w:pStyle w:val="23"/>
              <w:widowControl/>
              <w:ind w:left="0" w:leftChars="0" w:firstLine="0" w:firstLineChars="0"/>
              <w:jc w:val="center"/>
              <w:textAlignment w:val="center"/>
              <w:rPr>
                <w:rFonts w:hint="eastAsia" w:ascii="黑体" w:hAnsi="黑体" w:eastAsia="黑体" w:cs="宋体"/>
                <w:bCs/>
                <w:color w:val="000000"/>
                <w:kern w:val="0"/>
                <w:sz w:val="32"/>
                <w:szCs w:val="32"/>
              </w:rPr>
            </w:pPr>
          </w:p>
          <w:p>
            <w:pPr>
              <w:pStyle w:val="23"/>
              <w:widowControl/>
              <w:ind w:left="0" w:leftChars="0" w:firstLine="0" w:firstLineChars="0"/>
              <w:jc w:val="center"/>
              <w:textAlignment w:val="center"/>
              <w:rPr>
                <w:rFonts w:hint="eastAsia" w:ascii="黑体" w:hAnsi="黑体" w:eastAsia="黑体" w:cs="宋体"/>
                <w:bCs/>
                <w:color w:val="000000"/>
                <w:kern w:val="0"/>
                <w:sz w:val="32"/>
                <w:szCs w:val="32"/>
              </w:rPr>
            </w:pPr>
          </w:p>
          <w:p>
            <w:pPr>
              <w:pStyle w:val="23"/>
              <w:widowControl/>
              <w:ind w:left="0" w:leftChars="0" w:firstLine="0" w:firstLineChars="0"/>
              <w:jc w:val="center"/>
              <w:textAlignment w:val="center"/>
              <w:rPr>
                <w:rFonts w:hint="eastAsia" w:ascii="黑体" w:hAnsi="黑体" w:eastAsia="黑体" w:cs="宋体"/>
                <w:bCs/>
                <w:color w:val="000000"/>
                <w:kern w:val="0"/>
                <w:sz w:val="32"/>
                <w:szCs w:val="32"/>
              </w:rPr>
            </w:pPr>
          </w:p>
          <w:p>
            <w:pPr>
              <w:pStyle w:val="23"/>
              <w:widowControl/>
              <w:ind w:left="0" w:leftChars="0" w:firstLine="0" w:firstLineChars="0"/>
              <w:jc w:val="center"/>
              <w:textAlignment w:val="center"/>
              <w:rPr>
                <w:rFonts w:hint="eastAsia" w:ascii="黑体" w:hAnsi="黑体" w:eastAsia="黑体" w:cs="宋体"/>
                <w:bCs/>
                <w:color w:val="000000"/>
                <w:kern w:val="0"/>
                <w:sz w:val="32"/>
                <w:szCs w:val="32"/>
              </w:rPr>
            </w:pPr>
          </w:p>
          <w:p>
            <w:pPr>
              <w:pStyle w:val="23"/>
              <w:widowControl/>
              <w:ind w:left="0" w:leftChars="0" w:firstLine="0" w:firstLineChars="0"/>
              <w:jc w:val="center"/>
              <w:textAlignment w:val="center"/>
              <w:rPr>
                <w:rFonts w:hint="eastAsia" w:ascii="黑体" w:hAnsi="黑体" w:eastAsia="黑体" w:cs="宋体"/>
                <w:bCs/>
                <w:color w:val="000000"/>
                <w:kern w:val="0"/>
                <w:sz w:val="32"/>
                <w:szCs w:val="32"/>
              </w:rPr>
            </w:pPr>
          </w:p>
          <w:p>
            <w:pPr>
              <w:pStyle w:val="23"/>
              <w:widowControl/>
              <w:ind w:left="0" w:leftChars="0" w:firstLine="0" w:firstLineChars="0"/>
              <w:jc w:val="center"/>
              <w:textAlignment w:val="center"/>
              <w:rPr>
                <w:rFonts w:hint="eastAsia" w:ascii="黑体" w:hAnsi="黑体" w:eastAsia="黑体" w:cs="宋体"/>
                <w:bCs/>
                <w:color w:val="000000"/>
                <w:kern w:val="0"/>
                <w:sz w:val="32"/>
                <w:szCs w:val="32"/>
              </w:rPr>
            </w:pPr>
          </w:p>
          <w:p>
            <w:pPr>
              <w:pStyle w:val="23"/>
              <w:widowControl/>
              <w:ind w:left="0" w:leftChars="0" w:firstLine="0" w:firstLineChars="0"/>
              <w:jc w:val="center"/>
              <w:textAlignment w:val="center"/>
              <w:rPr>
                <w:rFonts w:hint="eastAsia" w:ascii="黑体" w:hAnsi="黑体" w:eastAsia="黑体" w:cs="宋体"/>
                <w:bCs/>
                <w:color w:val="000000"/>
                <w:kern w:val="0"/>
                <w:sz w:val="32"/>
                <w:szCs w:val="32"/>
              </w:rPr>
            </w:pPr>
          </w:p>
          <w:p>
            <w:pPr>
              <w:pStyle w:val="23"/>
              <w:widowControl/>
              <w:ind w:left="0" w:leftChars="0" w:firstLine="0" w:firstLineChars="0"/>
              <w:jc w:val="center"/>
              <w:textAlignment w:val="center"/>
              <w:rPr>
                <w:rFonts w:hint="eastAsia" w:ascii="黑体" w:hAnsi="黑体" w:eastAsia="黑体" w:cs="宋体"/>
                <w:bCs/>
                <w:color w:val="000000"/>
                <w:kern w:val="0"/>
                <w:sz w:val="32"/>
                <w:szCs w:val="32"/>
              </w:rPr>
            </w:pPr>
          </w:p>
          <w:p>
            <w:pPr>
              <w:pStyle w:val="23"/>
              <w:widowControl/>
              <w:ind w:left="0" w:leftChars="0" w:firstLine="0" w:firstLineChars="0"/>
              <w:jc w:val="center"/>
              <w:textAlignment w:val="center"/>
              <w:rPr>
                <w:rFonts w:ascii="宋体" w:hAnsi="宋体" w:cs="宋体"/>
                <w:color w:val="000000"/>
                <w:sz w:val="36"/>
                <w:szCs w:val="36"/>
              </w:rPr>
            </w:pPr>
            <w:r>
              <w:rPr>
                <w:rFonts w:hint="eastAsia" w:ascii="黑体" w:hAnsi="黑体" w:eastAsia="黑体" w:cs="宋体"/>
                <w:bCs/>
                <w:color w:val="000000"/>
                <w:kern w:val="0"/>
                <w:sz w:val="32"/>
                <w:szCs w:val="32"/>
              </w:rPr>
              <w:t>项目支出绩效目标完成情况表</w:t>
            </w:r>
            <w:r>
              <w:rPr>
                <w:rFonts w:hint="eastAsia" w:ascii="宋体" w:hAnsi="宋体" w:cs="宋体"/>
                <w:b/>
                <w:bCs/>
                <w:color w:val="000000"/>
                <w:kern w:val="0"/>
                <w:sz w:val="32"/>
                <w:szCs w:val="32"/>
              </w:rPr>
              <w:br w:type="textWrapping"/>
            </w:r>
            <w:r>
              <w:rPr>
                <w:rFonts w:hint="eastAsia" w:ascii="宋体" w:hAnsi="宋体" w:cs="宋体"/>
                <w:color w:val="000000"/>
                <w:kern w:val="0"/>
                <w:sz w:val="32"/>
                <w:szCs w:val="32"/>
              </w:rPr>
              <w:t>(201</w:t>
            </w:r>
            <w:r>
              <w:rPr>
                <w:rFonts w:hint="eastAsia" w:ascii="宋体" w:hAnsi="宋体" w:cs="宋体"/>
                <w:color w:val="000000"/>
                <w:kern w:val="0"/>
                <w:sz w:val="32"/>
                <w:szCs w:val="32"/>
                <w:lang w:val="en-US" w:eastAsia="zh-CN"/>
              </w:rPr>
              <w:t>9</w:t>
            </w:r>
            <w:r>
              <w:rPr>
                <w:rFonts w:hint="eastAsia" w:ascii="宋体" w:hAnsi="宋体" w:cs="宋体"/>
                <w:color w:val="000000"/>
                <w:kern w:val="0"/>
                <w:sz w:val="32"/>
                <w:szCs w:val="3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8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0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color w:val="000000"/>
                <w:sz w:val="24"/>
                <w:lang w:val="en-US" w:eastAsia="zh-CN"/>
              </w:rPr>
              <w:t>普通高中免学费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8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0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四川省广元市元坝中学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3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61.132万元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61.132万元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23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61.132万元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61.132万元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23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6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46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000000"/>
                <w:sz w:val="24"/>
              </w:rPr>
            </w:pPr>
            <w:r>
              <w:rPr>
                <w:rFonts w:hint="eastAsia" w:ascii="宋体" w:hAnsi="宋体" w:cs="宋体"/>
                <w:color w:val="000000"/>
                <w:sz w:val="24"/>
              </w:rPr>
              <w:t>1.</w:t>
            </w:r>
            <w:r>
              <w:rPr>
                <w:rFonts w:hint="eastAsia" w:ascii="仿宋" w:hAnsi="仿宋" w:eastAsia="仿宋" w:cs="仿宋"/>
                <w:color w:val="000000"/>
                <w:sz w:val="24"/>
              </w:rPr>
              <w:t>严肃财经纪律，落实好资助政策，保证资金安全，及时下达资金，督促学校按时落实资助资金。</w:t>
            </w:r>
          </w:p>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sz w:val="24"/>
              </w:rPr>
              <w:t>2.加大宣传力度，落实好城乡义务教育阶段寄宿学生生活费补助资助政策；</w:t>
            </w:r>
          </w:p>
          <w:p>
            <w:pPr>
              <w:widowControl/>
              <w:jc w:val="center"/>
              <w:textAlignment w:val="center"/>
              <w:rPr>
                <w:rFonts w:ascii="宋体" w:hAnsi="宋体" w:cs="宋体"/>
                <w:color w:val="000000"/>
                <w:sz w:val="24"/>
              </w:rPr>
            </w:pPr>
            <w:r>
              <w:rPr>
                <w:rFonts w:hint="eastAsia" w:ascii="仿宋" w:hAnsi="仿宋" w:eastAsia="仿宋" w:cs="仿宋"/>
                <w:color w:val="000000"/>
                <w:sz w:val="24"/>
              </w:rPr>
              <w:t>3.提高贫困家庭经济收入，助力家庭脱贫</w:t>
            </w:r>
            <w:r>
              <w:rPr>
                <w:rFonts w:hint="eastAsia" w:ascii="宋体" w:hAnsi="宋体" w:cs="宋体"/>
                <w:color w:val="000000"/>
                <w:sz w:val="24"/>
              </w:rPr>
              <w:t>。</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000000"/>
                <w:sz w:val="24"/>
              </w:rPr>
            </w:pPr>
            <w:r>
              <w:rPr>
                <w:rFonts w:hint="eastAsia" w:ascii="宋体" w:hAnsi="宋体" w:cs="宋体"/>
                <w:color w:val="000000"/>
                <w:sz w:val="24"/>
              </w:rPr>
              <w:t>1.</w:t>
            </w:r>
            <w:r>
              <w:rPr>
                <w:rFonts w:hint="eastAsia" w:ascii="仿宋" w:hAnsi="仿宋" w:eastAsia="仿宋" w:cs="仿宋"/>
                <w:color w:val="000000"/>
                <w:sz w:val="24"/>
              </w:rPr>
              <w:t>严肃财经纪律，落实好资助政策，保证资金安全，及时下达资金，学校按时落实资助资金。</w:t>
            </w:r>
          </w:p>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sz w:val="24"/>
              </w:rPr>
              <w:t>2.加大宣传力度，落实好城乡义务教育阶段寄宿学生生活费补助资助政策；</w:t>
            </w:r>
          </w:p>
          <w:p>
            <w:pPr>
              <w:widowControl/>
              <w:jc w:val="left"/>
              <w:textAlignment w:val="center"/>
              <w:rPr>
                <w:rFonts w:ascii="宋体" w:hAnsi="宋体" w:cs="宋体"/>
                <w:color w:val="000000"/>
                <w:sz w:val="24"/>
              </w:rPr>
            </w:pPr>
            <w:r>
              <w:rPr>
                <w:rFonts w:hint="eastAsia" w:ascii="仿宋" w:hAnsi="仿宋" w:eastAsia="仿宋" w:cs="仿宋"/>
                <w:color w:val="000000"/>
                <w:sz w:val="24"/>
              </w:rPr>
              <w:t>3.提高贫困家庭经济收入，助力家庭脱贫</w:t>
            </w:r>
            <w:r>
              <w:rPr>
                <w:rFonts w:hint="eastAsia" w:ascii="宋体" w:hAnsi="宋体" w:cs="宋体"/>
                <w:color w:val="00000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建档立卡贫困户</w:t>
            </w:r>
            <w:r>
              <w:rPr>
                <w:rFonts w:hint="eastAsia" w:ascii="仿宋" w:hAnsi="仿宋" w:eastAsia="仿宋" w:cs="仿宋"/>
                <w:color w:val="000000"/>
                <w:sz w:val="24"/>
              </w:rPr>
              <w:t>补助人数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303人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7"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低保户子女</w:t>
            </w:r>
            <w:r>
              <w:rPr>
                <w:rFonts w:hint="eastAsia" w:ascii="仿宋" w:hAnsi="仿宋" w:eastAsia="仿宋" w:cs="仿宋"/>
                <w:color w:val="000000"/>
                <w:sz w:val="24"/>
              </w:rPr>
              <w:t>补助人数</w:t>
            </w:r>
            <w:r>
              <w:rPr>
                <w:rFonts w:hint="eastAsia" w:ascii="仿宋" w:hAnsi="仿宋" w:eastAsia="仿宋" w:cs="仿宋"/>
                <w:color w:val="000000"/>
                <w:sz w:val="24"/>
              </w:rPr>
              <w:tab/>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103人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残疾学生</w:t>
            </w:r>
            <w:r>
              <w:rPr>
                <w:rFonts w:hint="eastAsia" w:ascii="仿宋" w:hAnsi="仿宋" w:eastAsia="仿宋" w:cs="仿宋"/>
                <w:color w:val="000000"/>
                <w:sz w:val="24"/>
              </w:rPr>
              <w:t>补助人数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一般贫困户子女</w:t>
            </w:r>
            <w:r>
              <w:rPr>
                <w:rFonts w:hint="eastAsia" w:ascii="仿宋" w:hAnsi="仿宋" w:eastAsia="仿宋" w:cs="仿宋"/>
                <w:color w:val="000000"/>
                <w:sz w:val="24"/>
              </w:rPr>
              <w:t>补助人数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488人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488人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成本指标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接受基础教育</w:t>
            </w:r>
            <w:r>
              <w:rPr>
                <w:rFonts w:hint="eastAsia" w:ascii="仿宋" w:hAnsi="仿宋" w:eastAsia="仿宋" w:cs="仿宋"/>
                <w:color w:val="000000"/>
                <w:sz w:val="24"/>
              </w:rPr>
              <w:t>人均补助标准</w:t>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340元/学期</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340元/学期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社会效益</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建档立卡贫困户子女全程全部接受资助</w:t>
            </w:r>
            <w:r>
              <w:rPr>
                <w:rFonts w:hint="eastAsia" w:ascii="仿宋" w:hAnsi="仿宋" w:eastAsia="仿宋" w:cs="仿宋"/>
                <w:color w:val="000000"/>
                <w:sz w:val="24"/>
              </w:rPr>
              <w:t>补助的比例</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经济</w:t>
            </w:r>
            <w:r>
              <w:rPr>
                <w:rFonts w:hint="eastAsia" w:ascii="仿宋" w:hAnsi="仿宋" w:eastAsia="仿宋" w:cs="仿宋"/>
                <w:color w:val="000000"/>
                <w:sz w:val="24"/>
                <w:lang w:eastAsia="zh-CN"/>
              </w:rPr>
              <w:t>效益</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全校资助资金发放金额</w:t>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61.132万元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61.132万元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社会效益</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政策知晓率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满意度指标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服务对象满意度指标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接受补助学生满意度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服务对象满意度指标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接受补助</w:t>
            </w:r>
            <w:r>
              <w:rPr>
                <w:rFonts w:hint="eastAsia" w:ascii="仿宋" w:hAnsi="仿宋" w:eastAsia="仿宋" w:cs="仿宋"/>
                <w:color w:val="000000"/>
                <w:sz w:val="24"/>
                <w:lang w:val="en-US" w:eastAsia="zh-CN"/>
              </w:rPr>
              <w:t>学生家长</w:t>
            </w:r>
            <w:r>
              <w:rPr>
                <w:rFonts w:hint="eastAsia" w:ascii="仿宋" w:hAnsi="仿宋" w:eastAsia="仿宋" w:cs="仿宋"/>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100%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hint="eastAsia" w:ascii="仿宋_GB2312" w:hAnsi="仿宋_GB2312" w:eastAsia="仿宋_GB2312" w:cs="仿宋_GB2312"/>
          <w:sz w:val="32"/>
          <w:szCs w:val="32"/>
          <w:highlight w:val="none"/>
        </w:rPr>
      </w:pPr>
      <w:bookmarkStart w:id="44" w:name="_Toc15377225"/>
      <w:bookmarkStart w:id="45" w:name="_Toc15396613"/>
      <w:r>
        <w:rPr>
          <w:rFonts w:hint="eastAsia" w:ascii="仿宋_GB2312" w:hAnsi="仿宋_GB2312" w:eastAsia="仿宋_GB2312" w:cs="仿宋_GB2312"/>
          <w:sz w:val="32"/>
          <w:szCs w:val="32"/>
          <w:highlight w:val="none"/>
        </w:rPr>
        <w:t>本部门按要求对201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年部门整体支出绩效评价情况开展自评，《</w:t>
      </w:r>
      <w:r>
        <w:rPr>
          <w:rFonts w:hint="eastAsia" w:ascii="仿宋_GB2312" w:hAnsi="仿宋_GB2312" w:eastAsia="仿宋_GB2312" w:cs="仿宋_GB2312"/>
          <w:sz w:val="32"/>
          <w:szCs w:val="32"/>
          <w:highlight w:val="none"/>
          <w:lang w:val="en-US" w:eastAsia="zh-CN"/>
        </w:rPr>
        <w:t>元坝中学</w:t>
      </w:r>
      <w:r>
        <w:rPr>
          <w:rFonts w:hint="eastAsia" w:ascii="仿宋_GB2312" w:hAnsi="仿宋_GB2312" w:eastAsia="仿宋_GB2312" w:cs="仿宋_GB2312"/>
          <w:sz w:val="32"/>
          <w:szCs w:val="32"/>
          <w:highlight w:val="none"/>
        </w:rPr>
        <w:t>201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年部门整体支出绩效评价报告》见附件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p>
    <w:p>
      <w:pPr>
        <w:spacing w:line="58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组织对普通高中贫困学生助学金项目开展了绩效评价，《2019年普通高中贫困学生助学金补助项目支出绩效评价报告》见附件2。</w:t>
      </w:r>
    </w:p>
    <w:p>
      <w:pPr>
        <w:numPr>
          <w:ilvl w:val="0"/>
          <w:numId w:val="4"/>
        </w:numPr>
        <w:spacing w:line="600" w:lineRule="exact"/>
        <w:ind w:firstLine="660" w:firstLineChars="150"/>
        <w:jc w:val="center"/>
        <w:outlineLvl w:val="0"/>
        <w:rPr>
          <w:rStyle w:val="24"/>
          <w:rFonts w:ascii="黑体" w:hAnsi="黑体" w:eastAsia="黑体"/>
          <w:b w:val="0"/>
        </w:rPr>
      </w:pPr>
      <w:r>
        <w:rPr>
          <w:rFonts w:hint="eastAsia" w:ascii="黑体" w:hAnsi="黑体" w:eastAsia="黑体"/>
          <w:color w:val="000000"/>
          <w:sz w:val="44"/>
          <w:szCs w:val="44"/>
        </w:rPr>
        <w:t>名</w:t>
      </w:r>
      <w:r>
        <w:rPr>
          <w:rStyle w:val="24"/>
          <w:rFonts w:hint="eastAsia" w:ascii="黑体" w:hAnsi="黑体" w:eastAsia="黑体"/>
          <w:b w:val="0"/>
        </w:rPr>
        <w:t>词解释</w:t>
      </w:r>
      <w:bookmarkEnd w:id="44"/>
      <w:bookmarkEnd w:id="45"/>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r>
        <w:rPr>
          <w:rFonts w:hint="eastAsia" w:ascii="仿宋_GB2312" w:eastAsia="仿宋_GB2312"/>
          <w:sz w:val="32"/>
          <w:szCs w:val="32"/>
          <w:lang w:eastAsia="zh-CN"/>
        </w:rPr>
        <w:t>。</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教育</w:t>
      </w:r>
      <w:r>
        <w:rPr>
          <w:rFonts w:hint="eastAsia" w:ascii="仿宋_GB2312" w:eastAsia="仿宋_GB2312"/>
          <w:color w:val="000000"/>
          <w:sz w:val="32"/>
          <w:szCs w:val="32"/>
          <w:lang w:val="en-US" w:eastAsia="zh-CN"/>
        </w:rPr>
        <w:t>2050204是</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普通教育中的高中教育支出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rPr>
      </w:pPr>
      <w:bookmarkStart w:id="46" w:name="_Toc15377226"/>
      <w:r>
        <w:rPr>
          <w:rFonts w:ascii="宋体"/>
          <w:b/>
          <w:color w:val="000000"/>
          <w:sz w:val="44"/>
          <w:szCs w:val="44"/>
        </w:rPr>
        <w:br w:type="page"/>
      </w:r>
      <w:bookmarkStart w:id="47"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4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黑体" w:hAnsi="黑体" w:eastAsia="黑体" w:cs="方正小标宋简体"/>
          <w:sz w:val="36"/>
          <w:szCs w:val="36"/>
        </w:rPr>
      </w:pPr>
      <w:bookmarkStart w:id="48" w:name="_Toc15396616"/>
      <w:r>
        <w:rPr>
          <w:rFonts w:hint="eastAsia" w:ascii="黑体" w:hAnsi="黑体" w:eastAsia="黑体" w:cs="方正小标宋简体"/>
          <w:sz w:val="36"/>
          <w:szCs w:val="36"/>
          <w:lang w:val="en-US" w:eastAsia="zh-CN"/>
        </w:rPr>
        <w:t>元坝中学</w:t>
      </w:r>
      <w:r>
        <w:rPr>
          <w:rFonts w:hint="eastAsia"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48"/>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spacing w:line="58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我校创建于1956年，根据学校管理的需要现设有8个职能处室，分别是行政办公室、党政办公室、德育处、教导处、教科室、总务处、团委办公室、工会办公室等。现学校共有49个教学班，其中：高一年级14个，高二年级14个，高三年级19个，初中年级2个。</w:t>
      </w:r>
    </w:p>
    <w:p>
      <w:pPr>
        <w:numPr>
          <w:ilvl w:val="0"/>
          <w:numId w:val="5"/>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pPr>
        <w:ind w:firstLine="640" w:firstLineChars="200"/>
        <w:rPr>
          <w:rFonts w:hint="eastAsia" w:ascii="仿宋_GB2312" w:hAnsi="仿宋" w:eastAsia="仿宋_GB2312" w:cs="Times New Roman"/>
          <w:sz w:val="32"/>
          <w:szCs w:val="32"/>
          <w:lang w:val="en-US" w:eastAsia="zh-CN"/>
        </w:rPr>
      </w:pPr>
      <w:r>
        <w:rPr>
          <w:rFonts w:hint="eastAsia" w:ascii="仿宋" w:hAnsi="仿宋" w:eastAsia="仿宋" w:cs="仿宋_GB2312"/>
          <w:sz w:val="32"/>
          <w:szCs w:val="32"/>
          <w:lang w:val="en-US" w:eastAsia="zh-CN"/>
        </w:rPr>
        <w:t xml:space="preserve">  我校主要实</w:t>
      </w:r>
      <w:r>
        <w:rPr>
          <w:rFonts w:hint="eastAsia" w:ascii="仿宋_GB2312" w:hAnsi="仿宋" w:eastAsia="仿宋_GB2312"/>
          <w:sz w:val="32"/>
          <w:szCs w:val="32"/>
          <w:lang w:val="en-US" w:eastAsia="zh-CN"/>
        </w:rPr>
        <w:t>施高初中学历教育，促进基础教育发展，本着“</w:t>
      </w:r>
      <w:r>
        <w:rPr>
          <w:rFonts w:hint="eastAsia" w:ascii="仿宋_GB2312" w:hAnsi="仿宋" w:eastAsia="仿宋_GB2312" w:cs="Times New Roman"/>
          <w:sz w:val="32"/>
          <w:szCs w:val="32"/>
          <w:lang w:val="en-US" w:eastAsia="zh-CN"/>
        </w:rPr>
        <w:t>崇尚尊严 奠基幸福”的办学理念，</w:t>
      </w:r>
      <w:r>
        <w:rPr>
          <w:rFonts w:eastAsia="仿宋"/>
          <w:sz w:val="32"/>
          <w:szCs w:val="32"/>
        </w:rPr>
        <w:t>始终以学生健康成长为出发点，致力崇尚尊严，铸就健全人格，</w:t>
      </w:r>
      <w:r>
        <w:rPr>
          <w:rFonts w:hint="eastAsia" w:eastAsia="仿宋"/>
          <w:sz w:val="32"/>
          <w:szCs w:val="32"/>
          <w:lang w:val="en-US" w:eastAsia="zh-CN"/>
        </w:rPr>
        <w:t>为</w:t>
      </w:r>
      <w:r>
        <w:rPr>
          <w:rFonts w:eastAsia="仿宋"/>
          <w:sz w:val="32"/>
          <w:szCs w:val="32"/>
        </w:rPr>
        <w:t>每位学生一生幸福奠基。</w:t>
      </w:r>
    </w:p>
    <w:p>
      <w:pPr>
        <w:numPr>
          <w:ilvl w:val="0"/>
          <w:numId w:val="5"/>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人员概况。</w:t>
      </w:r>
    </w:p>
    <w:p>
      <w:pPr>
        <w:numPr>
          <w:ilvl w:val="0"/>
          <w:numId w:val="0"/>
        </w:numPr>
        <w:spacing w:line="580" w:lineRule="exact"/>
        <w:ind w:leftChars="200"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学校现有教职员工214人，在编在岗193人，临时聘用公寓管理人员及门卫21人；现有高级教师58人，一级教师80人，二级教师47人，管理人员4人，工勤人员4人；临时无职称21人。在校学生1977人。</w:t>
      </w:r>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2019年元坝中学财政拨款收入2989.02万元，全部为一般公共预算财政拨款收入2989.02万元。</w:t>
      </w:r>
    </w:p>
    <w:p>
      <w:pPr>
        <w:spacing w:line="580" w:lineRule="exact"/>
        <w:ind w:firstLine="643" w:firstLineChars="200"/>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（二）部门财政资金支出情况。</w:t>
      </w:r>
    </w:p>
    <w:p>
      <w:pPr>
        <w:spacing w:line="58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2019年元坝中学财政拨款支出3077.54万元，全部为一般公共预算财政拨款3077.54万元。</w:t>
      </w:r>
    </w:p>
    <w:p>
      <w:pPr>
        <w:numPr>
          <w:ilvl w:val="0"/>
          <w:numId w:val="6"/>
        </w:numPr>
        <w:spacing w:line="580" w:lineRule="exact"/>
        <w:ind w:firstLine="640" w:firstLineChars="200"/>
        <w:rPr>
          <w:rFonts w:ascii="黑体" w:hAnsi="黑体" w:eastAsia="黑体" w:cs="黑体"/>
          <w:sz w:val="32"/>
          <w:szCs w:val="32"/>
        </w:rPr>
      </w:pPr>
      <w:r>
        <w:rPr>
          <w:rFonts w:ascii="黑体" w:hAnsi="黑体" w:eastAsia="黑体" w:cs="黑体"/>
          <w:sz w:val="32"/>
          <w:szCs w:val="32"/>
        </w:rPr>
        <w:t>部门整体预算绩效管理情况</w:t>
      </w:r>
    </w:p>
    <w:p>
      <w:pPr>
        <w:numPr>
          <w:ilvl w:val="0"/>
          <w:numId w:val="0"/>
        </w:numPr>
        <w:spacing w:line="580" w:lineRule="exact"/>
        <w:rPr>
          <w:rFonts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ascii="仿宋" w:hAnsi="仿宋" w:eastAsia="仿宋" w:cs="仿宋_GB2312"/>
          <w:b/>
          <w:bCs/>
          <w:sz w:val="32"/>
          <w:szCs w:val="32"/>
        </w:rPr>
        <w:t>（一）部门预算管理。</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一是2019年预算之初，我单位根据区委、区政府和上级主管部门给我校的目标任务，结合学校的实际情况，制定了具体的政府综合目标和部门财务管理绩效目标。</w:t>
      </w:r>
    </w:p>
    <w:p>
      <w:pPr>
        <w:spacing w:line="58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二是针对民生工程的实施，制定了固定的目标管理制度，层层签订目标责任书，同时根据不同时期的要求进行动态调整。同时，按照新的财政管理要求，对于民生工程严格执行“一卡通”的管理要求，按质按量的完成民生项目的兑现工作。</w:t>
      </w:r>
    </w:p>
    <w:p>
      <w:pPr>
        <w:spacing w:line="580" w:lineRule="exact"/>
        <w:ind w:firstLine="643" w:firstLineChars="200"/>
        <w:rPr>
          <w:rFonts w:ascii="仿宋" w:hAnsi="仿宋" w:eastAsia="仿宋" w:cs="仿宋_GB2312"/>
          <w:b/>
          <w:bCs/>
          <w:sz w:val="32"/>
          <w:szCs w:val="32"/>
        </w:rPr>
      </w:pPr>
      <w:r>
        <w:rPr>
          <w:rFonts w:ascii="仿宋" w:hAnsi="仿宋" w:eastAsia="仿宋" w:cs="仿宋_GB2312"/>
          <w:b/>
          <w:bCs/>
          <w:sz w:val="32"/>
          <w:szCs w:val="32"/>
        </w:rPr>
        <w:t>（二）专项预算管理。</w:t>
      </w:r>
    </w:p>
    <w:p>
      <w:pPr>
        <w:spacing w:line="58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2019年元坝中学无专项预算。</w:t>
      </w:r>
    </w:p>
    <w:p>
      <w:pPr>
        <w:spacing w:line="580" w:lineRule="exact"/>
        <w:ind w:firstLine="643" w:firstLineChars="200"/>
        <w:rPr>
          <w:rFonts w:ascii="仿宋" w:hAnsi="仿宋" w:eastAsia="仿宋" w:cs="仿宋_GB2312"/>
          <w:b/>
          <w:bCs/>
          <w:sz w:val="32"/>
          <w:szCs w:val="32"/>
        </w:rPr>
      </w:pPr>
      <w:r>
        <w:rPr>
          <w:rFonts w:ascii="仿宋" w:hAnsi="仿宋" w:eastAsia="仿宋" w:cs="仿宋_GB2312"/>
          <w:b/>
          <w:bCs/>
          <w:sz w:val="32"/>
          <w:szCs w:val="32"/>
        </w:rPr>
        <w:t>（三）结果应用情况。</w:t>
      </w:r>
    </w:p>
    <w:p>
      <w:pPr>
        <w:spacing w:line="58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我校对部门预算绩效管理工作开展情况认真进行了自查自评。绩效评价重点开展对民生工程和学校教师业务能力提升，对于民生工程：普通高中学生助学和普通高中贫困学生免学费两项惠民工程，在实施的过程中，在确保政策执行不走样情况下，严格按程序实施，真正做到了公正、公开、公平、透明，让社会进行监督。二是确保教师业务能力水平提高，全面适应新高考改革。同时为断强化绩效理念，推动我校管理的科学化和整体绩效管理水平的提高。</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960" w:firstLineChars="3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我校预算执行情况总体来说良好。</w:t>
      </w:r>
    </w:p>
    <w:p>
      <w:pPr>
        <w:numPr>
          <w:ilvl w:val="0"/>
          <w:numId w:val="0"/>
        </w:numPr>
        <w:spacing w:line="580" w:lineRule="exact"/>
        <w:ind w:leftChars="200" w:firstLine="320" w:firstLineChars="100"/>
        <w:rPr>
          <w:rFonts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二）</w:t>
      </w:r>
      <w:r>
        <w:rPr>
          <w:rFonts w:ascii="仿宋" w:hAnsi="仿宋" w:eastAsia="仿宋" w:cs="仿宋_GB2312"/>
          <w:sz w:val="32"/>
          <w:szCs w:val="32"/>
        </w:rPr>
        <w:t>存在问题。</w:t>
      </w:r>
    </w:p>
    <w:p>
      <w:pPr>
        <w:numPr>
          <w:ilvl w:val="0"/>
          <w:numId w:val="0"/>
        </w:numPr>
        <w:spacing w:line="580" w:lineRule="exact"/>
        <w:ind w:leftChars="200" w:firstLine="320" w:firstLineChars="1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绩效目标评价有待更科学更合理。</w:t>
      </w:r>
    </w:p>
    <w:p>
      <w:pPr>
        <w:numPr>
          <w:ilvl w:val="0"/>
          <w:numId w:val="7"/>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改进建议。</w:t>
      </w:r>
    </w:p>
    <w:p>
      <w:pPr>
        <w:numPr>
          <w:ilvl w:val="0"/>
          <w:numId w:val="0"/>
        </w:numPr>
        <w:spacing w:line="580" w:lineRule="exact"/>
        <w:ind w:firstLine="640" w:firstLineChars="200"/>
        <w:rPr>
          <w:rFonts w:hint="default" w:ascii="仿宋_GB2312" w:hAnsi="仿宋_GB2312" w:eastAsia="仿宋_GB2312" w:cs="仿宋_GB2312"/>
          <w:sz w:val="32"/>
          <w:szCs w:val="32"/>
          <w:highlight w:val="red"/>
          <w:lang w:val="en-US"/>
        </w:rPr>
      </w:pPr>
      <w:r>
        <w:rPr>
          <w:rFonts w:hint="eastAsia" w:ascii="仿宋" w:hAnsi="仿宋" w:eastAsia="仿宋" w:cs="仿宋_GB2312"/>
          <w:sz w:val="32"/>
          <w:szCs w:val="32"/>
          <w:lang w:val="en-US" w:eastAsia="zh-CN"/>
        </w:rPr>
        <w:t>针对存在的问题，我们将进一步加强绩效目标的管理，一是改进部门收支预算编制，夯实预算基础工作，提高预算编制质量；二是认真研究政策，加强项目绩效目标审核，力求科学合理；三是加强内部控制制度的实施，更好的对活动开展进行绩效评价。</w:t>
      </w:r>
    </w:p>
    <w:p>
      <w:pPr>
        <w:pStyle w:val="2"/>
        <w:rPr>
          <w:rFonts w:hint="eastAsia" w:ascii="仿宋" w:hAnsi="仿宋" w:eastAsia="仿宋" w:cs="仿宋_GB2312"/>
          <w:b w:val="0"/>
          <w:bCs w:val="0"/>
          <w:kern w:val="2"/>
          <w:sz w:val="32"/>
          <w:szCs w:val="32"/>
          <w:lang w:val="en-US" w:eastAsia="zh-CN"/>
        </w:rPr>
      </w:pPr>
    </w:p>
    <w:p>
      <w:pPr>
        <w:spacing w:line="58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宋体" w:eastAsia="仿宋_GB2312"/>
          <w:sz w:val="32"/>
          <w:szCs w:val="32"/>
          <w:lang w:val="zh-CN"/>
        </w:rPr>
      </w:pPr>
    </w:p>
    <w:p>
      <w:pPr>
        <w:pStyle w:val="2"/>
        <w:rPr>
          <w:rFonts w:ascii="仿宋_GB2312" w:hAnsi="宋体" w:eastAsia="仿宋_GB2312"/>
          <w:sz w:val="32"/>
          <w:szCs w:val="32"/>
          <w:lang w:val="zh-CN"/>
        </w:rPr>
      </w:pPr>
    </w:p>
    <w:p>
      <w:pPr>
        <w:rPr>
          <w:lang w:val="zh-CN"/>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四川省广元市元坝中学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rPr>
        <w:t>201</w:t>
      </w:r>
      <w:r>
        <w:rPr>
          <w:rFonts w:hint="eastAsia" w:ascii="方正小标宋_GBK" w:hAnsi="方正小标宋_GBK" w:eastAsia="方正小标宋_GBK" w:cs="方正小标宋_GBK"/>
          <w:sz w:val="44"/>
          <w:szCs w:val="44"/>
          <w:lang w:val="en-US" w:eastAsia="zh-CN"/>
        </w:rPr>
        <w:t>9</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普通高中贫困学生助学金</w:t>
      </w:r>
      <w:r>
        <w:rPr>
          <w:rFonts w:hint="eastAsia" w:ascii="方正小标宋_GBK" w:hAnsi="方正小标宋_GBK" w:eastAsia="方正小标宋_GBK" w:cs="方正小标宋_GBK"/>
          <w:sz w:val="44"/>
          <w:szCs w:val="44"/>
        </w:rPr>
        <w:t>补助</w:t>
      </w:r>
      <w:r>
        <w:rPr>
          <w:rFonts w:hint="eastAsia" w:ascii="方正小标宋_GBK" w:hAnsi="方正小标宋_GBK" w:eastAsia="方正小标宋_GBK" w:cs="方正小标宋_GBK"/>
          <w:sz w:val="44"/>
          <w:szCs w:val="44"/>
          <w:lang w:eastAsia="zh-CN"/>
        </w:rPr>
        <w:t>项</w:t>
      </w:r>
      <w:r>
        <w:rPr>
          <w:rFonts w:hint="eastAsia" w:ascii="方正小标宋_GBK" w:hAnsi="方正小标宋_GBK" w:eastAsia="方正小标宋_GBK" w:cs="方正小标宋_GBK"/>
          <w:sz w:val="44"/>
          <w:szCs w:val="44"/>
          <w:highlight w:val="none"/>
          <w:lang w:eastAsia="zh-CN"/>
        </w:rPr>
        <w:t>目支出</w:t>
      </w:r>
      <w:r>
        <w:rPr>
          <w:rFonts w:hint="eastAsia" w:ascii="方正小标宋_GBK" w:hAnsi="方正小标宋_GBK" w:eastAsia="方正小标宋_GBK" w:cs="方正小标宋_GBK"/>
          <w:sz w:val="44"/>
          <w:szCs w:val="44"/>
          <w:highlight w:val="none"/>
        </w:rPr>
        <w:t>绩效</w:t>
      </w:r>
      <w:r>
        <w:rPr>
          <w:rFonts w:hint="eastAsia" w:ascii="方正小标宋_GBK" w:hAnsi="方正小标宋_GBK" w:eastAsia="方正小标宋_GBK" w:cs="方正小标宋_GBK"/>
          <w:sz w:val="44"/>
          <w:szCs w:val="44"/>
          <w:highlight w:val="none"/>
          <w:lang w:eastAsia="zh-CN"/>
        </w:rPr>
        <w:t>评价</w:t>
      </w:r>
      <w:r>
        <w:rPr>
          <w:rFonts w:hint="eastAsia" w:ascii="方正小标宋_GBK" w:hAnsi="方正小标宋_GBK" w:eastAsia="方正小标宋_GBK" w:cs="方正小标宋_GBK"/>
          <w:sz w:val="44"/>
          <w:szCs w:val="44"/>
          <w:highlight w:val="none"/>
        </w:rPr>
        <w:t>报告</w:t>
      </w:r>
    </w:p>
    <w:p>
      <w:pPr>
        <w:rPr>
          <w:rFonts w:hint="eastAsia"/>
          <w:highlight w:val="none"/>
        </w:rPr>
      </w:pPr>
    </w:p>
    <w:p>
      <w:pPr>
        <w:rPr>
          <w:rFonts w:hint="eastAsia" w:ascii="方正仿宋_GB2312" w:hAnsi="方正仿宋_GB2312" w:eastAsia="方正仿宋_GB2312" w:cs="方正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一、评价工作</w:t>
      </w:r>
      <w:r>
        <w:rPr>
          <w:rFonts w:hint="eastAsia" w:ascii="黑体" w:hAnsi="黑体" w:eastAsia="黑体" w:cs="黑体"/>
          <w:sz w:val="32"/>
          <w:szCs w:val="32"/>
          <w:highlight w:val="none"/>
          <w:lang w:eastAsia="zh-CN"/>
        </w:rPr>
        <w:t>开展及</w:t>
      </w:r>
      <w:r>
        <w:rPr>
          <w:rFonts w:hint="eastAsia" w:ascii="黑体" w:hAnsi="黑体" w:eastAsia="黑体" w:cs="黑体"/>
          <w:sz w:val="32"/>
          <w:szCs w:val="32"/>
          <w:highlight w:val="none"/>
        </w:rPr>
        <w:t>项目基本情况</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接受市、区教育主管部门和区财政局监督科到现场了解、查阅相关资料，结合项目实施实际，按照评价指标对项目实施进行现场评价。对项目做出独立、客观、公正、实事求是的绩效评价，出具评价报告。</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全校2019年普通高中贫困学生助学金人数全年共计1798人，共计需要补贴资金179.8万元。上级财政资金152.83万元，县财政配套资金为26.94万元，据实拨付。资助流程：第一步学生申请，第二步困难学生认定，第三步是学校审核，第四步公示，第五步汇总上报发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二、评价结论及</w:t>
      </w:r>
      <w:r>
        <w:rPr>
          <w:rFonts w:hint="eastAsia" w:ascii="黑体" w:hAnsi="黑体" w:eastAsia="黑体" w:cs="黑体"/>
          <w:sz w:val="32"/>
          <w:szCs w:val="32"/>
          <w:highlight w:val="none"/>
        </w:rPr>
        <w:t>绩效分析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w:t>
      </w:r>
      <w:r>
        <w:rPr>
          <w:rFonts w:hint="eastAsia" w:ascii="楷体" w:hAnsi="楷体" w:eastAsia="楷体" w:cs="楷体"/>
          <w:b/>
          <w:bCs/>
          <w:sz w:val="32"/>
          <w:szCs w:val="32"/>
          <w:highlight w:val="none"/>
          <w:lang w:eastAsia="zh-CN"/>
        </w:rPr>
        <w:t>评价结论</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2019年度普通高中贫困学生助学补助的发放项目，建设目标明确，项目符合申报条件，程序到位，手续齐全，资金项目质量达到相关行业标准，达到预期绩效目标要求。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（二）绩效分析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项目情况</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2019年春季普通高中贫困学生助学资助政策执行情况，普通高中阶段家庭经济困难寄宿生生活补助发放春季899人，共发放资金89.9万元。发放标准是每人每期1000元。</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2019年秋季普通高中贫困学生助学资助政策执行情况，普通高中阶段家庭经济困难寄宿生生活补助发放秋季899人，共发放资金89.9万元。发放标准是每人每期1000元。</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合计发放普通高中贫困学生助学补助179.8万元。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项目资金</w:t>
      </w:r>
      <w:r>
        <w:rPr>
          <w:rFonts w:hint="eastAsia" w:ascii="仿宋" w:hAnsi="仿宋" w:eastAsia="仿宋" w:cs="仿宋"/>
          <w:b/>
          <w:bCs/>
          <w:sz w:val="32"/>
          <w:szCs w:val="32"/>
          <w:highlight w:val="none"/>
          <w:lang w:eastAsia="zh-CN"/>
        </w:rPr>
        <w:t>管理、</w:t>
      </w:r>
      <w:r>
        <w:rPr>
          <w:rFonts w:hint="eastAsia" w:ascii="仿宋" w:hAnsi="仿宋" w:eastAsia="仿宋" w:cs="仿宋"/>
          <w:b/>
          <w:bCs/>
          <w:sz w:val="32"/>
          <w:szCs w:val="32"/>
          <w:highlight w:val="none"/>
        </w:rPr>
        <w:t>使用情况</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按照相关规定，实行专款专用，自觉接受上级主管部门、财政部门和审计部门的监督，杜绝挤占、截留、挪用现金的发生，提升资金使用效益。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项目</w:t>
      </w:r>
      <w:r>
        <w:rPr>
          <w:rFonts w:hint="eastAsia" w:ascii="仿宋" w:hAnsi="仿宋" w:eastAsia="仿宋" w:cs="仿宋"/>
          <w:b/>
          <w:bCs/>
          <w:sz w:val="32"/>
          <w:szCs w:val="32"/>
          <w:highlight w:val="none"/>
          <w:lang w:eastAsia="zh-CN"/>
        </w:rPr>
        <w:t>绩效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_GB2312"/>
          <w:sz w:val="32"/>
          <w:szCs w:val="32"/>
          <w:lang w:val="en-US" w:eastAsia="zh-CN"/>
        </w:rPr>
      </w:pPr>
      <w:r>
        <w:rPr>
          <w:rFonts w:hint="eastAsia" w:ascii="方正仿宋_GB2312" w:hAnsi="方正仿宋_GB2312" w:eastAsia="方正仿宋_GB2312" w:cs="方正仿宋_GB2312"/>
          <w:sz w:val="32"/>
          <w:szCs w:val="32"/>
          <w:highlight w:val="none"/>
        </w:rPr>
        <w:t>（1）</w:t>
      </w:r>
      <w:r>
        <w:rPr>
          <w:rFonts w:hint="eastAsia" w:ascii="仿宋" w:hAnsi="仿宋" w:eastAsia="仿宋" w:cs="仿宋_GB2312"/>
          <w:sz w:val="32"/>
          <w:szCs w:val="32"/>
          <w:lang w:val="en-US" w:eastAsia="zh-CN"/>
        </w:rPr>
        <w:t>项目的实施进度</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按规定时间完成工作量。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_GB2312"/>
          <w:sz w:val="32"/>
          <w:szCs w:val="32"/>
          <w:lang w:val="en-US" w:eastAsia="zh-CN"/>
        </w:rPr>
      </w:pPr>
      <w:r>
        <w:rPr>
          <w:rFonts w:hint="eastAsia" w:ascii="方正仿宋_GB2312" w:hAnsi="方正仿宋_GB2312" w:eastAsia="方正仿宋_GB2312" w:cs="方正仿宋_GB2312"/>
          <w:sz w:val="32"/>
          <w:szCs w:val="32"/>
          <w:highlight w:val="none"/>
        </w:rPr>
        <w:t>（2）</w:t>
      </w:r>
      <w:r>
        <w:rPr>
          <w:rFonts w:hint="eastAsia" w:ascii="仿宋" w:hAnsi="仿宋" w:eastAsia="仿宋" w:cs="仿宋_GB2312"/>
          <w:sz w:val="32"/>
          <w:szCs w:val="32"/>
          <w:lang w:val="en-US" w:eastAsia="zh-CN"/>
        </w:rPr>
        <w:t>项目完成质量</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完成了普通高中贫困学生助学金的发放。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_GB2312"/>
          <w:sz w:val="32"/>
          <w:szCs w:val="32"/>
          <w:lang w:val="en-US" w:eastAsia="zh-CN"/>
        </w:rPr>
      </w:pP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3</w:t>
      </w:r>
      <w:r>
        <w:rPr>
          <w:rFonts w:hint="eastAsia" w:ascii="方正仿宋_GB2312" w:hAnsi="方正仿宋_GB2312" w:eastAsia="方正仿宋_GB2312" w:cs="方正仿宋_GB2312"/>
          <w:sz w:val="32"/>
          <w:szCs w:val="32"/>
          <w:highlight w:val="none"/>
        </w:rPr>
        <w:t>）</w:t>
      </w:r>
      <w:r>
        <w:rPr>
          <w:rFonts w:hint="eastAsia" w:ascii="仿宋" w:hAnsi="仿宋" w:eastAsia="仿宋" w:cs="仿宋_GB2312"/>
          <w:sz w:val="32"/>
          <w:szCs w:val="32"/>
          <w:lang w:val="en-US" w:eastAsia="zh-CN"/>
        </w:rPr>
        <w:t>项目预期目标完成程度</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2019年度按上级指标数和资助学生人数拨款179.8万元。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_GB2312"/>
          <w:sz w:val="32"/>
          <w:szCs w:val="32"/>
          <w:lang w:val="en-US" w:eastAsia="zh-CN"/>
        </w:rPr>
      </w:pP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4</w:t>
      </w:r>
      <w:r>
        <w:rPr>
          <w:rFonts w:hint="eastAsia" w:ascii="方正仿宋_GB2312" w:hAnsi="方正仿宋_GB2312" w:eastAsia="方正仿宋_GB2312" w:cs="方正仿宋_GB2312"/>
          <w:sz w:val="32"/>
          <w:szCs w:val="32"/>
          <w:highlight w:val="none"/>
        </w:rPr>
        <w:t>）</w:t>
      </w:r>
      <w:r>
        <w:rPr>
          <w:rFonts w:hint="eastAsia" w:ascii="仿宋" w:hAnsi="仿宋" w:eastAsia="仿宋" w:cs="仿宋_GB2312"/>
          <w:sz w:val="32"/>
          <w:szCs w:val="32"/>
          <w:lang w:val="en-US" w:eastAsia="zh-CN"/>
        </w:rPr>
        <w:t>项目实施对经济和社会的影响</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通过项目的实施，保障了1798名普通高中教育阶段家庭经济困难问题，提高了学生的生活水平，基本上保证他们在校能吃饱、穿暖、住好，促进了贫困学生的身心健康，切实减轻了困难家庭的经济压力，有效地减少这部分家庭因学生就学再次致困的现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highlight w:val="none"/>
          <w:lang w:eastAsia="zh-CN"/>
        </w:rPr>
      </w:pPr>
      <w:r>
        <w:rPr>
          <w:rFonts w:hint="eastAsia" w:ascii="黑体" w:hAnsi="黑体" w:eastAsia="黑体" w:cs="黑体"/>
          <w:sz w:val="32"/>
          <w:szCs w:val="32"/>
          <w:highlight w:val="none"/>
          <w:lang w:eastAsia="zh-CN"/>
        </w:rPr>
        <w:t>三、存在的主要问题</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一是部分补助申请理由不充分较抽象，二是打卡发放时部分学生银行卡较为混乱，每期都在变换，不好管理。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highlight w:val="none"/>
        </w:rPr>
      </w:pPr>
      <w:r>
        <w:rPr>
          <w:rFonts w:hint="eastAsia" w:ascii="黑体" w:hAnsi="黑体" w:eastAsia="黑体" w:cs="黑体"/>
          <w:sz w:val="32"/>
          <w:szCs w:val="32"/>
          <w:highlight w:val="none"/>
          <w:lang w:eastAsia="zh-CN"/>
        </w:rPr>
        <w:t>四、相关措施建议</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进一步完善申报程序及申请资料的填写、审核，确保补助资金真正补助到贫困家庭；按照扶贫资金“一卡通”要求，全部通过学生本人的社保卡发放，保障资金准确及时发放到学生手中。</w:t>
      </w:r>
    </w:p>
    <w:p>
      <w:pPr>
        <w:spacing w:line="600" w:lineRule="exact"/>
        <w:jc w:val="center"/>
        <w:outlineLvl w:val="0"/>
        <w:rPr>
          <w:rFonts w:hint="eastAsia" w:ascii="方正仿宋_GB2312" w:hAnsi="方正仿宋_GB2312" w:eastAsia="方正仿宋_GB2312" w:cs="方正仿宋_GB2312"/>
          <w:sz w:val="32"/>
          <w:szCs w:val="32"/>
          <w:highlight w:val="none"/>
        </w:rPr>
      </w:pPr>
    </w:p>
    <w:p>
      <w:pPr>
        <w:numPr>
          <w:ilvl w:val="0"/>
          <w:numId w:val="0"/>
        </w:numPr>
        <w:spacing w:line="580" w:lineRule="exact"/>
        <w:ind w:firstLine="640" w:firstLineChars="200"/>
        <w:rPr>
          <w:rFonts w:hint="eastAsia" w:ascii="仿宋" w:hAnsi="仿宋" w:eastAsia="仿宋" w:cs="仿宋_GB2312"/>
          <w:sz w:val="32"/>
          <w:szCs w:val="32"/>
          <w:lang w:val="en-US" w:eastAsia="zh-CN"/>
        </w:rPr>
      </w:pPr>
    </w:p>
    <w:p>
      <w:pPr>
        <w:widowControl/>
        <w:jc w:val="left"/>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49"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46"/>
      <w:bookmarkEnd w:id="49"/>
    </w:p>
    <w:p>
      <w:pPr>
        <w:spacing w:line="600" w:lineRule="exact"/>
        <w:jc w:val="center"/>
        <w:outlineLvl w:val="0"/>
        <w:rPr>
          <w:rFonts w:ascii="仿宋" w:hAnsi="仿宋" w:eastAsia="仿宋"/>
          <w:b/>
          <w:color w:val="000000"/>
          <w:sz w:val="44"/>
          <w:szCs w:val="44"/>
        </w:rPr>
      </w:pPr>
    </w:p>
    <w:p>
      <w:pPr>
        <w:pStyle w:val="2"/>
        <w:rPr>
          <w:rFonts w:ascii="仿宋" w:hAnsi="仿宋" w:eastAsia="仿宋"/>
          <w:color w:val="000000"/>
        </w:rPr>
      </w:pPr>
      <w:bookmarkStart w:id="5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0"/>
    </w:p>
    <w:p>
      <w:pPr>
        <w:pStyle w:val="2"/>
        <w:rPr>
          <w:rFonts w:ascii="仿宋" w:hAnsi="仿宋" w:eastAsia="仿宋"/>
          <w:color w:val="000000"/>
        </w:rPr>
      </w:pPr>
      <w:bookmarkStart w:id="5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1"/>
    </w:p>
    <w:p>
      <w:pPr>
        <w:pStyle w:val="2"/>
        <w:rPr>
          <w:rFonts w:ascii="仿宋" w:hAnsi="仿宋" w:eastAsia="仿宋"/>
          <w:color w:val="000000"/>
        </w:rPr>
      </w:pPr>
      <w:bookmarkStart w:id="5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2"/>
    </w:p>
    <w:p>
      <w:pPr>
        <w:pStyle w:val="2"/>
        <w:rPr>
          <w:rFonts w:ascii="仿宋" w:hAnsi="仿宋" w:eastAsia="仿宋"/>
          <w:b w:val="0"/>
          <w:color w:val="000000"/>
        </w:rPr>
      </w:pPr>
      <w:bookmarkStart w:id="5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3"/>
    </w:p>
    <w:p>
      <w:pPr>
        <w:pStyle w:val="2"/>
        <w:rPr>
          <w:rStyle w:val="25"/>
          <w:rFonts w:ascii="仿宋" w:hAnsi="仿宋" w:eastAsia="仿宋"/>
          <w:b w:val="0"/>
          <w:bCs w:val="0"/>
        </w:rPr>
      </w:pPr>
      <w:bookmarkStart w:id="5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54"/>
      <w:bookmarkStart w:id="55" w:name="_Toc15396624"/>
    </w:p>
    <w:p>
      <w:pPr>
        <w:pStyle w:val="2"/>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55"/>
    </w:p>
    <w:p>
      <w:pPr>
        <w:pStyle w:val="2"/>
        <w:rPr>
          <w:rFonts w:ascii="仿宋" w:hAnsi="仿宋" w:eastAsia="仿宋"/>
          <w:color w:val="000000"/>
        </w:rPr>
      </w:pPr>
      <w:bookmarkStart w:id="5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56"/>
    </w:p>
    <w:p>
      <w:pPr>
        <w:pStyle w:val="2"/>
        <w:rPr>
          <w:rFonts w:ascii="仿宋" w:hAnsi="仿宋" w:eastAsia="仿宋"/>
          <w:color w:val="000000"/>
        </w:rPr>
      </w:pPr>
      <w:bookmarkStart w:id="5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57"/>
    </w:p>
    <w:p>
      <w:pPr>
        <w:pStyle w:val="2"/>
        <w:rPr>
          <w:rFonts w:ascii="仿宋" w:hAnsi="仿宋" w:eastAsia="仿宋"/>
          <w:color w:val="000000"/>
        </w:rPr>
      </w:pPr>
      <w:bookmarkStart w:id="5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58"/>
    </w:p>
    <w:p>
      <w:pPr>
        <w:pStyle w:val="2"/>
        <w:rPr>
          <w:rFonts w:ascii="仿宋" w:hAnsi="仿宋" w:eastAsia="仿宋"/>
          <w:color w:val="000000"/>
        </w:rPr>
      </w:pPr>
      <w:bookmarkStart w:id="5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59"/>
    </w:p>
    <w:p>
      <w:pPr>
        <w:pStyle w:val="2"/>
        <w:rPr>
          <w:rFonts w:ascii="仿宋" w:hAnsi="仿宋" w:eastAsia="仿宋"/>
          <w:color w:val="000000"/>
        </w:rPr>
      </w:pPr>
      <w:bookmarkStart w:id="6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0"/>
    </w:p>
    <w:p>
      <w:pPr>
        <w:pStyle w:val="2"/>
        <w:rPr>
          <w:rFonts w:ascii="仿宋" w:hAnsi="仿宋" w:eastAsia="仿宋"/>
          <w:color w:val="000000"/>
        </w:rPr>
      </w:pPr>
      <w:bookmarkStart w:id="6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1"/>
    </w:p>
    <w:p>
      <w:pPr>
        <w:pStyle w:val="2"/>
        <w:rPr>
          <w:rFonts w:ascii="仿宋" w:hAnsi="仿宋" w:eastAsia="仿宋"/>
          <w:color w:val="000000" w:themeColor="text1"/>
        </w:rPr>
      </w:pPr>
      <w:bookmarkStart w:id="6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DBC22"/>
    <w:multiLevelType w:val="singleLevel"/>
    <w:tmpl w:val="86FDBC22"/>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000000D"/>
    <w:multiLevelType w:val="singleLevel"/>
    <w:tmpl w:val="0000000D"/>
    <w:lvl w:ilvl="0" w:tentative="0">
      <w:start w:val="3"/>
      <w:numFmt w:val="chineseCounting"/>
      <w:suff w:val="nothing"/>
      <w:lvlText w:val="%1、"/>
      <w:lvlJc w:val="left"/>
    </w:lvl>
  </w:abstractNum>
  <w:abstractNum w:abstractNumId="4">
    <w:nsid w:val="00000010"/>
    <w:multiLevelType w:val="singleLevel"/>
    <w:tmpl w:val="00000010"/>
    <w:lvl w:ilvl="0" w:tentative="0">
      <w:start w:val="2"/>
      <w:numFmt w:val="chineseCounting"/>
      <w:suff w:val="nothing"/>
      <w:lvlText w:val="（%1）"/>
      <w:lvlJc w:val="left"/>
      <w:rPr>
        <w:rFonts w:hint="eastAsia"/>
      </w:rPr>
    </w:lvl>
  </w:abstractNum>
  <w:abstractNum w:abstractNumId="5">
    <w:nsid w:val="00000012"/>
    <w:multiLevelType w:val="singleLevel"/>
    <w:tmpl w:val="00000012"/>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1"/>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B635ED"/>
    <w:rsid w:val="10C055FF"/>
    <w:rsid w:val="16BB723D"/>
    <w:rsid w:val="188F59F3"/>
    <w:rsid w:val="240371BF"/>
    <w:rsid w:val="276D7C01"/>
    <w:rsid w:val="29FD04D3"/>
    <w:rsid w:val="319F7F4E"/>
    <w:rsid w:val="41B723DC"/>
    <w:rsid w:val="44FB6C53"/>
    <w:rsid w:val="4ECB5DAA"/>
    <w:rsid w:val="4ECE2238"/>
    <w:rsid w:val="56CB7007"/>
    <w:rsid w:val="5776666B"/>
    <w:rsid w:val="63726974"/>
    <w:rsid w:val="6B6F3113"/>
    <w:rsid w:val="72734D90"/>
    <w:rsid w:val="7F300F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2"/>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0</TotalTime>
  <ScaleCrop>false</ScaleCrop>
  <LinksUpToDate>false</LinksUpToDate>
  <CharactersWithSpaces>8536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铅笔的愤怒</cp:lastModifiedBy>
  <cp:lastPrinted>2020-07-23T02:58:00Z</cp:lastPrinted>
  <dcterms:modified xsi:type="dcterms:W3CDTF">2021-05-23T04:04:31Z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B2FF4EAA217942F098A77C6E9DB915D6</vt:lpwstr>
  </property>
  <property fmtid="{D5CDD505-2E9C-101B-9397-08002B2CF9AE}" pid="4" name="KSOSaveFontToCloudKey">
    <vt:lpwstr>244117622_btnclosed</vt:lpwstr>
  </property>
</Properties>
</file>