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0B99">
      <w:pPr>
        <w:overflowPunct w:val="0"/>
        <w:topLinePunct/>
        <w:autoSpaceDE w:val="0"/>
        <w:autoSpaceDN w:val="0"/>
        <w:spacing w:line="600" w:lineRule="exact"/>
        <w:jc w:val="center"/>
        <w:rPr>
          <w:rFonts w:ascii="方正小标宋简体" w:hAnsi="方正小标宋简体" w:eastAsia="方正小标宋简体"/>
          <w:color w:val="000000"/>
          <w:sz w:val="72"/>
          <w:lang w:val="zh-CN"/>
        </w:rPr>
      </w:pPr>
      <w:bookmarkStart w:id="0" w:name="_Toc15378441"/>
      <w:bookmarkStart w:id="1" w:name="_Toc15306267"/>
      <w:bookmarkStart w:id="2" w:name="_Toc15396475"/>
      <w:bookmarkStart w:id="3" w:name="_Toc15377425"/>
      <w:bookmarkStart w:id="4" w:name="_Toc15396597"/>
      <w:bookmarkStart w:id="5" w:name="_Toc15377193"/>
    </w:p>
    <w:p w14:paraId="0102A44C">
      <w:pPr>
        <w:overflowPunct w:val="0"/>
        <w:topLinePunct/>
        <w:autoSpaceDE w:val="0"/>
        <w:autoSpaceDN w:val="0"/>
        <w:spacing w:line="600" w:lineRule="exact"/>
        <w:jc w:val="center"/>
        <w:rPr>
          <w:rFonts w:ascii="方正小标宋简体" w:hAnsi="方正小标宋简体" w:eastAsia="方正小标宋简体"/>
          <w:color w:val="000000"/>
          <w:sz w:val="72"/>
          <w:lang w:val="zh-CN"/>
        </w:rPr>
      </w:pPr>
    </w:p>
    <w:p w14:paraId="267B31A9">
      <w:pPr>
        <w:overflowPunct w:val="0"/>
        <w:topLinePunct/>
        <w:autoSpaceDE w:val="0"/>
        <w:autoSpaceDN w:val="0"/>
        <w:spacing w:line="600" w:lineRule="exact"/>
        <w:jc w:val="center"/>
        <w:rPr>
          <w:rFonts w:ascii="方正小标宋简体" w:hAnsi="方正小标宋简体" w:eastAsia="方正小标宋简体"/>
          <w:color w:val="000000"/>
          <w:sz w:val="72"/>
          <w:lang w:val="zh-CN"/>
        </w:rPr>
      </w:pPr>
      <w:bookmarkStart w:id="55" w:name="_GoBack"/>
      <w:bookmarkEnd w:id="55"/>
    </w:p>
    <w:p w14:paraId="727F2AE9">
      <w:pPr>
        <w:overflowPunct w:val="0"/>
        <w:topLinePunct/>
        <w:autoSpaceDE w:val="0"/>
        <w:autoSpaceDN w:val="0"/>
        <w:spacing w:line="360" w:lineRule="auto"/>
        <w:jc w:val="center"/>
        <w:rPr>
          <w:rFonts w:ascii="方正小标宋简体" w:hAnsi="方正小标宋简体" w:eastAsia="方正小标宋简体" w:cs="方正小标宋简体"/>
          <w:color w:val="000000"/>
          <w:sz w:val="72"/>
          <w:lang w:val="zh-CN"/>
        </w:rPr>
      </w:pPr>
      <w:r>
        <w:rPr>
          <w:rFonts w:hint="eastAsia" w:ascii="方正小标宋简体" w:hAnsi="方正小标宋简体" w:eastAsia="方正小标宋简体" w:cs="方正小标宋简体"/>
          <w:color w:val="000000"/>
          <w:sz w:val="72"/>
          <w:lang w:val="zh-CN"/>
        </w:rPr>
        <w:t>202</w:t>
      </w:r>
      <w:r>
        <w:rPr>
          <w:rFonts w:hint="eastAsia" w:ascii="方正小标宋简体" w:hAnsi="方正小标宋简体" w:eastAsia="方正小标宋简体" w:cs="方正小标宋简体"/>
          <w:color w:val="000000"/>
          <w:sz w:val="72"/>
        </w:rPr>
        <w:t>4</w:t>
      </w:r>
      <w:r>
        <w:rPr>
          <w:rFonts w:hint="eastAsia" w:ascii="方正小标宋简体" w:hAnsi="方正小标宋简体" w:eastAsia="方正小标宋简体" w:cs="方正小标宋简体"/>
          <w:color w:val="000000"/>
          <w:sz w:val="72"/>
          <w:lang w:val="zh-CN"/>
        </w:rPr>
        <w:t>年度</w:t>
      </w:r>
    </w:p>
    <w:p w14:paraId="0EEFADA2">
      <w:pPr>
        <w:overflowPunct w:val="0"/>
        <w:topLinePunct/>
        <w:autoSpaceDE w:val="0"/>
        <w:autoSpaceDN w:val="0"/>
        <w:snapToGrid w:val="0"/>
        <w:spacing w:line="360" w:lineRule="auto"/>
        <w:jc w:val="center"/>
        <w:outlineLvl w:val="0"/>
        <w:rPr>
          <w:rFonts w:ascii="方正小标宋简体" w:hAnsi="黑体" w:eastAsia="方正小标宋简体"/>
          <w:color w:val="000000"/>
          <w:sz w:val="72"/>
        </w:rPr>
      </w:pPr>
      <w:r>
        <w:rPr>
          <w:rFonts w:hint="eastAsia" w:ascii="方正小标宋简体" w:hAnsi="黑体" w:eastAsia="方正小标宋简体"/>
          <w:color w:val="000000"/>
          <w:sz w:val="72"/>
        </w:rPr>
        <w:t>广元市昭化区射箭镇人民</w:t>
      </w:r>
    </w:p>
    <w:p w14:paraId="7DC2BE56">
      <w:pPr>
        <w:overflowPunct w:val="0"/>
        <w:topLinePunct/>
        <w:autoSpaceDE w:val="0"/>
        <w:autoSpaceDN w:val="0"/>
        <w:snapToGrid w:val="0"/>
        <w:spacing w:line="360" w:lineRule="auto"/>
        <w:jc w:val="center"/>
        <w:outlineLvl w:val="0"/>
        <w:rPr>
          <w:rFonts w:ascii="方正小标宋简体" w:hAnsi="方正小标宋简体" w:eastAsia="方正小标宋简体" w:cs="方正小标宋简体"/>
          <w:color w:val="000000"/>
          <w:sz w:val="72"/>
          <w:lang w:val="zh-CN"/>
        </w:rPr>
      </w:pPr>
      <w:r>
        <w:rPr>
          <w:rFonts w:hint="eastAsia" w:ascii="方正小标宋简体" w:hAnsi="黑体" w:eastAsia="方正小标宋简体"/>
          <w:color w:val="000000"/>
          <w:sz w:val="72"/>
        </w:rPr>
        <w:t>政府</w:t>
      </w:r>
      <w:r>
        <w:rPr>
          <w:rFonts w:hint="eastAsia" w:ascii="方正小标宋简体" w:hAnsi="方正小标宋简体" w:eastAsia="方正小标宋简体" w:cs="方正小标宋简体"/>
          <w:color w:val="000000"/>
          <w:sz w:val="72"/>
          <w:lang w:val="zh-CN"/>
        </w:rPr>
        <w:t>部门决算</w:t>
      </w:r>
    </w:p>
    <w:p w14:paraId="61889F71">
      <w:pPr>
        <w:overflowPunct w:val="0"/>
        <w:topLinePunct/>
        <w:autoSpaceDE w:val="0"/>
        <w:autoSpaceDN w:val="0"/>
        <w:spacing w:line="360" w:lineRule="auto"/>
        <w:jc w:val="center"/>
        <w:rPr>
          <w:rFonts w:ascii="黑体" w:hAnsi="黑体" w:eastAsia="黑体"/>
          <w:color w:val="000000"/>
          <w:sz w:val="72"/>
          <w:lang w:val="zh-CN"/>
        </w:rPr>
      </w:pPr>
    </w:p>
    <w:p w14:paraId="09B9854F">
      <w:pPr>
        <w:overflowPunct w:val="0"/>
        <w:topLinePunct/>
        <w:autoSpaceDE w:val="0"/>
        <w:autoSpaceDN w:val="0"/>
        <w:spacing w:line="600" w:lineRule="exact"/>
        <w:jc w:val="center"/>
        <w:outlineLvl w:val="0"/>
        <w:rPr>
          <w:rFonts w:eastAsia="方正小标宋简体"/>
          <w:sz w:val="72"/>
          <w:szCs w:val="72"/>
        </w:rPr>
      </w:pPr>
    </w:p>
    <w:p w14:paraId="19625A21">
      <w:pPr>
        <w:pStyle w:val="21"/>
        <w:keepNext w:val="0"/>
        <w:keepLines w:val="0"/>
        <w:overflowPunct w:val="0"/>
        <w:topLinePunct/>
        <w:autoSpaceDE w:val="0"/>
        <w:autoSpaceDN w:val="0"/>
        <w:rPr>
          <w:rFonts w:ascii="Times New Roman" w:hAnsi="Times New Roman"/>
        </w:rPr>
        <w:sectPr>
          <w:footerReference r:id="rId5" w:type="first"/>
          <w:headerReference r:id="rId3" w:type="default"/>
          <w:footerReference r:id="rId4" w:type="default"/>
          <w:pgSz w:w="11906" w:h="16838"/>
          <w:pgMar w:top="2098" w:right="1474" w:bottom="1984" w:left="1587" w:header="851" w:footer="1304" w:gutter="0"/>
          <w:pgNumType w:start="1"/>
          <w:cols w:space="0" w:num="1"/>
          <w:titlePg/>
          <w:docGrid w:type="lines" w:linePitch="312" w:charSpace="0"/>
        </w:sectPr>
      </w:pPr>
    </w:p>
    <w:bookmarkEnd w:id="0"/>
    <w:bookmarkEnd w:id="1"/>
    <w:bookmarkEnd w:id="2"/>
    <w:bookmarkEnd w:id="3"/>
    <w:bookmarkEnd w:id="4"/>
    <w:bookmarkEnd w:id="5"/>
    <w:p w14:paraId="7A5CDF45">
      <w:pPr>
        <w:overflowPunct w:val="0"/>
        <w:topLinePunct/>
        <w:autoSpaceDE w:val="0"/>
        <w:autoSpaceDN w:val="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目     录</w:t>
      </w:r>
    </w:p>
    <w:p w14:paraId="533E2764">
      <w:pPr>
        <w:pStyle w:val="13"/>
        <w:overflowPunct w:val="0"/>
        <w:topLinePunct/>
        <w:autoSpaceDE w:val="0"/>
        <w:autoSpaceDN w:val="0"/>
        <w:spacing w:beforeLines="100" w:afterLines="200"/>
        <w:rPr>
          <w:rFonts w:ascii="楷体_GB2312" w:hAnsi="楷体_GB2312" w:eastAsia="楷体_GB2312" w:cs="楷体_GB2312"/>
          <w:color w:val="0000FF"/>
          <w:sz w:val="32"/>
          <w:szCs w:val="32"/>
        </w:rPr>
      </w:pPr>
      <w:r>
        <w:rPr>
          <w:rFonts w:hint="eastAsia" w:ascii="楷体_GB2312" w:hAnsi="楷体_GB2312" w:eastAsia="楷体_GB2312" w:cs="楷体_GB2312"/>
          <w:sz w:val="32"/>
          <w:szCs w:val="32"/>
        </w:rPr>
        <w:t>公开时间：2025年9月2</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日</w:t>
      </w:r>
    </w:p>
    <w:p w14:paraId="1A561850">
      <w:pPr>
        <w:tabs>
          <w:tab w:val="right" w:leader="dot" w:pos="8845"/>
        </w:tabs>
        <w:overflowPunct w:val="0"/>
        <w:topLinePunct/>
        <w:spacing w:line="576" w:lineRule="exact"/>
        <w:jc w:val="center"/>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 xml:space="preserve">第一部分 </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zh-CN"/>
        </w:rPr>
        <w:t>概况</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w:t>
      </w:r>
    </w:p>
    <w:p w14:paraId="3992EC83">
      <w:pPr>
        <w:tabs>
          <w:tab w:val="right" w:leader="dot" w:pos="8845"/>
        </w:tabs>
        <w:overflowPunct w:val="0"/>
        <w:topLinePunct/>
        <w:spacing w:line="576"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zh-CN"/>
        </w:rPr>
        <w:t>职责</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w:t>
      </w:r>
    </w:p>
    <w:p w14:paraId="334852FE">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二、机构设置</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7</w:t>
      </w:r>
    </w:p>
    <w:p w14:paraId="3AC39361">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第二部分 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年度</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zh-CN"/>
        </w:rPr>
        <w:t>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8</w:t>
      </w:r>
    </w:p>
    <w:p w14:paraId="6EDCF299">
      <w:pPr>
        <w:tabs>
          <w:tab w:val="right" w:leader="dot" w:pos="8845"/>
        </w:tabs>
        <w:overflowPunct w:val="0"/>
        <w:topLinePunct/>
        <w:spacing w:line="576"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8</w:t>
      </w:r>
    </w:p>
    <w:p w14:paraId="4D280FBE">
      <w:pPr>
        <w:tabs>
          <w:tab w:val="right" w:leader="dot" w:pos="8845"/>
        </w:tabs>
        <w:overflowPunct w:val="0"/>
        <w:topLinePunct/>
        <w:spacing w:line="576"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8</w:t>
      </w:r>
    </w:p>
    <w:p w14:paraId="2BA4C52E">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三、支出决算情况说明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9</w:t>
      </w:r>
    </w:p>
    <w:p w14:paraId="318FF5D5">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四、财政拨款收入支出决算总体情况说明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10</w:t>
      </w:r>
    </w:p>
    <w:p w14:paraId="59D120D9">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五、一般公共预算财政拨款支出决算情况说明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10</w:t>
      </w:r>
    </w:p>
    <w:p w14:paraId="522804A5">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六、一般公共预算财政拨款基本支出决算情况说明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15</w:t>
      </w:r>
    </w:p>
    <w:p w14:paraId="63FD7BDB">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七、财政拨款“三公”经费支出决算情况说明</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16</w:t>
      </w:r>
    </w:p>
    <w:p w14:paraId="1E690C2C">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八、政府性基金预算支出决算情况说明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8</w:t>
      </w:r>
    </w:p>
    <w:p w14:paraId="0C0B3417">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九、国有资本经营预算支出决算情况说明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w:t>
      </w:r>
      <w:r>
        <w:rPr>
          <w:rFonts w:ascii="仿宋_GB2312" w:hAnsi="仿宋_GB2312" w:eastAsia="仿宋_GB2312" w:cs="仿宋_GB2312"/>
          <w:sz w:val="32"/>
          <w:szCs w:val="32"/>
        </w:rPr>
        <w:t>8</w:t>
      </w:r>
    </w:p>
    <w:p w14:paraId="7D2CD00E">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十、其他重要事项的情况说明</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1</w:t>
      </w:r>
      <w:r>
        <w:rPr>
          <w:rFonts w:ascii="仿宋_GB2312" w:hAnsi="仿宋_GB2312" w:eastAsia="仿宋_GB2312" w:cs="仿宋_GB2312"/>
          <w:sz w:val="32"/>
          <w:szCs w:val="32"/>
        </w:rPr>
        <w:t>8</w:t>
      </w:r>
    </w:p>
    <w:p w14:paraId="16946D51">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第三部分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名词解释</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21</w:t>
      </w:r>
    </w:p>
    <w:p w14:paraId="1011A1C6">
      <w:pPr>
        <w:tabs>
          <w:tab w:val="right" w:leader="dot" w:pos="8845"/>
        </w:tabs>
        <w:overflowPunct w:val="0"/>
        <w:topLinePunct/>
        <w:spacing w:line="576"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lang w:val="zh-CN"/>
        </w:rPr>
        <w:t>第四部分 附件</w:t>
      </w:r>
      <w:r>
        <w:rPr>
          <w:rFonts w:hint="eastAsia" w:ascii="仿宋_GB2312" w:hAnsi="仿宋_GB2312" w:eastAsia="仿宋_GB2312" w:cs="仿宋_GB2312"/>
          <w:sz w:val="32"/>
          <w:szCs w:val="32"/>
          <w:lang w:val="zh-CN"/>
        </w:rPr>
        <w:tab/>
      </w:r>
      <w:r>
        <w:rPr>
          <w:rFonts w:ascii="仿宋_GB2312" w:hAnsi="仿宋_GB2312" w:eastAsia="仿宋_GB2312" w:cs="仿宋_GB2312"/>
          <w:sz w:val="32"/>
          <w:szCs w:val="32"/>
        </w:rPr>
        <w:t>26</w:t>
      </w:r>
    </w:p>
    <w:p w14:paraId="58C45C16">
      <w:pPr>
        <w:tabs>
          <w:tab w:val="right" w:leader="dot" w:pos="8845"/>
        </w:tabs>
        <w:overflowPunct w:val="0"/>
        <w:topLinePunct/>
        <w:spacing w:line="576" w:lineRule="exact"/>
        <w:jc w:val="center"/>
        <w:rPr>
          <w:rFonts w:ascii="仿宋_GB2312" w:hAnsi="仿宋_GB2312" w:eastAsia="仿宋_GB2312" w:cs="仿宋_GB2312"/>
          <w:b/>
          <w:sz w:val="32"/>
          <w:szCs w:val="32"/>
        </w:rPr>
      </w:pPr>
      <w:r>
        <w:rPr>
          <w:rFonts w:hint="eastAsia" w:ascii="仿宋_GB2312" w:hAnsi="仿宋_GB2312" w:eastAsia="仿宋_GB2312" w:cs="仿宋_GB2312"/>
          <w:sz w:val="32"/>
          <w:szCs w:val="32"/>
          <w:lang w:val="zh-CN"/>
        </w:rPr>
        <w:t>第五部分 附表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13B730AB">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一、收入支出决算总表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55450D52">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二、收入决算表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3827AEAA">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三、支出决算表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70E14B17">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四、财政拨款收入支出决算总表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7B09836C">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五、财政拨款支出决算明细表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2BE5D569">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六、一般公共预算财政拨款支出决算表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4E724D21">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七、一般公共预算财政拨款支出决算明细表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7BD35EC6">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八、一般公共预算财政拨款基本支出决算表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7E9947D1">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九、一般公共预算财政拨款项目支出决算表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790968A3">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十、政府性基金预算财政拨款收入支出决算表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075DE8F0">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十一、国有资本经营预算财政拨款收入支出决算表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13F3A6BB">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十二、国有资本经营预算财政拨款支出决算表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418535FC">
      <w:pPr>
        <w:tabs>
          <w:tab w:val="right" w:leader="dot" w:pos="8845"/>
        </w:tabs>
        <w:overflowPunct w:val="0"/>
        <w:topLinePunct/>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十三、财政拨款“三公”经费支出决算表</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rPr>
        <w:t>66</w:t>
      </w:r>
    </w:p>
    <w:p w14:paraId="0BD1A81F">
      <w:pPr>
        <w:tabs>
          <w:tab w:val="right" w:leader="dot" w:pos="8845"/>
        </w:tabs>
        <w:overflowPunct w:val="0"/>
        <w:topLinePunct/>
        <w:spacing w:line="576" w:lineRule="exact"/>
        <w:jc w:val="center"/>
        <w:rPr>
          <w:rFonts w:ascii="仿宋_GB2312" w:hAnsi="仿宋_GB2312" w:eastAsia="仿宋_GB2312" w:cs="仿宋_GB2312"/>
          <w:sz w:val="32"/>
          <w:szCs w:val="32"/>
          <w:highlight w:val="yellow"/>
        </w:rPr>
        <w:sectPr>
          <w:footerReference r:id="rId6" w:type="default"/>
          <w:pgSz w:w="11905" w:h="16838"/>
          <w:pgMar w:top="2098" w:right="1474" w:bottom="1984" w:left="1587" w:header="720" w:footer="1304" w:gutter="0"/>
          <w:pgNumType w:start="1"/>
          <w:cols w:space="720" w:num="1"/>
        </w:sectPr>
      </w:pPr>
    </w:p>
    <w:p w14:paraId="138307DE">
      <w:pPr>
        <w:overflowPunct w:val="0"/>
        <w:topLinePunct/>
        <w:autoSpaceDE w:val="0"/>
        <w:autoSpaceDN w:val="0"/>
        <w:spacing w:line="240" w:lineRule="atLeast"/>
        <w:jc w:val="center"/>
        <w:outlineLvl w:val="0"/>
        <w:rPr>
          <w:rFonts w:ascii="方正小标宋简体" w:hAnsi="方正小标宋简体" w:eastAsia="方正小标宋简体" w:cs="方正小标宋简体"/>
          <w:sz w:val="44"/>
          <w:szCs w:val="44"/>
        </w:rPr>
      </w:pPr>
      <w:bookmarkStart w:id="6" w:name="_Toc15396599"/>
      <w:bookmarkStart w:id="7" w:name="_Toc15377196"/>
      <w:r>
        <w:rPr>
          <w:rFonts w:hint="eastAsia" w:ascii="方正小标宋简体" w:hAnsi="方正小标宋简体" w:eastAsia="方正小标宋简体" w:cs="方正小标宋简体"/>
          <w:sz w:val="44"/>
          <w:szCs w:val="44"/>
        </w:rPr>
        <w:t>第一部分  部门概况</w:t>
      </w:r>
      <w:bookmarkEnd w:id="6"/>
      <w:bookmarkEnd w:id="7"/>
    </w:p>
    <w:p w14:paraId="144ABEC1">
      <w:pPr>
        <w:overflowPunct w:val="0"/>
        <w:topLinePunct/>
        <w:autoSpaceDE w:val="0"/>
        <w:autoSpaceDN w:val="0"/>
        <w:spacing w:line="576" w:lineRule="exact"/>
        <w:ind w:firstLine="640" w:firstLineChars="200"/>
        <w:rPr>
          <w:rFonts w:eastAsia="黑体"/>
          <w:sz w:val="32"/>
          <w:szCs w:val="32"/>
        </w:rPr>
      </w:pPr>
      <w:r>
        <w:rPr>
          <w:rFonts w:hint="eastAsia" w:eastAsia="黑体"/>
          <w:sz w:val="32"/>
          <w:szCs w:val="32"/>
        </w:rPr>
        <w:t>一、部门职责</w:t>
      </w:r>
    </w:p>
    <w:p w14:paraId="3C91E750">
      <w:pPr>
        <w:overflowPunct w:val="0"/>
        <w:topLinePunct/>
        <w:autoSpaceDE w:val="0"/>
        <w:autoSpaceDN w:val="0"/>
        <w:spacing w:line="576"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（一）主要职能。</w:t>
      </w:r>
    </w:p>
    <w:p w14:paraId="2DA1B5C7">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1.</w:t>
      </w:r>
      <w:r>
        <w:rPr>
          <w:rFonts w:hint="eastAsia" w:ascii="仿宋_GB2312" w:hAnsi="仿宋_GB2312" w:eastAsia="仿宋_GB2312"/>
          <w:color w:val="000000"/>
          <w:sz w:val="32"/>
        </w:rPr>
        <w:t>贯彻落实党的路线方针政策和国家法律法规，制定并执行本级人民代表大会的决议和上级国家行政机关的决定和命令，加强农村基层政权建设，巩固党在农村的执政基础。</w:t>
      </w:r>
    </w:p>
    <w:p w14:paraId="7F4C1762">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2.</w:t>
      </w:r>
      <w:r>
        <w:rPr>
          <w:rFonts w:hint="eastAsia" w:ascii="仿宋_GB2312" w:hAnsi="仿宋_GB2312" w:eastAsia="仿宋_GB2312"/>
          <w:color w:val="000000"/>
          <w:sz w:val="32"/>
        </w:rPr>
        <w:t>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14:paraId="4F51D206">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3.</w:t>
      </w:r>
      <w:r>
        <w:rPr>
          <w:rFonts w:hint="eastAsia" w:ascii="仿宋_GB2312" w:hAnsi="仿宋_GB2312" w:eastAsia="仿宋_GB2312"/>
          <w:color w:val="000000"/>
          <w:sz w:val="32"/>
        </w:rPr>
        <w:t>指导农村经济发展，推进农业经济结构调整，促进经济增长方式转变，促进农业增效、农民增收。</w:t>
      </w:r>
    </w:p>
    <w:p w14:paraId="50F0BA1D">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4.</w:t>
      </w:r>
      <w:r>
        <w:rPr>
          <w:rFonts w:hint="eastAsia" w:ascii="仿宋_GB2312" w:hAnsi="仿宋_GB2312" w:eastAsia="仿宋_GB2312"/>
          <w:color w:val="000000"/>
          <w:sz w:val="32"/>
        </w:rPr>
        <w:t>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14:paraId="7B086864">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5.</w:t>
      </w:r>
      <w:r>
        <w:rPr>
          <w:rFonts w:hint="eastAsia" w:ascii="仿宋_GB2312" w:hAnsi="仿宋_GB2312" w:eastAsia="仿宋_GB2312"/>
          <w:color w:val="000000"/>
          <w:sz w:val="32"/>
        </w:rPr>
        <w:t>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14:paraId="375035F4">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6.</w:t>
      </w:r>
      <w:r>
        <w:rPr>
          <w:rFonts w:hint="eastAsia" w:ascii="仿宋_GB2312" w:hAnsi="仿宋_GB2312" w:eastAsia="仿宋_GB2312"/>
          <w:color w:val="000000"/>
          <w:sz w:val="32"/>
        </w:rPr>
        <w:t>承担辖区平安建设、社会治安综合治理、公共安全、安全生产及应急管理等有关工作，处理群众来信来访，反映社情民意，化解矛盾纠纷，维护社会安全稳定。做好国防教育和兵役等工作。</w:t>
      </w:r>
    </w:p>
    <w:p w14:paraId="701A1E9E">
      <w:pPr>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7.</w:t>
      </w:r>
      <w:r>
        <w:rPr>
          <w:rFonts w:hint="eastAsia" w:ascii="仿宋_GB2312" w:hAnsi="仿宋_GB2312" w:eastAsia="仿宋_GB2312"/>
          <w:color w:val="000000"/>
          <w:sz w:val="32"/>
        </w:rPr>
        <w:t>负责制定完善乡镇行政权力清单、乡镇权力责任清单、乡镇属地事项责任清单，建立清单动态调整和公示机制，推进政务公开，接受群众监督，增强政府公信力。</w:t>
      </w:r>
    </w:p>
    <w:p w14:paraId="563F6F81">
      <w:pPr>
        <w:snapToGrid w:val="0"/>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8.</w:t>
      </w:r>
      <w:r>
        <w:rPr>
          <w:rFonts w:hint="eastAsia" w:ascii="仿宋_GB2312" w:hAnsi="仿宋_GB2312" w:eastAsia="仿宋_GB2312"/>
          <w:color w:val="000000"/>
          <w:sz w:val="32"/>
        </w:rPr>
        <w:t>承担法律、法规、规章规定的其他职能和上级党委、政府交办的其他任务。</w:t>
      </w:r>
    </w:p>
    <w:p w14:paraId="178A4A7A">
      <w:pPr>
        <w:overflowPunct w:val="0"/>
        <w:topLinePunct/>
        <w:autoSpaceDE w:val="0"/>
        <w:autoSpaceDN w:val="0"/>
        <w:spacing w:line="576"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（二）2024年重点工作完成情况。</w:t>
      </w:r>
    </w:p>
    <w:p w14:paraId="5C2CD7BD">
      <w:pPr>
        <w:widowControl/>
        <w:tabs>
          <w:tab w:val="left" w:pos="3150"/>
        </w:tabs>
        <w:spacing w:line="576" w:lineRule="exact"/>
        <w:ind w:firstLine="640" w:firstLineChars="200"/>
        <w:rPr>
          <w:rFonts w:eastAsia="仿宋_GB2312"/>
          <w:sz w:val="32"/>
          <w:szCs w:val="32"/>
        </w:rPr>
      </w:pPr>
      <w:r>
        <w:rPr>
          <w:rFonts w:hint="eastAsia" w:ascii="楷体_GB2312" w:hAnsi="楷体_GB2312" w:eastAsia="仿宋_GB2312" w:cs="楷体_GB2312"/>
          <w:sz w:val="32"/>
          <w:szCs w:val="32"/>
        </w:rPr>
        <w:t>1.抓思想，固根基，党的建设不断深化。</w:t>
      </w:r>
      <w:r>
        <w:rPr>
          <w:rFonts w:hint="eastAsia" w:ascii="仿宋_GB2312" w:hAnsi="仿宋_GB2312" w:eastAsia="仿宋_GB2312" w:cs="仿宋_GB2312"/>
          <w:sz w:val="32"/>
          <w:szCs w:val="32"/>
        </w:rPr>
        <w:t>一是强化政治理论学习。突出学习贯彻习近平新时代中国特色社会主义思想首位首要，固化落实“第一议题”制度，通过班子成员讲党课、专题辅导、支部研讨、宣传宣讲等方式,集中学习研讨党的二十大、二十届三中全会精神及省委、市委、区委全会精神等40余次，教育引导党员干部坚决拥护“两个确立”、矢志践行“两个维护”。二是严实开展党纪学习教育。紧扣“学纪、知纪、明纪、守纪”总要求，通过“三会一课”、主题党日、专题党课等多种形式开展学习研讨44次。以中国共产党成立103周年活动为抓手，召开警示教育大会11场，组织镇村（社区）党员干部分赴旺苍红军城、剑阁廉洁教育基地等地，开展现场教学活动13场，推动廉洁文化入脑入心。三是强化党风廉政建设</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坚持把党风廉政建设工作与党委政府中心工作同部署、同落实，制定《镇纪委年度监督检查计划清单》，对群众身边不正之风和腐败问题、党纪学习教育、“第一议题”制度落实、党委班子成员落实“一岗双责”情况开展监督检查6次，督促镇班子成员与站所部门负责人开展廉政谈心谈话56人次，2023年度巡察整改工作全面完成。四是全面推进党管武装。扎实开展征兵入伍工作，通过实行镇武装部牵头总抓，村“两委”干部、驻村工作队齐上阵，网格员积极参与的三层网格机制，累计精准入户宣传动员13次，征召2名合格青年入伍。</w:t>
      </w:r>
    </w:p>
    <w:p w14:paraId="710A05F7">
      <w:pPr>
        <w:spacing w:line="576" w:lineRule="exact"/>
        <w:ind w:firstLine="660" w:firstLineChars="200"/>
        <w:rPr>
          <w:rFonts w:eastAsia="仿宋_GB2312"/>
          <w:sz w:val="32"/>
          <w:szCs w:val="32"/>
        </w:rPr>
      </w:pPr>
      <w:r>
        <w:rPr>
          <w:rFonts w:hint="eastAsia" w:ascii="楷体_GB2312" w:hAnsi="楷体_GB2312" w:eastAsia="仿宋_GB2312" w:cs="楷体_GB2312"/>
          <w:spacing w:val="5"/>
          <w:sz w:val="32"/>
          <w:szCs w:val="32"/>
        </w:rPr>
        <w:t>2.</w:t>
      </w:r>
      <w:r>
        <w:rPr>
          <w:rFonts w:hint="eastAsia" w:ascii="楷体_GB2312" w:hAnsi="楷体_GB2312" w:eastAsia="仿宋_GB2312" w:cs="楷体_GB2312"/>
          <w:spacing w:val="3"/>
          <w:sz w:val="32"/>
          <w:szCs w:val="32"/>
        </w:rPr>
        <w:t>抓招商、引项目，经济社会高质量发展。</w:t>
      </w:r>
      <w:r>
        <w:rPr>
          <w:rFonts w:hint="eastAsia" w:ascii="仿宋_GB2312" w:hAnsi="仿宋_GB2312" w:eastAsia="仿宋_GB2312" w:cs="仿宋_GB2312"/>
          <w:sz w:val="32"/>
          <w:szCs w:val="32"/>
        </w:rPr>
        <w:t>一是聚焦发展镇域经济。充分利用主导产业优势，以资源为依托，以产业为纽带，全方位做厚做大家底，高效发展农林产业，充分挖掘旅游资源，镇域经济发展活力不断增强。2024年，我镇社会消费品零售总额达到9189.93万元，增长率为9.5% ，农村居民人均可支配收入达到18242.42元，增长率为8.3%，镇域经济稳中有进。二是扎实推进项目投资。深入各企业、项目现场走访调研，全盘摸排辖区内政府投资项目和企业投资项目，积极对接项目单位，及时掌握开工时间、施工进度等相关情况，确保每个入库项目都做到资料齐全、应统尽统。截至目前，谋划全镇储备项目3个，累计投资6556万元，完成全年任务数的145.7%，在全区各镇位列第一。三是大力推进招商引资。进一步深化“放管服”改革，扎实推进优化营商环境工作，及时摸排解决相关企业项目建设过程中遇到的问题和困难，为企业发展提供更多支持，确保项目早落地、早完工。截至目前，全年累计有效招商信息10条，项目建设累计到位资金6838.1万元，实现市外到位资金5532万元，为全镇经济高质量发展赋能加力。</w:t>
      </w:r>
    </w:p>
    <w:p w14:paraId="1BAC6671">
      <w:pPr>
        <w:spacing w:line="576" w:lineRule="exact"/>
        <w:ind w:firstLine="652" w:firstLineChars="200"/>
        <w:rPr>
          <w:rFonts w:ascii="仿宋_GB2312" w:hAnsi="仿宋_GB2312" w:eastAsia="仿宋_GB2312" w:cs="仿宋_GB2312"/>
          <w:sz w:val="32"/>
          <w:szCs w:val="32"/>
        </w:rPr>
      </w:pPr>
      <w:r>
        <w:rPr>
          <w:rFonts w:hint="eastAsia" w:ascii="楷体_GB2312" w:hAnsi="楷体_GB2312" w:eastAsia="仿宋_GB2312" w:cs="楷体_GB2312"/>
          <w:spacing w:val="3"/>
          <w:sz w:val="32"/>
          <w:szCs w:val="32"/>
        </w:rPr>
        <w:t>3.抓规模、优结构，产业结构全面提升。</w:t>
      </w:r>
      <w:r>
        <w:rPr>
          <w:rFonts w:hint="eastAsia" w:ascii="仿宋_GB2312" w:hAnsi="仿宋_GB2312" w:eastAsia="仿宋_GB2312" w:cs="仿宋_GB2312"/>
          <w:sz w:val="32"/>
          <w:szCs w:val="32"/>
        </w:rPr>
        <w:t>一是着力发展现代农业。全力抓好粮食安全保障工作，稳定粮食播种面积25850亩，全年粮食产量9066吨，油料作物产量2448吨，稳步发展沿嘉陵江带特色小水果和蔬菜产业，猕猴桃、脆桃、李子、枇杷园面积突破1600亩，建设露地蔬菜产业园区200亩，销售收入达到13万元；巩固发展生态畜禽，扎实开展生猪稳产保供工作，全镇保有生猪规模养殖户（场）13户，存栏能繁母猪2341头，存栏育肥猪2万余头，肉牛1130头，肉羊6527只，全年出栏生猪6.8万头，出栏土鸡180万羽、肉牛3000头、肉羊1.8万只，林下小家禽突破100万羽大关。二是推动特色林业高质量发展，建成以淫羊藿、菖蒲为主的林下中药材产业园1万亩，培育广元市珍康宝种植专合社等12家优质企业，实施“电商+中药材”战略，打造中药香包、药膳代餐粉等区域特色产品，助农人均增收600余元，高质量承办全省国家储备林培训现场会，打造全区林业产业高质量发展样板。三是做优做强文旅产业。以全区创建天府旅游名县为契机，完成药博园景区改造升级，创新推出侏罗纪奇幻之旅、梦幻西游记巡游、魅力中医药之旅等活动，全年累计接待游客10万人次，带动园区农民人均年增收500余元。</w:t>
      </w:r>
    </w:p>
    <w:p w14:paraId="38F262DD">
      <w:pPr>
        <w:widowControl/>
        <w:spacing w:line="576" w:lineRule="exact"/>
        <w:ind w:firstLine="652" w:firstLineChars="200"/>
        <w:rPr>
          <w:rFonts w:eastAsia="仿宋_GB2312"/>
          <w:sz w:val="32"/>
          <w:szCs w:val="32"/>
        </w:rPr>
      </w:pPr>
      <w:r>
        <w:rPr>
          <w:rFonts w:hint="eastAsia" w:ascii="楷体_GB2312" w:hAnsi="楷体_GB2312" w:eastAsia="仿宋_GB2312" w:cs="楷体_GB2312"/>
          <w:spacing w:val="3"/>
          <w:sz w:val="32"/>
          <w:szCs w:val="32"/>
        </w:rPr>
        <w:t>4.抓建设、强管理，镇村品质逐步提升。</w:t>
      </w:r>
      <w:r>
        <w:rPr>
          <w:rFonts w:hint="eastAsia" w:ascii="仿宋_GB2312" w:hAnsi="仿宋_GB2312" w:eastAsia="仿宋_GB2312" w:cs="仿宋_GB2312"/>
          <w:sz w:val="32"/>
          <w:szCs w:val="32"/>
        </w:rPr>
        <w:t>一是持续提升镇村建设。完成村社道路硬化6.85公里，修复塌陷路面2处，整治泄洪渠系4000余米，新建山坪塘10余口，深入推进农村厕所革命，改善卫生厕所243户，卫生厕所覆盖率达97%，强化农村污水设施运行管理，9个行政村全覆盖建立垃圾收费制度，持续改善群众生产生活条件。二是持续巩固脱贫成果。深化联农带农机制，累计投入351万元资金，实施小水果、林下养殖、中药材发展等衔接资金项目7个，效益辐射周边群众600余人；健全防返贫监测体系，严格按照自主申报、网格监测、上级推送、集中排查原则，开展监测户纳入退出工作，全年全覆盖排查4134户，核查研判风险线索522条，新增监测对象5户18人，消除监测对象风险4户15人，有效降低群众返贫致贫风险。三是全面改善生态环境。抓实大气污染防治，持续强化秸秆禁烧宣传，变堵为疏，加大农户与周边肉牛养殖场合作力度，同时加大秸秆禁烧执法力度，2024年办理执法案件1例。聚力聚焦问题整改，严格落实中央、省环保督察问题整改，全面推进第三轮生态环境问题“大排查大整治”举一反三、自查整改，切实落实本镇畜禽污染治理和饮用水源地保护，对全镇2户养殖场面源污染源进行了彻底整改。压紧压实“林长制”工作职责，扎实推动古树名木保护，依法认定和公布的古树名木112株，新增申报古树69株，其中一级11株、二级39株、三级62株。</w:t>
      </w:r>
    </w:p>
    <w:p w14:paraId="5B7CBEFD">
      <w:pPr>
        <w:tabs>
          <w:tab w:val="left" w:pos="3150"/>
        </w:tabs>
        <w:spacing w:line="576" w:lineRule="exact"/>
        <w:ind w:firstLine="652" w:firstLineChars="200"/>
        <w:rPr>
          <w:rFonts w:ascii="仿宋_GB2312" w:hAnsi="仿宋_GB2312" w:eastAsia="仿宋_GB2312" w:cs="仿宋_GB2312"/>
          <w:sz w:val="32"/>
          <w:szCs w:val="32"/>
        </w:rPr>
      </w:pPr>
      <w:r>
        <w:rPr>
          <w:rFonts w:hint="eastAsia" w:ascii="楷体_GB2312" w:hAnsi="楷体_GB2312" w:eastAsia="仿宋_GB2312" w:cs="楷体_GB2312"/>
          <w:spacing w:val="3"/>
          <w:sz w:val="32"/>
          <w:szCs w:val="32"/>
        </w:rPr>
        <w:t>5.抓保障、兜底线，社会民生持续改善。</w:t>
      </w:r>
      <w:r>
        <w:rPr>
          <w:rFonts w:hint="eastAsia" w:ascii="仿宋_GB2312" w:hAnsi="仿宋_GB2312" w:eastAsia="仿宋_GB2312" w:cs="仿宋_GB2312"/>
          <w:sz w:val="32"/>
          <w:szCs w:val="32"/>
        </w:rPr>
        <w:t>一是优化提升社会保障体系。依托便民服务中心搭建就业创业服务矩阵，充分宣传农民工返乡创业就业政策，全年组织农民工培训200余人，实现转移就业1062人；推进城乡居民养老保险扩面征缴，全面实现养老、医疗、工伤、失业、生育“五险合一”，动态开展低保排查工作，</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全面完成2024年医保任务，2025年医疗征收完成目标任务75.4%，特困人群参保率达100%；聚焦困难群众，扎实做好关心关爱、寻访探视、冬春救助等工作，累计走访慰问260余次，稳步增进民生福祉。二是持续发展社会事业。规范明觉中医馆医疗服务水平，组织无偿献血活动2次、退役军人免费体检1次；以实现全镇教育教学质量新突破为抓手，明觉小学积极申报射箭提阳戏数字化保护优秀案例，加强学生传统文化素养。三是持续强化社会治理。扎实开展依法治理和“安全隐患随手拍”工作，全面落实安全生产责任制，抓好属地安全监管，全面排查“九小场所”，全年无重大安全事故、重大食品药品卫生事件发生；全面推行社会矛盾网格化管理，深入开展矛盾纠纷和不稳定因素排查化解，落实信访制度，累计召开专题会议2次，化解重大矛盾纠纷3件次，矛盾纠纷调解率达100%；严厉打击突出违法犯罪，常态化开展扫黑除恶斗争，持续巩固平安射箭建设成果。</w:t>
      </w:r>
    </w:p>
    <w:p w14:paraId="7B612657">
      <w:pPr>
        <w:pStyle w:val="6"/>
        <w:spacing w:before="93" w:line="576" w:lineRule="exact"/>
        <w:ind w:firstLine="640" w:firstLineChars="200"/>
        <w:rPr>
          <w:sz w:val="32"/>
        </w:rPr>
      </w:pPr>
      <w:r>
        <w:rPr>
          <w:rFonts w:hint="eastAsia" w:ascii="楷体_GB2312" w:hAnsi="楷体_GB2312" w:cs="楷体_GB2312"/>
          <w:sz w:val="32"/>
          <w:szCs w:val="32"/>
        </w:rPr>
        <w:t>6.特色亮点工作。</w:t>
      </w:r>
      <w:r>
        <w:rPr>
          <w:rFonts w:hint="eastAsia" w:hAnsi="仿宋_GB2312" w:cs="仿宋_GB2312"/>
          <w:sz w:val="32"/>
          <w:szCs w:val="32"/>
        </w:rPr>
        <w:t>一是立足宣传强引领，河湖长制开拓新局面。以推广基层河湖管护“解放模式”为契机，明确村支部书记为村级河长，党支部、党小组、党员三级职责，创新构建“一室三队一超市”基层管护体系，增强基层管护队伍力量，河湖长制工作经验获得省级平台推广。二是立足补链谋发展，林下经济产业取得新突破。立足“科技惠农”目标，通过校企、校地合作建成林下中药材科技服务站，培育道地淫羊藿优质种苗，实现中药材“科技＋品牌”双赋能，优秀林业工作经验通过全省森林粮库与国储林现场会获广泛宣传推广，林下经济产业园区申报省级天府森林粮库现代产业基地。三是立足党建强本领，先锋党员带动新模式。用活“电商＋”模式，依托抖音、微商等平台，党支部书记带头直播销售农产品，引领“村村直播、户户增收”新浪潮，助力群众实现“家门口”致富，先进案例获市级平台“微党课”展播。</w:t>
      </w:r>
    </w:p>
    <w:p w14:paraId="20B29108">
      <w:pPr>
        <w:overflowPunct w:val="0"/>
        <w:topLinePunct/>
        <w:autoSpaceDE w:val="0"/>
        <w:autoSpaceDN w:val="0"/>
        <w:spacing w:line="576" w:lineRule="exact"/>
        <w:ind w:firstLine="640" w:firstLineChars="200"/>
        <w:rPr>
          <w:rStyle w:val="31"/>
          <w:rFonts w:ascii="Times New Roman" w:hAnsi="Times New Roman"/>
          <w:b w:val="0"/>
          <w:bCs w:val="0"/>
        </w:rPr>
      </w:pPr>
      <w:bookmarkStart w:id="8" w:name="_Toc15377200"/>
      <w:bookmarkStart w:id="9" w:name="_Toc15396601"/>
      <w:r>
        <w:rPr>
          <w:rFonts w:hint="eastAsia" w:eastAsia="黑体"/>
          <w:sz w:val="32"/>
          <w:szCs w:val="32"/>
        </w:rPr>
        <w:t>二、机</w:t>
      </w:r>
      <w:r>
        <w:rPr>
          <w:rStyle w:val="31"/>
          <w:rFonts w:hint="eastAsia" w:ascii="Times New Roman" w:hAnsi="Times New Roman" w:eastAsia="黑体"/>
          <w:b w:val="0"/>
          <w:bCs w:val="0"/>
        </w:rPr>
        <w:t>构设置</w:t>
      </w:r>
      <w:bookmarkEnd w:id="8"/>
      <w:bookmarkEnd w:id="9"/>
    </w:p>
    <w:p w14:paraId="19A18273">
      <w:pPr>
        <w:autoSpaceDE w:val="0"/>
        <w:autoSpaceDN w:val="0"/>
        <w:adjustRightInd w:val="0"/>
        <w:spacing w:line="576" w:lineRule="exact"/>
        <w:ind w:firstLine="640" w:firstLineChars="200"/>
        <w:rPr>
          <w:rFonts w:ascii="仿宋_GB2312" w:hAnsi="仿宋_GB2312" w:eastAsia="仿宋_GB2312"/>
          <w:sz w:val="32"/>
        </w:rPr>
      </w:pPr>
      <w:r>
        <w:rPr>
          <w:rFonts w:hint="eastAsia" w:ascii="仿宋_GB2312" w:hAnsi="仿宋_GB2312" w:eastAsia="仿宋_GB2312"/>
          <w:sz w:val="32"/>
        </w:rPr>
        <w:t>广元市昭化区射箭镇人民政府属于一级预算单位，下属二级预算单位</w:t>
      </w:r>
      <w:r>
        <w:rPr>
          <w:rFonts w:ascii="仿宋_GB2312" w:hAnsi="仿宋_GB2312" w:eastAsia="仿宋_GB2312"/>
          <w:sz w:val="32"/>
        </w:rPr>
        <w:t>0</w:t>
      </w:r>
      <w:r>
        <w:rPr>
          <w:rFonts w:hint="eastAsia" w:ascii="仿宋_GB2312" w:hAnsi="仿宋_GB2312" w:eastAsia="仿宋_GB2312"/>
          <w:sz w:val="32"/>
        </w:rPr>
        <w:t>个，</w:t>
      </w:r>
      <w:r>
        <w:rPr>
          <w:rFonts w:hint="eastAsia" w:ascii="仿宋_GB2312" w:hAnsi="仿宋_GB2312" w:eastAsia="仿宋_GB2312" w:cs="仿宋_GB2312"/>
          <w:sz w:val="32"/>
          <w:szCs w:val="32"/>
        </w:rPr>
        <w:t>下设独立编制机构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w:t>
      </w:r>
      <w:r>
        <w:rPr>
          <w:rFonts w:hint="eastAsia" w:ascii="仿宋_GB2312" w:hAnsi="仿宋_GB2312" w:eastAsia="仿宋_GB2312"/>
          <w:sz w:val="32"/>
        </w:rPr>
        <w:t>其中行政单位</w:t>
      </w:r>
      <w:r>
        <w:rPr>
          <w:rFonts w:ascii="仿宋_GB2312" w:hAnsi="仿宋_GB2312" w:eastAsia="仿宋_GB2312"/>
          <w:sz w:val="32"/>
        </w:rPr>
        <w:t>0</w:t>
      </w:r>
      <w:r>
        <w:rPr>
          <w:rFonts w:hint="eastAsia" w:ascii="仿宋_GB2312" w:hAnsi="仿宋_GB2312" w:eastAsia="仿宋_GB2312"/>
          <w:sz w:val="32"/>
        </w:rPr>
        <w:t>个，参照公务员法管理的事业单位</w:t>
      </w:r>
      <w:r>
        <w:rPr>
          <w:rFonts w:ascii="仿宋_GB2312" w:hAnsi="仿宋_GB2312" w:eastAsia="仿宋_GB2312"/>
          <w:sz w:val="32"/>
        </w:rPr>
        <w:t>0</w:t>
      </w:r>
      <w:r>
        <w:rPr>
          <w:rFonts w:hint="eastAsia" w:ascii="仿宋_GB2312" w:hAnsi="仿宋_GB2312" w:eastAsia="仿宋_GB2312"/>
          <w:sz w:val="32"/>
        </w:rPr>
        <w:t>个，其他事业单位</w:t>
      </w:r>
      <w:r>
        <w:rPr>
          <w:rFonts w:ascii="仿宋_GB2312" w:hAnsi="仿宋_GB2312" w:eastAsia="仿宋_GB2312"/>
          <w:sz w:val="32"/>
        </w:rPr>
        <w:t>4</w:t>
      </w:r>
      <w:r>
        <w:rPr>
          <w:rFonts w:hint="eastAsia" w:ascii="仿宋_GB2312" w:hAnsi="仿宋_GB2312" w:eastAsia="仿宋_GB2312"/>
          <w:sz w:val="32"/>
        </w:rPr>
        <w:t>个。</w:t>
      </w:r>
    </w:p>
    <w:p w14:paraId="2219766B">
      <w:pPr>
        <w:overflowPunct w:val="0"/>
        <w:topLinePunct/>
        <w:autoSpaceDE w:val="0"/>
        <w:autoSpaceDN w:val="0"/>
        <w:adjustRightInd w:val="0"/>
        <w:spacing w:line="576"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纳入2024年度单位决算编制范围的独立编制机构包括：</w:t>
      </w:r>
    </w:p>
    <w:p w14:paraId="028AF1DB">
      <w:pPr>
        <w:overflowPunct w:val="0"/>
        <w:topLinePunct/>
        <w:autoSpaceDE w:val="0"/>
        <w:autoSpaceDN w:val="0"/>
        <w:adjustRightInd w:val="0"/>
        <w:spacing w:line="576" w:lineRule="exact"/>
        <w:ind w:firstLine="640" w:firstLineChars="200"/>
        <w:rPr>
          <w:rFonts w:ascii="仿宋_GB2312" w:hAnsi="仿宋_GB2312" w:eastAsia="仿宋_GB2312"/>
          <w:color w:val="000000"/>
          <w:sz w:val="32"/>
        </w:rPr>
      </w:pPr>
      <w:r>
        <w:rPr>
          <w:rFonts w:ascii="仿宋_GB2312" w:hAnsi="仿宋_GB2312" w:eastAsia="仿宋_GB2312"/>
          <w:color w:val="000000"/>
          <w:sz w:val="32"/>
        </w:rPr>
        <w:t>1.</w:t>
      </w:r>
      <w:r>
        <w:rPr>
          <w:rFonts w:hint="eastAsia" w:ascii="仿宋_GB2312" w:hAnsi="仿宋_GB2312" w:eastAsia="仿宋_GB2312"/>
          <w:color w:val="000000"/>
          <w:sz w:val="32"/>
        </w:rPr>
        <w:t xml:space="preserve">农业综合服务中心  </w:t>
      </w:r>
    </w:p>
    <w:p w14:paraId="5B3979FE">
      <w:pPr>
        <w:overflowPunct w:val="0"/>
        <w:topLinePunct/>
        <w:autoSpaceDE w:val="0"/>
        <w:autoSpaceDN w:val="0"/>
        <w:adjustRightInd w:val="0"/>
        <w:spacing w:line="576" w:lineRule="exact"/>
        <w:ind w:firstLine="640" w:firstLineChars="200"/>
        <w:rPr>
          <w:rFonts w:ascii="仿宋_GB2312" w:hAnsi="仿宋_GB2312" w:eastAsia="仿宋_GB2312"/>
          <w:color w:val="000000"/>
          <w:sz w:val="32"/>
          <w:highlight w:val="white"/>
        </w:rPr>
      </w:pPr>
      <w:r>
        <w:rPr>
          <w:rFonts w:hint="eastAsia" w:ascii="仿宋_GB2312" w:hAnsi="仿宋_GB2312" w:eastAsia="仿宋_GB2312"/>
          <w:color w:val="000000"/>
          <w:sz w:val="32"/>
        </w:rPr>
        <w:t xml:space="preserve">2.便民服务中心  </w:t>
      </w:r>
    </w:p>
    <w:p w14:paraId="38703590">
      <w:pPr>
        <w:overflowPunct w:val="0"/>
        <w:topLinePunct/>
        <w:autoSpaceDE w:val="0"/>
        <w:autoSpaceDN w:val="0"/>
        <w:adjustRightInd w:val="0"/>
        <w:spacing w:line="576"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 xml:space="preserve">3.乡村建设和文化旅游服务中心 </w:t>
      </w:r>
    </w:p>
    <w:p w14:paraId="5D15CEFE">
      <w:pPr>
        <w:overflowPunct w:val="0"/>
        <w:topLinePunct/>
        <w:autoSpaceDE w:val="0"/>
        <w:autoSpaceDN w:val="0"/>
        <w:adjustRightInd w:val="0"/>
        <w:spacing w:line="576" w:lineRule="exact"/>
        <w:ind w:firstLine="640" w:firstLineChars="200"/>
        <w:rPr>
          <w:rFonts w:ascii="仿宋_GB2312" w:hAnsi="仿宋_GB2312" w:eastAsia="仿宋_GB2312"/>
          <w:color w:val="000000"/>
          <w:sz w:val="32"/>
          <w:highlight w:val="white"/>
        </w:rPr>
      </w:pPr>
      <w:r>
        <w:rPr>
          <w:rFonts w:hint="eastAsia" w:ascii="仿宋_GB2312" w:hAnsi="仿宋_GB2312" w:eastAsia="仿宋_GB2312"/>
          <w:color w:val="000000"/>
          <w:sz w:val="32"/>
        </w:rPr>
        <w:t>4.社会治安综合治理中心</w:t>
      </w:r>
    </w:p>
    <w:p w14:paraId="51D0E929">
      <w:pPr>
        <w:overflowPunct w:val="0"/>
        <w:topLinePunct/>
        <w:autoSpaceDE w:val="0"/>
        <w:autoSpaceDN w:val="0"/>
        <w:jc w:val="left"/>
        <w:rPr>
          <w:rFonts w:eastAsia="仿宋"/>
          <w:kern w:val="0"/>
          <w:sz w:val="32"/>
          <w:szCs w:val="32"/>
        </w:rPr>
      </w:pPr>
      <w:r>
        <w:rPr>
          <w:rFonts w:eastAsia="仿宋"/>
          <w:sz w:val="32"/>
          <w:szCs w:val="32"/>
        </w:rPr>
        <w:br w:type="page"/>
      </w:r>
    </w:p>
    <w:p w14:paraId="432FA0F9">
      <w:pPr>
        <w:overflowPunct w:val="0"/>
        <w:topLinePunct/>
        <w:autoSpaceDE w:val="0"/>
        <w:autoSpaceDN w:val="0"/>
        <w:spacing w:line="240" w:lineRule="atLeast"/>
        <w:jc w:val="center"/>
        <w:outlineLvl w:val="0"/>
        <w:rPr>
          <w:rFonts w:ascii="方正小标宋简体" w:hAnsi="方正小标宋简体" w:eastAsia="方正小标宋简体" w:cs="方正小标宋简体"/>
          <w:sz w:val="44"/>
          <w:szCs w:val="44"/>
        </w:rPr>
      </w:pPr>
      <w:bookmarkStart w:id="10" w:name="_Toc15396602"/>
      <w:bookmarkStart w:id="11" w:name="_Toc15377204"/>
      <w:r>
        <w:rPr>
          <w:rFonts w:hint="eastAsia" w:ascii="方正小标宋简体" w:hAnsi="方正小标宋简体" w:eastAsia="方正小标宋简体" w:cs="方正小标宋简体"/>
          <w:sz w:val="44"/>
          <w:szCs w:val="44"/>
        </w:rPr>
        <w:t>第二部分  2024年度部门决算情况说明</w:t>
      </w:r>
      <w:bookmarkEnd w:id="10"/>
      <w:bookmarkEnd w:id="11"/>
    </w:p>
    <w:p w14:paraId="3D3416C2">
      <w:pPr>
        <w:pStyle w:val="6"/>
        <w:spacing w:before="93"/>
      </w:pPr>
    </w:p>
    <w:p w14:paraId="058979BB">
      <w:pPr>
        <w:pStyle w:val="29"/>
        <w:overflowPunct w:val="0"/>
        <w:topLinePunct/>
        <w:autoSpaceDE w:val="0"/>
        <w:autoSpaceDN w:val="0"/>
        <w:spacing w:line="576" w:lineRule="exact"/>
        <w:ind w:firstLine="640"/>
        <w:rPr>
          <w:rStyle w:val="31"/>
          <w:rFonts w:ascii="Times New Roman" w:hAnsi="Times New Roman" w:eastAsia="黑体"/>
          <w:b w:val="0"/>
        </w:rPr>
      </w:pPr>
      <w:bookmarkStart w:id="12" w:name="_Toc15377205"/>
      <w:bookmarkStart w:id="13"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2"/>
      <w:bookmarkEnd w:id="13"/>
    </w:p>
    <w:p w14:paraId="23CE9F0C">
      <w:pPr>
        <w:overflowPunct w:val="0"/>
        <w:topLinePunct/>
        <w:spacing w:line="576" w:lineRule="exact"/>
        <w:ind w:firstLine="640" w:firstLineChars="200"/>
        <w:rPr>
          <w:rFonts w:ascii="仿宋_GB2312" w:hAnsi="仿宋_GB2312" w:eastAsia="仿宋_GB2312"/>
          <w:color w:val="000000"/>
          <w:sz w:val="32"/>
        </w:rPr>
      </w:pPr>
      <w:bookmarkStart w:id="14" w:name="_Toc15396604"/>
      <w:bookmarkStart w:id="15" w:name="_Toc15377206"/>
      <w:r>
        <w:rPr>
          <w:rFonts w:hint="eastAsia" w:ascii="仿宋_GB2312" w:hAnsi="仿宋_GB2312" w:eastAsia="仿宋_GB2312"/>
          <w:color w:val="000000"/>
          <w:sz w:val="32"/>
        </w:rPr>
        <w:t>2024年度收、支总计均为1610.8万元。与2023年度相比，收、支总计各增加59.95万元，增长3.7%。主要变动原因是预算收支项目增加。</w:t>
      </w:r>
    </w:p>
    <w:p w14:paraId="75A384F7">
      <w:pPr>
        <w:pStyle w:val="6"/>
        <w:spacing w:before="93"/>
        <w:jc w:val="center"/>
      </w:pPr>
      <w:r>
        <w:drawing>
          <wp:inline distT="0" distB="0" distL="0" distR="0">
            <wp:extent cx="4822190" cy="2737485"/>
            <wp:effectExtent l="4442" t="4436" r="14594" b="1457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6F1C0F">
      <w:pPr>
        <w:pStyle w:val="6"/>
        <w:spacing w:before="93"/>
        <w:jc w:val="center"/>
        <w:rPr>
          <w:rFonts w:hAnsi="仿宋_GB2312"/>
          <w:color w:val="000000"/>
          <w:kern w:val="2"/>
          <w:sz w:val="32"/>
        </w:rPr>
      </w:pPr>
      <w:r>
        <w:rPr>
          <w:rFonts w:hAnsi="仿宋_GB2312"/>
          <w:color w:val="000000"/>
          <w:kern w:val="2"/>
          <w:sz w:val="32"/>
        </w:rPr>
        <w:t>图1：收、支决算总计变动情况图</w:t>
      </w:r>
    </w:p>
    <w:p w14:paraId="5441C886">
      <w:pPr>
        <w:pStyle w:val="29"/>
        <w:overflowPunct w:val="0"/>
        <w:topLinePunct/>
        <w:autoSpaceDE w:val="0"/>
        <w:autoSpaceDN w:val="0"/>
        <w:spacing w:line="576" w:lineRule="exact"/>
        <w:ind w:firstLine="640"/>
        <w:rPr>
          <w:rFonts w:eastAsia="黑体"/>
          <w:sz w:val="32"/>
          <w:szCs w:val="32"/>
        </w:rPr>
      </w:pPr>
      <w:r>
        <w:rPr>
          <w:rFonts w:hint="eastAsia" w:eastAsia="黑体"/>
          <w:sz w:val="32"/>
          <w:szCs w:val="32"/>
        </w:rPr>
        <w:t>二、收入决算情况说明</w:t>
      </w:r>
      <w:bookmarkEnd w:id="14"/>
      <w:bookmarkEnd w:id="15"/>
    </w:p>
    <w:p w14:paraId="25C338FC">
      <w:pPr>
        <w:overflowPunct w:val="0"/>
        <w:topLinePunct/>
        <w:spacing w:line="576" w:lineRule="exact"/>
        <w:ind w:firstLine="640" w:firstLineChars="200"/>
        <w:rPr>
          <w:rFonts w:ascii="仿宋_GB2312" w:hAnsi="仿宋_GB2312" w:eastAsia="仿宋_GB2312"/>
          <w:color w:val="000000"/>
          <w:sz w:val="32"/>
        </w:rPr>
      </w:pPr>
      <w:bookmarkStart w:id="16" w:name="_Toc15396605"/>
      <w:bookmarkStart w:id="17" w:name="_Toc15377207"/>
      <w:r>
        <w:rPr>
          <w:rFonts w:hint="eastAsia" w:ascii="仿宋_GB2312" w:hAnsi="仿宋_GB2312" w:eastAsia="仿宋_GB2312"/>
          <w:color w:val="000000"/>
          <w:sz w:val="32"/>
        </w:rPr>
        <w:t>2024年本年收入合计1610.8万元，其中：一般公共预算财政拨款收入1610.8万元，占100%。</w:t>
      </w:r>
    </w:p>
    <w:p w14:paraId="470771BB">
      <w:pPr>
        <w:pStyle w:val="6"/>
        <w:spacing w:before="93"/>
        <w:jc w:val="center"/>
      </w:pPr>
      <w:r>
        <w:drawing>
          <wp:inline distT="0" distB="0" distL="0" distR="0">
            <wp:extent cx="4822190" cy="2737485"/>
            <wp:effectExtent l="4442" t="4436" r="14594" b="14575"/>
            <wp:docPr id="6"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6BC288">
      <w:pPr>
        <w:pStyle w:val="6"/>
        <w:spacing w:before="93"/>
        <w:jc w:val="center"/>
        <w:rPr>
          <w:rFonts w:hAnsi="仿宋_GB2312"/>
          <w:color w:val="000000"/>
          <w:kern w:val="2"/>
          <w:sz w:val="32"/>
          <w:highlight w:val="yellow"/>
        </w:rPr>
      </w:pPr>
      <w:r>
        <w:rPr>
          <w:rFonts w:hAnsi="仿宋_GB2312"/>
          <w:color w:val="000000"/>
          <w:kern w:val="2"/>
          <w:sz w:val="32"/>
        </w:rPr>
        <w:t>图2：收入决算结构图</w:t>
      </w:r>
    </w:p>
    <w:p w14:paraId="45607922">
      <w:pPr>
        <w:pStyle w:val="29"/>
        <w:overflowPunct w:val="0"/>
        <w:topLinePunct/>
        <w:autoSpaceDE w:val="0"/>
        <w:autoSpaceDN w:val="0"/>
        <w:spacing w:line="576" w:lineRule="exact"/>
        <w:ind w:firstLine="640"/>
        <w:rPr>
          <w:rStyle w:val="31"/>
          <w:rFonts w:ascii="Times New Roman" w:hAnsi="Times New Roman" w:eastAsia="黑体"/>
          <w:b w:val="0"/>
        </w:rPr>
      </w:pPr>
      <w:r>
        <w:rPr>
          <w:rFonts w:hint="eastAsia" w:eastAsia="黑体"/>
          <w:sz w:val="32"/>
          <w:szCs w:val="32"/>
        </w:rPr>
        <w:t>三、支</w:t>
      </w:r>
      <w:r>
        <w:rPr>
          <w:rStyle w:val="31"/>
          <w:rFonts w:hint="eastAsia" w:ascii="Times New Roman" w:hAnsi="Times New Roman" w:eastAsia="黑体"/>
          <w:b w:val="0"/>
        </w:rPr>
        <w:t>出决算情况说明</w:t>
      </w:r>
      <w:bookmarkEnd w:id="16"/>
      <w:bookmarkEnd w:id="17"/>
    </w:p>
    <w:p w14:paraId="57B998A7">
      <w:pPr>
        <w:overflowPunct w:val="0"/>
        <w:topLinePunct/>
        <w:spacing w:line="576" w:lineRule="exact"/>
        <w:ind w:firstLine="640" w:firstLineChars="200"/>
        <w:rPr>
          <w:rFonts w:ascii="仿宋_GB2312" w:hAnsi="仿宋_GB2312" w:eastAsia="仿宋_GB2312"/>
          <w:color w:val="000000"/>
          <w:sz w:val="32"/>
        </w:rPr>
      </w:pPr>
      <w:bookmarkStart w:id="18" w:name="_Toc15396606"/>
      <w:bookmarkStart w:id="19" w:name="_Toc15377208"/>
      <w:r>
        <w:rPr>
          <w:rFonts w:hint="eastAsia" w:ascii="仿宋_GB2312" w:hAnsi="仿宋_GB2312" w:eastAsia="仿宋_GB2312"/>
          <w:color w:val="000000"/>
          <w:sz w:val="32"/>
        </w:rPr>
        <w:t>2024年本年支出合计1610.8万元，其中：基本支出1076.36万元，占66.8%；项目支出534.45万元，占33.2%。</w:t>
      </w:r>
    </w:p>
    <w:p w14:paraId="2D46DF34">
      <w:pPr>
        <w:pStyle w:val="6"/>
        <w:spacing w:before="93"/>
        <w:jc w:val="center"/>
      </w:pPr>
      <w:r>
        <w:drawing>
          <wp:inline distT="0" distB="0" distL="0" distR="0">
            <wp:extent cx="5413375" cy="3221990"/>
            <wp:effectExtent l="4443" t="4436" r="14598" b="14576"/>
            <wp:docPr id="1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862CAC7">
      <w:pPr>
        <w:pStyle w:val="6"/>
        <w:spacing w:before="93"/>
        <w:jc w:val="center"/>
      </w:pPr>
      <w:r>
        <w:rPr>
          <w:rFonts w:hAnsi="仿宋_GB2312"/>
          <w:color w:val="000000"/>
          <w:kern w:val="2"/>
          <w:sz w:val="32"/>
        </w:rPr>
        <w:t>图3：支出决算结构图</w:t>
      </w:r>
    </w:p>
    <w:p w14:paraId="2A20E7B9">
      <w:pPr>
        <w:overflowPunct w:val="0"/>
        <w:topLinePunct/>
        <w:autoSpaceDE w:val="0"/>
        <w:autoSpaceDN w:val="0"/>
        <w:spacing w:line="576" w:lineRule="exact"/>
        <w:ind w:firstLine="640" w:firstLineChars="200"/>
        <w:rPr>
          <w:rStyle w:val="31"/>
          <w:rFonts w:ascii="Times New Roman" w:hAnsi="Times New Roman" w:eastAsia="黑体"/>
          <w:b w:val="0"/>
        </w:rPr>
      </w:pPr>
      <w:r>
        <w:rPr>
          <w:rFonts w:hint="eastAsia" w:eastAsia="黑体"/>
          <w:sz w:val="32"/>
          <w:szCs w:val="32"/>
        </w:rPr>
        <w:t>四、财</w:t>
      </w:r>
      <w:r>
        <w:rPr>
          <w:rStyle w:val="31"/>
          <w:rFonts w:hint="eastAsia" w:ascii="Times New Roman" w:hAnsi="Times New Roman" w:eastAsia="黑体"/>
          <w:b w:val="0"/>
        </w:rPr>
        <w:t>政拨款收入支出决算总体情况说明</w:t>
      </w:r>
      <w:bookmarkEnd w:id="18"/>
      <w:bookmarkEnd w:id="19"/>
    </w:p>
    <w:p w14:paraId="07F24E45">
      <w:pPr>
        <w:overflowPunct w:val="0"/>
        <w:topLinePunct/>
        <w:spacing w:line="576" w:lineRule="exact"/>
        <w:ind w:firstLine="640" w:firstLineChars="200"/>
        <w:rPr>
          <w:rFonts w:ascii="仿宋_GB2312" w:hAnsi="仿宋_GB2312" w:eastAsia="仿宋_GB2312"/>
          <w:color w:val="000000"/>
          <w:sz w:val="32"/>
        </w:rPr>
      </w:pPr>
      <w:bookmarkStart w:id="20" w:name="_Toc15396607"/>
      <w:bookmarkStart w:id="21" w:name="_Toc15377209"/>
      <w:r>
        <w:rPr>
          <w:rFonts w:hint="eastAsia" w:ascii="仿宋_GB2312" w:hAnsi="仿宋_GB2312" w:eastAsia="仿宋_GB2312"/>
          <w:color w:val="000000"/>
          <w:sz w:val="32"/>
        </w:rPr>
        <w:t>2024年度财政拨款收、支总计均为1610.8万元。与2023年度相比，财政拨款收、支总计各增加59.95万元，增长3.7%。主要变动原因是预算收支项目增加。</w:t>
      </w:r>
    </w:p>
    <w:p w14:paraId="6CF183D5">
      <w:pPr>
        <w:pStyle w:val="6"/>
        <w:spacing w:before="93"/>
        <w:jc w:val="center"/>
      </w:pPr>
      <w:r>
        <w:drawing>
          <wp:inline distT="0" distB="0" distL="0" distR="0">
            <wp:extent cx="4822190" cy="2737485"/>
            <wp:effectExtent l="4442" t="4436" r="14594" b="14575"/>
            <wp:docPr id="16"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98170A">
      <w:pPr>
        <w:pStyle w:val="6"/>
        <w:spacing w:before="93"/>
        <w:jc w:val="center"/>
      </w:pPr>
      <w:r>
        <w:rPr>
          <w:rFonts w:hAnsi="仿宋_GB2312"/>
          <w:color w:val="000000"/>
          <w:kern w:val="2"/>
          <w:sz w:val="32"/>
        </w:rPr>
        <w:t>图4：财政拨款收、支决算总计变动情况</w:t>
      </w:r>
    </w:p>
    <w:p w14:paraId="7916B236">
      <w:pPr>
        <w:overflowPunct w:val="0"/>
        <w:topLinePunct/>
        <w:autoSpaceDE w:val="0"/>
        <w:autoSpaceDN w:val="0"/>
        <w:spacing w:line="576" w:lineRule="exact"/>
        <w:ind w:firstLine="640" w:firstLineChars="200"/>
        <w:rPr>
          <w:rStyle w:val="31"/>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0"/>
      <w:bookmarkEnd w:id="21"/>
    </w:p>
    <w:p w14:paraId="21FE699E">
      <w:pPr>
        <w:overflowPunct w:val="0"/>
        <w:topLinePunct/>
        <w:autoSpaceDE w:val="0"/>
        <w:autoSpaceDN w:val="0"/>
        <w:spacing w:line="576" w:lineRule="exact"/>
        <w:ind w:firstLine="643" w:firstLineChars="200"/>
        <w:rPr>
          <w:rFonts w:ascii="仿宋_GB2312" w:hAnsi="仿宋_GB2312" w:eastAsia="仿宋_GB2312" w:cs="仿宋_GB2312"/>
          <w:b/>
          <w:sz w:val="32"/>
          <w:szCs w:val="32"/>
        </w:rPr>
      </w:pPr>
      <w:bookmarkStart w:id="22" w:name="_Toc15377210"/>
      <w:r>
        <w:rPr>
          <w:rFonts w:hint="eastAsia" w:ascii="仿宋_GB2312" w:hAnsi="仿宋_GB2312" w:eastAsia="仿宋_GB2312" w:cs="仿宋_GB2312"/>
          <w:b/>
          <w:sz w:val="32"/>
          <w:szCs w:val="32"/>
        </w:rPr>
        <w:t>（一）一般公共预算财政拨款支出决算总体情况</w:t>
      </w:r>
      <w:bookmarkEnd w:id="22"/>
    </w:p>
    <w:p w14:paraId="363EA594">
      <w:pPr>
        <w:overflowPunct w:val="0"/>
        <w:topLinePunct/>
        <w:spacing w:line="576" w:lineRule="exact"/>
        <w:ind w:firstLine="640" w:firstLineChars="200"/>
        <w:rPr>
          <w:rFonts w:ascii="仿宋_GB2312" w:hAnsi="仿宋_GB2312" w:eastAsia="仿宋_GB2312"/>
          <w:color w:val="000000"/>
          <w:sz w:val="32"/>
        </w:rPr>
      </w:pPr>
      <w:bookmarkStart w:id="23" w:name="_Toc15377212"/>
      <w:r>
        <w:rPr>
          <w:rFonts w:hint="eastAsia" w:ascii="仿宋_GB2312" w:hAnsi="仿宋_GB2312" w:eastAsia="仿宋_GB2312"/>
          <w:color w:val="000000"/>
          <w:sz w:val="32"/>
        </w:rPr>
        <w:t>2024年度一般公共预算财政拨款支出1610.8万元，占本年支出合计的100%。与2023年度相比，一般公共预算财政拨款支出增加67.95万元，增长4.4%。主要变动原因是预算项目增加。</w:t>
      </w:r>
    </w:p>
    <w:p w14:paraId="7360F013">
      <w:pPr>
        <w:pStyle w:val="6"/>
        <w:spacing w:before="93"/>
        <w:jc w:val="center"/>
      </w:pPr>
      <w:r>
        <w:drawing>
          <wp:inline distT="0" distB="0" distL="0" distR="0">
            <wp:extent cx="4822190" cy="2737485"/>
            <wp:effectExtent l="4442" t="4436" r="14594" b="14575"/>
            <wp:docPr id="2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9EE3572">
      <w:pPr>
        <w:pStyle w:val="6"/>
        <w:spacing w:before="93"/>
        <w:jc w:val="center"/>
      </w:pPr>
      <w:r>
        <w:rPr>
          <w:rFonts w:hAnsi="仿宋_GB2312"/>
          <w:color w:val="000000"/>
          <w:kern w:val="2"/>
          <w:sz w:val="32"/>
        </w:rPr>
        <w:t>图5：一般公共预算财政拨款支出决算变动情况</w:t>
      </w:r>
    </w:p>
    <w:p w14:paraId="4AEDC2C0">
      <w:pPr>
        <w:overflowPunct w:val="0"/>
        <w:topLinePunct/>
        <w:spacing w:line="576" w:lineRule="exact"/>
        <w:ind w:firstLine="643" w:firstLineChars="200"/>
        <w:rPr>
          <w:rFonts w:ascii="仿宋_GB2312" w:hAnsi="仿宋_GB2312" w:eastAsia="仿宋_GB2312"/>
          <w:b/>
          <w:color w:val="000000"/>
          <w:sz w:val="32"/>
        </w:rPr>
      </w:pPr>
      <w:r>
        <w:rPr>
          <w:rFonts w:hint="eastAsia" w:ascii="仿宋_GB2312" w:hAnsi="仿宋_GB2312" w:eastAsia="仿宋_GB2312"/>
          <w:b/>
          <w:color w:val="000000"/>
          <w:sz w:val="32"/>
        </w:rPr>
        <w:t>（二）一般公共预算财政拨款支出决算结构情况</w:t>
      </w:r>
    </w:p>
    <w:p w14:paraId="6B5F5400">
      <w:pPr>
        <w:overflowPunct w:val="0"/>
        <w:topLinePunct/>
        <w:spacing w:line="576" w:lineRule="exact"/>
        <w:ind w:firstLine="640" w:firstLineChars="200"/>
        <w:rPr>
          <w:rFonts w:ascii="仿宋_GB2312" w:hAnsi="仿宋_GB2312" w:eastAsia="仿宋_GB2312"/>
          <w:color w:val="000000"/>
          <w:sz w:val="32"/>
        </w:rPr>
      </w:pPr>
      <w:r>
        <w:rPr>
          <w:rFonts w:hint="eastAsia" w:ascii="仿宋_GB2312" w:hAnsi="仿宋_GB2312" w:eastAsia="仿宋_GB2312"/>
          <w:color w:val="000000"/>
          <w:sz w:val="32"/>
        </w:rPr>
        <w:t>2024年度一般公共预算财政拨款支出1610.8万元，主要用于以下方面: 一般公共服务支出722.83万元，占44.9%；文化体育与传媒支出7.5万元，占0.5%；社会保障和就业支出140.05万元，占8.7%；卫生健康支出30.43万元，占1.9%；城乡社区支出69.9万元，占4.3%；农林水支出526.97万元，占32.7%；住房保障支出76.12万元，占4.7%；灾害防治及应急管理支出37万元，占2.3%。</w:t>
      </w:r>
    </w:p>
    <w:p w14:paraId="58276BBD">
      <w:pPr>
        <w:pStyle w:val="6"/>
        <w:spacing w:before="93"/>
      </w:pPr>
      <w:r>
        <w:drawing>
          <wp:inline distT="0" distB="0" distL="0" distR="0">
            <wp:extent cx="5615305" cy="3503930"/>
            <wp:effectExtent l="4444" t="4437" r="14603" b="14579"/>
            <wp:docPr id="2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B3FB25E">
      <w:pPr>
        <w:pStyle w:val="6"/>
        <w:spacing w:before="93"/>
        <w:jc w:val="center"/>
      </w:pPr>
      <w:r>
        <w:rPr>
          <w:rFonts w:hAnsi="仿宋_GB2312"/>
          <w:color w:val="000000"/>
          <w:kern w:val="2"/>
          <w:sz w:val="32"/>
        </w:rPr>
        <w:t>图6：一般公共预算财政拨款支出决算结构</w:t>
      </w:r>
    </w:p>
    <w:p w14:paraId="31B1BBEF">
      <w:pPr>
        <w:overflowPunct w:val="0"/>
        <w:topLinePunct/>
        <w:autoSpaceDE w:val="0"/>
        <w:autoSpaceDN w:val="0"/>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（三）一般公共预算财政拨款支出决算具体情况</w:t>
      </w:r>
      <w:bookmarkEnd w:id="23"/>
    </w:p>
    <w:p w14:paraId="14C0C175">
      <w:pPr>
        <w:overflowPunct w:val="0"/>
        <w:topLinePunct/>
        <w:spacing w:line="576" w:lineRule="exact"/>
        <w:ind w:firstLine="640" w:firstLineChars="200"/>
        <w:rPr>
          <w:rFonts w:ascii="仿宋_GB2312" w:hAnsi="仿宋_GB2312" w:eastAsia="仿宋_GB2312" w:cs="仿宋_GB2312"/>
          <w:color w:val="000000"/>
          <w:sz w:val="32"/>
          <w:szCs w:val="32"/>
        </w:rPr>
      </w:pPr>
      <w:bookmarkStart w:id="24" w:name="_Toc15377214"/>
      <w:bookmarkStart w:id="25" w:name="_Toc15396608"/>
      <w:r>
        <w:rPr>
          <w:rFonts w:hint="eastAsia" w:ascii="仿宋_GB2312" w:hAnsi="仿宋_GB2312" w:eastAsia="仿宋_GB2312" w:cs="仿宋_GB2312"/>
          <w:color w:val="000000"/>
          <w:sz w:val="32"/>
          <w:szCs w:val="32"/>
        </w:rPr>
        <w:t>2024年度一般公共预算支出全年预算数为1610.8万元，支出决算数为1610.8万元，完成全年预算数的100%。其中：</w:t>
      </w:r>
    </w:p>
    <w:p w14:paraId="08551357">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1.一般公共服务支出（类）</w:t>
      </w:r>
      <w:r>
        <w:rPr>
          <w:rStyle w:val="18"/>
          <w:rFonts w:hint="eastAsia" w:ascii="仿宋_GB2312" w:hAnsi="仿宋_GB2312" w:eastAsia="仿宋_GB2312" w:cs="仿宋_GB2312"/>
          <w:sz w:val="32"/>
          <w:szCs w:val="32"/>
        </w:rPr>
        <w:t>人大事务</w:t>
      </w:r>
      <w:r>
        <w:rPr>
          <w:rFonts w:hint="eastAsia" w:ascii="仿宋_GB2312" w:hAnsi="仿宋_GB2312" w:eastAsia="仿宋_GB2312" w:cs="仿宋_GB2312"/>
          <w:b/>
          <w:color w:val="000000"/>
          <w:sz w:val="32"/>
          <w:szCs w:val="32"/>
        </w:rPr>
        <w:t>（款）代表工作（项）:</w:t>
      </w:r>
      <w:r>
        <w:rPr>
          <w:rFonts w:hint="eastAsia" w:ascii="仿宋_GB2312" w:hAnsi="仿宋_GB2312" w:eastAsia="仿宋_GB2312" w:cs="仿宋_GB2312"/>
          <w:color w:val="000000"/>
          <w:sz w:val="32"/>
          <w:szCs w:val="32"/>
        </w:rPr>
        <w:t>全年预算为3.5万元，支出决算为3.5万元，完成全年预算的100%。决算数等于全年预算数。</w:t>
      </w:r>
    </w:p>
    <w:p w14:paraId="35A41A25">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2.一般公共服务支出（类）</w:t>
      </w:r>
      <w:r>
        <w:rPr>
          <w:rStyle w:val="18"/>
          <w:rFonts w:hint="eastAsia" w:ascii="仿宋_GB2312" w:hAnsi="仿宋_GB2312" w:eastAsia="仿宋_GB2312" w:cs="仿宋_GB2312"/>
          <w:sz w:val="32"/>
          <w:szCs w:val="32"/>
        </w:rPr>
        <w:t>政府办公厅（室）及相关机构事务</w:t>
      </w:r>
      <w:r>
        <w:rPr>
          <w:rFonts w:hint="eastAsia" w:ascii="仿宋_GB2312" w:hAnsi="仿宋_GB2312" w:eastAsia="仿宋_GB2312" w:cs="仿宋_GB2312"/>
          <w:b/>
          <w:color w:val="000000"/>
          <w:sz w:val="32"/>
          <w:szCs w:val="32"/>
        </w:rPr>
        <w:t>（款）</w:t>
      </w:r>
      <w:r>
        <w:rPr>
          <w:rStyle w:val="18"/>
          <w:rFonts w:hint="eastAsia" w:ascii="仿宋_GB2312" w:hAnsi="仿宋_GB2312" w:eastAsia="仿宋_GB2312" w:cs="仿宋_GB2312"/>
          <w:sz w:val="32"/>
          <w:szCs w:val="32"/>
        </w:rPr>
        <w:t>行政运行</w:t>
      </w:r>
      <w:r>
        <w:rPr>
          <w:rFonts w:hint="eastAsia" w:ascii="仿宋_GB2312" w:hAnsi="仿宋_GB2312" w:eastAsia="仿宋_GB2312" w:cs="仿宋_GB2312"/>
          <w:b/>
          <w:color w:val="000000"/>
          <w:sz w:val="32"/>
          <w:szCs w:val="32"/>
        </w:rPr>
        <w:t>（项）:</w:t>
      </w:r>
      <w:r>
        <w:rPr>
          <w:rFonts w:hint="eastAsia" w:ascii="仿宋_GB2312" w:hAnsi="仿宋_GB2312" w:eastAsia="仿宋_GB2312" w:cs="仿宋_GB2312"/>
          <w:color w:val="000000"/>
          <w:sz w:val="32"/>
          <w:szCs w:val="32"/>
        </w:rPr>
        <w:t>全年预算为613.74万元，支出决算为613.74万元，完成全年预算的100%。决算数等于全年预算数。</w:t>
      </w:r>
    </w:p>
    <w:p w14:paraId="1A5CDB11">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3.一般公共服务支出（类）</w:t>
      </w:r>
      <w:r>
        <w:rPr>
          <w:rStyle w:val="18"/>
          <w:rFonts w:hint="eastAsia" w:ascii="仿宋_GB2312" w:hAnsi="仿宋_GB2312" w:eastAsia="仿宋_GB2312" w:cs="仿宋_GB2312"/>
          <w:sz w:val="32"/>
          <w:szCs w:val="32"/>
        </w:rPr>
        <w:t>政府办公厅（室）及相关机构事务</w:t>
      </w:r>
      <w:r>
        <w:rPr>
          <w:rFonts w:hint="eastAsia" w:ascii="仿宋_GB2312" w:hAnsi="仿宋_GB2312" w:eastAsia="仿宋_GB2312" w:cs="仿宋_GB2312"/>
          <w:b/>
          <w:color w:val="000000"/>
          <w:sz w:val="32"/>
          <w:szCs w:val="32"/>
        </w:rPr>
        <w:t>（款）一般行政管理事务（项）:</w:t>
      </w:r>
      <w:r>
        <w:rPr>
          <w:rFonts w:hint="eastAsia" w:ascii="仿宋_GB2312" w:hAnsi="仿宋_GB2312" w:eastAsia="仿宋_GB2312" w:cs="仿宋_GB2312"/>
          <w:color w:val="000000"/>
          <w:sz w:val="32"/>
          <w:szCs w:val="32"/>
        </w:rPr>
        <w:t>全年预算为29.8万元，支出决算为29.8万元，完成全年预算的100%。决算数等于全年预算数。</w:t>
      </w:r>
    </w:p>
    <w:p w14:paraId="34521B81">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4.一般公共服务支出（类）</w:t>
      </w:r>
      <w:r>
        <w:rPr>
          <w:rStyle w:val="18"/>
          <w:rFonts w:hint="eastAsia" w:ascii="仿宋_GB2312" w:hAnsi="仿宋_GB2312" w:eastAsia="仿宋_GB2312" w:cs="仿宋_GB2312"/>
          <w:sz w:val="32"/>
          <w:szCs w:val="32"/>
        </w:rPr>
        <w:t>政府办公厅（室）及相关机构事务</w:t>
      </w:r>
      <w:r>
        <w:rPr>
          <w:rFonts w:hint="eastAsia" w:ascii="仿宋_GB2312" w:hAnsi="仿宋_GB2312" w:eastAsia="仿宋_GB2312" w:cs="仿宋_GB2312"/>
          <w:b/>
          <w:color w:val="000000"/>
          <w:sz w:val="32"/>
          <w:szCs w:val="32"/>
        </w:rPr>
        <w:t>（款）事业运行（项）:</w:t>
      </w:r>
      <w:r>
        <w:rPr>
          <w:rFonts w:hint="eastAsia" w:ascii="仿宋_GB2312" w:hAnsi="仿宋_GB2312" w:eastAsia="仿宋_GB2312" w:cs="仿宋_GB2312"/>
          <w:color w:val="000000"/>
          <w:sz w:val="32"/>
          <w:szCs w:val="32"/>
        </w:rPr>
        <w:t>全年预算为75.79万元，支出决算为75.79万元，完成全年预算的100%。决算数等于全年预算数。</w:t>
      </w:r>
    </w:p>
    <w:p w14:paraId="5814CA95">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5.文化旅游体育与传媒支出（类）文化和旅游（款）行政运行（项）:</w:t>
      </w:r>
      <w:r>
        <w:rPr>
          <w:rFonts w:hint="eastAsia" w:ascii="仿宋_GB2312" w:hAnsi="仿宋_GB2312" w:eastAsia="仿宋_GB2312" w:cs="仿宋_GB2312"/>
          <w:color w:val="000000"/>
          <w:sz w:val="32"/>
          <w:szCs w:val="32"/>
        </w:rPr>
        <w:t>全年预算为7.5万元，支出决算为7.5万元，完成全年预算的100%。决算数等于全年预算数。</w:t>
      </w:r>
    </w:p>
    <w:p w14:paraId="39855407">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6.社会保障和就业支出（类）行政事业单位养老支出（款）事业单位离退休（项）:</w:t>
      </w:r>
      <w:r>
        <w:rPr>
          <w:rFonts w:hint="eastAsia" w:ascii="仿宋_GB2312" w:hAnsi="仿宋_GB2312" w:eastAsia="仿宋_GB2312" w:cs="仿宋_GB2312"/>
          <w:color w:val="000000"/>
          <w:sz w:val="32"/>
          <w:szCs w:val="32"/>
        </w:rPr>
        <w:t>全年预算为42万元，支出决算为42万元，完成全年预算的100%。决算数等于全年预算数。</w:t>
      </w:r>
    </w:p>
    <w:p w14:paraId="25B931B8">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7.社会保障和就业支出（类）行政事业单位养老支出（款）机关事业单位基本养老保险缴费支出（项）：</w:t>
      </w:r>
      <w:r>
        <w:rPr>
          <w:rFonts w:hint="eastAsia" w:ascii="仿宋_GB2312" w:hAnsi="仿宋_GB2312" w:eastAsia="仿宋_GB2312" w:cs="仿宋_GB2312"/>
          <w:color w:val="000000"/>
          <w:sz w:val="32"/>
          <w:szCs w:val="32"/>
        </w:rPr>
        <w:t>全年预算为:84.7万元，支出决算为84.7万元，完成全年预算的100%。决算数等于全年预算数。</w:t>
      </w:r>
    </w:p>
    <w:p w14:paraId="67009EC1">
      <w:pPr>
        <w:pStyle w:val="6"/>
        <w:spacing w:before="93" w:line="576" w:lineRule="exact"/>
        <w:ind w:firstLine="643" w:firstLineChars="200"/>
        <w:rPr>
          <w:rFonts w:hAnsi="仿宋_GB2312" w:cs="仿宋_GB2312"/>
          <w:b/>
          <w:color w:val="000000"/>
          <w:kern w:val="2"/>
          <w:sz w:val="32"/>
          <w:szCs w:val="32"/>
        </w:rPr>
      </w:pPr>
      <w:r>
        <w:rPr>
          <w:rFonts w:hint="eastAsia" w:hAnsi="仿宋_GB2312" w:cs="仿宋_GB2312"/>
          <w:b/>
          <w:color w:val="000000"/>
          <w:kern w:val="2"/>
          <w:sz w:val="32"/>
          <w:szCs w:val="32"/>
        </w:rPr>
        <w:t>8.社会保障和就业支出（类）行政事业单位养老支出（款）</w:t>
      </w:r>
    </w:p>
    <w:p w14:paraId="38E01E44">
      <w:pPr>
        <w:pStyle w:val="6"/>
        <w:spacing w:before="93" w:line="576" w:lineRule="exact"/>
        <w:ind w:firstLine="643" w:firstLineChars="200"/>
        <w:rPr>
          <w:rFonts w:hAnsi="仿宋_GB2312" w:cs="仿宋_GB2312"/>
          <w:sz w:val="32"/>
          <w:szCs w:val="32"/>
        </w:rPr>
      </w:pPr>
      <w:r>
        <w:rPr>
          <w:rFonts w:hint="eastAsia" w:hAnsi="仿宋_GB2312" w:cs="仿宋_GB2312"/>
          <w:b/>
          <w:color w:val="000000"/>
          <w:kern w:val="2"/>
          <w:sz w:val="32"/>
          <w:szCs w:val="32"/>
        </w:rPr>
        <w:t>机关事业单位职业年金缴费支出（项）：</w:t>
      </w:r>
      <w:r>
        <w:rPr>
          <w:rFonts w:hint="eastAsia" w:hAnsi="仿宋_GB2312" w:cs="仿宋_GB2312"/>
          <w:color w:val="000000"/>
          <w:kern w:val="2"/>
          <w:sz w:val="32"/>
          <w:szCs w:val="32"/>
        </w:rPr>
        <w:t>全年预算为:11.32万元，支出决算为11.32万元，完成全年预算的100%。决算数等于全年预算数。</w:t>
      </w:r>
    </w:p>
    <w:p w14:paraId="6249F1BC">
      <w:pPr>
        <w:pStyle w:val="6"/>
        <w:spacing w:before="93" w:line="576" w:lineRule="exact"/>
        <w:ind w:firstLine="643" w:firstLineChars="200"/>
        <w:rPr>
          <w:rFonts w:hAnsi="仿宋_GB2312" w:cs="仿宋_GB2312"/>
          <w:sz w:val="32"/>
          <w:szCs w:val="32"/>
        </w:rPr>
      </w:pPr>
      <w:r>
        <w:rPr>
          <w:rFonts w:hint="eastAsia" w:hAnsi="仿宋_GB2312" w:cs="仿宋_GB2312"/>
          <w:b/>
          <w:color w:val="000000"/>
          <w:kern w:val="2"/>
          <w:sz w:val="32"/>
          <w:szCs w:val="32"/>
        </w:rPr>
        <w:t>9.社会保障和就业支出（类）其他社会保障和就业支出（款）其他社会保障和就业支出（项）：</w:t>
      </w:r>
      <w:r>
        <w:rPr>
          <w:rFonts w:hint="eastAsia" w:hAnsi="仿宋_GB2312" w:cs="仿宋_GB2312"/>
          <w:color w:val="000000"/>
          <w:kern w:val="2"/>
          <w:sz w:val="32"/>
          <w:szCs w:val="32"/>
        </w:rPr>
        <w:t>全年预算为:2.03万元，支出决算为2.03万元，完成全年预算的100%。决算数等于全年预算数。</w:t>
      </w:r>
    </w:p>
    <w:p w14:paraId="6041624F">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10.卫生健康支出（类）行政事业单位医疗（款）行政单位医疗（项）:</w:t>
      </w:r>
      <w:r>
        <w:rPr>
          <w:rFonts w:hint="eastAsia" w:ascii="仿宋_GB2312" w:hAnsi="仿宋_GB2312" w:eastAsia="仿宋_GB2312" w:cs="仿宋_GB2312"/>
          <w:color w:val="000000"/>
          <w:sz w:val="32"/>
          <w:szCs w:val="32"/>
        </w:rPr>
        <w:t>全年预算为14.63万元，支出决算为14.63万元，完成全年预算的100%。决算数等于全年预算数。</w:t>
      </w:r>
    </w:p>
    <w:p w14:paraId="39ADDC8D">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11.卫生健康支出（类）行政事业单位医疗（款）事业单位医疗（项）:</w:t>
      </w:r>
      <w:r>
        <w:rPr>
          <w:rFonts w:hint="eastAsia" w:ascii="仿宋_GB2312" w:hAnsi="仿宋_GB2312" w:eastAsia="仿宋_GB2312" w:cs="仿宋_GB2312"/>
          <w:color w:val="000000"/>
          <w:sz w:val="32"/>
          <w:szCs w:val="32"/>
        </w:rPr>
        <w:t>全年预算为15.8万元，支出决算为15.8万元，完成全年预算的100%。决算数等于全年预算数。</w:t>
      </w:r>
    </w:p>
    <w:p w14:paraId="5D3FE7DD">
      <w:pPr>
        <w:pStyle w:val="6"/>
        <w:spacing w:before="93" w:line="576" w:lineRule="exact"/>
        <w:ind w:firstLine="643" w:firstLineChars="200"/>
        <w:rPr>
          <w:rFonts w:hAnsi="仿宋_GB2312" w:cs="仿宋_GB2312"/>
          <w:color w:val="000000"/>
          <w:kern w:val="2"/>
          <w:sz w:val="32"/>
          <w:szCs w:val="32"/>
        </w:rPr>
      </w:pPr>
      <w:r>
        <w:rPr>
          <w:rFonts w:hint="eastAsia" w:hAnsi="仿宋_GB2312" w:cs="仿宋_GB2312"/>
          <w:b/>
          <w:color w:val="000000"/>
          <w:kern w:val="2"/>
          <w:sz w:val="32"/>
          <w:szCs w:val="32"/>
        </w:rPr>
        <w:t>12.城乡社区支出（类）城乡社区环境卫生（款）城乡社区环境卫生（项）:</w:t>
      </w:r>
      <w:r>
        <w:rPr>
          <w:rFonts w:hint="eastAsia" w:hAnsi="仿宋_GB2312" w:cs="仿宋_GB2312"/>
          <w:sz w:val="32"/>
          <w:szCs w:val="32"/>
        </w:rPr>
        <w:t xml:space="preserve"> </w:t>
      </w:r>
      <w:r>
        <w:rPr>
          <w:rFonts w:hint="eastAsia" w:hAnsi="仿宋_GB2312" w:cs="仿宋_GB2312"/>
          <w:color w:val="000000"/>
          <w:kern w:val="2"/>
          <w:sz w:val="32"/>
          <w:szCs w:val="32"/>
        </w:rPr>
        <w:t>全年预算为6万元，支出决算为6万元，完成全年预算的100%。决算数等于全年预算数。</w:t>
      </w:r>
    </w:p>
    <w:p w14:paraId="11480BA6">
      <w:pPr>
        <w:pStyle w:val="6"/>
        <w:spacing w:before="93" w:line="576" w:lineRule="exact"/>
        <w:ind w:firstLine="643" w:firstLineChars="200"/>
        <w:rPr>
          <w:rFonts w:hAnsi="仿宋_GB2312" w:cs="仿宋_GB2312"/>
          <w:color w:val="000000"/>
          <w:kern w:val="2"/>
          <w:sz w:val="32"/>
          <w:szCs w:val="32"/>
        </w:rPr>
      </w:pPr>
      <w:r>
        <w:rPr>
          <w:rFonts w:hint="eastAsia" w:hAnsi="仿宋_GB2312" w:cs="仿宋_GB2312"/>
          <w:b/>
          <w:color w:val="000000"/>
          <w:kern w:val="2"/>
          <w:sz w:val="32"/>
          <w:szCs w:val="32"/>
        </w:rPr>
        <w:t>13.城乡社区支出（类）其他城乡社区支出（款）其他城乡社区支出（项）:</w:t>
      </w:r>
      <w:r>
        <w:rPr>
          <w:rFonts w:hint="eastAsia" w:hAnsi="仿宋_GB2312" w:cs="仿宋_GB2312"/>
          <w:sz w:val="32"/>
          <w:szCs w:val="32"/>
        </w:rPr>
        <w:t xml:space="preserve"> </w:t>
      </w:r>
      <w:r>
        <w:rPr>
          <w:rFonts w:hint="eastAsia" w:hAnsi="仿宋_GB2312" w:cs="仿宋_GB2312"/>
          <w:color w:val="000000"/>
          <w:kern w:val="2"/>
          <w:sz w:val="32"/>
          <w:szCs w:val="32"/>
        </w:rPr>
        <w:t>全年预算为63.9万元，支出决算为63.9万元，完成全年预算的100%。决算数等于全年预算数。</w:t>
      </w:r>
    </w:p>
    <w:p w14:paraId="6C05BD71">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14.农林水支出（类）农业农村（款）行政运行（项）:</w:t>
      </w:r>
      <w:r>
        <w:rPr>
          <w:rFonts w:hint="eastAsia" w:ascii="仿宋_GB2312" w:hAnsi="仿宋_GB2312" w:eastAsia="仿宋_GB2312" w:cs="仿宋_GB2312"/>
          <w:color w:val="000000"/>
          <w:sz w:val="32"/>
          <w:szCs w:val="32"/>
        </w:rPr>
        <w:t xml:space="preserve"> 全年预算为131.64万元，支出决算为131.64万元，完成全年预算的100%。决算数等于全年预算数。</w:t>
      </w:r>
    </w:p>
    <w:p w14:paraId="2A7F3FC2">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15.农林水支出（类）农业农村（款）农业生产发展（项）:</w:t>
      </w:r>
      <w:r>
        <w:rPr>
          <w:rFonts w:hint="eastAsia" w:ascii="仿宋_GB2312" w:hAnsi="仿宋_GB2312" w:eastAsia="仿宋_GB2312" w:cs="仿宋_GB2312"/>
          <w:color w:val="000000"/>
          <w:sz w:val="32"/>
          <w:szCs w:val="32"/>
        </w:rPr>
        <w:t xml:space="preserve"> 全年预算为6万元，支出决算为6万元，完成全年预算的100%。决算数等于全年预算数。</w:t>
      </w:r>
    </w:p>
    <w:p w14:paraId="33559E44">
      <w:pPr>
        <w:pStyle w:val="6"/>
        <w:spacing w:before="93" w:line="576" w:lineRule="exact"/>
        <w:ind w:firstLine="643" w:firstLineChars="200"/>
        <w:rPr>
          <w:rFonts w:hAnsi="仿宋_GB2312" w:cs="仿宋_GB2312"/>
          <w:color w:val="000000"/>
          <w:kern w:val="2"/>
          <w:sz w:val="32"/>
          <w:szCs w:val="32"/>
        </w:rPr>
      </w:pPr>
      <w:r>
        <w:rPr>
          <w:rFonts w:hint="eastAsia" w:hAnsi="仿宋_GB2312" w:cs="仿宋_GB2312"/>
          <w:b/>
          <w:color w:val="000000"/>
          <w:kern w:val="2"/>
          <w:sz w:val="32"/>
          <w:szCs w:val="32"/>
        </w:rPr>
        <w:t>16.农林水支出（类）农村综合改革（款）对村民委员会和村党支部的补助（项）:</w:t>
      </w:r>
      <w:r>
        <w:rPr>
          <w:rFonts w:hint="eastAsia" w:hAnsi="仿宋_GB2312" w:cs="仿宋_GB2312"/>
          <w:color w:val="000000"/>
          <w:kern w:val="2"/>
          <w:sz w:val="32"/>
          <w:szCs w:val="32"/>
        </w:rPr>
        <w:t xml:space="preserve"> 全年预算为389.33万元，支出决算为389.33万元，完成全年预算的100%。决算数等于全年预算数。</w:t>
      </w:r>
    </w:p>
    <w:p w14:paraId="0195483A">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17.住房保障支出（类）保障性安居工程支出（款）其他保障性安居工程支出（项）: </w:t>
      </w:r>
      <w:r>
        <w:rPr>
          <w:rFonts w:hint="eastAsia" w:ascii="仿宋_GB2312" w:hAnsi="仿宋_GB2312" w:eastAsia="仿宋_GB2312" w:cs="仿宋_GB2312"/>
          <w:color w:val="000000"/>
          <w:sz w:val="32"/>
          <w:szCs w:val="32"/>
        </w:rPr>
        <w:t>全年预算为12.6万元，支出决算为12.6万元，完成全年预算的100%。决算数等于全年预算数。</w:t>
      </w:r>
    </w:p>
    <w:p w14:paraId="1B058137">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18.住房保障支出（类）住房改革支出（款）住房公积金（项）: </w:t>
      </w:r>
      <w:r>
        <w:rPr>
          <w:rFonts w:hint="eastAsia" w:ascii="仿宋_GB2312" w:hAnsi="仿宋_GB2312" w:eastAsia="仿宋_GB2312" w:cs="仿宋_GB2312"/>
          <w:color w:val="000000"/>
          <w:sz w:val="32"/>
          <w:szCs w:val="32"/>
        </w:rPr>
        <w:t>全年预算为63.52万元，支出决算为63.52万元，完成全年预算的100%。决算数等于全年预算数。</w:t>
      </w:r>
    </w:p>
    <w:p w14:paraId="6DD0316B">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19.灾害防治及应急管理支出（类）应急管理事务（款）其他应急管理事务（项）: </w:t>
      </w:r>
      <w:r>
        <w:rPr>
          <w:rFonts w:hint="eastAsia" w:ascii="仿宋_GB2312" w:hAnsi="仿宋_GB2312" w:eastAsia="仿宋_GB2312" w:cs="仿宋_GB2312"/>
          <w:color w:val="000000"/>
          <w:sz w:val="32"/>
          <w:szCs w:val="32"/>
        </w:rPr>
        <w:t>全年预算为7万元，支出决算为7万元，完成全年预算的100%。决算数等于全年预算数。</w:t>
      </w:r>
    </w:p>
    <w:p w14:paraId="7EF9C7E6">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20.灾害防治及应急管理支出（类）自然灾害救灾及恢复重建支出（款）自然灾害灾后重建补助（项）: </w:t>
      </w:r>
      <w:r>
        <w:rPr>
          <w:rFonts w:hint="eastAsia" w:ascii="仿宋_GB2312" w:hAnsi="仿宋_GB2312" w:eastAsia="仿宋_GB2312" w:cs="仿宋_GB2312"/>
          <w:color w:val="000000"/>
          <w:sz w:val="32"/>
          <w:szCs w:val="32"/>
        </w:rPr>
        <w:t>全年预算为30万元，支出决算为30万元，完成全年预算的100%。决算数等于全年预算数。</w:t>
      </w:r>
    </w:p>
    <w:p w14:paraId="26B5EA89">
      <w:pPr>
        <w:tabs>
          <w:tab w:val="right" w:pos="8306"/>
        </w:tabs>
        <w:overflowPunct w:val="0"/>
        <w:topLinePunct/>
        <w:autoSpaceDE w:val="0"/>
        <w:autoSpaceDN w:val="0"/>
        <w:spacing w:line="576" w:lineRule="exact"/>
        <w:ind w:firstLine="640" w:firstLineChars="200"/>
        <w:rPr>
          <w:rStyle w:val="31"/>
          <w:rFonts w:ascii="黑体" w:hAnsi="黑体" w:eastAsia="黑体" w:cs="黑体"/>
        </w:rPr>
      </w:pPr>
      <w:r>
        <w:rPr>
          <w:rFonts w:hint="eastAsia" w:ascii="黑体" w:hAnsi="黑体" w:eastAsia="黑体" w:cs="黑体"/>
          <w:sz w:val="32"/>
          <w:szCs w:val="32"/>
        </w:rPr>
        <w:t>六、一</w:t>
      </w:r>
      <w:r>
        <w:rPr>
          <w:rStyle w:val="31"/>
          <w:rFonts w:hint="eastAsia" w:ascii="黑体" w:hAnsi="黑体" w:eastAsia="黑体" w:cs="黑体"/>
        </w:rPr>
        <w:t>般公共预算财政拨款基本支出决算情况说明</w:t>
      </w:r>
      <w:bookmarkEnd w:id="24"/>
      <w:bookmarkEnd w:id="25"/>
      <w:r>
        <w:rPr>
          <w:rStyle w:val="31"/>
          <w:rFonts w:hint="eastAsia" w:ascii="黑体" w:hAnsi="黑体" w:eastAsia="黑体" w:cs="黑体"/>
        </w:rPr>
        <w:tab/>
      </w:r>
    </w:p>
    <w:p w14:paraId="1D0473C6">
      <w:pPr>
        <w:overflowPunct w:val="0"/>
        <w:topLinePunct/>
        <w:spacing w:line="576" w:lineRule="exact"/>
        <w:ind w:firstLine="640" w:firstLineChars="200"/>
        <w:rPr>
          <w:rFonts w:ascii="仿宋_GB2312" w:hAnsi="仿宋_GB2312" w:eastAsia="仿宋_GB2312" w:cs="仿宋_GB2312"/>
          <w:color w:val="000000"/>
          <w:sz w:val="32"/>
          <w:szCs w:val="32"/>
        </w:rPr>
      </w:pPr>
      <w:bookmarkStart w:id="26" w:name="_Toc15377215"/>
      <w:bookmarkStart w:id="27" w:name="_Toc15396609"/>
      <w:r>
        <w:rPr>
          <w:rFonts w:hint="eastAsia" w:ascii="仿宋_GB2312" w:hAnsi="仿宋_GB2312" w:eastAsia="仿宋_GB2312" w:cs="仿宋_GB2312"/>
          <w:color w:val="000000"/>
          <w:sz w:val="32"/>
          <w:szCs w:val="32"/>
        </w:rPr>
        <w:t>2024年度一般公共预算财政拨款基本支出1076.36万元，其中：</w:t>
      </w:r>
    </w:p>
    <w:p w14:paraId="64D54879">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人员经费</w:t>
      </w:r>
      <w:r>
        <w:rPr>
          <w:rFonts w:hint="eastAsia" w:ascii="仿宋_GB2312" w:hAnsi="仿宋_GB2312" w:eastAsia="仿宋_GB2312" w:cs="仿宋_GB2312"/>
          <w:color w:val="000000"/>
          <w:sz w:val="32"/>
          <w:szCs w:val="32"/>
        </w:rPr>
        <w:t>958.17万元，主要包括：基本工资329.25万元、津贴补贴97.6万元、奖金212.6万元、绩效工资29.78万元、机关事业单位基本养老保险缴费84.7万元、职业年金缴费11.32万元、职工基本医疗保险缴费30.43万元、其他社会保障缴费2.03万元、住房公积金63.52万元、其他工资福利支出42.92万元、生活补助53.83万元、其他对个人和家庭的补助支出0.19万元。</w:t>
      </w:r>
    </w:p>
    <w:p w14:paraId="68B5B29C">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公用经费</w:t>
      </w:r>
      <w:r>
        <w:rPr>
          <w:rFonts w:hint="eastAsia" w:ascii="仿宋_GB2312" w:hAnsi="仿宋_GB2312" w:eastAsia="仿宋_GB2312" w:cs="仿宋_GB2312"/>
          <w:color w:val="000000"/>
          <w:sz w:val="32"/>
          <w:szCs w:val="32"/>
        </w:rPr>
        <w:t>118.18万元，主要包括：办公费15.36万元、印刷费1万元、咨询费0.3万元、水费3万元、电费7万元、邮电费10.5万元、差旅费32万元、维修（护）费2万元、租赁费0.36万元、会议费1万元、培训费2万元、公务接待费9万元、工会经费16万元、其他交通费18.66万元。</w:t>
      </w:r>
    </w:p>
    <w:p w14:paraId="2BAD448D">
      <w:pPr>
        <w:overflowPunct w:val="0"/>
        <w:topLinePunct/>
        <w:autoSpaceDE w:val="0"/>
        <w:autoSpaceDN w:val="0"/>
        <w:spacing w:line="576" w:lineRule="exact"/>
        <w:ind w:firstLine="643" w:firstLineChars="200"/>
        <w:rPr>
          <w:rStyle w:val="31"/>
          <w:rFonts w:ascii="Times New Roman" w:hAnsi="Times New Roman" w:eastAsia="黑体"/>
          <w:b w:val="0"/>
        </w:rPr>
      </w:pPr>
      <w:r>
        <w:rPr>
          <w:rFonts w:hint="eastAsia" w:eastAsia="黑体"/>
          <w:b/>
          <w:sz w:val="32"/>
          <w:szCs w:val="32"/>
        </w:rPr>
        <w:t>七、</w:t>
      </w:r>
      <w:r>
        <w:rPr>
          <w:rStyle w:val="31"/>
          <w:rFonts w:hint="eastAsia" w:ascii="Times New Roman" w:hAnsi="Times New Roman" w:eastAsia="黑体"/>
          <w:b w:val="0"/>
        </w:rPr>
        <w:t>财政拨款“三公”经费支出决算情况说明</w:t>
      </w:r>
      <w:bookmarkEnd w:id="26"/>
      <w:bookmarkEnd w:id="27"/>
    </w:p>
    <w:p w14:paraId="00167D70">
      <w:pPr>
        <w:overflowPunct w:val="0"/>
        <w:topLinePunct/>
        <w:autoSpaceDE w:val="0"/>
        <w:autoSpaceDN w:val="0"/>
        <w:spacing w:line="576" w:lineRule="exact"/>
        <w:ind w:firstLine="643" w:firstLineChars="200"/>
        <w:rPr>
          <w:rFonts w:ascii="仿宋_GB2312" w:hAnsi="仿宋_GB2312" w:eastAsia="仿宋_GB2312" w:cs="仿宋_GB2312"/>
          <w:b/>
          <w:sz w:val="32"/>
          <w:szCs w:val="32"/>
        </w:rPr>
      </w:pPr>
      <w:bookmarkStart w:id="28" w:name="_Toc15377216"/>
      <w:r>
        <w:rPr>
          <w:rFonts w:hint="eastAsia" w:ascii="仿宋_GB2312" w:hAnsi="仿宋_GB2312" w:eastAsia="仿宋_GB2312" w:cs="仿宋_GB2312"/>
          <w:b/>
          <w:sz w:val="32"/>
          <w:szCs w:val="32"/>
        </w:rPr>
        <w:t>（一）“三公”经费财政拨款支出决算总体情况说明</w:t>
      </w:r>
      <w:bookmarkEnd w:id="28"/>
    </w:p>
    <w:p w14:paraId="13E38F72">
      <w:pPr>
        <w:overflowPunct w:val="0"/>
        <w:topLinePunct/>
        <w:autoSpaceDE w:val="0"/>
        <w:autoSpaceDN w:val="0"/>
        <w:spacing w:line="576" w:lineRule="exact"/>
        <w:ind w:firstLine="640" w:firstLineChars="200"/>
        <w:rPr>
          <w:rFonts w:ascii="仿宋_GB2312" w:hAnsi="仿宋_GB2312" w:eastAsia="仿宋_GB2312" w:cs="仿宋_GB2312"/>
          <w:b/>
          <w:bCs/>
          <w:sz w:val="32"/>
          <w:szCs w:val="32"/>
          <w:highlight w:val="yellow"/>
        </w:rPr>
      </w:pPr>
      <w:r>
        <w:rPr>
          <w:rFonts w:hint="eastAsia" w:ascii="仿宋_GB2312" w:hAnsi="仿宋_GB2312" w:eastAsia="仿宋_GB2312" w:cs="仿宋_GB2312"/>
          <w:color w:val="000000"/>
          <w:sz w:val="32"/>
        </w:rPr>
        <w:t>2024年度“三公”经费财政拨款支出预算为12万元，支出决算为12万元，完成预算的100%；与上年持平。</w:t>
      </w:r>
    </w:p>
    <w:p w14:paraId="1B7C2E1B">
      <w:pPr>
        <w:overflowPunct w:val="0"/>
        <w:topLinePunct/>
        <w:autoSpaceDE w:val="0"/>
        <w:autoSpaceDN w:val="0"/>
        <w:spacing w:line="576" w:lineRule="exact"/>
        <w:ind w:firstLine="643" w:firstLineChars="200"/>
        <w:rPr>
          <w:rFonts w:ascii="仿宋_GB2312" w:hAnsi="仿宋_GB2312" w:eastAsia="仿宋_GB2312" w:cs="仿宋_GB2312"/>
          <w:b/>
          <w:sz w:val="32"/>
          <w:szCs w:val="32"/>
        </w:rPr>
      </w:pPr>
      <w:bookmarkStart w:id="29" w:name="_Toc15377217"/>
      <w:r>
        <w:rPr>
          <w:rFonts w:hint="eastAsia" w:ascii="仿宋_GB2312" w:hAnsi="仿宋_GB2312" w:eastAsia="仿宋_GB2312" w:cs="仿宋_GB2312"/>
          <w:b/>
          <w:sz w:val="32"/>
          <w:szCs w:val="32"/>
        </w:rPr>
        <w:t>（二）“三公”经费财政拨款支出决算具体情况说明</w:t>
      </w:r>
      <w:bookmarkEnd w:id="29"/>
    </w:p>
    <w:p w14:paraId="65FA464D">
      <w:pPr>
        <w:overflowPunct w:val="0"/>
        <w:topLinePunct/>
        <w:spacing w:line="576"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2024年度“三公”经费财政拨款支出决算中，因公出国（境）费支出决算0万元，占0%；公务用车购置及运行维护费支出决算0万元，占0%；公务接待费支出决算12万元，占100%。具体情况如下：</w:t>
      </w:r>
    </w:p>
    <w:p w14:paraId="3F7488B7">
      <w:pPr>
        <w:pStyle w:val="6"/>
        <w:spacing w:before="93"/>
        <w:jc w:val="center"/>
      </w:pPr>
      <w:r>
        <w:drawing>
          <wp:inline distT="0" distB="0" distL="0" distR="0">
            <wp:extent cx="4822190" cy="2737485"/>
            <wp:effectExtent l="4442" t="4436" r="14594" b="14575"/>
            <wp:docPr id="35"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6CB140A">
      <w:pPr>
        <w:overflowPunct w:val="0"/>
        <w:topLinePunct/>
        <w:spacing w:line="576" w:lineRule="exact"/>
        <w:jc w:val="center"/>
        <w:rPr>
          <w:rFonts w:ascii="仿宋_GB2312" w:hAnsi="仿宋_GB2312" w:eastAsia="仿宋_GB2312"/>
          <w:color w:val="000000"/>
          <w:sz w:val="32"/>
        </w:rPr>
      </w:pPr>
      <w:r>
        <w:rPr>
          <w:rFonts w:hint="eastAsia" w:ascii="仿宋_GB2312" w:hAnsi="仿宋_GB2312" w:eastAsia="仿宋_GB2312"/>
          <w:color w:val="000000"/>
          <w:sz w:val="32"/>
        </w:rPr>
        <w:t>图7：“三公”经费财政拨款支出结构</w:t>
      </w:r>
    </w:p>
    <w:p w14:paraId="7F4FAFAD">
      <w:pPr>
        <w:overflowPunct w:val="0"/>
        <w:topLinePunct/>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1.因公出国（境）经费</w:t>
      </w:r>
      <w:r>
        <w:rPr>
          <w:rFonts w:hint="eastAsia" w:ascii="仿宋_GB2312" w:hAnsi="仿宋_GB2312" w:eastAsia="仿宋_GB2312" w:cs="仿宋_GB2312"/>
          <w:color w:val="000000"/>
          <w:sz w:val="32"/>
          <w:szCs w:val="32"/>
        </w:rPr>
        <w:t>预算为0万元，</w:t>
      </w:r>
      <w:r>
        <w:rPr>
          <w:rFonts w:hint="eastAsia" w:ascii="仿宋_GB2312" w:hAnsi="仿宋_GB2312" w:eastAsia="仿宋_GB2312" w:cs="仿宋_GB2312"/>
          <w:sz w:val="32"/>
          <w:szCs w:val="32"/>
        </w:rPr>
        <w:t>年初未安排预算，与上年数无变化。</w:t>
      </w:r>
    </w:p>
    <w:p w14:paraId="4E256A5D">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sz w:val="32"/>
          <w:szCs w:val="32"/>
        </w:rPr>
        <w:t>2.公务用车</w:t>
      </w:r>
      <w:r>
        <w:rPr>
          <w:rFonts w:hint="eastAsia" w:ascii="仿宋_GB2312" w:hAnsi="仿宋_GB2312" w:eastAsia="仿宋_GB2312" w:cs="仿宋_GB2312"/>
          <w:b/>
          <w:color w:val="000000"/>
          <w:sz w:val="32"/>
          <w:szCs w:val="32"/>
        </w:rPr>
        <w:t>购置及运行维护费</w:t>
      </w:r>
      <w:r>
        <w:rPr>
          <w:rFonts w:hint="eastAsia" w:ascii="仿宋_GB2312" w:hAnsi="仿宋_GB2312" w:eastAsia="仿宋_GB2312" w:cs="仿宋_GB2312"/>
          <w:color w:val="000000"/>
          <w:sz w:val="32"/>
          <w:szCs w:val="32"/>
        </w:rPr>
        <w:t>预算为0万元,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年初未安排预算,公务用车购置及运行维护费支出决算与2022年度持平。</w:t>
      </w:r>
    </w:p>
    <w:p w14:paraId="67EA6482">
      <w:pPr>
        <w:overflowPunct w:val="0"/>
        <w:topLinePunct/>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公务用车购置费</w:t>
      </w:r>
      <w:r>
        <w:rPr>
          <w:rFonts w:hint="eastAsia" w:ascii="仿宋_GB2312" w:hAnsi="仿宋_GB2312" w:eastAsia="仿宋_GB2312" w:cs="仿宋_GB2312"/>
          <w:color w:val="000000"/>
          <w:sz w:val="32"/>
          <w:szCs w:val="32"/>
        </w:rPr>
        <w:t>支出0万元。全年按规定更新购置公务用车0辆，其中：轿车0辆、金额0万元，越野车0辆、金额0万元，小型客车0辆、金额0万元，中型客车和大型客车0辆、金额0万元，其他车型0辆、金额0万元。截至2024年12月31日，本部门共有公务用车0辆，其中：轿车0辆、越野车0辆、小型客车0辆、中型客车和大型客车0辆、其他车型0辆。</w:t>
      </w:r>
    </w:p>
    <w:p w14:paraId="69F381F1">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w:t>
      </w:r>
      <w:r>
        <w:rPr>
          <w:rFonts w:hint="eastAsia" w:ascii="仿宋_GB2312" w:hAnsi="仿宋_GB2312" w:eastAsia="仿宋_GB2312" w:cs="仿宋_GB2312"/>
          <w:color w:val="000000"/>
          <w:sz w:val="32"/>
          <w:szCs w:val="32"/>
        </w:rPr>
        <w:t>支出0万元。</w:t>
      </w:r>
    </w:p>
    <w:p w14:paraId="661BCB35">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w:t>
      </w:r>
      <w:r>
        <w:rPr>
          <w:rFonts w:hint="eastAsia" w:ascii="仿宋_GB2312" w:hAnsi="仿宋_GB2312" w:eastAsia="仿宋_GB2312" w:cs="仿宋_GB2312"/>
          <w:color w:val="000000"/>
          <w:sz w:val="32"/>
          <w:szCs w:val="32"/>
        </w:rPr>
        <w:t>预算为12万元，支出决算为12万元，完成预算的100%。公务接待费支出决算与2023年度持平。</w:t>
      </w:r>
    </w:p>
    <w:p w14:paraId="6F51D201">
      <w:pPr>
        <w:overflowPunct w:val="0"/>
        <w:topLinePunct/>
        <w:spacing w:line="576" w:lineRule="exact"/>
        <w:ind w:firstLine="643" w:firstLineChars="200"/>
        <w:rPr>
          <w:rFonts w:ascii="仿宋_GB2312" w:hAnsi="仿宋_GB2312" w:eastAsia="仿宋_GB2312" w:cs="仿宋_GB2312"/>
          <w:b/>
          <w:i/>
          <w:color w:val="FF0000"/>
          <w:sz w:val="32"/>
          <w:szCs w:val="32"/>
        </w:rPr>
      </w:pPr>
      <w:r>
        <w:rPr>
          <w:rFonts w:hint="eastAsia" w:ascii="仿宋_GB2312" w:hAnsi="仿宋_GB2312" w:eastAsia="仿宋_GB2312" w:cs="仿宋_GB2312"/>
          <w:b/>
          <w:color w:val="000000"/>
          <w:sz w:val="32"/>
          <w:szCs w:val="32"/>
        </w:rPr>
        <w:t>国内公务接待</w:t>
      </w:r>
      <w:r>
        <w:rPr>
          <w:rFonts w:hint="eastAsia" w:ascii="仿宋_GB2312" w:hAnsi="仿宋_GB2312" w:eastAsia="仿宋_GB2312" w:cs="仿宋_GB2312"/>
          <w:color w:val="000000"/>
          <w:sz w:val="32"/>
          <w:szCs w:val="32"/>
        </w:rPr>
        <w:t>支出12万元。主要用于区级部门、兄弟乡镇来镇、村（社区）执行公务、开展业务活动开支的交通费、住宿费、用餐费等。国内公务接待86批次，1208人次，共计支出12万元，具体内容包括：区级部门检查指导部门相关工作，兄弟乡镇相互交流、村（社区）民（居））委员会回镇办事等服务保障。</w:t>
      </w:r>
    </w:p>
    <w:p w14:paraId="06C3554C">
      <w:pPr>
        <w:overflowPunct w:val="0"/>
        <w:topLinePunct/>
        <w:spacing w:line="576"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外事接待</w:t>
      </w:r>
      <w:r>
        <w:rPr>
          <w:rFonts w:hint="eastAsia" w:ascii="仿宋_GB2312" w:hAnsi="仿宋_GB2312" w:eastAsia="仿宋_GB2312" w:cs="仿宋_GB2312"/>
          <w:color w:val="000000"/>
          <w:sz w:val="32"/>
          <w:szCs w:val="32"/>
        </w:rPr>
        <w:t>支出0万元，外事接待0批次，0人，共计支出0万元。</w:t>
      </w:r>
    </w:p>
    <w:p w14:paraId="62E55F38">
      <w:pPr>
        <w:overflowPunct w:val="0"/>
        <w:topLinePunct/>
        <w:autoSpaceDE w:val="0"/>
        <w:autoSpaceDN w:val="0"/>
        <w:spacing w:line="576" w:lineRule="exact"/>
        <w:ind w:firstLine="640" w:firstLineChars="200"/>
        <w:rPr>
          <w:rStyle w:val="31"/>
          <w:rFonts w:ascii="黑体" w:hAnsi="黑体" w:eastAsia="黑体" w:cs="黑体"/>
        </w:rPr>
      </w:pPr>
      <w:bookmarkStart w:id="30" w:name="_Toc15396610"/>
      <w:bookmarkStart w:id="31" w:name="_Toc15377218"/>
      <w:r>
        <w:rPr>
          <w:rFonts w:hint="eastAsia" w:ascii="黑体" w:hAnsi="黑体" w:eastAsia="黑体" w:cs="黑体"/>
          <w:sz w:val="32"/>
          <w:szCs w:val="32"/>
        </w:rPr>
        <w:t>八、</w:t>
      </w:r>
      <w:r>
        <w:rPr>
          <w:rStyle w:val="31"/>
          <w:rFonts w:hint="eastAsia" w:ascii="黑体" w:hAnsi="黑体" w:eastAsia="黑体" w:cs="黑体"/>
          <w:b w:val="0"/>
        </w:rPr>
        <w:t>政府性基金预算支出决算情况说明</w:t>
      </w:r>
      <w:bookmarkEnd w:id="30"/>
      <w:bookmarkEnd w:id="31"/>
    </w:p>
    <w:p w14:paraId="210A31C4">
      <w:pPr>
        <w:overflowPunct w:val="0"/>
        <w:topLinePunct/>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2024年度政府性基金预算财政拨款支出0万元，占本年支出合计的0%。与2023年度相比，政府性基金预算财政拨款支出减少8万元，下降100%。主要变动原因是本单位本年无基金预算安排。</w:t>
      </w:r>
    </w:p>
    <w:p w14:paraId="46EB8B77">
      <w:pPr>
        <w:overflowPunct w:val="0"/>
        <w:topLinePunct/>
        <w:autoSpaceDE w:val="0"/>
        <w:autoSpaceDN w:val="0"/>
        <w:spacing w:line="576" w:lineRule="exact"/>
        <w:ind w:firstLine="640" w:firstLineChars="200"/>
        <w:rPr>
          <w:rStyle w:val="31"/>
          <w:rFonts w:ascii="黑体" w:hAnsi="黑体" w:eastAsia="黑体" w:cs="黑体"/>
          <w:b w:val="0"/>
        </w:rPr>
      </w:pPr>
      <w:bookmarkStart w:id="32" w:name="_Toc15377219"/>
      <w:bookmarkStart w:id="33" w:name="_Toc15396611"/>
      <w:r>
        <w:rPr>
          <w:rStyle w:val="31"/>
          <w:rFonts w:hint="eastAsia" w:ascii="黑体" w:hAnsi="黑体" w:eastAsia="黑体" w:cs="黑体"/>
          <w:b w:val="0"/>
        </w:rPr>
        <w:t>九、国有资本经营预算支出决算情况说明</w:t>
      </w:r>
      <w:bookmarkEnd w:id="32"/>
      <w:bookmarkEnd w:id="33"/>
    </w:p>
    <w:p w14:paraId="51BBA06F">
      <w:pPr>
        <w:overflowPunct w:val="0"/>
        <w:topLinePunct/>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2024年度国有资本经营预算财政拨款支出0万元，占本年支出合计的0%。与2023年度相比，国有资本经营预算财政拨款支出持平。</w:t>
      </w:r>
    </w:p>
    <w:p w14:paraId="0A9B7B18">
      <w:pPr>
        <w:overflowPunct w:val="0"/>
        <w:topLinePunct/>
        <w:autoSpaceDE w:val="0"/>
        <w:autoSpaceDN w:val="0"/>
        <w:spacing w:line="576" w:lineRule="exact"/>
        <w:ind w:firstLine="640" w:firstLineChars="200"/>
        <w:rPr>
          <w:rStyle w:val="31"/>
          <w:rFonts w:ascii="黑体" w:hAnsi="黑体" w:eastAsia="黑体" w:cs="黑体"/>
          <w:b w:val="0"/>
        </w:rPr>
      </w:pPr>
      <w:bookmarkStart w:id="34" w:name="_Toc15396612"/>
      <w:bookmarkStart w:id="35" w:name="_Toc15377221"/>
      <w:r>
        <w:rPr>
          <w:rStyle w:val="31"/>
          <w:rFonts w:hint="eastAsia" w:ascii="黑体" w:hAnsi="黑体" w:eastAsia="黑体" w:cs="黑体"/>
          <w:b w:val="0"/>
        </w:rPr>
        <w:t>十、其他重要事项的情况说明</w:t>
      </w:r>
      <w:bookmarkEnd w:id="34"/>
      <w:bookmarkEnd w:id="35"/>
    </w:p>
    <w:p w14:paraId="54D299C6">
      <w:pPr>
        <w:overflowPunct w:val="0"/>
        <w:topLinePunct/>
        <w:autoSpaceDE w:val="0"/>
        <w:autoSpaceDN w:val="0"/>
        <w:spacing w:line="576" w:lineRule="exact"/>
        <w:ind w:firstLine="643" w:firstLineChars="200"/>
        <w:rPr>
          <w:rFonts w:ascii="仿宋_GB2312" w:hAnsi="仿宋_GB2312" w:eastAsia="仿宋_GB2312" w:cs="仿宋_GB2312"/>
          <w:b/>
          <w:sz w:val="32"/>
          <w:szCs w:val="32"/>
        </w:rPr>
      </w:pPr>
      <w:bookmarkStart w:id="36" w:name="_Toc15377222"/>
      <w:r>
        <w:rPr>
          <w:rFonts w:hint="eastAsia" w:ascii="仿宋_GB2312" w:hAnsi="仿宋_GB2312" w:eastAsia="仿宋_GB2312" w:cs="仿宋_GB2312"/>
          <w:b/>
          <w:sz w:val="32"/>
          <w:szCs w:val="32"/>
        </w:rPr>
        <w:t>（一）机关运行经费支出情况</w:t>
      </w:r>
      <w:bookmarkEnd w:id="36"/>
    </w:p>
    <w:p w14:paraId="1954C08E">
      <w:pPr>
        <w:overflowPunct w:val="0"/>
        <w:topLinePunct/>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2024年，广元市昭化区射箭镇人民政府机关运行经费支出118.18万元，比2023年度减少93.71万元，下降44.2%。主要原因是行政机关各功能部门日常办公、水、电等费用压缩开支减少。</w:t>
      </w:r>
    </w:p>
    <w:p w14:paraId="1BCD1D5F">
      <w:pPr>
        <w:overflowPunct w:val="0"/>
        <w:topLinePunct/>
        <w:spacing w:line="576"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（二）政府采购支出情况</w:t>
      </w:r>
    </w:p>
    <w:p w14:paraId="7557F1E6">
      <w:pPr>
        <w:overflowPunct w:val="0"/>
        <w:topLinePunct/>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2024年，广元市昭化区射箭镇人民政府未发生政府采购支出。</w:t>
      </w:r>
    </w:p>
    <w:p w14:paraId="225E66B8">
      <w:pPr>
        <w:overflowPunct w:val="0"/>
        <w:topLinePunct/>
        <w:spacing w:line="57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（三）国有资产占有使用情况</w:t>
      </w:r>
    </w:p>
    <w:p w14:paraId="3E5770B6">
      <w:pPr>
        <w:overflowPunct w:val="0"/>
        <w:topLinePunct/>
        <w:spacing w:line="576"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截至2024年12月31日，广元市昭化区射箭镇人民政府共有车辆0辆，其中：主要负责人用车0辆、机要通信用车0辆、应急保障用车0辆、其他用车0辆0。</w:t>
      </w:r>
    </w:p>
    <w:p w14:paraId="1C5358F1">
      <w:pPr>
        <w:overflowPunct w:val="0"/>
        <w:topLinePunct/>
        <w:spacing w:line="576"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单价100万元（含）以上设备（不含车辆）0台（套）。</w:t>
      </w:r>
    </w:p>
    <w:p w14:paraId="2191044B">
      <w:pPr>
        <w:overflowPunct w:val="0"/>
        <w:topLinePunct/>
        <w:spacing w:line="576" w:lineRule="exact"/>
        <w:ind w:firstLine="643" w:firstLineChars="200"/>
        <w:rPr>
          <w:rFonts w:ascii="仿宋_GB2312" w:hAnsi="仿宋_GB2312" w:eastAsia="仿宋_GB2312" w:cs="仿宋_GB2312"/>
          <w:b/>
          <w:sz w:val="32"/>
        </w:rPr>
      </w:pPr>
      <w:r>
        <w:rPr>
          <w:rFonts w:hint="eastAsia" w:ascii="仿宋_GB2312" w:hAnsi="仿宋_GB2312" w:eastAsia="仿宋_GB2312" w:cs="仿宋_GB2312"/>
          <w:b/>
          <w:sz w:val="32"/>
        </w:rPr>
        <w:t>（四）预算绩效管理情况。</w:t>
      </w:r>
    </w:p>
    <w:p w14:paraId="2A3B2325">
      <w:pPr>
        <w:overflowPunct w:val="0"/>
        <w:topLinePunct/>
        <w:spacing w:line="576"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根据预算绩效管理要求，本单位在2024年度预算编制阶段，组织对部门整体支出绩效目标、中央基建投资村级道路暴雨洪涝灾害灾后应急恢复转移支付区域（项目）、基层组织和公共服务运行经费支出项目、解决五房村基础设施维修整治项目、解决东西部协作结余资金安排项目（即冻库迁移、农贸市场附属）资金差口等27个项目开展了预算事前绩效评估，对19个项目编制了绩效目标，预算执行过程中，选取4个项目开展绩效监控。</w:t>
      </w:r>
    </w:p>
    <w:p w14:paraId="7180F872">
      <w:pPr>
        <w:overflowPunct w:val="0"/>
        <w:topLinePunct/>
        <w:autoSpaceDE w:val="0"/>
        <w:autoSpaceDN w:val="0"/>
        <w:spacing w:line="576" w:lineRule="exact"/>
        <w:ind w:firstLine="640" w:firstLineChars="200"/>
        <w:rPr>
          <w:rFonts w:ascii="仿宋_GB2312" w:hAnsi="仿宋_GB2312" w:eastAsia="仿宋_GB2312" w:cs="仿宋_GB2312"/>
          <w:b/>
          <w:bCs/>
          <w:sz w:val="32"/>
          <w:szCs w:val="32"/>
          <w:highlight w:val="yellow"/>
        </w:rPr>
      </w:pPr>
      <w:r>
        <w:rPr>
          <w:rFonts w:hint="eastAsia" w:ascii="仿宋_GB2312" w:hAnsi="仿宋_GB2312" w:eastAsia="仿宋_GB2312" w:cs="仿宋_GB2312"/>
          <w:sz w:val="32"/>
        </w:rPr>
        <w:t>组织对2024年度一般公共预算、政府性基金预算、国有资本经营预算、社会保险基金预算以及资本资产、债券资金等全面开展绩效自评，形成广元市昭化区射箭镇人民政府部门整体（含部门预算项目）绩效自评报告、中央基建投资村级道路暴雨洪涝灾害灾后应急恢复转移支付区域（项目）等专项预算项目绩效自评报告，其中，广元市昭化区射箭镇人民政府部门整体（含部门预算项目）绩效自评得分为95分，绩效自评综述</w:t>
      </w:r>
      <w:r>
        <w:rPr>
          <w:rFonts w:hint="eastAsia" w:ascii="仿宋_GB2312" w:hAnsi="仿宋_GB2312" w:eastAsia="仿宋_GB2312" w:cs="仿宋_GB2312"/>
          <w:sz w:val="32"/>
          <w:szCs w:val="32"/>
          <w:lang w:val="zh-CN"/>
        </w:rPr>
        <w:t>严格按照年初预算的各项指标执行，保质保量完成了年初制定的各项目标任务</w:t>
      </w:r>
      <w:r>
        <w:rPr>
          <w:rFonts w:hint="eastAsia" w:ascii="仿宋_GB2312" w:hAnsi="仿宋_GB2312" w:eastAsia="仿宋_GB2312" w:cs="仿宋_GB2312"/>
          <w:sz w:val="32"/>
        </w:rPr>
        <w:t>；中央基建投资关于下达暴雨洪涝灾害灾后应急恢复专项预算项目绩效自评得分为95.1分，绩效自评综述为改善项目区基础设施建设，增强发展后劲，促进农民增收，确保道路通行安全；基层组织和公共服务运行经费支出项目绩效自评得分为97分，绩效自评综述项目</w:t>
      </w:r>
      <w:r>
        <w:rPr>
          <w:rFonts w:hint="eastAsia" w:ascii="仿宋_GB2312" w:hAnsi="仿宋_GB2312" w:eastAsia="仿宋_GB2312" w:cs="仿宋_GB2312"/>
          <w:sz w:val="32"/>
          <w:szCs w:val="32"/>
          <w:lang w:val="zh-CN"/>
        </w:rPr>
        <w:t>均已实现了特定的绩效目标，同时预定目标设置合理，符合相关规定要求</w:t>
      </w:r>
      <w:r>
        <w:rPr>
          <w:rFonts w:hint="eastAsia" w:ascii="仿宋_GB2312" w:hAnsi="仿宋_GB2312" w:eastAsia="仿宋_GB2312" w:cs="仿宋_GB2312"/>
          <w:sz w:val="32"/>
        </w:rPr>
        <w:t>；解决五房村基础设施维修整治项目绩效自评得分为96分，绩效自评综述为</w:t>
      </w:r>
      <w:r>
        <w:rPr>
          <w:rFonts w:hint="eastAsia" w:ascii="仿宋_GB2312" w:hAnsi="仿宋_GB2312" w:eastAsia="仿宋_GB2312" w:cs="仿宋_GB2312"/>
          <w:sz w:val="32"/>
          <w:szCs w:val="32"/>
          <w:lang w:val="zh-CN"/>
        </w:rPr>
        <w:t>推动镇域内文旅产业的加快发展、提升五房村村内各项基础设施整体水平，并同时带动药博园区建设和旅游服务等多个行业的发展，创造了大量的就业用工岗位；</w:t>
      </w:r>
      <w:r>
        <w:rPr>
          <w:rFonts w:hint="eastAsia" w:ascii="仿宋_GB2312" w:hAnsi="仿宋_GB2312" w:eastAsia="仿宋_GB2312" w:cs="仿宋_GB2312"/>
          <w:sz w:val="32"/>
        </w:rPr>
        <w:t>解决东西部协作结余资金安排项目（即冻库迁移、农贸市场附属）资金差口绩效自评得分为98分，绩效自评综述</w:t>
      </w:r>
      <w:r>
        <w:rPr>
          <w:rFonts w:hint="eastAsia" w:ascii="仿宋_GB2312" w:hAnsi="仿宋_GB2312" w:eastAsia="仿宋_GB2312" w:cs="仿宋_GB2312"/>
          <w:sz w:val="32"/>
          <w:szCs w:val="32"/>
        </w:rPr>
        <w:t>实现了特定的绩效目标，全面提升射箭镇农产品冷链物流仓储保鲜能力、农贸市场基础设施建设及增加镇集体经济收入</w:t>
      </w:r>
      <w:r>
        <w:rPr>
          <w:rFonts w:hint="eastAsia" w:ascii="仿宋_GB2312" w:hAnsi="仿宋_GB2312" w:eastAsia="仿宋_GB2312" w:cs="仿宋_GB2312"/>
          <w:sz w:val="32"/>
        </w:rPr>
        <w:t>。</w:t>
      </w:r>
    </w:p>
    <w:p w14:paraId="2B68A83F">
      <w:pPr>
        <w:overflowPunct w:val="0"/>
        <w:topLinePunct/>
        <w:autoSpaceDE w:val="0"/>
        <w:autoSpaceDN w:val="0"/>
        <w:rPr>
          <w:rFonts w:eastAsia="仿宋_GB2312" w:cs="仿宋_GB2312"/>
          <w:sz w:val="32"/>
          <w:szCs w:val="32"/>
        </w:rPr>
      </w:pPr>
      <w:r>
        <w:rPr>
          <w:rFonts w:hint="eastAsia" w:eastAsia="仿宋_GB2312" w:cs="仿宋_GB2312"/>
          <w:sz w:val="32"/>
          <w:szCs w:val="32"/>
        </w:rPr>
        <w:br w:type="page"/>
      </w:r>
    </w:p>
    <w:p w14:paraId="254BC1E2">
      <w:pPr>
        <w:overflowPunct w:val="0"/>
        <w:topLinePunct/>
        <w:autoSpaceDE w:val="0"/>
        <w:autoSpaceDN w:val="0"/>
        <w:spacing w:line="240" w:lineRule="atLeast"/>
        <w:jc w:val="center"/>
        <w:outlineLvl w:val="0"/>
        <w:rPr>
          <w:rFonts w:ascii="方正小标宋简体" w:hAnsi="方正小标宋简体" w:eastAsia="方正小标宋简体" w:cs="方正小标宋简体"/>
          <w:sz w:val="44"/>
          <w:szCs w:val="44"/>
        </w:rPr>
      </w:pPr>
      <w:bookmarkStart w:id="37" w:name="_Toc15396613"/>
      <w:bookmarkStart w:id="38" w:name="_Toc15377225"/>
      <w:r>
        <w:rPr>
          <w:rFonts w:hint="eastAsia" w:ascii="方正小标宋简体" w:hAnsi="方正小标宋简体" w:eastAsia="方正小标宋简体" w:cs="方正小标宋简体"/>
          <w:sz w:val="44"/>
          <w:szCs w:val="44"/>
        </w:rPr>
        <w:t>第三部分  名词解释</w:t>
      </w:r>
      <w:bookmarkEnd w:id="37"/>
      <w:bookmarkEnd w:id="38"/>
    </w:p>
    <w:p w14:paraId="69684423">
      <w:pPr>
        <w:overflowPunct w:val="0"/>
        <w:topLinePunct/>
        <w:autoSpaceDE w:val="0"/>
        <w:autoSpaceDN w:val="0"/>
        <w:spacing w:line="600" w:lineRule="exact"/>
        <w:jc w:val="left"/>
        <w:rPr>
          <w:b/>
          <w:sz w:val="44"/>
          <w:szCs w:val="44"/>
        </w:rPr>
      </w:pPr>
    </w:p>
    <w:p w14:paraId="1BCFDE8F">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一、财政拨款收入：指单位从同级财政部门取得的财政预算资金。</w:t>
      </w:r>
    </w:p>
    <w:p w14:paraId="499B3441">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二、事业收入：指事业单位开展专业业务活动及辅助活动取得的收入。</w:t>
      </w:r>
    </w:p>
    <w:p w14:paraId="7E403FBC">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三、经营收入：指事业单位在专业业务活动及其辅助活动之外开展非独立核算经营活动取得的收入。</w:t>
      </w:r>
    </w:p>
    <w:p w14:paraId="2351C065">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四、其他收入：指单位取得的除上述收入以外的各项收入。</w:t>
      </w:r>
    </w:p>
    <w:p w14:paraId="380289EB">
      <w:pPr>
        <w:pStyle w:val="28"/>
        <w:spacing w:line="576" w:lineRule="exact"/>
        <w:ind w:firstLine="640" w:firstLineChars="200"/>
        <w:rPr>
          <w:rFonts w:ascii="仿宋_GB2312" w:eastAsia="仿宋_GB2312"/>
          <w:color w:val="auto"/>
          <w:sz w:val="32"/>
          <w:szCs w:val="30"/>
        </w:rPr>
      </w:pPr>
      <w:r>
        <w:rPr>
          <w:rFonts w:ascii="仿宋_GB2312" w:hAnsi="仿宋_GB2312" w:eastAsia="仿宋_GB2312"/>
          <w:color w:val="auto"/>
          <w:kern w:val="2"/>
          <w:sz w:val="32"/>
          <w:szCs w:val="30"/>
        </w:rPr>
        <w:t>五、</w:t>
      </w:r>
      <w:r>
        <w:rPr>
          <w:rFonts w:ascii="仿宋_GB2312" w:hAnsi="华文中宋" w:eastAsia="仿宋_GB2312"/>
          <w:color w:val="auto"/>
          <w:sz w:val="32"/>
          <w:szCs w:val="30"/>
        </w:rPr>
        <w:t>使用非财政拨款结余（含专用结余）</w:t>
      </w:r>
      <w:r>
        <w:rPr>
          <w:rFonts w:ascii="仿宋_GB2312" w:eastAsia="仿宋_GB2312"/>
          <w:color w:val="auto"/>
          <w:sz w:val="32"/>
          <w:szCs w:val="30"/>
        </w:rPr>
        <w:t>：指事业单位使用以前年度积累的非财政拨款结余弥补当年收支差额的金额。</w:t>
      </w:r>
    </w:p>
    <w:p w14:paraId="67BDA73E">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六、年初结转和结余：指以前年度尚未完成、结转到本年按有关规定继续使用的资金。</w:t>
      </w:r>
    </w:p>
    <w:p w14:paraId="6E7C26AC">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七、结余分配：指事业单位按照会计制度规定缴纳的所得税、提取的专用结余以及转入非财政拨款结余的金额等。</w:t>
      </w:r>
    </w:p>
    <w:p w14:paraId="5FAD4B91">
      <w:pPr>
        <w:spacing w:line="576" w:lineRule="exact"/>
        <w:ind w:firstLine="640" w:firstLineChars="200"/>
        <w:rPr>
          <w:rFonts w:ascii="仿宋_GB2312" w:hAnsi="仿宋_GB2312" w:eastAsia="仿宋_GB2312"/>
          <w:sz w:val="32"/>
          <w:szCs w:val="30"/>
        </w:rPr>
      </w:pPr>
      <w:r>
        <w:rPr>
          <w:rFonts w:hint="eastAsia" w:ascii="仿宋_GB2312" w:hAnsi="仿宋_GB2312" w:eastAsia="仿宋_GB2312"/>
          <w:sz w:val="32"/>
          <w:szCs w:val="30"/>
        </w:rPr>
        <w:t>八、年末结转和结余：指单位按有关规定结转到下年或以后年度继续使用的资金。</w:t>
      </w:r>
    </w:p>
    <w:p w14:paraId="502AE397">
      <w:pPr>
        <w:spacing w:line="576" w:lineRule="exact"/>
        <w:ind w:firstLine="640" w:firstLineChars="200"/>
        <w:rPr>
          <w:rFonts w:ascii="仿宋_GB2312" w:hAnsi="Calibri" w:eastAsia="仿宋_GB2312"/>
          <w:sz w:val="32"/>
          <w:szCs w:val="30"/>
          <w:highlight w:val="lightGray"/>
        </w:rPr>
      </w:pPr>
      <w:r>
        <w:rPr>
          <w:rFonts w:hint="eastAsia" w:ascii="仿宋_GB2312" w:hAnsi="Calibri" w:eastAsia="仿宋_GB2312"/>
          <w:sz w:val="32"/>
          <w:szCs w:val="30"/>
        </w:rPr>
        <w:t>九、一般公共服务支出（类）人大事务（款）代表工作（项）：反映人民代表开展各类视察等方面的支出。</w:t>
      </w:r>
    </w:p>
    <w:p w14:paraId="2E47264A">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十、一般公共服务（类）政府办公厅（室）及相关机构事务（款）行政运行（项）：指用于保障机构正常运行、开展日常工作的基本支出。</w:t>
      </w:r>
    </w:p>
    <w:p w14:paraId="025E297D">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十一、一般公共服务（类）政府办公厅（室）及相关机构事务（款）一般行政管理事务（项）：反映行政单位（包括实行公务员管理的事业单位）未单独设置项级科目的其他项目支出。</w:t>
      </w:r>
    </w:p>
    <w:p w14:paraId="527F60E3">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十二、一般公共服务（类）政府办公厅（室）及相关机构事务（款）事业运行（项）：反映事业单位的基本支出，不包括行政单位（包括实行公务员管理的事业单位）后勤服务中心、医务室等附属事业单位。</w:t>
      </w:r>
    </w:p>
    <w:p w14:paraId="5DBCC0AB">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十三、文化旅游体育与传媒支出（类）文化和旅游（款）行政运行（项）：反映行政单位（包括实行公务员管理的事业单位）的基本支出。</w:t>
      </w:r>
    </w:p>
    <w:p w14:paraId="556E4208">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十四、社会保障和就业（类）行政事业单位养老支出（款）事业单位离退休（项）：反映事业单位开支的离退休经费。</w:t>
      </w:r>
    </w:p>
    <w:p w14:paraId="0925C159">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十五、社会保障和就业（类）行政事业单位养老支出（款）机关事业单位基本养老保险缴费支出（项）：指部门实施养老保险制度由单位缴纳的养老保险的支出。</w:t>
      </w:r>
    </w:p>
    <w:p w14:paraId="3058BD2B">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十六、社会保障和就业（类）行政事业单位养老支出（款）机关事业单位职业年金缴费支出（项）：反映机关事业单位实施养老保险制度由单位实际缴纳的职业年金支出（含职业年金补记支出）。</w:t>
      </w:r>
    </w:p>
    <w:p w14:paraId="4E28E71A">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十七、社会保障和就业（类）其他社会保障和就业支出（款）其他社会保障和就业支出（项）：反映除上述项目以外其他用于社会保障和就业方面的支出。</w:t>
      </w:r>
    </w:p>
    <w:p w14:paraId="5D7C020F">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十八、卫生健康（类）行政事业单位医疗（款）行政单位医疗（项）：指机关及参公管理事业单位用于单位应缴纳基本医疗保险支出。</w:t>
      </w:r>
    </w:p>
    <w:p w14:paraId="2C5DA3EF">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十九、卫生健康（类）行政事业单位医疗（款）事业单位医疗（项）：指事业单位用于单位应缴纳基本医疗保险支出。</w:t>
      </w:r>
    </w:p>
    <w:p w14:paraId="23CD9465">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二十、城乡社区支出（类）城乡社区环境卫生（款）城乡社区环境卫生（项）：反映城乡社区道路清扫、垃圾清运与处理、公厕建设与维护、园林绿化等方面的支出。</w:t>
      </w:r>
    </w:p>
    <w:p w14:paraId="4D9F6342">
      <w:pPr>
        <w:pStyle w:val="6"/>
        <w:spacing w:before="93" w:line="576" w:lineRule="exact"/>
        <w:ind w:firstLine="640" w:firstLineChars="200"/>
        <w:rPr>
          <w:sz w:val="32"/>
        </w:rPr>
      </w:pPr>
      <w:r>
        <w:rPr>
          <w:rFonts w:hAnsi="Calibri"/>
          <w:sz w:val="32"/>
          <w:szCs w:val="30"/>
        </w:rPr>
        <w:t>二十一、城乡社区支出（类）其他城乡社区支出（款）其他城乡社区支出（项）：反映除上述项目以外其他用于城乡社区方面的支出。</w:t>
      </w:r>
    </w:p>
    <w:p w14:paraId="563711CB">
      <w:pPr>
        <w:spacing w:line="576" w:lineRule="exact"/>
        <w:ind w:firstLine="640" w:firstLineChars="200"/>
        <w:rPr>
          <w:rFonts w:ascii="仿宋_GB2312" w:hAnsi="Calibri" w:eastAsia="仿宋_GB2312"/>
          <w:sz w:val="32"/>
          <w:szCs w:val="30"/>
          <w:highlight w:val="lightGray"/>
        </w:rPr>
      </w:pPr>
      <w:r>
        <w:rPr>
          <w:rFonts w:hint="eastAsia" w:ascii="仿宋_GB2312" w:hAnsi="Calibri" w:eastAsia="仿宋_GB2312"/>
          <w:sz w:val="32"/>
          <w:szCs w:val="30"/>
        </w:rPr>
        <w:t>二十二、农林水支出（类）农业农村（款）行政运行（项）：反映行政单位（包括实行公务员管理的事业单位）的基本支出。</w:t>
      </w:r>
    </w:p>
    <w:p w14:paraId="15D40F93">
      <w:pPr>
        <w:spacing w:line="576" w:lineRule="exact"/>
        <w:ind w:firstLine="640" w:firstLineChars="200"/>
        <w:rPr>
          <w:rFonts w:ascii="仿宋_GB2312" w:hAnsi="Calibri" w:eastAsia="仿宋_GB2312"/>
          <w:sz w:val="32"/>
          <w:szCs w:val="30"/>
          <w:highlight w:val="lightGray"/>
        </w:rPr>
      </w:pPr>
      <w:r>
        <w:rPr>
          <w:rFonts w:hint="eastAsia" w:ascii="仿宋_GB2312" w:hAnsi="Calibri" w:eastAsia="仿宋_GB2312"/>
          <w:sz w:val="32"/>
          <w:szCs w:val="30"/>
        </w:rPr>
        <w:t>二十三、农林水支出（类）农业农村（款）农业生产发展（项）：反映用于粮油生产保障、适度规模经营、农机购置与应用补贴、优势特色主导产业发展、畜牧水产发展、农村一二三产业融合等方面的支出。</w:t>
      </w:r>
    </w:p>
    <w:p w14:paraId="424EFFF3">
      <w:pPr>
        <w:pStyle w:val="6"/>
        <w:spacing w:beforeLines="0" w:line="576" w:lineRule="exact"/>
        <w:ind w:firstLine="640" w:firstLineChars="200"/>
        <w:rPr>
          <w:rFonts w:hAnsi="Calibri"/>
          <w:sz w:val="32"/>
          <w:szCs w:val="30"/>
        </w:rPr>
      </w:pPr>
      <w:r>
        <w:rPr>
          <w:rFonts w:hAnsi="Calibri"/>
          <w:sz w:val="32"/>
          <w:szCs w:val="30"/>
        </w:rPr>
        <w:t>二十四、农林水支出（类）农村综合改革（款）对村民委员会和村党支部的补助（项）：反映各级财政对村民委员会和村支部的补助支出，以及支持建立县级基本财力保障机制安排的村级组织运转奖补资金。</w:t>
      </w:r>
    </w:p>
    <w:p w14:paraId="1090E455">
      <w:pPr>
        <w:spacing w:line="576" w:lineRule="exact"/>
        <w:ind w:firstLine="640" w:firstLineChars="200"/>
        <w:rPr>
          <w:rFonts w:ascii="仿宋_GB2312" w:hAnsi="Calibri" w:eastAsia="仿宋_GB2312"/>
          <w:sz w:val="32"/>
          <w:szCs w:val="30"/>
          <w:highlight w:val="lightGray"/>
        </w:rPr>
      </w:pPr>
      <w:r>
        <w:rPr>
          <w:rFonts w:hint="eastAsia" w:ascii="仿宋_GB2312" w:hAnsi="Calibri" w:eastAsia="仿宋_GB2312"/>
          <w:sz w:val="32"/>
          <w:szCs w:val="30"/>
        </w:rPr>
        <w:t>二十五、住房保障支出（类）保障性安居工程支出（款）其他保障性安居工程支出（项）：反映除上述项目以外其他用于保障性住房方面的支出。</w:t>
      </w:r>
    </w:p>
    <w:p w14:paraId="2804A018">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二十六、住房保障支出（类）住房改革支出（款）住房公积金（项）：指按照《住房公积金管理条例》的规定，由单位及其在职职工缴存的长期住房储金。</w:t>
      </w:r>
    </w:p>
    <w:p w14:paraId="4B4B871D">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二十七、灾害防治及应急管理支出（类）应急管理事务（款）其他应急管理支出（项）：反映除上述项目以外的其他应急管理方面的支出。</w:t>
      </w:r>
    </w:p>
    <w:p w14:paraId="147928FC">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二十八、灾害防治及应急管理支出（类）自然灾害救助及恢复重建支出（款）自然灾害灾后重建补助（项）：反映政府预算安排用于自然灾害恢复重建的补助支出。</w:t>
      </w:r>
    </w:p>
    <w:p w14:paraId="3D297129">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二十九、基本支出：指为保障机构正常运转、完成日常工作任务而发生的人员支出和公用支出。</w:t>
      </w:r>
    </w:p>
    <w:p w14:paraId="6C6311E9">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三十、项目支出：指在基本支出之外为完成特定行政任务和事业发展目标所发生的支出。</w:t>
      </w:r>
    </w:p>
    <w:p w14:paraId="399D9742">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三十一、经营支出：指事业单位在专业业务活动及其辅助活动之外开展非独立核算经营活动发生的支出。</w:t>
      </w:r>
    </w:p>
    <w:p w14:paraId="5AD7C457">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三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BD4134">
      <w:pPr>
        <w:spacing w:line="576" w:lineRule="exact"/>
        <w:ind w:firstLine="640" w:firstLineChars="200"/>
        <w:rPr>
          <w:rFonts w:ascii="仿宋_GB2312" w:hAnsi="Calibri" w:eastAsia="仿宋_GB2312"/>
          <w:sz w:val="32"/>
          <w:szCs w:val="30"/>
        </w:rPr>
      </w:pPr>
      <w:r>
        <w:rPr>
          <w:rFonts w:hint="eastAsia" w:ascii="仿宋_GB2312" w:hAnsi="Calibri" w:eastAsia="仿宋_GB2312"/>
          <w:sz w:val="32"/>
          <w:szCs w:val="30"/>
        </w:rPr>
        <w:t>三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F64A02">
      <w:pPr>
        <w:overflowPunct w:val="0"/>
        <w:topLinePunct/>
        <w:autoSpaceDE w:val="0"/>
        <w:autoSpaceDN w:val="0"/>
        <w:rPr>
          <w:rFonts w:eastAsia="黑体"/>
          <w:sz w:val="44"/>
          <w:szCs w:val="44"/>
        </w:rPr>
      </w:pPr>
      <w:bookmarkStart w:id="39" w:name="_Toc15396614"/>
      <w:bookmarkStart w:id="40" w:name="_Toc15377226"/>
      <w:r>
        <w:rPr>
          <w:rFonts w:hint="eastAsia" w:eastAsia="黑体"/>
          <w:sz w:val="44"/>
          <w:szCs w:val="44"/>
        </w:rPr>
        <w:br w:type="page"/>
      </w:r>
    </w:p>
    <w:bookmarkEnd w:id="39"/>
    <w:p w14:paraId="51DAAA53">
      <w:pPr>
        <w:overflowPunct w:val="0"/>
        <w:topLinePunct/>
        <w:autoSpaceDE w:val="0"/>
        <w:autoSpaceDN w:val="0"/>
        <w:spacing w:line="240" w:lineRule="atLeast"/>
        <w:jc w:val="center"/>
        <w:outlineLvl w:val="0"/>
        <w:rPr>
          <w:rFonts w:ascii="方正小标宋简体" w:hAnsi="方正小标宋简体" w:eastAsia="方正小标宋简体" w:cs="方正小标宋简体"/>
          <w:sz w:val="44"/>
          <w:szCs w:val="44"/>
        </w:rPr>
      </w:pPr>
      <w:bookmarkStart w:id="41" w:name="_Toc15396618"/>
      <w:r>
        <w:rPr>
          <w:rFonts w:hint="eastAsia" w:ascii="方正小标宋简体" w:hAnsi="方正小标宋简体" w:eastAsia="方正小标宋简体" w:cs="方正小标宋简体"/>
          <w:sz w:val="44"/>
          <w:szCs w:val="44"/>
        </w:rPr>
        <w:t>第四部分  附件</w:t>
      </w:r>
    </w:p>
    <w:p w14:paraId="37F4AF42">
      <w:pPr>
        <w:overflowPunct w:val="0"/>
        <w:topLinePunct/>
        <w:autoSpaceDE w:val="0"/>
        <w:autoSpaceDN w:val="0"/>
        <w:spacing w:line="572" w:lineRule="exact"/>
        <w:jc w:val="left"/>
        <w:outlineLvl w:val="0"/>
        <w:rPr>
          <w:rFonts w:eastAsia="黑体" w:cs="方正小标宋简体"/>
          <w:sz w:val="44"/>
          <w:szCs w:val="44"/>
        </w:rPr>
      </w:pPr>
      <w:r>
        <w:rPr>
          <w:rFonts w:hint="eastAsia" w:eastAsia="黑体" w:cs="黑体"/>
          <w:sz w:val="32"/>
          <w:szCs w:val="32"/>
        </w:rPr>
        <w:t>附件1</w:t>
      </w:r>
    </w:p>
    <w:p w14:paraId="3266F8B8">
      <w:pPr>
        <w:overflowPunct w:val="0"/>
        <w:topLinePunct/>
        <w:autoSpaceDE w:val="0"/>
        <w:autoSpaceDN w:val="0"/>
        <w:spacing w:line="578" w:lineRule="exact"/>
        <w:contextualSpacing/>
        <w:jc w:val="center"/>
        <w:rPr>
          <w:rFonts w:eastAsia="方正小标宋简体"/>
          <w:bCs/>
          <w:sz w:val="44"/>
          <w:szCs w:val="44"/>
          <w:shd w:val="clear" w:color="auto" w:fill="FFFFFF"/>
        </w:rPr>
      </w:pPr>
    </w:p>
    <w:p w14:paraId="6B845FD0">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广元市昭化区射箭镇人民政府</w:t>
      </w:r>
    </w:p>
    <w:p w14:paraId="5EFA45B1">
      <w:pPr>
        <w:spacing w:line="576"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关于2024年部门整体支出绩效自评报告</w:t>
      </w:r>
    </w:p>
    <w:p w14:paraId="16A5D2B3">
      <w:pPr>
        <w:spacing w:line="550" w:lineRule="exact"/>
        <w:rPr>
          <w:rFonts w:ascii="宋体" w:hAnsi="宋体" w:cs="方正小标宋简体"/>
          <w:color w:val="FF0000"/>
          <w:sz w:val="30"/>
          <w:szCs w:val="30"/>
        </w:rPr>
      </w:pPr>
    </w:p>
    <w:p w14:paraId="5EA1162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广元市昭化区财政局关于开展2025年全区预算绩效自评工作的通知》（昭财发〔2025〕7号）文件要求，进一步加强我单位预算绩效管理主体责任和绩效理念，着力提升财政资金使用效益，我单位对部门2024年整体支出绩效工作进行了全面自查，现将自查工作开展情况报告如下：</w:t>
      </w:r>
    </w:p>
    <w:p w14:paraId="6B828AA4">
      <w:pPr>
        <w:spacing w:line="576" w:lineRule="exact"/>
        <w:ind w:firstLine="640" w:firstLineChars="200"/>
        <w:rPr>
          <w:rFonts w:ascii="黑体" w:hAnsi="黑体" w:eastAsia="黑体" w:cs="黑体"/>
          <w:bCs/>
          <w:sz w:val="32"/>
          <w:szCs w:val="32"/>
          <w:lang w:val="zh-CN"/>
        </w:rPr>
      </w:pPr>
      <w:r>
        <w:rPr>
          <w:rFonts w:hint="eastAsia" w:ascii="黑体" w:hAnsi="黑体" w:eastAsia="黑体" w:cs="黑体"/>
          <w:bCs/>
          <w:sz w:val="32"/>
          <w:szCs w:val="32"/>
          <w:lang w:val="zh-CN"/>
        </w:rPr>
        <w:t>一、单位概况</w:t>
      </w:r>
    </w:p>
    <w:p w14:paraId="791B767B">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（一）机构组成</w:t>
      </w:r>
    </w:p>
    <w:p w14:paraId="2E09B6E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射箭镇属一级预算单位，主要包括：党政综合办公室、党建工作办公室、经济发展办公室、社会事务和社会治理工作办公室、应急管理办公室、综合行政执法办公室。</w:t>
      </w:r>
    </w:p>
    <w:p w14:paraId="5169CB6A">
      <w:pPr>
        <w:spacing w:line="576"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（二）机构职能</w:t>
      </w:r>
    </w:p>
    <w:p w14:paraId="393DFD0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1.贯彻落实党的路线方针政策和国家法律法规，制定并执行本级人民代表大会的决议和上级国家行政机关的决定和命令，加强农村基层政权建设，巩固党在农村的执政基础。</w:t>
      </w:r>
    </w:p>
    <w:p w14:paraId="1A0628A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14:paraId="451DF46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3.指导农村经济发展，推进农业经济结构调整，促进经济增长方式转变，促进农业增效、农民增收。</w:t>
      </w:r>
    </w:p>
    <w:p w14:paraId="09540AF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14:paraId="470D714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14:paraId="0287BEB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6.承担辖区平安建设、社会治安综合治理、公共安全、安全生产及应急管理等有关工作，处理群众来信来访，反映社情民意，化解矛盾纠纷，维护社会安全稳定。</w:t>
      </w:r>
    </w:p>
    <w:p w14:paraId="5DB1ED7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7.做好国防教育和兵役等工作。</w:t>
      </w:r>
    </w:p>
    <w:p w14:paraId="2B4EA97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8.负责制定完善乡镇行政权力清单、乡镇权力责任清单、乡镇属地事项责任清单，建立清单动态调整和公示机制，推进政务公开，接受群众监督，增强政府公信力。</w:t>
      </w:r>
    </w:p>
    <w:p w14:paraId="5389FD9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9.承担法律、法规、规章规定的其他职能和上级党委、政府交办的其他任务。</w:t>
      </w:r>
    </w:p>
    <w:p w14:paraId="03C0AE5C">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（三）人员概况</w:t>
      </w:r>
    </w:p>
    <w:p w14:paraId="6AC2030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射箭镇共有编制人员53人，其中：行政编制22人，事业编制27人，工勤编制4人（其中行政工勤2人）。2024年末部门决算实有在职编制内人员53人，其中：公务员22人，事业人员27人，工勤人员4人（其中行政工勤2人）。按财政供给率分，均为全额财政拨款供给。本单位退休人员20人，其中：公务员9人，事业人员11人。其他人员有12，其中：遗属11人，临时炊事人员1人。</w:t>
      </w:r>
    </w:p>
    <w:p w14:paraId="324326C3">
      <w:pPr>
        <w:spacing w:line="576" w:lineRule="exact"/>
        <w:ind w:firstLine="640" w:firstLineChars="200"/>
        <w:rPr>
          <w:rFonts w:ascii="黑体" w:hAnsi="黑体" w:eastAsia="黑体" w:cs="黑体"/>
          <w:bCs/>
          <w:sz w:val="32"/>
          <w:szCs w:val="32"/>
          <w:lang w:val="zh-CN"/>
        </w:rPr>
      </w:pPr>
      <w:r>
        <w:rPr>
          <w:rFonts w:hint="eastAsia" w:ascii="黑体" w:hAnsi="黑体" w:eastAsia="黑体" w:cs="黑体"/>
          <w:bCs/>
          <w:sz w:val="32"/>
          <w:szCs w:val="32"/>
          <w:lang w:val="zh-CN"/>
        </w:rPr>
        <w:t>二、单位收支情况</w:t>
      </w:r>
    </w:p>
    <w:p w14:paraId="5105140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（一）收入情况</w:t>
      </w:r>
      <w:r>
        <w:rPr>
          <w:rFonts w:hint="eastAsia" w:ascii="楷体_GB2312" w:hAnsi="楷体_GB2312" w:eastAsia="楷体_GB2312" w:cs="楷体_GB2312"/>
          <w:bCs/>
          <w:sz w:val="32"/>
          <w:szCs w:val="32"/>
        </w:rPr>
        <w:t>。</w:t>
      </w:r>
      <w:r>
        <w:rPr>
          <w:rFonts w:hint="eastAsia" w:ascii="仿宋_GB2312" w:hAnsi="仿宋_GB2312" w:eastAsia="仿宋_GB2312" w:cs="仿宋_GB2312"/>
          <w:sz w:val="32"/>
          <w:szCs w:val="32"/>
          <w:lang w:val="zh-CN"/>
        </w:rPr>
        <w:t>射箭镇2024年年初预算收入1309.87万元，同比上年的1,306.83万元增加3.04万元，增长0.23%。年终追加收入为300.93万元（其中：基本支出98.94万元，为工资津补贴及保险47.67万元、年终目标考核51.27万元；项目支出201.99万元，为2023年乡镇工作补贴收入19.63万元、2023年度重点人员稳控经费7万元、药博园日常管理运行资金8万元、2023年度村（居）干部绩效25.81万元、2024年度离职村干部及80岁以上老党员救助23.73万元、2023年10-12月职业年金单位部分做实11.32万元、农公运及村（居）经费提标35.9万元、五房村基础设施维修整治28万元、2023年周转用房租金12.6万元、暴雨洪涝灾害灾后恢复2024年中央基建投资30万元）。</w:t>
      </w:r>
    </w:p>
    <w:p w14:paraId="54135FBF">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上年结转收入182.04万元（其中：基本支出68.4万元，项目支出113.64万元）。</w:t>
      </w:r>
    </w:p>
    <w:p w14:paraId="39B3FE6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（二）支出情况。</w:t>
      </w:r>
      <w:r>
        <w:rPr>
          <w:rFonts w:hint="eastAsia" w:ascii="仿宋_GB2312" w:hAnsi="仿宋_GB2312" w:eastAsia="仿宋_GB2312" w:cs="仿宋_GB2312"/>
          <w:sz w:val="32"/>
          <w:szCs w:val="32"/>
          <w:lang w:val="zh-CN"/>
        </w:rPr>
        <w:t>射箭镇2024年支出为1610.8万元，其中：</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一般公共服务支出722.83万元，同比年初预算的596.95万元增加125.88万元，主要为年初预算人员经费其他功能科目核算合并增加；</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文化体育与传媒支出7.5万元，同比年初预算的7.5万元持平；</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社会保障和就业支出140.05万元，同比年初预算的128.73万元增加11.32万元，主要为新增编制人员相应社保等各项经费增加；</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卫生健康支出30.43万元，同比年初预算29.73万元增加0.7万元，主要为单位在职人员年终目标考核经费相应增加；</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城乡社区支出69.9万元，同比年初预算的6万元增加63.9万元，主要为2024年度年中追加关于解决五房基础设施维修整治、农村公共服务（含村（社区）办公经费和公共运行维护）提标资金；</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农林水支出526.97万元，同比年初预算477.44万元增加49.53万元，主要为人员基础绩效补助增加；</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住房保障支出76.12万元，同比年初预算63.52万元增加12.6万元，主要为人员经费年终目标考核经费相应增加；</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灾害防治及应急管理支出37万元，同比年初预算0万元增加37万元，主要为解决2023年度重点人员稳控7万元、中央基建投资暴雨洪涝灾害灾后应急恢复资金30万元。</w:t>
      </w:r>
    </w:p>
    <w:p w14:paraId="4A3C7498">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（三）结转结余情况。</w:t>
      </w:r>
    </w:p>
    <w:p w14:paraId="12439BA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上年结转：一是其他运转类资金（2023年周转用房租金和农村公共服务提标）48.5万元；二是转移性项目资金（即年终预算调整暴雨洪涝灾害灾后应急恢复）30万元，以上同年均无预算。</w:t>
      </w:r>
    </w:p>
    <w:p w14:paraId="4E339684">
      <w:pPr>
        <w:spacing w:line="576" w:lineRule="exact"/>
        <w:ind w:firstLine="640" w:firstLineChars="200"/>
        <w:rPr>
          <w:rFonts w:ascii="黑体" w:hAnsi="黑体" w:eastAsia="黑体" w:cs="黑体"/>
          <w:bCs/>
          <w:sz w:val="32"/>
          <w:szCs w:val="32"/>
          <w:lang w:val="zh-CN"/>
        </w:rPr>
      </w:pPr>
      <w:r>
        <w:rPr>
          <w:rFonts w:hint="eastAsia" w:ascii="黑体" w:hAnsi="黑体" w:eastAsia="黑体" w:cs="黑体"/>
          <w:bCs/>
          <w:sz w:val="32"/>
          <w:szCs w:val="32"/>
          <w:lang w:val="zh-CN"/>
        </w:rPr>
        <w:t>三、部门预算绩效分析</w:t>
      </w:r>
    </w:p>
    <w:p w14:paraId="76A56E58">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（一）部门预算总体绩效分析</w:t>
      </w:r>
    </w:p>
    <w:p w14:paraId="1600141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1.目标管理情况。一是</w:t>
      </w:r>
      <w:r>
        <w:rPr>
          <w:rFonts w:hint="eastAsia" w:ascii="仿宋_GB2312" w:hAnsi="仿宋_GB2312" w:eastAsia="仿宋_GB2312" w:cs="仿宋_GB2312"/>
          <w:sz w:val="32"/>
          <w:szCs w:val="32"/>
          <w:lang w:val="zh-CN"/>
        </w:rPr>
        <w:t>目标制定情况。根据区财政组织开展对部门整体和部门预算项目（政策）绩效编制，在科学合理、规范完整、细化量化（成本指标设置情况）、与预算安排相匹配等方面情况较好。年度执行中增加的项目预算，根据预算一体化系统导出的绩效目标申报表编制质量确定符合项目实际。预算阶段人大反馈绩效目标质量可行性强。部门绩效目标制定是纳入本部门集体决策范围。</w:t>
      </w:r>
      <w:r>
        <w:rPr>
          <w:rFonts w:hint="eastAsia" w:ascii="仿宋_GB2312" w:hAnsi="仿宋_GB2312" w:eastAsia="仿宋_GB2312" w:cs="仿宋_GB2312"/>
          <w:bCs/>
          <w:sz w:val="32"/>
          <w:szCs w:val="32"/>
        </w:rPr>
        <w:t>二是</w:t>
      </w:r>
      <w:r>
        <w:rPr>
          <w:rFonts w:hint="eastAsia" w:ascii="仿宋_GB2312" w:hAnsi="仿宋_GB2312" w:eastAsia="仿宋_GB2312" w:cs="仿宋_GB2312"/>
          <w:sz w:val="32"/>
          <w:szCs w:val="32"/>
          <w:lang w:val="zh-CN"/>
        </w:rPr>
        <w:t>目标实现情况。对照部门年初整体支出绩效目标编制和实际完成情况，成本指标完成年初指标数，部分成本指标有所下降。部门年初整体支出绩效目标实际完成值等于预期指标值，各项指标已完成预期指标值即数量指标、质量指标、成本指标和社会效益指标等。</w:t>
      </w:r>
    </w:p>
    <w:p w14:paraId="45E42DF8">
      <w:pPr>
        <w:spacing w:line="576"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2.过程管控情况</w:t>
      </w:r>
      <w:r>
        <w:rPr>
          <w:rFonts w:hint="eastAsia" w:ascii="仿宋_GB2312" w:hAnsi="仿宋_GB2312" w:eastAsia="仿宋_GB2312" w:cs="仿宋_GB2312"/>
          <w:bCs/>
          <w:sz w:val="32"/>
          <w:szCs w:val="32"/>
          <w:lang w:val="zh-CN"/>
        </w:rPr>
        <w:t>。</w:t>
      </w:r>
    </w:p>
    <w:p w14:paraId="6CDF2255">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）严控一般支出。射箭镇政府严控“三公经费”、会议、培训、差旅、办节办展、办公设备购置、信息网络及软件购置更新、课题经费等</w:t>
      </w:r>
      <w:r>
        <w:rPr>
          <w:rFonts w:hint="eastAsia" w:ascii="仿宋_GB2312" w:hAnsi="仿宋_GB2312" w:eastAsia="仿宋_GB2312" w:cs="仿宋_GB2312"/>
          <w:sz w:val="32"/>
          <w:szCs w:val="32"/>
        </w:rPr>
        <w:t>8项一般性支出</w:t>
      </w:r>
      <w:r>
        <w:rPr>
          <w:rFonts w:hint="eastAsia" w:ascii="仿宋_GB2312" w:hAnsi="仿宋_GB2312" w:eastAsia="仿宋_GB2312" w:cs="仿宋_GB2312"/>
          <w:sz w:val="32"/>
          <w:szCs w:val="32"/>
          <w:lang w:val="zh-CN"/>
        </w:rPr>
        <w:t>决算数合计118.18万元，同比上年下降36%</w:t>
      </w:r>
      <w:r>
        <w:rPr>
          <w:rFonts w:hint="eastAsia" w:ascii="仿宋_GB2312" w:hAnsi="仿宋_GB2312" w:eastAsia="仿宋_GB2312" w:cs="仿宋_GB2312"/>
          <w:sz w:val="32"/>
          <w:szCs w:val="32"/>
        </w:rPr>
        <w:t>。其中：“三公经费”全年支出12万元（即主要为公务生活接待费）、同比上年持平；会议费1万元，同比上年下降66%；培训费2万元，同比上年增长100%；</w:t>
      </w:r>
      <w:r>
        <w:rPr>
          <w:rFonts w:hint="eastAsia" w:ascii="仿宋_GB2312" w:hAnsi="仿宋_GB2312" w:eastAsia="仿宋_GB2312" w:cs="仿宋_GB2312"/>
          <w:sz w:val="32"/>
          <w:szCs w:val="32"/>
          <w:lang w:val="zh-CN"/>
        </w:rPr>
        <w:t>差旅费</w:t>
      </w:r>
      <w:r>
        <w:rPr>
          <w:rFonts w:hint="eastAsia" w:ascii="仿宋_GB2312" w:hAnsi="仿宋_GB2312" w:eastAsia="仿宋_GB2312" w:cs="仿宋_GB2312"/>
          <w:sz w:val="32"/>
          <w:szCs w:val="32"/>
        </w:rPr>
        <w:t>32万元，同比上年下降21%；</w:t>
      </w:r>
      <w:r>
        <w:rPr>
          <w:rFonts w:hint="eastAsia" w:ascii="仿宋_GB2312" w:hAnsi="仿宋_GB2312" w:eastAsia="仿宋_GB2312" w:cs="仿宋_GB2312"/>
          <w:sz w:val="32"/>
          <w:szCs w:val="32"/>
          <w:lang w:val="zh-CN"/>
        </w:rPr>
        <w:t>办公设备购置</w:t>
      </w:r>
      <w:r>
        <w:rPr>
          <w:rFonts w:hint="eastAsia" w:ascii="仿宋_GB2312" w:hAnsi="仿宋_GB2312" w:eastAsia="仿宋_GB2312" w:cs="仿宋_GB2312"/>
          <w:sz w:val="32"/>
          <w:szCs w:val="32"/>
        </w:rPr>
        <w:t>0万元，同比上年增长（下降）0%；</w:t>
      </w:r>
      <w:r>
        <w:rPr>
          <w:rFonts w:hint="eastAsia" w:ascii="仿宋_GB2312" w:hAnsi="仿宋_GB2312" w:eastAsia="仿宋_GB2312" w:cs="仿宋_GB2312"/>
          <w:sz w:val="32"/>
          <w:szCs w:val="32"/>
          <w:lang w:val="zh-CN"/>
        </w:rPr>
        <w:t>信息网络及软件购置更新</w:t>
      </w:r>
      <w:r>
        <w:rPr>
          <w:rFonts w:hint="eastAsia" w:ascii="仿宋_GB2312" w:hAnsi="仿宋_GB2312" w:eastAsia="仿宋_GB2312" w:cs="仿宋_GB2312"/>
          <w:sz w:val="32"/>
          <w:szCs w:val="32"/>
        </w:rPr>
        <w:t>0万元，同比上年增长（下降）0%；</w:t>
      </w:r>
      <w:r>
        <w:rPr>
          <w:rFonts w:hint="eastAsia" w:ascii="仿宋_GB2312" w:hAnsi="仿宋_GB2312" w:eastAsia="仿宋_GB2312" w:cs="仿宋_GB2312"/>
          <w:sz w:val="32"/>
          <w:szCs w:val="32"/>
          <w:lang w:val="zh-CN"/>
        </w:rPr>
        <w:t>、课题经费</w:t>
      </w:r>
      <w:r>
        <w:rPr>
          <w:rFonts w:hint="eastAsia" w:ascii="仿宋_GB2312" w:hAnsi="仿宋_GB2312" w:eastAsia="仿宋_GB2312" w:cs="仿宋_GB2312"/>
          <w:sz w:val="32"/>
          <w:szCs w:val="32"/>
        </w:rPr>
        <w:t>0万元，同比上年增长（下降）0%。</w:t>
      </w:r>
    </w:p>
    <w:p w14:paraId="1D6E7D3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）执行进度，同步调整与及时处置。2024年度部门</w:t>
      </w:r>
      <w:r>
        <w:rPr>
          <w:rFonts w:hint="eastAsia" w:ascii="仿宋_GB2312" w:hAnsi="仿宋_GB2312" w:eastAsia="仿宋_GB2312" w:cs="仿宋_GB2312"/>
          <w:sz w:val="32"/>
          <w:szCs w:val="32"/>
        </w:rPr>
        <w:t>1至6月预算执行</w:t>
      </w:r>
      <w:r>
        <w:rPr>
          <w:rFonts w:hint="eastAsia" w:ascii="仿宋_GB2312" w:hAnsi="仿宋_GB2312" w:eastAsia="仿宋_GB2312" w:cs="仿宋_GB2312"/>
          <w:sz w:val="32"/>
          <w:szCs w:val="32"/>
          <w:lang w:val="zh-CN"/>
        </w:rPr>
        <w:t>绩效监控调整取消额和结余注销额均为零，1-12月预算部门账面显示预算数与财政平台显示预算支出数相符（其中1至6月预算执行序时进度缓慢，集中支付主要在9-12月份）。根据预算一体化导出可执行情况表数据显示，射箭镇政府预算项目12月预算执行进度达93%。射箭镇政府决算报表显示2024年度部门预算项目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个（含运转类、特定目标类），根据预算一体化导出可执行情况表数据显示部门预算项目执行率均在90%以上，以上各项资金使用符合财务管理制度相关规定，无低效无效资金。</w:t>
      </w:r>
    </w:p>
    <w:p w14:paraId="32919B2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）执行结果。截止自评之日，已完成</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zh-CN"/>
        </w:rPr>
        <w:t>个，占全年项目预算总数的7</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%。未完成6个，其中预算执行率是0%的2个、40%的1个、80%的1个、90%以上2个，占全年项目预算总数的2</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w:t>
      </w:r>
    </w:p>
    <w:p w14:paraId="2FDA0031">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（二）部门预算项目绩效分析</w:t>
      </w:r>
    </w:p>
    <w:p w14:paraId="0095271C">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2024年射箭镇人民政府部门预算项目资金913.31万元。受国际经济发展大环境影响，部分项目未及时验收，项目资金拨付滞后。</w:t>
      </w:r>
    </w:p>
    <w:p w14:paraId="6C1D200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1.常年项目绩效分析。</w:t>
      </w:r>
      <w:r>
        <w:rPr>
          <w:rFonts w:hint="eastAsia" w:ascii="仿宋_GB2312" w:hAnsi="仿宋_GB2312" w:eastAsia="仿宋_GB2312" w:cs="仿宋_GB2312"/>
          <w:sz w:val="32"/>
          <w:szCs w:val="32"/>
          <w:lang w:val="zh-CN"/>
        </w:rPr>
        <w:t>该类项目总数</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个，涉及预算金额580.48万元，1-12月预算执行总体进度为7</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%,其中：预算结余率大于10%的项目共计0个。</w:t>
      </w:r>
    </w:p>
    <w:p w14:paraId="5B4D7FDF">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2.阶段（一次性）项目绩效分析。</w:t>
      </w:r>
      <w:r>
        <w:rPr>
          <w:rFonts w:hint="eastAsia" w:ascii="仿宋_GB2312" w:hAnsi="仿宋_GB2312" w:eastAsia="仿宋_GB2312" w:cs="仿宋_GB2312"/>
          <w:sz w:val="32"/>
          <w:szCs w:val="32"/>
          <w:lang w:val="zh-CN"/>
        </w:rPr>
        <w:t>该类项目总数</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个，涉及预算总金额332.83万元，1-12月预算执行总体进度为85%，其中：预算结余率大于10%的项目共计1个。</w:t>
      </w:r>
    </w:p>
    <w:p w14:paraId="7F682D9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3.自评结果。</w:t>
      </w:r>
      <w:r>
        <w:rPr>
          <w:rFonts w:hint="eastAsia" w:ascii="仿宋_GB2312" w:hAnsi="仿宋_GB2312" w:eastAsia="仿宋_GB2312" w:cs="仿宋_GB2312"/>
          <w:sz w:val="32"/>
          <w:szCs w:val="32"/>
          <w:lang w:val="zh-CN"/>
        </w:rPr>
        <w:t>射箭镇政府预算项目（含一次性项目）共2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个，根据全年预算执行情况较好。按预算项目绩效评价指标体系，一是项目决策，各项目通过我单位镇党委会议集体决策，纳入项目库，与我单位职能职责相符，并充分履行项目申报论证程序。各个项目绩效目标制定科学、规范完整，与我镇年度综合目标一致。二是项目执行，我镇所实施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个项目实际列支913.31万元，与项目绩效目标设置相符；无项目调整，各项执行进度按计划完成79%，预算结余率7.4%。三目标实现，2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个项目绩效目标中各项目数量指标完成100%，目标偏离度为0。通过个项目的实施情况，社会效益反映良好，大大缩减各项经济成本，经走访、座谈群众，各项目满意度95%以上。</w:t>
      </w:r>
    </w:p>
    <w:p w14:paraId="2B96339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4.2024年射箭镇政府无新增30万元及以上的部门预算项目（含一次性项目）。</w:t>
      </w:r>
    </w:p>
    <w:p w14:paraId="09252649">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（三）专项预算绩效分析</w:t>
      </w:r>
    </w:p>
    <w:p w14:paraId="2D170F72">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1.专项预算项目完成情况。</w:t>
      </w:r>
      <w:r>
        <w:rPr>
          <w:rFonts w:hint="eastAsia" w:ascii="仿宋_GB2312" w:hAnsi="仿宋_GB2312" w:eastAsia="仿宋_GB2312" w:cs="仿宋_GB2312"/>
          <w:sz w:val="32"/>
          <w:szCs w:val="32"/>
          <w:lang w:val="zh-CN"/>
        </w:rPr>
        <w:t>射箭镇政府2024年专项预算项目（特定目标类）本次涉及</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个，分别为2024年基层组织活动和公共服务运行维护经费、五房村基础设施维修整治和解决东西部协作结余资金安排射箭镇项目（即冻库搬迁改造、农贸市场提升）差口资金。截止自评之日，以上专项项目已完成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占全年项目预算</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val="zh-CN"/>
        </w:rPr>
        <w:t>总数的</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根据一体化系统2024年部门预算，预算绩效报表中专项预算项目绩效目标申报查询和综合部门年度实际完成情况，经镇党委会议集体决议主要对我镇2024年基层组织活动和公共服务运行维护项目经费、五房村基础设施维修整治项目和解决东西部协作结余资金安排射箭镇项目（即冻库搬迁改造、农贸市场提升）差口资金</w:t>
      </w:r>
      <w:r>
        <w:rPr>
          <w:rFonts w:hint="eastAsia" w:ascii="仿宋_GB2312" w:hAnsi="仿宋_GB2312" w:eastAsia="仿宋_GB2312" w:cs="仿宋_GB2312"/>
          <w:sz w:val="32"/>
          <w:szCs w:val="32"/>
        </w:rPr>
        <w:t>3个专项</w:t>
      </w:r>
      <w:r>
        <w:rPr>
          <w:rFonts w:hint="eastAsia" w:ascii="仿宋_GB2312" w:hAnsi="仿宋_GB2312" w:eastAsia="仿宋_GB2312" w:cs="仿宋_GB2312"/>
          <w:sz w:val="32"/>
          <w:szCs w:val="32"/>
          <w:lang w:val="zh-CN"/>
        </w:rPr>
        <w:t>、对国有资产综合管理绩效工作进行自评。</w:t>
      </w:r>
    </w:p>
    <w:p w14:paraId="6A9988E5">
      <w:pPr>
        <w:pStyle w:val="6"/>
        <w:spacing w:before="93" w:line="576" w:lineRule="exact"/>
        <w:ind w:firstLine="640" w:firstLineChars="200"/>
        <w:rPr>
          <w:rFonts w:hAnsi="仿宋_GB2312" w:cs="仿宋_GB2312"/>
          <w:sz w:val="32"/>
          <w:szCs w:val="32"/>
          <w:lang w:val="zh-CN"/>
        </w:rPr>
      </w:pPr>
      <w:r>
        <w:rPr>
          <w:rFonts w:hint="eastAsia" w:hAnsi="仿宋_GB2312" w:cs="仿宋_GB2312"/>
          <w:sz w:val="32"/>
          <w:szCs w:val="32"/>
          <w:lang w:val="zh-CN"/>
        </w:rPr>
        <w:t>本次专项自评项目涉及9村2社区，项目完工率均为100%，总计资金118.5万元。</w:t>
      </w:r>
      <w:r>
        <w:rPr>
          <w:rFonts w:hint="eastAsia" w:hAnsi="仿宋_GB2312" w:cs="仿宋_GB2312"/>
          <w:bCs/>
          <w:sz w:val="32"/>
          <w:szCs w:val="32"/>
        </w:rPr>
        <w:t>（1）基层组织活动方面</w:t>
      </w:r>
      <w:r>
        <w:rPr>
          <w:rFonts w:hint="eastAsia" w:hAnsi="仿宋_GB2312" w:cs="仿宋_GB2312"/>
          <w:bCs/>
          <w:sz w:val="32"/>
          <w:szCs w:val="32"/>
          <w:lang w:val="zh-CN"/>
        </w:rPr>
        <w:t>。</w:t>
      </w:r>
      <w:r>
        <w:rPr>
          <w:rFonts w:hint="eastAsia" w:hAnsi="仿宋_GB2312" w:cs="仿宋_GB2312"/>
          <w:sz w:val="32"/>
          <w:szCs w:val="32"/>
          <w:lang w:val="zh-CN"/>
        </w:rPr>
        <w:t>开展基层组织活动44次;党员干部培训如主题教育36次、上党课11次、党员义务劳动33次（次/季）;党员集中学习50次;发展林下中药材、蔬菜和粮油等产业培训610人次；走访、慰问4次困难党员259人、困难群众233人。</w:t>
      </w:r>
      <w:r>
        <w:rPr>
          <w:rFonts w:hint="eastAsia" w:hAnsi="仿宋_GB2312" w:cs="仿宋_GB2312"/>
          <w:bCs/>
          <w:sz w:val="32"/>
          <w:szCs w:val="32"/>
        </w:rPr>
        <w:t>（2）公共运行维护方面。</w:t>
      </w:r>
      <w:r>
        <w:rPr>
          <w:rFonts w:hint="eastAsia" w:hAnsi="仿宋_GB2312" w:cs="仿宋_GB2312"/>
          <w:sz w:val="32"/>
          <w:szCs w:val="32"/>
          <w:lang w:val="zh-CN"/>
        </w:rPr>
        <w:t>其中：①农村基础设施“村社道路路面、涵洞排水管和两旁水沟”维护涉及村（社区）即潼梓村、龙江村、京元村、晒金村、板石村、云峰村、帽壳村、前锋村、五房村等9个村和明觉社区、提阳社区2个社区，资金42.45万元；②水利山坪塘渠系维护涉及村（社区）即云峰村1个村和明觉社区1个，资金4.65万元；③村级组织活动阵地维护涉及晒金村1个村，资金1.95万元；④；农村社区环境维护涉及村（社区）即潼梓村、京元村、晒金村、板石村、云峰村、帽壳村、前锋村、五房村等8个村和提阳社区1个社区，资金19.07万元；⑤农村产业发展园区维护涉及村即龙江村、板石村2个，资金4.71万元；⑥基层党建远程教育网络维护涉及潼梓村1个，金额0.17万元。</w:t>
      </w:r>
      <w:r>
        <w:rPr>
          <w:rFonts w:hint="eastAsia" w:hAnsi="仿宋_GB2312" w:cs="仿宋_GB2312"/>
          <w:bCs/>
          <w:sz w:val="32"/>
          <w:szCs w:val="32"/>
        </w:rPr>
        <w:t>（3）五房村基础设施维修整治。</w:t>
      </w:r>
      <w:r>
        <w:rPr>
          <w:rFonts w:hint="eastAsia" w:hAnsi="仿宋_GB2312" w:cs="仿宋_GB2312"/>
          <w:sz w:val="32"/>
          <w:szCs w:val="32"/>
          <w:lang w:val="zh-CN"/>
        </w:rPr>
        <w:t>完工率均为100%，总计资金28万元。其中：五房村水、电、路维修。①维修电线1800米35型裸线（15元/米）、电缆线4*70型50元/米），金额3.7万元；②更换水管32型1200米（6元/含材料、人工费），金额0.72万元；③道路整治21处30㎡（300元/㎡含材料、人工费），金额0.9万元；④排水沟整治3段206米（150元/米含材料、人工费），金额3.09万元。科普长廊、丛林穿越体验道维修。⑤维修科普长廊240米（100元/米含材料、人工费），金额2.4万元；⑥更换丛林穿越步行道木板38米（260元/米含材料、人工费），金额0.98万元；及安全网50米（300元/米含材料、人工费），金额1.5万元。小计2.48万元。公厕、百禽园圈舍维修。⑦更换厕所门窗、洗手盆及吊顶。即厕所更换内外门7栋（内门400元/栋、外门600元/栋含材料、人工费），金额0.36万元；窗户更换3栋（400元/栋含材料、人工费），金额0.12万元；洗手盆10套（1000元/套含材料、人工费），金额1万元；吊顶5间600米，（15元/米含材料、人工费），金额0.9万元，小计2.38万元。⑧整治百禽园圈舍。即新建圈舍7个188㎡（400元/㎡含材料、人工费），金额7.52万元；维修圈舍11个320㎡（50元/㎡含材料、人工费），金额1.6万元；圈舍围栏维修132米（70、90元/㎡含材料、人工费），金额1.94万元；新增垃圾桶10个（600元/个）、休息椅20把（300元/把），金额1.2万元；步游道安全围栏8米（120元/米），金额0.09万元。</w:t>
      </w:r>
      <w:r>
        <w:rPr>
          <w:rFonts w:hint="eastAsia" w:hAnsi="仿宋_GB2312" w:cs="仿宋_GB2312"/>
          <w:bCs/>
          <w:sz w:val="32"/>
          <w:szCs w:val="32"/>
        </w:rPr>
        <w:t>（4）解决东西部协作结余资金安排射箭镇项目（即冻库搬迁改造、农贸市场提升）差口资金。</w:t>
      </w:r>
      <w:r>
        <w:rPr>
          <w:rFonts w:hint="eastAsia" w:hAnsi="仿宋_GB2312" w:cs="仿宋_GB2312"/>
          <w:sz w:val="32"/>
          <w:szCs w:val="32"/>
          <w:lang w:val="zh-CN"/>
        </w:rPr>
        <w:t>①冻库搬迁项目。即实际完成冻库主体搬迁1944m</w:t>
      </w:r>
      <w:r>
        <w:rPr>
          <w:rFonts w:hint="eastAsia" w:hAnsi="仿宋_GB2312" w:cs="仿宋_GB2312"/>
          <w:sz w:val="32"/>
          <w:szCs w:val="32"/>
        </w:rPr>
        <w:t>³,外厂房搬迁390</w:t>
      </w:r>
      <w:r>
        <w:rPr>
          <w:rFonts w:hint="eastAsia" w:hAnsi="仿宋_GB2312" w:cs="仿宋_GB2312"/>
          <w:sz w:val="32"/>
          <w:szCs w:val="32"/>
          <w:lang w:val="zh-CN"/>
        </w:rPr>
        <w:t>m</w:t>
      </w:r>
      <w:r>
        <w:rPr>
          <w:rFonts w:hint="eastAsia" w:hAnsi="仿宋_GB2312" w:cs="仿宋_GB2312"/>
          <w:sz w:val="32"/>
          <w:szCs w:val="32"/>
        </w:rPr>
        <w:t>³，场坪基础升高70CM,制冷设备搬迁3套，资金3.65万元，于2023年10月15日全面竣工验收审核。</w:t>
      </w:r>
      <w:r>
        <w:rPr>
          <w:rFonts w:hint="eastAsia" w:hAnsi="仿宋_GB2312" w:cs="仿宋_GB2312"/>
          <w:sz w:val="32"/>
          <w:szCs w:val="32"/>
          <w:lang w:val="zh-CN"/>
        </w:rPr>
        <w:t>②</w:t>
      </w:r>
      <w:r>
        <w:rPr>
          <w:rFonts w:hint="eastAsia" w:hAnsi="仿宋_GB2312" w:cs="仿宋_GB2312"/>
          <w:sz w:val="32"/>
          <w:szCs w:val="32"/>
        </w:rPr>
        <w:t>农贸市场提升。即完成C25砼道路补烂（厚0.2m）1150㎡,更换井盖（φ700mm）8套，更换路沿石50m，无缝钢管（φ150mm）限高杆（长7m*高2.6m）2处，资金13.85万元，2023年11月10完工验收并审核。</w:t>
      </w:r>
      <w:r>
        <w:rPr>
          <w:rFonts w:hint="eastAsia" w:hAnsi="仿宋_GB2312" w:cs="仿宋_GB2312"/>
          <w:bCs/>
          <w:sz w:val="32"/>
          <w:szCs w:val="32"/>
        </w:rPr>
        <w:t>（5）国有资产综合管理。</w:t>
      </w:r>
      <w:r>
        <w:rPr>
          <w:rFonts w:hint="eastAsia" w:hAnsi="仿宋_GB2312" w:cs="仿宋_GB2312"/>
          <w:sz w:val="32"/>
          <w:szCs w:val="32"/>
          <w:lang w:val="zh-CN"/>
        </w:rPr>
        <w:t>从资产基础管理、日常管理和使用效益等方面，镇域内各项目运行过程正常，绩效管理部门采取抽查和实地核查相结合的方式，定期不定期的到各实施单位核查资产利用率，对其中发现的问题，及时要求整改，确保年终能保质保量完成年初制定的各项目标任务，为合理有效地配置相关资源,进一步提高国有资产的使用效率。</w:t>
      </w:r>
    </w:p>
    <w:p w14:paraId="6BC37AC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color w:val="000000"/>
          <w:sz w:val="32"/>
          <w:szCs w:val="32"/>
        </w:rPr>
        <w:t>2.专项预算事前绩效评估开展情况。</w:t>
      </w:r>
      <w:r>
        <w:rPr>
          <w:rFonts w:hint="eastAsia" w:ascii="仿宋_GB2312" w:hAnsi="仿宋_GB2312" w:eastAsia="仿宋_GB2312" w:cs="仿宋_GB2312"/>
          <w:sz w:val="32"/>
          <w:szCs w:val="32"/>
          <w:lang w:val="zh-CN"/>
        </w:rPr>
        <w:t>2024年，射箭镇无区本级财力追加30万元及以上项目，涉及中央转移支付即中央基建投资暴雨洪涝灾害灾后应急恢复村级道路项目30万元1个。前期本单位以样本评价的方式，自行开展了项目事前绩效评估，项目实施龙江村通过对暴雨洪涝灾害造成的毁损情况、社会影响等，定量、定性分析了项目立项必要性、投入经济性和绩效目标合理性三方面进行评估可行。及时在线上一体化平台将事前绩效评估资料提交，区财政相关股室审核通过。</w:t>
      </w:r>
    </w:p>
    <w:p w14:paraId="5A34C0ED">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（四）绩效结果应用情况。</w:t>
      </w:r>
      <w:r>
        <w:rPr>
          <w:rFonts w:hint="eastAsia" w:ascii="仿宋_GB2312" w:hAnsi="仿宋_GB2312" w:eastAsia="仿宋_GB2312" w:cs="仿宋_GB2312"/>
          <w:sz w:val="32"/>
          <w:szCs w:val="32"/>
          <w:lang w:val="zh-CN"/>
        </w:rPr>
        <w:t>射箭镇人民政府2024年建立健全了本单位预算绩效管理制度，符合我区政府出台的绩效制度和实际要求，内容完整并及时更新。建立了对内设机构和下属单位（村、社区）纳入内部预算绩效工作考核机制。部门整体支出绩效表按照上级要求的时间已随同年初预算一起在昭化区门户网向社会公开。根据绩效管理结果，进一步完善了政策、改进了管理方式方法。根据审计监督、财会监督和决策审查结果反映，我单位上一年度预算管理符合相关财政财务管理规定，无违反规定事项发生。</w:t>
      </w:r>
    </w:p>
    <w:p w14:paraId="195CA262">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（五）扣分项</w:t>
      </w:r>
    </w:p>
    <w:p w14:paraId="42D8833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23AEF559">
      <w:pPr>
        <w:spacing w:line="576" w:lineRule="exact"/>
        <w:ind w:firstLine="640" w:firstLineChars="200"/>
        <w:rPr>
          <w:rFonts w:ascii="黑体" w:hAnsi="黑体" w:eastAsia="黑体" w:cs="黑体"/>
          <w:bCs/>
          <w:sz w:val="32"/>
          <w:szCs w:val="32"/>
          <w:lang w:val="zh-CN"/>
        </w:rPr>
      </w:pPr>
      <w:r>
        <w:rPr>
          <w:rFonts w:hint="eastAsia" w:ascii="黑体" w:hAnsi="黑体" w:eastAsia="黑体" w:cs="黑体"/>
          <w:bCs/>
          <w:sz w:val="32"/>
          <w:szCs w:val="32"/>
          <w:lang w:val="zh-CN"/>
        </w:rPr>
        <w:t>四、综合评价结论及建议</w:t>
      </w:r>
    </w:p>
    <w:p w14:paraId="3257730F">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（一）评价结论。</w:t>
      </w:r>
      <w:r>
        <w:rPr>
          <w:rFonts w:hint="eastAsia" w:ascii="仿宋_GB2312" w:hAnsi="仿宋_GB2312" w:eastAsia="仿宋_GB2312" w:cs="仿宋_GB2312"/>
          <w:sz w:val="32"/>
          <w:szCs w:val="32"/>
          <w:lang w:val="zh-CN"/>
        </w:rPr>
        <w:t>射箭镇人民政府2024年部门整体支出在区财政局关心帮助及业务指导下，镇党委、政府坚强领导下，镇政府中心工作、各村（社区）基层工作有序推进。严格按照年初预算的各项指标执行，保质保量完成了年初制定的各项目标任务，经镇党委政府开展的自评情况，得分95分。</w:t>
      </w:r>
    </w:p>
    <w:p w14:paraId="38F9451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（二）存在问题。</w:t>
      </w:r>
      <w:r>
        <w:rPr>
          <w:rFonts w:hint="eastAsia" w:ascii="仿宋_GB2312" w:hAnsi="仿宋_GB2312" w:eastAsia="仿宋_GB2312" w:cs="仿宋_GB2312"/>
          <w:sz w:val="32"/>
          <w:szCs w:val="32"/>
          <w:lang w:val="zh-CN"/>
        </w:rPr>
        <w:t>目前我单位在项目绩效目标设定、预算执行、资金使用等方面，不同程度地存在一些操作不够规范、跟踪不够及时、衔接不够充分、监督不到位等问题。致使财政资金申请审批程序缓慢，资金拨付滞后。</w:t>
      </w:r>
    </w:p>
    <w:p w14:paraId="671D29B3">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（三）改进措施。</w:t>
      </w:r>
    </w:p>
    <w:p w14:paraId="7548C91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应立足实际，坚持推行精细化管理，强化预算绩效目标管理、细化绩效目标，并将绩效目标细化分解为具体工作计划，同时，计划应明确规定在一定时间内完成的目标、任务和应达到的要求，任务和要求应具体明确任务数量、质量。建立健全财政各项资金管理制度，严格执行财务管理制度，做到财务处理及时，会计核算规范，严格按照计划进度支付，各项目资金严格实行专款专用，保证更规范严要求使用资金。在下年度的预算编制工作中，我们会时刻跟踪预算项目执行进度，及时地完成预算资金支付，同时做好绩效评价等重点工作。</w:t>
      </w:r>
    </w:p>
    <w:p w14:paraId="0D201BDA">
      <w:pPr>
        <w:spacing w:line="576" w:lineRule="exact"/>
        <w:ind w:firstLine="640" w:firstLineChars="200"/>
        <w:rPr>
          <w:rFonts w:ascii="仿宋_GB2312" w:hAnsi="仿宋_GB2312" w:eastAsia="仿宋_GB2312" w:cs="仿宋_GB2312"/>
          <w:sz w:val="32"/>
          <w:szCs w:val="32"/>
          <w:lang w:val="zh-CN"/>
        </w:rPr>
      </w:pPr>
    </w:p>
    <w:p w14:paraId="6F05DF0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附件：2024年射箭镇部门整体支出绩效目标自评表</w:t>
      </w:r>
    </w:p>
    <w:p w14:paraId="1AC83F6A">
      <w:pPr>
        <w:widowControl/>
        <w:jc w:val="center"/>
        <w:textAlignment w:val="center"/>
        <w:rPr>
          <w:rFonts w:ascii="方正小标宋简体" w:hAnsi="方正小标宋简体" w:eastAsia="方正小标宋简体" w:cs="方正小标宋简体"/>
          <w:color w:val="000000"/>
          <w:kern w:val="0"/>
          <w:sz w:val="40"/>
          <w:szCs w:val="40"/>
        </w:rPr>
        <w:sectPr>
          <w:footerReference r:id="rId8" w:type="first"/>
          <w:footerReference r:id="rId7" w:type="default"/>
          <w:pgSz w:w="11906" w:h="16838"/>
          <w:pgMar w:top="2098" w:right="1474" w:bottom="1984" w:left="1587" w:header="851" w:footer="1304" w:gutter="0"/>
          <w:pgNumType w:start="1"/>
          <w:cols w:space="0" w:num="1"/>
          <w:titlePg/>
          <w:docGrid w:type="lines" w:linePitch="312" w:charSpace="0"/>
        </w:sectPr>
      </w:pPr>
    </w:p>
    <w:tbl>
      <w:tblPr>
        <w:tblStyle w:val="16"/>
        <w:tblW w:w="5190" w:type="pct"/>
        <w:tblInd w:w="0" w:type="dxa"/>
        <w:tblLayout w:type="autofit"/>
        <w:tblCellMar>
          <w:top w:w="0" w:type="dxa"/>
          <w:left w:w="108" w:type="dxa"/>
          <w:bottom w:w="0" w:type="dxa"/>
          <w:right w:w="108" w:type="dxa"/>
        </w:tblCellMar>
      </w:tblPr>
      <w:tblGrid>
        <w:gridCol w:w="1255"/>
        <w:gridCol w:w="1061"/>
        <w:gridCol w:w="2841"/>
        <w:gridCol w:w="2601"/>
        <w:gridCol w:w="1104"/>
        <w:gridCol w:w="969"/>
        <w:gridCol w:w="1311"/>
        <w:gridCol w:w="1013"/>
        <w:gridCol w:w="1310"/>
      </w:tblGrid>
      <w:tr w14:paraId="3F778801">
        <w:tblPrEx>
          <w:tblCellMar>
            <w:top w:w="0" w:type="dxa"/>
            <w:left w:w="108" w:type="dxa"/>
            <w:bottom w:w="0" w:type="dxa"/>
            <w:right w:w="108" w:type="dxa"/>
          </w:tblCellMar>
        </w:tblPrEx>
        <w:trPr>
          <w:trHeight w:val="421" w:hRule="atLeast"/>
        </w:trPr>
        <w:tc>
          <w:tcPr>
            <w:tcW w:w="5000" w:type="pct"/>
            <w:gridSpan w:val="9"/>
            <w:tcBorders>
              <w:top w:val="nil"/>
              <w:left w:val="nil"/>
              <w:bottom w:val="nil"/>
              <w:right w:val="nil"/>
            </w:tcBorders>
            <w:vAlign w:val="center"/>
          </w:tcPr>
          <w:p w14:paraId="6FC6EA7D">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15"/>
                <w:szCs w:val="15"/>
              </w:rPr>
              <w:t>2024年部门整体支出绩效目标自评表</w:t>
            </w:r>
          </w:p>
        </w:tc>
      </w:tr>
      <w:tr w14:paraId="1205A38F">
        <w:tblPrEx>
          <w:tblCellMar>
            <w:top w:w="0" w:type="dxa"/>
            <w:left w:w="108" w:type="dxa"/>
            <w:bottom w:w="0" w:type="dxa"/>
            <w:right w:w="108" w:type="dxa"/>
          </w:tblCellMar>
        </w:tblPrEx>
        <w:trPr>
          <w:trHeight w:val="140" w:hRule="atLeast"/>
        </w:trPr>
        <w:tc>
          <w:tcPr>
            <w:tcW w:w="1915" w:type="pct"/>
            <w:gridSpan w:val="3"/>
            <w:tcBorders>
              <w:top w:val="single" w:color="000000" w:sz="4" w:space="0"/>
              <w:left w:val="single" w:color="000000" w:sz="4" w:space="0"/>
              <w:bottom w:val="single" w:color="000000" w:sz="4" w:space="0"/>
              <w:right w:val="single" w:color="000000" w:sz="4" w:space="0"/>
            </w:tcBorders>
            <w:vAlign w:val="center"/>
          </w:tcPr>
          <w:p w14:paraId="603BD849">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部门名称</w:t>
            </w:r>
          </w:p>
        </w:tc>
        <w:tc>
          <w:tcPr>
            <w:tcW w:w="3084" w:type="pct"/>
            <w:gridSpan w:val="6"/>
            <w:tcBorders>
              <w:top w:val="single" w:color="000000" w:sz="4" w:space="0"/>
              <w:left w:val="single" w:color="000000" w:sz="4" w:space="0"/>
              <w:bottom w:val="single" w:color="000000" w:sz="4" w:space="0"/>
              <w:right w:val="single" w:color="000000" w:sz="4" w:space="0"/>
            </w:tcBorders>
            <w:vAlign w:val="center"/>
          </w:tcPr>
          <w:p w14:paraId="082DFEB9">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广元昭化区射箭镇人民政府</w:t>
            </w:r>
          </w:p>
        </w:tc>
      </w:tr>
      <w:tr w14:paraId="32414507">
        <w:tblPrEx>
          <w:tblCellMar>
            <w:top w:w="0" w:type="dxa"/>
            <w:left w:w="108" w:type="dxa"/>
            <w:bottom w:w="0" w:type="dxa"/>
            <w:right w:w="108" w:type="dxa"/>
          </w:tblCellMar>
        </w:tblPrEx>
        <w:trPr>
          <w:trHeight w:val="170" w:hRule="atLeast"/>
        </w:trPr>
        <w:tc>
          <w:tcPr>
            <w:tcW w:w="466" w:type="pct"/>
            <w:vMerge w:val="restart"/>
            <w:tcBorders>
              <w:top w:val="single" w:color="000000" w:sz="4" w:space="0"/>
              <w:left w:val="single" w:color="000000" w:sz="4" w:space="0"/>
              <w:bottom w:val="single" w:color="000000" w:sz="4" w:space="0"/>
              <w:right w:val="single" w:color="000000" w:sz="4" w:space="0"/>
            </w:tcBorders>
            <w:vAlign w:val="center"/>
          </w:tcPr>
          <w:p w14:paraId="659C8FD8">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年度部门整体支出预算</w:t>
            </w:r>
          </w:p>
        </w:tc>
        <w:tc>
          <w:tcPr>
            <w:tcW w:w="1449" w:type="pct"/>
            <w:gridSpan w:val="2"/>
            <w:tcBorders>
              <w:top w:val="single" w:color="000000" w:sz="4" w:space="0"/>
              <w:left w:val="single" w:color="000000" w:sz="4" w:space="0"/>
              <w:bottom w:val="single" w:color="000000" w:sz="4" w:space="0"/>
              <w:right w:val="single" w:color="000000" w:sz="4" w:space="0"/>
            </w:tcBorders>
            <w:vAlign w:val="center"/>
          </w:tcPr>
          <w:p w14:paraId="4398C1A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资金总额</w:t>
            </w:r>
          </w:p>
        </w:tc>
        <w:tc>
          <w:tcPr>
            <w:tcW w:w="1376" w:type="pct"/>
            <w:gridSpan w:val="2"/>
            <w:tcBorders>
              <w:top w:val="single" w:color="000000" w:sz="4" w:space="0"/>
              <w:left w:val="single" w:color="000000" w:sz="4" w:space="0"/>
              <w:bottom w:val="single" w:color="000000" w:sz="4" w:space="0"/>
              <w:right w:val="single" w:color="000000" w:sz="4" w:space="0"/>
            </w:tcBorders>
            <w:vAlign w:val="center"/>
          </w:tcPr>
          <w:p w14:paraId="5ADE9938">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财政拨款</w:t>
            </w:r>
          </w:p>
        </w:tc>
        <w:tc>
          <w:tcPr>
            <w:tcW w:w="1707" w:type="pct"/>
            <w:gridSpan w:val="4"/>
            <w:tcBorders>
              <w:top w:val="single" w:color="000000" w:sz="4" w:space="0"/>
              <w:left w:val="single" w:color="000000" w:sz="4" w:space="0"/>
              <w:bottom w:val="single" w:color="000000" w:sz="4" w:space="0"/>
              <w:right w:val="single" w:color="000000" w:sz="4" w:space="0"/>
            </w:tcBorders>
            <w:vAlign w:val="center"/>
          </w:tcPr>
          <w:p w14:paraId="4EC77A94">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其他资金</w:t>
            </w:r>
          </w:p>
        </w:tc>
      </w:tr>
      <w:tr w14:paraId="519126A0">
        <w:tblPrEx>
          <w:tblCellMar>
            <w:top w:w="0" w:type="dxa"/>
            <w:left w:w="108" w:type="dxa"/>
            <w:bottom w:w="0" w:type="dxa"/>
            <w:right w:w="108" w:type="dxa"/>
          </w:tblCellMar>
        </w:tblPrEx>
        <w:trPr>
          <w:trHeight w:val="140" w:hRule="atLeast"/>
        </w:trPr>
        <w:tc>
          <w:tcPr>
            <w:tcW w:w="466" w:type="pct"/>
            <w:vMerge w:val="continue"/>
            <w:tcBorders>
              <w:top w:val="single" w:color="000000" w:sz="4" w:space="0"/>
              <w:left w:val="single" w:color="000000" w:sz="4" w:space="0"/>
              <w:bottom w:val="single" w:color="000000" w:sz="4" w:space="0"/>
              <w:right w:val="single" w:color="000000" w:sz="4" w:space="0"/>
            </w:tcBorders>
            <w:vAlign w:val="center"/>
          </w:tcPr>
          <w:p w14:paraId="2506482A">
            <w:pPr>
              <w:widowControl/>
              <w:spacing w:line="240" w:lineRule="exact"/>
              <w:jc w:val="center"/>
              <w:rPr>
                <w:rFonts w:ascii="宋体" w:hAnsi="宋体" w:cs="宋体"/>
                <w:color w:val="000000"/>
                <w:sz w:val="10"/>
                <w:szCs w:val="10"/>
              </w:rPr>
            </w:pPr>
          </w:p>
        </w:tc>
        <w:tc>
          <w:tcPr>
            <w:tcW w:w="1449" w:type="pct"/>
            <w:gridSpan w:val="2"/>
            <w:tcBorders>
              <w:top w:val="single" w:color="000000" w:sz="4" w:space="0"/>
              <w:left w:val="single" w:color="000000" w:sz="4" w:space="0"/>
              <w:bottom w:val="single" w:color="000000" w:sz="4" w:space="0"/>
              <w:right w:val="single" w:color="000000" w:sz="4" w:space="0"/>
            </w:tcBorders>
            <w:vAlign w:val="center"/>
          </w:tcPr>
          <w:p w14:paraId="4280054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1,309.87万元</w:t>
            </w:r>
          </w:p>
        </w:tc>
        <w:tc>
          <w:tcPr>
            <w:tcW w:w="1376" w:type="pct"/>
            <w:gridSpan w:val="2"/>
            <w:tcBorders>
              <w:top w:val="single" w:color="000000" w:sz="4" w:space="0"/>
              <w:left w:val="single" w:color="000000" w:sz="4" w:space="0"/>
              <w:bottom w:val="single" w:color="000000" w:sz="4" w:space="0"/>
              <w:right w:val="single" w:color="000000" w:sz="4" w:space="0"/>
            </w:tcBorders>
            <w:vAlign w:val="center"/>
          </w:tcPr>
          <w:p w14:paraId="78DCAC5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1,309.87万元</w:t>
            </w:r>
          </w:p>
        </w:tc>
        <w:tc>
          <w:tcPr>
            <w:tcW w:w="1707" w:type="pct"/>
            <w:gridSpan w:val="4"/>
            <w:tcBorders>
              <w:top w:val="single" w:color="000000" w:sz="4" w:space="0"/>
              <w:left w:val="single" w:color="000000" w:sz="4" w:space="0"/>
              <w:bottom w:val="single" w:color="000000" w:sz="4" w:space="0"/>
              <w:right w:val="single" w:color="000000" w:sz="4" w:space="0"/>
            </w:tcBorders>
            <w:vAlign w:val="center"/>
          </w:tcPr>
          <w:p w14:paraId="54E98002">
            <w:pPr>
              <w:widowControl/>
              <w:spacing w:line="240" w:lineRule="exact"/>
              <w:jc w:val="center"/>
              <w:rPr>
                <w:rFonts w:ascii="宋体" w:hAnsi="宋体" w:cs="宋体"/>
                <w:color w:val="000000"/>
                <w:sz w:val="10"/>
                <w:szCs w:val="10"/>
              </w:rPr>
            </w:pPr>
          </w:p>
        </w:tc>
      </w:tr>
      <w:tr w14:paraId="799EC66E">
        <w:tblPrEx>
          <w:tblCellMar>
            <w:top w:w="0" w:type="dxa"/>
            <w:left w:w="108" w:type="dxa"/>
            <w:bottom w:w="0" w:type="dxa"/>
            <w:right w:w="108" w:type="dxa"/>
          </w:tblCellMar>
        </w:tblPrEx>
        <w:trPr>
          <w:trHeight w:val="185" w:hRule="atLeast"/>
        </w:trPr>
        <w:tc>
          <w:tcPr>
            <w:tcW w:w="466" w:type="pct"/>
            <w:tcBorders>
              <w:top w:val="single" w:color="000000" w:sz="4" w:space="0"/>
              <w:left w:val="single" w:color="000000" w:sz="4" w:space="0"/>
              <w:bottom w:val="single" w:color="000000" w:sz="4" w:space="0"/>
              <w:right w:val="nil"/>
            </w:tcBorders>
            <w:vAlign w:val="center"/>
          </w:tcPr>
          <w:p w14:paraId="0EABF824">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年度总体目标</w:t>
            </w:r>
          </w:p>
        </w:tc>
        <w:tc>
          <w:tcPr>
            <w:tcW w:w="4533" w:type="pct"/>
            <w:gridSpan w:val="8"/>
            <w:tcBorders>
              <w:top w:val="single" w:color="000000" w:sz="4" w:space="0"/>
              <w:left w:val="single" w:color="000000" w:sz="4" w:space="0"/>
              <w:bottom w:val="single" w:color="000000" w:sz="4" w:space="0"/>
              <w:right w:val="single" w:color="000000" w:sz="4" w:space="0"/>
            </w:tcBorders>
            <w:vAlign w:val="center"/>
          </w:tcPr>
          <w:p w14:paraId="31D83382">
            <w:pPr>
              <w:widowControl/>
              <w:spacing w:line="240" w:lineRule="exact"/>
              <w:jc w:val="left"/>
              <w:textAlignment w:val="center"/>
              <w:rPr>
                <w:rFonts w:ascii="宋体" w:hAnsi="宋体" w:cs="宋体"/>
                <w:color w:val="000000"/>
                <w:sz w:val="10"/>
                <w:szCs w:val="10"/>
              </w:rPr>
            </w:pPr>
            <w:r>
              <w:rPr>
                <w:rFonts w:hint="eastAsia" w:ascii="宋体" w:hAnsi="宋体" w:cs="宋体"/>
                <w:color w:val="000000"/>
                <w:kern w:val="0"/>
                <w:sz w:val="10"/>
                <w:szCs w:val="10"/>
              </w:rPr>
              <w:t xml:space="preserve"> 全镇在区委、区政府的正确领导下，紧紧围绕党的二十大精神和区委“1456”有关部署和要求，聚焦本镇重点谋发展，强服务、强发展、强民生，全力以赴推动经济高质量发展、产业转型新提升、增进社会民生福祉。保障镇、村（社区）工作正常开展。</w:t>
            </w:r>
          </w:p>
        </w:tc>
      </w:tr>
      <w:tr w14:paraId="18DD1CA6">
        <w:tblPrEx>
          <w:tblCellMar>
            <w:top w:w="0" w:type="dxa"/>
            <w:left w:w="108" w:type="dxa"/>
            <w:bottom w:w="0" w:type="dxa"/>
            <w:right w:w="108" w:type="dxa"/>
          </w:tblCellMar>
        </w:tblPrEx>
        <w:trPr>
          <w:trHeight w:val="170" w:hRule="atLeast"/>
        </w:trPr>
        <w:tc>
          <w:tcPr>
            <w:tcW w:w="466" w:type="pct"/>
            <w:vMerge w:val="restart"/>
            <w:tcBorders>
              <w:top w:val="single" w:color="000000" w:sz="4" w:space="0"/>
              <w:left w:val="single" w:color="000000" w:sz="4" w:space="0"/>
              <w:bottom w:val="single" w:color="000000" w:sz="4" w:space="0"/>
              <w:right w:val="nil"/>
            </w:tcBorders>
            <w:vAlign w:val="center"/>
          </w:tcPr>
          <w:p w14:paraId="6880381C">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年度主要</w:t>
            </w:r>
            <w:r>
              <w:rPr>
                <w:rFonts w:hint="eastAsia" w:ascii="宋体" w:hAnsi="宋体" w:cs="宋体"/>
                <w:color w:val="000000"/>
                <w:kern w:val="0"/>
                <w:sz w:val="10"/>
                <w:szCs w:val="10"/>
              </w:rPr>
              <w:br w:type="textWrapping"/>
            </w:r>
            <w:r>
              <w:rPr>
                <w:rFonts w:hint="eastAsia" w:ascii="宋体" w:hAnsi="宋体" w:cs="宋体"/>
                <w:color w:val="000000"/>
                <w:kern w:val="0"/>
                <w:sz w:val="10"/>
                <w:szCs w:val="10"/>
              </w:rPr>
              <w:t>任务</w:t>
            </w:r>
          </w:p>
        </w:tc>
        <w:tc>
          <w:tcPr>
            <w:tcW w:w="1449" w:type="pct"/>
            <w:gridSpan w:val="2"/>
            <w:tcBorders>
              <w:top w:val="single" w:color="000000" w:sz="4" w:space="0"/>
              <w:left w:val="single" w:color="000000" w:sz="4" w:space="0"/>
              <w:bottom w:val="single" w:color="000000" w:sz="4" w:space="0"/>
              <w:right w:val="single" w:color="000000" w:sz="4" w:space="0"/>
            </w:tcBorders>
            <w:vAlign w:val="center"/>
          </w:tcPr>
          <w:p w14:paraId="3E7CE9C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任务名称</w:t>
            </w:r>
          </w:p>
        </w:tc>
        <w:tc>
          <w:tcPr>
            <w:tcW w:w="3084" w:type="pct"/>
            <w:gridSpan w:val="6"/>
            <w:tcBorders>
              <w:top w:val="single" w:color="000000" w:sz="4" w:space="0"/>
              <w:left w:val="single" w:color="000000" w:sz="4" w:space="0"/>
              <w:bottom w:val="single" w:color="000000" w:sz="4" w:space="0"/>
              <w:right w:val="single" w:color="000000" w:sz="4" w:space="0"/>
            </w:tcBorders>
            <w:vAlign w:val="center"/>
          </w:tcPr>
          <w:p w14:paraId="71D9F89D">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主要内容</w:t>
            </w:r>
          </w:p>
        </w:tc>
      </w:tr>
      <w:tr w14:paraId="610D108D">
        <w:tblPrEx>
          <w:tblCellMar>
            <w:top w:w="0" w:type="dxa"/>
            <w:left w:w="108" w:type="dxa"/>
            <w:bottom w:w="0" w:type="dxa"/>
            <w:right w:w="108" w:type="dxa"/>
          </w:tblCellMar>
        </w:tblPrEx>
        <w:trPr>
          <w:trHeight w:val="487" w:hRule="atLeast"/>
        </w:trPr>
        <w:tc>
          <w:tcPr>
            <w:tcW w:w="466" w:type="pct"/>
            <w:vMerge w:val="continue"/>
            <w:tcBorders>
              <w:top w:val="single" w:color="000000" w:sz="4" w:space="0"/>
              <w:left w:val="single" w:color="000000" w:sz="4" w:space="0"/>
              <w:bottom w:val="single" w:color="000000" w:sz="4" w:space="0"/>
              <w:right w:val="nil"/>
            </w:tcBorders>
            <w:vAlign w:val="center"/>
          </w:tcPr>
          <w:p w14:paraId="336317EB">
            <w:pPr>
              <w:widowControl/>
              <w:spacing w:line="240" w:lineRule="exact"/>
              <w:jc w:val="center"/>
              <w:rPr>
                <w:rFonts w:ascii="宋体" w:hAnsi="宋体" w:cs="宋体"/>
                <w:color w:val="000000"/>
                <w:sz w:val="10"/>
                <w:szCs w:val="10"/>
              </w:rPr>
            </w:pPr>
          </w:p>
        </w:tc>
        <w:tc>
          <w:tcPr>
            <w:tcW w:w="1449" w:type="pct"/>
            <w:gridSpan w:val="2"/>
            <w:tcBorders>
              <w:top w:val="single" w:color="000000" w:sz="4" w:space="0"/>
              <w:left w:val="single" w:color="000000" w:sz="4" w:space="0"/>
              <w:right w:val="single" w:color="000000" w:sz="4" w:space="0"/>
            </w:tcBorders>
          </w:tcPr>
          <w:p w14:paraId="0692BAE1">
            <w:pPr>
              <w:widowControl/>
              <w:spacing w:line="240" w:lineRule="exact"/>
              <w:textAlignment w:val="center"/>
              <w:rPr>
                <w:rFonts w:ascii="宋体" w:hAnsi="宋体" w:cs="宋体"/>
                <w:color w:val="000000"/>
                <w:sz w:val="10"/>
                <w:szCs w:val="10"/>
              </w:rPr>
            </w:pPr>
            <w:r>
              <w:rPr>
                <w:rFonts w:hint="eastAsia" w:ascii="宋体" w:hAnsi="宋体" w:cs="宋体"/>
                <w:color w:val="000000"/>
                <w:sz w:val="10"/>
                <w:szCs w:val="10"/>
              </w:rPr>
              <w:t>镇、村（社区）、组人员经费、</w:t>
            </w:r>
            <w:r>
              <w:rPr>
                <w:rFonts w:ascii="宋体" w:hAnsi="宋体" w:cs="宋体"/>
                <w:color w:val="000000"/>
                <w:kern w:val="0"/>
                <w:sz w:val="10"/>
                <w:szCs w:val="10"/>
              </w:rPr>
              <w:t>村（社区）日常办公运行支出</w:t>
            </w:r>
            <w:r>
              <w:rPr>
                <w:rFonts w:hint="eastAsia" w:ascii="宋体" w:hAnsi="宋体" w:cs="宋体"/>
                <w:color w:val="000000"/>
                <w:kern w:val="0"/>
                <w:sz w:val="10"/>
                <w:szCs w:val="10"/>
              </w:rPr>
              <w:t>、政府公用性经费、</w:t>
            </w:r>
            <w:r>
              <w:rPr>
                <w:rFonts w:ascii="宋体" w:hAnsi="宋体" w:cs="宋体"/>
                <w:color w:val="000000"/>
                <w:kern w:val="0"/>
                <w:sz w:val="10"/>
                <w:szCs w:val="10"/>
              </w:rPr>
              <w:t>人大主席团、代表工作</w:t>
            </w:r>
            <w:r>
              <w:rPr>
                <w:rFonts w:hint="eastAsia" w:ascii="宋体" w:hAnsi="宋体" w:cs="宋体"/>
                <w:color w:val="000000"/>
                <w:kern w:val="0"/>
                <w:sz w:val="10"/>
                <w:szCs w:val="10"/>
              </w:rPr>
              <w:t>经费、机关伙食团、交通、武装、乡镇补贴、园区建设等经费</w:t>
            </w:r>
          </w:p>
        </w:tc>
        <w:tc>
          <w:tcPr>
            <w:tcW w:w="3084" w:type="pct"/>
            <w:gridSpan w:val="6"/>
            <w:tcBorders>
              <w:top w:val="single" w:color="000000" w:sz="4" w:space="0"/>
              <w:left w:val="single" w:color="000000" w:sz="4" w:space="0"/>
              <w:bottom w:val="single" w:color="000000" w:sz="4" w:space="0"/>
              <w:right w:val="single" w:color="000000" w:sz="4" w:space="0"/>
            </w:tcBorders>
          </w:tcPr>
          <w:p w14:paraId="66412BE7">
            <w:pPr>
              <w:widowControl/>
              <w:spacing w:line="240" w:lineRule="exact"/>
              <w:textAlignment w:val="center"/>
              <w:rPr>
                <w:rFonts w:ascii="宋体" w:hAnsi="宋体" w:cs="宋体"/>
                <w:color w:val="000000"/>
                <w:sz w:val="10"/>
                <w:szCs w:val="10"/>
              </w:rPr>
            </w:pPr>
            <w:r>
              <w:rPr>
                <w:rFonts w:ascii="宋体" w:hAnsi="宋体" w:cs="宋体"/>
                <w:color w:val="000000"/>
                <w:kern w:val="0"/>
                <w:sz w:val="10"/>
                <w:szCs w:val="10"/>
              </w:rPr>
              <w:t>保障全镇9村2社区124人工资生活补助</w:t>
            </w:r>
            <w:r>
              <w:rPr>
                <w:rFonts w:hint="eastAsia" w:ascii="宋体" w:hAnsi="宋体" w:cs="宋体"/>
                <w:color w:val="000000"/>
                <w:kern w:val="0"/>
                <w:sz w:val="10"/>
                <w:szCs w:val="10"/>
              </w:rPr>
              <w:t>等；</w:t>
            </w:r>
            <w:r>
              <w:rPr>
                <w:rFonts w:ascii="宋体" w:hAnsi="宋体" w:cs="宋体"/>
                <w:color w:val="000000"/>
                <w:kern w:val="0"/>
                <w:sz w:val="10"/>
                <w:szCs w:val="10"/>
              </w:rPr>
              <w:t>保障全镇9村2社区117人（按月）支付人员工资报酬</w:t>
            </w:r>
            <w:r>
              <w:rPr>
                <w:rFonts w:hint="eastAsia" w:ascii="宋体" w:hAnsi="宋体" w:cs="宋体"/>
                <w:color w:val="000000"/>
                <w:kern w:val="0"/>
                <w:sz w:val="10"/>
                <w:szCs w:val="10"/>
              </w:rPr>
              <w:t>等；</w:t>
            </w:r>
            <w:r>
              <w:rPr>
                <w:rFonts w:ascii="宋体" w:hAnsi="宋体" w:cs="宋体"/>
                <w:color w:val="000000"/>
                <w:kern w:val="0"/>
                <w:sz w:val="10"/>
                <w:szCs w:val="10"/>
              </w:rPr>
              <w:t>保障在编在职人员工资</w:t>
            </w:r>
            <w:r>
              <w:rPr>
                <w:rFonts w:hint="eastAsia" w:ascii="宋体" w:hAnsi="宋体" w:cs="宋体"/>
                <w:color w:val="000000"/>
                <w:kern w:val="0"/>
                <w:sz w:val="10"/>
                <w:szCs w:val="10"/>
              </w:rPr>
              <w:t>、五险一金等，</w:t>
            </w:r>
            <w:r>
              <w:rPr>
                <w:rFonts w:ascii="宋体" w:hAnsi="宋体" w:cs="宋体"/>
                <w:color w:val="000000"/>
                <w:kern w:val="0"/>
                <w:sz w:val="10"/>
                <w:szCs w:val="10"/>
              </w:rPr>
              <w:t>用于在编在职人员54人差旅费</w:t>
            </w:r>
            <w:r>
              <w:rPr>
                <w:rFonts w:hint="eastAsia" w:ascii="宋体" w:hAnsi="宋体" w:cs="宋体"/>
                <w:color w:val="000000"/>
                <w:kern w:val="0"/>
                <w:sz w:val="10"/>
                <w:szCs w:val="10"/>
              </w:rPr>
              <w:t>等；</w:t>
            </w:r>
            <w:r>
              <w:rPr>
                <w:rFonts w:ascii="宋体" w:hAnsi="宋体" w:cs="宋体"/>
                <w:color w:val="000000"/>
                <w:kern w:val="0"/>
                <w:sz w:val="10"/>
                <w:szCs w:val="10"/>
              </w:rPr>
              <w:t>为镇人大主席团</w:t>
            </w:r>
            <w:r>
              <w:rPr>
                <w:rFonts w:hint="eastAsia" w:ascii="宋体" w:hAnsi="宋体" w:cs="宋体"/>
                <w:color w:val="000000"/>
                <w:kern w:val="0"/>
                <w:sz w:val="10"/>
                <w:szCs w:val="10"/>
              </w:rPr>
              <w:t>、武装、道路、消防等</w:t>
            </w:r>
            <w:r>
              <w:rPr>
                <w:rFonts w:ascii="宋体" w:hAnsi="宋体" w:cs="宋体"/>
                <w:color w:val="000000"/>
                <w:kern w:val="0"/>
                <w:sz w:val="10"/>
                <w:szCs w:val="10"/>
              </w:rPr>
              <w:t>工作提供经费保障</w:t>
            </w:r>
            <w:r>
              <w:rPr>
                <w:rFonts w:hint="eastAsia" w:ascii="宋体" w:hAnsi="宋体" w:cs="宋体"/>
                <w:color w:val="000000"/>
                <w:kern w:val="0"/>
                <w:sz w:val="10"/>
                <w:szCs w:val="10"/>
              </w:rPr>
              <w:t>；</w:t>
            </w:r>
            <w:r>
              <w:rPr>
                <w:rFonts w:ascii="宋体" w:hAnsi="宋体" w:cs="宋体"/>
                <w:color w:val="000000"/>
                <w:kern w:val="0"/>
                <w:sz w:val="10"/>
                <w:szCs w:val="10"/>
              </w:rPr>
              <w:t>为</w:t>
            </w:r>
            <w:r>
              <w:rPr>
                <w:rFonts w:hint="eastAsia" w:ascii="宋体" w:hAnsi="宋体" w:cs="宋体"/>
                <w:color w:val="000000"/>
                <w:kern w:val="0"/>
                <w:sz w:val="10"/>
                <w:szCs w:val="10"/>
              </w:rPr>
              <w:t>保障提阳、明觉社区垃圾清运、路灯照明；</w:t>
            </w:r>
            <w:r>
              <w:rPr>
                <w:rFonts w:ascii="宋体" w:hAnsi="宋体" w:cs="宋体"/>
                <w:color w:val="000000"/>
                <w:kern w:val="0"/>
                <w:sz w:val="10"/>
                <w:szCs w:val="10"/>
              </w:rPr>
              <w:t>提升镇域内即龙江粮油、蔬菜农业园区的建设</w:t>
            </w:r>
            <w:r>
              <w:rPr>
                <w:rFonts w:hint="eastAsia" w:ascii="宋体" w:hAnsi="宋体" w:cs="宋体"/>
                <w:color w:val="000000"/>
                <w:kern w:val="0"/>
                <w:sz w:val="10"/>
                <w:szCs w:val="10"/>
              </w:rPr>
              <w:t>，</w:t>
            </w:r>
            <w:r>
              <w:rPr>
                <w:rFonts w:ascii="宋体" w:hAnsi="宋体" w:cs="宋体"/>
                <w:color w:val="000000"/>
                <w:kern w:val="0"/>
                <w:sz w:val="10"/>
                <w:szCs w:val="10"/>
              </w:rPr>
              <w:t>开展基层组织活动、党员干部培训等</w:t>
            </w:r>
            <w:r>
              <w:rPr>
                <w:rFonts w:hint="eastAsia" w:ascii="宋体" w:hAnsi="宋体" w:cs="宋体"/>
                <w:color w:val="000000"/>
                <w:kern w:val="0"/>
                <w:sz w:val="10"/>
                <w:szCs w:val="10"/>
              </w:rPr>
              <w:t>。</w:t>
            </w:r>
          </w:p>
        </w:tc>
      </w:tr>
      <w:tr w14:paraId="678FBE53">
        <w:tblPrEx>
          <w:tblCellMar>
            <w:top w:w="0" w:type="dxa"/>
            <w:left w:w="108" w:type="dxa"/>
            <w:bottom w:w="0" w:type="dxa"/>
            <w:right w:w="108" w:type="dxa"/>
          </w:tblCellMar>
        </w:tblPrEx>
        <w:trPr>
          <w:trHeight w:val="220" w:hRule="atLeast"/>
        </w:trPr>
        <w:tc>
          <w:tcPr>
            <w:tcW w:w="466" w:type="pct"/>
            <w:tcBorders>
              <w:top w:val="nil"/>
              <w:left w:val="single" w:color="000000" w:sz="4" w:space="0"/>
              <w:bottom w:val="nil"/>
              <w:right w:val="nil"/>
            </w:tcBorders>
            <w:vAlign w:val="center"/>
          </w:tcPr>
          <w:p w14:paraId="702532B2">
            <w:pPr>
              <w:widowControl/>
              <w:spacing w:line="240" w:lineRule="exact"/>
              <w:textAlignment w:val="center"/>
              <w:rPr>
                <w:rFonts w:ascii="宋体" w:hAnsi="宋体" w:cs="宋体"/>
                <w:color w:val="000000"/>
                <w:sz w:val="10"/>
                <w:szCs w:val="10"/>
              </w:rPr>
            </w:pPr>
            <w:r>
              <w:rPr>
                <w:rFonts w:hint="eastAsia" w:ascii="宋体" w:hAnsi="宋体" w:cs="宋体"/>
                <w:color w:val="000000"/>
                <w:kern w:val="0"/>
                <w:sz w:val="10"/>
                <w:szCs w:val="10"/>
              </w:rPr>
              <w:t>年度绩效指标</w:t>
            </w:r>
          </w:p>
        </w:tc>
        <w:tc>
          <w:tcPr>
            <w:tcW w:w="394" w:type="pct"/>
            <w:tcBorders>
              <w:top w:val="single" w:color="000000" w:sz="4" w:space="0"/>
              <w:left w:val="single" w:color="000000" w:sz="4" w:space="0"/>
              <w:bottom w:val="single" w:color="000000" w:sz="4" w:space="0"/>
              <w:right w:val="single" w:color="000000" w:sz="4" w:space="0"/>
            </w:tcBorders>
            <w:vAlign w:val="center"/>
          </w:tcPr>
          <w:p w14:paraId="622ED1D4">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一级指标</w:t>
            </w:r>
          </w:p>
        </w:tc>
        <w:tc>
          <w:tcPr>
            <w:tcW w:w="1054" w:type="pct"/>
            <w:tcBorders>
              <w:top w:val="single" w:color="000000" w:sz="4" w:space="0"/>
              <w:left w:val="single" w:color="000000" w:sz="4" w:space="0"/>
              <w:bottom w:val="single" w:color="000000" w:sz="4" w:space="0"/>
              <w:right w:val="single" w:color="000000" w:sz="4" w:space="0"/>
            </w:tcBorders>
            <w:vAlign w:val="center"/>
          </w:tcPr>
          <w:p w14:paraId="50DF74E1">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二级指标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68D8CFF0">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三级指标</w:t>
            </w:r>
          </w:p>
        </w:tc>
        <w:tc>
          <w:tcPr>
            <w:tcW w:w="409" w:type="pct"/>
            <w:tcBorders>
              <w:top w:val="single" w:color="000000" w:sz="4" w:space="0"/>
              <w:left w:val="single" w:color="000000" w:sz="4" w:space="0"/>
              <w:bottom w:val="single" w:color="000000" w:sz="4" w:space="0"/>
              <w:right w:val="single" w:color="000000" w:sz="4" w:space="0"/>
            </w:tcBorders>
            <w:vAlign w:val="center"/>
          </w:tcPr>
          <w:p w14:paraId="4E13E197">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绩效指标性质</w:t>
            </w:r>
          </w:p>
        </w:tc>
        <w:tc>
          <w:tcPr>
            <w:tcW w:w="360" w:type="pct"/>
            <w:tcBorders>
              <w:top w:val="single" w:color="000000" w:sz="4" w:space="0"/>
              <w:left w:val="single" w:color="000000" w:sz="4" w:space="0"/>
              <w:bottom w:val="single" w:color="000000" w:sz="4" w:space="0"/>
              <w:right w:val="single" w:color="000000" w:sz="4" w:space="0"/>
            </w:tcBorders>
            <w:vAlign w:val="center"/>
          </w:tcPr>
          <w:p w14:paraId="65574D37">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绩效指标值</w:t>
            </w:r>
          </w:p>
        </w:tc>
        <w:tc>
          <w:tcPr>
            <w:tcW w:w="487" w:type="pct"/>
            <w:tcBorders>
              <w:top w:val="single" w:color="000000" w:sz="4" w:space="0"/>
              <w:left w:val="single" w:color="000000" w:sz="4" w:space="0"/>
              <w:bottom w:val="single" w:color="000000" w:sz="4" w:space="0"/>
              <w:right w:val="single" w:color="000000" w:sz="4" w:space="0"/>
            </w:tcBorders>
            <w:vAlign w:val="center"/>
          </w:tcPr>
          <w:p w14:paraId="1E6F266D">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绩效度量单位</w:t>
            </w:r>
          </w:p>
        </w:tc>
        <w:tc>
          <w:tcPr>
            <w:tcW w:w="376" w:type="pct"/>
            <w:tcBorders>
              <w:top w:val="single" w:color="000000" w:sz="4" w:space="0"/>
              <w:left w:val="single" w:color="000000" w:sz="4" w:space="0"/>
              <w:bottom w:val="single" w:color="000000" w:sz="4" w:space="0"/>
              <w:right w:val="single" w:color="000000" w:sz="4" w:space="0"/>
            </w:tcBorders>
            <w:vAlign w:val="center"/>
          </w:tcPr>
          <w:p w14:paraId="18728CFB">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权重</w:t>
            </w:r>
          </w:p>
        </w:tc>
        <w:tc>
          <w:tcPr>
            <w:tcW w:w="483" w:type="pct"/>
            <w:tcBorders>
              <w:top w:val="single" w:color="000000" w:sz="4" w:space="0"/>
              <w:left w:val="single" w:color="000000" w:sz="4" w:space="0"/>
              <w:bottom w:val="single" w:color="000000" w:sz="4" w:space="0"/>
              <w:right w:val="single" w:color="000000" w:sz="4" w:space="0"/>
            </w:tcBorders>
            <w:vAlign w:val="center"/>
          </w:tcPr>
          <w:p w14:paraId="555EC37A">
            <w:pPr>
              <w:widowControl/>
              <w:spacing w:line="240" w:lineRule="exact"/>
              <w:jc w:val="left"/>
              <w:textAlignment w:val="center"/>
              <w:rPr>
                <w:rFonts w:ascii="宋体" w:hAnsi="宋体" w:cs="宋体"/>
                <w:color w:val="000000"/>
                <w:sz w:val="10"/>
                <w:szCs w:val="10"/>
              </w:rPr>
            </w:pPr>
            <w:r>
              <w:rPr>
                <w:rFonts w:hint="eastAsia" w:ascii="宋体" w:hAnsi="宋体" w:cs="宋体"/>
                <w:color w:val="000000"/>
                <w:kern w:val="0"/>
                <w:sz w:val="10"/>
                <w:szCs w:val="10"/>
              </w:rPr>
              <w:t>实际完成指标值</w:t>
            </w:r>
          </w:p>
        </w:tc>
      </w:tr>
      <w:tr w14:paraId="4E805519">
        <w:tblPrEx>
          <w:tblCellMar>
            <w:top w:w="0" w:type="dxa"/>
            <w:left w:w="108" w:type="dxa"/>
            <w:bottom w:w="0" w:type="dxa"/>
            <w:right w:w="108" w:type="dxa"/>
          </w:tblCellMar>
        </w:tblPrEx>
        <w:trPr>
          <w:trHeight w:val="163" w:hRule="atLeast"/>
        </w:trPr>
        <w:tc>
          <w:tcPr>
            <w:tcW w:w="466" w:type="pct"/>
            <w:vMerge w:val="restart"/>
            <w:tcBorders>
              <w:top w:val="single" w:color="000000" w:sz="4" w:space="0"/>
              <w:left w:val="single" w:color="000000" w:sz="4" w:space="0"/>
              <w:bottom w:val="single" w:color="000000" w:sz="4" w:space="0"/>
              <w:right w:val="nil"/>
            </w:tcBorders>
            <w:vAlign w:val="center"/>
          </w:tcPr>
          <w:p w14:paraId="684D7923">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年度绩效</w:t>
            </w:r>
            <w:r>
              <w:rPr>
                <w:rFonts w:hint="eastAsia" w:ascii="宋体" w:hAnsi="宋体" w:cs="宋体"/>
                <w:color w:val="000000"/>
                <w:kern w:val="0"/>
                <w:sz w:val="10"/>
                <w:szCs w:val="10"/>
              </w:rPr>
              <w:br w:type="textWrapping"/>
            </w:r>
            <w:r>
              <w:rPr>
                <w:rFonts w:hint="eastAsia" w:ascii="宋体" w:hAnsi="宋体" w:cs="宋体"/>
                <w:color w:val="000000"/>
                <w:kern w:val="0"/>
                <w:sz w:val="10"/>
                <w:szCs w:val="10"/>
              </w:rPr>
              <w:t>指标</w:t>
            </w:r>
          </w:p>
        </w:tc>
        <w:tc>
          <w:tcPr>
            <w:tcW w:w="394" w:type="pct"/>
            <w:vMerge w:val="restart"/>
            <w:tcBorders>
              <w:top w:val="single" w:color="000000" w:sz="4" w:space="0"/>
              <w:left w:val="single" w:color="000000" w:sz="4" w:space="0"/>
              <w:bottom w:val="single" w:color="000000" w:sz="4" w:space="0"/>
              <w:right w:val="single" w:color="000000" w:sz="4" w:space="0"/>
            </w:tcBorders>
            <w:vAlign w:val="center"/>
          </w:tcPr>
          <w:p w14:paraId="3C4601E2">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产出指标</w:t>
            </w:r>
          </w:p>
        </w:tc>
        <w:tc>
          <w:tcPr>
            <w:tcW w:w="1054" w:type="pct"/>
            <w:vMerge w:val="restart"/>
            <w:tcBorders>
              <w:top w:val="single" w:color="000000" w:sz="4" w:space="0"/>
              <w:left w:val="single" w:color="000000" w:sz="4" w:space="0"/>
              <w:bottom w:val="single" w:color="000000" w:sz="4" w:space="0"/>
              <w:right w:val="single" w:color="000000" w:sz="4" w:space="0"/>
            </w:tcBorders>
            <w:vAlign w:val="center"/>
          </w:tcPr>
          <w:p w14:paraId="6AC4FEE8">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数量指标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3F48EA2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保障场镇路灯照明数</w:t>
            </w:r>
          </w:p>
        </w:tc>
        <w:tc>
          <w:tcPr>
            <w:tcW w:w="409" w:type="pct"/>
            <w:tcBorders>
              <w:top w:val="single" w:color="000000" w:sz="4" w:space="0"/>
              <w:left w:val="single" w:color="000000" w:sz="4" w:space="0"/>
              <w:bottom w:val="single" w:color="000000" w:sz="4" w:space="0"/>
              <w:right w:val="single" w:color="000000" w:sz="4" w:space="0"/>
            </w:tcBorders>
            <w:vAlign w:val="center"/>
          </w:tcPr>
          <w:p w14:paraId="613B630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1FFBDC93">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93</w:t>
            </w:r>
          </w:p>
        </w:tc>
        <w:tc>
          <w:tcPr>
            <w:tcW w:w="487" w:type="pct"/>
            <w:tcBorders>
              <w:top w:val="single" w:color="000000" w:sz="4" w:space="0"/>
              <w:left w:val="single" w:color="000000" w:sz="4" w:space="0"/>
              <w:bottom w:val="single" w:color="000000" w:sz="4" w:space="0"/>
              <w:right w:val="single" w:color="000000" w:sz="4" w:space="0"/>
            </w:tcBorders>
            <w:vAlign w:val="center"/>
          </w:tcPr>
          <w:p w14:paraId="2348614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盏</w:t>
            </w:r>
          </w:p>
        </w:tc>
        <w:tc>
          <w:tcPr>
            <w:tcW w:w="376" w:type="pct"/>
            <w:tcBorders>
              <w:top w:val="single" w:color="000000" w:sz="4" w:space="0"/>
              <w:left w:val="single" w:color="000000" w:sz="4" w:space="0"/>
              <w:bottom w:val="single" w:color="000000" w:sz="4" w:space="0"/>
              <w:right w:val="single" w:color="000000" w:sz="4" w:space="0"/>
            </w:tcBorders>
            <w:vAlign w:val="center"/>
          </w:tcPr>
          <w:p w14:paraId="6283C298">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34247F4C">
            <w:pPr>
              <w:widowControl/>
              <w:spacing w:line="240" w:lineRule="exact"/>
              <w:jc w:val="center"/>
              <w:textAlignment w:val="center"/>
              <w:rPr>
                <w:rFonts w:ascii="宋体" w:hAnsi="宋体" w:cs="宋体"/>
                <w:color w:val="000000"/>
                <w:sz w:val="10"/>
                <w:szCs w:val="10"/>
              </w:rPr>
            </w:pPr>
            <w:r>
              <w:rPr>
                <w:rStyle w:val="37"/>
                <w:rFonts w:hint="default"/>
                <w:sz w:val="10"/>
                <w:szCs w:val="10"/>
              </w:rPr>
              <w:t>=93盏</w:t>
            </w:r>
          </w:p>
        </w:tc>
      </w:tr>
      <w:tr w14:paraId="018D97BA">
        <w:tblPrEx>
          <w:tblCellMar>
            <w:top w:w="0" w:type="dxa"/>
            <w:left w:w="108" w:type="dxa"/>
            <w:bottom w:w="0" w:type="dxa"/>
            <w:right w:w="108" w:type="dxa"/>
          </w:tblCellMar>
        </w:tblPrEx>
        <w:trPr>
          <w:trHeight w:val="200" w:hRule="atLeast"/>
        </w:trPr>
        <w:tc>
          <w:tcPr>
            <w:tcW w:w="466" w:type="pct"/>
            <w:vMerge w:val="continue"/>
            <w:tcBorders>
              <w:top w:val="single" w:color="000000" w:sz="4" w:space="0"/>
              <w:left w:val="single" w:color="000000" w:sz="4" w:space="0"/>
              <w:bottom w:val="single" w:color="000000" w:sz="4" w:space="0"/>
              <w:right w:val="nil"/>
            </w:tcBorders>
            <w:vAlign w:val="center"/>
          </w:tcPr>
          <w:p w14:paraId="69A6B41C">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14C761BA">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1E2EDD91">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1E9E8FB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保障干部生活补助</w:t>
            </w:r>
            <w:r>
              <w:rPr>
                <w:rFonts w:hint="eastAsia" w:ascii="宋体" w:hAnsi="宋体" w:cs="宋体"/>
                <w:color w:val="000000"/>
                <w:kern w:val="0"/>
                <w:sz w:val="10"/>
                <w:szCs w:val="10"/>
              </w:rPr>
              <w:t>、</w:t>
            </w:r>
            <w:r>
              <w:rPr>
                <w:rFonts w:ascii="宋体" w:hAnsi="宋体" w:cs="宋体"/>
                <w:color w:val="000000"/>
                <w:kern w:val="0"/>
                <w:sz w:val="10"/>
                <w:szCs w:val="10"/>
              </w:rPr>
              <w:t>工资、津补贴和各项保险缴费人数</w:t>
            </w:r>
          </w:p>
        </w:tc>
        <w:tc>
          <w:tcPr>
            <w:tcW w:w="409" w:type="pct"/>
            <w:tcBorders>
              <w:top w:val="single" w:color="000000" w:sz="4" w:space="0"/>
              <w:left w:val="single" w:color="000000" w:sz="4" w:space="0"/>
              <w:bottom w:val="single" w:color="000000" w:sz="4" w:space="0"/>
              <w:right w:val="single" w:color="000000" w:sz="4" w:space="0"/>
            </w:tcBorders>
            <w:vAlign w:val="center"/>
          </w:tcPr>
          <w:p w14:paraId="5236BDEA">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2B9D35CE">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252</w:t>
            </w:r>
          </w:p>
        </w:tc>
        <w:tc>
          <w:tcPr>
            <w:tcW w:w="487" w:type="pct"/>
            <w:tcBorders>
              <w:top w:val="single" w:color="000000" w:sz="4" w:space="0"/>
              <w:left w:val="single" w:color="000000" w:sz="4" w:space="0"/>
              <w:bottom w:val="single" w:color="000000" w:sz="4" w:space="0"/>
              <w:right w:val="single" w:color="000000" w:sz="4" w:space="0"/>
            </w:tcBorders>
            <w:vAlign w:val="center"/>
          </w:tcPr>
          <w:p w14:paraId="1897826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人</w:t>
            </w:r>
          </w:p>
        </w:tc>
        <w:tc>
          <w:tcPr>
            <w:tcW w:w="376" w:type="pct"/>
            <w:tcBorders>
              <w:top w:val="single" w:color="000000" w:sz="4" w:space="0"/>
              <w:left w:val="single" w:color="000000" w:sz="4" w:space="0"/>
              <w:bottom w:val="single" w:color="000000" w:sz="4" w:space="0"/>
              <w:right w:val="single" w:color="000000" w:sz="4" w:space="0"/>
            </w:tcBorders>
            <w:vAlign w:val="center"/>
          </w:tcPr>
          <w:p w14:paraId="0C22A821">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6</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4F22A92">
            <w:pPr>
              <w:widowControl/>
              <w:spacing w:line="240" w:lineRule="exact"/>
              <w:jc w:val="center"/>
              <w:textAlignment w:val="center"/>
              <w:rPr>
                <w:rFonts w:ascii="宋体" w:hAnsi="宋体" w:cs="宋体"/>
                <w:color w:val="000000"/>
                <w:sz w:val="10"/>
                <w:szCs w:val="10"/>
              </w:rPr>
            </w:pPr>
            <w:r>
              <w:rPr>
                <w:rStyle w:val="37"/>
                <w:rFonts w:hint="default"/>
                <w:sz w:val="10"/>
                <w:szCs w:val="10"/>
              </w:rPr>
              <w:t>=252人</w:t>
            </w:r>
          </w:p>
        </w:tc>
      </w:tr>
      <w:tr w14:paraId="16C62903">
        <w:tblPrEx>
          <w:tblCellMar>
            <w:top w:w="0" w:type="dxa"/>
            <w:left w:w="108" w:type="dxa"/>
            <w:bottom w:w="0" w:type="dxa"/>
            <w:right w:w="108" w:type="dxa"/>
          </w:tblCellMar>
        </w:tblPrEx>
        <w:trPr>
          <w:trHeight w:val="185" w:hRule="atLeast"/>
        </w:trPr>
        <w:tc>
          <w:tcPr>
            <w:tcW w:w="466" w:type="pct"/>
            <w:vMerge w:val="continue"/>
            <w:tcBorders>
              <w:top w:val="single" w:color="000000" w:sz="4" w:space="0"/>
              <w:left w:val="single" w:color="000000" w:sz="4" w:space="0"/>
              <w:bottom w:val="single" w:color="000000" w:sz="4" w:space="0"/>
              <w:right w:val="nil"/>
            </w:tcBorders>
            <w:vAlign w:val="center"/>
          </w:tcPr>
          <w:p w14:paraId="06F02BB2">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7B2E5615">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46D4CF23">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2BEA791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保障垃圾中转站正常运转数</w:t>
            </w:r>
          </w:p>
        </w:tc>
        <w:tc>
          <w:tcPr>
            <w:tcW w:w="409" w:type="pct"/>
            <w:tcBorders>
              <w:top w:val="single" w:color="000000" w:sz="4" w:space="0"/>
              <w:left w:val="single" w:color="000000" w:sz="4" w:space="0"/>
              <w:bottom w:val="single" w:color="000000" w:sz="4" w:space="0"/>
              <w:right w:val="single" w:color="000000" w:sz="4" w:space="0"/>
            </w:tcBorders>
            <w:vAlign w:val="center"/>
          </w:tcPr>
          <w:p w14:paraId="3AD7DD9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47FA1B58">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7" w:type="pct"/>
            <w:tcBorders>
              <w:top w:val="single" w:color="000000" w:sz="4" w:space="0"/>
              <w:left w:val="single" w:color="000000" w:sz="4" w:space="0"/>
              <w:bottom w:val="single" w:color="000000" w:sz="4" w:space="0"/>
              <w:right w:val="single" w:color="000000" w:sz="4" w:space="0"/>
            </w:tcBorders>
            <w:vAlign w:val="center"/>
          </w:tcPr>
          <w:p w14:paraId="167BB02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座（处）</w:t>
            </w:r>
          </w:p>
        </w:tc>
        <w:tc>
          <w:tcPr>
            <w:tcW w:w="376" w:type="pct"/>
            <w:tcBorders>
              <w:top w:val="single" w:color="000000" w:sz="4" w:space="0"/>
              <w:left w:val="single" w:color="000000" w:sz="4" w:space="0"/>
              <w:bottom w:val="single" w:color="000000" w:sz="4" w:space="0"/>
              <w:right w:val="single" w:color="000000" w:sz="4" w:space="0"/>
            </w:tcBorders>
            <w:vAlign w:val="center"/>
          </w:tcPr>
          <w:p w14:paraId="10F59EC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0E032AB">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=2座（处）</w:t>
            </w:r>
          </w:p>
        </w:tc>
      </w:tr>
      <w:tr w14:paraId="1D939E12">
        <w:tblPrEx>
          <w:tblCellMar>
            <w:top w:w="0" w:type="dxa"/>
            <w:left w:w="108" w:type="dxa"/>
            <w:bottom w:w="0" w:type="dxa"/>
            <w:right w:w="108" w:type="dxa"/>
          </w:tblCellMar>
        </w:tblPrEx>
        <w:trPr>
          <w:trHeight w:val="198" w:hRule="atLeast"/>
        </w:trPr>
        <w:tc>
          <w:tcPr>
            <w:tcW w:w="466" w:type="pct"/>
            <w:vMerge w:val="continue"/>
            <w:tcBorders>
              <w:top w:val="single" w:color="000000" w:sz="4" w:space="0"/>
              <w:left w:val="single" w:color="000000" w:sz="4" w:space="0"/>
              <w:bottom w:val="single" w:color="000000" w:sz="4" w:space="0"/>
              <w:right w:val="nil"/>
            </w:tcBorders>
            <w:vAlign w:val="center"/>
          </w:tcPr>
          <w:p w14:paraId="55E2093E">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76634933">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7FF82591">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2973D76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农业园区年度蔬菜粮油产出数量</w:t>
            </w:r>
          </w:p>
        </w:tc>
        <w:tc>
          <w:tcPr>
            <w:tcW w:w="409" w:type="pct"/>
            <w:tcBorders>
              <w:top w:val="single" w:color="000000" w:sz="4" w:space="0"/>
              <w:left w:val="single" w:color="000000" w:sz="4" w:space="0"/>
              <w:bottom w:val="single" w:color="000000" w:sz="4" w:space="0"/>
              <w:right w:val="single" w:color="000000" w:sz="4" w:space="0"/>
            </w:tcBorders>
            <w:vAlign w:val="center"/>
          </w:tcPr>
          <w:p w14:paraId="768052B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52C0D9D8">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25</w:t>
            </w:r>
          </w:p>
        </w:tc>
        <w:tc>
          <w:tcPr>
            <w:tcW w:w="487" w:type="pct"/>
            <w:tcBorders>
              <w:top w:val="single" w:color="000000" w:sz="4" w:space="0"/>
              <w:left w:val="single" w:color="000000" w:sz="4" w:space="0"/>
              <w:bottom w:val="single" w:color="000000" w:sz="4" w:space="0"/>
              <w:right w:val="single" w:color="000000" w:sz="4" w:space="0"/>
            </w:tcBorders>
            <w:vAlign w:val="center"/>
          </w:tcPr>
          <w:p w14:paraId="32F5572D">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吨</w:t>
            </w:r>
          </w:p>
        </w:tc>
        <w:tc>
          <w:tcPr>
            <w:tcW w:w="376" w:type="pct"/>
            <w:tcBorders>
              <w:top w:val="single" w:color="000000" w:sz="4" w:space="0"/>
              <w:left w:val="single" w:color="000000" w:sz="4" w:space="0"/>
              <w:bottom w:val="single" w:color="000000" w:sz="4" w:space="0"/>
              <w:right w:val="single" w:color="000000" w:sz="4" w:space="0"/>
            </w:tcBorders>
            <w:vAlign w:val="center"/>
          </w:tcPr>
          <w:p w14:paraId="2D4FDBE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3D32616">
            <w:pPr>
              <w:widowControl/>
              <w:spacing w:line="240" w:lineRule="exact"/>
              <w:jc w:val="center"/>
              <w:textAlignment w:val="center"/>
              <w:rPr>
                <w:rFonts w:ascii="宋体" w:hAnsi="宋体" w:cs="宋体"/>
                <w:color w:val="000000"/>
                <w:sz w:val="10"/>
                <w:szCs w:val="10"/>
              </w:rPr>
            </w:pPr>
            <w:r>
              <w:rPr>
                <w:rStyle w:val="37"/>
                <w:rFonts w:hint="default"/>
                <w:sz w:val="10"/>
                <w:szCs w:val="10"/>
              </w:rPr>
              <w:t>≥125吨</w:t>
            </w:r>
          </w:p>
        </w:tc>
      </w:tr>
      <w:tr w14:paraId="73444C02">
        <w:tblPrEx>
          <w:tblCellMar>
            <w:top w:w="0" w:type="dxa"/>
            <w:left w:w="108" w:type="dxa"/>
            <w:bottom w:w="0" w:type="dxa"/>
            <w:right w:w="108" w:type="dxa"/>
          </w:tblCellMar>
        </w:tblPrEx>
        <w:trPr>
          <w:trHeight w:val="170" w:hRule="atLeast"/>
        </w:trPr>
        <w:tc>
          <w:tcPr>
            <w:tcW w:w="466" w:type="pct"/>
            <w:vMerge w:val="continue"/>
            <w:tcBorders>
              <w:top w:val="single" w:color="000000" w:sz="4" w:space="0"/>
              <w:left w:val="single" w:color="000000" w:sz="4" w:space="0"/>
              <w:bottom w:val="single" w:color="000000" w:sz="4" w:space="0"/>
              <w:right w:val="nil"/>
            </w:tcBorders>
            <w:vAlign w:val="center"/>
          </w:tcPr>
          <w:p w14:paraId="41D43C76">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5CB27673">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2674180A">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59D401C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完成维护村社道路涵洞及水沟长度数量</w:t>
            </w:r>
          </w:p>
        </w:tc>
        <w:tc>
          <w:tcPr>
            <w:tcW w:w="409" w:type="pct"/>
            <w:tcBorders>
              <w:top w:val="single" w:color="000000" w:sz="4" w:space="0"/>
              <w:left w:val="single" w:color="000000" w:sz="4" w:space="0"/>
              <w:bottom w:val="single" w:color="000000" w:sz="4" w:space="0"/>
              <w:right w:val="single" w:color="000000" w:sz="4" w:space="0"/>
            </w:tcBorders>
            <w:vAlign w:val="center"/>
          </w:tcPr>
          <w:p w14:paraId="7327CFA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586B5D1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3029</w:t>
            </w:r>
          </w:p>
        </w:tc>
        <w:tc>
          <w:tcPr>
            <w:tcW w:w="487" w:type="pct"/>
            <w:tcBorders>
              <w:top w:val="single" w:color="000000" w:sz="4" w:space="0"/>
              <w:left w:val="single" w:color="000000" w:sz="4" w:space="0"/>
              <w:bottom w:val="single" w:color="000000" w:sz="4" w:space="0"/>
              <w:right w:val="single" w:color="000000" w:sz="4" w:space="0"/>
            </w:tcBorders>
            <w:vAlign w:val="center"/>
          </w:tcPr>
          <w:p w14:paraId="497770D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米</w:t>
            </w:r>
          </w:p>
        </w:tc>
        <w:tc>
          <w:tcPr>
            <w:tcW w:w="376" w:type="pct"/>
            <w:tcBorders>
              <w:top w:val="single" w:color="000000" w:sz="4" w:space="0"/>
              <w:left w:val="single" w:color="000000" w:sz="4" w:space="0"/>
              <w:bottom w:val="single" w:color="000000" w:sz="4" w:space="0"/>
              <w:right w:val="single" w:color="000000" w:sz="4" w:space="0"/>
            </w:tcBorders>
            <w:vAlign w:val="center"/>
          </w:tcPr>
          <w:p w14:paraId="4BF571E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63A8516">
            <w:pPr>
              <w:widowControl/>
              <w:spacing w:line="240" w:lineRule="exact"/>
              <w:jc w:val="center"/>
              <w:textAlignment w:val="center"/>
              <w:rPr>
                <w:rFonts w:ascii="宋体" w:hAnsi="宋体" w:cs="宋体"/>
                <w:color w:val="000000"/>
                <w:sz w:val="10"/>
                <w:szCs w:val="10"/>
              </w:rPr>
            </w:pPr>
            <w:r>
              <w:rPr>
                <w:rStyle w:val="37"/>
                <w:rFonts w:hint="default"/>
                <w:sz w:val="10"/>
                <w:szCs w:val="10"/>
              </w:rPr>
              <w:t>≥3029米</w:t>
            </w:r>
          </w:p>
        </w:tc>
      </w:tr>
      <w:tr w14:paraId="1926B978">
        <w:tblPrEx>
          <w:tblCellMar>
            <w:top w:w="0" w:type="dxa"/>
            <w:left w:w="108" w:type="dxa"/>
            <w:bottom w:w="0" w:type="dxa"/>
            <w:right w:w="108" w:type="dxa"/>
          </w:tblCellMar>
        </w:tblPrEx>
        <w:trPr>
          <w:trHeight w:val="162" w:hRule="atLeast"/>
        </w:trPr>
        <w:tc>
          <w:tcPr>
            <w:tcW w:w="466" w:type="pct"/>
            <w:vMerge w:val="continue"/>
            <w:tcBorders>
              <w:top w:val="single" w:color="000000" w:sz="4" w:space="0"/>
              <w:left w:val="single" w:color="000000" w:sz="4" w:space="0"/>
              <w:bottom w:val="single" w:color="000000" w:sz="4" w:space="0"/>
              <w:right w:val="nil"/>
            </w:tcBorders>
            <w:vAlign w:val="center"/>
          </w:tcPr>
          <w:p w14:paraId="0AAE2AEB">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355EADE7">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230614DA">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5BB9504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完成维护村社道路路面长度数量</w:t>
            </w:r>
          </w:p>
        </w:tc>
        <w:tc>
          <w:tcPr>
            <w:tcW w:w="409" w:type="pct"/>
            <w:tcBorders>
              <w:top w:val="single" w:color="000000" w:sz="4" w:space="0"/>
              <w:left w:val="single" w:color="000000" w:sz="4" w:space="0"/>
              <w:bottom w:val="single" w:color="000000" w:sz="4" w:space="0"/>
              <w:right w:val="single" w:color="000000" w:sz="4" w:space="0"/>
            </w:tcBorders>
            <w:vAlign w:val="center"/>
          </w:tcPr>
          <w:p w14:paraId="730CD37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6073CCF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452.5</w:t>
            </w:r>
          </w:p>
        </w:tc>
        <w:tc>
          <w:tcPr>
            <w:tcW w:w="487" w:type="pct"/>
            <w:tcBorders>
              <w:top w:val="single" w:color="000000" w:sz="4" w:space="0"/>
              <w:left w:val="single" w:color="000000" w:sz="4" w:space="0"/>
              <w:bottom w:val="single" w:color="000000" w:sz="4" w:space="0"/>
              <w:right w:val="single" w:color="000000" w:sz="4" w:space="0"/>
            </w:tcBorders>
            <w:vAlign w:val="center"/>
          </w:tcPr>
          <w:p w14:paraId="0B7DF4A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米</w:t>
            </w:r>
          </w:p>
        </w:tc>
        <w:tc>
          <w:tcPr>
            <w:tcW w:w="376" w:type="pct"/>
            <w:tcBorders>
              <w:top w:val="single" w:color="000000" w:sz="4" w:space="0"/>
              <w:left w:val="single" w:color="000000" w:sz="4" w:space="0"/>
              <w:bottom w:val="single" w:color="000000" w:sz="4" w:space="0"/>
              <w:right w:val="single" w:color="000000" w:sz="4" w:space="0"/>
            </w:tcBorders>
            <w:vAlign w:val="center"/>
          </w:tcPr>
          <w:p w14:paraId="4A33075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FEB53D7">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≥453米</w:t>
            </w:r>
          </w:p>
        </w:tc>
      </w:tr>
      <w:tr w14:paraId="696A542E">
        <w:tblPrEx>
          <w:tblCellMar>
            <w:top w:w="0" w:type="dxa"/>
            <w:left w:w="108" w:type="dxa"/>
            <w:bottom w:w="0" w:type="dxa"/>
            <w:right w:w="108" w:type="dxa"/>
          </w:tblCellMar>
        </w:tblPrEx>
        <w:trPr>
          <w:trHeight w:val="283" w:hRule="atLeast"/>
        </w:trPr>
        <w:tc>
          <w:tcPr>
            <w:tcW w:w="466" w:type="pct"/>
            <w:vMerge w:val="continue"/>
            <w:tcBorders>
              <w:top w:val="single" w:color="000000" w:sz="4" w:space="0"/>
              <w:left w:val="single" w:color="000000" w:sz="4" w:space="0"/>
              <w:bottom w:val="single" w:color="000000" w:sz="4" w:space="0"/>
              <w:right w:val="nil"/>
            </w:tcBorders>
            <w:vAlign w:val="center"/>
          </w:tcPr>
          <w:p w14:paraId="7FECF369">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2EDEF2BF">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14BB1DC0">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2B3185E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完成维护水利山坪塘外盖长度数量</w:t>
            </w:r>
          </w:p>
        </w:tc>
        <w:tc>
          <w:tcPr>
            <w:tcW w:w="409" w:type="pct"/>
            <w:tcBorders>
              <w:top w:val="single" w:color="000000" w:sz="4" w:space="0"/>
              <w:left w:val="single" w:color="000000" w:sz="4" w:space="0"/>
              <w:bottom w:val="single" w:color="000000" w:sz="4" w:space="0"/>
              <w:right w:val="single" w:color="000000" w:sz="4" w:space="0"/>
            </w:tcBorders>
            <w:vAlign w:val="center"/>
          </w:tcPr>
          <w:p w14:paraId="466ED52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5E9F1193">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54</w:t>
            </w:r>
          </w:p>
        </w:tc>
        <w:tc>
          <w:tcPr>
            <w:tcW w:w="487" w:type="pct"/>
            <w:tcBorders>
              <w:top w:val="single" w:color="000000" w:sz="4" w:space="0"/>
              <w:left w:val="single" w:color="000000" w:sz="4" w:space="0"/>
              <w:bottom w:val="single" w:color="000000" w:sz="4" w:space="0"/>
              <w:right w:val="single" w:color="000000" w:sz="4" w:space="0"/>
            </w:tcBorders>
            <w:vAlign w:val="center"/>
          </w:tcPr>
          <w:p w14:paraId="39CFA2B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米</w:t>
            </w:r>
          </w:p>
        </w:tc>
        <w:tc>
          <w:tcPr>
            <w:tcW w:w="376" w:type="pct"/>
            <w:tcBorders>
              <w:top w:val="single" w:color="000000" w:sz="4" w:space="0"/>
              <w:left w:val="single" w:color="000000" w:sz="4" w:space="0"/>
              <w:bottom w:val="single" w:color="000000" w:sz="4" w:space="0"/>
              <w:right w:val="single" w:color="000000" w:sz="4" w:space="0"/>
            </w:tcBorders>
            <w:vAlign w:val="center"/>
          </w:tcPr>
          <w:p w14:paraId="227FF9CA">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21906A8A">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≥54米</w:t>
            </w:r>
          </w:p>
        </w:tc>
      </w:tr>
      <w:tr w14:paraId="3696E23F">
        <w:tblPrEx>
          <w:tblCellMar>
            <w:top w:w="0" w:type="dxa"/>
            <w:left w:w="108" w:type="dxa"/>
            <w:bottom w:w="0" w:type="dxa"/>
            <w:right w:w="108" w:type="dxa"/>
          </w:tblCellMar>
        </w:tblPrEx>
        <w:trPr>
          <w:trHeight w:val="200" w:hRule="atLeast"/>
        </w:trPr>
        <w:tc>
          <w:tcPr>
            <w:tcW w:w="466" w:type="pct"/>
            <w:vMerge w:val="continue"/>
            <w:tcBorders>
              <w:top w:val="single" w:color="000000" w:sz="4" w:space="0"/>
              <w:left w:val="single" w:color="000000" w:sz="4" w:space="0"/>
              <w:bottom w:val="single" w:color="000000" w:sz="4" w:space="0"/>
              <w:right w:val="nil"/>
            </w:tcBorders>
            <w:vAlign w:val="center"/>
          </w:tcPr>
          <w:p w14:paraId="51FC6C08">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7C80EF69">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7BE87969">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01575C2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武装及乡镇安办日常整组训练和安全检查计划数</w:t>
            </w:r>
          </w:p>
        </w:tc>
        <w:tc>
          <w:tcPr>
            <w:tcW w:w="409" w:type="pct"/>
            <w:tcBorders>
              <w:top w:val="single" w:color="000000" w:sz="4" w:space="0"/>
              <w:left w:val="single" w:color="000000" w:sz="4" w:space="0"/>
              <w:bottom w:val="single" w:color="000000" w:sz="4" w:space="0"/>
              <w:right w:val="single" w:color="000000" w:sz="4" w:space="0"/>
            </w:tcBorders>
            <w:vAlign w:val="center"/>
          </w:tcPr>
          <w:p w14:paraId="08CB03F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74C0F12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24</w:t>
            </w:r>
          </w:p>
        </w:tc>
        <w:tc>
          <w:tcPr>
            <w:tcW w:w="487" w:type="pct"/>
            <w:tcBorders>
              <w:top w:val="single" w:color="000000" w:sz="4" w:space="0"/>
              <w:left w:val="single" w:color="000000" w:sz="4" w:space="0"/>
              <w:bottom w:val="single" w:color="000000" w:sz="4" w:space="0"/>
              <w:right w:val="single" w:color="000000" w:sz="4" w:space="0"/>
            </w:tcBorders>
            <w:vAlign w:val="center"/>
          </w:tcPr>
          <w:p w14:paraId="406C3FA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次/年</w:t>
            </w:r>
          </w:p>
        </w:tc>
        <w:tc>
          <w:tcPr>
            <w:tcW w:w="376" w:type="pct"/>
            <w:tcBorders>
              <w:top w:val="single" w:color="000000" w:sz="4" w:space="0"/>
              <w:left w:val="single" w:color="000000" w:sz="4" w:space="0"/>
              <w:bottom w:val="single" w:color="000000" w:sz="4" w:space="0"/>
              <w:right w:val="single" w:color="000000" w:sz="4" w:space="0"/>
            </w:tcBorders>
            <w:vAlign w:val="center"/>
          </w:tcPr>
          <w:p w14:paraId="12DAF57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4C6CE4E">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≥24次</w:t>
            </w:r>
          </w:p>
        </w:tc>
      </w:tr>
      <w:tr w14:paraId="57BEA522">
        <w:tblPrEx>
          <w:tblCellMar>
            <w:top w:w="0" w:type="dxa"/>
            <w:left w:w="108" w:type="dxa"/>
            <w:bottom w:w="0" w:type="dxa"/>
            <w:right w:w="108" w:type="dxa"/>
          </w:tblCellMar>
        </w:tblPrEx>
        <w:trPr>
          <w:trHeight w:val="178" w:hRule="atLeast"/>
        </w:trPr>
        <w:tc>
          <w:tcPr>
            <w:tcW w:w="466" w:type="pct"/>
            <w:vMerge w:val="continue"/>
            <w:tcBorders>
              <w:top w:val="single" w:color="000000" w:sz="4" w:space="0"/>
              <w:left w:val="single" w:color="000000" w:sz="4" w:space="0"/>
              <w:bottom w:val="single" w:color="000000" w:sz="4" w:space="0"/>
              <w:right w:val="nil"/>
            </w:tcBorders>
            <w:vAlign w:val="center"/>
          </w:tcPr>
          <w:p w14:paraId="12849A80">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5906581F">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single" w:color="000000" w:sz="4" w:space="0"/>
              <w:right w:val="single" w:color="000000" w:sz="4" w:space="0"/>
            </w:tcBorders>
            <w:vAlign w:val="center"/>
          </w:tcPr>
          <w:p w14:paraId="054B0BE3">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140BF78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镇人大代表年度内有可行性调研报告</w:t>
            </w:r>
          </w:p>
        </w:tc>
        <w:tc>
          <w:tcPr>
            <w:tcW w:w="409" w:type="pct"/>
            <w:tcBorders>
              <w:top w:val="single" w:color="000000" w:sz="4" w:space="0"/>
              <w:left w:val="single" w:color="000000" w:sz="4" w:space="0"/>
              <w:bottom w:val="single" w:color="000000" w:sz="4" w:space="0"/>
              <w:right w:val="single" w:color="000000" w:sz="4" w:space="0"/>
            </w:tcBorders>
            <w:vAlign w:val="center"/>
          </w:tcPr>
          <w:p w14:paraId="67DA9C6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2B2082C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7" w:type="pct"/>
            <w:tcBorders>
              <w:top w:val="single" w:color="000000" w:sz="4" w:space="0"/>
              <w:left w:val="single" w:color="000000" w:sz="4" w:space="0"/>
              <w:bottom w:val="single" w:color="000000" w:sz="4" w:space="0"/>
              <w:right w:val="single" w:color="000000" w:sz="4" w:space="0"/>
            </w:tcBorders>
            <w:vAlign w:val="center"/>
          </w:tcPr>
          <w:p w14:paraId="50D4B08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项</w:t>
            </w:r>
          </w:p>
        </w:tc>
        <w:tc>
          <w:tcPr>
            <w:tcW w:w="376" w:type="pct"/>
            <w:tcBorders>
              <w:top w:val="single" w:color="000000" w:sz="4" w:space="0"/>
              <w:left w:val="single" w:color="000000" w:sz="4" w:space="0"/>
              <w:bottom w:val="single" w:color="000000" w:sz="4" w:space="0"/>
              <w:right w:val="single" w:color="000000" w:sz="4" w:space="0"/>
            </w:tcBorders>
            <w:vAlign w:val="center"/>
          </w:tcPr>
          <w:p w14:paraId="67EB3E7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0C1C765">
            <w:pPr>
              <w:widowControl/>
              <w:spacing w:line="240" w:lineRule="exact"/>
              <w:jc w:val="center"/>
              <w:textAlignment w:val="center"/>
              <w:rPr>
                <w:rFonts w:ascii="宋体" w:hAnsi="宋体" w:cs="宋体"/>
                <w:color w:val="000000"/>
                <w:sz w:val="10"/>
                <w:szCs w:val="10"/>
              </w:rPr>
            </w:pPr>
            <w:r>
              <w:rPr>
                <w:rStyle w:val="37"/>
                <w:rFonts w:hint="default"/>
                <w:sz w:val="10"/>
                <w:szCs w:val="10"/>
              </w:rPr>
              <w:t>=2项</w:t>
            </w:r>
          </w:p>
        </w:tc>
      </w:tr>
      <w:tr w14:paraId="70156CF4">
        <w:tblPrEx>
          <w:tblCellMar>
            <w:top w:w="0" w:type="dxa"/>
            <w:left w:w="108" w:type="dxa"/>
            <w:bottom w:w="0" w:type="dxa"/>
            <w:right w:w="108" w:type="dxa"/>
          </w:tblCellMar>
        </w:tblPrEx>
        <w:trPr>
          <w:trHeight w:val="202" w:hRule="atLeast"/>
        </w:trPr>
        <w:tc>
          <w:tcPr>
            <w:tcW w:w="466" w:type="pct"/>
            <w:vMerge w:val="continue"/>
            <w:tcBorders>
              <w:top w:val="single" w:color="000000" w:sz="4" w:space="0"/>
              <w:left w:val="single" w:color="000000" w:sz="4" w:space="0"/>
              <w:bottom w:val="single" w:color="000000" w:sz="4" w:space="0"/>
              <w:right w:val="nil"/>
            </w:tcBorders>
            <w:vAlign w:val="center"/>
          </w:tcPr>
          <w:p w14:paraId="64518C3B">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1A6CFE2">
            <w:pPr>
              <w:widowControl/>
              <w:spacing w:line="240" w:lineRule="exact"/>
              <w:jc w:val="center"/>
              <w:rPr>
                <w:rFonts w:ascii="宋体" w:hAnsi="宋体" w:cs="宋体"/>
                <w:color w:val="000000"/>
                <w:sz w:val="10"/>
                <w:szCs w:val="10"/>
              </w:rPr>
            </w:pPr>
          </w:p>
        </w:tc>
        <w:tc>
          <w:tcPr>
            <w:tcW w:w="1054" w:type="pct"/>
            <w:vMerge w:val="restart"/>
            <w:tcBorders>
              <w:top w:val="single" w:color="000000" w:sz="4" w:space="0"/>
              <w:left w:val="single" w:color="000000" w:sz="4" w:space="0"/>
              <w:bottom w:val="nil"/>
              <w:right w:val="single" w:color="000000" w:sz="4" w:space="0"/>
            </w:tcBorders>
            <w:vAlign w:val="center"/>
          </w:tcPr>
          <w:p w14:paraId="0ECFABB2">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质量指标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7CF23F5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武装及乡镇安办日常整组训练和安全检查完成率</w:t>
            </w:r>
          </w:p>
        </w:tc>
        <w:tc>
          <w:tcPr>
            <w:tcW w:w="409" w:type="pct"/>
            <w:tcBorders>
              <w:top w:val="single" w:color="000000" w:sz="4" w:space="0"/>
              <w:left w:val="single" w:color="000000" w:sz="4" w:space="0"/>
              <w:bottom w:val="single" w:color="000000" w:sz="4" w:space="0"/>
              <w:right w:val="single" w:color="000000" w:sz="4" w:space="0"/>
            </w:tcBorders>
            <w:vAlign w:val="center"/>
          </w:tcPr>
          <w:p w14:paraId="29690E1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36E6A70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99</w:t>
            </w:r>
          </w:p>
        </w:tc>
        <w:tc>
          <w:tcPr>
            <w:tcW w:w="487" w:type="pct"/>
            <w:tcBorders>
              <w:top w:val="single" w:color="000000" w:sz="4" w:space="0"/>
              <w:left w:val="single" w:color="000000" w:sz="4" w:space="0"/>
              <w:bottom w:val="single" w:color="000000" w:sz="4" w:space="0"/>
              <w:right w:val="single" w:color="000000" w:sz="4" w:space="0"/>
            </w:tcBorders>
            <w:vAlign w:val="center"/>
          </w:tcPr>
          <w:p w14:paraId="0F821B8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56CF8C0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62439DB0">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99%</w:t>
            </w:r>
          </w:p>
        </w:tc>
      </w:tr>
      <w:tr w14:paraId="0E9963A9">
        <w:tblPrEx>
          <w:tblCellMar>
            <w:top w:w="0" w:type="dxa"/>
            <w:left w:w="108" w:type="dxa"/>
            <w:bottom w:w="0" w:type="dxa"/>
            <w:right w:w="108" w:type="dxa"/>
          </w:tblCellMar>
        </w:tblPrEx>
        <w:trPr>
          <w:trHeight w:val="218" w:hRule="atLeast"/>
        </w:trPr>
        <w:tc>
          <w:tcPr>
            <w:tcW w:w="466" w:type="pct"/>
            <w:vMerge w:val="continue"/>
            <w:tcBorders>
              <w:top w:val="single" w:color="000000" w:sz="4" w:space="0"/>
              <w:left w:val="single" w:color="000000" w:sz="4" w:space="0"/>
              <w:bottom w:val="single" w:color="000000" w:sz="4" w:space="0"/>
              <w:right w:val="nil"/>
            </w:tcBorders>
            <w:vAlign w:val="center"/>
          </w:tcPr>
          <w:p w14:paraId="71EB572D">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4080B0BE">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0CEB0AFA">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12D674C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乡镇补贴兑付率</w:t>
            </w:r>
          </w:p>
        </w:tc>
        <w:tc>
          <w:tcPr>
            <w:tcW w:w="409" w:type="pct"/>
            <w:tcBorders>
              <w:top w:val="single" w:color="000000" w:sz="4" w:space="0"/>
              <w:left w:val="single" w:color="000000" w:sz="4" w:space="0"/>
              <w:bottom w:val="single" w:color="000000" w:sz="4" w:space="0"/>
              <w:right w:val="single" w:color="000000" w:sz="4" w:space="0"/>
            </w:tcBorders>
            <w:vAlign w:val="center"/>
          </w:tcPr>
          <w:p w14:paraId="41736B6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25646C2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single" w:color="000000" w:sz="4" w:space="0"/>
              <w:right w:val="single" w:color="000000" w:sz="4" w:space="0"/>
            </w:tcBorders>
            <w:vAlign w:val="center"/>
          </w:tcPr>
          <w:p w14:paraId="763C02E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1DD6DCA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0E6B4EC">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22283DEE">
        <w:tblPrEx>
          <w:tblCellMar>
            <w:top w:w="0" w:type="dxa"/>
            <w:left w:w="108" w:type="dxa"/>
            <w:bottom w:w="0" w:type="dxa"/>
            <w:right w:w="108" w:type="dxa"/>
          </w:tblCellMar>
        </w:tblPrEx>
        <w:trPr>
          <w:trHeight w:val="180" w:hRule="atLeast"/>
        </w:trPr>
        <w:tc>
          <w:tcPr>
            <w:tcW w:w="466" w:type="pct"/>
            <w:vMerge w:val="continue"/>
            <w:tcBorders>
              <w:top w:val="single" w:color="000000" w:sz="4" w:space="0"/>
              <w:left w:val="single" w:color="000000" w:sz="4" w:space="0"/>
              <w:bottom w:val="single" w:color="000000" w:sz="4" w:space="0"/>
              <w:right w:val="nil"/>
            </w:tcBorders>
            <w:vAlign w:val="center"/>
          </w:tcPr>
          <w:p w14:paraId="61BEFAE7">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5832D43">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484C7716">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4CF645F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场镇路灯照明及垃圾中转站正常使用率</w:t>
            </w:r>
          </w:p>
        </w:tc>
        <w:tc>
          <w:tcPr>
            <w:tcW w:w="409" w:type="pct"/>
            <w:tcBorders>
              <w:top w:val="single" w:color="000000" w:sz="4" w:space="0"/>
              <w:left w:val="single" w:color="000000" w:sz="4" w:space="0"/>
              <w:bottom w:val="single" w:color="000000" w:sz="4" w:space="0"/>
              <w:right w:val="single" w:color="000000" w:sz="4" w:space="0"/>
            </w:tcBorders>
            <w:vAlign w:val="center"/>
          </w:tcPr>
          <w:p w14:paraId="3989F5A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74846C0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single" w:color="000000" w:sz="4" w:space="0"/>
              <w:right w:val="single" w:color="000000" w:sz="4" w:space="0"/>
            </w:tcBorders>
            <w:vAlign w:val="center"/>
          </w:tcPr>
          <w:p w14:paraId="05FC6AD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51E38F9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E84263C">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4929EF25">
        <w:tblPrEx>
          <w:tblCellMar>
            <w:top w:w="0" w:type="dxa"/>
            <w:left w:w="108" w:type="dxa"/>
            <w:bottom w:w="0" w:type="dxa"/>
            <w:right w:w="108" w:type="dxa"/>
          </w:tblCellMar>
        </w:tblPrEx>
        <w:trPr>
          <w:trHeight w:val="135" w:hRule="atLeast"/>
        </w:trPr>
        <w:tc>
          <w:tcPr>
            <w:tcW w:w="466" w:type="pct"/>
            <w:vMerge w:val="continue"/>
            <w:tcBorders>
              <w:top w:val="single" w:color="000000" w:sz="4" w:space="0"/>
              <w:left w:val="single" w:color="000000" w:sz="4" w:space="0"/>
              <w:bottom w:val="single" w:color="000000" w:sz="4" w:space="0"/>
              <w:right w:val="nil"/>
            </w:tcBorders>
            <w:vAlign w:val="center"/>
          </w:tcPr>
          <w:p w14:paraId="3A6EDDCB">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1161F93A">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61AB541A">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059C7D4C">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代表提案采纳使用率</w:t>
            </w:r>
          </w:p>
        </w:tc>
        <w:tc>
          <w:tcPr>
            <w:tcW w:w="409" w:type="pct"/>
            <w:tcBorders>
              <w:top w:val="single" w:color="000000" w:sz="4" w:space="0"/>
              <w:left w:val="single" w:color="000000" w:sz="4" w:space="0"/>
              <w:bottom w:val="single" w:color="000000" w:sz="4" w:space="0"/>
              <w:right w:val="single" w:color="000000" w:sz="4" w:space="0"/>
            </w:tcBorders>
            <w:vAlign w:val="center"/>
          </w:tcPr>
          <w:p w14:paraId="043810E3">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26AC7B0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90</w:t>
            </w:r>
          </w:p>
        </w:tc>
        <w:tc>
          <w:tcPr>
            <w:tcW w:w="487" w:type="pct"/>
            <w:tcBorders>
              <w:top w:val="single" w:color="000000" w:sz="4" w:space="0"/>
              <w:left w:val="single" w:color="000000" w:sz="4" w:space="0"/>
              <w:bottom w:val="single" w:color="000000" w:sz="4" w:space="0"/>
              <w:right w:val="single" w:color="000000" w:sz="4" w:space="0"/>
            </w:tcBorders>
            <w:vAlign w:val="center"/>
          </w:tcPr>
          <w:p w14:paraId="78C6E4E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72DC367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4A26CC4">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90%</w:t>
            </w:r>
          </w:p>
        </w:tc>
      </w:tr>
      <w:tr w14:paraId="1C738E95">
        <w:tblPrEx>
          <w:tblCellMar>
            <w:top w:w="0" w:type="dxa"/>
            <w:left w:w="108" w:type="dxa"/>
            <w:bottom w:w="0" w:type="dxa"/>
            <w:right w:w="108" w:type="dxa"/>
          </w:tblCellMar>
        </w:tblPrEx>
        <w:trPr>
          <w:trHeight w:val="200" w:hRule="atLeast"/>
        </w:trPr>
        <w:tc>
          <w:tcPr>
            <w:tcW w:w="466" w:type="pct"/>
            <w:vMerge w:val="continue"/>
            <w:tcBorders>
              <w:top w:val="single" w:color="000000" w:sz="4" w:space="0"/>
              <w:left w:val="single" w:color="000000" w:sz="4" w:space="0"/>
              <w:bottom w:val="single" w:color="000000" w:sz="4" w:space="0"/>
              <w:right w:val="nil"/>
            </w:tcBorders>
            <w:vAlign w:val="center"/>
          </w:tcPr>
          <w:p w14:paraId="1DA4EBD4">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1A0D1FE8">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4D4E0567">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358CB95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合理安排机关、村（社区）日常运行经费使用率</w:t>
            </w:r>
          </w:p>
        </w:tc>
        <w:tc>
          <w:tcPr>
            <w:tcW w:w="409" w:type="pct"/>
            <w:tcBorders>
              <w:top w:val="single" w:color="000000" w:sz="4" w:space="0"/>
              <w:left w:val="single" w:color="000000" w:sz="4" w:space="0"/>
              <w:bottom w:val="single" w:color="000000" w:sz="4" w:space="0"/>
              <w:right w:val="single" w:color="000000" w:sz="4" w:space="0"/>
            </w:tcBorders>
            <w:vAlign w:val="center"/>
          </w:tcPr>
          <w:p w14:paraId="7CF3B14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0BBACBDE">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single" w:color="000000" w:sz="4" w:space="0"/>
              <w:right w:val="single" w:color="000000" w:sz="4" w:space="0"/>
            </w:tcBorders>
            <w:vAlign w:val="center"/>
          </w:tcPr>
          <w:p w14:paraId="53498EE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24BD7E7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4564D27">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1D55848F">
        <w:tblPrEx>
          <w:tblCellMar>
            <w:top w:w="0" w:type="dxa"/>
            <w:left w:w="108" w:type="dxa"/>
            <w:bottom w:w="0" w:type="dxa"/>
            <w:right w:w="108" w:type="dxa"/>
          </w:tblCellMar>
        </w:tblPrEx>
        <w:trPr>
          <w:trHeight w:val="180" w:hRule="atLeast"/>
        </w:trPr>
        <w:tc>
          <w:tcPr>
            <w:tcW w:w="466" w:type="pct"/>
            <w:vMerge w:val="continue"/>
            <w:tcBorders>
              <w:top w:val="single" w:color="000000" w:sz="4" w:space="0"/>
              <w:left w:val="single" w:color="000000" w:sz="4" w:space="0"/>
              <w:bottom w:val="single" w:color="000000" w:sz="4" w:space="0"/>
              <w:right w:val="nil"/>
            </w:tcBorders>
            <w:vAlign w:val="center"/>
          </w:tcPr>
          <w:p w14:paraId="72E8DA00">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1AA508D2">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04624F18">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69E20E01">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基层组织活动和公共服务运行维护项目各项指标完成</w:t>
            </w:r>
          </w:p>
        </w:tc>
        <w:tc>
          <w:tcPr>
            <w:tcW w:w="409" w:type="pct"/>
            <w:tcBorders>
              <w:top w:val="single" w:color="000000" w:sz="4" w:space="0"/>
              <w:left w:val="single" w:color="000000" w:sz="4" w:space="0"/>
              <w:bottom w:val="single" w:color="000000" w:sz="4" w:space="0"/>
              <w:right w:val="single" w:color="000000" w:sz="4" w:space="0"/>
            </w:tcBorders>
            <w:vAlign w:val="center"/>
          </w:tcPr>
          <w:p w14:paraId="222EC1A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1631757D">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single" w:color="000000" w:sz="4" w:space="0"/>
              <w:right w:val="single" w:color="000000" w:sz="4" w:space="0"/>
            </w:tcBorders>
            <w:vAlign w:val="center"/>
          </w:tcPr>
          <w:p w14:paraId="2437040A">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2CAE474A">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DDEB09B">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7D6936A8">
        <w:tblPrEx>
          <w:tblCellMar>
            <w:top w:w="0" w:type="dxa"/>
            <w:left w:w="108" w:type="dxa"/>
            <w:bottom w:w="0" w:type="dxa"/>
            <w:right w:w="108" w:type="dxa"/>
          </w:tblCellMar>
        </w:tblPrEx>
        <w:trPr>
          <w:trHeight w:val="193" w:hRule="atLeast"/>
        </w:trPr>
        <w:tc>
          <w:tcPr>
            <w:tcW w:w="466" w:type="pct"/>
            <w:vMerge w:val="continue"/>
            <w:tcBorders>
              <w:top w:val="single" w:color="000000" w:sz="4" w:space="0"/>
              <w:left w:val="single" w:color="000000" w:sz="4" w:space="0"/>
              <w:bottom w:val="single" w:color="000000" w:sz="4" w:space="0"/>
              <w:right w:val="nil"/>
            </w:tcBorders>
            <w:vAlign w:val="center"/>
          </w:tcPr>
          <w:p w14:paraId="1492A7F8">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21635A7">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2F4E0491">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2E4C165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临聘人员在岗工作完成情况</w:t>
            </w:r>
          </w:p>
        </w:tc>
        <w:tc>
          <w:tcPr>
            <w:tcW w:w="409" w:type="pct"/>
            <w:tcBorders>
              <w:top w:val="single" w:color="000000" w:sz="4" w:space="0"/>
              <w:left w:val="single" w:color="000000" w:sz="4" w:space="0"/>
              <w:bottom w:val="single" w:color="000000" w:sz="4" w:space="0"/>
              <w:right w:val="single" w:color="000000" w:sz="4" w:space="0"/>
            </w:tcBorders>
            <w:vAlign w:val="center"/>
          </w:tcPr>
          <w:p w14:paraId="347C075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定性</w:t>
            </w:r>
          </w:p>
        </w:tc>
        <w:tc>
          <w:tcPr>
            <w:tcW w:w="360" w:type="pct"/>
            <w:tcBorders>
              <w:top w:val="single" w:color="000000" w:sz="4" w:space="0"/>
              <w:left w:val="single" w:color="000000" w:sz="4" w:space="0"/>
              <w:bottom w:val="single" w:color="000000" w:sz="4" w:space="0"/>
              <w:right w:val="single" w:color="000000" w:sz="4" w:space="0"/>
            </w:tcBorders>
            <w:vAlign w:val="center"/>
          </w:tcPr>
          <w:p w14:paraId="13898D3A">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好</w:t>
            </w:r>
          </w:p>
        </w:tc>
        <w:tc>
          <w:tcPr>
            <w:tcW w:w="487" w:type="pct"/>
            <w:tcBorders>
              <w:top w:val="single" w:color="000000" w:sz="4" w:space="0"/>
              <w:left w:val="single" w:color="000000" w:sz="4" w:space="0"/>
              <w:bottom w:val="single" w:color="000000" w:sz="4" w:space="0"/>
              <w:right w:val="single" w:color="000000" w:sz="4" w:space="0"/>
            </w:tcBorders>
            <w:vAlign w:val="center"/>
          </w:tcPr>
          <w:p w14:paraId="584E5482">
            <w:pPr>
              <w:widowControl/>
              <w:spacing w:line="240" w:lineRule="exact"/>
              <w:jc w:val="center"/>
              <w:rPr>
                <w:rFonts w:ascii="宋体" w:hAnsi="宋体" w:cs="宋体"/>
                <w:color w:val="000000"/>
                <w:sz w:val="10"/>
                <w:szCs w:val="10"/>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54F01298">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252516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优</w:t>
            </w:r>
          </w:p>
        </w:tc>
      </w:tr>
      <w:tr w14:paraId="73261A9C">
        <w:tblPrEx>
          <w:tblCellMar>
            <w:top w:w="0" w:type="dxa"/>
            <w:left w:w="108" w:type="dxa"/>
            <w:bottom w:w="0" w:type="dxa"/>
            <w:right w:w="108" w:type="dxa"/>
          </w:tblCellMar>
        </w:tblPrEx>
        <w:trPr>
          <w:trHeight w:val="187" w:hRule="atLeast"/>
        </w:trPr>
        <w:tc>
          <w:tcPr>
            <w:tcW w:w="466" w:type="pct"/>
            <w:vMerge w:val="continue"/>
            <w:tcBorders>
              <w:top w:val="single" w:color="000000" w:sz="4" w:space="0"/>
              <w:left w:val="single" w:color="000000" w:sz="4" w:space="0"/>
              <w:bottom w:val="single" w:color="000000" w:sz="4" w:space="0"/>
              <w:right w:val="nil"/>
            </w:tcBorders>
            <w:vAlign w:val="center"/>
          </w:tcPr>
          <w:p w14:paraId="138D871B">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613D74BC">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7449CBC1">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5AD74E41">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农业园区年度蔬菜粮油产品合格率</w:t>
            </w:r>
          </w:p>
        </w:tc>
        <w:tc>
          <w:tcPr>
            <w:tcW w:w="409" w:type="pct"/>
            <w:tcBorders>
              <w:top w:val="single" w:color="000000" w:sz="4" w:space="0"/>
              <w:left w:val="single" w:color="000000" w:sz="4" w:space="0"/>
              <w:bottom w:val="single" w:color="000000" w:sz="4" w:space="0"/>
              <w:right w:val="single" w:color="000000" w:sz="4" w:space="0"/>
            </w:tcBorders>
            <w:vAlign w:val="center"/>
          </w:tcPr>
          <w:p w14:paraId="31B9C8D8">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7E0390E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95</w:t>
            </w:r>
          </w:p>
        </w:tc>
        <w:tc>
          <w:tcPr>
            <w:tcW w:w="487" w:type="pct"/>
            <w:tcBorders>
              <w:top w:val="single" w:color="000000" w:sz="4" w:space="0"/>
              <w:left w:val="single" w:color="000000" w:sz="4" w:space="0"/>
              <w:bottom w:val="single" w:color="000000" w:sz="4" w:space="0"/>
              <w:right w:val="single" w:color="000000" w:sz="4" w:space="0"/>
            </w:tcBorders>
            <w:vAlign w:val="center"/>
          </w:tcPr>
          <w:p w14:paraId="7F1EE793">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7B5AB34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7D8CC619">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34B2EA40">
        <w:tblPrEx>
          <w:tblCellMar>
            <w:top w:w="0" w:type="dxa"/>
            <w:left w:w="108" w:type="dxa"/>
            <w:bottom w:w="0" w:type="dxa"/>
            <w:right w:w="108" w:type="dxa"/>
          </w:tblCellMar>
        </w:tblPrEx>
        <w:trPr>
          <w:trHeight w:val="90" w:hRule="atLeast"/>
        </w:trPr>
        <w:tc>
          <w:tcPr>
            <w:tcW w:w="466" w:type="pct"/>
            <w:vMerge w:val="continue"/>
            <w:tcBorders>
              <w:top w:val="single" w:color="000000" w:sz="4" w:space="0"/>
              <w:left w:val="single" w:color="000000" w:sz="4" w:space="0"/>
              <w:bottom w:val="single" w:color="000000" w:sz="4" w:space="0"/>
              <w:right w:val="nil"/>
            </w:tcBorders>
            <w:vAlign w:val="center"/>
          </w:tcPr>
          <w:p w14:paraId="0F00E278">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748FF005">
            <w:pPr>
              <w:widowControl/>
              <w:spacing w:line="240" w:lineRule="exact"/>
              <w:jc w:val="center"/>
              <w:rPr>
                <w:rFonts w:ascii="宋体" w:hAnsi="宋体" w:cs="宋体"/>
                <w:color w:val="000000"/>
                <w:sz w:val="10"/>
                <w:szCs w:val="10"/>
              </w:rPr>
            </w:pPr>
          </w:p>
        </w:tc>
        <w:tc>
          <w:tcPr>
            <w:tcW w:w="1054" w:type="pct"/>
            <w:vMerge w:val="continue"/>
            <w:tcBorders>
              <w:top w:val="single" w:color="000000" w:sz="4" w:space="0"/>
              <w:left w:val="single" w:color="000000" w:sz="4" w:space="0"/>
              <w:bottom w:val="nil"/>
              <w:right w:val="single" w:color="000000" w:sz="4" w:space="0"/>
            </w:tcBorders>
            <w:vAlign w:val="center"/>
          </w:tcPr>
          <w:p w14:paraId="3AAFB534">
            <w:pPr>
              <w:widowControl/>
              <w:spacing w:line="240" w:lineRule="exact"/>
              <w:jc w:val="center"/>
              <w:rPr>
                <w:rFonts w:ascii="宋体" w:hAnsi="宋体" w:cs="宋体"/>
                <w:color w:val="000000"/>
                <w:sz w:val="10"/>
                <w:szCs w:val="10"/>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6F23548F">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人员经费即工资发放和社会保障缴费率</w:t>
            </w:r>
          </w:p>
        </w:tc>
        <w:tc>
          <w:tcPr>
            <w:tcW w:w="409" w:type="pct"/>
            <w:tcBorders>
              <w:top w:val="single" w:color="000000" w:sz="4" w:space="0"/>
              <w:left w:val="single" w:color="000000" w:sz="4" w:space="0"/>
              <w:bottom w:val="single" w:color="000000" w:sz="4" w:space="0"/>
              <w:right w:val="single" w:color="000000" w:sz="4" w:space="0"/>
            </w:tcBorders>
            <w:vAlign w:val="center"/>
          </w:tcPr>
          <w:p w14:paraId="05AF4F1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553D8CA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single" w:color="000000" w:sz="4" w:space="0"/>
              <w:right w:val="single" w:color="000000" w:sz="4" w:space="0"/>
            </w:tcBorders>
            <w:vAlign w:val="center"/>
          </w:tcPr>
          <w:p w14:paraId="0E5E23F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2D6923CB">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1C6F520">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51F03DDF">
        <w:tblPrEx>
          <w:tblCellMar>
            <w:top w:w="0" w:type="dxa"/>
            <w:left w:w="108" w:type="dxa"/>
            <w:bottom w:w="0" w:type="dxa"/>
            <w:right w:w="108" w:type="dxa"/>
          </w:tblCellMar>
        </w:tblPrEx>
        <w:trPr>
          <w:trHeight w:val="180" w:hRule="atLeast"/>
        </w:trPr>
        <w:tc>
          <w:tcPr>
            <w:tcW w:w="466" w:type="pct"/>
            <w:vMerge w:val="continue"/>
            <w:tcBorders>
              <w:top w:val="single" w:color="000000" w:sz="4" w:space="0"/>
              <w:left w:val="single" w:color="000000" w:sz="4" w:space="0"/>
              <w:bottom w:val="single" w:color="000000" w:sz="4" w:space="0"/>
              <w:right w:val="nil"/>
            </w:tcBorders>
            <w:vAlign w:val="center"/>
          </w:tcPr>
          <w:p w14:paraId="64721CFE">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10609C30">
            <w:pPr>
              <w:widowControl/>
              <w:spacing w:line="240" w:lineRule="exact"/>
              <w:jc w:val="center"/>
              <w:rPr>
                <w:rFonts w:ascii="宋体" w:hAnsi="宋体" w:cs="宋体"/>
                <w:color w:val="000000"/>
                <w:sz w:val="10"/>
                <w:szCs w:val="10"/>
              </w:rPr>
            </w:pPr>
          </w:p>
        </w:tc>
        <w:tc>
          <w:tcPr>
            <w:tcW w:w="1054" w:type="pct"/>
            <w:tcBorders>
              <w:top w:val="single" w:color="000000" w:sz="4" w:space="0"/>
              <w:left w:val="single" w:color="000000" w:sz="4" w:space="0"/>
              <w:bottom w:val="single" w:color="000000" w:sz="4" w:space="0"/>
              <w:right w:val="single" w:color="000000" w:sz="4" w:space="0"/>
            </w:tcBorders>
            <w:vAlign w:val="center"/>
          </w:tcPr>
          <w:p w14:paraId="53114FA1">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时效指标</w:t>
            </w:r>
          </w:p>
        </w:tc>
        <w:tc>
          <w:tcPr>
            <w:tcW w:w="966" w:type="pct"/>
            <w:tcBorders>
              <w:top w:val="single" w:color="000000" w:sz="4" w:space="0"/>
              <w:left w:val="single" w:color="000000" w:sz="4" w:space="0"/>
              <w:bottom w:val="nil"/>
              <w:right w:val="single" w:color="000000" w:sz="4" w:space="0"/>
            </w:tcBorders>
            <w:vAlign w:val="center"/>
          </w:tcPr>
          <w:p w14:paraId="6049B1D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各项指标任务完成及时率</w:t>
            </w:r>
          </w:p>
        </w:tc>
        <w:tc>
          <w:tcPr>
            <w:tcW w:w="409" w:type="pct"/>
            <w:tcBorders>
              <w:top w:val="single" w:color="000000" w:sz="4" w:space="0"/>
              <w:left w:val="single" w:color="000000" w:sz="4" w:space="0"/>
              <w:bottom w:val="nil"/>
              <w:right w:val="single" w:color="000000" w:sz="4" w:space="0"/>
            </w:tcBorders>
            <w:vAlign w:val="center"/>
          </w:tcPr>
          <w:p w14:paraId="40808CA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nil"/>
              <w:right w:val="single" w:color="000000" w:sz="4" w:space="0"/>
            </w:tcBorders>
            <w:vAlign w:val="center"/>
          </w:tcPr>
          <w:p w14:paraId="0505AFA1">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100</w:t>
            </w:r>
          </w:p>
        </w:tc>
        <w:tc>
          <w:tcPr>
            <w:tcW w:w="487" w:type="pct"/>
            <w:tcBorders>
              <w:top w:val="single" w:color="000000" w:sz="4" w:space="0"/>
              <w:left w:val="single" w:color="000000" w:sz="4" w:space="0"/>
              <w:bottom w:val="nil"/>
              <w:right w:val="single" w:color="000000" w:sz="4" w:space="0"/>
            </w:tcBorders>
            <w:vAlign w:val="center"/>
          </w:tcPr>
          <w:p w14:paraId="6527A4D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nil"/>
              <w:right w:val="single" w:color="000000" w:sz="4" w:space="0"/>
            </w:tcBorders>
            <w:vAlign w:val="center"/>
          </w:tcPr>
          <w:p w14:paraId="5B7641B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w:t>
            </w:r>
          </w:p>
        </w:tc>
        <w:tc>
          <w:tcPr>
            <w:tcW w:w="483" w:type="pct"/>
            <w:tcBorders>
              <w:top w:val="single" w:color="000000" w:sz="4" w:space="0"/>
              <w:left w:val="single" w:color="000000" w:sz="4" w:space="0"/>
              <w:bottom w:val="nil"/>
              <w:right w:val="single" w:color="000000" w:sz="4" w:space="0"/>
            </w:tcBorders>
            <w:noWrap/>
            <w:vAlign w:val="center"/>
          </w:tcPr>
          <w:p w14:paraId="762B185A">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r w14:paraId="3FE7E326">
        <w:tblPrEx>
          <w:tblCellMar>
            <w:top w:w="0" w:type="dxa"/>
            <w:left w:w="108" w:type="dxa"/>
            <w:bottom w:w="0" w:type="dxa"/>
            <w:right w:w="108" w:type="dxa"/>
          </w:tblCellMar>
        </w:tblPrEx>
        <w:trPr>
          <w:trHeight w:val="207" w:hRule="atLeast"/>
        </w:trPr>
        <w:tc>
          <w:tcPr>
            <w:tcW w:w="466" w:type="pct"/>
            <w:vMerge w:val="continue"/>
            <w:tcBorders>
              <w:top w:val="single" w:color="000000" w:sz="4" w:space="0"/>
              <w:left w:val="single" w:color="000000" w:sz="4" w:space="0"/>
              <w:bottom w:val="single" w:color="000000" w:sz="4" w:space="0"/>
              <w:right w:val="nil"/>
            </w:tcBorders>
            <w:vAlign w:val="center"/>
          </w:tcPr>
          <w:p w14:paraId="632C0ADD">
            <w:pPr>
              <w:widowControl/>
              <w:spacing w:line="240" w:lineRule="exact"/>
              <w:jc w:val="center"/>
              <w:rPr>
                <w:rFonts w:ascii="宋体" w:hAnsi="宋体" w:cs="宋体"/>
                <w:color w:val="000000"/>
                <w:sz w:val="10"/>
                <w:szCs w:val="10"/>
              </w:rPr>
            </w:pPr>
          </w:p>
        </w:tc>
        <w:tc>
          <w:tcPr>
            <w:tcW w:w="394" w:type="pct"/>
            <w:vMerge w:val="restart"/>
            <w:tcBorders>
              <w:top w:val="single" w:color="000000" w:sz="4" w:space="0"/>
              <w:left w:val="single" w:color="000000" w:sz="4" w:space="0"/>
              <w:bottom w:val="single" w:color="000000" w:sz="4" w:space="0"/>
              <w:right w:val="single" w:color="000000" w:sz="4" w:space="0"/>
            </w:tcBorders>
            <w:vAlign w:val="center"/>
          </w:tcPr>
          <w:p w14:paraId="1F9E83C3">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成本指标</w:t>
            </w:r>
          </w:p>
        </w:tc>
        <w:tc>
          <w:tcPr>
            <w:tcW w:w="1054" w:type="pct"/>
            <w:tcBorders>
              <w:top w:val="single" w:color="000000" w:sz="4" w:space="0"/>
              <w:left w:val="single" w:color="000000" w:sz="4" w:space="0"/>
              <w:bottom w:val="single" w:color="000000" w:sz="4" w:space="0"/>
              <w:right w:val="single" w:color="000000" w:sz="4" w:space="0"/>
            </w:tcBorders>
            <w:vAlign w:val="center"/>
          </w:tcPr>
          <w:p w14:paraId="1087E0D5">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经济成本指标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374245D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镇域内基本（即人员、日常经费）支出预算控制额</w:t>
            </w:r>
          </w:p>
        </w:tc>
        <w:tc>
          <w:tcPr>
            <w:tcW w:w="409" w:type="pct"/>
            <w:tcBorders>
              <w:top w:val="single" w:color="000000" w:sz="4" w:space="0"/>
              <w:left w:val="single" w:color="000000" w:sz="4" w:space="0"/>
              <w:bottom w:val="single" w:color="000000" w:sz="4" w:space="0"/>
              <w:right w:val="single" w:color="000000" w:sz="4" w:space="0"/>
            </w:tcBorders>
            <w:vAlign w:val="center"/>
          </w:tcPr>
          <w:p w14:paraId="2F8CA2F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7593FFA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889.847872</w:t>
            </w:r>
          </w:p>
        </w:tc>
        <w:tc>
          <w:tcPr>
            <w:tcW w:w="487" w:type="pct"/>
            <w:tcBorders>
              <w:top w:val="single" w:color="000000" w:sz="4" w:space="0"/>
              <w:left w:val="single" w:color="000000" w:sz="4" w:space="0"/>
              <w:bottom w:val="single" w:color="000000" w:sz="4" w:space="0"/>
              <w:right w:val="single" w:color="000000" w:sz="4" w:space="0"/>
            </w:tcBorders>
            <w:vAlign w:val="center"/>
          </w:tcPr>
          <w:p w14:paraId="49D9193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万元</w:t>
            </w:r>
          </w:p>
        </w:tc>
        <w:tc>
          <w:tcPr>
            <w:tcW w:w="376" w:type="pct"/>
            <w:tcBorders>
              <w:top w:val="single" w:color="000000" w:sz="4" w:space="0"/>
              <w:left w:val="single" w:color="000000" w:sz="4" w:space="0"/>
              <w:bottom w:val="single" w:color="000000" w:sz="4" w:space="0"/>
              <w:right w:val="single" w:color="000000" w:sz="4" w:space="0"/>
            </w:tcBorders>
            <w:vAlign w:val="center"/>
          </w:tcPr>
          <w:p w14:paraId="73257EE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12F76B77">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1076.35万元</w:t>
            </w:r>
          </w:p>
        </w:tc>
      </w:tr>
      <w:tr w14:paraId="44931D73">
        <w:tblPrEx>
          <w:tblCellMar>
            <w:top w:w="0" w:type="dxa"/>
            <w:left w:w="108" w:type="dxa"/>
            <w:bottom w:w="0" w:type="dxa"/>
            <w:right w:w="108" w:type="dxa"/>
          </w:tblCellMar>
        </w:tblPrEx>
        <w:trPr>
          <w:trHeight w:val="205" w:hRule="atLeast"/>
        </w:trPr>
        <w:tc>
          <w:tcPr>
            <w:tcW w:w="466" w:type="pct"/>
            <w:vMerge w:val="continue"/>
            <w:tcBorders>
              <w:top w:val="single" w:color="000000" w:sz="4" w:space="0"/>
              <w:left w:val="single" w:color="000000" w:sz="4" w:space="0"/>
              <w:bottom w:val="single" w:color="000000" w:sz="4" w:space="0"/>
              <w:right w:val="nil"/>
            </w:tcBorders>
            <w:vAlign w:val="center"/>
          </w:tcPr>
          <w:p w14:paraId="424D5341">
            <w:pPr>
              <w:widowControl/>
              <w:spacing w:line="240" w:lineRule="exact"/>
              <w:jc w:val="center"/>
              <w:rPr>
                <w:rFonts w:ascii="宋体" w:hAnsi="宋体" w:cs="宋体"/>
                <w:color w:val="000000"/>
                <w:sz w:val="10"/>
                <w:szCs w:val="10"/>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14:paraId="3DC7B4B6">
            <w:pPr>
              <w:widowControl/>
              <w:spacing w:line="240" w:lineRule="exact"/>
              <w:jc w:val="center"/>
              <w:rPr>
                <w:rFonts w:ascii="宋体" w:hAnsi="宋体" w:cs="宋体"/>
                <w:color w:val="000000"/>
                <w:sz w:val="10"/>
                <w:szCs w:val="10"/>
              </w:rPr>
            </w:pPr>
          </w:p>
        </w:tc>
        <w:tc>
          <w:tcPr>
            <w:tcW w:w="1054" w:type="pct"/>
            <w:tcBorders>
              <w:top w:val="single" w:color="000000" w:sz="4" w:space="0"/>
              <w:left w:val="single" w:color="000000" w:sz="4" w:space="0"/>
              <w:bottom w:val="single" w:color="000000" w:sz="4" w:space="0"/>
              <w:right w:val="single" w:color="000000" w:sz="4" w:space="0"/>
            </w:tcBorders>
            <w:vAlign w:val="center"/>
          </w:tcPr>
          <w:p w14:paraId="74864912">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经济成本指标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2714B5C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镇域内项目支出预算控制额</w:t>
            </w:r>
          </w:p>
        </w:tc>
        <w:tc>
          <w:tcPr>
            <w:tcW w:w="409" w:type="pct"/>
            <w:tcBorders>
              <w:top w:val="single" w:color="000000" w:sz="4" w:space="0"/>
              <w:left w:val="single" w:color="000000" w:sz="4" w:space="0"/>
              <w:bottom w:val="single" w:color="000000" w:sz="4" w:space="0"/>
              <w:right w:val="single" w:color="000000" w:sz="4" w:space="0"/>
            </w:tcBorders>
            <w:vAlign w:val="center"/>
          </w:tcPr>
          <w:p w14:paraId="0C9BD54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4708999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420.0197871</w:t>
            </w:r>
          </w:p>
        </w:tc>
        <w:tc>
          <w:tcPr>
            <w:tcW w:w="487" w:type="pct"/>
            <w:tcBorders>
              <w:top w:val="single" w:color="000000" w:sz="4" w:space="0"/>
              <w:left w:val="single" w:color="000000" w:sz="4" w:space="0"/>
              <w:bottom w:val="single" w:color="000000" w:sz="4" w:space="0"/>
              <w:right w:val="single" w:color="000000" w:sz="4" w:space="0"/>
            </w:tcBorders>
            <w:vAlign w:val="center"/>
          </w:tcPr>
          <w:p w14:paraId="6C7534D3">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万元</w:t>
            </w:r>
          </w:p>
        </w:tc>
        <w:tc>
          <w:tcPr>
            <w:tcW w:w="376" w:type="pct"/>
            <w:tcBorders>
              <w:top w:val="single" w:color="000000" w:sz="4" w:space="0"/>
              <w:left w:val="single" w:color="000000" w:sz="4" w:space="0"/>
              <w:bottom w:val="single" w:color="000000" w:sz="4" w:space="0"/>
              <w:right w:val="single" w:color="000000" w:sz="4" w:space="0"/>
            </w:tcBorders>
            <w:vAlign w:val="center"/>
          </w:tcPr>
          <w:p w14:paraId="25A80DCD">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0864DE70">
            <w:pPr>
              <w:widowControl/>
              <w:spacing w:line="240" w:lineRule="exact"/>
              <w:jc w:val="center"/>
              <w:textAlignment w:val="center"/>
              <w:rPr>
                <w:rFonts w:ascii="宋体" w:hAnsi="宋体" w:cs="宋体"/>
                <w:color w:val="000000"/>
                <w:sz w:val="10"/>
                <w:szCs w:val="10"/>
              </w:rPr>
            </w:pPr>
            <w:r>
              <w:rPr>
                <w:rStyle w:val="37"/>
                <w:rFonts w:hint="default"/>
                <w:sz w:val="10"/>
                <w:szCs w:val="10"/>
              </w:rPr>
              <w:t>534.45万元</w:t>
            </w:r>
          </w:p>
        </w:tc>
      </w:tr>
      <w:tr w14:paraId="71C89FD4">
        <w:tblPrEx>
          <w:tblCellMar>
            <w:top w:w="0" w:type="dxa"/>
            <w:left w:w="108" w:type="dxa"/>
            <w:bottom w:w="0" w:type="dxa"/>
            <w:right w:w="108" w:type="dxa"/>
          </w:tblCellMar>
        </w:tblPrEx>
        <w:trPr>
          <w:trHeight w:val="208" w:hRule="atLeast"/>
        </w:trPr>
        <w:tc>
          <w:tcPr>
            <w:tcW w:w="466" w:type="pct"/>
            <w:vMerge w:val="continue"/>
            <w:tcBorders>
              <w:top w:val="single" w:color="000000" w:sz="4" w:space="0"/>
              <w:left w:val="single" w:color="000000" w:sz="4" w:space="0"/>
              <w:bottom w:val="single" w:color="000000" w:sz="4" w:space="0"/>
              <w:right w:val="nil"/>
            </w:tcBorders>
            <w:vAlign w:val="center"/>
          </w:tcPr>
          <w:p w14:paraId="73D62A10">
            <w:pPr>
              <w:widowControl/>
              <w:spacing w:line="240" w:lineRule="exact"/>
              <w:jc w:val="center"/>
              <w:rPr>
                <w:rFonts w:ascii="宋体" w:hAnsi="宋体" w:cs="宋体"/>
                <w:color w:val="000000"/>
                <w:sz w:val="10"/>
                <w:szCs w:val="10"/>
              </w:rPr>
            </w:pPr>
          </w:p>
        </w:tc>
        <w:tc>
          <w:tcPr>
            <w:tcW w:w="394" w:type="pct"/>
            <w:tcBorders>
              <w:top w:val="single" w:color="000000" w:sz="4" w:space="0"/>
              <w:left w:val="single" w:color="000000" w:sz="4" w:space="0"/>
              <w:bottom w:val="nil"/>
              <w:right w:val="single" w:color="000000" w:sz="4" w:space="0"/>
            </w:tcBorders>
            <w:vAlign w:val="center"/>
          </w:tcPr>
          <w:p w14:paraId="1A95428F">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效益指标</w:t>
            </w:r>
          </w:p>
        </w:tc>
        <w:tc>
          <w:tcPr>
            <w:tcW w:w="1054" w:type="pct"/>
            <w:tcBorders>
              <w:top w:val="single" w:color="000000" w:sz="4" w:space="0"/>
              <w:left w:val="single" w:color="000000" w:sz="4" w:space="0"/>
              <w:bottom w:val="single" w:color="000000" w:sz="4" w:space="0"/>
              <w:right w:val="single" w:color="000000" w:sz="4" w:space="0"/>
            </w:tcBorders>
            <w:vAlign w:val="center"/>
          </w:tcPr>
          <w:p w14:paraId="0EFC809C">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社会效益指标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225511F0">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完善政府公共服务能力，提升基层组织整体服务水平</w:t>
            </w:r>
          </w:p>
        </w:tc>
        <w:tc>
          <w:tcPr>
            <w:tcW w:w="409" w:type="pct"/>
            <w:tcBorders>
              <w:top w:val="single" w:color="000000" w:sz="4" w:space="0"/>
              <w:left w:val="single" w:color="000000" w:sz="4" w:space="0"/>
              <w:bottom w:val="single" w:color="000000" w:sz="4" w:space="0"/>
              <w:right w:val="single" w:color="000000" w:sz="4" w:space="0"/>
            </w:tcBorders>
            <w:vAlign w:val="center"/>
          </w:tcPr>
          <w:p w14:paraId="40FE5C15">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定性</w:t>
            </w:r>
          </w:p>
        </w:tc>
        <w:tc>
          <w:tcPr>
            <w:tcW w:w="360" w:type="pct"/>
            <w:tcBorders>
              <w:top w:val="single" w:color="000000" w:sz="4" w:space="0"/>
              <w:left w:val="single" w:color="000000" w:sz="4" w:space="0"/>
              <w:bottom w:val="single" w:color="000000" w:sz="4" w:space="0"/>
              <w:right w:val="single" w:color="000000" w:sz="4" w:space="0"/>
            </w:tcBorders>
            <w:vAlign w:val="center"/>
          </w:tcPr>
          <w:p w14:paraId="53947F0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好</w:t>
            </w:r>
          </w:p>
        </w:tc>
        <w:tc>
          <w:tcPr>
            <w:tcW w:w="487" w:type="pct"/>
            <w:tcBorders>
              <w:top w:val="single" w:color="000000" w:sz="4" w:space="0"/>
              <w:left w:val="single" w:color="000000" w:sz="4" w:space="0"/>
              <w:bottom w:val="single" w:color="000000" w:sz="4" w:space="0"/>
              <w:right w:val="single" w:color="000000" w:sz="4" w:space="0"/>
            </w:tcBorders>
            <w:vAlign w:val="center"/>
          </w:tcPr>
          <w:p w14:paraId="47980C54">
            <w:pPr>
              <w:widowControl/>
              <w:spacing w:line="240" w:lineRule="exact"/>
              <w:jc w:val="center"/>
              <w:rPr>
                <w:rFonts w:ascii="宋体" w:hAnsi="宋体" w:cs="宋体"/>
                <w:color w:val="000000"/>
                <w:sz w:val="10"/>
                <w:szCs w:val="10"/>
              </w:rPr>
            </w:pPr>
          </w:p>
        </w:tc>
        <w:tc>
          <w:tcPr>
            <w:tcW w:w="376" w:type="pct"/>
            <w:tcBorders>
              <w:top w:val="single" w:color="000000" w:sz="4" w:space="0"/>
              <w:left w:val="single" w:color="000000" w:sz="4" w:space="0"/>
              <w:bottom w:val="single" w:color="000000" w:sz="4" w:space="0"/>
              <w:right w:val="single" w:color="000000" w:sz="4" w:space="0"/>
            </w:tcBorders>
            <w:vAlign w:val="center"/>
          </w:tcPr>
          <w:p w14:paraId="62C2A13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20</w:t>
            </w:r>
          </w:p>
        </w:tc>
        <w:tc>
          <w:tcPr>
            <w:tcW w:w="483" w:type="pct"/>
            <w:tcBorders>
              <w:top w:val="single" w:color="000000" w:sz="4" w:space="0"/>
              <w:left w:val="single" w:color="000000" w:sz="4" w:space="0"/>
              <w:bottom w:val="single" w:color="000000" w:sz="4" w:space="0"/>
              <w:right w:val="single" w:color="000000" w:sz="4" w:space="0"/>
            </w:tcBorders>
            <w:vAlign w:val="center"/>
          </w:tcPr>
          <w:p w14:paraId="434E3784">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优</w:t>
            </w:r>
          </w:p>
        </w:tc>
      </w:tr>
      <w:tr w14:paraId="02743BF2">
        <w:tblPrEx>
          <w:tblCellMar>
            <w:top w:w="0" w:type="dxa"/>
            <w:left w:w="108" w:type="dxa"/>
            <w:bottom w:w="0" w:type="dxa"/>
            <w:right w:w="108" w:type="dxa"/>
          </w:tblCellMar>
        </w:tblPrEx>
        <w:trPr>
          <w:trHeight w:val="165" w:hRule="atLeast"/>
        </w:trPr>
        <w:tc>
          <w:tcPr>
            <w:tcW w:w="466" w:type="pct"/>
            <w:vMerge w:val="continue"/>
            <w:tcBorders>
              <w:top w:val="single" w:color="000000" w:sz="4" w:space="0"/>
              <w:left w:val="single" w:color="000000" w:sz="4" w:space="0"/>
              <w:bottom w:val="single" w:color="000000" w:sz="4" w:space="0"/>
              <w:right w:val="nil"/>
            </w:tcBorders>
            <w:vAlign w:val="center"/>
          </w:tcPr>
          <w:p w14:paraId="4A05C679">
            <w:pPr>
              <w:widowControl/>
              <w:spacing w:line="240" w:lineRule="exact"/>
              <w:jc w:val="center"/>
              <w:rPr>
                <w:rFonts w:ascii="宋体" w:hAnsi="宋体" w:cs="宋体"/>
                <w:color w:val="000000"/>
                <w:sz w:val="10"/>
                <w:szCs w:val="10"/>
              </w:rPr>
            </w:pPr>
          </w:p>
        </w:tc>
        <w:tc>
          <w:tcPr>
            <w:tcW w:w="394" w:type="pct"/>
            <w:tcBorders>
              <w:top w:val="single" w:color="000000" w:sz="4" w:space="0"/>
              <w:left w:val="single" w:color="000000" w:sz="4" w:space="0"/>
              <w:bottom w:val="single" w:color="000000" w:sz="4" w:space="0"/>
              <w:right w:val="single" w:color="000000" w:sz="4" w:space="0"/>
            </w:tcBorders>
            <w:vAlign w:val="center"/>
          </w:tcPr>
          <w:p w14:paraId="6C5C650E">
            <w:pPr>
              <w:widowControl/>
              <w:spacing w:line="240" w:lineRule="exact"/>
              <w:jc w:val="center"/>
              <w:textAlignment w:val="center"/>
              <w:rPr>
                <w:rFonts w:ascii="宋体" w:hAnsi="宋体" w:cs="宋体"/>
                <w:color w:val="000000"/>
                <w:sz w:val="10"/>
                <w:szCs w:val="10"/>
              </w:rPr>
            </w:pPr>
            <w:r>
              <w:rPr>
                <w:rFonts w:hint="eastAsia" w:ascii="宋体" w:hAnsi="宋体" w:cs="宋体"/>
                <w:color w:val="000000"/>
                <w:kern w:val="0"/>
                <w:sz w:val="10"/>
                <w:szCs w:val="10"/>
              </w:rPr>
              <w:t>满意度指标</w:t>
            </w:r>
          </w:p>
        </w:tc>
        <w:tc>
          <w:tcPr>
            <w:tcW w:w="1054" w:type="pct"/>
            <w:tcBorders>
              <w:top w:val="single" w:color="000000" w:sz="4" w:space="0"/>
              <w:left w:val="single" w:color="000000" w:sz="4" w:space="0"/>
              <w:bottom w:val="single" w:color="000000" w:sz="4" w:space="0"/>
              <w:right w:val="single" w:color="000000" w:sz="4" w:space="0"/>
            </w:tcBorders>
            <w:vAlign w:val="center"/>
          </w:tcPr>
          <w:p w14:paraId="30D8226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服务对象满意度指标</w:t>
            </w:r>
          </w:p>
        </w:tc>
        <w:tc>
          <w:tcPr>
            <w:tcW w:w="966" w:type="pct"/>
            <w:tcBorders>
              <w:top w:val="single" w:color="000000" w:sz="4" w:space="0"/>
              <w:left w:val="single" w:color="000000" w:sz="4" w:space="0"/>
              <w:bottom w:val="single" w:color="000000" w:sz="4" w:space="0"/>
              <w:right w:val="single" w:color="000000" w:sz="4" w:space="0"/>
            </w:tcBorders>
            <w:vAlign w:val="center"/>
          </w:tcPr>
          <w:p w14:paraId="6AC1C0D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群众、社会公众满意度</w:t>
            </w:r>
          </w:p>
        </w:tc>
        <w:tc>
          <w:tcPr>
            <w:tcW w:w="409" w:type="pct"/>
            <w:tcBorders>
              <w:top w:val="single" w:color="000000" w:sz="4" w:space="0"/>
              <w:left w:val="single" w:color="000000" w:sz="4" w:space="0"/>
              <w:bottom w:val="single" w:color="000000" w:sz="4" w:space="0"/>
              <w:right w:val="single" w:color="000000" w:sz="4" w:space="0"/>
            </w:tcBorders>
            <w:vAlign w:val="center"/>
          </w:tcPr>
          <w:p w14:paraId="00DFC0B7">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60" w:type="pct"/>
            <w:tcBorders>
              <w:top w:val="single" w:color="000000" w:sz="4" w:space="0"/>
              <w:left w:val="single" w:color="000000" w:sz="4" w:space="0"/>
              <w:bottom w:val="single" w:color="000000" w:sz="4" w:space="0"/>
              <w:right w:val="single" w:color="000000" w:sz="4" w:space="0"/>
            </w:tcBorders>
            <w:vAlign w:val="center"/>
          </w:tcPr>
          <w:p w14:paraId="1CFC6D62">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99</w:t>
            </w:r>
          </w:p>
        </w:tc>
        <w:tc>
          <w:tcPr>
            <w:tcW w:w="487" w:type="pct"/>
            <w:tcBorders>
              <w:top w:val="single" w:color="000000" w:sz="4" w:space="0"/>
              <w:left w:val="single" w:color="000000" w:sz="4" w:space="0"/>
              <w:bottom w:val="single" w:color="000000" w:sz="4" w:space="0"/>
              <w:right w:val="single" w:color="000000" w:sz="4" w:space="0"/>
            </w:tcBorders>
            <w:vAlign w:val="center"/>
          </w:tcPr>
          <w:p w14:paraId="385FA986">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w:t>
            </w:r>
          </w:p>
        </w:tc>
        <w:tc>
          <w:tcPr>
            <w:tcW w:w="376" w:type="pct"/>
            <w:tcBorders>
              <w:top w:val="single" w:color="000000" w:sz="4" w:space="0"/>
              <w:left w:val="single" w:color="000000" w:sz="4" w:space="0"/>
              <w:bottom w:val="single" w:color="000000" w:sz="4" w:space="0"/>
              <w:right w:val="single" w:color="000000" w:sz="4" w:space="0"/>
            </w:tcBorders>
            <w:vAlign w:val="center"/>
          </w:tcPr>
          <w:p w14:paraId="7C737EC9">
            <w:pPr>
              <w:widowControl/>
              <w:spacing w:line="240" w:lineRule="exact"/>
              <w:jc w:val="center"/>
              <w:textAlignment w:val="center"/>
              <w:rPr>
                <w:rFonts w:ascii="宋体" w:hAnsi="宋体" w:cs="宋体"/>
                <w:color w:val="000000"/>
                <w:sz w:val="10"/>
                <w:szCs w:val="10"/>
              </w:rPr>
            </w:pPr>
            <w:r>
              <w:rPr>
                <w:rFonts w:ascii="宋体" w:hAnsi="宋体" w:cs="宋体"/>
                <w:color w:val="000000"/>
                <w:kern w:val="0"/>
                <w:sz w:val="10"/>
                <w:szCs w:val="10"/>
              </w:rPr>
              <w:t>10</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42DDAB42">
            <w:pPr>
              <w:widowControl/>
              <w:spacing w:line="240" w:lineRule="exact"/>
              <w:jc w:val="center"/>
              <w:textAlignment w:val="center"/>
              <w:rPr>
                <w:rFonts w:ascii="宋体" w:hAnsi="宋体" w:cs="宋体"/>
                <w:color w:val="000000"/>
                <w:sz w:val="10"/>
                <w:szCs w:val="10"/>
              </w:rPr>
            </w:pPr>
            <w:r>
              <w:rPr>
                <w:rStyle w:val="37"/>
                <w:rFonts w:hint="default"/>
                <w:sz w:val="10"/>
                <w:szCs w:val="10"/>
              </w:rPr>
              <w:t>100%</w:t>
            </w:r>
          </w:p>
        </w:tc>
      </w:tr>
    </w:tbl>
    <w:p w14:paraId="55BC41C3">
      <w:pPr>
        <w:pStyle w:val="8"/>
        <w:overflowPunct w:val="0"/>
        <w:topLinePunct/>
        <w:autoSpaceDE w:val="0"/>
        <w:autoSpaceDN w:val="0"/>
        <w:spacing w:line="560" w:lineRule="exact"/>
        <w:ind w:left="0" w:leftChars="0" w:firstLine="640"/>
        <w:rPr>
          <w:rFonts w:hAnsi="仿宋_GB2312" w:eastAsia="仿宋_GB2312"/>
          <w:color w:val="0070C0"/>
          <w:sz w:val="32"/>
          <w:szCs w:val="24"/>
        </w:rPr>
        <w:sectPr>
          <w:footerReference r:id="rId10" w:type="first"/>
          <w:footerReference r:id="rId9" w:type="default"/>
          <w:pgSz w:w="16838" w:h="11906" w:orient="landscape"/>
          <w:pgMar w:top="1587" w:right="2098" w:bottom="1474" w:left="1984" w:header="851" w:footer="1304" w:gutter="0"/>
          <w:pgNumType w:start="38"/>
          <w:cols w:space="0" w:num="1"/>
          <w:titlePg/>
          <w:docGrid w:type="lines" w:linePitch="312" w:charSpace="0"/>
        </w:sectPr>
      </w:pPr>
    </w:p>
    <w:p w14:paraId="3C230A09">
      <w:pPr>
        <w:pStyle w:val="6"/>
        <w:overflowPunct w:val="0"/>
        <w:topLinePunct/>
        <w:autoSpaceDE w:val="0"/>
        <w:autoSpaceDN w:val="0"/>
        <w:spacing w:before="93"/>
        <w:rPr>
          <w:rFonts w:ascii="黑体" w:hAnsi="黑体" w:eastAsia="黑体" w:cs="黑体"/>
          <w:sz w:val="32"/>
          <w:szCs w:val="32"/>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2</w:t>
      </w:r>
    </w:p>
    <w:p w14:paraId="68C7577A">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广元市昭化区射箭镇人民政府</w:t>
      </w:r>
    </w:p>
    <w:p w14:paraId="06025BDC">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关于2024年基层组织活动和公共服务运行经费项目绩效自评报告</w:t>
      </w:r>
    </w:p>
    <w:p w14:paraId="71C265FF">
      <w:pPr>
        <w:spacing w:line="576" w:lineRule="exact"/>
        <w:ind w:firstLine="640" w:firstLineChars="200"/>
        <w:rPr>
          <w:rFonts w:ascii="仿宋_GB2312" w:hAnsi="仿宋_GB2312" w:cs="仿宋_GB2312"/>
          <w:sz w:val="32"/>
          <w:szCs w:val="32"/>
          <w:lang w:val="zh-CN"/>
        </w:rPr>
      </w:pPr>
    </w:p>
    <w:p w14:paraId="5D1641A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根据《广元市昭化区财政局关于开展2025年全区预算绩效自评工作的通知》（昭财发</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zh-CN"/>
        </w:rPr>
        <w:t>7号），为加强基层组织活动和公共服务运行经费项目管理工作，切实提高资金使用效益，结合我镇实际,对2024年基层组织活动和公共服务运行经费使用情况进行了自查，现将自查工作开展情况报告如下：</w:t>
      </w:r>
    </w:p>
    <w:p w14:paraId="158057E9">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一、项目概况</w:t>
      </w:r>
    </w:p>
    <w:p w14:paraId="58F0C65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（一）设立背景及基本情况。基层组织活动和公共服务运行经费项目共涉及社区2个（即明觉和提阳社区）、9个村、57个村民小组，资金73万元。</w:t>
      </w:r>
    </w:p>
    <w:p w14:paraId="6EFD5C1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项目主要使用范围为：基层组织活动、农村基础设施和环境项目、农业生产服务、农村生活服务、农村社会管理等农村公益事业。</w:t>
      </w:r>
    </w:p>
    <w:p w14:paraId="20AC879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项目主管部门职能：</w:t>
      </w:r>
    </w:p>
    <w:p w14:paraId="0B7138C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贯彻落实党的路线方针政策和国家法律法规，制定并执行本级人民代表大会的决议和上级国家行政机关的决定和命令，加强农村基层政权建设，巩固党在农村的执政基础。</w:t>
      </w:r>
    </w:p>
    <w:p w14:paraId="40B45EC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14:paraId="72B36E2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指导农村经济发展，推进农业经济结构调整，促进经济增长方式转变，促进农业增效、农民增收。</w:t>
      </w:r>
    </w:p>
    <w:p w14:paraId="0998D74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14:paraId="66B22FD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14:paraId="676DF63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承担辖区平安建设、社会治安综合治理、公共安全、安全生产及应急管理等有关工作，处理群众来信来访，反映社情民意，化解矛盾纠纷，维护社会安全稳定。</w:t>
      </w:r>
    </w:p>
    <w:p w14:paraId="1A93107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做好国防教育和兵役等工作。</w:t>
      </w:r>
    </w:p>
    <w:p w14:paraId="4873B7A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负责制定完善乡镇行政权力清单、乡镇权力责任清单、乡镇属地事项责任清单，建立清单动态调整和公示机制，推进政务公开，接受群众监督，增强政府公信力。</w:t>
      </w:r>
    </w:p>
    <w:p w14:paraId="4261CBA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承担法律、法规、规章规定的其他职能和上级党委、政府交办的其他任务。</w:t>
      </w:r>
    </w:p>
    <w:p w14:paraId="17AE10D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（二）实施目的及支持方向。</w:t>
      </w:r>
    </w:p>
    <w:p w14:paraId="01596A2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层组织活动和公共服务运行经费项目实施目的以加强基层组织建设，提高村（社区）公共服务管理和社会管理水平。2024年，该项目主要工作任务：（1）各村（社区）基层组织活动；（2）村（社区）内道路、水利、供水等基础设施维护；（3）村（社区）环境整治，农村垃圾转运、园林绿化；（4）村（社区）农业科技推广、农业信息化、农业资源与生态保护；（5）村（社区）农村生活服务“村村通”、电影放映服务、报刊图书阅览服务、文体及健身活动；（6）村（社区）农村社会管理环境卫生监督管理、政策宣传、农村土地规划管理、食品安全保障等服务维护活动。</w:t>
      </w:r>
    </w:p>
    <w:p w14:paraId="4657B57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（三）预算安排及分配管理。</w:t>
      </w:r>
    </w:p>
    <w:p w14:paraId="7D3831B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预算安排73万元，资金属于一般公共预算拨款资金。项目资金分配原则遵循规范、公正、公开的原则，采用因素法分配，并根据绩效评价结果，资金执行进度和下一年度绩效目标等因素进行调节，明确奖惩措施，突出激励导向。通过村（社区）委员会申报项目资金镇政府审核“镇、村双把关”，厘清责任链条，明确资金评审目标定位，促进资金合理均衡分配。截止评价之日，基层组织活动和公共服务运行经费资金到位73万元，实际支出73万元。</w:t>
      </w:r>
    </w:p>
    <w:p w14:paraId="6EEB0B9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（四）项目绩效目标设置。</w:t>
      </w:r>
    </w:p>
    <w:p w14:paraId="40E2DDBC">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目标设定，确保目标具体、可测量、可达成、相关性和时限行原则，即核心指标：产出数量指标为维（修）护1.农村基础设施“村社道路路面、涵洞排水管和两旁水沟”维修安装及清理共计3481.5米；2.水利山坪塘外盖加固54米；3.村级组织活动阵地维修整治520平方米；4.基层党建远程教育网络日常维护11条，并保持畅通；5.农村社区环境“日常保洁、垃圾转运”不低于648次/年、路面街道保持整洁、0积压垃圾；5.农村产业发展园区管护2个。当年基础设施配备率提升25%以上，各项指标完成合格率100%，工作满意度96%以上，经济成本降低，进一步强化各村（社区）基层组织活动和基础设施设备的安全性，为镇域经济发展奠定坚实基础。</w:t>
      </w:r>
    </w:p>
    <w:p w14:paraId="072F951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该项目在自评工作中目标明确、制定自评标准，采用实地考察、文件审查等多种方式，对项目单位的各项工作进行了全面评估和自我检查。</w:t>
      </w:r>
    </w:p>
    <w:p w14:paraId="687F326A">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二、评价实施</w:t>
      </w:r>
    </w:p>
    <w:p w14:paraId="0AB4299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组织。镇成立项目领导小组，镇长任组长负责项目总的实施，副书记、村（社区）书记主要抓该项目招投标、政府采购、项目公示等。制定有效地监管措施、执行相关管理制度(如招投标、政府采购、项目公示等)相关情况，其中：此项目基本建设、购买服务程序等执行村民自建、网上公开招标，并对村民委员会、竞标方的相关问题进行合法合规审核。</w:t>
      </w:r>
    </w:p>
    <w:p w14:paraId="2890626F">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评价目的。通过该项目计划与实际执行结果比较，开展基层组织活动和农村公共运行维护机制评价工作，是以贯彻落实统筹城乡发展战略，完善乡村治理机制，加强基层民主政治建设，解决农村公共服务差异化需求为重要目的。</w:t>
      </w:r>
    </w:p>
    <w:p w14:paraId="5CF0D958">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评价选点。涉及9村2社区，根据各维护项目规模、地域分布、关键活动，结合各项目特点，采用随机抽样与整群抽样的方法，确保所抽样本覆盖全面、过程科学和公正。针对各个维护项目，都在计划的时间内完成各项绩效指标值，质量符合行业标准，成本控制在可控范围内，社会效益和群众满意度提高，资源利用率达100%。</w:t>
      </w:r>
    </w:p>
    <w:p w14:paraId="15AE710C">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评价方法。根据该项目实际情况和此次评价重点，本项目绩效自评主要采用比较法和公众评判法，通过现场核查，查阅资料，问卷调查，经汇总分析后，从投入、过程、产出和效益三大方面全面反映了项目支出绩效情况。</w:t>
      </w:r>
    </w:p>
    <w:p w14:paraId="0676D4AB">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三、绩效分析</w:t>
      </w:r>
    </w:p>
    <w:p w14:paraId="7C5E477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（一）通用绩效指标分析。</w:t>
      </w:r>
    </w:p>
    <w:p w14:paraId="2FC6478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决策。确保基层组织活动和公共服务运行维护机制工作健康有序开展，抓好抓实。镇政府成立了以镇政府镇长为组长、党委副书记为副组长，财政所负责人、纪检监察委员、农业站负责人、农经站负责人、各村（社区）书记为成员的射箭镇基层组织活动和公共服务运行经费支出绩效评价工作领导小组。领导小组按照各村、社区情况，在充分征求该村、社区及民众意见后，经村组拟定、审议、决议、公示等进行全面监督和督查，并明确专人负责对全镇基层组织活动和公共服务运行经费项目实施程序、资料完善等进行了跟踪和指导。</w:t>
      </w:r>
    </w:p>
    <w:p w14:paraId="72ABADD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实施。我镇基层组织活动和公共服务运行维护项目经费为一般公共财政预算，各村（社区）基层组织活动和公共服务维护资金的支付实行报账制，由村上提出申请，经镇财政所审核，分管领导、镇长签字后予以支付。2024年我镇累计向项目村拨付公共服务运行维护经费73万元。涉及村（社区）均及时、有效公示了项目经费的使用、支付等情况，资金使用范围合规，各项政策执行合法。</w:t>
      </w:r>
    </w:p>
    <w:p w14:paraId="32A83B6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完成结果。截止2024年12月30日，各村（社区）基层组织活动和公共服务运行维护项目完工率均为100%，总计资金73万元。（1）基层组织活动方面。开展基层组织活动44次;党员干部培训如主题教育36次、上党课11次、党员义务劳动33次（次/季）;党员集中学习50次;发展林下中药材、蔬菜和粮油等产业培训610人次；走访、慰问4次困难党员259人、困难群众233人。（2）公共运行维护方面。其中：①农村基础设施“村社道路路面、涵洞排水管和两旁水沟”维护涉及村（社区）即潼梓村、龙江村、京元村、晒金村、板石村、云峰村、帽壳村、前锋村、五房村等9个村和明觉社区、提阳社区2个社区，资金42.45万元；②水利山坪塘渠系维护涉及村（社区）即云峰村1个村和明觉社区1个，资金4.65万元；③村级组织活动阵地维护涉及晒金村1个村，资金1.95万元；④；农村社区环境维护涉及村（社区）即潼梓村、京元村、晒金村、板石村、云峰村、帽壳村、前锋村、五房村等8个村和提阳社区1个社区，资金19.07万元；⑤农村产业发展园区维护涉及村即龙江村、板石村2个，资金4.71万元；⑥基层党建远程教育网络维护涉及潼梓村1个，金额0.17万元。</w:t>
      </w:r>
    </w:p>
    <w:p w14:paraId="23F94FF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专用绩效指标分析。根据专项预算项目资金支持对象选择所属指标进行绩效分析。按自评年度内实际实施情况即为基础设施。维护完成项目各项目经镇、村、第三方及时验收，实地方量核算，按国家合格标准质量大大提高。各项目经济在维持整体运行中发挥即整合、交流、导向、继承和发展的社会功能。公共服务基础设施建设功能达到预期能力，建成后各村社区运行良好。该项目后续维护已实现，相关基础设施维护项目全面衔接乡村振兴并发挥整体效益。</w:t>
      </w:r>
    </w:p>
    <w:p w14:paraId="458A52C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特性指标绩效分析。该项目所涉及的特性指标适用范围相应的二、三级指标。即基础设施项目中的“城乡社区、水利设施和设备购置”，均符合验收标准，达到行业基准水平，城乡社区公共设施正常运转情况、水利设施设计能力实现情况、购置的设备常态化运行良好。</w:t>
      </w:r>
    </w:p>
    <w:p w14:paraId="6A28904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（四）个性指标绩效分析。根据该项目实际实施情况，我镇自行设定满意度指标即群众满意度，通过走访、座谈各实施村、社区群众，社会各界公众人员，满意度达96%，0投诉。</w:t>
      </w:r>
    </w:p>
    <w:p w14:paraId="528E6673">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四、评价结论</w:t>
      </w:r>
    </w:p>
    <w:p w14:paraId="3C0201D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我镇申报的项目资金实施后均已实现了特定的绩效目标，同时预定目标设置合理，符合相关规定要求。根据指标评价体系标准，该项自评得分97分。</w:t>
      </w:r>
    </w:p>
    <w:p w14:paraId="2F135C64">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五、存在主要问题</w:t>
      </w:r>
    </w:p>
    <w:p w14:paraId="23FC522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部分基层组织和公共运行维护经费支出进度缓慢。</w:t>
      </w:r>
    </w:p>
    <w:p w14:paraId="755ADF21">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六、改进建议</w:t>
      </w:r>
    </w:p>
    <w:p w14:paraId="479A24C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进一步加强对基层组织和公共运行维护经费的监管，提高资金使用效率。</w:t>
      </w:r>
    </w:p>
    <w:p w14:paraId="7EF6899E">
      <w:pPr>
        <w:spacing w:line="576" w:lineRule="exact"/>
        <w:ind w:firstLine="640" w:firstLineChars="200"/>
        <w:rPr>
          <w:rFonts w:ascii="仿宋_GB2312" w:hAnsi="仿宋_GB2312" w:eastAsia="仿宋_GB2312" w:cs="仿宋_GB2312"/>
          <w:sz w:val="32"/>
          <w:szCs w:val="32"/>
          <w:lang w:val="zh-CN"/>
        </w:rPr>
      </w:pPr>
    </w:p>
    <w:p w14:paraId="0038742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附件：基层组织活动和公共服务运行经费项目支出绩效自评表</w:t>
      </w:r>
    </w:p>
    <w:p w14:paraId="36DAD4C9">
      <w:pPr>
        <w:widowControl/>
        <w:jc w:val="center"/>
        <w:textAlignment w:val="center"/>
        <w:rPr>
          <w:rFonts w:ascii="方正小标宋简体" w:hAnsi="方正小标宋简体" w:eastAsia="方正小标宋简体" w:cs="方正小标宋简体"/>
          <w:color w:val="000000"/>
          <w:kern w:val="0"/>
          <w:sz w:val="44"/>
          <w:szCs w:val="44"/>
        </w:rPr>
        <w:sectPr>
          <w:footerReference r:id="rId12" w:type="first"/>
          <w:footerReference r:id="rId11" w:type="default"/>
          <w:pgSz w:w="11906" w:h="16838"/>
          <w:pgMar w:top="2098" w:right="1474" w:bottom="1984" w:left="1587" w:header="851" w:footer="1304" w:gutter="0"/>
          <w:pgNumType w:start="39"/>
          <w:cols w:space="0" w:num="1"/>
          <w:titlePg/>
          <w:docGrid w:type="lines" w:linePitch="312" w:charSpace="0"/>
        </w:sectPr>
      </w:pPr>
    </w:p>
    <w:tbl>
      <w:tblPr>
        <w:tblStyle w:val="16"/>
        <w:tblW w:w="14740" w:type="dxa"/>
        <w:jc w:val="center"/>
        <w:tblLayout w:type="autofit"/>
        <w:tblCellMar>
          <w:top w:w="0" w:type="dxa"/>
          <w:left w:w="108" w:type="dxa"/>
          <w:bottom w:w="0" w:type="dxa"/>
          <w:right w:w="108" w:type="dxa"/>
        </w:tblCellMar>
      </w:tblPr>
      <w:tblGrid>
        <w:gridCol w:w="548"/>
        <w:gridCol w:w="1717"/>
        <w:gridCol w:w="1260"/>
        <w:gridCol w:w="2523"/>
        <w:gridCol w:w="2045"/>
        <w:gridCol w:w="1187"/>
        <w:gridCol w:w="1260"/>
        <w:gridCol w:w="2155"/>
        <w:gridCol w:w="2045"/>
      </w:tblGrid>
      <w:tr w14:paraId="3FEBB554">
        <w:tblPrEx>
          <w:tblCellMar>
            <w:top w:w="0" w:type="dxa"/>
            <w:left w:w="108" w:type="dxa"/>
            <w:bottom w:w="0" w:type="dxa"/>
            <w:right w:w="108" w:type="dxa"/>
          </w:tblCellMar>
        </w:tblPrEx>
        <w:trPr>
          <w:trHeight w:val="454" w:hRule="atLeast"/>
          <w:jc w:val="center"/>
        </w:trPr>
        <w:tc>
          <w:tcPr>
            <w:tcW w:w="14740" w:type="dxa"/>
            <w:gridSpan w:val="9"/>
            <w:tcBorders>
              <w:top w:val="nil"/>
              <w:left w:val="nil"/>
              <w:bottom w:val="nil"/>
              <w:right w:val="nil"/>
            </w:tcBorders>
            <w:shd w:val="clear" w:color="auto" w:fill="auto"/>
          </w:tcPr>
          <w:p w14:paraId="6CF6D0C7">
            <w:pPr>
              <w:widowControl/>
              <w:jc w:val="center"/>
              <w:textAlignment w:val="center"/>
              <w:rPr>
                <w:rFonts w:ascii="黑体" w:hAnsi="宋体" w:eastAsia="黑体" w:cs="黑体"/>
                <w:color w:val="000000"/>
                <w:sz w:val="13"/>
                <w:szCs w:val="13"/>
              </w:rPr>
            </w:pPr>
            <w:r>
              <w:rPr>
                <w:rFonts w:hint="eastAsia" w:ascii="方正小标宋简体" w:hAnsi="方正小标宋简体" w:eastAsia="方正小标宋简体" w:cs="方正小标宋简体"/>
                <w:color w:val="000000"/>
                <w:kern w:val="0"/>
                <w:sz w:val="13"/>
                <w:szCs w:val="13"/>
              </w:rPr>
              <w:t>2024年专项预算项目绩效目标完成情况自评表</w:t>
            </w:r>
          </w:p>
        </w:tc>
      </w:tr>
      <w:tr w14:paraId="3EEF2604">
        <w:tblPrEx>
          <w:tblCellMar>
            <w:top w:w="0" w:type="dxa"/>
            <w:left w:w="108" w:type="dxa"/>
            <w:bottom w:w="0" w:type="dxa"/>
            <w:right w:w="108" w:type="dxa"/>
          </w:tblCellMar>
        </w:tblPrEx>
        <w:trPr>
          <w:trHeight w:val="207" w:hRule="atLeast"/>
          <w:jc w:val="center"/>
        </w:trPr>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3BE8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项目名称</w:t>
            </w:r>
          </w:p>
        </w:tc>
        <w:tc>
          <w:tcPr>
            <w:tcW w:w="8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20A4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射箭_基层组织活动和公共服务运行经费</w:t>
            </w:r>
          </w:p>
        </w:tc>
      </w:tr>
      <w:tr w14:paraId="74385295">
        <w:tblPrEx>
          <w:tblCellMar>
            <w:top w:w="0" w:type="dxa"/>
            <w:left w:w="108" w:type="dxa"/>
            <w:bottom w:w="0" w:type="dxa"/>
            <w:right w:w="108" w:type="dxa"/>
          </w:tblCellMar>
        </w:tblPrEx>
        <w:trPr>
          <w:trHeight w:val="192" w:hRule="atLeast"/>
          <w:jc w:val="center"/>
        </w:trPr>
        <w:tc>
          <w:tcPr>
            <w:tcW w:w="6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AC96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预算单位</w:t>
            </w:r>
          </w:p>
        </w:tc>
        <w:tc>
          <w:tcPr>
            <w:tcW w:w="8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48E7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广元市昭化区射箭镇人民政府</w:t>
            </w:r>
          </w:p>
        </w:tc>
      </w:tr>
      <w:tr w14:paraId="1C417E44">
        <w:tblPrEx>
          <w:tblCellMar>
            <w:top w:w="0" w:type="dxa"/>
            <w:left w:w="108" w:type="dxa"/>
            <w:bottom w:w="0" w:type="dxa"/>
            <w:right w:w="108" w:type="dxa"/>
          </w:tblCellMar>
        </w:tblPrEx>
        <w:trPr>
          <w:trHeight w:val="147" w:hRule="atLeast"/>
          <w:jc w:val="center"/>
        </w:trPr>
        <w:tc>
          <w:tcPr>
            <w:tcW w:w="2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29C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项目资金（万元）</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776D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年度资金总额：</w:t>
            </w:r>
          </w:p>
        </w:tc>
        <w:tc>
          <w:tcPr>
            <w:tcW w:w="8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4556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73.00</w:t>
            </w:r>
          </w:p>
        </w:tc>
      </w:tr>
      <w:tr w14:paraId="0976CA3B">
        <w:tblPrEx>
          <w:tblCellMar>
            <w:top w:w="0" w:type="dxa"/>
            <w:left w:w="108" w:type="dxa"/>
            <w:bottom w:w="0" w:type="dxa"/>
            <w:right w:w="108" w:type="dxa"/>
          </w:tblCellMar>
        </w:tblPrEx>
        <w:trPr>
          <w:trHeight w:val="252" w:hRule="atLeast"/>
          <w:jc w:val="center"/>
        </w:trPr>
        <w:tc>
          <w:tcPr>
            <w:tcW w:w="2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B2FB">
            <w:pPr>
              <w:widowControl/>
              <w:spacing w:line="240" w:lineRule="exact"/>
              <w:rPr>
                <w:rFonts w:ascii="宋体" w:hAnsi="宋体" w:cs="宋体"/>
                <w:color w:val="000000"/>
                <w:sz w:val="13"/>
                <w:szCs w:val="13"/>
              </w:rPr>
            </w:pP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DBD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其中：财政拨款</w:t>
            </w:r>
          </w:p>
        </w:tc>
        <w:tc>
          <w:tcPr>
            <w:tcW w:w="8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7933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73.00</w:t>
            </w:r>
          </w:p>
        </w:tc>
      </w:tr>
      <w:tr w14:paraId="09C7F34F">
        <w:tblPrEx>
          <w:tblCellMar>
            <w:top w:w="0" w:type="dxa"/>
            <w:left w:w="108" w:type="dxa"/>
            <w:bottom w:w="0" w:type="dxa"/>
            <w:right w:w="108" w:type="dxa"/>
          </w:tblCellMar>
        </w:tblPrEx>
        <w:trPr>
          <w:trHeight w:val="192" w:hRule="atLeast"/>
          <w:jc w:val="center"/>
        </w:trPr>
        <w:tc>
          <w:tcPr>
            <w:tcW w:w="2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884D">
            <w:pPr>
              <w:widowControl/>
              <w:spacing w:line="240" w:lineRule="exact"/>
              <w:rPr>
                <w:rFonts w:ascii="宋体" w:hAnsi="宋体" w:cs="宋体"/>
                <w:color w:val="000000"/>
                <w:sz w:val="13"/>
                <w:szCs w:val="13"/>
              </w:rPr>
            </w:pP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343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其他资金</w:t>
            </w:r>
          </w:p>
        </w:tc>
        <w:tc>
          <w:tcPr>
            <w:tcW w:w="8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A942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0.00</w:t>
            </w:r>
          </w:p>
        </w:tc>
      </w:tr>
      <w:tr w14:paraId="1057EE86">
        <w:tblPrEx>
          <w:tblCellMar>
            <w:top w:w="0" w:type="dxa"/>
            <w:left w:w="108" w:type="dxa"/>
            <w:bottom w:w="0" w:type="dxa"/>
            <w:right w:w="108" w:type="dxa"/>
          </w:tblCellMar>
        </w:tblPrEx>
        <w:trPr>
          <w:trHeight w:val="252" w:hRule="atLeast"/>
          <w:jc w:val="center"/>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0210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总 体 目 标</w:t>
            </w:r>
          </w:p>
        </w:tc>
        <w:tc>
          <w:tcPr>
            <w:tcW w:w="141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9B252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年度目标</w:t>
            </w:r>
          </w:p>
        </w:tc>
      </w:tr>
      <w:tr w14:paraId="7AE2AA0F">
        <w:tblPrEx>
          <w:tblCellMar>
            <w:top w:w="0" w:type="dxa"/>
            <w:left w:w="108" w:type="dxa"/>
            <w:bottom w:w="0" w:type="dxa"/>
            <w:right w:w="108" w:type="dxa"/>
          </w:tblCellMar>
        </w:tblPrEx>
        <w:trPr>
          <w:trHeight w:val="39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1B53">
            <w:pPr>
              <w:widowControl/>
              <w:spacing w:line="240" w:lineRule="exact"/>
              <w:rPr>
                <w:rFonts w:ascii="宋体" w:hAnsi="宋体" w:cs="宋体"/>
                <w:color w:val="000000"/>
                <w:sz w:val="13"/>
                <w:szCs w:val="13"/>
              </w:rPr>
            </w:pPr>
          </w:p>
        </w:tc>
        <w:tc>
          <w:tcPr>
            <w:tcW w:w="141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B363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全镇9村2社区坚持遵循民主决策、统筹安排、公开公示、规范管理的原则，开展基层组织活动、党员干部培训（即主题教育、上党课、党员义务劳动、;党员集中学习）等；;发展核桃技术、蔬菜和中药材等产业培训；走访、慰问困难党员、困难群众。重点完成9村2社区基础设施维护：即维护村级道路路基(面）；维修水利设施山坪塘即护坡、盖的整治；维护9村2社区日常村道保洁、生活垃圾清运、街道绿化、路灯维护等；保证远程教育9个村网络运行畅通；维护村级活动阵地的设施完备等。保障村、社区公共服务设施的正常运行。</w:t>
            </w:r>
          </w:p>
        </w:tc>
      </w:tr>
      <w:tr w14:paraId="2D062A12">
        <w:tblPrEx>
          <w:tblCellMar>
            <w:top w:w="0" w:type="dxa"/>
            <w:left w:w="108" w:type="dxa"/>
            <w:bottom w:w="0" w:type="dxa"/>
            <w:right w:w="108" w:type="dxa"/>
          </w:tblCellMar>
        </w:tblPrEx>
        <w:trPr>
          <w:trHeight w:val="222" w:hRule="atLeast"/>
          <w:jc w:val="center"/>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7118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绩 效 指 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2D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7D6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二级指标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20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三级指标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AD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指标性质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055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指标值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519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度量单位</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A1E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权重</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A13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实际完成指标值</w:t>
            </w:r>
          </w:p>
        </w:tc>
      </w:tr>
      <w:tr w14:paraId="6BEA0BE0">
        <w:tblPrEx>
          <w:tblCellMar>
            <w:top w:w="0" w:type="dxa"/>
            <w:left w:w="108" w:type="dxa"/>
            <w:bottom w:w="0" w:type="dxa"/>
            <w:right w:w="108" w:type="dxa"/>
          </w:tblCellMar>
        </w:tblPrEx>
        <w:trPr>
          <w:trHeight w:val="22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F691">
            <w:pPr>
              <w:widowControl/>
              <w:spacing w:line="240" w:lineRule="exact"/>
              <w:rPr>
                <w:rFonts w:ascii="宋体" w:hAnsi="宋体" w:cs="宋体"/>
                <w:color w:val="000000"/>
                <w:sz w:val="13"/>
                <w:szCs w:val="13"/>
              </w:rPr>
            </w:pP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37963">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产出指标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A800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数量指标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59F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农村基础设施“村社道路水沟”维护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297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75E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979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米</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87C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00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3000米</w:t>
            </w:r>
          </w:p>
        </w:tc>
      </w:tr>
      <w:tr w14:paraId="09D43648">
        <w:tblPrEx>
          <w:tblCellMar>
            <w:top w:w="0" w:type="dxa"/>
            <w:left w:w="108" w:type="dxa"/>
            <w:bottom w:w="0" w:type="dxa"/>
            <w:right w:w="108" w:type="dxa"/>
          </w:tblCellMar>
        </w:tblPrEx>
        <w:trPr>
          <w:trHeight w:val="17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03ECC">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E1FB">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1BB3">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4F2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农村基础设施“村社道路路面”维护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E9B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85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452.5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757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米</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BD3">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F81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452.5米</w:t>
            </w:r>
          </w:p>
        </w:tc>
      </w:tr>
      <w:tr w14:paraId="1248048E">
        <w:tblPrEx>
          <w:tblCellMar>
            <w:top w:w="0" w:type="dxa"/>
            <w:left w:w="108" w:type="dxa"/>
            <w:bottom w:w="0" w:type="dxa"/>
            <w:right w:w="108" w:type="dxa"/>
          </w:tblCellMar>
        </w:tblPrEx>
        <w:trPr>
          <w:trHeight w:val="17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28F9">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CA9D">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3BDE">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64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基层党建远程教育网络维护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213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E4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DA2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条</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17A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9FF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1条</w:t>
            </w:r>
          </w:p>
        </w:tc>
      </w:tr>
      <w:tr w14:paraId="03B90EDB">
        <w:tblPrEx>
          <w:tblCellMar>
            <w:top w:w="0" w:type="dxa"/>
            <w:left w:w="108" w:type="dxa"/>
            <w:bottom w:w="0" w:type="dxa"/>
            <w:right w:w="108" w:type="dxa"/>
          </w:tblCellMar>
        </w:tblPrEx>
        <w:trPr>
          <w:trHeight w:val="23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978B">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3C8F">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1BFE">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2FE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农村基础设施“水利山坪塘外盖”维护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D3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D0C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280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米</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91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AF7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54米</w:t>
            </w:r>
          </w:p>
        </w:tc>
      </w:tr>
      <w:tr w14:paraId="0730AF39">
        <w:tblPrEx>
          <w:tblCellMar>
            <w:top w:w="0" w:type="dxa"/>
            <w:left w:w="108" w:type="dxa"/>
            <w:bottom w:w="0" w:type="dxa"/>
            <w:right w:w="108" w:type="dxa"/>
          </w:tblCellMar>
        </w:tblPrEx>
        <w:trPr>
          <w:trHeight w:val="25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040F">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AC26">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FCE6">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96E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“村社道路涵洞即排水管”维护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A81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99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27A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米</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C5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4FD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29米</w:t>
            </w:r>
          </w:p>
        </w:tc>
      </w:tr>
      <w:tr w14:paraId="29695C9F">
        <w:tblPrEx>
          <w:tblCellMar>
            <w:top w:w="0" w:type="dxa"/>
            <w:left w:w="108" w:type="dxa"/>
            <w:bottom w:w="0" w:type="dxa"/>
            <w:right w:w="108" w:type="dxa"/>
          </w:tblCellMar>
        </w:tblPrEx>
        <w:trPr>
          <w:trHeight w:val="22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E1681">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C3C5">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1F66">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F5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农村环境“日常保洁、垃圾运输”维护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CB5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A7A3">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648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B9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次/年</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36A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27C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670次</w:t>
            </w:r>
          </w:p>
        </w:tc>
      </w:tr>
      <w:tr w14:paraId="1910B8AF">
        <w:tblPrEx>
          <w:tblCellMar>
            <w:top w:w="0" w:type="dxa"/>
            <w:left w:w="108" w:type="dxa"/>
            <w:bottom w:w="0" w:type="dxa"/>
            <w:right w:w="108" w:type="dxa"/>
          </w:tblCellMar>
        </w:tblPrEx>
        <w:trPr>
          <w:trHeight w:val="16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CEF1">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2965">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7108">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755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基础设施“村级组织活动阵地”维护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2DB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3DF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520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410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平方米</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DC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AD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520平方米</w:t>
            </w:r>
          </w:p>
        </w:tc>
      </w:tr>
      <w:tr w14:paraId="1AC35A23">
        <w:tblPrEx>
          <w:tblCellMar>
            <w:top w:w="0" w:type="dxa"/>
            <w:left w:w="108" w:type="dxa"/>
            <w:bottom w:w="0" w:type="dxa"/>
            <w:right w:w="108" w:type="dxa"/>
          </w:tblCellMar>
        </w:tblPrEx>
        <w:trPr>
          <w:trHeight w:val="23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7EE1">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BB15">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126C">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7C3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农业产业园区维护</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E21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9A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71B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个</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8B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787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2个</w:t>
            </w:r>
          </w:p>
        </w:tc>
      </w:tr>
      <w:tr w14:paraId="2D400F0C">
        <w:tblPrEx>
          <w:tblCellMar>
            <w:top w:w="0" w:type="dxa"/>
            <w:left w:w="108" w:type="dxa"/>
            <w:bottom w:w="0" w:type="dxa"/>
            <w:right w:w="108" w:type="dxa"/>
          </w:tblCellMar>
        </w:tblPrEx>
        <w:trPr>
          <w:trHeight w:val="20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0B71">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6AA3">
            <w:pPr>
              <w:widowControl/>
              <w:spacing w:line="240" w:lineRule="exact"/>
              <w:rPr>
                <w:rFonts w:ascii="宋体" w:hAnsi="宋体" w:cs="宋体"/>
                <w:color w:val="000000"/>
                <w:sz w:val="13"/>
                <w:szCs w:val="13"/>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9AC7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质量指标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652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9个村2社区基础设施配备率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40B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8C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11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FF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B9D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25%</w:t>
            </w:r>
          </w:p>
        </w:tc>
      </w:tr>
      <w:tr w14:paraId="45944E75">
        <w:tblPrEx>
          <w:tblCellMar>
            <w:top w:w="0" w:type="dxa"/>
            <w:left w:w="108" w:type="dxa"/>
            <w:bottom w:w="0" w:type="dxa"/>
            <w:right w:w="108" w:type="dxa"/>
          </w:tblCellMar>
        </w:tblPrEx>
        <w:trPr>
          <w:trHeight w:val="17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A243">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3686">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73B9">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25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各项任务完成率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334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B80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764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5BD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5E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100%</w:t>
            </w:r>
          </w:p>
        </w:tc>
      </w:tr>
      <w:tr w14:paraId="0FCBAE82">
        <w:tblPrEx>
          <w:tblCellMar>
            <w:top w:w="0" w:type="dxa"/>
            <w:left w:w="108" w:type="dxa"/>
            <w:bottom w:w="0" w:type="dxa"/>
            <w:right w:w="108" w:type="dxa"/>
          </w:tblCellMar>
        </w:tblPrEx>
        <w:trPr>
          <w:trHeight w:val="90"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8124">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5396">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D017">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73D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维护项目各项指标任务完成并通过考核</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9D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定性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69B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D7D">
            <w:pPr>
              <w:widowControl/>
              <w:spacing w:line="240" w:lineRule="exact"/>
              <w:rPr>
                <w:rFonts w:ascii="宋体" w:hAnsi="宋体" w:cs="宋体"/>
                <w:color w:val="000000"/>
                <w:sz w:val="13"/>
                <w:szCs w:val="13"/>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227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43D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优</w:t>
            </w:r>
          </w:p>
        </w:tc>
      </w:tr>
      <w:tr w14:paraId="5F5CA6CA">
        <w:tblPrEx>
          <w:tblCellMar>
            <w:top w:w="0" w:type="dxa"/>
            <w:left w:w="108" w:type="dxa"/>
            <w:bottom w:w="0" w:type="dxa"/>
            <w:right w:w="108" w:type="dxa"/>
          </w:tblCellMar>
        </w:tblPrEx>
        <w:trPr>
          <w:trHeight w:val="22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6058">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8E4D">
            <w:pPr>
              <w:widowControl/>
              <w:spacing w:line="240" w:lineRule="exact"/>
              <w:rPr>
                <w:rFonts w:ascii="宋体" w:hAnsi="宋体" w:cs="宋体"/>
                <w:color w:val="000000"/>
                <w:sz w:val="13"/>
                <w:szCs w:val="13"/>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6CE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时效指标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9B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各项任务完成及时率</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6EB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10E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E05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年</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6F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FC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1年</w:t>
            </w:r>
          </w:p>
        </w:tc>
      </w:tr>
      <w:tr w14:paraId="3402DA81">
        <w:tblPrEx>
          <w:tblCellMar>
            <w:top w:w="0" w:type="dxa"/>
            <w:left w:w="108" w:type="dxa"/>
            <w:bottom w:w="0" w:type="dxa"/>
            <w:right w:w="108" w:type="dxa"/>
          </w:tblCellMar>
        </w:tblPrEx>
        <w:trPr>
          <w:trHeight w:val="39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E45E">
            <w:pPr>
              <w:widowControl/>
              <w:spacing w:line="240" w:lineRule="exact"/>
              <w:rPr>
                <w:rFonts w:ascii="宋体" w:hAnsi="宋体" w:cs="宋体"/>
                <w:color w:val="000000"/>
                <w:sz w:val="13"/>
                <w:szCs w:val="13"/>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7F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61C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社会效益指标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A30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有效完成既定的目标值，保障了群众出行、产业发展、蓄水灌溉等，创造良好的村容环境。带动当地群众就业、经济发展，提高了人民的生活水平。</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59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定性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26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A30">
            <w:pPr>
              <w:widowControl/>
              <w:spacing w:line="240" w:lineRule="exact"/>
              <w:rPr>
                <w:rFonts w:ascii="宋体" w:hAnsi="宋体" w:cs="宋体"/>
                <w:color w:val="000000"/>
                <w:sz w:val="13"/>
                <w:szCs w:val="13"/>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17F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933">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优</w:t>
            </w:r>
          </w:p>
        </w:tc>
      </w:tr>
      <w:tr w14:paraId="4D3ACD98">
        <w:tblPrEx>
          <w:tblCellMar>
            <w:top w:w="0" w:type="dxa"/>
            <w:left w:w="108" w:type="dxa"/>
            <w:bottom w:w="0" w:type="dxa"/>
            <w:right w:w="108" w:type="dxa"/>
          </w:tblCellMar>
        </w:tblPrEx>
        <w:trPr>
          <w:trHeight w:val="20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B041">
            <w:pPr>
              <w:widowControl/>
              <w:spacing w:line="240" w:lineRule="exact"/>
              <w:rPr>
                <w:rFonts w:ascii="宋体" w:hAnsi="宋体" w:cs="宋体"/>
                <w:color w:val="000000"/>
                <w:sz w:val="13"/>
                <w:szCs w:val="13"/>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14A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A1E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满意度指标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08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群众满意度</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FE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CF31">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96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3A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FE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7C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96%</w:t>
            </w:r>
          </w:p>
        </w:tc>
      </w:tr>
      <w:tr w14:paraId="7A14171A">
        <w:tblPrEx>
          <w:tblCellMar>
            <w:top w:w="0" w:type="dxa"/>
            <w:left w:w="108" w:type="dxa"/>
            <w:bottom w:w="0" w:type="dxa"/>
            <w:right w:w="108" w:type="dxa"/>
          </w:tblCellMar>
        </w:tblPrEx>
        <w:trPr>
          <w:trHeight w:val="20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EDFF6">
            <w:pPr>
              <w:widowControl/>
              <w:spacing w:line="240" w:lineRule="exact"/>
              <w:rPr>
                <w:rFonts w:ascii="宋体" w:hAnsi="宋体" w:cs="宋体"/>
                <w:color w:val="000000"/>
                <w:sz w:val="13"/>
                <w:szCs w:val="13"/>
              </w:rPr>
            </w:pP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0B99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成本指标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17C7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经济成本指标</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BAD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村农村水利类运行维护费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F7F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C9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8.19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9F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D33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CA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8.19</w:t>
            </w:r>
          </w:p>
        </w:tc>
      </w:tr>
      <w:tr w14:paraId="5CC83CA4">
        <w:tblPrEx>
          <w:tblCellMar>
            <w:top w:w="0" w:type="dxa"/>
            <w:left w:w="108" w:type="dxa"/>
            <w:bottom w:w="0" w:type="dxa"/>
            <w:right w:w="108" w:type="dxa"/>
          </w:tblCellMar>
        </w:tblPrEx>
        <w:trPr>
          <w:trHeight w:val="22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1799">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A14A">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E1A6">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86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村（社区）环境类运行维护费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34CC">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AC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24.71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38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0C9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9FA">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24.71</w:t>
            </w:r>
          </w:p>
        </w:tc>
      </w:tr>
      <w:tr w14:paraId="2F06AEC1">
        <w:tblPrEx>
          <w:tblCellMar>
            <w:top w:w="0" w:type="dxa"/>
            <w:left w:w="108" w:type="dxa"/>
            <w:bottom w:w="0" w:type="dxa"/>
            <w:right w:w="108" w:type="dxa"/>
          </w:tblCellMar>
        </w:tblPrEx>
        <w:trPr>
          <w:trHeight w:val="20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1DEE">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2070">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669D">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4A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村（社区）基础设施类运行维护费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44F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66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33.234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A09">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AC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0D2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33.234</w:t>
            </w:r>
          </w:p>
        </w:tc>
      </w:tr>
      <w:tr w14:paraId="6AAADEEA">
        <w:tblPrEx>
          <w:tblCellMar>
            <w:top w:w="0" w:type="dxa"/>
            <w:left w:w="108" w:type="dxa"/>
            <w:bottom w:w="0" w:type="dxa"/>
            <w:right w:w="108" w:type="dxa"/>
          </w:tblCellMar>
        </w:tblPrEx>
        <w:trPr>
          <w:trHeight w:val="252"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3FE6">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51BF">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B7E7">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AF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村农村产业园区运行维护费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378">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9EB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4.748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6C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57B5">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4F73">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4.748</w:t>
            </w:r>
          </w:p>
        </w:tc>
      </w:tr>
      <w:tr w14:paraId="32F8E423">
        <w:tblPrEx>
          <w:tblCellMar>
            <w:top w:w="0" w:type="dxa"/>
            <w:left w:w="108" w:type="dxa"/>
            <w:bottom w:w="0" w:type="dxa"/>
            <w:right w:w="108" w:type="dxa"/>
          </w:tblCellMar>
        </w:tblPrEx>
        <w:trPr>
          <w:trHeight w:val="23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D567">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4D2D">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34A4">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3A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村农村村级组织阵地运行维护费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3E17">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17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1.95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9FEB">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CE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ABE">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1.95</w:t>
            </w:r>
          </w:p>
        </w:tc>
      </w:tr>
      <w:tr w14:paraId="2CDF1D9E">
        <w:tblPrEx>
          <w:tblCellMar>
            <w:top w:w="0" w:type="dxa"/>
            <w:left w:w="108" w:type="dxa"/>
            <w:bottom w:w="0" w:type="dxa"/>
            <w:right w:w="108" w:type="dxa"/>
          </w:tblCellMar>
        </w:tblPrEx>
        <w:trPr>
          <w:trHeight w:val="217" w:hRule="atLeast"/>
          <w:jc w:val="center"/>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BFCF">
            <w:pPr>
              <w:widowControl/>
              <w:spacing w:line="240" w:lineRule="exact"/>
              <w:rPr>
                <w:rFonts w:ascii="宋体" w:hAnsi="宋体" w:cs="宋体"/>
                <w:color w:val="000000"/>
                <w:sz w:val="13"/>
                <w:szCs w:val="13"/>
              </w:rPr>
            </w:pPr>
          </w:p>
        </w:tc>
        <w:tc>
          <w:tcPr>
            <w:tcW w:w="1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F723">
            <w:pPr>
              <w:widowControl/>
              <w:spacing w:line="240" w:lineRule="exact"/>
              <w:rPr>
                <w:rFonts w:ascii="宋体" w:hAnsi="宋体" w:cs="宋体"/>
                <w:color w:val="000000"/>
                <w:sz w:val="13"/>
                <w:szCs w:val="13"/>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2D60">
            <w:pPr>
              <w:widowControl/>
              <w:spacing w:line="240" w:lineRule="exact"/>
              <w:rPr>
                <w:rFonts w:ascii="宋体" w:hAnsi="宋体" w:cs="宋体"/>
                <w:color w:val="000000"/>
                <w:sz w:val="13"/>
                <w:szCs w:val="13"/>
              </w:rPr>
            </w:pP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946">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村农村远程网络运行维护费</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5D9D">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910">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0.168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6F2">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1134">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F12F">
            <w:pPr>
              <w:widowControl/>
              <w:spacing w:line="240" w:lineRule="exact"/>
              <w:textAlignment w:val="center"/>
              <w:rPr>
                <w:rFonts w:ascii="宋体" w:hAnsi="宋体" w:cs="宋体"/>
                <w:color w:val="000000"/>
                <w:sz w:val="13"/>
                <w:szCs w:val="13"/>
              </w:rPr>
            </w:pPr>
            <w:r>
              <w:rPr>
                <w:rFonts w:ascii="宋体" w:hAnsi="宋体" w:cs="宋体"/>
                <w:color w:val="000000"/>
                <w:kern w:val="0"/>
                <w:sz w:val="13"/>
                <w:szCs w:val="13"/>
              </w:rPr>
              <w:t>0.168</w:t>
            </w:r>
          </w:p>
        </w:tc>
      </w:tr>
    </w:tbl>
    <w:p w14:paraId="2DFA762F">
      <w:pPr>
        <w:pStyle w:val="6"/>
        <w:overflowPunct w:val="0"/>
        <w:topLinePunct/>
        <w:autoSpaceDE w:val="0"/>
        <w:autoSpaceDN w:val="0"/>
        <w:spacing w:before="93"/>
        <w:rPr>
          <w:rFonts w:ascii="黑体" w:hAnsi="黑体" w:eastAsia="黑体" w:cs="黑体"/>
          <w:sz w:val="32"/>
          <w:szCs w:val="32"/>
          <w:shd w:val="clear" w:color="auto" w:fill="FFFFFF"/>
          <w:lang w:val="zh-CN"/>
        </w:rPr>
        <w:sectPr>
          <w:footerReference r:id="rId14" w:type="first"/>
          <w:footerReference r:id="rId13" w:type="default"/>
          <w:pgSz w:w="16838" w:h="11906" w:orient="landscape"/>
          <w:pgMar w:top="1587" w:right="2098" w:bottom="1474" w:left="1984" w:header="851" w:footer="1304" w:gutter="0"/>
          <w:pgNumType w:start="47"/>
          <w:cols w:space="0" w:num="1"/>
          <w:titlePg/>
          <w:docGrid w:type="lines" w:linePitch="312" w:charSpace="0"/>
        </w:sectPr>
      </w:pPr>
    </w:p>
    <w:p w14:paraId="7BD192C0">
      <w:pPr>
        <w:pStyle w:val="6"/>
        <w:overflowPunct w:val="0"/>
        <w:topLinePunct/>
        <w:autoSpaceDE w:val="0"/>
        <w:autoSpaceDN w:val="0"/>
        <w:spacing w:before="93"/>
        <w:rPr>
          <w:rFonts w:ascii="黑体" w:hAnsi="黑体" w:eastAsia="黑体" w:cs="黑体"/>
          <w:sz w:val="32"/>
          <w:szCs w:val="32"/>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3</w:t>
      </w:r>
    </w:p>
    <w:p w14:paraId="161C030C">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广元市昭化区射箭镇人民政府</w:t>
      </w:r>
    </w:p>
    <w:p w14:paraId="20A61C1D">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关于2024年解决五房村基础设施维修整治</w:t>
      </w:r>
    </w:p>
    <w:p w14:paraId="23DC6680">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项目绩效自评报告</w:t>
      </w:r>
    </w:p>
    <w:p w14:paraId="04B5F115">
      <w:pPr>
        <w:spacing w:line="576" w:lineRule="exact"/>
        <w:jc w:val="center"/>
        <w:rPr>
          <w:rFonts w:ascii="方正小标宋简体" w:hAnsi="方正小标宋简体" w:eastAsia="方正小标宋简体" w:cs="方正小标宋简体"/>
          <w:sz w:val="44"/>
          <w:szCs w:val="44"/>
        </w:rPr>
      </w:pPr>
    </w:p>
    <w:p w14:paraId="65588C1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根据《广元市昭化区财政局关于开展2025年全区预算绩效自评工作的通知》（昭财发</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zh-CN"/>
        </w:rPr>
        <w:t>7号），对2024年五房村基础设施维修整治项目支出绩效开展了自评，现将自评工作情况报告如下：</w:t>
      </w:r>
    </w:p>
    <w:p w14:paraId="47109FAF">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一、项目概况</w:t>
      </w:r>
    </w:p>
    <w:p w14:paraId="78D38DB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（一）设立背景及基本情况。</w:t>
      </w:r>
    </w:p>
    <w:p w14:paraId="3D6005E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射箭镇五房村拥有独特的自然风光和丰厚的文化底蕴，为了推动文旅产业的发展提升村庄内整体形象和品质，需对村内基础设施等进行维修整治。经村民委员会会议同意由射箭镇人民政府向上级部门报告申请该项目资金，报告经区委常委会议批复同意。</w:t>
      </w:r>
    </w:p>
    <w:p w14:paraId="6C1A74C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项目主要内容：维修村内水、电、路；科普长廊及展位240米；公厕8座；丛林穿越体验道170米；百禽园动物圈舍18间。</w:t>
      </w:r>
    </w:p>
    <w:p w14:paraId="5BF112A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项目主管部门职能：</w:t>
      </w:r>
    </w:p>
    <w:p w14:paraId="3214980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贯彻落实党的路线方针政策和国家法律法规，制定并执行本级人民代表大会的决议和上级国家行政机关的决定和命令，加强农村基层政权建设，巩固党在农村的执政基础。</w:t>
      </w:r>
    </w:p>
    <w:p w14:paraId="5BFE040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14:paraId="1D1A26B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指导农村经济发展，推进农业经济结构调整，促进经济增长方式转变，促进农业增效、农民增收。</w:t>
      </w:r>
    </w:p>
    <w:p w14:paraId="55703F63">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14:paraId="473C476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14:paraId="1053AC7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承担辖区平安建设、社会治安综合治理、公共安全、安全生产及应急管理等有关工作，处理群众来信来访，反映社情民意，化解矛盾纠纷，维护社会安全稳定。</w:t>
      </w:r>
    </w:p>
    <w:p w14:paraId="3A9D6AF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做好国防教育和兵役等工作。</w:t>
      </w:r>
    </w:p>
    <w:p w14:paraId="73123F3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负责制定完善乡镇行政权力清单、乡镇权力责任清单、乡镇属地事项责任清单，建立清单动态调整和公示机制，推进政务公开，接受群众监督，增强政府公信力。</w:t>
      </w:r>
    </w:p>
    <w:p w14:paraId="579A13C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承担法律、法规、规章规定的其他职能和上级党委、政府交办的其他任务。</w:t>
      </w:r>
    </w:p>
    <w:p w14:paraId="37932E2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（二）实施目的及支持方向。</w:t>
      </w:r>
    </w:p>
    <w:p w14:paraId="2CDE39D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五房村基础设施维修整治项目实施目的为了推动镇域内文旅产业的加快发展，提升五房村村内各项基础设施的整体水平，并同时带动园区建设、旅游服务等多个行业的发展，创造大量就业岗位。</w:t>
      </w:r>
    </w:p>
    <w:p w14:paraId="6D4CBAB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（三）预算安排及分配管理。</w:t>
      </w:r>
    </w:p>
    <w:p w14:paraId="135B6FF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预算安排28万元，资金属于革命老区转移支付资金。项目资金分配原则应遵循规范、公正、公开的原则，采用因素法，并根据绩效评价结果，资金执行进度和下一年度绩效目标等因素进行调节，明确奖惩措施，突出了激励导向。通过村委会申报项目资金、镇政府审核即“镇、村双把关”，厘清责任链条，明确资金评审目标定位，促进资金合理均衡分配。截止评价之日，五房村基础设施维修整治项目资金到位28万元，实际支出28万元。</w:t>
      </w:r>
    </w:p>
    <w:p w14:paraId="379EBE73">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（四）项目绩效目标设置。</w:t>
      </w:r>
    </w:p>
    <w:p w14:paraId="5AB4BDB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目标设定，确保目标具体、可测量、可达成、相关性和时限性原则，即核心指标：产出数量指标为维修（护）药博园水、电、路面积180亩、维修百禽园动物圈舍数18个、维修科普长廊展位长度240米、维修丛林穿越体验道长度170米、维修公厕数8座。各项指标完成合格率100%公众满意度95%以上，经济成本大大降低，进一步强化五房基础设施和园区内设施设备的安全性，为镇域经济发展奠定坚实基础。</w:t>
      </w:r>
    </w:p>
    <w:p w14:paraId="5C470202">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该项目在自评工作中目标明确、制定了自评标准，采用实地考察、文件审查等多种方式，对项目单位的各项工作进行了全面评估和自我检查。</w:t>
      </w:r>
    </w:p>
    <w:p w14:paraId="2E66464E">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二、评价实施</w:t>
      </w:r>
    </w:p>
    <w:p w14:paraId="26A1F0E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组织。镇成立项目领导小组，镇长任组长负责项目总的实施，副书记主要抓该项目招投标、政府采购、项目公示等。制定有效地监管措施、执行相关管理制度(如招投标、政府采购、项目公示等)相关情况，其中：此项目基本建设、购买服务程序等执行村民自建、网上公开招标，并对村民委员会、竞标方的相关问题进行合法合规审核。</w:t>
      </w:r>
    </w:p>
    <w:p w14:paraId="0A8FF4C0">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评价目的。五房村基础设施维修整治项目通过项目计划与实际执行结果比较，该项目实施为推动镇域内文旅产业的加快发展、提升五房村村内各项基础设施整体水平，并同时带动园区建设和旅游服务等多个行业的发展，创造大量就业岗位。</w:t>
      </w:r>
    </w:p>
    <w:p w14:paraId="3CDC580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评价选点。项目主管部门为加强项目管理遵守政策法规，执行和组织好施工方完成项目建设内容。坚持原则，廉洁勤政，工作以身作则，创造性地开展工作。严格控制各项费用开支，抓好内部成本核算及降低成本投入。抓好安全管理，杜绝三违发生，定期组织安全检查，对查出隐患及时整改。</w:t>
      </w:r>
    </w:p>
    <w:p w14:paraId="400013E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（四）评价方法。此项目绩效自评主要采用比较法和公众评判法，通过现场核查，查阅资料，问卷调查，经汇总分析后，从投入、过程、产出和效益三大方面全面反映了项目支出绩效情况。</w:t>
      </w:r>
    </w:p>
    <w:p w14:paraId="04EC26C6">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三、绩效分析</w:t>
      </w:r>
    </w:p>
    <w:p w14:paraId="7696D3E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（一）通用绩效指标分析。</w:t>
      </w:r>
    </w:p>
    <w:p w14:paraId="1D1C182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决策。确保五房村基础设施维修整治项目机制工作健康有序开展，抓好抓实。镇政府成立了以镇长为组长、党委副书记为副组长，财政所所长、纪检监察委员、农业站站长、农经站站长、五房村书记及村主抓相关村干部为成员的射箭镇五房村基础设施维修整治项目支出绩效评价工作领导小组。领导小组按照五房村情况，在充分征求该村及邻近社区及民众意见后，经村组拟定、审议、决议、公示等进行全面监督和督查议案，并明确专人负责对五房村基础设施维修整治项目实施程序、资料完善等进行了跟踪和指导。</w:t>
      </w:r>
    </w:p>
    <w:p w14:paraId="4BFAEF6D">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实施。射箭镇五房村基础设施维修整治项目资金为一般公共财政预算即革命老区转移支付，所涉五房村基础设施维修整治项目资金的支付实行报账制，由村上提出申请，经镇财政所审核，分管领导、镇长签字后予以支付。2024年我镇累计向项目村支出基础设施维修整治项目资金28万元。及时、有效公示了项目资金的使用、支付等情况，资金使用范围合规，各项政策执行合法。</w:t>
      </w:r>
    </w:p>
    <w:p w14:paraId="69A32807">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完成结果。截止2024年12月30日，射箭镇五房村基础设施维修整治项目完工率均为100%，总计资金28万元。其中：（1）五房村水、电、路维修。①维修电线1800米35型裸线（15元/米）、电缆线4*70型50元/米），金额3.7万元；②更换水管32型1200米（6元/米含材料、人工费），金额0.72万元；③道路整治21处30㎡（300元/㎡含材料、人工费），金额0.9万元；④排水沟整治3段206米（150元/米含材料、人工费），金额3.09万元。（2）科普长廊、丛林穿越体验道维修。①维修科普长廊240米（100元/米含材料、人工费），金额2.4万元；②更换丛林穿越步行道木板38米（260元/米含材料、人工费），金额0.98万元；及安全网50米（300元/米含材料、人工费），金额1.5万元。小计2.48万元。（3）公厕、百禽园圈舍维修。①更换厕所门窗、洗手盆及吊顶。即厕所更换内外门7栋（内门400元/栋、外门600元/栋含材料、人工费），金额0.36万元；更换窗户3栋（400元/栋含材料、人工费），金额0.12万元；洗手盆10套（1000元/套含材料、人工费），金额1万元；吊顶5间600米，（15元/米含材料、人工费），金额0.9万元，小计2.38万元。②整治百禽园圈舍。即新建圈舍7个188㎡（400元/㎡含材料、人工费），金额7.52万元；维修圈舍11个320㎡（50元/㎡含材料、人工费），金额1.6万元；圈舍围栏维修132米（70、90元/㎡含材料、人工费），金额1.94万元；新增垃圾桶10个（600元/个）、休息椅20把（300元/把），金额1.2万元；步游道安全围栏8米（120元/米），金额0.09万元。</w:t>
      </w:r>
    </w:p>
    <w:p w14:paraId="6A8BF56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专用绩效指标分析。根据专项预算项目资金支持对象选择所属指标进行绩效分析，即按自评年度内实际实施情况即为基础设施维修整治。维修整治各项目完成经镇、村、第三方及时验收，实地方量核算，按国家验收标准质量合格。该项目经济价值在维持五房村整体运行中发挥即整合、交流、导向、继承和发展的社会功能。五房村基础设施建设后各项功能达到预期服务能力，对五房村、药博园区的基础设施有较高提升。该项目后续维护工作已及时实现，相关项目的维修整治将地方旅游业态进一步得到丰富，同时壮大村集体经济收入，全面衔接并助力乡村振兴。</w:t>
      </w:r>
    </w:p>
    <w:p w14:paraId="7E67A0B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特性指标绩效分析。该项目所涉及的特性指标适用范围相应的二、三级指标，即基础设施项目中的“城乡社区、水利设施和设备购置”，均符合验收标准，达到行业基准水准，城乡社区公共设施正常运转、水电路设施设计能力实现、设备购置常态化运行良好。</w:t>
      </w:r>
    </w:p>
    <w:p w14:paraId="1CA85CA6">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（四）个性指标绩效分析。根据该项目实际实施情况，我镇自行设定满意度指标即群众满意度，通过走访、座谈实施村及社区群众，社会各界公众人士，满意度达96%，0投诉</w:t>
      </w:r>
    </w:p>
    <w:p w14:paraId="17328BB6">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四、评价结论</w:t>
      </w:r>
    </w:p>
    <w:p w14:paraId="46CEA5B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射箭镇所申报的五房村基础设施维修整治项目实施后均已实现了特定的绩效目标，同时预定目标设置合理，符合相关规定要求。为推动镇域内文旅产业的加快发展、提升五房村村内各项基础设施整体水平，并同时带动药博园区建设和旅游服务等多个行业的发展，创造了大量的就业用工岗位，为民增收。根据指标评价体系标准，该项自评得分96分。</w:t>
      </w:r>
    </w:p>
    <w:p w14:paraId="19E6A078">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五、存在主要问题</w:t>
      </w:r>
    </w:p>
    <w:p w14:paraId="33ABD87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射箭镇五房村基础设施维修整治项目评价指标体系不完善。部分预算绩效评价指标未紧密围绕项目目标设定，存在通用性指标堆砌现象，无法精准衡量项目独特成效。例如，该基础设施项目仅用常规计量材料、资金到位率衡量，未针对项目改善村内各区域实际情况、和带动周边经济发展等特定目标设专项指标，导致评价浮于表面，难以体现该项目的实质价值。</w:t>
      </w:r>
    </w:p>
    <w:p w14:paraId="6C3F1D24">
      <w:pPr>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六、改进建议</w:t>
      </w:r>
    </w:p>
    <w:p w14:paraId="06B2020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优化指标体系，引入专业及行业指导参与规划设计，结合项目特性、政策导向定制专属指标；运用层次分析法等科学工具量化各指标的相对重要性，合理分配权重，定期优化改进，确保指标精准提高项目效益。</w:t>
      </w:r>
    </w:p>
    <w:p w14:paraId="59269441">
      <w:pPr>
        <w:spacing w:line="576" w:lineRule="exact"/>
        <w:ind w:firstLine="640" w:firstLineChars="200"/>
        <w:rPr>
          <w:rFonts w:ascii="仿宋_GB2312" w:hAnsi="仿宋_GB2312" w:eastAsia="仿宋_GB2312" w:cs="仿宋_GB2312"/>
          <w:sz w:val="32"/>
          <w:szCs w:val="32"/>
          <w:lang w:val="zh-CN"/>
        </w:rPr>
      </w:pPr>
    </w:p>
    <w:p w14:paraId="0E49D8F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附件：射箭镇五房村基础设施维修整治项目支出绩效自评表</w:t>
      </w:r>
    </w:p>
    <w:p w14:paraId="6E146159">
      <w:pPr>
        <w:pStyle w:val="6"/>
        <w:spacing w:before="93"/>
        <w:rPr>
          <w:lang w:val="zh-CN"/>
        </w:rPr>
      </w:pPr>
    </w:p>
    <w:p w14:paraId="0A9A0F41">
      <w:pPr>
        <w:pStyle w:val="6"/>
        <w:spacing w:before="93"/>
        <w:rPr>
          <w:lang w:val="zh-CN"/>
        </w:rPr>
      </w:pPr>
    </w:p>
    <w:p w14:paraId="24376B17">
      <w:pPr>
        <w:pStyle w:val="6"/>
        <w:spacing w:before="93"/>
        <w:rPr>
          <w:lang w:val="zh-CN"/>
        </w:rPr>
      </w:pPr>
    </w:p>
    <w:p w14:paraId="4AA010A5">
      <w:pPr>
        <w:pStyle w:val="6"/>
        <w:spacing w:before="93"/>
        <w:rPr>
          <w:lang w:val="zh-CN"/>
        </w:rPr>
      </w:pPr>
    </w:p>
    <w:p w14:paraId="5E236515">
      <w:pPr>
        <w:pStyle w:val="6"/>
        <w:spacing w:before="93"/>
        <w:rPr>
          <w:lang w:val="zh-CN"/>
        </w:rPr>
        <w:sectPr>
          <w:footerReference r:id="rId16" w:type="first"/>
          <w:footerReference r:id="rId15" w:type="default"/>
          <w:pgSz w:w="11906" w:h="16838"/>
          <w:pgMar w:top="2098" w:right="1474" w:bottom="1984" w:left="1587" w:header="851" w:footer="1304" w:gutter="0"/>
          <w:pgNumType w:start="48"/>
          <w:cols w:space="0" w:num="1"/>
          <w:titlePg/>
          <w:docGrid w:type="lines" w:linePitch="312" w:charSpace="0"/>
        </w:sectPr>
      </w:pPr>
    </w:p>
    <w:tbl>
      <w:tblPr>
        <w:tblStyle w:val="16"/>
        <w:tblW w:w="13606" w:type="dxa"/>
        <w:jc w:val="center"/>
        <w:tblLayout w:type="fixed"/>
        <w:tblCellMar>
          <w:top w:w="0" w:type="dxa"/>
          <w:left w:w="108" w:type="dxa"/>
          <w:bottom w:w="0" w:type="dxa"/>
          <w:right w:w="108" w:type="dxa"/>
        </w:tblCellMar>
      </w:tblPr>
      <w:tblGrid>
        <w:gridCol w:w="454"/>
        <w:gridCol w:w="1239"/>
        <w:gridCol w:w="1228"/>
        <w:gridCol w:w="2837"/>
        <w:gridCol w:w="1275"/>
        <w:gridCol w:w="1064"/>
        <w:gridCol w:w="984"/>
        <w:gridCol w:w="1044"/>
        <w:gridCol w:w="1786"/>
        <w:gridCol w:w="1695"/>
      </w:tblGrid>
      <w:tr w14:paraId="184E1B5E">
        <w:tblPrEx>
          <w:tblCellMar>
            <w:top w:w="0" w:type="dxa"/>
            <w:left w:w="108" w:type="dxa"/>
            <w:bottom w:w="0" w:type="dxa"/>
            <w:right w:w="108" w:type="dxa"/>
          </w:tblCellMar>
        </w:tblPrEx>
        <w:trPr>
          <w:trHeight w:val="904" w:hRule="atLeast"/>
          <w:jc w:val="center"/>
        </w:trPr>
        <w:tc>
          <w:tcPr>
            <w:tcW w:w="13606" w:type="dxa"/>
            <w:gridSpan w:val="10"/>
            <w:tcBorders>
              <w:top w:val="nil"/>
              <w:left w:val="nil"/>
              <w:bottom w:val="nil"/>
              <w:right w:val="nil"/>
            </w:tcBorders>
            <w:shd w:val="clear" w:color="auto" w:fill="auto"/>
            <w:vAlign w:val="center"/>
          </w:tcPr>
          <w:p w14:paraId="2F748B01">
            <w:pPr>
              <w:widowControl/>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30"/>
                <w:szCs w:val="30"/>
              </w:rPr>
              <w:t>2024年专项预算项目绩效目标完成情况自评表</w:t>
            </w:r>
            <w:r>
              <w:rPr>
                <w:rFonts w:hint="eastAsia" w:ascii="方正小标宋简体" w:hAnsi="方正小标宋简体" w:eastAsia="方正小标宋简体" w:cs="方正小标宋简体"/>
                <w:color w:val="000000"/>
                <w:kern w:val="0"/>
                <w:sz w:val="44"/>
                <w:szCs w:val="44"/>
              </w:rPr>
              <w:t xml:space="preserve"> </w:t>
            </w:r>
          </w:p>
        </w:tc>
      </w:tr>
      <w:tr w14:paraId="32045CD6">
        <w:tblPrEx>
          <w:tblCellMar>
            <w:top w:w="0" w:type="dxa"/>
            <w:left w:w="108" w:type="dxa"/>
            <w:bottom w:w="0" w:type="dxa"/>
            <w:right w:w="108" w:type="dxa"/>
          </w:tblCellMar>
        </w:tblPrEx>
        <w:trPr>
          <w:trHeight w:val="395" w:hRule="atLeast"/>
          <w:jc w:val="center"/>
        </w:trPr>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B283C">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347CB">
            <w:pPr>
              <w:widowControl/>
              <w:jc w:val="left"/>
              <w:textAlignment w:val="center"/>
              <w:rPr>
                <w:rFonts w:ascii="宋体" w:hAnsi="宋体" w:cs="宋体"/>
                <w:color w:val="000000"/>
                <w:sz w:val="18"/>
                <w:szCs w:val="18"/>
              </w:rPr>
            </w:pPr>
            <w:r>
              <w:rPr>
                <w:rFonts w:ascii="宋体" w:hAnsi="宋体" w:cs="宋体"/>
                <w:color w:val="000000"/>
                <w:kern w:val="0"/>
                <w:sz w:val="18"/>
                <w:szCs w:val="18"/>
              </w:rPr>
              <w:t>射箭镇五房村基础设施维修整治</w:t>
            </w:r>
          </w:p>
        </w:tc>
      </w:tr>
      <w:tr w14:paraId="248DCF11">
        <w:tblPrEx>
          <w:tblCellMar>
            <w:top w:w="0" w:type="dxa"/>
            <w:left w:w="108" w:type="dxa"/>
            <w:bottom w:w="0" w:type="dxa"/>
            <w:right w:w="108" w:type="dxa"/>
          </w:tblCellMar>
        </w:tblPrEx>
        <w:trPr>
          <w:trHeight w:val="310" w:hRule="atLeast"/>
          <w:jc w:val="center"/>
        </w:trPr>
        <w:tc>
          <w:tcPr>
            <w:tcW w:w="57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3A967">
            <w:pPr>
              <w:widowControl/>
              <w:jc w:val="left"/>
              <w:textAlignment w:val="center"/>
              <w:rPr>
                <w:rFonts w:ascii="宋体" w:hAnsi="宋体" w:cs="宋体"/>
                <w:color w:val="000000"/>
                <w:sz w:val="18"/>
                <w:szCs w:val="18"/>
              </w:rPr>
            </w:pPr>
            <w:r>
              <w:rPr>
                <w:rFonts w:ascii="宋体" w:hAnsi="宋体" w:cs="宋体"/>
                <w:color w:val="000000"/>
                <w:kern w:val="0"/>
                <w:sz w:val="18"/>
                <w:szCs w:val="18"/>
              </w:rPr>
              <w:t>预算单位</w:t>
            </w:r>
          </w:p>
        </w:tc>
        <w:tc>
          <w:tcPr>
            <w:tcW w:w="7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E5AB3">
            <w:pPr>
              <w:widowControl/>
              <w:jc w:val="left"/>
              <w:textAlignment w:val="center"/>
              <w:rPr>
                <w:rFonts w:ascii="宋体" w:hAnsi="宋体" w:cs="宋体"/>
                <w:color w:val="000000"/>
                <w:sz w:val="18"/>
                <w:szCs w:val="18"/>
              </w:rPr>
            </w:pPr>
            <w:r>
              <w:rPr>
                <w:rFonts w:ascii="宋体" w:hAnsi="宋体" w:cs="宋体"/>
                <w:color w:val="000000"/>
                <w:kern w:val="0"/>
                <w:sz w:val="18"/>
                <w:szCs w:val="18"/>
              </w:rPr>
              <w:t>广元市昭化区射箭镇人民政府</w:t>
            </w:r>
          </w:p>
        </w:tc>
      </w:tr>
      <w:tr w14:paraId="5614BF76">
        <w:tblPrEx>
          <w:tblCellMar>
            <w:top w:w="0" w:type="dxa"/>
            <w:left w:w="108" w:type="dxa"/>
            <w:bottom w:w="0" w:type="dxa"/>
            <w:right w:w="108" w:type="dxa"/>
          </w:tblCellMar>
        </w:tblPrEx>
        <w:trPr>
          <w:trHeight w:val="275" w:hRule="atLeast"/>
          <w:jc w:val="center"/>
        </w:trPr>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3FEAC">
            <w:pPr>
              <w:widowControl/>
              <w:jc w:val="left"/>
              <w:textAlignment w:val="center"/>
              <w:rPr>
                <w:rFonts w:ascii="宋体" w:hAnsi="宋体" w:cs="宋体"/>
                <w:color w:val="000000"/>
                <w:sz w:val="18"/>
                <w:szCs w:val="18"/>
              </w:rPr>
            </w:pPr>
            <w:r>
              <w:rPr>
                <w:rFonts w:ascii="宋体" w:hAnsi="宋体" w:cs="宋体"/>
                <w:color w:val="000000"/>
                <w:kern w:val="0"/>
                <w:sz w:val="18"/>
                <w:szCs w:val="18"/>
              </w:rPr>
              <w:t>项目资金（万元）</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37B36">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年度资金总额：</w:t>
            </w:r>
          </w:p>
        </w:tc>
        <w:tc>
          <w:tcPr>
            <w:tcW w:w="7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BF0399">
            <w:pPr>
              <w:widowControl/>
              <w:jc w:val="right"/>
              <w:textAlignment w:val="center"/>
              <w:rPr>
                <w:rFonts w:ascii="宋体" w:hAnsi="宋体" w:cs="宋体"/>
                <w:color w:val="000000"/>
                <w:sz w:val="18"/>
                <w:szCs w:val="18"/>
              </w:rPr>
            </w:pPr>
            <w:r>
              <w:rPr>
                <w:rFonts w:ascii="宋体" w:hAnsi="宋体" w:cs="宋体"/>
                <w:color w:val="000000"/>
                <w:kern w:val="0"/>
                <w:sz w:val="18"/>
                <w:szCs w:val="18"/>
              </w:rPr>
              <w:t>28.00</w:t>
            </w:r>
          </w:p>
        </w:tc>
      </w:tr>
      <w:tr w14:paraId="4580C3B5">
        <w:tblPrEx>
          <w:tblCellMar>
            <w:top w:w="0" w:type="dxa"/>
            <w:left w:w="108" w:type="dxa"/>
            <w:bottom w:w="0" w:type="dxa"/>
            <w:right w:w="108" w:type="dxa"/>
          </w:tblCellMar>
        </w:tblPrEx>
        <w:trPr>
          <w:trHeight w:val="290" w:hRule="atLeast"/>
          <w:jc w:val="center"/>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EB4E">
            <w:pPr>
              <w:rPr>
                <w:rFonts w:ascii="宋体" w:hAnsi="宋体" w:cs="宋体"/>
                <w:color w:val="000000"/>
                <w:sz w:val="18"/>
                <w:szCs w:val="18"/>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6166D">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其中：财政拨款</w:t>
            </w:r>
          </w:p>
        </w:tc>
        <w:tc>
          <w:tcPr>
            <w:tcW w:w="7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92806E">
            <w:pPr>
              <w:widowControl/>
              <w:jc w:val="right"/>
              <w:textAlignment w:val="center"/>
              <w:rPr>
                <w:rFonts w:ascii="宋体" w:hAnsi="宋体" w:cs="宋体"/>
                <w:color w:val="000000"/>
                <w:sz w:val="18"/>
                <w:szCs w:val="18"/>
              </w:rPr>
            </w:pPr>
            <w:r>
              <w:rPr>
                <w:rFonts w:ascii="宋体" w:hAnsi="宋体" w:cs="宋体"/>
                <w:color w:val="000000"/>
                <w:kern w:val="0"/>
                <w:sz w:val="18"/>
                <w:szCs w:val="18"/>
              </w:rPr>
              <w:t>28.00</w:t>
            </w:r>
          </w:p>
        </w:tc>
      </w:tr>
      <w:tr w14:paraId="6D8670F7">
        <w:tblPrEx>
          <w:tblCellMar>
            <w:top w:w="0" w:type="dxa"/>
            <w:left w:w="108" w:type="dxa"/>
            <w:bottom w:w="0" w:type="dxa"/>
            <w:right w:w="108" w:type="dxa"/>
          </w:tblCellMar>
        </w:tblPrEx>
        <w:trPr>
          <w:trHeight w:val="290" w:hRule="atLeast"/>
          <w:jc w:val="center"/>
        </w:trPr>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0D62">
            <w:pPr>
              <w:rPr>
                <w:rFonts w:ascii="宋体" w:hAnsi="宋体" w:cs="宋体"/>
                <w:color w:val="000000"/>
                <w:sz w:val="18"/>
                <w:szCs w:val="18"/>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55854">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其他资金</w:t>
            </w:r>
          </w:p>
        </w:tc>
        <w:tc>
          <w:tcPr>
            <w:tcW w:w="7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53660E">
            <w:pPr>
              <w:widowControl/>
              <w:jc w:val="right"/>
              <w:textAlignment w:val="center"/>
              <w:rPr>
                <w:rFonts w:ascii="宋体" w:hAnsi="宋体" w:cs="宋体"/>
                <w:color w:val="000000"/>
                <w:sz w:val="18"/>
                <w:szCs w:val="18"/>
              </w:rPr>
            </w:pPr>
            <w:r>
              <w:rPr>
                <w:rFonts w:ascii="宋体" w:hAnsi="宋体" w:cs="宋体"/>
                <w:color w:val="000000"/>
                <w:kern w:val="0"/>
                <w:sz w:val="18"/>
                <w:szCs w:val="18"/>
              </w:rPr>
              <w:t>0.00</w:t>
            </w:r>
          </w:p>
        </w:tc>
      </w:tr>
      <w:tr w14:paraId="12E7EB93">
        <w:tblPrEx>
          <w:tblCellMar>
            <w:top w:w="0" w:type="dxa"/>
            <w:left w:w="108" w:type="dxa"/>
            <w:bottom w:w="0" w:type="dxa"/>
            <w:right w:w="108" w:type="dxa"/>
          </w:tblCellMar>
        </w:tblPrEx>
        <w:trPr>
          <w:trHeight w:val="227"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A3951">
            <w:pPr>
              <w:widowControl/>
              <w:jc w:val="left"/>
              <w:textAlignment w:val="center"/>
              <w:rPr>
                <w:rFonts w:ascii="宋体" w:hAnsi="宋体" w:cs="宋体"/>
                <w:color w:val="000000"/>
                <w:sz w:val="18"/>
                <w:szCs w:val="18"/>
              </w:rPr>
            </w:pPr>
            <w:r>
              <w:rPr>
                <w:rFonts w:ascii="宋体" w:hAnsi="宋体" w:cs="宋体"/>
                <w:color w:val="000000"/>
                <w:kern w:val="0"/>
                <w:sz w:val="18"/>
                <w:szCs w:val="18"/>
              </w:rPr>
              <w:t>总 体 目 标</w:t>
            </w:r>
          </w:p>
        </w:tc>
        <w:tc>
          <w:tcPr>
            <w:tcW w:w="13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A31EE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w:t>
            </w:r>
          </w:p>
        </w:tc>
      </w:tr>
      <w:tr w14:paraId="1F48BF44">
        <w:tblPrEx>
          <w:tblCellMar>
            <w:top w:w="0" w:type="dxa"/>
            <w:left w:w="108" w:type="dxa"/>
            <w:bottom w:w="0" w:type="dxa"/>
            <w:right w:w="108" w:type="dxa"/>
          </w:tblCellMar>
        </w:tblPrEx>
        <w:trPr>
          <w:trHeight w:val="766"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1D70">
            <w:pPr>
              <w:rPr>
                <w:rFonts w:ascii="宋体" w:hAnsi="宋体" w:cs="宋体"/>
                <w:color w:val="000000"/>
                <w:sz w:val="18"/>
                <w:szCs w:val="18"/>
              </w:rPr>
            </w:pPr>
          </w:p>
        </w:tc>
        <w:tc>
          <w:tcPr>
            <w:tcW w:w="13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7C23D5">
            <w:pPr>
              <w:widowControl/>
              <w:jc w:val="left"/>
              <w:textAlignment w:val="center"/>
              <w:rPr>
                <w:rFonts w:ascii="宋体" w:hAnsi="宋体" w:cs="宋体"/>
                <w:color w:val="000000"/>
                <w:sz w:val="18"/>
                <w:szCs w:val="18"/>
              </w:rPr>
            </w:pPr>
            <w:r>
              <w:rPr>
                <w:rFonts w:ascii="宋体" w:hAnsi="宋体" w:cs="宋体"/>
                <w:color w:val="000000"/>
                <w:kern w:val="0"/>
                <w:sz w:val="18"/>
                <w:szCs w:val="18"/>
              </w:rPr>
              <w:t>为维修（护）五房村村内即药博园基础设施水、电、路面积180亩、百禽园动物圈舍数18个、科普长廊展位长度240米、丛林穿越体验道长度170米、公厕数8座。各项经济成本降低，指标任务完成合格率100%，群众满意度95%以上。进一步强化五房基础设施和园区内设施设备的安全性，为镇域经济发展奠定坚实基础。</w:t>
            </w:r>
          </w:p>
        </w:tc>
      </w:tr>
      <w:tr w14:paraId="1DF768B3">
        <w:tblPrEx>
          <w:tblCellMar>
            <w:top w:w="0" w:type="dxa"/>
            <w:left w:w="108" w:type="dxa"/>
            <w:bottom w:w="0" w:type="dxa"/>
            <w:right w:w="108" w:type="dxa"/>
          </w:tblCellMar>
        </w:tblPrEx>
        <w:trPr>
          <w:trHeight w:val="374" w:hRule="atLeast"/>
          <w:jc w:val="center"/>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87784">
            <w:pPr>
              <w:widowControl/>
              <w:jc w:val="left"/>
              <w:textAlignment w:val="center"/>
              <w:rPr>
                <w:rFonts w:ascii="宋体" w:hAnsi="宋体" w:cs="宋体"/>
                <w:color w:val="000000"/>
                <w:sz w:val="18"/>
                <w:szCs w:val="18"/>
              </w:rPr>
            </w:pPr>
            <w:r>
              <w:rPr>
                <w:rFonts w:ascii="宋体" w:hAnsi="宋体" w:cs="宋体"/>
                <w:color w:val="000000"/>
                <w:kern w:val="0"/>
                <w:sz w:val="18"/>
                <w:szCs w:val="18"/>
              </w:rPr>
              <w:t>绩 效 指 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A53C">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6A1B">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D30">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887">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6AEF">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4E86">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12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6D1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FCF1">
            <w:pPr>
              <w:widowControl/>
              <w:jc w:val="center"/>
              <w:textAlignment w:val="center"/>
              <w:rPr>
                <w:rFonts w:ascii="宋体" w:hAnsi="宋体" w:cs="宋体"/>
                <w:color w:val="000000"/>
                <w:sz w:val="18"/>
                <w:szCs w:val="18"/>
              </w:rPr>
            </w:pPr>
            <w:r>
              <w:rPr>
                <w:rFonts w:ascii="宋体" w:hAnsi="宋体" w:cs="宋体"/>
                <w:color w:val="000000"/>
                <w:kern w:val="0"/>
                <w:sz w:val="18"/>
                <w:szCs w:val="18"/>
              </w:rPr>
              <w:t>实际完成指标值</w:t>
            </w:r>
          </w:p>
        </w:tc>
      </w:tr>
      <w:tr w14:paraId="54469341">
        <w:tblPrEx>
          <w:tblCellMar>
            <w:top w:w="0" w:type="dxa"/>
            <w:left w:w="108" w:type="dxa"/>
            <w:bottom w:w="0" w:type="dxa"/>
            <w:right w:w="108" w:type="dxa"/>
          </w:tblCellMar>
        </w:tblPrEx>
        <w:trPr>
          <w:trHeight w:val="339"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6E0F">
            <w:pPr>
              <w:rPr>
                <w:rFonts w:ascii="宋体" w:hAnsi="宋体" w:cs="宋体"/>
                <w:color w:val="000000"/>
                <w:sz w:val="18"/>
                <w:szCs w:val="18"/>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9363">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DB40B">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13FE">
            <w:pPr>
              <w:widowControl/>
              <w:jc w:val="left"/>
              <w:textAlignment w:val="center"/>
              <w:rPr>
                <w:rFonts w:ascii="宋体" w:hAnsi="宋体" w:cs="宋体"/>
                <w:color w:val="000000"/>
                <w:sz w:val="18"/>
                <w:szCs w:val="18"/>
              </w:rPr>
            </w:pPr>
            <w:r>
              <w:rPr>
                <w:rFonts w:ascii="宋体" w:hAnsi="宋体" w:cs="宋体"/>
                <w:color w:val="000000"/>
                <w:kern w:val="0"/>
                <w:sz w:val="18"/>
                <w:szCs w:val="18"/>
              </w:rPr>
              <w:t>维修（护）药博园水、电、路面积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3D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31E">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FCE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5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亩</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B09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100">
            <w:pPr>
              <w:widowControl/>
              <w:jc w:val="center"/>
              <w:textAlignment w:val="center"/>
              <w:rPr>
                <w:rFonts w:ascii="宋体" w:hAnsi="宋体" w:cs="宋体"/>
                <w:color w:val="000000"/>
                <w:sz w:val="18"/>
                <w:szCs w:val="18"/>
              </w:rPr>
            </w:pPr>
            <w:r>
              <w:rPr>
                <w:rFonts w:ascii="宋体" w:hAnsi="宋体" w:cs="宋体"/>
                <w:color w:val="000000"/>
                <w:kern w:val="0"/>
                <w:sz w:val="18"/>
                <w:szCs w:val="18"/>
              </w:rPr>
              <w:t>180亩</w:t>
            </w:r>
          </w:p>
        </w:tc>
      </w:tr>
      <w:tr w14:paraId="56E9E9FC">
        <w:tblPrEx>
          <w:tblCellMar>
            <w:top w:w="0" w:type="dxa"/>
            <w:left w:w="108" w:type="dxa"/>
            <w:bottom w:w="0" w:type="dxa"/>
            <w:right w:w="108" w:type="dxa"/>
          </w:tblCellMar>
        </w:tblPrEx>
        <w:trPr>
          <w:trHeight w:val="234"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0613">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F7D0">
            <w:pPr>
              <w:rPr>
                <w:rFonts w:ascii="宋体" w:hAnsi="宋体" w:cs="宋体"/>
                <w:color w:val="000000"/>
                <w:sz w:val="18"/>
                <w:szCs w:val="18"/>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39AB">
            <w:pPr>
              <w:rPr>
                <w:rFonts w:ascii="宋体" w:hAnsi="宋体" w:cs="宋体"/>
                <w:color w:val="000000"/>
                <w:sz w:val="18"/>
                <w:szCs w:val="18"/>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C242">
            <w:pPr>
              <w:widowControl/>
              <w:jc w:val="left"/>
              <w:textAlignment w:val="center"/>
              <w:rPr>
                <w:rFonts w:ascii="宋体" w:hAnsi="宋体" w:cs="宋体"/>
                <w:color w:val="000000"/>
                <w:sz w:val="18"/>
                <w:szCs w:val="18"/>
              </w:rPr>
            </w:pPr>
            <w:r>
              <w:rPr>
                <w:rFonts w:ascii="宋体" w:hAnsi="宋体" w:cs="宋体"/>
                <w:color w:val="000000"/>
                <w:kern w:val="0"/>
                <w:sz w:val="18"/>
                <w:szCs w:val="18"/>
              </w:rPr>
              <w:t>维修科普长廊展位长度数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327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A745">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F0F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8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B83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C59F">
            <w:pPr>
              <w:widowControl/>
              <w:jc w:val="center"/>
              <w:textAlignment w:val="center"/>
              <w:rPr>
                <w:rFonts w:ascii="宋体" w:hAnsi="宋体" w:cs="宋体"/>
                <w:color w:val="000000"/>
                <w:sz w:val="18"/>
                <w:szCs w:val="18"/>
              </w:rPr>
            </w:pPr>
            <w:r>
              <w:rPr>
                <w:rFonts w:ascii="宋体" w:hAnsi="宋体" w:cs="宋体"/>
                <w:color w:val="000000"/>
                <w:kern w:val="0"/>
                <w:sz w:val="18"/>
                <w:szCs w:val="18"/>
              </w:rPr>
              <w:t>240米</w:t>
            </w:r>
          </w:p>
        </w:tc>
      </w:tr>
      <w:tr w14:paraId="007A34D0">
        <w:tblPrEx>
          <w:tblCellMar>
            <w:top w:w="0" w:type="dxa"/>
            <w:left w:w="108" w:type="dxa"/>
            <w:bottom w:w="0" w:type="dxa"/>
            <w:right w:w="108" w:type="dxa"/>
          </w:tblCellMar>
        </w:tblPrEx>
        <w:trPr>
          <w:trHeight w:val="144"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1982">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CA4E">
            <w:pPr>
              <w:rPr>
                <w:rFonts w:ascii="宋体" w:hAnsi="宋体" w:cs="宋体"/>
                <w:color w:val="000000"/>
                <w:sz w:val="18"/>
                <w:szCs w:val="18"/>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93B0">
            <w:pPr>
              <w:rPr>
                <w:rFonts w:ascii="宋体" w:hAnsi="宋体" w:cs="宋体"/>
                <w:color w:val="000000"/>
                <w:sz w:val="18"/>
                <w:szCs w:val="18"/>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BF1">
            <w:pPr>
              <w:widowControl/>
              <w:jc w:val="left"/>
              <w:textAlignment w:val="center"/>
              <w:rPr>
                <w:rFonts w:ascii="宋体" w:hAnsi="宋体" w:cs="宋体"/>
                <w:color w:val="000000"/>
                <w:sz w:val="18"/>
                <w:szCs w:val="18"/>
              </w:rPr>
            </w:pPr>
            <w:r>
              <w:rPr>
                <w:rFonts w:ascii="宋体" w:hAnsi="宋体" w:cs="宋体"/>
                <w:color w:val="000000"/>
                <w:kern w:val="0"/>
                <w:sz w:val="18"/>
                <w:szCs w:val="18"/>
              </w:rPr>
              <w:t>维修公厕数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10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3D9C">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053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093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0EC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740">
            <w:pPr>
              <w:widowControl/>
              <w:jc w:val="center"/>
              <w:textAlignment w:val="center"/>
              <w:rPr>
                <w:rFonts w:ascii="宋体" w:hAnsi="宋体" w:cs="宋体"/>
                <w:color w:val="000000"/>
                <w:sz w:val="18"/>
                <w:szCs w:val="18"/>
              </w:rPr>
            </w:pPr>
            <w:r>
              <w:rPr>
                <w:rFonts w:ascii="宋体" w:hAnsi="宋体" w:cs="宋体"/>
                <w:color w:val="000000"/>
                <w:kern w:val="0"/>
                <w:sz w:val="18"/>
                <w:szCs w:val="18"/>
              </w:rPr>
              <w:t>8个</w:t>
            </w:r>
          </w:p>
        </w:tc>
      </w:tr>
      <w:tr w14:paraId="67A65769">
        <w:tblPrEx>
          <w:tblCellMar>
            <w:top w:w="0" w:type="dxa"/>
            <w:left w:w="108" w:type="dxa"/>
            <w:bottom w:w="0" w:type="dxa"/>
            <w:right w:w="108" w:type="dxa"/>
          </w:tblCellMar>
        </w:tblPrEx>
        <w:trPr>
          <w:trHeight w:val="204"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8F75">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DB68">
            <w:pPr>
              <w:rPr>
                <w:rFonts w:ascii="宋体" w:hAnsi="宋体" w:cs="宋体"/>
                <w:color w:val="000000"/>
                <w:sz w:val="18"/>
                <w:szCs w:val="18"/>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9362">
            <w:pPr>
              <w:rPr>
                <w:rFonts w:ascii="宋体" w:hAnsi="宋体" w:cs="宋体"/>
                <w:color w:val="000000"/>
                <w:sz w:val="18"/>
                <w:szCs w:val="18"/>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15A2">
            <w:pPr>
              <w:widowControl/>
              <w:jc w:val="left"/>
              <w:textAlignment w:val="center"/>
              <w:rPr>
                <w:rFonts w:ascii="宋体" w:hAnsi="宋体" w:cs="宋体"/>
                <w:color w:val="000000"/>
                <w:sz w:val="18"/>
                <w:szCs w:val="18"/>
              </w:rPr>
            </w:pPr>
            <w:r>
              <w:rPr>
                <w:rFonts w:ascii="宋体" w:hAnsi="宋体" w:cs="宋体"/>
                <w:color w:val="000000"/>
                <w:kern w:val="0"/>
                <w:sz w:val="18"/>
                <w:szCs w:val="18"/>
              </w:rPr>
              <w:t>维修丛林穿越体验道长度数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B0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840C">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FF3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D1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米</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6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B63">
            <w:pPr>
              <w:widowControl/>
              <w:jc w:val="center"/>
              <w:textAlignment w:val="center"/>
              <w:rPr>
                <w:rFonts w:ascii="宋体" w:hAnsi="宋体" w:cs="宋体"/>
                <w:color w:val="000000"/>
                <w:sz w:val="18"/>
                <w:szCs w:val="18"/>
              </w:rPr>
            </w:pPr>
            <w:r>
              <w:rPr>
                <w:rFonts w:ascii="宋体" w:hAnsi="宋体" w:cs="宋体"/>
                <w:color w:val="000000"/>
                <w:kern w:val="0"/>
                <w:sz w:val="18"/>
                <w:szCs w:val="18"/>
              </w:rPr>
              <w:t>170米</w:t>
            </w:r>
          </w:p>
        </w:tc>
      </w:tr>
      <w:tr w14:paraId="6C9430BD">
        <w:tblPrEx>
          <w:tblCellMar>
            <w:top w:w="0" w:type="dxa"/>
            <w:left w:w="108" w:type="dxa"/>
            <w:bottom w:w="0" w:type="dxa"/>
            <w:right w:w="108" w:type="dxa"/>
          </w:tblCellMar>
        </w:tblPrEx>
        <w:trPr>
          <w:trHeight w:val="29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34FB">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320B">
            <w:pPr>
              <w:rPr>
                <w:rFonts w:ascii="宋体" w:hAnsi="宋体" w:cs="宋体"/>
                <w:color w:val="000000"/>
                <w:sz w:val="18"/>
                <w:szCs w:val="18"/>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E34E">
            <w:pPr>
              <w:rPr>
                <w:rFonts w:ascii="宋体" w:hAnsi="宋体" w:cs="宋体"/>
                <w:color w:val="000000"/>
                <w:sz w:val="18"/>
                <w:szCs w:val="18"/>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7500">
            <w:pPr>
              <w:widowControl/>
              <w:jc w:val="left"/>
              <w:textAlignment w:val="center"/>
              <w:rPr>
                <w:rFonts w:ascii="宋体" w:hAnsi="宋体" w:cs="宋体"/>
                <w:color w:val="000000"/>
                <w:sz w:val="18"/>
                <w:szCs w:val="18"/>
              </w:rPr>
            </w:pPr>
            <w:r>
              <w:rPr>
                <w:rFonts w:ascii="宋体" w:hAnsi="宋体" w:cs="宋体"/>
                <w:color w:val="000000"/>
                <w:kern w:val="0"/>
                <w:sz w:val="18"/>
                <w:szCs w:val="18"/>
              </w:rPr>
              <w:t>维修百禽园动物圈舍数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22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2989">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6E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68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A1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37D">
            <w:pPr>
              <w:widowControl/>
              <w:jc w:val="center"/>
              <w:textAlignment w:val="center"/>
              <w:rPr>
                <w:rFonts w:ascii="宋体" w:hAnsi="宋体" w:cs="宋体"/>
                <w:color w:val="000000"/>
                <w:sz w:val="18"/>
                <w:szCs w:val="18"/>
              </w:rPr>
            </w:pPr>
            <w:r>
              <w:rPr>
                <w:rFonts w:ascii="宋体" w:hAnsi="宋体" w:cs="宋体"/>
                <w:color w:val="000000"/>
                <w:kern w:val="0"/>
                <w:sz w:val="18"/>
                <w:szCs w:val="18"/>
              </w:rPr>
              <w:t>18个</w:t>
            </w:r>
          </w:p>
        </w:tc>
      </w:tr>
      <w:tr w14:paraId="03B6D1E6">
        <w:tblPrEx>
          <w:tblCellMar>
            <w:top w:w="0" w:type="dxa"/>
            <w:left w:w="108" w:type="dxa"/>
            <w:bottom w:w="0" w:type="dxa"/>
            <w:right w:w="108" w:type="dxa"/>
          </w:tblCellMar>
        </w:tblPrEx>
        <w:trPr>
          <w:trHeight w:val="35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7896">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B39E">
            <w:pPr>
              <w:rPr>
                <w:rFonts w:ascii="宋体" w:hAnsi="宋体" w:cs="宋体"/>
                <w:color w:val="000000"/>
                <w:sz w:val="18"/>
                <w:szCs w:val="18"/>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E4F1">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E0BC">
            <w:pPr>
              <w:widowControl/>
              <w:jc w:val="left"/>
              <w:textAlignment w:val="center"/>
              <w:rPr>
                <w:rFonts w:ascii="宋体" w:hAnsi="宋体" w:cs="宋体"/>
                <w:color w:val="000000"/>
                <w:sz w:val="18"/>
                <w:szCs w:val="18"/>
              </w:rPr>
            </w:pPr>
            <w:r>
              <w:rPr>
                <w:rFonts w:ascii="宋体" w:hAnsi="宋体" w:cs="宋体"/>
                <w:color w:val="000000"/>
                <w:kern w:val="0"/>
                <w:sz w:val="18"/>
                <w:szCs w:val="18"/>
              </w:rPr>
              <w:t>维护项目各项指标任务完成并通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A72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333B">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D57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4904">
            <w:pPr>
              <w:jc w:val="center"/>
              <w:rPr>
                <w:rFonts w:ascii="宋体" w:hAnsi="宋体" w:cs="宋体"/>
                <w:color w:val="000000"/>
                <w:sz w:val="18"/>
                <w:szCs w:val="18"/>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3C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8916">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r>
      <w:tr w14:paraId="43A57A60">
        <w:tblPrEx>
          <w:tblCellMar>
            <w:top w:w="0" w:type="dxa"/>
            <w:left w:w="108" w:type="dxa"/>
            <w:bottom w:w="0" w:type="dxa"/>
            <w:right w:w="108" w:type="dxa"/>
          </w:tblCellMar>
        </w:tblPrEx>
        <w:trPr>
          <w:trHeight w:val="324"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17CC">
            <w:pPr>
              <w:rPr>
                <w:rFonts w:ascii="宋体" w:hAnsi="宋体" w:cs="宋体"/>
                <w:color w:val="000000"/>
                <w:sz w:val="18"/>
                <w:szCs w:val="18"/>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7D96">
            <w:pPr>
              <w:rPr>
                <w:rFonts w:ascii="宋体" w:hAnsi="宋体" w:cs="宋体"/>
                <w:color w:val="000000"/>
                <w:sz w:val="18"/>
                <w:szCs w:val="18"/>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1D1">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7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维修整治时限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678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328B">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A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C5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C50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3435">
            <w:pPr>
              <w:widowControl/>
              <w:jc w:val="center"/>
              <w:textAlignment w:val="center"/>
              <w:rPr>
                <w:rFonts w:ascii="宋体" w:hAnsi="宋体" w:cs="宋体"/>
                <w:color w:val="000000"/>
                <w:sz w:val="18"/>
                <w:szCs w:val="18"/>
              </w:rPr>
            </w:pPr>
            <w:r>
              <w:rPr>
                <w:rFonts w:ascii="宋体" w:hAnsi="宋体" w:cs="宋体"/>
                <w:color w:val="000000"/>
                <w:kern w:val="0"/>
                <w:sz w:val="18"/>
                <w:szCs w:val="18"/>
              </w:rPr>
              <w:t>90天</w:t>
            </w:r>
          </w:p>
        </w:tc>
      </w:tr>
      <w:tr w14:paraId="1DC752FC">
        <w:tblPrEx>
          <w:tblCellMar>
            <w:top w:w="0" w:type="dxa"/>
            <w:left w:w="108" w:type="dxa"/>
            <w:bottom w:w="0" w:type="dxa"/>
            <w:right w:w="108" w:type="dxa"/>
          </w:tblCellMar>
        </w:tblPrEx>
        <w:trPr>
          <w:trHeight w:val="1010"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233D">
            <w:pPr>
              <w:rPr>
                <w:rFonts w:ascii="宋体" w:hAnsi="宋体" w:cs="宋体"/>
                <w:color w:val="000000"/>
                <w:sz w:val="18"/>
                <w:szCs w:val="18"/>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CF41">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1E86">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4A8">
            <w:pPr>
              <w:widowControl/>
              <w:jc w:val="left"/>
              <w:textAlignment w:val="center"/>
              <w:rPr>
                <w:rFonts w:ascii="宋体" w:hAnsi="宋体" w:cs="宋体"/>
                <w:color w:val="000000"/>
                <w:sz w:val="18"/>
                <w:szCs w:val="18"/>
              </w:rPr>
            </w:pPr>
            <w:r>
              <w:rPr>
                <w:rFonts w:ascii="宋体" w:hAnsi="宋体" w:cs="宋体"/>
                <w:color w:val="000000"/>
                <w:kern w:val="0"/>
                <w:sz w:val="18"/>
                <w:szCs w:val="18"/>
              </w:rPr>
              <w:t>进一步强化园区内设施设备的安全性，为游客体验、镇域经济发展奠定坚实基础。</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D9C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90C">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1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有效</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C222">
            <w:pPr>
              <w:jc w:val="center"/>
              <w:rPr>
                <w:rFonts w:ascii="宋体" w:hAnsi="宋体" w:cs="宋体"/>
                <w:color w:val="000000"/>
                <w:sz w:val="18"/>
                <w:szCs w:val="18"/>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2E2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542D">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r>
      <w:tr w14:paraId="425B79F5">
        <w:tblPrEx>
          <w:tblCellMar>
            <w:top w:w="0" w:type="dxa"/>
            <w:left w:w="108" w:type="dxa"/>
            <w:bottom w:w="0" w:type="dxa"/>
            <w:right w:w="108" w:type="dxa"/>
          </w:tblCellMar>
        </w:tblPrEx>
        <w:trPr>
          <w:trHeight w:val="319"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6583">
            <w:pPr>
              <w:rPr>
                <w:rFonts w:ascii="宋体" w:hAnsi="宋体" w:cs="宋体"/>
                <w:color w:val="000000"/>
                <w:sz w:val="18"/>
                <w:szCs w:val="18"/>
              </w:rPr>
            </w:pPr>
          </w:p>
        </w:tc>
        <w:tc>
          <w:tcPr>
            <w:tcW w:w="1239" w:type="dxa"/>
            <w:tcBorders>
              <w:top w:val="single" w:color="000000" w:sz="4" w:space="0"/>
              <w:left w:val="single" w:color="000000" w:sz="4" w:space="0"/>
              <w:bottom w:val="nil"/>
              <w:right w:val="single" w:color="000000" w:sz="4" w:space="0"/>
            </w:tcBorders>
            <w:shd w:val="clear" w:color="auto" w:fill="auto"/>
            <w:vAlign w:val="center"/>
          </w:tcPr>
          <w:p w14:paraId="1D08CB49">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228" w:type="dxa"/>
            <w:tcBorders>
              <w:top w:val="single" w:color="000000" w:sz="4" w:space="0"/>
              <w:left w:val="single" w:color="000000" w:sz="4" w:space="0"/>
              <w:bottom w:val="nil"/>
              <w:right w:val="single" w:color="000000" w:sz="4" w:space="0"/>
            </w:tcBorders>
            <w:shd w:val="clear" w:color="auto" w:fill="auto"/>
            <w:vAlign w:val="center"/>
          </w:tcPr>
          <w:p w14:paraId="3FEEFFA6">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36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公众满意度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ADC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569C">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46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EB5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FA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C90">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r>
      <w:tr w14:paraId="3DD6D7BC">
        <w:tblPrEx>
          <w:tblCellMar>
            <w:top w:w="0" w:type="dxa"/>
            <w:left w:w="108" w:type="dxa"/>
            <w:bottom w:w="0" w:type="dxa"/>
            <w:right w:w="108" w:type="dxa"/>
          </w:tblCellMar>
        </w:tblPrEx>
        <w:trPr>
          <w:trHeight w:val="619" w:hRule="atLeast"/>
          <w:jc w:val="center"/>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5621">
            <w:pPr>
              <w:rPr>
                <w:rFonts w:ascii="宋体" w:hAnsi="宋体" w:cs="宋体"/>
                <w:color w:val="000000"/>
                <w:sz w:val="18"/>
                <w:szCs w:val="18"/>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CB6A">
            <w:pPr>
              <w:widowControl/>
              <w:jc w:val="left"/>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1735">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174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维修整治费用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E43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C55">
            <w:pPr>
              <w:jc w:val="center"/>
              <w:rPr>
                <w:rFonts w:ascii="宋体" w:hAnsi="宋体" w:cs="宋体"/>
                <w:color w:val="000000"/>
                <w:sz w:val="18"/>
                <w:szCs w:val="18"/>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B5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B9B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9C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341B">
            <w:pPr>
              <w:widowControl/>
              <w:jc w:val="center"/>
              <w:textAlignment w:val="center"/>
              <w:rPr>
                <w:rFonts w:ascii="宋体" w:hAnsi="宋体" w:cs="宋体"/>
                <w:color w:val="000000"/>
                <w:sz w:val="18"/>
                <w:szCs w:val="18"/>
              </w:rPr>
            </w:pPr>
            <w:r>
              <w:rPr>
                <w:rFonts w:ascii="宋体" w:hAnsi="宋体" w:cs="宋体"/>
                <w:color w:val="000000"/>
                <w:kern w:val="0"/>
                <w:sz w:val="18"/>
                <w:szCs w:val="18"/>
              </w:rPr>
              <w:t>28万元</w:t>
            </w:r>
          </w:p>
        </w:tc>
      </w:tr>
    </w:tbl>
    <w:p w14:paraId="3438F571">
      <w:pPr>
        <w:pStyle w:val="6"/>
        <w:overflowPunct w:val="0"/>
        <w:topLinePunct/>
        <w:autoSpaceDE w:val="0"/>
        <w:autoSpaceDN w:val="0"/>
        <w:spacing w:before="93"/>
        <w:rPr>
          <w:rFonts w:ascii="黑体" w:hAnsi="黑体" w:eastAsia="黑体" w:cs="黑体"/>
          <w:sz w:val="32"/>
          <w:szCs w:val="32"/>
          <w:shd w:val="clear" w:color="auto" w:fill="FFFFFF"/>
          <w:lang w:val="zh-CN"/>
        </w:rPr>
        <w:sectPr>
          <w:footerReference r:id="rId18" w:type="first"/>
          <w:footerReference r:id="rId17" w:type="default"/>
          <w:pgSz w:w="16838" w:h="11906" w:orient="landscape"/>
          <w:pgMar w:top="1587" w:right="2098" w:bottom="1474" w:left="1984" w:header="851" w:footer="1304" w:gutter="0"/>
          <w:pgNumType w:start="56"/>
          <w:cols w:space="0" w:num="1"/>
          <w:titlePg/>
          <w:docGrid w:type="lines" w:linePitch="312" w:charSpace="0"/>
        </w:sectPr>
      </w:pPr>
    </w:p>
    <w:p w14:paraId="111F491D">
      <w:pPr>
        <w:pStyle w:val="6"/>
        <w:overflowPunct w:val="0"/>
        <w:topLinePunct/>
        <w:autoSpaceDE w:val="0"/>
        <w:autoSpaceDN w:val="0"/>
        <w:spacing w:before="93"/>
        <w:rPr>
          <w:rFonts w:ascii="黑体" w:hAnsi="黑体" w:eastAsia="黑体" w:cs="黑体"/>
          <w:sz w:val="32"/>
          <w:szCs w:val="32"/>
          <w:shd w:val="clear" w:color="auto" w:fill="FFFFFF"/>
          <w:lang w:val="zh-CN"/>
        </w:rPr>
      </w:pPr>
    </w:p>
    <w:p w14:paraId="4A654E68">
      <w:pPr>
        <w:pStyle w:val="6"/>
        <w:overflowPunct w:val="0"/>
        <w:topLinePunct/>
        <w:autoSpaceDE w:val="0"/>
        <w:autoSpaceDN w:val="0"/>
        <w:spacing w:before="93"/>
        <w:rPr>
          <w:rFonts w:ascii="黑体" w:hAnsi="黑体" w:eastAsia="黑体" w:cs="黑体"/>
          <w:sz w:val="32"/>
          <w:szCs w:val="32"/>
        </w:rPr>
      </w:pPr>
      <w:r>
        <w:rPr>
          <w:rFonts w:hint="eastAsia" w:ascii="黑体" w:hAnsi="黑体" w:eastAsia="黑体" w:cs="黑体"/>
          <w:sz w:val="32"/>
          <w:szCs w:val="32"/>
          <w:shd w:val="clear" w:color="auto" w:fill="FFFFFF"/>
          <w:lang w:val="zh-CN"/>
        </w:rPr>
        <w:t>附件</w:t>
      </w:r>
      <w:r>
        <w:rPr>
          <w:rFonts w:hint="eastAsia" w:ascii="黑体" w:hAnsi="黑体" w:eastAsia="黑体" w:cs="黑体"/>
          <w:sz w:val="32"/>
          <w:szCs w:val="32"/>
          <w:shd w:val="clear" w:color="auto" w:fill="FFFFFF"/>
        </w:rPr>
        <w:t>4</w:t>
      </w:r>
    </w:p>
    <w:p w14:paraId="014D509E">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广元市昭化区射箭镇人民政府</w:t>
      </w:r>
    </w:p>
    <w:p w14:paraId="180B399E">
      <w:pPr>
        <w:snapToGrid w:val="0"/>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关于2024年解决东西部协作结余资金安排项目</w:t>
      </w:r>
      <w:r>
        <w:rPr>
          <w:rFonts w:hint="eastAsia" w:ascii="方正小标宋简体" w:hAnsi="方正小标宋简体" w:eastAsia="方正小标宋简体" w:cs="方正小标宋简体"/>
          <w:sz w:val="44"/>
          <w:szCs w:val="44"/>
          <w:lang w:val="zh-CN"/>
        </w:rPr>
        <w:t>（</w:t>
      </w:r>
      <w:r>
        <w:rPr>
          <w:rFonts w:hint="eastAsia" w:ascii="方正小标宋简体" w:hAnsi="方正小标宋简体" w:eastAsia="方正小标宋简体" w:cs="方正小标宋简体"/>
          <w:bCs/>
          <w:sz w:val="44"/>
          <w:szCs w:val="44"/>
        </w:rPr>
        <w:t>即冻库迁移、农贸市场附属）资金</w:t>
      </w:r>
    </w:p>
    <w:p w14:paraId="12185102">
      <w:pPr>
        <w:snapToGrid w:val="0"/>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差口的绩效自评报告</w:t>
      </w:r>
    </w:p>
    <w:p w14:paraId="383B7D8E">
      <w:pPr>
        <w:snapToGrid w:val="0"/>
        <w:spacing w:line="576" w:lineRule="exact"/>
        <w:jc w:val="center"/>
        <w:rPr>
          <w:rFonts w:ascii="方正小标宋简体" w:hAnsi="方正小标宋简体" w:eastAsia="方正小标宋简体" w:cs="方正小标宋简体"/>
          <w:bCs/>
          <w:sz w:val="44"/>
          <w:szCs w:val="44"/>
        </w:rPr>
      </w:pPr>
    </w:p>
    <w:p w14:paraId="1362F5EF">
      <w:pPr>
        <w:adjustRightInd w:val="0"/>
        <w:snapToGrid w:val="0"/>
        <w:spacing w:line="576" w:lineRule="exact"/>
        <w:ind w:firstLine="640" w:firstLineChars="200"/>
        <w:rPr>
          <w:rFonts w:ascii="仿宋_GB2312" w:hAnsi="仿宋_GB2312" w:eastAsia="仿宋_GB2312" w:cs="仿宋_GB2312"/>
          <w:sz w:val="32"/>
          <w:szCs w:val="32"/>
          <w:highlight w:val="yellow"/>
          <w:lang w:val="zh-CN"/>
        </w:rPr>
      </w:pPr>
      <w:r>
        <w:rPr>
          <w:rFonts w:hint="eastAsia" w:ascii="仿宋_GB2312" w:hAnsi="仿宋_GB2312" w:eastAsia="仿宋_GB2312" w:cs="仿宋_GB2312"/>
          <w:sz w:val="32"/>
          <w:szCs w:val="32"/>
          <w:lang w:val="zh-CN"/>
        </w:rPr>
        <w:t>根据《广元市昭化区财政局关于开展2025年全区预算绩效自评工作的通知》（昭财发</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zh-CN"/>
        </w:rPr>
        <w:t>7号），对2024年解决东西部协作结余资金安排射箭镇项目（即冻库迁移、农贸市场附属）资金差口支出绩效开展了自评，现将自评工作情况报告如下：</w:t>
      </w:r>
    </w:p>
    <w:p w14:paraId="04F7FB13">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一、项目概况</w:t>
      </w:r>
    </w:p>
    <w:p w14:paraId="4D66EEBA">
      <w:pPr>
        <w:pStyle w:val="29"/>
        <w:adjustRightInd w:val="0"/>
        <w:snapToGrid w:val="0"/>
        <w:spacing w:line="576" w:lineRule="exact"/>
        <w:ind w:firstLine="64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（一）设立背景及基本情况。</w:t>
      </w:r>
    </w:p>
    <w:p w14:paraId="263B8253">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解决东西部协作结余资金安排射箭镇项目（即冻库迁移、农贸市场附属）资金差口，所涉项目为京元村冻库迁移建设、提阳社区农贸市场附属项目，以上两个项目完工后第三方未及时申报资金拨付，造成资金结转再安排使用。</w:t>
      </w:r>
    </w:p>
    <w:p w14:paraId="0BA8FB7B">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项目主要内容：①冻库迁移项目。即实际完成冻库主体搬迁1944m</w:t>
      </w:r>
      <w:r>
        <w:rPr>
          <w:rFonts w:hint="eastAsia" w:ascii="仿宋_GB2312" w:hAnsi="仿宋_GB2312" w:eastAsia="仿宋_GB2312" w:cs="仿宋_GB2312"/>
          <w:sz w:val="32"/>
          <w:szCs w:val="32"/>
        </w:rPr>
        <w:t>³,外厂房搬迁390</w:t>
      </w:r>
      <w:r>
        <w:rPr>
          <w:rFonts w:hint="eastAsia" w:ascii="仿宋_GB2312" w:hAnsi="仿宋_GB2312" w:eastAsia="仿宋_GB2312" w:cs="仿宋_GB2312"/>
          <w:sz w:val="32"/>
          <w:szCs w:val="32"/>
          <w:lang w:val="zh-CN"/>
        </w:rPr>
        <w:t xml:space="preserve"> m</w:t>
      </w:r>
      <w:r>
        <w:rPr>
          <w:rFonts w:hint="eastAsia" w:ascii="仿宋_GB2312" w:hAnsi="仿宋_GB2312" w:eastAsia="仿宋_GB2312" w:cs="仿宋_GB2312"/>
          <w:sz w:val="32"/>
          <w:szCs w:val="32"/>
        </w:rPr>
        <w:t>³，场坪基础升高70CM,制冷设备搬迁3套，计资金3.65万元，于2023年10月15日全面竣工验收审核。</w:t>
      </w:r>
      <w:r>
        <w:rPr>
          <w:rFonts w:hint="eastAsia" w:ascii="仿宋_GB2312" w:hAnsi="仿宋_GB2312" w:eastAsia="仿宋_GB2312" w:cs="仿宋_GB2312"/>
          <w:sz w:val="32"/>
          <w:szCs w:val="32"/>
          <w:lang w:val="zh-CN"/>
        </w:rPr>
        <w:t>②</w:t>
      </w:r>
      <w:r>
        <w:rPr>
          <w:rFonts w:hint="eastAsia" w:ascii="仿宋_GB2312" w:hAnsi="仿宋_GB2312" w:eastAsia="仿宋_GB2312" w:cs="仿宋_GB2312"/>
          <w:sz w:val="32"/>
          <w:szCs w:val="32"/>
        </w:rPr>
        <w:t>农贸市场附属项目。即完成C25砼道路补烂（厚0.2m）1150㎡,更换井盖（φ700mm）8套，更换路沿石50m，无缝钢管（φ150mm）限高杆（长7m*高2.6m）2处，资金13.85万元，2023年11月10完工验收并审核。</w:t>
      </w:r>
    </w:p>
    <w:p w14:paraId="6C4A0F23">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项目主管部门职能：</w:t>
      </w:r>
    </w:p>
    <w:p w14:paraId="549461AE">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贯彻落实党的路线方针政策和国家法律法规，制定并执行本级人民代表大会的决议和上级国家行政机关的决定和命令，加强农村基层政权建设，巩固党在农村的执政基础。</w:t>
      </w:r>
    </w:p>
    <w:p w14:paraId="7C27F1AA">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组织编制本行政区域经济社会发展规划和镇国土空间规划、村（社区）规划等相关规划。组织实施产业发展和基础设施建设，积极推动各项民生事业发展。负责职责范围内的自然资源保护和开发利用、生态环境污染防治等工作。优化营商环境，为项目投资促进提供保障。组织农村基础设施和各项公益事业建设，实施乡村振兴战略，加快经济社会发展，改善人民群众生产生活环境。</w:t>
      </w:r>
    </w:p>
    <w:p w14:paraId="696DB2AB">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指导农村经济发展，推进农业经济结构调整，促进经济增长方式转变，促进农业增效、农民增收。</w:t>
      </w:r>
    </w:p>
    <w:p w14:paraId="7529A539">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强农村公共服务体系建设，落实审批制度便民化措施，全面提高党群服务能力和政务服务水平。研究制定各项社会事业发展规划，加大各项民生建设和保障力度，做好民生兜底保障工作，构建公共服务均等化体系，促进农村社会事业健康有序发展。</w:t>
      </w:r>
    </w:p>
    <w:p w14:paraId="659B1C05">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推进基层民主法制建设，加强普法和依法治理，指导村（居）民委员会工作，维护群众合法权益。根据法律法规和授权负责镇域内综合行政执法工作，统筹协调辖区内派驻（出）机构和人员，依法履行行政处罚、监督检查等管理权限。</w:t>
      </w:r>
    </w:p>
    <w:p w14:paraId="4B33812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承担辖区平安建设、社会治安综合治理、公共安全、安全生产及应急管理等有关工作，处理群众来信来访，反映社情民意，化解矛盾纠纷，维护社会安全稳定。</w:t>
      </w:r>
    </w:p>
    <w:p w14:paraId="583A94D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做好国防教育和兵役等工作。</w:t>
      </w:r>
    </w:p>
    <w:p w14:paraId="24ED4D04">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负责制定完善乡镇行政权力清单、乡镇权力责任清单、乡镇属地事项责任清单，建立清单动态调整和公示机制，推进政务公开，接受群众监督，增强政府公信力。</w:t>
      </w:r>
    </w:p>
    <w:p w14:paraId="369EBD56">
      <w:pPr>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承担法律、法规、规章规定的其他职能和上级党委、政府交办的其他任务。</w:t>
      </w:r>
    </w:p>
    <w:p w14:paraId="1ABD8296">
      <w:pPr>
        <w:pStyle w:val="29"/>
        <w:adjustRightInd w:val="0"/>
        <w:snapToGrid w:val="0"/>
        <w:spacing w:line="576" w:lineRule="exact"/>
        <w:ind w:firstLine="64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（二）实施目的及支持方向。</w:t>
      </w:r>
    </w:p>
    <w:p w14:paraId="7EF965BF">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解决东西部协作结余资金安排射箭镇项目（即冻库迁移、农贸市场附属），实施目的一是冻库迁移为有效解决射箭镇内小水果产业核桃、羌脆李及老百姓种植的蔬菜保鲜等正常流通；二是农贸市场附属项目的建设为探索农村基础环境整治、改善社区与国内（外）市场即产业发展工作新模式，提升农产品销售交易额，促进农民致富增收。</w:t>
      </w:r>
    </w:p>
    <w:p w14:paraId="659602AC">
      <w:pPr>
        <w:pStyle w:val="29"/>
        <w:adjustRightInd w:val="0"/>
        <w:snapToGrid w:val="0"/>
        <w:spacing w:line="576" w:lineRule="exact"/>
        <w:ind w:firstLine="64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（三）预算安排及分配管理。</w:t>
      </w:r>
    </w:p>
    <w:p w14:paraId="52FAEABB">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预算安排17.5万元，属于东西部协作结余资金再安排。项目资金分配原则遵循了规范、公正、公开的原则，采用因素法，根据绩效评价结果，资金执行进度和下一年度绩效目标等因素进行调节，明确奖惩措施，突出了激励导向。通过村委会、社区申报项目资金、镇政府审核即“镇、村（社区）双把关”，厘清责任链条，明确资金评审目标定位，促进资金合理均衡分配。截止评价之日，解决东西部协作结余资金安排射箭镇项目（即冻库迁移、农贸市场附属）资金到位17.5万元，实际支出17.5万元，其中冻库搬迁改造3.65万元、农贸市场提升13.85万元。以上资金分配科学、管理合法。</w:t>
      </w:r>
    </w:p>
    <w:p w14:paraId="69F1DE6C">
      <w:pPr>
        <w:pStyle w:val="29"/>
        <w:adjustRightInd w:val="0"/>
        <w:snapToGrid w:val="0"/>
        <w:spacing w:line="576" w:lineRule="exact"/>
        <w:ind w:firstLine="64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（四）项目绩效目标设置。</w:t>
      </w:r>
    </w:p>
    <w:p w14:paraId="29817222">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按照目标设定，确保目标具体、可测量、可达成、相关性和时限性原则，即核心指标：产出数量指标为：①冻库搬迁项目，即实际完成冻库主体搬迁1944m</w:t>
      </w:r>
      <w:r>
        <w:rPr>
          <w:rFonts w:hint="eastAsia" w:ascii="仿宋_GB2312" w:hAnsi="仿宋_GB2312" w:eastAsia="仿宋_GB2312" w:cs="仿宋_GB2312"/>
          <w:sz w:val="32"/>
          <w:szCs w:val="32"/>
        </w:rPr>
        <w:t>³,外厂房搬迁390</w:t>
      </w:r>
      <w:r>
        <w:rPr>
          <w:rFonts w:hint="eastAsia" w:ascii="仿宋_GB2312" w:hAnsi="仿宋_GB2312" w:eastAsia="仿宋_GB2312" w:cs="仿宋_GB2312"/>
          <w:sz w:val="32"/>
          <w:szCs w:val="32"/>
          <w:lang w:val="zh-CN"/>
        </w:rPr>
        <w:t xml:space="preserve"> m</w:t>
      </w:r>
      <w:r>
        <w:rPr>
          <w:rFonts w:hint="eastAsia" w:ascii="仿宋_GB2312" w:hAnsi="仿宋_GB2312" w:eastAsia="仿宋_GB2312" w:cs="仿宋_GB2312"/>
          <w:sz w:val="32"/>
          <w:szCs w:val="32"/>
        </w:rPr>
        <w:t>³，场坪基础升高70CM,制冷设备搬迁3套。</w:t>
      </w:r>
      <w:r>
        <w:rPr>
          <w:rFonts w:hint="eastAsia" w:ascii="仿宋_GB2312" w:hAnsi="仿宋_GB2312" w:eastAsia="仿宋_GB2312" w:cs="仿宋_GB2312"/>
          <w:sz w:val="32"/>
          <w:szCs w:val="32"/>
          <w:lang w:val="zh-CN"/>
        </w:rPr>
        <w:t>②</w:t>
      </w:r>
      <w:r>
        <w:rPr>
          <w:rFonts w:hint="eastAsia" w:ascii="仿宋_GB2312" w:hAnsi="仿宋_GB2312" w:eastAsia="仿宋_GB2312" w:cs="仿宋_GB2312"/>
          <w:sz w:val="32"/>
          <w:szCs w:val="32"/>
        </w:rPr>
        <w:t>农贸市场提升，即完成C25砼道路补烂（厚0.2m）1150㎡,更换井盖（φ700mm）8套，更换路沿石50m，无缝钢管（φ150mm）限高杆（长7m*高2.6m）2处。</w:t>
      </w:r>
      <w:r>
        <w:rPr>
          <w:rFonts w:hint="eastAsia" w:ascii="仿宋_GB2312" w:hAnsi="仿宋_GB2312" w:eastAsia="仿宋_GB2312" w:cs="仿宋_GB2312"/>
          <w:sz w:val="32"/>
          <w:szCs w:val="32"/>
          <w:lang w:val="zh-CN"/>
        </w:rPr>
        <w:t>各项指标完成合格率均在100%，社会公众满意度99%以上，经济成本大大降低，进一步强化村、社区基础设施和镇域内设施设备完整性，为镇域经济发展奠定坚实基础。</w:t>
      </w:r>
    </w:p>
    <w:p w14:paraId="4AC40558">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该项目在自评工作中目标明确，制定了自评标准，采用实地考察、文件审查等多种方式，对项目单位的各项工作进行了全面评估和自我检查。</w:t>
      </w:r>
    </w:p>
    <w:p w14:paraId="65F403AB">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二、评价实施</w:t>
      </w:r>
    </w:p>
    <w:p w14:paraId="6278B18C">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（一）评价组织。</w:t>
      </w:r>
      <w:r>
        <w:rPr>
          <w:rFonts w:hint="eastAsia" w:ascii="仿宋_GB2312" w:hAnsi="仿宋_GB2312" w:eastAsia="仿宋_GB2312" w:cs="仿宋_GB2312"/>
          <w:sz w:val="32"/>
          <w:szCs w:val="32"/>
          <w:lang w:val="zh-CN"/>
        </w:rPr>
        <w:t>镇成立项目领导小组，镇长任组长负责项目总的实施，副书记主要抓该项目招投标、政府采购、项目公示等。制定有效地监管措施、执行相关管理制度(如招投标、政府采购、项目公示等)相关情况，其中：此项目基本建设、购买服务程序等执行村民自建、网上公开招标，并对村民委员会、居委会和竞标方的相关问题进行合法合规审核。</w:t>
      </w:r>
    </w:p>
    <w:p w14:paraId="18B8C664">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（二）评价目的。</w:t>
      </w:r>
      <w:r>
        <w:rPr>
          <w:rFonts w:hint="eastAsia" w:ascii="仿宋_GB2312" w:hAnsi="仿宋_GB2312" w:eastAsia="仿宋_GB2312" w:cs="仿宋_GB2312"/>
          <w:sz w:val="32"/>
          <w:szCs w:val="32"/>
          <w:lang w:val="zh-CN"/>
        </w:rPr>
        <w:t xml:space="preserve">解决东西部协作结余资金安排射箭镇项目（即冻库迁移、农贸市场附属），通过项目计划与实际执行结果比较，该项目实施为有效解决镇域内小水果产业核桃、羌脆李及老百姓种植的蔬菜保鲜等正常流通；二是农贸市场附属项目的建设为探索农村基础环境整治、改善社区与国内（外）市场即产业发展工作新模式，提升农产品销售额，促进农民致富增收。     </w:t>
      </w:r>
    </w:p>
    <w:p w14:paraId="6835A094">
      <w:pPr>
        <w:pStyle w:val="29"/>
        <w:adjustRightInd w:val="0"/>
        <w:snapToGrid w:val="0"/>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bCs/>
          <w:sz w:val="32"/>
          <w:szCs w:val="32"/>
          <w:lang w:val="zh-CN"/>
        </w:rPr>
        <w:t>（三）评价选点。</w:t>
      </w:r>
      <w:r>
        <w:rPr>
          <w:rFonts w:hint="eastAsia" w:ascii="仿宋_GB2312" w:hAnsi="仿宋_GB2312" w:eastAsia="仿宋_GB2312" w:cs="仿宋_GB2312"/>
          <w:sz w:val="32"/>
          <w:szCs w:val="32"/>
          <w:lang w:val="zh-CN"/>
        </w:rPr>
        <w:t>项目主管部门为加强项目管理遵守国家相关政策法规，执行和组织好施工方完成项目建设内容。坚持原则，廉洁勤政，工作以身作则，创造性地开展该项工作。严格控制各项费用支出，抓好内部成本核算及降低成本投入。抓好安全管理，杜绝“三违”发生，定期组织安全检查，对查出隐患及时整改。</w:t>
      </w:r>
    </w:p>
    <w:p w14:paraId="1FA04EF1">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（四）评价方法</w:t>
      </w:r>
      <w:r>
        <w:rPr>
          <w:rFonts w:hint="eastAsia" w:ascii="仿宋_GB2312" w:hAnsi="仿宋_GB2312" w:eastAsia="仿宋_GB2312" w:cs="仿宋_GB2312"/>
          <w:sz w:val="32"/>
          <w:szCs w:val="32"/>
          <w:lang w:val="zh-CN"/>
        </w:rPr>
        <w:t>。此项目绩效自评主要采用比较法和公众评判法，通过现场核查，查阅资料，问卷调查，经汇总分析后，从投入、过程、产出和效益三大方面全面反映了项目支出绩效情况。</w:t>
      </w:r>
    </w:p>
    <w:p w14:paraId="58FD8441">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三、绩效分析</w:t>
      </w:r>
    </w:p>
    <w:p w14:paraId="0B96A391">
      <w:pPr>
        <w:adjustRightInd w:val="0"/>
        <w:snapToGrid w:val="0"/>
        <w:spacing w:line="576"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（一）通用绩效指标分析。</w:t>
      </w:r>
    </w:p>
    <w:p w14:paraId="51428015">
      <w:pPr>
        <w:adjustRightInd w:val="0"/>
        <w:snapToGrid w:val="0"/>
        <w:spacing w:line="576" w:lineRule="exact"/>
        <w:ind w:firstLine="640" w:firstLineChars="200"/>
        <w:rPr>
          <w:rFonts w:ascii="仿宋_GB2312" w:hAnsi="仿宋_GB2312" w:eastAsia="仿宋_GB2312" w:cs="仿宋_GB2312"/>
          <w:sz w:val="32"/>
          <w:szCs w:val="32"/>
          <w:highlight w:val="yellow"/>
          <w:lang w:val="zh-CN"/>
        </w:rPr>
      </w:pPr>
      <w:r>
        <w:rPr>
          <w:rFonts w:hint="eastAsia" w:ascii="仿宋_GB2312" w:hAnsi="仿宋_GB2312" w:eastAsia="仿宋_GB2312" w:cs="仿宋_GB2312"/>
          <w:sz w:val="32"/>
          <w:szCs w:val="32"/>
          <w:lang w:val="zh-CN"/>
        </w:rPr>
        <w:t>1.项目决策。</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zh-CN"/>
        </w:rPr>
        <w:t>解决东西部协作结余资金安排射箭镇项目（即冻库迁移、农贸市场附属）</w:t>
      </w:r>
      <w:r>
        <w:rPr>
          <w:rFonts w:hint="eastAsia" w:ascii="仿宋_GB2312" w:hAnsi="仿宋_GB2312" w:eastAsia="仿宋_GB2312" w:cs="仿宋_GB2312"/>
          <w:sz w:val="32"/>
          <w:szCs w:val="32"/>
        </w:rPr>
        <w:t>工作健康有序开展，抓好、抓实。镇政府成立了以镇长为组长、党委副书记为副组长，财政所负责人、纪检监察委员、农业站负责人、农经站负责人、京元村和提阳社区书记及村（社区）主抓相关干部为成员的</w:t>
      </w:r>
      <w:r>
        <w:rPr>
          <w:rFonts w:hint="eastAsia" w:ascii="仿宋_GB2312" w:hAnsi="仿宋_GB2312" w:eastAsia="仿宋_GB2312" w:cs="仿宋_GB2312"/>
          <w:sz w:val="32"/>
          <w:szCs w:val="32"/>
          <w:lang w:val="zh-CN"/>
        </w:rPr>
        <w:t>射箭镇项目（即冻库迁移、农贸市场附属）资金</w:t>
      </w:r>
      <w:r>
        <w:rPr>
          <w:rFonts w:hint="eastAsia" w:ascii="仿宋_GB2312" w:hAnsi="仿宋_GB2312" w:eastAsia="仿宋_GB2312" w:cs="仿宋_GB2312"/>
          <w:sz w:val="32"/>
          <w:szCs w:val="32"/>
        </w:rPr>
        <w:t>支出绩效评价工作领导小组。领导小组按照京元村、提阳社区具体情况，在充分征求村、社区及民众意见后，经村、社区组织拟定、审议、决议、公示等全面监督和督查议案，并明确专人负责对</w:t>
      </w:r>
      <w:r>
        <w:rPr>
          <w:rFonts w:hint="eastAsia" w:ascii="仿宋_GB2312" w:hAnsi="仿宋_GB2312" w:eastAsia="仿宋_GB2312" w:cs="仿宋_GB2312"/>
          <w:sz w:val="32"/>
          <w:szCs w:val="32"/>
          <w:lang w:val="zh-CN"/>
        </w:rPr>
        <w:t>以上项目</w:t>
      </w:r>
      <w:r>
        <w:rPr>
          <w:rFonts w:hint="eastAsia" w:ascii="仿宋_GB2312" w:hAnsi="仿宋_GB2312" w:eastAsia="仿宋_GB2312" w:cs="仿宋_GB2312"/>
          <w:sz w:val="32"/>
          <w:szCs w:val="32"/>
        </w:rPr>
        <w:t>实施程序、资料完整等进行跟踪和指导。</w:t>
      </w:r>
    </w:p>
    <w:p w14:paraId="439AB9F0">
      <w:pPr>
        <w:tabs>
          <w:tab w:val="left" w:pos="312"/>
        </w:tabs>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2.项目实施。射箭镇项目（即冻库迁移、农贸市场附属）</w:t>
      </w:r>
      <w:r>
        <w:rPr>
          <w:rFonts w:hint="eastAsia" w:ascii="仿宋_GB2312" w:hAnsi="仿宋_GB2312" w:eastAsia="仿宋_GB2312" w:cs="仿宋_GB2312"/>
          <w:sz w:val="32"/>
          <w:szCs w:val="32"/>
        </w:rPr>
        <w:t>资金为一般公共财政预算即东西部协作结余资金，所涉</w:t>
      </w:r>
      <w:r>
        <w:rPr>
          <w:rFonts w:hint="eastAsia" w:ascii="仿宋_GB2312" w:hAnsi="仿宋_GB2312" w:eastAsia="仿宋_GB2312" w:cs="仿宋_GB2312"/>
          <w:sz w:val="32"/>
          <w:szCs w:val="32"/>
          <w:lang w:val="zh-CN"/>
        </w:rPr>
        <w:t>京元村冻库搬迁项目、提阳社区农贸市场附属项目</w:t>
      </w:r>
      <w:r>
        <w:rPr>
          <w:rFonts w:hint="eastAsia" w:ascii="仿宋_GB2312" w:hAnsi="仿宋_GB2312" w:eastAsia="仿宋_GB2312" w:cs="仿宋_GB2312"/>
          <w:sz w:val="32"/>
          <w:szCs w:val="32"/>
        </w:rPr>
        <w:t>资金支付实行报账制，由村上提出申请，经镇财政所审核，分管领导、镇长签字后予以支出。2024年我镇累计向项目村京元、提阳社区支出资金17.5万元。及时、有效公示项目资金的使用、支出等情况，该资金使用范围合规，各项政策执行合法。</w:t>
      </w:r>
    </w:p>
    <w:p w14:paraId="68BDAD0B">
      <w:pPr>
        <w:adjustRightInd w:val="0"/>
        <w:snapToGrid w:val="0"/>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3.完成结果。</w:t>
      </w:r>
      <w:r>
        <w:rPr>
          <w:rFonts w:hint="eastAsia" w:ascii="仿宋_GB2312" w:hAnsi="仿宋_GB2312" w:eastAsia="仿宋_GB2312" w:cs="仿宋_GB2312"/>
          <w:sz w:val="32"/>
          <w:szCs w:val="32"/>
        </w:rPr>
        <w:t>截止2024年12月30日，</w:t>
      </w:r>
      <w:r>
        <w:rPr>
          <w:rFonts w:hint="eastAsia" w:ascii="仿宋_GB2312" w:hAnsi="仿宋_GB2312" w:eastAsia="仿宋_GB2312" w:cs="仿宋_GB2312"/>
          <w:sz w:val="32"/>
          <w:szCs w:val="32"/>
          <w:lang w:val="zh-CN"/>
        </w:rPr>
        <w:t>射箭镇项目（即冻库迁移、农贸市场附属）</w:t>
      </w:r>
      <w:r>
        <w:rPr>
          <w:rFonts w:hint="eastAsia" w:ascii="仿宋_GB2312" w:hAnsi="仿宋_GB2312" w:eastAsia="仿宋_GB2312" w:cs="仿宋_GB2312"/>
          <w:sz w:val="32"/>
          <w:szCs w:val="32"/>
        </w:rPr>
        <w:t>完工率均为100%，总计资金17.5万元。其中：</w:t>
      </w:r>
      <w:r>
        <w:rPr>
          <w:rFonts w:hint="eastAsia" w:ascii="仿宋_GB2312" w:hAnsi="仿宋_GB2312" w:eastAsia="仿宋_GB2312" w:cs="仿宋_GB2312"/>
          <w:sz w:val="32"/>
          <w:szCs w:val="32"/>
          <w:lang w:val="zh-CN"/>
        </w:rPr>
        <w:t>①冻库搬迁项目，即实际完成冻库主体搬迁1944m</w:t>
      </w:r>
      <w:r>
        <w:rPr>
          <w:rFonts w:hint="eastAsia" w:ascii="仿宋_GB2312" w:hAnsi="仿宋_GB2312" w:eastAsia="仿宋_GB2312" w:cs="仿宋_GB2312"/>
          <w:sz w:val="32"/>
          <w:szCs w:val="32"/>
        </w:rPr>
        <w:t>³,外厂房搬迁390</w:t>
      </w:r>
      <w:r>
        <w:rPr>
          <w:rFonts w:hint="eastAsia" w:ascii="仿宋_GB2312" w:hAnsi="仿宋_GB2312" w:eastAsia="仿宋_GB2312" w:cs="仿宋_GB2312"/>
          <w:sz w:val="32"/>
          <w:szCs w:val="32"/>
          <w:lang w:val="zh-CN"/>
        </w:rPr>
        <w:t xml:space="preserve"> m</w:t>
      </w:r>
      <w:r>
        <w:rPr>
          <w:rFonts w:hint="eastAsia" w:ascii="仿宋_GB2312" w:hAnsi="仿宋_GB2312" w:eastAsia="仿宋_GB2312" w:cs="仿宋_GB2312"/>
          <w:sz w:val="32"/>
          <w:szCs w:val="32"/>
        </w:rPr>
        <w:t>³，场坪基础升高70CM,制冷设备搬迁3套，于2023年10月15日全面竣工验收审核，资金3.65万元。</w:t>
      </w:r>
      <w:r>
        <w:rPr>
          <w:rFonts w:hint="eastAsia" w:ascii="仿宋_GB2312" w:hAnsi="仿宋_GB2312" w:eastAsia="仿宋_GB2312" w:cs="仿宋_GB2312"/>
          <w:sz w:val="32"/>
          <w:szCs w:val="32"/>
          <w:lang w:val="zh-CN"/>
        </w:rPr>
        <w:t>②</w:t>
      </w:r>
      <w:r>
        <w:rPr>
          <w:rFonts w:hint="eastAsia" w:ascii="仿宋_GB2312" w:hAnsi="仿宋_GB2312" w:eastAsia="仿宋_GB2312" w:cs="仿宋_GB2312"/>
          <w:sz w:val="32"/>
          <w:szCs w:val="32"/>
        </w:rPr>
        <w:t>农贸市场提升。即完成C25砼道路补烂（厚0.2m）1150㎡,更换井盖（φ700mm）8套，更换路沿石50m，无缝钢管（φ150mm）限高杆（长7m*高2.6m）2处，2023年11月10完工验收并审核，资金13.85万元。</w:t>
      </w:r>
    </w:p>
    <w:p w14:paraId="46E3997F">
      <w:pPr>
        <w:tabs>
          <w:tab w:val="left" w:pos="312"/>
        </w:tabs>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val="zh-CN"/>
        </w:rPr>
        <w:t>（二）专用绩效指标分析。</w:t>
      </w:r>
      <w:r>
        <w:rPr>
          <w:rFonts w:hint="eastAsia" w:ascii="仿宋_GB2312" w:hAnsi="仿宋_GB2312" w:eastAsia="仿宋_GB2312" w:cs="仿宋_GB2312"/>
          <w:sz w:val="32"/>
          <w:szCs w:val="32"/>
        </w:rPr>
        <w:t>根据专项预算项目资金支持对象选择所属指标进行绩效分析，即按自评年度内实际实施情况即为</w:t>
      </w:r>
      <w:r>
        <w:rPr>
          <w:rFonts w:hint="eastAsia" w:ascii="仿宋_GB2312" w:hAnsi="仿宋_GB2312" w:eastAsia="仿宋_GB2312" w:cs="仿宋_GB2312"/>
          <w:sz w:val="32"/>
          <w:szCs w:val="32"/>
          <w:lang w:val="zh-CN"/>
        </w:rPr>
        <w:t>即冻库迁移、农贸市场附属项目</w:t>
      </w:r>
      <w:r>
        <w:rPr>
          <w:rFonts w:hint="eastAsia" w:ascii="仿宋_GB2312" w:hAnsi="仿宋_GB2312" w:eastAsia="仿宋_GB2312" w:cs="仿宋_GB2312"/>
          <w:sz w:val="32"/>
          <w:szCs w:val="32"/>
        </w:rPr>
        <w:t>。各项目完成经镇、村、社区和第三方及时验收，实地方量核算，按国家验收标准质量合格。该项目经济价值在维持京元村、提阳社区整体运行前提下发挥整合、交流、导向、继承和发展的社会功能。</w:t>
      </w:r>
      <w:r>
        <w:rPr>
          <w:rFonts w:hint="eastAsia" w:ascii="仿宋_GB2312" w:hAnsi="仿宋_GB2312" w:eastAsia="仿宋_GB2312" w:cs="仿宋_GB2312"/>
          <w:sz w:val="32"/>
          <w:szCs w:val="32"/>
          <w:lang w:val="zh-CN"/>
        </w:rPr>
        <w:t>冻库迁移、农贸市场附属</w:t>
      </w:r>
      <w:r>
        <w:rPr>
          <w:rFonts w:hint="eastAsia" w:ascii="仿宋_GB2312" w:hAnsi="仿宋_GB2312" w:eastAsia="仿宋_GB2312" w:cs="仿宋_GB2312"/>
          <w:sz w:val="32"/>
          <w:szCs w:val="32"/>
        </w:rPr>
        <w:t>所涉项目建成后各项功能均达到预期服务能力，对京元村、提阳社区及整个射箭镇的基础设施有较高提升。该项目后续维护工作已及时实现，相关项目的建成</w:t>
      </w:r>
      <w:r>
        <w:rPr>
          <w:rFonts w:hint="eastAsia" w:ascii="仿宋_GB2312" w:hAnsi="仿宋_GB2312" w:eastAsia="仿宋_GB2312" w:cs="仿宋_GB2312"/>
          <w:sz w:val="32"/>
          <w:szCs w:val="32"/>
          <w:lang w:val="zh-CN"/>
        </w:rPr>
        <w:t>将我镇地方产业进一步得到丰富，同时壮大村集体经济收入，</w:t>
      </w:r>
      <w:r>
        <w:rPr>
          <w:rFonts w:hint="eastAsia" w:ascii="仿宋_GB2312" w:hAnsi="仿宋_GB2312" w:eastAsia="仿宋_GB2312" w:cs="仿宋_GB2312"/>
          <w:sz w:val="32"/>
          <w:szCs w:val="32"/>
        </w:rPr>
        <w:t>全面衔接并助力乡村振兴。</w:t>
      </w:r>
    </w:p>
    <w:p w14:paraId="16545A93">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val="zh-CN"/>
        </w:rPr>
        <w:t>（三）特性指标绩效分析。</w:t>
      </w:r>
      <w:r>
        <w:rPr>
          <w:rFonts w:hint="eastAsia" w:ascii="仿宋_GB2312" w:hAnsi="仿宋_GB2312" w:eastAsia="仿宋_GB2312" w:cs="仿宋_GB2312"/>
          <w:sz w:val="32"/>
          <w:szCs w:val="32"/>
        </w:rPr>
        <w:t>该项目所涉及的特性指标适用范围相应的二、三级指标，即基础设施项目中的“城乡社区、设备购置”，均符合验收标准，达到行业基准水准，城乡社区公共设施正常运转、农贸市场附属设施设计能力实现、设备购置常态化运行良好。</w:t>
      </w:r>
    </w:p>
    <w:p w14:paraId="435D3F39">
      <w:pPr>
        <w:adjustRightInd w:val="0"/>
        <w:snapToGrid w:val="0"/>
        <w:spacing w:line="576" w:lineRule="exact"/>
        <w:ind w:firstLine="640" w:firstLineChars="200"/>
        <w:rPr>
          <w:rFonts w:ascii="仿宋_GB2312" w:hAnsi="仿宋_GB2312" w:eastAsia="仿宋_GB2312" w:cs="仿宋_GB2312"/>
          <w:b/>
          <w:color w:val="FF0000"/>
          <w:sz w:val="32"/>
          <w:szCs w:val="32"/>
          <w:lang w:val="zh-CN"/>
        </w:rPr>
      </w:pPr>
      <w:r>
        <w:rPr>
          <w:rFonts w:hint="eastAsia" w:ascii="仿宋_GB2312" w:hAnsi="仿宋_GB2312" w:eastAsia="仿宋_GB2312" w:cs="仿宋_GB2312"/>
          <w:bCs/>
          <w:sz w:val="32"/>
          <w:szCs w:val="32"/>
          <w:lang w:val="zh-CN"/>
        </w:rPr>
        <w:t>（四）个性指标绩效分析。</w:t>
      </w:r>
      <w:r>
        <w:rPr>
          <w:rFonts w:hint="eastAsia" w:ascii="仿宋_GB2312" w:hAnsi="仿宋_GB2312" w:eastAsia="仿宋_GB2312" w:cs="仿宋_GB2312"/>
          <w:sz w:val="32"/>
          <w:szCs w:val="32"/>
        </w:rPr>
        <w:t>根据该项目实际实施情况，我镇自行设定满意度指标即群众满意度，通过走访、座谈实施村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社区群众，社会各界公众人士，满意度达99%，0投诉</w:t>
      </w:r>
    </w:p>
    <w:p w14:paraId="7057E5D4">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四、评价结论</w:t>
      </w:r>
    </w:p>
    <w:p w14:paraId="50BB1EC4">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射箭镇（即冻库迁移、农贸市场附属）两个项目</w:t>
      </w:r>
      <w:r>
        <w:rPr>
          <w:rFonts w:hint="eastAsia" w:ascii="仿宋_GB2312" w:hAnsi="仿宋_GB2312" w:eastAsia="仿宋_GB2312" w:cs="仿宋_GB2312"/>
          <w:sz w:val="32"/>
          <w:szCs w:val="32"/>
        </w:rPr>
        <w:t>实施后实现了特定的绩效目标，全面提升射箭镇农产品冷链物流仓储保鲜能力、农贸市场基础设施建设及增加镇集体经济收入，同时预定目标设置合理，符合相关规定要求。根据指标评价体系标准，该项自评得分98分。</w:t>
      </w:r>
    </w:p>
    <w:p w14:paraId="2F07AE78">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五、存在主要问题</w:t>
      </w:r>
    </w:p>
    <w:p w14:paraId="1D017A3C">
      <w:pPr>
        <w:adjustRightInd w:val="0"/>
        <w:snapToGrid w:val="0"/>
        <w:spacing w:line="576"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zh-CN"/>
        </w:rPr>
        <w:t>射箭镇项目（即冻库迁移、农贸市场附属）资金差口的</w:t>
      </w:r>
      <w:r>
        <w:rPr>
          <w:rFonts w:hint="eastAsia" w:ascii="仿宋_GB2312" w:hAnsi="仿宋_GB2312" w:eastAsia="仿宋_GB2312" w:cs="仿宋_GB2312"/>
          <w:sz w:val="32"/>
          <w:szCs w:val="32"/>
        </w:rPr>
        <w:t>评价指标体系不完善。部分预算绩效评价指标未紧密围绕项目目标设定，存在通用性指标堆砌现象，无法精准衡量项目独特成效。例如，农贸市场附属基础设施项目仅用常规计量材料、资金到位率衡量，未针对项目改善社区、镇域内各区域实际情况、和带动周边经济发展等特定目标设专项指标，导致评价浮于表面，难以体现该项目的实质价值。</w:t>
      </w:r>
    </w:p>
    <w:p w14:paraId="44247BA9">
      <w:pPr>
        <w:adjustRightInd w:val="0"/>
        <w:snapToGri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六、改进建议</w:t>
      </w:r>
    </w:p>
    <w:p w14:paraId="36DF7AC7">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项目优化指标体系，引入专业及行业人员指导参与规划设计，结合项目特性、政策导向定制专属指标；运用层次分析法等科学工具量化各指标的相对重要性，合理分配权重，定期优化改进，确保指标精准提高项目效益。</w:t>
      </w:r>
    </w:p>
    <w:p w14:paraId="7BB779FC">
      <w:pPr>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附件：解决东西部协作结余资金安排_射箭镇项目差口资金支出绩效自评表</w:t>
      </w:r>
    </w:p>
    <w:p w14:paraId="40776AEC">
      <w:pPr>
        <w:pStyle w:val="6"/>
        <w:spacing w:before="93"/>
        <w:rPr>
          <w:lang w:val="zh-CN"/>
        </w:rPr>
      </w:pPr>
    </w:p>
    <w:p w14:paraId="4C6FC6D1">
      <w:pPr>
        <w:pStyle w:val="6"/>
        <w:spacing w:before="93"/>
        <w:rPr>
          <w:lang w:val="zh-CN"/>
        </w:rPr>
        <w:sectPr>
          <w:footerReference r:id="rId20" w:type="first"/>
          <w:footerReference r:id="rId19" w:type="default"/>
          <w:pgSz w:w="11906" w:h="16838"/>
          <w:pgMar w:top="2098" w:right="1474" w:bottom="1984" w:left="1587" w:header="851" w:footer="1304" w:gutter="0"/>
          <w:pgNumType w:start="57"/>
          <w:cols w:space="0" w:num="1"/>
          <w:titlePg/>
          <w:docGrid w:type="lines" w:linePitch="312" w:charSpace="0"/>
        </w:sectPr>
      </w:pPr>
    </w:p>
    <w:tbl>
      <w:tblPr>
        <w:tblStyle w:val="16"/>
        <w:tblW w:w="13000" w:type="dxa"/>
        <w:jc w:val="center"/>
        <w:tblLayout w:type="fixed"/>
        <w:tblCellMar>
          <w:top w:w="0" w:type="dxa"/>
          <w:left w:w="108" w:type="dxa"/>
          <w:bottom w:w="0" w:type="dxa"/>
          <w:right w:w="108" w:type="dxa"/>
        </w:tblCellMar>
      </w:tblPr>
      <w:tblGrid>
        <w:gridCol w:w="1480"/>
        <w:gridCol w:w="1290"/>
        <w:gridCol w:w="1485"/>
        <w:gridCol w:w="2400"/>
        <w:gridCol w:w="984"/>
        <w:gridCol w:w="1247"/>
        <w:gridCol w:w="1287"/>
        <w:gridCol w:w="857"/>
        <w:gridCol w:w="1970"/>
      </w:tblGrid>
      <w:tr w14:paraId="6DA34C37">
        <w:tblPrEx>
          <w:tblCellMar>
            <w:top w:w="0" w:type="dxa"/>
            <w:left w:w="108" w:type="dxa"/>
            <w:bottom w:w="0" w:type="dxa"/>
            <w:right w:w="108" w:type="dxa"/>
          </w:tblCellMar>
        </w:tblPrEx>
        <w:trPr>
          <w:trHeight w:val="534" w:hRule="atLeast"/>
          <w:jc w:val="center"/>
        </w:trPr>
        <w:tc>
          <w:tcPr>
            <w:tcW w:w="13000" w:type="dxa"/>
            <w:gridSpan w:val="9"/>
            <w:tcBorders>
              <w:top w:val="nil"/>
              <w:left w:val="nil"/>
              <w:bottom w:val="nil"/>
              <w:right w:val="nil"/>
            </w:tcBorders>
            <w:shd w:val="clear" w:color="auto" w:fill="auto"/>
            <w:vAlign w:val="center"/>
          </w:tcPr>
          <w:p w14:paraId="5E36EC7B">
            <w:pPr>
              <w:widowControl/>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30"/>
                <w:szCs w:val="30"/>
              </w:rPr>
              <w:t>2024年专项预算项目绩效目标完成情况自评表</w:t>
            </w:r>
          </w:p>
        </w:tc>
      </w:tr>
      <w:tr w14:paraId="1D6A7C32">
        <w:tblPrEx>
          <w:tblCellMar>
            <w:top w:w="0" w:type="dxa"/>
            <w:left w:w="108" w:type="dxa"/>
            <w:bottom w:w="0" w:type="dxa"/>
            <w:right w:w="108" w:type="dxa"/>
          </w:tblCellMar>
        </w:tblPrEx>
        <w:trPr>
          <w:trHeight w:val="224" w:hRule="atLeast"/>
          <w:jc w:val="center"/>
        </w:trPr>
        <w:tc>
          <w:tcPr>
            <w:tcW w:w="6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A551E">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544F5">
            <w:pPr>
              <w:widowControl/>
              <w:jc w:val="center"/>
              <w:textAlignment w:val="center"/>
              <w:rPr>
                <w:rFonts w:ascii="宋体" w:hAnsi="宋体" w:cs="宋体"/>
                <w:color w:val="000000"/>
                <w:sz w:val="18"/>
                <w:szCs w:val="18"/>
              </w:rPr>
            </w:pPr>
            <w:r>
              <w:rPr>
                <w:rFonts w:ascii="宋体" w:hAnsi="宋体" w:cs="宋体"/>
                <w:color w:val="000000"/>
                <w:kern w:val="0"/>
                <w:sz w:val="18"/>
                <w:szCs w:val="18"/>
              </w:rPr>
              <w:t>解决东西部协作结余资金安排_射箭镇项目差口资金</w:t>
            </w:r>
          </w:p>
        </w:tc>
      </w:tr>
      <w:tr w14:paraId="08345179">
        <w:tblPrEx>
          <w:tblCellMar>
            <w:top w:w="0" w:type="dxa"/>
            <w:left w:w="108" w:type="dxa"/>
            <w:bottom w:w="0" w:type="dxa"/>
            <w:right w:w="108" w:type="dxa"/>
          </w:tblCellMar>
        </w:tblPrEx>
        <w:trPr>
          <w:trHeight w:val="239" w:hRule="atLeast"/>
          <w:jc w:val="center"/>
        </w:trPr>
        <w:tc>
          <w:tcPr>
            <w:tcW w:w="66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5533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预算单位</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EA6AD">
            <w:pPr>
              <w:widowControl/>
              <w:jc w:val="center"/>
              <w:textAlignment w:val="center"/>
              <w:rPr>
                <w:rFonts w:ascii="宋体" w:hAnsi="宋体" w:cs="宋体"/>
                <w:color w:val="000000"/>
                <w:sz w:val="18"/>
                <w:szCs w:val="18"/>
              </w:rPr>
            </w:pPr>
            <w:r>
              <w:rPr>
                <w:rFonts w:ascii="宋体" w:hAnsi="宋体" w:cs="宋体"/>
                <w:color w:val="000000"/>
                <w:kern w:val="0"/>
                <w:sz w:val="18"/>
                <w:szCs w:val="18"/>
              </w:rPr>
              <w:t>广元市昭化区射箭镇人民政府</w:t>
            </w:r>
          </w:p>
        </w:tc>
      </w:tr>
      <w:tr w14:paraId="7C0E1A00">
        <w:tblPrEx>
          <w:tblCellMar>
            <w:top w:w="0" w:type="dxa"/>
            <w:left w:w="108" w:type="dxa"/>
            <w:bottom w:w="0" w:type="dxa"/>
            <w:right w:w="108" w:type="dxa"/>
          </w:tblCellMar>
        </w:tblPrEx>
        <w:trPr>
          <w:trHeight w:val="209" w:hRule="atLeast"/>
          <w:jc w:val="center"/>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893EE">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项目资金（万元）</w:t>
            </w:r>
          </w:p>
        </w:tc>
        <w:tc>
          <w:tcPr>
            <w:tcW w:w="5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356C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年度资金总额：</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8014A">
            <w:pPr>
              <w:widowControl/>
              <w:jc w:val="center"/>
              <w:textAlignment w:val="center"/>
              <w:rPr>
                <w:rFonts w:ascii="宋体" w:hAnsi="宋体" w:cs="宋体"/>
                <w:color w:val="000000"/>
                <w:sz w:val="18"/>
                <w:szCs w:val="18"/>
              </w:rPr>
            </w:pPr>
            <w:r>
              <w:rPr>
                <w:rFonts w:ascii="宋体" w:hAnsi="宋体" w:cs="宋体"/>
                <w:color w:val="000000"/>
                <w:kern w:val="0"/>
                <w:sz w:val="18"/>
                <w:szCs w:val="18"/>
              </w:rPr>
              <w:t>17.50</w:t>
            </w:r>
          </w:p>
        </w:tc>
      </w:tr>
      <w:tr w14:paraId="1BAF4D4E">
        <w:tblPrEx>
          <w:tblCellMar>
            <w:top w:w="0" w:type="dxa"/>
            <w:left w:w="108" w:type="dxa"/>
            <w:bottom w:w="0" w:type="dxa"/>
            <w:right w:w="108" w:type="dxa"/>
          </w:tblCellMar>
        </w:tblPrEx>
        <w:trPr>
          <w:trHeight w:val="239"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1F7E">
            <w:pPr>
              <w:jc w:val="center"/>
              <w:rPr>
                <w:rFonts w:ascii="宋体" w:hAnsi="宋体" w:cs="宋体"/>
                <w:color w:val="000000"/>
                <w:sz w:val="18"/>
                <w:szCs w:val="18"/>
              </w:rPr>
            </w:pPr>
          </w:p>
        </w:tc>
        <w:tc>
          <w:tcPr>
            <w:tcW w:w="5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7E232">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其中：财政拨款</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3B8D6">
            <w:pPr>
              <w:widowControl/>
              <w:jc w:val="center"/>
              <w:textAlignment w:val="center"/>
              <w:rPr>
                <w:rFonts w:ascii="宋体" w:hAnsi="宋体" w:cs="宋体"/>
                <w:color w:val="000000"/>
                <w:sz w:val="18"/>
                <w:szCs w:val="18"/>
              </w:rPr>
            </w:pPr>
            <w:r>
              <w:rPr>
                <w:rFonts w:ascii="宋体" w:hAnsi="宋体" w:cs="宋体"/>
                <w:color w:val="000000"/>
                <w:kern w:val="0"/>
                <w:sz w:val="18"/>
                <w:szCs w:val="18"/>
              </w:rPr>
              <w:t>17.50</w:t>
            </w:r>
          </w:p>
        </w:tc>
      </w:tr>
      <w:tr w14:paraId="50AF394B">
        <w:tblPrEx>
          <w:tblCellMar>
            <w:top w:w="0" w:type="dxa"/>
            <w:left w:w="108" w:type="dxa"/>
            <w:bottom w:w="0" w:type="dxa"/>
            <w:right w:w="108" w:type="dxa"/>
          </w:tblCellMar>
        </w:tblPrEx>
        <w:trPr>
          <w:trHeight w:val="224"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C32C">
            <w:pPr>
              <w:jc w:val="center"/>
              <w:rPr>
                <w:rFonts w:ascii="宋体" w:hAnsi="宋体" w:cs="宋体"/>
                <w:color w:val="000000"/>
                <w:sz w:val="18"/>
                <w:szCs w:val="18"/>
              </w:rPr>
            </w:pPr>
          </w:p>
        </w:tc>
        <w:tc>
          <w:tcPr>
            <w:tcW w:w="5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6AE9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A659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r>
      <w:tr w14:paraId="50D7451C">
        <w:tblPrEx>
          <w:tblCellMar>
            <w:top w:w="0" w:type="dxa"/>
            <w:left w:w="108" w:type="dxa"/>
            <w:bottom w:w="0" w:type="dxa"/>
            <w:right w:w="108" w:type="dxa"/>
          </w:tblCellMar>
        </w:tblPrEx>
        <w:trPr>
          <w:trHeight w:val="179" w:hRule="atLeast"/>
          <w:jc w:val="center"/>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0DEC4">
            <w:pPr>
              <w:widowControl/>
              <w:jc w:val="center"/>
              <w:textAlignment w:val="center"/>
              <w:rPr>
                <w:rFonts w:ascii="宋体" w:hAnsi="宋体" w:cs="宋体"/>
                <w:color w:val="000000"/>
                <w:sz w:val="18"/>
                <w:szCs w:val="18"/>
              </w:rPr>
            </w:pPr>
            <w:r>
              <w:rPr>
                <w:rFonts w:ascii="宋体" w:hAnsi="宋体" w:cs="宋体"/>
                <w:color w:val="000000"/>
                <w:kern w:val="0"/>
                <w:sz w:val="18"/>
                <w:szCs w:val="18"/>
              </w:rPr>
              <w:t>总 体 目 标</w:t>
            </w:r>
          </w:p>
        </w:tc>
        <w:tc>
          <w:tcPr>
            <w:tcW w:w="11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946A5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年度目标</w:t>
            </w:r>
          </w:p>
        </w:tc>
      </w:tr>
      <w:tr w14:paraId="06174E58">
        <w:tblPrEx>
          <w:tblCellMar>
            <w:top w:w="0" w:type="dxa"/>
            <w:left w:w="108" w:type="dxa"/>
            <w:bottom w:w="0" w:type="dxa"/>
            <w:right w:w="108" w:type="dxa"/>
          </w:tblCellMar>
        </w:tblPrEx>
        <w:trPr>
          <w:trHeight w:val="754"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912F">
            <w:pPr>
              <w:jc w:val="center"/>
              <w:rPr>
                <w:rFonts w:ascii="宋体" w:hAnsi="宋体" w:cs="宋体"/>
                <w:color w:val="000000"/>
                <w:sz w:val="18"/>
                <w:szCs w:val="18"/>
              </w:rPr>
            </w:pPr>
          </w:p>
        </w:tc>
        <w:tc>
          <w:tcPr>
            <w:tcW w:w="115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E3C6C7">
            <w:pPr>
              <w:widowControl/>
              <w:jc w:val="left"/>
              <w:textAlignment w:val="center"/>
              <w:rPr>
                <w:rFonts w:ascii="宋体" w:hAnsi="宋体" w:cs="宋体"/>
                <w:color w:val="000000"/>
                <w:sz w:val="18"/>
                <w:szCs w:val="18"/>
              </w:rPr>
            </w:pPr>
            <w:r>
              <w:rPr>
                <w:rFonts w:ascii="宋体" w:hAnsi="宋体" w:cs="宋体"/>
                <w:color w:val="000000"/>
                <w:kern w:val="0"/>
                <w:sz w:val="18"/>
                <w:szCs w:val="18"/>
              </w:rPr>
              <w:t>根据我单位2023年度所实施的东西部协作财政帮扶项目，即1.冻库搬迁改造项目尾款3.6561万元；2.提阳社区农贸市场附属项目13.845466万元，以上各项目已完成所有建设任务、验收和审计。因2023年底财政决算将未支付完的指标收回金库，为保障实现及时支付以上项目差口的资金，进一步推动我镇乡村振兴各项事业高速发展。</w:t>
            </w:r>
          </w:p>
        </w:tc>
      </w:tr>
      <w:tr w14:paraId="266CC6F9">
        <w:tblPrEx>
          <w:tblCellMar>
            <w:top w:w="0" w:type="dxa"/>
            <w:left w:w="108" w:type="dxa"/>
            <w:bottom w:w="0" w:type="dxa"/>
            <w:right w:w="108" w:type="dxa"/>
          </w:tblCellMar>
        </w:tblPrEx>
        <w:trPr>
          <w:trHeight w:val="513" w:hRule="atLeast"/>
          <w:jc w:val="center"/>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CFEC">
            <w:pPr>
              <w:widowControl/>
              <w:jc w:val="center"/>
              <w:textAlignment w:val="center"/>
              <w:rPr>
                <w:rFonts w:ascii="宋体" w:hAnsi="宋体" w:cs="宋体"/>
                <w:color w:val="000000"/>
                <w:sz w:val="18"/>
                <w:szCs w:val="18"/>
              </w:rPr>
            </w:pPr>
            <w:r>
              <w:rPr>
                <w:rFonts w:ascii="宋体" w:hAnsi="宋体" w:cs="宋体"/>
                <w:color w:val="000000"/>
                <w:kern w:val="0"/>
                <w:sz w:val="18"/>
                <w:szCs w:val="18"/>
              </w:rPr>
              <w:t>绩 效 指 标</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43DC3C61">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19C4">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2F11">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743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2E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E2C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63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034">
            <w:pPr>
              <w:widowControl/>
              <w:jc w:val="center"/>
              <w:textAlignment w:val="center"/>
              <w:rPr>
                <w:rFonts w:ascii="宋体" w:hAnsi="宋体" w:cs="宋体"/>
                <w:color w:val="000000"/>
                <w:sz w:val="18"/>
                <w:szCs w:val="18"/>
              </w:rPr>
            </w:pPr>
            <w:r>
              <w:rPr>
                <w:rFonts w:ascii="宋体" w:hAnsi="宋体" w:cs="宋体"/>
                <w:color w:val="000000"/>
                <w:kern w:val="0"/>
                <w:sz w:val="18"/>
                <w:szCs w:val="18"/>
              </w:rPr>
              <w:t>实际完成指标值</w:t>
            </w:r>
          </w:p>
        </w:tc>
      </w:tr>
      <w:tr w14:paraId="7B74F84C">
        <w:tblPrEx>
          <w:tblCellMar>
            <w:top w:w="0" w:type="dxa"/>
            <w:left w:w="108" w:type="dxa"/>
            <w:bottom w:w="0" w:type="dxa"/>
            <w:right w:w="108" w:type="dxa"/>
          </w:tblCellMar>
        </w:tblPrEx>
        <w:trPr>
          <w:trHeight w:val="279"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4D84D">
            <w:pPr>
              <w:jc w:val="center"/>
              <w:rPr>
                <w:rFonts w:ascii="宋体" w:hAnsi="宋体" w:cs="宋体"/>
                <w:color w:val="000000"/>
                <w:sz w:val="18"/>
                <w:szCs w:val="18"/>
              </w:rPr>
            </w:pPr>
          </w:p>
        </w:tc>
        <w:tc>
          <w:tcPr>
            <w:tcW w:w="1290" w:type="dxa"/>
            <w:vMerge w:val="restart"/>
            <w:tcBorders>
              <w:top w:val="single" w:color="000000" w:sz="4" w:space="0"/>
              <w:left w:val="nil"/>
              <w:bottom w:val="single" w:color="000000" w:sz="4" w:space="0"/>
              <w:right w:val="single" w:color="000000" w:sz="4" w:space="0"/>
            </w:tcBorders>
            <w:shd w:val="clear" w:color="auto" w:fill="auto"/>
            <w:vAlign w:val="center"/>
          </w:tcPr>
          <w:p w14:paraId="64BB5775">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6E1BC">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2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冷库搬迁改造面积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7F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CD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A8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平方米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29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48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375平方米</w:t>
            </w:r>
          </w:p>
        </w:tc>
      </w:tr>
      <w:tr w14:paraId="4FD28383">
        <w:tblPrEx>
          <w:tblCellMar>
            <w:top w:w="0" w:type="dxa"/>
            <w:left w:w="108" w:type="dxa"/>
            <w:bottom w:w="0" w:type="dxa"/>
            <w:right w:w="108" w:type="dxa"/>
          </w:tblCellMar>
        </w:tblPrEx>
        <w:trPr>
          <w:trHeight w:val="294"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C8F5">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0BE4E77C">
            <w:pPr>
              <w:jc w:val="center"/>
              <w:rPr>
                <w:rFonts w:ascii="宋体" w:hAnsi="宋体" w:cs="宋体"/>
                <w:color w:val="000000"/>
                <w:sz w:val="18"/>
                <w:szCs w:val="1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6390">
            <w:pPr>
              <w:jc w:val="center"/>
              <w:rPr>
                <w:rFonts w:ascii="宋体" w:hAnsi="宋体" w:cs="宋体"/>
                <w:color w:val="000000"/>
                <w:sz w:val="18"/>
                <w:szCs w:val="18"/>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C8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道路补烂公里数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09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24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0.678</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58B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公里</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44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987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0.678公里</w:t>
            </w:r>
          </w:p>
        </w:tc>
      </w:tr>
      <w:tr w14:paraId="23C9AD95">
        <w:tblPrEx>
          <w:tblCellMar>
            <w:top w:w="0" w:type="dxa"/>
            <w:left w:w="108" w:type="dxa"/>
            <w:bottom w:w="0" w:type="dxa"/>
            <w:right w:w="108" w:type="dxa"/>
          </w:tblCellMar>
        </w:tblPrEx>
        <w:trPr>
          <w:trHeight w:val="339"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FACB">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1BD76010">
            <w:pPr>
              <w:jc w:val="center"/>
              <w:rPr>
                <w:rFonts w:ascii="宋体" w:hAnsi="宋体" w:cs="宋体"/>
                <w:color w:val="000000"/>
                <w:sz w:val="18"/>
                <w:szCs w:val="1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17F72">
            <w:pPr>
              <w:jc w:val="center"/>
              <w:rPr>
                <w:rFonts w:ascii="宋体" w:hAnsi="宋体" w:cs="宋体"/>
                <w:color w:val="000000"/>
                <w:sz w:val="18"/>
                <w:szCs w:val="18"/>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E2A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更换污水井盖</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CAA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6BF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02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F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257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8套</w:t>
            </w:r>
          </w:p>
        </w:tc>
      </w:tr>
      <w:tr w14:paraId="5187B123">
        <w:tblPrEx>
          <w:tblCellMar>
            <w:top w:w="0" w:type="dxa"/>
            <w:left w:w="108" w:type="dxa"/>
            <w:bottom w:w="0" w:type="dxa"/>
            <w:right w:w="108" w:type="dxa"/>
          </w:tblCellMar>
        </w:tblPrEx>
        <w:trPr>
          <w:trHeight w:val="204"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3D10">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02FCACD2">
            <w:pPr>
              <w:jc w:val="center"/>
              <w:rPr>
                <w:rFonts w:ascii="宋体" w:hAnsi="宋体" w:cs="宋体"/>
                <w:color w:val="000000"/>
                <w:sz w:val="18"/>
                <w:szCs w:val="1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FFC8">
            <w:pPr>
              <w:jc w:val="center"/>
              <w:rPr>
                <w:rFonts w:ascii="宋体" w:hAnsi="宋体" w:cs="宋体"/>
                <w:color w:val="000000"/>
                <w:sz w:val="18"/>
                <w:szCs w:val="18"/>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A7B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更换路沿石</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9ED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BB4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A1A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米</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0D2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AF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50米</w:t>
            </w:r>
          </w:p>
        </w:tc>
      </w:tr>
      <w:tr w14:paraId="5B078CF8">
        <w:tblPrEx>
          <w:tblCellMar>
            <w:top w:w="0" w:type="dxa"/>
            <w:left w:w="108" w:type="dxa"/>
            <w:bottom w:w="0" w:type="dxa"/>
            <w:right w:w="108" w:type="dxa"/>
          </w:tblCellMar>
        </w:tblPrEx>
        <w:trPr>
          <w:trHeight w:val="279"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9AAA">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61259947">
            <w:pPr>
              <w:jc w:val="center"/>
              <w:rPr>
                <w:rFonts w:ascii="宋体" w:hAnsi="宋体" w:cs="宋体"/>
                <w:color w:val="000000"/>
                <w:sz w:val="18"/>
                <w:szCs w:val="1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D832">
            <w:pPr>
              <w:jc w:val="center"/>
              <w:rPr>
                <w:rFonts w:ascii="宋体" w:hAnsi="宋体" w:cs="宋体"/>
                <w:color w:val="000000"/>
                <w:sz w:val="18"/>
                <w:szCs w:val="18"/>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C3C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安装限高杆</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709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5BE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75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4C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6BB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2套</w:t>
            </w:r>
          </w:p>
        </w:tc>
      </w:tr>
      <w:tr w14:paraId="49CC62F9">
        <w:tblPrEx>
          <w:tblCellMar>
            <w:top w:w="0" w:type="dxa"/>
            <w:left w:w="108" w:type="dxa"/>
            <w:bottom w:w="0" w:type="dxa"/>
            <w:right w:w="108" w:type="dxa"/>
          </w:tblCellMar>
        </w:tblPrEx>
        <w:trPr>
          <w:trHeight w:val="608"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D9BD">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301534FC">
            <w:pPr>
              <w:jc w:val="center"/>
              <w:rPr>
                <w:rFonts w:ascii="宋体" w:hAnsi="宋体" w:cs="宋体"/>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E68D">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F6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按项目实施各项指标完成准确达标率</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188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A1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F5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0B6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A7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r>
      <w:tr w14:paraId="400A8C82">
        <w:tblPrEx>
          <w:tblCellMar>
            <w:top w:w="0" w:type="dxa"/>
            <w:left w:w="108" w:type="dxa"/>
            <w:bottom w:w="0" w:type="dxa"/>
            <w:right w:w="108" w:type="dxa"/>
          </w:tblCellMar>
        </w:tblPrEx>
        <w:trPr>
          <w:trHeight w:val="268"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9E11">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15B199AA">
            <w:pPr>
              <w:jc w:val="center"/>
              <w:rPr>
                <w:rFonts w:ascii="宋体" w:hAnsi="宋体" w:cs="宋体"/>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3CE7">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2F7A">
            <w:pPr>
              <w:widowControl/>
              <w:textAlignment w:val="center"/>
              <w:rPr>
                <w:rFonts w:ascii="宋体" w:hAnsi="宋体" w:cs="宋体"/>
                <w:color w:val="000000"/>
                <w:sz w:val="18"/>
                <w:szCs w:val="18"/>
              </w:rPr>
            </w:pPr>
            <w:r>
              <w:rPr>
                <w:rFonts w:hint="eastAsia" w:ascii="宋体" w:hAnsi="宋体" w:cs="宋体"/>
                <w:color w:val="000000"/>
                <w:kern w:val="0"/>
                <w:sz w:val="18"/>
                <w:szCs w:val="18"/>
              </w:rPr>
              <w:t>严格合同协议时间点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9CD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DF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239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天</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06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9B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60天</w:t>
            </w:r>
          </w:p>
        </w:tc>
      </w:tr>
      <w:tr w14:paraId="69A5FE7F">
        <w:tblPrEx>
          <w:tblCellMar>
            <w:top w:w="0" w:type="dxa"/>
            <w:left w:w="108" w:type="dxa"/>
            <w:bottom w:w="0" w:type="dxa"/>
            <w:right w:w="108" w:type="dxa"/>
          </w:tblCellMar>
        </w:tblPrEx>
        <w:trPr>
          <w:trHeight w:val="466"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57D5">
            <w:pPr>
              <w:jc w:val="center"/>
              <w:rPr>
                <w:rFonts w:ascii="宋体" w:hAnsi="宋体" w:cs="宋体"/>
                <w:color w:val="000000"/>
                <w:sz w:val="18"/>
                <w:szCs w:val="18"/>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2F400BB4">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575">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DF6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冻库的搬迁改造有效解决射箭果蔬菜保鲜等作用。</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66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99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有效</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C445">
            <w:pPr>
              <w:jc w:val="center"/>
              <w:rPr>
                <w:rFonts w:ascii="宋体" w:hAnsi="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FF1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705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有效</w:t>
            </w:r>
          </w:p>
        </w:tc>
      </w:tr>
      <w:tr w14:paraId="0B9BA543">
        <w:tblPrEx>
          <w:tblCellMar>
            <w:top w:w="0" w:type="dxa"/>
            <w:left w:w="108" w:type="dxa"/>
            <w:bottom w:w="0" w:type="dxa"/>
            <w:right w:w="108" w:type="dxa"/>
          </w:tblCellMar>
        </w:tblPrEx>
        <w:trPr>
          <w:trHeight w:val="285"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0268">
            <w:pPr>
              <w:jc w:val="center"/>
              <w:rPr>
                <w:rFonts w:ascii="宋体" w:hAnsi="宋体" w:cs="宋体"/>
                <w:color w:val="000000"/>
                <w:sz w:val="18"/>
                <w:szCs w:val="18"/>
              </w:rPr>
            </w:pPr>
          </w:p>
        </w:tc>
        <w:tc>
          <w:tcPr>
            <w:tcW w:w="1290" w:type="dxa"/>
            <w:tcBorders>
              <w:top w:val="single" w:color="000000" w:sz="4" w:space="0"/>
              <w:left w:val="nil"/>
              <w:bottom w:val="nil"/>
              <w:right w:val="single" w:color="000000" w:sz="4" w:space="0"/>
            </w:tcBorders>
            <w:shd w:val="clear" w:color="auto" w:fill="auto"/>
            <w:vAlign w:val="center"/>
          </w:tcPr>
          <w:p w14:paraId="5B5E588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485" w:type="dxa"/>
            <w:tcBorders>
              <w:top w:val="single" w:color="000000" w:sz="4" w:space="0"/>
              <w:left w:val="single" w:color="000000" w:sz="4" w:space="0"/>
              <w:bottom w:val="nil"/>
              <w:right w:val="single" w:color="000000" w:sz="4" w:space="0"/>
            </w:tcBorders>
            <w:shd w:val="clear" w:color="auto" w:fill="auto"/>
            <w:vAlign w:val="center"/>
          </w:tcPr>
          <w:p w14:paraId="3D52D0E8">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33A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居民群众满意度</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5B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355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BE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91A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7F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r>
      <w:tr w14:paraId="3D80F526">
        <w:tblPrEx>
          <w:tblCellMar>
            <w:top w:w="0" w:type="dxa"/>
            <w:left w:w="108" w:type="dxa"/>
            <w:bottom w:w="0" w:type="dxa"/>
            <w:right w:w="108" w:type="dxa"/>
          </w:tblCellMar>
        </w:tblPrEx>
        <w:trPr>
          <w:trHeight w:val="320"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01B3">
            <w:pPr>
              <w:jc w:val="center"/>
              <w:rPr>
                <w:rFonts w:ascii="宋体" w:hAnsi="宋体" w:cs="宋体"/>
                <w:color w:val="000000"/>
                <w:sz w:val="18"/>
                <w:szCs w:val="18"/>
              </w:rPr>
            </w:pPr>
          </w:p>
        </w:tc>
        <w:tc>
          <w:tcPr>
            <w:tcW w:w="1290" w:type="dxa"/>
            <w:vMerge w:val="restart"/>
            <w:tcBorders>
              <w:top w:val="single" w:color="000000" w:sz="4" w:space="0"/>
              <w:left w:val="nil"/>
              <w:bottom w:val="single" w:color="000000" w:sz="4" w:space="0"/>
              <w:right w:val="single" w:color="000000" w:sz="4" w:space="0"/>
            </w:tcBorders>
            <w:shd w:val="clear" w:color="auto" w:fill="auto"/>
            <w:vAlign w:val="center"/>
          </w:tcPr>
          <w:p w14:paraId="0A821EA9">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E88D">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CD6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冻库搬迁改造项目差口</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B4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92D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3.6561</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A7D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2E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0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3.6561万元</w:t>
            </w:r>
          </w:p>
        </w:tc>
      </w:tr>
      <w:tr w14:paraId="51E2969A">
        <w:tblPrEx>
          <w:tblCellMar>
            <w:top w:w="0" w:type="dxa"/>
            <w:left w:w="108" w:type="dxa"/>
            <w:bottom w:w="0" w:type="dxa"/>
            <w:right w:w="108" w:type="dxa"/>
          </w:tblCellMar>
        </w:tblPrEx>
        <w:trPr>
          <w:trHeight w:val="203"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C9CC">
            <w:pPr>
              <w:jc w:val="center"/>
              <w:rPr>
                <w:rFonts w:ascii="宋体" w:hAnsi="宋体" w:cs="宋体"/>
                <w:color w:val="000000"/>
                <w:sz w:val="18"/>
                <w:szCs w:val="18"/>
              </w:rPr>
            </w:pPr>
          </w:p>
        </w:tc>
        <w:tc>
          <w:tcPr>
            <w:tcW w:w="1290" w:type="dxa"/>
            <w:vMerge w:val="continue"/>
            <w:tcBorders>
              <w:top w:val="single" w:color="000000" w:sz="4" w:space="0"/>
              <w:left w:val="nil"/>
              <w:bottom w:val="single" w:color="000000" w:sz="4" w:space="0"/>
              <w:right w:val="single" w:color="000000" w:sz="4" w:space="0"/>
            </w:tcBorders>
            <w:shd w:val="clear" w:color="auto" w:fill="auto"/>
            <w:vAlign w:val="center"/>
          </w:tcPr>
          <w:p w14:paraId="76E36E45">
            <w:pPr>
              <w:jc w:val="center"/>
              <w:rPr>
                <w:rFonts w:ascii="宋体" w:hAnsi="宋体" w:cs="宋体"/>
                <w:color w:val="000000"/>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D79D">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1D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农贸市场附属项目差口</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AF3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C51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13.845466</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DA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EC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E1F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13.845466万元</w:t>
            </w:r>
          </w:p>
        </w:tc>
      </w:tr>
    </w:tbl>
    <w:p w14:paraId="1A81AEE9">
      <w:pPr>
        <w:overflowPunct w:val="0"/>
        <w:topLinePunct/>
        <w:autoSpaceDE w:val="0"/>
        <w:autoSpaceDN w:val="0"/>
        <w:spacing w:line="578" w:lineRule="exact"/>
        <w:ind w:firstLine="640"/>
        <w:rPr>
          <w:rFonts w:eastAsia="仿宋_GB2312" w:cs="仿宋_GB2312"/>
          <w:kern w:val="0"/>
          <w:sz w:val="32"/>
          <w:szCs w:val="32"/>
        </w:rPr>
        <w:sectPr>
          <w:footerReference r:id="rId22" w:type="first"/>
          <w:footerReference r:id="rId21" w:type="default"/>
          <w:pgSz w:w="16838" w:h="11906" w:orient="landscape"/>
          <w:pgMar w:top="1587" w:right="2098" w:bottom="1474" w:left="1984" w:header="851" w:footer="1304" w:gutter="0"/>
          <w:pgNumType w:start="65"/>
          <w:cols w:space="0" w:num="1"/>
          <w:titlePg/>
          <w:docGrid w:type="lines" w:linePitch="312" w:charSpace="0"/>
        </w:sectPr>
      </w:pPr>
    </w:p>
    <w:p w14:paraId="33BE1834">
      <w:pPr>
        <w:overflowPunct w:val="0"/>
        <w:topLinePunct/>
        <w:autoSpaceDE w:val="0"/>
        <w:autoSpaceDN w:val="0"/>
        <w:spacing w:line="240" w:lineRule="atLeas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第五部分  附表</w:t>
      </w:r>
      <w:bookmarkEnd w:id="40"/>
      <w:bookmarkEnd w:id="41"/>
      <w:bookmarkStart w:id="42" w:name="_Toc15396619"/>
    </w:p>
    <w:p w14:paraId="0379292B">
      <w:pPr>
        <w:pStyle w:val="15"/>
        <w:overflowPunct w:val="0"/>
        <w:topLinePunct/>
        <w:autoSpaceDE w:val="0"/>
        <w:autoSpaceDN w:val="0"/>
        <w:adjustRightInd w:val="0"/>
        <w:snapToGrid w:val="0"/>
        <w:spacing w:line="560" w:lineRule="exact"/>
        <w:jc w:val="left"/>
        <w:rPr>
          <w:rFonts w:eastAsia="仿宋_GB2312" w:cs="仿宋_GB2312"/>
          <w:sz w:val="32"/>
          <w:szCs w:val="32"/>
        </w:rPr>
      </w:pPr>
    </w:p>
    <w:p w14:paraId="2CE7F4E8">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42"/>
    </w:p>
    <w:p w14:paraId="18853130">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3" w:name="_Toc15396620"/>
      <w:r>
        <w:rPr>
          <w:rFonts w:hint="eastAsia" w:ascii="仿宋_GB2312" w:hAnsi="仿宋_GB2312" w:eastAsia="仿宋_GB2312" w:cs="仿宋_GB2312"/>
          <w:sz w:val="32"/>
          <w:szCs w:val="32"/>
        </w:rPr>
        <w:t>二、收入决算表</w:t>
      </w:r>
      <w:bookmarkEnd w:id="43"/>
    </w:p>
    <w:p w14:paraId="169107F7">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4" w:name="_Toc15396621"/>
      <w:r>
        <w:rPr>
          <w:rFonts w:hint="eastAsia" w:ascii="仿宋_GB2312" w:hAnsi="仿宋_GB2312" w:eastAsia="仿宋_GB2312" w:cs="仿宋_GB2312"/>
          <w:sz w:val="32"/>
          <w:szCs w:val="32"/>
        </w:rPr>
        <w:t>三、支出决算表</w:t>
      </w:r>
      <w:bookmarkEnd w:id="44"/>
    </w:p>
    <w:p w14:paraId="5665A36C">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5" w:name="_Toc15396622"/>
      <w:r>
        <w:rPr>
          <w:rFonts w:hint="eastAsia" w:ascii="仿宋_GB2312" w:hAnsi="仿宋_GB2312" w:eastAsia="仿宋_GB2312" w:cs="仿宋_GB2312"/>
          <w:sz w:val="32"/>
          <w:szCs w:val="32"/>
        </w:rPr>
        <w:t>四、财政拨款收入支出决算总表</w:t>
      </w:r>
      <w:bookmarkEnd w:id="45"/>
    </w:p>
    <w:p w14:paraId="3549611C">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6" w:name="_Toc15396623"/>
      <w:r>
        <w:rPr>
          <w:rFonts w:hint="eastAsia" w:ascii="仿宋_GB2312" w:hAnsi="仿宋_GB2312" w:eastAsia="仿宋_GB2312" w:cs="仿宋_GB2312"/>
          <w:sz w:val="32"/>
          <w:szCs w:val="32"/>
        </w:rPr>
        <w:t>五、财政拨款支出决算明细表</w:t>
      </w:r>
      <w:bookmarkEnd w:id="46"/>
      <w:bookmarkStart w:id="47" w:name="_Toc15396624"/>
    </w:p>
    <w:p w14:paraId="5BD64302">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47"/>
    </w:p>
    <w:p w14:paraId="09B9C78F">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8" w:name="_Toc15396625"/>
      <w:r>
        <w:rPr>
          <w:rFonts w:hint="eastAsia" w:ascii="仿宋_GB2312" w:hAnsi="仿宋_GB2312" w:eastAsia="仿宋_GB2312" w:cs="仿宋_GB2312"/>
          <w:sz w:val="32"/>
          <w:szCs w:val="32"/>
        </w:rPr>
        <w:t>七、一般公共预算财政拨款支出决算明细表</w:t>
      </w:r>
      <w:bookmarkEnd w:id="48"/>
    </w:p>
    <w:p w14:paraId="1DA52DFE">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49" w:name="_Toc15396626"/>
      <w:r>
        <w:rPr>
          <w:rFonts w:hint="eastAsia" w:ascii="仿宋_GB2312" w:hAnsi="仿宋_GB2312" w:eastAsia="仿宋_GB2312" w:cs="仿宋_GB2312"/>
          <w:sz w:val="32"/>
          <w:szCs w:val="32"/>
        </w:rPr>
        <w:t>八、一般公共预算财政拨款基本支出决算表</w:t>
      </w:r>
      <w:bookmarkEnd w:id="49"/>
    </w:p>
    <w:p w14:paraId="5D75ABF1">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50" w:name="_Toc15396627"/>
      <w:r>
        <w:rPr>
          <w:rFonts w:hint="eastAsia" w:ascii="仿宋_GB2312" w:hAnsi="仿宋_GB2312" w:eastAsia="仿宋_GB2312" w:cs="仿宋_GB2312"/>
          <w:sz w:val="32"/>
          <w:szCs w:val="32"/>
        </w:rPr>
        <w:t>九、一般公共预算财政拨款项目支出决算表</w:t>
      </w:r>
      <w:bookmarkEnd w:id="50"/>
    </w:p>
    <w:p w14:paraId="3A6C2391">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51" w:name="_Toc15396628"/>
      <w:r>
        <w:rPr>
          <w:rFonts w:hint="eastAsia" w:ascii="仿宋_GB2312" w:hAnsi="仿宋_GB2312" w:eastAsia="仿宋_GB2312" w:cs="仿宋_GB2312"/>
          <w:sz w:val="32"/>
          <w:szCs w:val="32"/>
        </w:rPr>
        <w:t>十、</w:t>
      </w:r>
      <w:bookmarkEnd w:id="51"/>
      <w:r>
        <w:rPr>
          <w:rFonts w:hint="eastAsia" w:ascii="仿宋_GB2312" w:hAnsi="仿宋_GB2312" w:eastAsia="仿宋_GB2312" w:cs="仿宋_GB2312"/>
          <w:sz w:val="32"/>
          <w:szCs w:val="32"/>
        </w:rPr>
        <w:t>政府性基金预算财政拨款收入支出决算表</w:t>
      </w:r>
    </w:p>
    <w:p w14:paraId="762AC245">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52" w:name="_Toc15396629"/>
      <w:r>
        <w:rPr>
          <w:rFonts w:hint="eastAsia" w:ascii="仿宋_GB2312" w:hAnsi="仿宋_GB2312" w:eastAsia="仿宋_GB2312" w:cs="仿宋_GB2312"/>
          <w:sz w:val="32"/>
          <w:szCs w:val="32"/>
        </w:rPr>
        <w:t>十一、</w:t>
      </w:r>
      <w:bookmarkEnd w:id="52"/>
      <w:r>
        <w:rPr>
          <w:rFonts w:hint="eastAsia" w:ascii="仿宋_GB2312" w:hAnsi="仿宋_GB2312" w:eastAsia="仿宋_GB2312" w:cs="仿宋_GB2312"/>
          <w:sz w:val="32"/>
          <w:szCs w:val="32"/>
        </w:rPr>
        <w:t>国有资本经营预算财政拨款收入支出决算表</w:t>
      </w:r>
    </w:p>
    <w:p w14:paraId="11B52A8A">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53" w:name="_Toc15396630"/>
      <w:r>
        <w:rPr>
          <w:rFonts w:hint="eastAsia" w:ascii="仿宋_GB2312" w:hAnsi="仿宋_GB2312" w:eastAsia="仿宋_GB2312" w:cs="仿宋_GB2312"/>
          <w:sz w:val="32"/>
          <w:szCs w:val="32"/>
        </w:rPr>
        <w:t>十二、</w:t>
      </w:r>
      <w:bookmarkEnd w:id="53"/>
      <w:r>
        <w:rPr>
          <w:rFonts w:hint="eastAsia" w:ascii="仿宋_GB2312" w:hAnsi="仿宋_GB2312" w:eastAsia="仿宋_GB2312" w:cs="仿宋_GB2312"/>
          <w:sz w:val="32"/>
          <w:szCs w:val="32"/>
        </w:rPr>
        <w:t>国有资本经营预算财政拨款支出决算表</w:t>
      </w:r>
    </w:p>
    <w:p w14:paraId="307D323C">
      <w:pPr>
        <w:pStyle w:val="15"/>
        <w:overflowPunct w:val="0"/>
        <w:topLinePunct/>
        <w:autoSpaceDE w:val="0"/>
        <w:autoSpaceDN w:val="0"/>
        <w:adjustRightInd w:val="0"/>
        <w:snapToGrid w:val="0"/>
        <w:spacing w:line="576" w:lineRule="exact"/>
        <w:ind w:left="0" w:leftChars="0" w:firstLine="640" w:firstLineChars="200"/>
        <w:jc w:val="left"/>
        <w:rPr>
          <w:rFonts w:ascii="仿宋_GB2312" w:hAnsi="仿宋_GB2312" w:eastAsia="仿宋_GB2312" w:cs="仿宋_GB2312"/>
          <w:sz w:val="32"/>
          <w:szCs w:val="32"/>
        </w:rPr>
      </w:pPr>
      <w:bookmarkStart w:id="54" w:name="_Toc15396631"/>
      <w:r>
        <w:rPr>
          <w:rFonts w:hint="eastAsia" w:ascii="仿宋_GB2312" w:hAnsi="仿宋_GB2312" w:eastAsia="仿宋_GB2312" w:cs="仿宋_GB2312"/>
          <w:sz w:val="32"/>
          <w:szCs w:val="32"/>
        </w:rPr>
        <w:t>十三、</w:t>
      </w:r>
      <w:bookmarkEnd w:id="54"/>
      <w:r>
        <w:rPr>
          <w:rFonts w:hint="eastAsia" w:ascii="仿宋_GB2312" w:hAnsi="仿宋_GB2312" w:eastAsia="仿宋_GB2312" w:cs="仿宋_GB2312"/>
          <w:sz w:val="32"/>
          <w:szCs w:val="32"/>
        </w:rPr>
        <w:t>财政拨款“三公”经费支出决算表</w:t>
      </w:r>
    </w:p>
    <w:sectPr>
      <w:footerReference r:id="rId24" w:type="first"/>
      <w:footerReference r:id="rId23" w:type="default"/>
      <w:pgSz w:w="11906" w:h="16838"/>
      <w:pgMar w:top="2098" w:right="1474" w:bottom="1984" w:left="1587" w:header="851" w:footer="1304" w:gutter="0"/>
      <w:pgNumType w:start="66"/>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E781">
    <w:pPr>
      <w:pStyle w:val="11"/>
      <w:jc w:val="center"/>
    </w:pPr>
    <w:r>
      <w:pict>
        <v:shape id="_x0000_s1029" o:spid="_x0000_s1029" o:spt="202" type="#_x0000_t202" style="position:absolute;left:0pt;margin-top:-8.35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14:paraId="73ABFB3D">
                <w:pPr>
                  <w:pStyle w:val="11"/>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p w14:paraId="19C5F24D">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F1D9">
    <w:pPr>
      <w:pStyle w:val="11"/>
      <w:jc w:val="center"/>
    </w:pPr>
    <w:r>
      <w:pict>
        <v:shape id="_x0000_s1034" o:spid="_x0000_s1034" o:spt="202" type="#_x0000_t202" style="position:absolute;left:0pt;margin-top:-8.35pt;height:144pt;width:144pt;mso-position-horizontal:outside;mso-position-horizontal-relative:margin;mso-wrap-style:none;z-index:251668480;mso-width-relative:page;mso-height-relative:page;" filled="f" stroked="f" coordsize="21600,21600">
          <v:path/>
          <v:fill on="f" focussize="0,0"/>
          <v:stroke on="f" weight="0.5pt" joinstyle="miter"/>
          <v:imagedata o:title=""/>
          <o:lock v:ext="edit"/>
          <v:textbox inset="0mm,0mm,0mm,0mm" style="mso-fit-shape-to-text:t;">
            <w:txbxContent>
              <w:p w14:paraId="44256BAD">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2B66EF45">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FC640">
    <w:pPr>
      <w:pStyle w:val="11"/>
    </w:pPr>
    <w:r>
      <w:pict>
        <v:shape id="_x0000_s1035" o:spid="_x0000_s1035" o:spt="202" type="#_x0000_t202" style="position:absolute;left:0pt;margin-top:-8.35pt;height:144pt;width:144pt;mso-position-horizontal:outside;mso-position-horizontal-relative:margin;mso-wrap-style:none;z-index:251669504;mso-width-relative:page;mso-height-relative:page;" filled="f" stroked="f" coordsize="21600,21600">
          <v:path/>
          <v:fill on="f" focussize="0,0"/>
          <v:stroke on="f" weight="0.5pt" joinstyle="miter"/>
          <v:imagedata o:title=""/>
          <o:lock v:ext="edit"/>
          <v:textbox inset="0mm,0mm,0mm,0mm" style="mso-fit-shape-to-text:t;">
            <w:txbxContent>
              <w:p w14:paraId="2F632D69">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47</w:t>
                </w:r>
                <w:r>
                  <w:rPr>
                    <w:sz w:val="28"/>
                    <w:szCs w:val="28"/>
                  </w:rPr>
                  <w:fldChar w:fldCharType="end"/>
                </w:r>
                <w:r>
                  <w:rPr>
                    <w:sz w:val="28"/>
                    <w:szCs w:val="2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3C302">
    <w:pPr>
      <w:pStyle w:val="11"/>
      <w:jc w:val="center"/>
    </w:pPr>
    <w:r>
      <w:pict>
        <v:shape id="_x0000_s1036" o:spid="_x0000_s1036" o:spt="202" type="#_x0000_t202" style="position:absolute;left:0pt;margin-top:-8.35pt;height:144pt;width:144pt;mso-position-horizontal:outside;mso-position-horizontal-relative:margin;mso-wrap-style:none;z-index:251670528;mso-width-relative:page;mso-height-relative:page;" filled="f" stroked="f" coordsize="21600,21600">
          <v:path/>
          <v:fill on="f" focussize="0,0"/>
          <v:stroke on="f" weight="0.5pt" joinstyle="miter"/>
          <v:imagedata o:title=""/>
          <o:lock v:ext="edit"/>
          <v:textbox inset="0mm,0mm,0mm,0mm" style="mso-fit-shape-to-text:t;">
            <w:txbxContent>
              <w:p w14:paraId="18246C1E">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2825A4F2">
    <w:pPr>
      <w:pStyle w:val="1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A01A">
    <w:pPr>
      <w:pStyle w:val="11"/>
    </w:pPr>
    <w:r>
      <w:pict>
        <v:shape id="_x0000_s1037" o:spid="_x0000_s1037" o:spt="202" type="#_x0000_t202" style="position:absolute;left:0pt;margin-top:-8.35pt;height:144pt;width:144pt;mso-position-horizontal:outside;mso-position-horizontal-relative:margin;mso-wrap-style:none;z-index:251671552;mso-width-relative:page;mso-height-relative:page;" filled="f" stroked="f" coordsize="21600,21600">
          <v:path/>
          <v:fill on="f" focussize="0,0"/>
          <v:stroke on="f" weight="0.5pt" joinstyle="miter"/>
          <v:imagedata o:title=""/>
          <o:lock v:ext="edit"/>
          <v:textbox inset="0mm,0mm,0mm,0mm" style="mso-fit-shape-to-text:t;">
            <w:txbxContent>
              <w:p w14:paraId="7CF3CE56">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48</w:t>
                </w:r>
                <w:r>
                  <w:rPr>
                    <w:sz w:val="28"/>
                    <w:szCs w:val="28"/>
                  </w:rPr>
                  <w:fldChar w:fldCharType="end"/>
                </w:r>
                <w:r>
                  <w:rPr>
                    <w:sz w:val="28"/>
                    <w:szCs w:val="28"/>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554B">
    <w:pPr>
      <w:pStyle w:val="11"/>
      <w:jc w:val="center"/>
    </w:pPr>
    <w:r>
      <w:pict>
        <v:shape id="_x0000_s1038" o:spid="_x0000_s1038" o:spt="202" type="#_x0000_t202" style="position:absolute;left:0pt;margin-top:-8.35pt;height:144pt;width:144pt;mso-position-horizontal:outside;mso-position-horizontal-relative:margin;mso-wrap-style:none;z-index:251672576;mso-width-relative:page;mso-height-relative:page;" filled="f" stroked="f" coordsize="21600,21600">
          <v:path/>
          <v:fill on="f" focussize="0,0"/>
          <v:stroke on="f" weight="0.5pt" joinstyle="miter"/>
          <v:imagedata o:title=""/>
          <o:lock v:ext="edit"/>
          <v:textbox inset="0mm,0mm,0mm,0mm" style="mso-fit-shape-to-text:t;">
            <w:txbxContent>
              <w:p w14:paraId="7DEB872F">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72F9D67B">
    <w:pPr>
      <w:pStyle w:val="1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4447">
    <w:pPr>
      <w:pStyle w:val="11"/>
    </w:pPr>
    <w:r>
      <w:pict>
        <v:shape id="_x0000_s1039" o:spid="_x0000_s1039" o:spt="202" type="#_x0000_t202" style="position:absolute;left:0pt;margin-top:-8.35pt;height:144pt;width:144pt;mso-position-horizontal:outside;mso-position-horizontal-relative:margin;mso-wrap-style:none;z-index:251673600;mso-width-relative:page;mso-height-relative:page;" filled="f" stroked="f" coordsize="21600,21600">
          <v:path/>
          <v:fill on="f" focussize="0,0"/>
          <v:stroke on="f" weight="0.5pt" joinstyle="miter"/>
          <v:imagedata o:title=""/>
          <o:lock v:ext="edit"/>
          <v:textbox inset="0mm,0mm,0mm,0mm" style="mso-fit-shape-to-text:t;">
            <w:txbxContent>
              <w:p w14:paraId="192FD0EE">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56</w:t>
                </w:r>
                <w:r>
                  <w:rPr>
                    <w:sz w:val="28"/>
                    <w:szCs w:val="28"/>
                  </w:rPr>
                  <w:fldChar w:fldCharType="end"/>
                </w:r>
                <w:r>
                  <w:rPr>
                    <w:sz w:val="28"/>
                    <w:szCs w:val="28"/>
                  </w:rPr>
                  <w:t xml:space="preserve">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6EA3">
    <w:pPr>
      <w:pStyle w:val="11"/>
      <w:jc w:val="center"/>
    </w:pPr>
    <w:r>
      <w:pict>
        <v:shape id="_x0000_s1040" o:spid="_x0000_s1040" o:spt="202" type="#_x0000_t202" style="position:absolute;left:0pt;margin-top:-8.35pt;height:144pt;width:144pt;mso-position-horizontal:outside;mso-position-horizontal-relative:margin;mso-wrap-style:none;z-index:251674624;mso-width-relative:page;mso-height-relative:page;" filled="f" stroked="f" coordsize="21600,21600">
          <v:path/>
          <v:fill on="f" focussize="0,0"/>
          <v:stroke on="f" weight="0.5pt" joinstyle="miter"/>
          <v:imagedata o:title=""/>
          <o:lock v:ext="edit"/>
          <v:textbox inset="0mm,0mm,0mm,0mm" style="mso-fit-shape-to-text:t;">
            <w:txbxContent>
              <w:p w14:paraId="6B2B032E">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47F7FF8E">
    <w:pPr>
      <w:pStyle w:val="1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2F70">
    <w:pPr>
      <w:pStyle w:val="11"/>
    </w:pPr>
    <w:r>
      <w:pict>
        <v:shape id="_x0000_s1041" o:spid="_x0000_s1041" o:spt="202" type="#_x0000_t202" style="position:absolute;left:0pt;margin-top:-8.35pt;height:144pt;width:144pt;mso-position-horizontal:outside;mso-position-horizontal-relative:margin;mso-wrap-style:none;z-index:251675648;mso-width-relative:page;mso-height-relative:page;" filled="f" stroked="f" coordsize="21600,21600">
          <v:path/>
          <v:fill on="f" focussize="0,0"/>
          <v:stroke on="f" weight="0.5pt" joinstyle="miter"/>
          <v:imagedata o:title=""/>
          <o:lock v:ext="edit"/>
          <v:textbox inset="0mm,0mm,0mm,0mm" style="mso-fit-shape-to-text:t;">
            <w:txbxContent>
              <w:p w14:paraId="18A6E818">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57</w:t>
                </w:r>
                <w:r>
                  <w:rPr>
                    <w:sz w:val="28"/>
                    <w:szCs w:val="28"/>
                  </w:rPr>
                  <w:fldChar w:fldCharType="end"/>
                </w:r>
                <w:r>
                  <w:rPr>
                    <w:sz w:val="28"/>
                    <w:szCs w:val="28"/>
                  </w:rPr>
                  <w:t xml:space="preserve"> —</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916B">
    <w:pPr>
      <w:pStyle w:val="11"/>
      <w:jc w:val="center"/>
    </w:pPr>
    <w:r>
      <w:pict>
        <v:shape id="_x0000_s1042" o:spid="_x0000_s1042" o:spt="202" type="#_x0000_t202" style="position:absolute;left:0pt;margin-top:-8.35pt;height:144pt;width:144pt;mso-position-horizontal:outside;mso-position-horizontal-relative:margin;mso-wrap-style:none;z-index:251676672;mso-width-relative:page;mso-height-relative:page;" filled="f" stroked="f" coordsize="21600,21600">
          <v:path/>
          <v:fill on="f" focussize="0,0"/>
          <v:stroke on="f" weight="0.5pt" joinstyle="miter"/>
          <v:imagedata o:title=""/>
          <o:lock v:ext="edit"/>
          <v:textbox inset="0mm,0mm,0mm,0mm" style="mso-fit-shape-to-text:t;">
            <w:txbxContent>
              <w:p w14:paraId="6E057126">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7FA151A8">
    <w:pPr>
      <w:pStyle w:val="11"/>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2F795">
    <w:pPr>
      <w:pStyle w:val="11"/>
    </w:pPr>
    <w:r>
      <w:pict>
        <v:shape id="_x0000_s1043" o:spid="_x0000_s1043" o:spt="202" type="#_x0000_t202" style="position:absolute;left:0pt;margin-top:-8.35pt;height:144pt;width:144pt;mso-position-horizontal:outside;mso-position-horizontal-relative:margin;mso-wrap-style:none;z-index:251677696;mso-width-relative:page;mso-height-relative:page;" filled="f" stroked="f" coordsize="21600,21600">
          <v:path/>
          <v:fill on="f" focussize="0,0"/>
          <v:stroke on="f" weight="0.5pt" joinstyle="miter"/>
          <v:imagedata o:title=""/>
          <o:lock v:ext="edit"/>
          <v:textbox inset="0mm,0mm,0mm,0mm" style="mso-fit-shape-to-text:t;">
            <w:txbxContent>
              <w:p w14:paraId="72F1FD0A">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65</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CDA4">
    <w:pPr>
      <w:pStyle w:val="11"/>
    </w:pPr>
    <w:r>
      <w:pict>
        <v:shape id="_x0000_s1026" o:spid="_x0000_s1026" o:spt="202" type="#_x0000_t202" style="position:absolute;left:0pt;margin-top:-8.35pt;height:144pt;width:144pt;mso-position-horizontal:outside;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7B87683">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1E2EE">
    <w:pPr>
      <w:pStyle w:val="11"/>
      <w:jc w:val="center"/>
    </w:pPr>
    <w:r>
      <w:pict>
        <v:shape id="_x0000_s1044" o:spid="_x0000_s1044" o:spt="202" type="#_x0000_t202" style="position:absolute;left:0pt;margin-top:-8.35pt;height:144pt;width:144pt;mso-position-horizontal:outside;mso-position-horizontal-relative:margin;mso-wrap-style:none;z-index:251678720;mso-width-relative:page;mso-height-relative:page;" filled="f" stroked="f" coordsize="21600,21600">
          <v:path/>
          <v:fill on="f" focussize="0,0"/>
          <v:stroke on="f" weight="0.5pt" joinstyle="miter"/>
          <v:imagedata o:title=""/>
          <o:lock v:ext="edit"/>
          <v:textbox inset="0mm,0mm,0mm,0mm" style="mso-fit-shape-to-text:t;">
            <w:txbxContent>
              <w:p w14:paraId="5BD3C23C">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120F37BF">
    <w:pPr>
      <w:pStyle w:val="1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507D">
    <w:pPr>
      <w:pStyle w:val="11"/>
    </w:pPr>
    <w:r>
      <w:pict>
        <v:shape id="_x0000_s1045" o:spid="_x0000_s1045" o:spt="202" type="#_x0000_t202" style="position:absolute;left:0pt;margin-top:-8.35pt;height:144pt;width:144pt;mso-position-horizontal:outside;mso-position-horizontal-relative:margin;mso-wrap-style:none;z-index:251679744;mso-width-relative:page;mso-height-relative:page;" filled="f" stroked="f" coordsize="21600,21600">
          <v:path/>
          <v:fill on="f" focussize="0,0"/>
          <v:stroke on="f" weight="0.5pt" joinstyle="miter"/>
          <v:imagedata o:title=""/>
          <o:lock v:ext="edit"/>
          <v:textbox inset="0mm,0mm,0mm,0mm" style="mso-fit-shape-to-text:t;">
            <w:txbxContent>
              <w:p w14:paraId="740F1EAD">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66</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31FA">
    <w:pPr>
      <w:pStyle w:val="11"/>
    </w:pPr>
    <w:r>
      <w:pict>
        <v:shape id="_x0000_s1046" o:spid="_x0000_s104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97F9BE3">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A877">
    <w:pPr>
      <w:pStyle w:val="11"/>
      <w:jc w:val="center"/>
    </w:pPr>
    <w:r>
      <w:pict>
        <v:shape id="_x0000_s1027" o:spid="_x0000_s1027" o:spt="202" type="#_x0000_t202" style="position:absolute;left:0pt;margin-top:-8.35pt;height:144pt;width:144pt;mso-position-horizontal:outside;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0CAAF308">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72BDF9E0">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811E">
    <w:pPr>
      <w:pStyle w:val="11"/>
    </w:pPr>
    <w:r>
      <w:pict>
        <v:shape id="_x0000_s1028" o:spid="_x0000_s1028" o:spt="202" type="#_x0000_t202" style="position:absolute;left:0pt;margin-top:-8.35pt;height:144pt;width:144pt;mso-position-horizontal:outside;mso-position-horizontal-relative:margin;mso-wrap-style:none;z-index:251663360;mso-width-relative:page;mso-height-relative:page;" filled="f" stroked="f" coordsize="21600,21600">
          <v:path/>
          <v:fill on="f" focussize="0,0"/>
          <v:stroke on="f" weight="0.5pt" joinstyle="miter"/>
          <v:imagedata o:title=""/>
          <o:lock v:ext="edit"/>
          <v:textbox inset="0mm,0mm,0mm,0mm" style="mso-fit-shape-to-text:t;">
            <w:txbxContent>
              <w:p w14:paraId="6980FB9C">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980">
    <w:pPr>
      <w:pStyle w:val="11"/>
      <w:jc w:val="center"/>
    </w:pPr>
    <w:r>
      <w:pict>
        <v:shape id="_x0000_s1030" o:spid="_x0000_s1030" o:spt="202" type="#_x0000_t202" style="position:absolute;left:0pt;margin-top:-8.35pt;height:144pt;width:144pt;mso-position-horizontal:outside;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p w14:paraId="36E197C1">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513D5F0C">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82A3">
    <w:pPr>
      <w:pStyle w:val="11"/>
    </w:pPr>
    <w:r>
      <w:pict>
        <v:shape id="_x0000_s1031" o:spid="_x0000_s1031" o:spt="202" type="#_x0000_t202" style="position:absolute;left:0pt;margin-top:-8.35pt;height:144pt;width:144pt;mso-position-horizontal:outside;mso-position-horizontal-relative:margin;mso-wrap-style:none;z-index:251665408;mso-width-relative:page;mso-height-relative:page;" filled="f" stroked="f" coordsize="21600,21600">
          <v:path/>
          <v:fill on="f" focussize="0,0"/>
          <v:stroke on="f" weight="0.5pt" joinstyle="miter"/>
          <v:imagedata o:title=""/>
          <o:lock v:ext="edit"/>
          <v:textbox inset="0mm,0mm,0mm,0mm" style="mso-fit-shape-to-text:t;">
            <w:txbxContent>
              <w:p w14:paraId="075D7562">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38</w:t>
                </w:r>
                <w:r>
                  <w:rPr>
                    <w:sz w:val="28"/>
                    <w:szCs w:val="28"/>
                  </w:rPr>
                  <w:fldChar w:fldCharType="end"/>
                </w:r>
                <w:r>
                  <w:rPr>
                    <w:sz w:val="28"/>
                    <w:szCs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93B4">
    <w:pPr>
      <w:pStyle w:val="11"/>
      <w:jc w:val="center"/>
    </w:pPr>
    <w:r>
      <w:pict>
        <v:shape id="_x0000_s1032" o:spid="_x0000_s1032" o:spt="202" type="#_x0000_t202" style="position:absolute;left:0pt;margin-top:-8.35pt;height:144pt;width:144pt;mso-position-horizontal:outside;mso-position-horizontal-relative:margin;mso-wrap-style:none;z-index:251666432;mso-width-relative:page;mso-height-relative:page;" filled="f" stroked="f" coordsize="21600,21600">
          <v:path/>
          <v:fill on="f" focussize="0,0"/>
          <v:stroke on="f" weight="0.5pt" joinstyle="miter"/>
          <v:imagedata o:title=""/>
          <o:lock v:ext="edit"/>
          <v:textbox inset="0mm,0mm,0mm,0mm" style="mso-fit-shape-to-text:t;">
            <w:txbxContent>
              <w:p w14:paraId="7FA406BA">
                <w:pPr>
                  <w:pStyle w:val="1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46ADEBD5">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6DC0">
    <w:pPr>
      <w:pStyle w:val="11"/>
    </w:pPr>
    <w:r>
      <w:pict>
        <v:shape id="_x0000_s1033" o:spid="_x0000_s1033" o:spt="202" type="#_x0000_t202" style="position:absolute;left:0pt;margin-top:-8.35pt;height:144pt;width:144pt;mso-position-horizontal:outside;mso-position-horizontal-relative:margin;mso-wrap-style:none;z-index:251667456;mso-width-relative:page;mso-height-relative:page;" filled="f" stroked="f" coordsize="21600,21600">
          <v:path/>
          <v:fill on="f" focussize="0,0"/>
          <v:stroke on="f" weight="0.5pt" joinstyle="miter"/>
          <v:imagedata o:title=""/>
          <o:lock v:ext="edit"/>
          <v:textbox inset="0mm,0mm,0mm,0mm" style="mso-fit-shape-to-text:t;">
            <w:txbxContent>
              <w:p w14:paraId="59317C49">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421A">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67B15"/>
    <w:rsid w:val="00174518"/>
    <w:rsid w:val="0018106D"/>
    <w:rsid w:val="001877A7"/>
    <w:rsid w:val="00191536"/>
    <w:rsid w:val="00196687"/>
    <w:rsid w:val="001A091E"/>
    <w:rsid w:val="001C0962"/>
    <w:rsid w:val="001C4EE3"/>
    <w:rsid w:val="001D3EEB"/>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5FAC"/>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22E5"/>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6FE"/>
    <w:rsid w:val="00644EE0"/>
    <w:rsid w:val="0066343B"/>
    <w:rsid w:val="00664777"/>
    <w:rsid w:val="006748A4"/>
    <w:rsid w:val="00681A31"/>
    <w:rsid w:val="00683E73"/>
    <w:rsid w:val="00684AF2"/>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5E1E"/>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6B9C"/>
    <w:rsid w:val="00900B08"/>
    <w:rsid w:val="00902155"/>
    <w:rsid w:val="00902FA3"/>
    <w:rsid w:val="00923564"/>
    <w:rsid w:val="0092392E"/>
    <w:rsid w:val="009315F9"/>
    <w:rsid w:val="00933499"/>
    <w:rsid w:val="00935C98"/>
    <w:rsid w:val="00943358"/>
    <w:rsid w:val="00946945"/>
    <w:rsid w:val="00951248"/>
    <w:rsid w:val="0095152F"/>
    <w:rsid w:val="00954C14"/>
    <w:rsid w:val="00954C49"/>
    <w:rsid w:val="00955E37"/>
    <w:rsid w:val="00963645"/>
    <w:rsid w:val="0097099F"/>
    <w:rsid w:val="00971997"/>
    <w:rsid w:val="00971FFC"/>
    <w:rsid w:val="0098660A"/>
    <w:rsid w:val="009931C3"/>
    <w:rsid w:val="00995AE8"/>
    <w:rsid w:val="009A4D1C"/>
    <w:rsid w:val="009B2C43"/>
    <w:rsid w:val="009B4EAE"/>
    <w:rsid w:val="009B7573"/>
    <w:rsid w:val="009C22F4"/>
    <w:rsid w:val="009C2A4B"/>
    <w:rsid w:val="009C2E98"/>
    <w:rsid w:val="009D3447"/>
    <w:rsid w:val="009D4711"/>
    <w:rsid w:val="009F1185"/>
    <w:rsid w:val="009F18CD"/>
    <w:rsid w:val="009F2A13"/>
    <w:rsid w:val="009F7527"/>
    <w:rsid w:val="00A04EB0"/>
    <w:rsid w:val="00A121AC"/>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06A"/>
    <w:rsid w:val="00AB64C9"/>
    <w:rsid w:val="00AC3C6A"/>
    <w:rsid w:val="00AD5620"/>
    <w:rsid w:val="00AD656B"/>
    <w:rsid w:val="00AD7C1B"/>
    <w:rsid w:val="00AE16BA"/>
    <w:rsid w:val="00AE1EBE"/>
    <w:rsid w:val="00AF701A"/>
    <w:rsid w:val="00B03C9D"/>
    <w:rsid w:val="00B060AE"/>
    <w:rsid w:val="00B10517"/>
    <w:rsid w:val="00B14E76"/>
    <w:rsid w:val="00B161B8"/>
    <w:rsid w:val="00B202EC"/>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5EA0"/>
    <w:rsid w:val="00BC289F"/>
    <w:rsid w:val="00BC2D50"/>
    <w:rsid w:val="00BC5361"/>
    <w:rsid w:val="00BC5460"/>
    <w:rsid w:val="00BC6B50"/>
    <w:rsid w:val="00BD0E25"/>
    <w:rsid w:val="00BF5BD6"/>
    <w:rsid w:val="00C03E31"/>
    <w:rsid w:val="00C33E72"/>
    <w:rsid w:val="00C354B2"/>
    <w:rsid w:val="00C35554"/>
    <w:rsid w:val="00C42709"/>
    <w:rsid w:val="00C512DA"/>
    <w:rsid w:val="00C533CC"/>
    <w:rsid w:val="00C5751C"/>
    <w:rsid w:val="00C61BFC"/>
    <w:rsid w:val="00C62B85"/>
    <w:rsid w:val="00C65438"/>
    <w:rsid w:val="00C87FD8"/>
    <w:rsid w:val="00C91381"/>
    <w:rsid w:val="00C91CBB"/>
    <w:rsid w:val="00CA626D"/>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10EA"/>
    <w:rsid w:val="00DF28BC"/>
    <w:rsid w:val="00DF34B9"/>
    <w:rsid w:val="00E01053"/>
    <w:rsid w:val="00E04F59"/>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1F3C"/>
    <w:rsid w:val="00F45853"/>
    <w:rsid w:val="00F602DF"/>
    <w:rsid w:val="00F754A1"/>
    <w:rsid w:val="00F81FD9"/>
    <w:rsid w:val="00F841AA"/>
    <w:rsid w:val="00F84A94"/>
    <w:rsid w:val="00F87E96"/>
    <w:rsid w:val="00FA23E8"/>
    <w:rsid w:val="00FD3CC1"/>
    <w:rsid w:val="00FF1E02"/>
    <w:rsid w:val="00FF30B4"/>
    <w:rsid w:val="012A5EC2"/>
    <w:rsid w:val="015975B8"/>
    <w:rsid w:val="02FEBE30"/>
    <w:rsid w:val="03B15391"/>
    <w:rsid w:val="04273641"/>
    <w:rsid w:val="04916F1E"/>
    <w:rsid w:val="06041631"/>
    <w:rsid w:val="061E35DE"/>
    <w:rsid w:val="066B6AA6"/>
    <w:rsid w:val="066E0107"/>
    <w:rsid w:val="06BC02D5"/>
    <w:rsid w:val="07996F6E"/>
    <w:rsid w:val="07DFD8BA"/>
    <w:rsid w:val="084F2ED5"/>
    <w:rsid w:val="09867E8F"/>
    <w:rsid w:val="09930631"/>
    <w:rsid w:val="0A2032A3"/>
    <w:rsid w:val="0A2148F3"/>
    <w:rsid w:val="0A9E6FA0"/>
    <w:rsid w:val="0AC30636"/>
    <w:rsid w:val="0B331380"/>
    <w:rsid w:val="0CA8290A"/>
    <w:rsid w:val="0D35B1ED"/>
    <w:rsid w:val="0D516797"/>
    <w:rsid w:val="0E254B6B"/>
    <w:rsid w:val="0E5F4D59"/>
    <w:rsid w:val="0F22032E"/>
    <w:rsid w:val="0F98263C"/>
    <w:rsid w:val="1007166D"/>
    <w:rsid w:val="101860EC"/>
    <w:rsid w:val="101F47CC"/>
    <w:rsid w:val="10C055FF"/>
    <w:rsid w:val="11694EBD"/>
    <w:rsid w:val="11772AA4"/>
    <w:rsid w:val="118107EC"/>
    <w:rsid w:val="12B75DF4"/>
    <w:rsid w:val="12E24EE2"/>
    <w:rsid w:val="13D50BC4"/>
    <w:rsid w:val="14B17F78"/>
    <w:rsid w:val="165E0673"/>
    <w:rsid w:val="16B831D5"/>
    <w:rsid w:val="16BB723D"/>
    <w:rsid w:val="17BC3C60"/>
    <w:rsid w:val="17E50567"/>
    <w:rsid w:val="186504BB"/>
    <w:rsid w:val="19A445FC"/>
    <w:rsid w:val="1A266374"/>
    <w:rsid w:val="1BBF0F0E"/>
    <w:rsid w:val="1BE8440E"/>
    <w:rsid w:val="1C9D605B"/>
    <w:rsid w:val="1CE63CF9"/>
    <w:rsid w:val="1D021C88"/>
    <w:rsid w:val="1D155CEE"/>
    <w:rsid w:val="1D1638FE"/>
    <w:rsid w:val="1E312DEB"/>
    <w:rsid w:val="1E740ACF"/>
    <w:rsid w:val="1EF04B68"/>
    <w:rsid w:val="1F8B4EC7"/>
    <w:rsid w:val="1FF35744"/>
    <w:rsid w:val="1FF6BC77"/>
    <w:rsid w:val="201D2648"/>
    <w:rsid w:val="2186353C"/>
    <w:rsid w:val="23860B96"/>
    <w:rsid w:val="240371BF"/>
    <w:rsid w:val="244F3473"/>
    <w:rsid w:val="24C97D99"/>
    <w:rsid w:val="25A718F0"/>
    <w:rsid w:val="25BB59F6"/>
    <w:rsid w:val="260F557C"/>
    <w:rsid w:val="26970054"/>
    <w:rsid w:val="281408E2"/>
    <w:rsid w:val="29FD04D3"/>
    <w:rsid w:val="2B8B30E0"/>
    <w:rsid w:val="2BBD05CD"/>
    <w:rsid w:val="2BFF7BC6"/>
    <w:rsid w:val="2C7D5DC7"/>
    <w:rsid w:val="2C8A61B5"/>
    <w:rsid w:val="2CC73FC4"/>
    <w:rsid w:val="2D9477AB"/>
    <w:rsid w:val="2DA80DA1"/>
    <w:rsid w:val="2DF04E50"/>
    <w:rsid w:val="2E586DFA"/>
    <w:rsid w:val="2F040D46"/>
    <w:rsid w:val="2F6B035B"/>
    <w:rsid w:val="2FAE5751"/>
    <w:rsid w:val="2FB1A395"/>
    <w:rsid w:val="2FD9A7D8"/>
    <w:rsid w:val="2FDBF714"/>
    <w:rsid w:val="30A864ED"/>
    <w:rsid w:val="30AB6865"/>
    <w:rsid w:val="30F46B5D"/>
    <w:rsid w:val="319F7F4E"/>
    <w:rsid w:val="31B772F8"/>
    <w:rsid w:val="31D54993"/>
    <w:rsid w:val="32103C84"/>
    <w:rsid w:val="32BD1EF1"/>
    <w:rsid w:val="3304709D"/>
    <w:rsid w:val="33A773CB"/>
    <w:rsid w:val="349D6851"/>
    <w:rsid w:val="357B6AB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0450ED"/>
    <w:rsid w:val="41AD7188"/>
    <w:rsid w:val="44E268DA"/>
    <w:rsid w:val="450D13D7"/>
    <w:rsid w:val="452463AD"/>
    <w:rsid w:val="45506656"/>
    <w:rsid w:val="45B47580"/>
    <w:rsid w:val="45D00592"/>
    <w:rsid w:val="46353A70"/>
    <w:rsid w:val="466B37D3"/>
    <w:rsid w:val="486A6C7A"/>
    <w:rsid w:val="4A627F82"/>
    <w:rsid w:val="4B0E749A"/>
    <w:rsid w:val="4B2477C4"/>
    <w:rsid w:val="4B4F25DA"/>
    <w:rsid w:val="4B903C5B"/>
    <w:rsid w:val="4BE068DB"/>
    <w:rsid w:val="4D372C3B"/>
    <w:rsid w:val="4D577224"/>
    <w:rsid w:val="4DBF1CEB"/>
    <w:rsid w:val="4DF0007C"/>
    <w:rsid w:val="4EAB630A"/>
    <w:rsid w:val="4ECE2238"/>
    <w:rsid w:val="4F833267"/>
    <w:rsid w:val="4FE9BD67"/>
    <w:rsid w:val="4FFB052F"/>
    <w:rsid w:val="51E563AB"/>
    <w:rsid w:val="51E97071"/>
    <w:rsid w:val="537E6D0A"/>
    <w:rsid w:val="53F74C96"/>
    <w:rsid w:val="55170BA8"/>
    <w:rsid w:val="553218C9"/>
    <w:rsid w:val="553A1364"/>
    <w:rsid w:val="56116BDA"/>
    <w:rsid w:val="567E1AA5"/>
    <w:rsid w:val="56E47B74"/>
    <w:rsid w:val="57175D52"/>
    <w:rsid w:val="571B7984"/>
    <w:rsid w:val="57BD3DD4"/>
    <w:rsid w:val="57C41DCA"/>
    <w:rsid w:val="592C545B"/>
    <w:rsid w:val="5AF92295"/>
    <w:rsid w:val="5B250254"/>
    <w:rsid w:val="5BDD79E6"/>
    <w:rsid w:val="5BF561CA"/>
    <w:rsid w:val="5BFC4C54"/>
    <w:rsid w:val="5BFF5DFC"/>
    <w:rsid w:val="5C202D8B"/>
    <w:rsid w:val="5CD71FC4"/>
    <w:rsid w:val="5D1F11B5"/>
    <w:rsid w:val="5D695134"/>
    <w:rsid w:val="5D724260"/>
    <w:rsid w:val="5DAE1B18"/>
    <w:rsid w:val="5DE7D9E5"/>
    <w:rsid w:val="5ECEC941"/>
    <w:rsid w:val="5EDF3926"/>
    <w:rsid w:val="5F177DFA"/>
    <w:rsid w:val="5F5B3D91"/>
    <w:rsid w:val="5FBF9FF3"/>
    <w:rsid w:val="5FCD4E2C"/>
    <w:rsid w:val="5FEF394A"/>
    <w:rsid w:val="5FF67715"/>
    <w:rsid w:val="623D18A4"/>
    <w:rsid w:val="62BF3928"/>
    <w:rsid w:val="63B3701E"/>
    <w:rsid w:val="647F5392"/>
    <w:rsid w:val="65E66580"/>
    <w:rsid w:val="664B1D71"/>
    <w:rsid w:val="664B4E8E"/>
    <w:rsid w:val="66840416"/>
    <w:rsid w:val="67277B67"/>
    <w:rsid w:val="67376D40"/>
    <w:rsid w:val="67AA3209"/>
    <w:rsid w:val="698D0931"/>
    <w:rsid w:val="6A7FE5F3"/>
    <w:rsid w:val="6A89220C"/>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78567F"/>
    <w:rsid w:val="70AE4D5E"/>
    <w:rsid w:val="70C77B9F"/>
    <w:rsid w:val="712A28F1"/>
    <w:rsid w:val="715C0E4B"/>
    <w:rsid w:val="71992E7C"/>
    <w:rsid w:val="72233669"/>
    <w:rsid w:val="72734D90"/>
    <w:rsid w:val="72DA6468"/>
    <w:rsid w:val="73160E6D"/>
    <w:rsid w:val="7332FE48"/>
    <w:rsid w:val="7396046A"/>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02628"/>
    <w:rsid w:val="783E271A"/>
    <w:rsid w:val="78616DE9"/>
    <w:rsid w:val="78E875D7"/>
    <w:rsid w:val="79086DAD"/>
    <w:rsid w:val="79D7FD79"/>
    <w:rsid w:val="79EE5BA4"/>
    <w:rsid w:val="7A894339"/>
    <w:rsid w:val="7AB80E65"/>
    <w:rsid w:val="7AD284E8"/>
    <w:rsid w:val="7AFF7572"/>
    <w:rsid w:val="7B6C7DFB"/>
    <w:rsid w:val="7BBFBED0"/>
    <w:rsid w:val="7BC3E394"/>
    <w:rsid w:val="7BF91591"/>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styleId="20">
    <w:name w:val="annotation reference"/>
    <w:basedOn w:val="17"/>
    <w:semiHidden/>
    <w:unhideWhenUsed/>
    <w:qFormat/>
    <w:uiPriority w:val="99"/>
    <w:rPr>
      <w:sz w:val="21"/>
      <w:szCs w:val="21"/>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99"/>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chart" Target="charts/chart7.xml"/><Relationship Id="rId31" Type="http://schemas.openxmlformats.org/officeDocument/2006/relationships/chart" Target="charts/chart6.xml"/><Relationship Id="rId30" Type="http://schemas.openxmlformats.org/officeDocument/2006/relationships/chart" Target="charts/chart5.xml"/><Relationship Id="rId3" Type="http://schemas.openxmlformats.org/officeDocument/2006/relationships/header" Target="header1.xml"/><Relationship Id="rId29" Type="http://schemas.openxmlformats.org/officeDocument/2006/relationships/chart" Target="charts/chart4.xml"/><Relationship Id="rId28" Type="http://schemas.openxmlformats.org/officeDocument/2006/relationships/chart" Target="charts/chart3.xml"/><Relationship Id="rId27" Type="http://schemas.openxmlformats.org/officeDocument/2006/relationships/chart" Target="charts/chart2.xml"/><Relationship Id="rId26" Type="http://schemas.openxmlformats.org/officeDocument/2006/relationships/chart" Target="charts/chart1.xml"/><Relationship Id="rId25" Type="http://schemas.openxmlformats.org/officeDocument/2006/relationships/theme" Target="theme/theme1.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2024&#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sz="1100"/>
              <a:t>收、支决算总计变动情况图</a:t>
            </a:r>
            <a:endParaRPr sz="1100"/>
          </a:p>
          <a:p>
            <a:pPr defTabSz="914400">
              <a:defRPr lang="zh-CN" sz="1400" b="1" i="0" u="none" strike="noStrike" kern="1200" baseline="0">
                <a:solidFill>
                  <a:srgbClr val="404040">
                    <a:lumMod val="75000"/>
                    <a:lumOff val="25000"/>
                  </a:srgbClr>
                </a:solidFill>
                <a:latin typeface="+mn-lt"/>
                <a:ea typeface="+mn-ea"/>
                <a:cs typeface="+mn-cs"/>
              </a:defRPr>
            </a:pPr>
            <a:r>
              <a:rPr sz="1100"/>
              <a:t>（单位：万元）</a:t>
            </a:r>
            <a:endParaRPr sz="1100"/>
          </a:p>
        </c:rich>
      </c:tx>
      <c:layout/>
      <c:overlay val="0"/>
      <c:spPr>
        <a:noFill/>
        <a:ln>
          <a:noFill/>
        </a:ln>
        <a:effectLst/>
      </c:spPr>
    </c:title>
    <c:autoTitleDeleted val="0"/>
    <c:plotArea>
      <c:layout/>
      <c:barChart>
        <c:barDir val="col"/>
        <c:grouping val="clustered"/>
        <c:varyColors val="0"/>
        <c:ser>
          <c:idx val="0"/>
          <c:order val="0"/>
          <c:tx>
            <c:strRef>
              <c:f>[图表.xls]Sheet1!$A$2</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[图表.xls]Sheet1!$B$1:$C$1</c:f>
              <c:strCache>
                <c:ptCount val="2"/>
                <c:pt idx="0">
                  <c:v>收入</c:v>
                </c:pt>
                <c:pt idx="1">
                  <c:v>支出</c:v>
                </c:pt>
              </c:strCache>
            </c:strRef>
          </c:cat>
          <c:val>
            <c:numRef>
              <c:f>[图表.xls]Sheet1!$B$2:$C$2</c:f>
              <c:numCache>
                <c:formatCode>General</c:formatCode>
                <c:ptCount val="2"/>
                <c:pt idx="0">
                  <c:v>1550.85</c:v>
                </c:pt>
                <c:pt idx="1">
                  <c:v>1550.85</c:v>
                </c:pt>
              </c:numCache>
            </c:numRef>
          </c:val>
        </c:ser>
        <c:ser>
          <c:idx val="1"/>
          <c:order val="1"/>
          <c:tx>
            <c:strRef>
              <c:f>[图表.xls]Sheet1!$A$3</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[图表.xls]Sheet1!$B$1:$C$1</c:f>
              <c:strCache>
                <c:ptCount val="2"/>
                <c:pt idx="0">
                  <c:v>收入</c:v>
                </c:pt>
                <c:pt idx="1">
                  <c:v>支出</c:v>
                </c:pt>
              </c:strCache>
            </c:strRef>
          </c:cat>
          <c:val>
            <c:numRef>
              <c:f>[图表.xls]Sheet1!$B$3:$C$3</c:f>
              <c:numCache>
                <c:formatCode>0.0_ </c:formatCode>
                <c:ptCount val="2"/>
                <c:pt idx="0">
                  <c:v>1610.8</c:v>
                </c:pt>
                <c:pt idx="1">
                  <c:v>1610.8</c:v>
                </c:pt>
              </c:numCache>
            </c:numRef>
          </c:val>
        </c:ser>
        <c:dLbls>
          <c:showLegendKey val="0"/>
          <c:showVal val="1"/>
          <c:showCatName val="0"/>
          <c:showSerName val="0"/>
          <c:showPercent val="0"/>
          <c:showBubbleSize val="0"/>
        </c:dLbls>
        <c:gapWidth val="246"/>
        <c:overlap val="-28"/>
        <c:axId val="100242560"/>
        <c:axId val="100244096"/>
      </c:barChart>
      <c:catAx>
        <c:axId val="100242560"/>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0244096"/>
        <c:crosses val="autoZero"/>
        <c:auto val="1"/>
        <c:lblAlgn val="ctr"/>
        <c:lblOffset val="100"/>
        <c:noMultiLvlLbl val="0"/>
      </c:catAx>
      <c:valAx>
        <c:axId val="100244096"/>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0242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7620c04-08e2-4075-8b23-1ce32d2608f8}"/>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[图表.xls]Sheet2!$A$3</c:f>
              <c:strCache>
                <c:ptCount val="1"/>
                <c:pt idx="0">
                  <c:v>2024年</c:v>
                </c:pt>
              </c:strCache>
            </c:strRef>
          </c:tx>
          <c:explosion val="0"/>
          <c:dPt>
            <c:idx val="0"/>
            <c:bubble3D val="0"/>
            <c:spPr>
              <a:solidFill>
                <a:srgbClr val="4F81B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[图表.xls]Sheet2!$B$2</c:f>
              <c:strCache>
                <c:ptCount val="1"/>
                <c:pt idx="0">
                  <c:v>一般公共预算财政拨款收入</c:v>
                </c:pt>
              </c:strCache>
            </c:strRef>
          </c:cat>
          <c:val>
            <c:numRef>
              <c:f>[图表.xls]Sheet2!$B$3</c:f>
              <c:numCache>
                <c:formatCode>0.0_ </c:formatCode>
                <c:ptCount val="1"/>
                <c:pt idx="0">
                  <c:v>1610.8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3a2b4b20-bb4f-4707-8475-acaa2f0a52eb}"/>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支出决算结构图</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[图表.xls]Sheet3!$A$2</c:f>
              <c:strCache>
                <c:ptCount val="1"/>
                <c:pt idx="0">
                  <c:v>2024年</c:v>
                </c:pt>
              </c:strCache>
            </c:strRef>
          </c:tx>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140073109715114"/>
                  <c:y val="-0.140582549818696"/>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1076.36, 6</a:t>
                    </a:r>
                    <a:r>
                      <a:rPr lang="en-US" altLang="zh-CN"/>
                      <a:t>6.8</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40131578947368"/>
                  <c:y val="0.121527777777778"/>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534.45, 33</a:t>
                    </a:r>
                    <a:r>
                      <a:rPr lang="en-US" altLang="zh-CN"/>
                      <a:t>.2</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[图表.xls]Sheet3!$B$1:$C$1</c:f>
              <c:strCache>
                <c:ptCount val="2"/>
                <c:pt idx="0">
                  <c:v>基本支出</c:v>
                </c:pt>
                <c:pt idx="1">
                  <c:v>项目支出</c:v>
                </c:pt>
              </c:strCache>
            </c:strRef>
          </c:cat>
          <c:val>
            <c:numRef>
              <c:f>[图表.xls]Sheet3!$B$2:$C$2</c:f>
              <c:numCache>
                <c:formatCode>General</c:formatCode>
                <c:ptCount val="2"/>
                <c:pt idx="0">
                  <c:v>1076.36</c:v>
                </c:pt>
                <c:pt idx="1">
                  <c:v>534.45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6857cdfa-7eff-42a1-8338-ff5a19a9fe26}"/>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财政拨款收、支决算总计变动情况</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tx>
            <c:strRef>
              <c:f>[图表.xls]Sheet4!$A$5</c:f>
              <c:strCache>
                <c:ptCount val="1"/>
                <c:pt idx="0">
                  <c:v>财政拨款收入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[图表.xls]Sheet4!$B$4:$C$4</c:f>
              <c:strCache>
                <c:ptCount val="2"/>
                <c:pt idx="0">
                  <c:v>2023年</c:v>
                </c:pt>
                <c:pt idx="1">
                  <c:v>2024年</c:v>
                </c:pt>
              </c:strCache>
            </c:strRef>
          </c:cat>
          <c:val>
            <c:numRef>
              <c:f>[图表.xls]Sheet4!$B$5:$C$5</c:f>
              <c:numCache>
                <c:formatCode>General</c:formatCode>
                <c:ptCount val="2"/>
                <c:pt idx="0">
                  <c:v>1550.85</c:v>
                </c:pt>
                <c:pt idx="1" c:formatCode="0.0_ ">
                  <c:v>1610.8</c:v>
                </c:pt>
              </c:numCache>
            </c:numRef>
          </c:val>
        </c:ser>
        <c:ser>
          <c:idx val="1"/>
          <c:order val="1"/>
          <c:tx>
            <c:strRef>
              <c:f>[图表.xls]Sheet4!$A$6</c:f>
              <c:strCache>
                <c:ptCount val="1"/>
                <c:pt idx="0">
                  <c:v>财政拨款支出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[图表.xls]Sheet4!$B$4:$C$4</c:f>
              <c:strCache>
                <c:ptCount val="2"/>
                <c:pt idx="0">
                  <c:v>2023年</c:v>
                </c:pt>
                <c:pt idx="1">
                  <c:v>2024年</c:v>
                </c:pt>
              </c:strCache>
            </c:strRef>
          </c:cat>
          <c:val>
            <c:numRef>
              <c:f>[图表.xls]Sheet4!$B$6:$C$6</c:f>
              <c:numCache>
                <c:formatCode>General</c:formatCode>
                <c:ptCount val="2"/>
                <c:pt idx="0">
                  <c:v>1550.85</c:v>
                </c:pt>
                <c:pt idx="1" c:formatCode="0.0_ ">
                  <c:v>1610.8</c:v>
                </c:pt>
              </c:numCache>
            </c:numRef>
          </c:val>
        </c:ser>
        <c:dLbls>
          <c:showLegendKey val="0"/>
          <c:showVal val="1"/>
          <c:showCatName val="0"/>
          <c:showSerName val="0"/>
          <c:showPercent val="0"/>
          <c:showBubbleSize val="0"/>
        </c:dLbls>
        <c:gapWidth val="246"/>
        <c:overlap val="-28"/>
        <c:axId val="100445568"/>
        <c:axId val="100455552"/>
      </c:barChart>
      <c:catAx>
        <c:axId val="10044556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0455552"/>
        <c:crosses val="autoZero"/>
        <c:auto val="1"/>
        <c:lblAlgn val="ctr"/>
        <c:lblOffset val="100"/>
        <c:noMultiLvlLbl val="0"/>
      </c:catAx>
      <c:valAx>
        <c:axId val="100455552"/>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04455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5485c12-778a-40bc-be56-2bfff81aa24d}"/>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[图表.xls]Sheet5!$A$2:$A$3</c:f>
              <c:strCache>
                <c:ptCount val="2"/>
                <c:pt idx="0">
                  <c:v>2023年</c:v>
                </c:pt>
                <c:pt idx="1">
                  <c:v>2024年</c:v>
                </c:pt>
              </c:strCache>
            </c:strRef>
          </c:cat>
          <c:val>
            <c:numRef>
              <c:f>[图表.xls]Sheet5!$B$2:$B$3</c:f>
              <c:numCache>
                <c:formatCode>General</c:formatCode>
                <c:ptCount val="2"/>
                <c:pt idx="0">
                  <c:v>1542.85</c:v>
                </c:pt>
                <c:pt idx="1" c:formatCode="0.0_ ">
                  <c:v>1610.8</c:v>
                </c:pt>
              </c:numCache>
            </c:numRef>
          </c:val>
        </c:ser>
        <c:dLbls>
          <c:showLegendKey val="0"/>
          <c:showVal val="1"/>
          <c:showCatName val="0"/>
          <c:showSerName val="0"/>
          <c:showPercent val="0"/>
          <c:showBubbleSize val="0"/>
        </c:dLbls>
        <c:gapWidth val="246"/>
        <c:overlap val="-28"/>
        <c:axId val="119952896"/>
        <c:axId val="119954432"/>
      </c:barChart>
      <c:catAx>
        <c:axId val="119952896"/>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9954432"/>
        <c:crosses val="autoZero"/>
        <c:auto val="1"/>
        <c:lblAlgn val="ctr"/>
        <c:lblOffset val="100"/>
        <c:noMultiLvlLbl val="0"/>
      </c:catAx>
      <c:valAx>
        <c:axId val="119954432"/>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9952896"/>
        <c:crosses val="autoZero"/>
        <c:crossBetween val="between"/>
      </c:valAx>
      <c:spPr>
        <a:noFill/>
        <a:ln>
          <a:noFill/>
        </a:ln>
        <a:effectLst/>
      </c:spPr>
    </c:plotArea>
    <c:plotVisOnly val="1"/>
    <c:dispBlanksAs val="gap"/>
    <c:showDLblsOverMax val="0"/>
    <c:extLst>
      <c:ext uri="{0b15fc19-7d7d-44ad-8c2d-2c3a37ce22c3}">
        <chartProps xmlns="https://web.wps.cn/et/2018/main" chartId="{81902dfb-517d-4f9b-90cc-2658fb8a6d76}"/>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一般公共预算财政拨款支出决算结构情况</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Pt>
            <c:idx val="7"/>
            <c:bubble3D val="0"/>
            <c:spPr>
              <a:solidFill>
                <a:srgbClr val="772C2A">
                  <a:lumMod val="60000"/>
                </a:srgbClr>
              </a:solidFill>
              <a:ln>
                <a:solidFill>
                  <a:srgbClr val="FFFFFF"/>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722.83, 4</a:t>
                    </a:r>
                    <a:r>
                      <a:rPr lang="en-US" altLang="zh-CN"/>
                      <a:t>4.9</a:t>
                    </a:r>
                    <a:r>
                      <a:t>%</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13958363572982"/>
                  <c:y val="0.00647823606675739"/>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7.50, 0</a:t>
                    </a:r>
                    <a:r>
                      <a:rPr lang="en-US" altLang="zh-CN"/>
                      <a:t>.5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226705642516629"/>
                  <c:y val="0.00718199757526043"/>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140.05, </a:t>
                    </a:r>
                    <a:r>
                      <a:rPr lang="en-US" altLang="zh-CN"/>
                      <a:t>8.7</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269756564060908"/>
                  <c:y val="0.023759656657519"/>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30.43, </a:t>
                    </a:r>
                    <a:r>
                      <a:rPr lang="en-US" altLang="zh-CN"/>
                      <a:t>1.9</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993033495135795"/>
                  <c:y val="-0.00202473347911524"/>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69.90, 4</a:t>
                    </a:r>
                    <a:r>
                      <a:rPr lang="en-US" altLang="zh-CN"/>
                      <a:t>.3</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526.97, 3</a:t>
                    </a:r>
                    <a:r>
                      <a:rPr lang="en-US" altLang="zh-CN"/>
                      <a:t>2.7</a:t>
                    </a:r>
                    <a:r>
                      <a:t>%</a:t>
                    </a:r>
                  </a:p>
                </c:rich>
              </c:tx>
              <c:dLblPos val="bestFit"/>
              <c:showLegendKey val="0"/>
              <c:showVal val="1"/>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76.12, </a:t>
                    </a:r>
                    <a:r>
                      <a:rPr lang="en-US" altLang="zh-CN"/>
                      <a:t>4.7</a:t>
                    </a:r>
                    <a:r>
                      <a:t>%</a:t>
                    </a:r>
                  </a:p>
                </c:rich>
              </c:tx>
              <c:dLblPos val="bestFit"/>
              <c:showLegendKey val="0"/>
              <c:showVal val="1"/>
              <c:showCatName val="0"/>
              <c:showSerName val="0"/>
              <c:showPercent val="1"/>
              <c:showBubbleSize val="0"/>
              <c:extLst>
                <c:ext xmlns:c15="http://schemas.microsoft.com/office/drawing/2012/chart" uri="{CE6537A1-D6FC-4f65-9D91-7224C49458BB}"/>
              </c:extLst>
            </c:dLbl>
            <c:dLbl>
              <c:idx val="7"/>
              <c:layout>
                <c:manualLayout>
                  <c:x val="0.119426591002139"/>
                  <c:y val="-0.000981237940602403"/>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r>
                      <a:t>37.00, 2</a:t>
                    </a:r>
                    <a:r>
                      <a:rPr lang="en-US" altLang="zh-CN"/>
                      <a:t>.3</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[图表.xls]Sheet6!$A$2:$A$9</c:f>
              <c:strCache>
                <c:ptCount val="8"/>
                <c:pt idx="0">
                  <c:v>一般公共服务支出</c:v>
                </c:pt>
                <c:pt idx="1">
                  <c:v>文化体育与传媒支出</c:v>
                </c:pt>
                <c:pt idx="2">
                  <c:v>社会保障和就业支出</c:v>
                </c:pt>
                <c:pt idx="3">
                  <c:v>卫生健康支出</c:v>
                </c:pt>
                <c:pt idx="4">
                  <c:v>城乡社区支出</c:v>
                </c:pt>
                <c:pt idx="5">
                  <c:v>农林水支出</c:v>
                </c:pt>
                <c:pt idx="6">
                  <c:v>住房保障支出</c:v>
                </c:pt>
                <c:pt idx="7">
                  <c:v>灾害防治及应急管理支出</c:v>
                </c:pt>
              </c:strCache>
            </c:strRef>
          </c:cat>
          <c:val>
            <c:numRef>
              <c:f>[图表.xls]Sheet6!$B$2:$B$9</c:f>
              <c:numCache>
                <c:formatCode>General</c:formatCode>
                <c:ptCount val="8"/>
                <c:pt idx="0">
                  <c:v>722.83</c:v>
                </c:pt>
                <c:pt idx="1" c:formatCode="0.0_ ">
                  <c:v>7.5</c:v>
                </c:pt>
                <c:pt idx="2">
                  <c:v>140.05</c:v>
                </c:pt>
                <c:pt idx="3">
                  <c:v>30.43</c:v>
                </c:pt>
                <c:pt idx="4" c:formatCode="0.0_ ">
                  <c:v>69.9</c:v>
                </c:pt>
                <c:pt idx="5">
                  <c:v>526.97</c:v>
                </c:pt>
                <c:pt idx="6">
                  <c:v>76.12</c:v>
                </c:pt>
                <c:pt idx="7" c:formatCode="0_ ">
                  <c:v>37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bf7062a2-4814-4802-a25f-a81cde32e770}"/>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“三公”经费财政拨款支出结构</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[图表.xls]Sheet7!$A$2</c:f>
              <c:strCache>
                <c:ptCount val="1"/>
                <c:pt idx="0">
                  <c:v>2024</c:v>
                </c:pt>
              </c:strCache>
            </c:strRef>
          </c:tx>
          <c:explosion val="0"/>
          <c:dPt>
            <c:idx val="0"/>
            <c:bubble3D val="0"/>
            <c:spPr>
              <a:solidFill>
                <a:srgbClr val="4F81B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[图表.xls]Sheet7!$B$1</c:f>
              <c:strCache>
                <c:ptCount val="1"/>
                <c:pt idx="0">
                  <c:v>公务接待费支出</c:v>
                </c:pt>
              </c:strCache>
            </c:strRef>
          </c:cat>
          <c:val>
            <c:numRef>
              <c:f>[图表.xls]Sheet7!$B$2</c:f>
              <c:numCache>
                <c:formatCode>General</c:formatCode>
                <c:ptCount val="1"/>
                <c:pt idx="0">
                  <c:v>12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eb09dbc2-211e-4d0a-8ec9-b2165514769f}"/>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9"/>
    <customShpInfo spid="_x0000_s1026"/>
    <customShpInfo spid="_x0000_s1046"/>
    <customShpInfo spid="_x0000_s1027"/>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69</Pages>
  <Words>16748</Words>
  <Characters>18124</Characters>
  <Lines>29</Lines>
  <Paragraphs>70</Paragraphs>
  <TotalTime>27</TotalTime>
  <ScaleCrop>false</ScaleCrop>
  <LinksUpToDate>false</LinksUpToDate>
  <CharactersWithSpaces>18190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2025-09-22T03:03:00Z</dcterms:created>
  <dc:creator>曹颖</dc:creator>
  <cp:lastModifiedBy>昭化融媒体</cp:lastModifiedBy>
  <cp:lastPrinted>2025-09-23T09:24:00Z</cp:lastPrinted>
  <dcterms:modified xsi:type="dcterms:W3CDTF">2025-09-30T01:30:10Z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459545F4B2384B26966676500B53F1D9</vt:lpwstr>
  </property>
  <property fmtid="{D5CDD505-2E9C-101B-9397-08002B2CF9AE}" pid="4" name="KSOTemplateDocerSaveRecord">
    <vt:lpwstr>eyJoZGlkIjoiMGVhYTg4NGNkZWJkODFjNzcyZDRjM2M4Y2UzNjI5ZmUiLCJ1c2VySWQiOiI2MTE2MzEwMDYifQ==</vt:lpwstr>
  </property>
</Properties>
</file>