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77425"/>
      <w:bookmarkStart w:id="2" w:name="_Toc15396475"/>
      <w:bookmarkStart w:id="3" w:name="_Toc15396597"/>
      <w:bookmarkStart w:id="4" w:name="_Toc15378441"/>
      <w:bookmarkStart w:id="5" w:name="_Toc15377193"/>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p>
    <w:p>
      <w:pPr>
        <w:adjustRightInd w:val="0"/>
        <w:snapToGrid w:val="0"/>
        <w:spacing w:line="360" w:lineRule="auto"/>
        <w:jc w:val="center"/>
        <w:outlineLvl w:val="0"/>
        <w:rPr>
          <w:rFonts w:hint="default" w:ascii="方正小标宋简体" w:hAnsi="方正小标宋简体" w:eastAsia="方正小标宋简体" w:cs="方正小标宋简体"/>
          <w:color w:val="auto"/>
          <w:sz w:val="72"/>
          <w:szCs w:val="72"/>
          <w:highlight w:val="none"/>
          <w:lang w:val="en-US" w:eastAsia="zh-CN"/>
        </w:rPr>
      </w:pPr>
      <w:bookmarkStart w:id="6" w:name="_Toc15377194"/>
      <w:bookmarkStart w:id="7" w:name="_Toc15377426"/>
      <w:bookmarkStart w:id="8" w:name="_Toc15396598"/>
      <w:bookmarkStart w:id="9" w:name="_Toc15378442"/>
      <w:bookmarkStart w:id="10" w:name="_Toc15396476"/>
      <w:r>
        <w:rPr>
          <w:rFonts w:hint="eastAsia" w:ascii="方正小标宋简体" w:hAnsi="方正小标宋简体" w:eastAsia="方正小标宋简体" w:cs="方正小标宋简体"/>
          <w:color w:val="auto"/>
          <w:sz w:val="72"/>
          <w:szCs w:val="72"/>
          <w:highlight w:val="none"/>
        </w:rPr>
        <w:t>四川省</w:t>
      </w:r>
      <w:bookmarkEnd w:id="0"/>
      <w:bookmarkStart w:id="11" w:name="_Toc15306268"/>
      <w:r>
        <w:rPr>
          <w:rFonts w:hint="eastAsia" w:ascii="方正小标宋简体" w:hAnsi="方正小标宋简体" w:eastAsia="方正小标宋简体" w:cs="方正小标宋简体"/>
          <w:color w:val="auto"/>
          <w:sz w:val="72"/>
          <w:szCs w:val="72"/>
          <w:highlight w:val="none"/>
          <w:lang w:val="en-US" w:eastAsia="zh-CN"/>
        </w:rPr>
        <w:t>广元市昭化区红岩镇人民政府</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pPr>
        <w:adjustRightInd w:val="0"/>
        <w:snapToGrid w:val="0"/>
        <w:spacing w:line="360" w:lineRule="auto"/>
        <w:jc w:val="both"/>
        <w:outlineLvl w:val="0"/>
        <w:rPr>
          <w:rFonts w:ascii="方正小标宋简体" w:hAnsi="宋体" w:eastAsia="方正小标宋简体"/>
          <w:color w:val="auto"/>
          <w:sz w:val="52"/>
          <w:szCs w:val="52"/>
          <w:highlight w:val="none"/>
        </w:rPr>
      </w:pPr>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pStyle w:val="12"/>
        <w:jc w:val="both"/>
        <w:rPr>
          <w:color w:val="auto"/>
          <w:highlight w:val="none"/>
        </w:rPr>
      </w:pPr>
    </w:p>
    <w:p>
      <w:pPr>
        <w:rPr>
          <w:color w:val="auto"/>
          <w:highlight w:val="none"/>
        </w:rPr>
      </w:pPr>
    </w:p>
    <w:p>
      <w:pPr>
        <w:pStyle w:val="12"/>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p>
    <w:p>
      <w:pPr>
        <w:pStyle w:val="13"/>
        <w:adjustRightInd w:val="0"/>
        <w:snapToGrid w:val="0"/>
        <w:spacing w:line="440" w:lineRule="exact"/>
        <w:jc w:val="right"/>
        <w:rPr>
          <w:rFonts w:hint="default" w:eastAsia="宋体"/>
          <w:color w:val="auto"/>
          <w:sz w:val="24"/>
          <w:highlight w:val="none"/>
          <w:lang w:val="en-US" w:eastAsia="zh-CN"/>
        </w:rPr>
      </w:pPr>
      <w:r>
        <w:rPr>
          <w:rFonts w:hint="eastAsia"/>
          <w:color w:val="auto"/>
          <w:sz w:val="24"/>
          <w:highlight w:val="none"/>
        </w:rPr>
        <w:t>一、职能</w:t>
      </w:r>
      <w:r>
        <w:rPr>
          <w:rFonts w:hint="eastAsia"/>
          <w:color w:val="auto"/>
          <w:sz w:val="24"/>
          <w:highlight w:val="none"/>
          <w:lang w:eastAsia="zh-CN"/>
        </w:rPr>
        <w:t>简介</w:t>
      </w:r>
      <w:r>
        <w:rPr>
          <w:rFonts w:hint="eastAsia"/>
          <w:color w:val="auto"/>
          <w:sz w:val="24"/>
          <w:highlight w:val="none"/>
          <w:lang w:val="en-US" w:eastAsia="zh-CN"/>
        </w:rPr>
        <w:t xml:space="preserve">                                                   （4-5）</w:t>
      </w:r>
    </w:p>
    <w:p>
      <w:pPr>
        <w:pStyle w:val="13"/>
        <w:adjustRightInd w:val="0"/>
        <w:snapToGrid w:val="0"/>
        <w:spacing w:line="440" w:lineRule="exact"/>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二、</w:t>
      </w:r>
      <w:r>
        <w:rPr>
          <w:rFonts w:hint="eastAsia" w:asciiTheme="minorEastAsia" w:hAnsiTheme="minorEastAsia" w:eastAsiaTheme="minorEastAsia" w:cstheme="minorEastAsia"/>
          <w:color w:val="auto"/>
          <w:sz w:val="24"/>
          <w:highlight w:val="none"/>
          <w:lang w:val="en-US" w:eastAsia="zh-CN"/>
        </w:rPr>
        <w:t>2021年重点</w:t>
      </w:r>
      <w:r>
        <w:rPr>
          <w:rFonts w:hint="eastAsia" w:asciiTheme="minorEastAsia" w:hAnsiTheme="minorEastAsia" w:eastAsiaTheme="minorEastAsia" w:cstheme="minorEastAsia"/>
          <w:color w:val="auto"/>
          <w:sz w:val="24"/>
          <w:highlight w:val="none"/>
        </w:rPr>
        <w:t>工作</w:t>
      </w:r>
      <w:r>
        <w:rPr>
          <w:rFonts w:hint="eastAsia" w:asciiTheme="minorEastAsia" w:hAnsiTheme="minorEastAsia" w:eastAsiaTheme="minorEastAsia" w:cstheme="minorEastAsia"/>
          <w:color w:val="auto"/>
          <w:sz w:val="24"/>
          <w:highlight w:val="none"/>
          <w:lang w:eastAsia="zh-CN"/>
        </w:rPr>
        <w:t>完成情况</w:t>
      </w:r>
      <w:r>
        <w:rPr>
          <w:rFonts w:hint="eastAsia" w:asciiTheme="minorEastAsia" w:hAnsiTheme="minorEastAsia" w:eastAsiaTheme="minorEastAsia" w:cstheme="minorEastAsia"/>
          <w:color w:val="auto"/>
          <w:sz w:val="24"/>
          <w:highlight w:val="none"/>
          <w:lang w:val="en-US" w:eastAsia="zh-CN"/>
        </w:rPr>
        <w:t xml:space="preserve">                                    （5-6）</w:t>
      </w:r>
    </w:p>
    <w:p>
      <w:pPr>
        <w:pStyle w:val="12"/>
        <w:adjustRightInd w:val="0"/>
        <w:snapToGrid w:val="0"/>
        <w:spacing w:before="0" w:line="440" w:lineRule="exact"/>
        <w:jc w:val="left"/>
        <w:rPr>
          <w:color w:val="auto"/>
          <w:sz w:val="24"/>
          <w:szCs w:val="24"/>
          <w:highlight w:val="none"/>
        </w:rPr>
      </w:pPr>
      <w:r>
        <w:rPr>
          <w:rFonts w:hint="eastAsia"/>
          <w:color w:val="auto"/>
          <w:sz w:val="24"/>
          <w:highlight w:val="none"/>
        </w:rPr>
        <w:t>第二部分</w:t>
      </w:r>
      <w:r>
        <w:rPr>
          <w:rFonts w:hint="eastAsia"/>
          <w:color w:val="auto"/>
          <w:sz w:val="24"/>
          <w:highlight w:val="none"/>
          <w:lang w:val="en-US" w:eastAsia="zh-CN"/>
        </w:rPr>
        <w:t xml:space="preserve"> 2021年度</w:t>
      </w:r>
      <w:r>
        <w:rPr>
          <w:rFonts w:hint="eastAsia"/>
          <w:color w:val="auto"/>
          <w:sz w:val="24"/>
          <w:highlight w:val="none"/>
          <w:lang w:eastAsia="zh-CN"/>
        </w:rPr>
        <w:t>单位</w:t>
      </w:r>
      <w:r>
        <w:rPr>
          <w:rFonts w:hint="eastAsia"/>
          <w:color w:val="auto"/>
          <w:sz w:val="24"/>
          <w:highlight w:val="none"/>
        </w:rPr>
        <w:t>决算情况说明</w:t>
      </w:r>
    </w:p>
    <w:p>
      <w:pPr>
        <w:pStyle w:val="13"/>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一、收入支出决算总体情况说明</w:t>
      </w:r>
      <w:r>
        <w:rPr>
          <w:rFonts w:hint="eastAsia"/>
          <w:color w:val="auto"/>
          <w:sz w:val="24"/>
          <w:highlight w:val="none"/>
          <w:lang w:val="en-US" w:eastAsia="zh-CN"/>
        </w:rPr>
        <w:t xml:space="preserve">                                  （7）</w:t>
      </w:r>
    </w:p>
    <w:p>
      <w:pPr>
        <w:pStyle w:val="13"/>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二、收入决算情况说明</w:t>
      </w:r>
      <w:r>
        <w:rPr>
          <w:rFonts w:hint="eastAsia"/>
          <w:color w:val="auto"/>
          <w:sz w:val="24"/>
          <w:highlight w:val="none"/>
          <w:lang w:val="en-US" w:eastAsia="zh-CN"/>
        </w:rPr>
        <w:t xml:space="preserve">                                           （7）</w:t>
      </w:r>
    </w:p>
    <w:p>
      <w:pPr>
        <w:pStyle w:val="13"/>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三、支出决算情况说明</w:t>
      </w:r>
      <w:r>
        <w:rPr>
          <w:rFonts w:hint="eastAsia"/>
          <w:color w:val="auto"/>
          <w:sz w:val="24"/>
          <w:highlight w:val="none"/>
          <w:lang w:val="en-US" w:eastAsia="zh-CN"/>
        </w:rPr>
        <w:t xml:space="preserve">                                           （8）</w:t>
      </w:r>
    </w:p>
    <w:p>
      <w:pPr>
        <w:pStyle w:val="13"/>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四、财政拨款收入支出决算总体情况说明</w:t>
      </w:r>
      <w:r>
        <w:rPr>
          <w:rFonts w:hint="eastAsia"/>
          <w:color w:val="auto"/>
          <w:sz w:val="24"/>
          <w:highlight w:val="none"/>
          <w:lang w:val="en-US" w:eastAsia="zh-CN"/>
        </w:rPr>
        <w:t xml:space="preserve">                           （8）</w:t>
      </w:r>
    </w:p>
    <w:p>
      <w:pPr>
        <w:pStyle w:val="13"/>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五、一般公共预算财政拨款支出决算情况说明</w:t>
      </w:r>
      <w:r>
        <w:rPr>
          <w:rFonts w:hint="eastAsia"/>
          <w:color w:val="auto"/>
          <w:sz w:val="24"/>
          <w:highlight w:val="none"/>
          <w:lang w:val="en-US" w:eastAsia="zh-CN"/>
        </w:rPr>
        <w:t xml:space="preserve">                      （9-11）      </w:t>
      </w:r>
    </w:p>
    <w:p>
      <w:pPr>
        <w:pStyle w:val="13"/>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六、一般公共预算财政拨款基本支出决算情况说明</w:t>
      </w:r>
      <w:r>
        <w:rPr>
          <w:rFonts w:hint="eastAsia"/>
          <w:color w:val="auto"/>
          <w:sz w:val="24"/>
          <w:highlight w:val="none"/>
          <w:lang w:val="en-US" w:eastAsia="zh-CN"/>
        </w:rPr>
        <w:t xml:space="preserve">                 （11-12）</w:t>
      </w:r>
    </w:p>
    <w:p>
      <w:pPr>
        <w:pStyle w:val="13"/>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七、</w:t>
      </w:r>
      <w:r>
        <w:rPr>
          <w:rFonts w:hint="eastAsia"/>
          <w:color w:val="auto"/>
          <w:sz w:val="24"/>
          <w:highlight w:val="none"/>
          <w:lang w:eastAsia="zh-CN"/>
        </w:rPr>
        <w:t>“</w:t>
      </w:r>
      <w:r>
        <w:rPr>
          <w:rFonts w:hint="eastAsia"/>
          <w:color w:val="auto"/>
          <w:sz w:val="24"/>
          <w:highlight w:val="none"/>
        </w:rPr>
        <w:t>三公”经费财政拨款支出决算情况说明</w:t>
      </w:r>
      <w:r>
        <w:rPr>
          <w:rFonts w:hint="eastAsia"/>
          <w:color w:val="auto"/>
          <w:sz w:val="24"/>
          <w:highlight w:val="none"/>
          <w:lang w:val="en-US" w:eastAsia="zh-CN"/>
        </w:rPr>
        <w:t xml:space="preserve">                       （12-13）</w:t>
      </w:r>
    </w:p>
    <w:p>
      <w:pPr>
        <w:pStyle w:val="13"/>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八、政府性基金预算支出决算情况说明</w:t>
      </w:r>
      <w:r>
        <w:rPr>
          <w:rFonts w:hint="eastAsia"/>
          <w:color w:val="auto"/>
          <w:sz w:val="24"/>
          <w:highlight w:val="none"/>
          <w:lang w:val="en-US" w:eastAsia="zh-CN"/>
        </w:rPr>
        <w:t xml:space="preserve">                           （13）</w:t>
      </w:r>
    </w:p>
    <w:p>
      <w:pPr>
        <w:pStyle w:val="13"/>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九、国有资本经营预算支出决算情况说明</w:t>
      </w:r>
      <w:r>
        <w:rPr>
          <w:rFonts w:hint="eastAsia"/>
          <w:color w:val="auto"/>
          <w:sz w:val="24"/>
          <w:highlight w:val="none"/>
          <w:lang w:val="en-US" w:eastAsia="zh-CN"/>
        </w:rPr>
        <w:t xml:space="preserve">                          （13）</w:t>
      </w:r>
    </w:p>
    <w:p>
      <w:pPr>
        <w:pStyle w:val="13"/>
        <w:adjustRightInd w:val="0"/>
        <w:snapToGrid w:val="0"/>
        <w:spacing w:line="440" w:lineRule="exact"/>
        <w:jc w:val="left"/>
        <w:rPr>
          <w:rFonts w:hint="default" w:eastAsia="宋体"/>
          <w:lang w:val="en-US" w:eastAsia="zh-CN"/>
        </w:rPr>
      </w:pPr>
      <w:r>
        <w:rPr>
          <w:rFonts w:hint="eastAsia"/>
          <w:color w:val="auto"/>
          <w:sz w:val="24"/>
          <w:highlight w:val="none"/>
        </w:rPr>
        <w:t>十、</w:t>
      </w:r>
      <w:r>
        <w:rPr>
          <w:rFonts w:hint="eastAsia" w:asciiTheme="minorEastAsia" w:hAnsiTheme="minorEastAsia" w:eastAsiaTheme="minorEastAsia" w:cstheme="minorEastAsia"/>
          <w:color w:val="auto"/>
          <w:sz w:val="24"/>
          <w:highlight w:val="none"/>
          <w:lang w:val="en-US" w:eastAsia="zh-CN"/>
        </w:rPr>
        <w:t>预算绩效管理情况                                          （13）</w:t>
      </w:r>
    </w:p>
    <w:p>
      <w:pPr>
        <w:pStyle w:val="13"/>
        <w:adjustRightInd w:val="0"/>
        <w:snapToGrid w:val="0"/>
        <w:spacing w:line="440" w:lineRule="exact"/>
        <w:jc w:val="left"/>
        <w:rPr>
          <w:rFonts w:hint="default" w:eastAsia="宋体"/>
          <w:lang w:val="en-US" w:eastAsia="zh-CN"/>
        </w:rPr>
      </w:pPr>
      <w:r>
        <w:rPr>
          <w:rFonts w:hint="eastAsia"/>
          <w:color w:val="auto"/>
          <w:sz w:val="24"/>
          <w:highlight w:val="none"/>
          <w:lang w:val="en-US" w:eastAsia="zh-CN"/>
        </w:rPr>
        <w:t>十一、</w:t>
      </w:r>
      <w:r>
        <w:rPr>
          <w:rFonts w:hint="eastAsia"/>
          <w:color w:val="auto"/>
          <w:sz w:val="24"/>
          <w:highlight w:val="none"/>
        </w:rPr>
        <w:t>其他重要事项的情况说明</w:t>
      </w:r>
      <w:r>
        <w:rPr>
          <w:rFonts w:hint="eastAsia"/>
          <w:color w:val="auto"/>
          <w:sz w:val="24"/>
          <w:highlight w:val="none"/>
          <w:lang w:val="en-US" w:eastAsia="zh-CN"/>
        </w:rPr>
        <w:t xml:space="preserve">                                  （14）</w:t>
      </w:r>
    </w:p>
    <w:p>
      <w:pPr>
        <w:pStyle w:val="12"/>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color w:val="auto"/>
          <w:sz w:val="24"/>
          <w:highlight w:val="none"/>
          <w:lang w:val="en-US" w:eastAsia="zh-CN"/>
        </w:rPr>
        <w:t xml:space="preserve">                                              （15-17）</w:t>
      </w:r>
    </w:p>
    <w:p>
      <w:pPr>
        <w:pStyle w:val="12"/>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color w:val="auto"/>
          <w:sz w:val="24"/>
          <w:highlight w:val="none"/>
          <w:lang w:val="en-US" w:eastAsia="zh-CN"/>
        </w:rPr>
        <w:t xml:space="preserve">                                                  （18-21）</w:t>
      </w:r>
    </w:p>
    <w:p>
      <w:pPr>
        <w:pStyle w:val="12"/>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color w:val="auto"/>
          <w:sz w:val="24"/>
          <w:highlight w:val="none"/>
          <w:lang w:val="en-US" w:eastAsia="zh-CN"/>
        </w:rPr>
        <w:t xml:space="preserve">                                                   （22）</w:t>
      </w:r>
    </w:p>
    <w:p>
      <w:pPr>
        <w:pStyle w:val="13"/>
        <w:adjustRightInd w:val="0"/>
        <w:snapToGrid w:val="0"/>
        <w:spacing w:line="440" w:lineRule="exact"/>
        <w:jc w:val="left"/>
        <w:rPr>
          <w:rFonts w:hint="eastAsia"/>
          <w:color w:val="auto"/>
          <w:sz w:val="24"/>
          <w:highlight w:val="none"/>
        </w:rPr>
      </w:pPr>
      <w:r>
        <w:rPr>
          <w:rFonts w:hint="eastAsia"/>
          <w:color w:val="auto"/>
          <w:sz w:val="24"/>
          <w:highlight w:val="none"/>
        </w:rPr>
        <w:t>一、收入支出决算总表</w:t>
      </w:r>
    </w:p>
    <w:p>
      <w:pPr>
        <w:pStyle w:val="13"/>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p>
    <w:p>
      <w:pPr>
        <w:pStyle w:val="13"/>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p>
    <w:p>
      <w:pPr>
        <w:pStyle w:val="13"/>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p>
    <w:p>
      <w:pPr>
        <w:pStyle w:val="13"/>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p>
    <w:p>
      <w:pPr>
        <w:pStyle w:val="13"/>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p>
    <w:p>
      <w:pPr>
        <w:pStyle w:val="13"/>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p>
    <w:p>
      <w:pPr>
        <w:pStyle w:val="13"/>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八、一般公共预算财政拨款基本支出决算表</w:t>
      </w:r>
    </w:p>
    <w:p>
      <w:pPr>
        <w:pStyle w:val="13"/>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p>
    <w:p>
      <w:pPr>
        <w:pStyle w:val="13"/>
        <w:adjustRightInd w:val="0"/>
        <w:snapToGrid w:val="0"/>
        <w:spacing w:line="440" w:lineRule="exact"/>
        <w:jc w:val="left"/>
        <w:rPr>
          <w:rFonts w:hint="eastAsia"/>
          <w:color w:val="auto"/>
          <w:sz w:val="24"/>
          <w:highlight w:val="none"/>
        </w:rPr>
      </w:pPr>
      <w:r>
        <w:rPr>
          <w:rFonts w:hint="eastAsia"/>
          <w:color w:val="auto"/>
          <w:sz w:val="24"/>
          <w:highlight w:val="none"/>
        </w:rPr>
        <w:t>十、一般公共预算财政拨款“三公”经费支出决算表</w:t>
      </w:r>
    </w:p>
    <w:p>
      <w:pPr>
        <w:pStyle w:val="13"/>
        <w:adjustRightInd w:val="0"/>
        <w:snapToGrid w:val="0"/>
        <w:spacing w:line="440" w:lineRule="exact"/>
        <w:jc w:val="left"/>
        <w:rPr>
          <w:rFonts w:hint="eastAsia"/>
          <w:color w:val="auto"/>
          <w:sz w:val="24"/>
          <w:highlight w:val="none"/>
        </w:rPr>
      </w:pPr>
      <w:r>
        <w:rPr>
          <w:rFonts w:hint="eastAsia"/>
          <w:color w:val="auto"/>
          <w:sz w:val="24"/>
          <w:highlight w:val="none"/>
        </w:rPr>
        <w:t>十一、政府性基金预算财政拨款收入支出决算表</w:t>
      </w:r>
    </w:p>
    <w:p>
      <w:pPr>
        <w:pStyle w:val="13"/>
        <w:adjustRightInd w:val="0"/>
        <w:snapToGrid w:val="0"/>
        <w:spacing w:line="440" w:lineRule="exact"/>
        <w:jc w:val="left"/>
        <w:rPr>
          <w:rFonts w:hint="eastAsia"/>
          <w:color w:val="auto"/>
          <w:sz w:val="24"/>
          <w:highlight w:val="none"/>
        </w:rPr>
      </w:pPr>
      <w:r>
        <w:rPr>
          <w:rFonts w:hint="eastAsia"/>
          <w:color w:val="auto"/>
          <w:sz w:val="24"/>
          <w:highlight w:val="none"/>
        </w:rPr>
        <w:t>十二、政府性基金预算财政拨款“三公”经费支出决算表</w:t>
      </w:r>
    </w:p>
    <w:p>
      <w:pPr>
        <w:pStyle w:val="13"/>
        <w:adjustRightInd w:val="0"/>
        <w:snapToGrid w:val="0"/>
        <w:spacing w:line="440" w:lineRule="exact"/>
        <w:jc w:val="left"/>
        <w:rPr>
          <w:rFonts w:hint="eastAsia"/>
          <w:color w:val="auto"/>
          <w:sz w:val="24"/>
          <w:highlight w:val="none"/>
        </w:rPr>
      </w:pPr>
      <w:r>
        <w:rPr>
          <w:rFonts w:hint="eastAsia"/>
          <w:color w:val="auto"/>
          <w:sz w:val="24"/>
          <w:highlight w:val="none"/>
        </w:rPr>
        <w:t>十三、国有资本经营预算</w:t>
      </w:r>
      <w:r>
        <w:rPr>
          <w:rFonts w:hint="eastAsia"/>
          <w:color w:val="auto"/>
          <w:sz w:val="24"/>
          <w:highlight w:val="none"/>
          <w:lang w:eastAsia="zh-CN"/>
        </w:rPr>
        <w:t>财政拨款收入</w:t>
      </w:r>
      <w:r>
        <w:rPr>
          <w:rFonts w:hint="eastAsia"/>
          <w:color w:val="auto"/>
          <w:sz w:val="24"/>
          <w:highlight w:val="none"/>
        </w:rPr>
        <w:t>支出决算表</w:t>
      </w:r>
    </w:p>
    <w:p>
      <w:pPr>
        <w:pStyle w:val="13"/>
        <w:adjustRightInd w:val="0"/>
        <w:snapToGrid w:val="0"/>
        <w:spacing w:line="440" w:lineRule="exact"/>
        <w:jc w:val="left"/>
        <w:rPr>
          <w:rFonts w:hint="default"/>
          <w:color w:val="auto"/>
          <w:sz w:val="24"/>
          <w:highlight w:val="none"/>
          <w:lang w:val="en-US" w:eastAsia="zh-CN"/>
        </w:rPr>
      </w:pPr>
      <w:r>
        <w:rPr>
          <w:rFonts w:hint="eastAsia"/>
          <w:color w:val="auto"/>
          <w:sz w:val="24"/>
          <w:highlight w:val="none"/>
          <w:lang w:val="en-US" w:eastAsia="zh-CN"/>
        </w:rPr>
        <w:t>十四、国有资本经营预算财政拨款支出决算表</w:t>
      </w:r>
    </w:p>
    <w:p>
      <w:pPr>
        <w:pStyle w:val="4"/>
        <w:jc w:val="center"/>
        <w:rPr>
          <w:rFonts w:hint="eastAsia" w:ascii="黑体" w:hAnsi="黑体" w:eastAsia="黑体"/>
          <w:b w:val="0"/>
          <w:color w:val="auto"/>
          <w:highlight w:val="none"/>
        </w:rPr>
      </w:pPr>
      <w:bookmarkStart w:id="12" w:name="_Toc15377196"/>
      <w:bookmarkStart w:id="13" w:name="_Toc15396599"/>
    </w:p>
    <w:p>
      <w:pPr>
        <w:pStyle w:val="4"/>
        <w:jc w:val="center"/>
        <w:rPr>
          <w:rFonts w:hint="eastAsia" w:ascii="黑体" w:hAnsi="黑体" w:eastAsia="黑体"/>
          <w:b w:val="0"/>
          <w:color w:val="auto"/>
          <w:highlight w:val="none"/>
        </w:rPr>
      </w:pPr>
    </w:p>
    <w:p>
      <w:pPr>
        <w:rPr>
          <w:rFonts w:hint="eastAsia" w:ascii="黑体" w:hAnsi="黑体" w:eastAsia="黑体"/>
          <w:b w:val="0"/>
          <w:color w:val="auto"/>
          <w:highlight w:val="none"/>
        </w:rPr>
      </w:pPr>
    </w:p>
    <w:p>
      <w:pPr>
        <w:pStyle w:val="2"/>
        <w:rPr>
          <w:rFonts w:hint="eastAsia" w:ascii="黑体" w:hAnsi="黑体" w:eastAsia="黑体"/>
          <w:b w:val="0"/>
          <w:color w:val="auto"/>
          <w:highlight w:val="none"/>
        </w:rPr>
      </w:pPr>
    </w:p>
    <w:p>
      <w:pPr>
        <w:pStyle w:val="2"/>
        <w:rPr>
          <w:rFonts w:hint="eastAsia" w:ascii="黑体" w:hAnsi="黑体" w:eastAsia="黑体"/>
          <w:b w:val="0"/>
          <w:color w:val="auto"/>
          <w:highlight w:val="none"/>
        </w:rPr>
      </w:pPr>
    </w:p>
    <w:p>
      <w:pPr>
        <w:pStyle w:val="2"/>
        <w:rPr>
          <w:rFonts w:hint="eastAsia" w:ascii="黑体" w:hAnsi="黑体" w:eastAsia="黑体"/>
          <w:b w:val="0"/>
          <w:color w:val="auto"/>
          <w:highlight w:val="none"/>
        </w:rPr>
      </w:pPr>
    </w:p>
    <w:p>
      <w:pPr>
        <w:pStyle w:val="2"/>
        <w:rPr>
          <w:rFonts w:hint="eastAsia" w:ascii="黑体" w:hAnsi="黑体" w:eastAsia="黑体"/>
          <w:b w:val="0"/>
          <w:color w:val="auto"/>
          <w:highlight w:val="none"/>
        </w:rPr>
      </w:pPr>
    </w:p>
    <w:p>
      <w:pPr>
        <w:pStyle w:val="2"/>
        <w:rPr>
          <w:rFonts w:hint="eastAsia" w:ascii="黑体" w:hAnsi="黑体" w:eastAsia="黑体"/>
          <w:b w:val="0"/>
          <w:color w:val="auto"/>
          <w:highlight w:val="none"/>
        </w:rPr>
      </w:pPr>
    </w:p>
    <w:p>
      <w:pPr>
        <w:pStyle w:val="2"/>
        <w:rPr>
          <w:rFonts w:hint="eastAsia" w:ascii="黑体" w:hAnsi="黑体" w:eastAsia="黑体"/>
          <w:b w:val="0"/>
          <w:color w:val="auto"/>
          <w:highlight w:val="none"/>
        </w:rPr>
      </w:pPr>
    </w:p>
    <w:p>
      <w:pPr>
        <w:pStyle w:val="2"/>
        <w:rPr>
          <w:rFonts w:hint="eastAsia" w:ascii="黑体" w:hAnsi="黑体" w:eastAsia="黑体"/>
          <w:b w:val="0"/>
          <w:color w:val="auto"/>
          <w:highlight w:val="none"/>
        </w:rPr>
      </w:pPr>
    </w:p>
    <w:p>
      <w:pPr>
        <w:pStyle w:val="2"/>
        <w:rPr>
          <w:rFonts w:hint="eastAsia" w:ascii="黑体" w:hAnsi="黑体" w:eastAsia="黑体"/>
          <w:b w:val="0"/>
          <w:color w:val="auto"/>
          <w:highlight w:val="none"/>
        </w:rPr>
      </w:pPr>
    </w:p>
    <w:p>
      <w:pPr>
        <w:pStyle w:val="2"/>
        <w:rPr>
          <w:rFonts w:hint="eastAsia" w:ascii="黑体" w:hAnsi="黑体" w:eastAsia="黑体"/>
          <w:b w:val="0"/>
          <w:color w:val="auto"/>
          <w:highlight w:val="none"/>
        </w:rPr>
      </w:pPr>
    </w:p>
    <w:p>
      <w:pPr>
        <w:pStyle w:val="2"/>
        <w:rPr>
          <w:rFonts w:hint="eastAsia" w:ascii="黑体" w:hAnsi="黑体" w:eastAsia="黑体"/>
          <w:b w:val="0"/>
          <w:color w:val="auto"/>
          <w:highlight w:val="none"/>
        </w:rPr>
      </w:pPr>
    </w:p>
    <w:p>
      <w:pPr>
        <w:pStyle w:val="2"/>
        <w:rPr>
          <w:rFonts w:hint="eastAsia" w:ascii="黑体" w:hAnsi="黑体" w:eastAsia="黑体"/>
          <w:b w:val="0"/>
          <w:color w:val="auto"/>
          <w:highlight w:val="none"/>
        </w:rPr>
      </w:pPr>
    </w:p>
    <w:p>
      <w:pPr>
        <w:pStyle w:val="2"/>
        <w:rPr>
          <w:rFonts w:hint="eastAsia" w:ascii="黑体" w:hAnsi="黑体" w:eastAsia="黑体"/>
          <w:b w:val="0"/>
          <w:color w:val="auto"/>
          <w:highlight w:val="none"/>
        </w:rPr>
      </w:pPr>
    </w:p>
    <w:p>
      <w:pPr>
        <w:pStyle w:val="2"/>
        <w:rPr>
          <w:rFonts w:hint="eastAsia" w:ascii="黑体" w:hAnsi="黑体" w:eastAsia="黑体"/>
          <w:b w:val="0"/>
          <w:color w:val="auto"/>
          <w:highlight w:val="none"/>
        </w:rPr>
      </w:pPr>
    </w:p>
    <w:p>
      <w:pPr>
        <w:pStyle w:val="2"/>
        <w:rPr>
          <w:rFonts w:hint="eastAsia" w:ascii="黑体" w:hAnsi="黑体" w:eastAsia="黑体"/>
          <w:b w:val="0"/>
          <w:color w:val="auto"/>
          <w:highlight w:val="none"/>
        </w:rPr>
      </w:pPr>
    </w:p>
    <w:p>
      <w:pPr>
        <w:pStyle w:val="2"/>
        <w:rPr>
          <w:rFonts w:hint="eastAsia" w:ascii="黑体" w:hAnsi="黑体" w:eastAsia="黑体"/>
          <w:b w:val="0"/>
          <w:color w:val="auto"/>
          <w:highlight w:val="none"/>
        </w:rPr>
      </w:pPr>
    </w:p>
    <w:p>
      <w:pPr>
        <w:pStyle w:val="2"/>
        <w:rPr>
          <w:rFonts w:hint="eastAsia" w:ascii="黑体" w:hAnsi="黑体" w:eastAsia="黑体"/>
          <w:b w:val="0"/>
          <w:color w:val="auto"/>
          <w:highlight w:val="none"/>
        </w:rPr>
      </w:pPr>
    </w:p>
    <w:p>
      <w:pPr>
        <w:pStyle w:val="2"/>
        <w:rPr>
          <w:rFonts w:hint="eastAsia" w:ascii="黑体" w:hAnsi="黑体" w:eastAsia="黑体"/>
          <w:b w:val="0"/>
          <w:color w:val="auto"/>
          <w:highlight w:val="none"/>
        </w:rPr>
      </w:pPr>
      <w:bookmarkStart w:id="68" w:name="_GoBack"/>
      <w:bookmarkEnd w:id="68"/>
    </w:p>
    <w:p>
      <w:pPr>
        <w:pStyle w:val="4"/>
        <w:jc w:val="center"/>
        <w:rPr>
          <w:rStyle w:val="26"/>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6"/>
          <w:rFonts w:hint="eastAsia" w:ascii="黑体" w:hAnsi="黑体" w:eastAsia="黑体"/>
          <w:b w:val="0"/>
          <w:bCs w:val="0"/>
          <w:color w:val="auto"/>
          <w:highlight w:val="none"/>
        </w:rPr>
        <w:t>概况</w:t>
      </w:r>
      <w:bookmarkEnd w:id="12"/>
      <w:bookmarkEnd w:id="13"/>
    </w:p>
    <w:p>
      <w:pPr>
        <w:widowControl/>
        <w:jc w:val="left"/>
        <w:rPr>
          <w:rFonts w:ascii="黑体" w:eastAsia="黑体"/>
          <w:color w:val="auto"/>
          <w:sz w:val="32"/>
          <w:szCs w:val="32"/>
          <w:highlight w:val="none"/>
        </w:rPr>
      </w:pPr>
    </w:p>
    <w:p>
      <w:pPr>
        <w:pStyle w:val="5"/>
        <w:numPr>
          <w:ilvl w:val="0"/>
          <w:numId w:val="0"/>
        </w:numPr>
        <w:rPr>
          <w:rStyle w:val="27"/>
          <w:rFonts w:hint="eastAsia" w:ascii="黑体" w:hAnsi="黑体" w:eastAsia="黑体"/>
          <w:b w:val="0"/>
          <w:bCs w:val="0"/>
          <w:color w:val="auto"/>
          <w:highlight w:val="none"/>
          <w:lang w:eastAsia="zh-CN"/>
        </w:rPr>
      </w:pPr>
      <w:bookmarkStart w:id="14" w:name="_Toc15377197"/>
      <w:bookmarkStart w:id="15" w:name="_Toc15396600"/>
      <w:r>
        <w:rPr>
          <w:rStyle w:val="27"/>
          <w:rFonts w:hint="eastAsia" w:ascii="黑体" w:hAnsi="黑体" w:eastAsia="黑体"/>
          <w:b w:val="0"/>
          <w:bCs w:val="0"/>
          <w:color w:val="auto"/>
          <w:highlight w:val="none"/>
          <w:lang w:eastAsia="zh-CN"/>
        </w:rPr>
        <w:t>一、</w:t>
      </w:r>
      <w:r>
        <w:rPr>
          <w:rStyle w:val="27"/>
          <w:rFonts w:hint="eastAsia" w:ascii="黑体" w:hAnsi="黑体" w:eastAsia="黑体"/>
          <w:b w:val="0"/>
          <w:bCs w:val="0"/>
          <w:color w:val="auto"/>
          <w:highlight w:val="none"/>
        </w:rPr>
        <w:t>职能</w:t>
      </w:r>
      <w:r>
        <w:rPr>
          <w:rStyle w:val="27"/>
          <w:rFonts w:hint="eastAsia" w:ascii="黑体" w:hAnsi="黑体" w:eastAsia="黑体"/>
          <w:b w:val="0"/>
          <w:bCs w:val="0"/>
          <w:color w:val="auto"/>
          <w:highlight w:val="none"/>
          <w:lang w:eastAsia="zh-CN"/>
        </w:rPr>
        <w:t>简介</w:t>
      </w:r>
    </w:p>
    <w:p>
      <w:pPr>
        <w:spacing w:line="576" w:lineRule="exact"/>
        <w:ind w:right="640" w:firstLine="716" w:firstLineChars="224"/>
        <w:rPr>
          <w:rFonts w:eastAsia="仿宋_GB2312"/>
          <w:sz w:val="32"/>
          <w:szCs w:val="32"/>
        </w:rPr>
      </w:pPr>
      <w:r>
        <w:rPr>
          <w:rFonts w:eastAsia="仿宋_GB2312"/>
          <w:sz w:val="32"/>
          <w:szCs w:val="32"/>
        </w:rPr>
        <w:t>（一）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p>
    <w:p>
      <w:pPr>
        <w:spacing w:line="576" w:lineRule="exact"/>
        <w:ind w:right="640" w:firstLine="716" w:firstLineChars="224"/>
        <w:rPr>
          <w:rFonts w:eastAsia="仿宋_GB2312"/>
          <w:sz w:val="32"/>
          <w:szCs w:val="32"/>
        </w:rPr>
      </w:pPr>
      <w:r>
        <w:rPr>
          <w:rFonts w:eastAsia="仿宋_GB2312"/>
          <w:sz w:val="32"/>
          <w:szCs w:val="32"/>
        </w:rPr>
        <w:t>（二）制定并组织实施村镇建设规划，部署重点工程建设，地方道路建设及公共设施，水利设施的管理，负责土地、林木、水等自然资源和生态环境的保护，做好护林防火工作。</w:t>
      </w:r>
    </w:p>
    <w:p>
      <w:pPr>
        <w:spacing w:line="576" w:lineRule="exact"/>
        <w:ind w:right="640" w:firstLine="716" w:firstLineChars="224"/>
        <w:rPr>
          <w:rFonts w:eastAsia="仿宋_GB2312"/>
          <w:sz w:val="32"/>
          <w:szCs w:val="32"/>
        </w:rPr>
      </w:pPr>
      <w:r>
        <w:rPr>
          <w:rFonts w:eastAsia="仿宋_GB2312"/>
          <w:sz w:val="32"/>
          <w:szCs w:val="32"/>
        </w:rPr>
        <w:t>（三）负责本行政区域内的民政、计划生育、文化教育、卫生、体育等社会公益事业的综合性工作，维护一切经济单位和个人的正当经济权益，取缔非法经济活动，调解和处理民事纠纷，打击刑事犯罪维护社会稳定。</w:t>
      </w:r>
    </w:p>
    <w:p>
      <w:pPr>
        <w:spacing w:line="576" w:lineRule="exact"/>
        <w:ind w:right="640" w:firstLine="716" w:firstLineChars="224"/>
        <w:rPr>
          <w:rFonts w:eastAsia="仿宋_GB2312"/>
          <w:sz w:val="32"/>
          <w:szCs w:val="32"/>
        </w:rPr>
      </w:pPr>
      <w:r>
        <w:rPr>
          <w:rFonts w:eastAsia="仿宋_GB2312"/>
          <w:sz w:val="32"/>
          <w:szCs w:val="32"/>
        </w:rPr>
        <w:t>（四）按计划组织本级财政收入和地方税的征收，完成国家财政计划，不断培植税源，管好财政资金，增强财政实力。</w:t>
      </w:r>
    </w:p>
    <w:p>
      <w:pPr>
        <w:spacing w:line="576" w:lineRule="exact"/>
        <w:ind w:right="640" w:firstLine="716" w:firstLineChars="224"/>
        <w:rPr>
          <w:rFonts w:eastAsia="仿宋_GB2312"/>
          <w:sz w:val="32"/>
          <w:szCs w:val="32"/>
        </w:rPr>
      </w:pPr>
      <w:r>
        <w:rPr>
          <w:rFonts w:eastAsia="仿宋_GB2312"/>
          <w:sz w:val="32"/>
          <w:szCs w:val="32"/>
        </w:rPr>
        <w:t>（五）抓好精神文明建设，丰富群众文化生活，提倡移风易俗，反对封建迷信，破除陈规陋习，树立社会主义新风尚。</w:t>
      </w:r>
    </w:p>
    <w:p>
      <w:pPr>
        <w:spacing w:line="576" w:lineRule="exact"/>
        <w:ind w:right="640" w:firstLine="716" w:firstLineChars="224"/>
        <w:rPr>
          <w:rFonts w:eastAsia="仿宋_GB2312"/>
          <w:sz w:val="32"/>
          <w:szCs w:val="32"/>
        </w:rPr>
      </w:pPr>
      <w:r>
        <w:rPr>
          <w:rFonts w:eastAsia="仿宋_GB2312"/>
          <w:sz w:val="32"/>
          <w:szCs w:val="32"/>
        </w:rPr>
        <w:t>（六）执行本级人民代表大会的决议和上级国家行政机关的决定和命令，发布决定和命令。</w:t>
      </w:r>
    </w:p>
    <w:p>
      <w:pPr>
        <w:spacing w:line="576" w:lineRule="exact"/>
        <w:ind w:right="640" w:firstLine="716" w:firstLineChars="224"/>
        <w:rPr>
          <w:rFonts w:eastAsia="仿宋_GB2312"/>
          <w:sz w:val="32"/>
          <w:szCs w:val="32"/>
        </w:rPr>
      </w:pPr>
      <w:r>
        <w:rPr>
          <w:rFonts w:eastAsia="仿宋_GB2312"/>
          <w:sz w:val="32"/>
          <w:szCs w:val="32"/>
        </w:rPr>
        <w:t>（七）执行本行政区域内的经济和社会发展计划、预算。管理本行政区域内的经济、教育、科学、文化、卫生、体育事业和财政、民政、公安、司法行政、计划生育等行政工作。</w:t>
      </w:r>
    </w:p>
    <w:p>
      <w:pPr>
        <w:spacing w:line="576" w:lineRule="exact"/>
        <w:ind w:right="640" w:firstLine="716" w:firstLineChars="224"/>
        <w:rPr>
          <w:rFonts w:eastAsia="仿宋_GB2312"/>
          <w:sz w:val="32"/>
          <w:szCs w:val="32"/>
        </w:rPr>
      </w:pPr>
      <w:r>
        <w:rPr>
          <w:rFonts w:eastAsia="仿宋_GB2312"/>
          <w:sz w:val="32"/>
          <w:szCs w:val="32"/>
        </w:rPr>
        <w:t>（八）保护好社会主义全民所有的财产和劳动群众集体所有财产，保护公民私有的合法财产，维护社会秩序，保障公民的人身权利、民主权利和其他权利。</w:t>
      </w:r>
    </w:p>
    <w:p>
      <w:pPr>
        <w:spacing w:line="576" w:lineRule="exact"/>
        <w:ind w:right="640" w:firstLine="716" w:firstLineChars="224"/>
        <w:rPr>
          <w:rFonts w:eastAsia="仿宋_GB2312"/>
          <w:sz w:val="32"/>
          <w:szCs w:val="32"/>
        </w:rPr>
      </w:pPr>
      <w:r>
        <w:rPr>
          <w:rFonts w:eastAsia="仿宋_GB2312"/>
          <w:sz w:val="32"/>
          <w:szCs w:val="32"/>
        </w:rPr>
        <w:t>（九）保障农村集体经济组织应有的自主权。</w:t>
      </w:r>
    </w:p>
    <w:p>
      <w:pPr>
        <w:spacing w:line="576" w:lineRule="exact"/>
        <w:ind w:right="640" w:firstLine="716" w:firstLineChars="224"/>
        <w:rPr>
          <w:rFonts w:eastAsia="仿宋_GB2312"/>
          <w:sz w:val="32"/>
          <w:szCs w:val="32"/>
        </w:rPr>
      </w:pPr>
      <w:r>
        <w:rPr>
          <w:rFonts w:eastAsia="仿宋_GB2312"/>
          <w:sz w:val="32"/>
          <w:szCs w:val="32"/>
        </w:rPr>
        <w:t>（十）保障少数民族的权利和尊重少数民族的风俗习惯。</w:t>
      </w:r>
    </w:p>
    <w:p>
      <w:pPr>
        <w:spacing w:line="576" w:lineRule="exact"/>
        <w:ind w:right="640" w:firstLine="716" w:firstLineChars="224"/>
        <w:rPr>
          <w:rFonts w:eastAsia="仿宋_GB2312"/>
          <w:sz w:val="32"/>
          <w:szCs w:val="32"/>
        </w:rPr>
      </w:pPr>
      <w:r>
        <w:rPr>
          <w:rFonts w:eastAsia="仿宋_GB2312"/>
          <w:sz w:val="32"/>
          <w:szCs w:val="32"/>
        </w:rPr>
        <w:t>（十一）保障宪法和法律赋予妇女的男女平等、同工同酬和婚姻自由平等各项权利。</w:t>
      </w:r>
    </w:p>
    <w:p>
      <w:pPr>
        <w:spacing w:line="576" w:lineRule="exact"/>
        <w:ind w:right="640" w:firstLine="716" w:firstLineChars="224"/>
        <w:rPr>
          <w:rFonts w:eastAsia="仿宋_GB2312"/>
          <w:sz w:val="32"/>
          <w:szCs w:val="32"/>
        </w:rPr>
      </w:pPr>
      <w:r>
        <w:rPr>
          <w:rFonts w:eastAsia="仿宋_GB2312"/>
          <w:sz w:val="32"/>
          <w:szCs w:val="32"/>
        </w:rPr>
        <w:t>（十二）完成和办理上级人民政府交办的其他事项。</w:t>
      </w:r>
    </w:p>
    <w:p>
      <w:pPr>
        <w:pStyle w:val="5"/>
        <w:numPr>
          <w:ilvl w:val="0"/>
          <w:numId w:val="0"/>
        </w:numPr>
        <w:rPr>
          <w:rFonts w:hint="eastAsia" w:ascii="黑体" w:hAnsi="黑体" w:eastAsia="黑体"/>
          <w:b w:val="0"/>
          <w:color w:val="auto"/>
          <w:highlight w:val="none"/>
        </w:rPr>
      </w:pPr>
      <w:r>
        <w:rPr>
          <w:rFonts w:hint="eastAsia" w:ascii="黑体" w:hAnsi="黑体" w:eastAsia="黑体"/>
          <w:b w:val="0"/>
          <w:color w:val="auto"/>
          <w:highlight w:val="none"/>
          <w:lang w:val="en-US" w:eastAsia="zh-CN"/>
        </w:rPr>
        <w:t>二、2021年重点</w:t>
      </w:r>
      <w:r>
        <w:rPr>
          <w:rFonts w:hint="eastAsia" w:ascii="黑体" w:hAnsi="黑体" w:eastAsia="黑体"/>
          <w:b w:val="0"/>
          <w:color w:val="auto"/>
          <w:highlight w:val="none"/>
        </w:rPr>
        <w:t>工作</w:t>
      </w:r>
      <w:bookmarkEnd w:id="14"/>
      <w:bookmarkEnd w:id="15"/>
      <w:r>
        <w:rPr>
          <w:rFonts w:hint="eastAsia" w:ascii="黑体" w:hAnsi="黑体" w:eastAsia="黑体"/>
          <w:b w:val="0"/>
          <w:color w:val="auto"/>
          <w:highlight w:val="none"/>
          <w:lang w:eastAsia="zh-CN"/>
        </w:rPr>
        <w:t>完成情况</w:t>
      </w:r>
    </w:p>
    <w:p>
      <w:pPr>
        <w:spacing w:line="560" w:lineRule="exact"/>
        <w:ind w:firstLine="640" w:firstLineChars="200"/>
        <w:rPr>
          <w:rFonts w:eastAsia="仿宋_GB2312"/>
          <w:color w:val="auto"/>
          <w:sz w:val="32"/>
          <w:szCs w:val="32"/>
        </w:rPr>
      </w:pPr>
      <w:r>
        <w:rPr>
          <w:rFonts w:eastAsia="楷体_GB2312"/>
          <w:color w:val="auto"/>
          <w:sz w:val="32"/>
          <w:szCs w:val="32"/>
        </w:rPr>
        <w:t>（一）项目投资高速增长。</w:t>
      </w:r>
      <w:r>
        <w:rPr>
          <w:rFonts w:eastAsia="仿宋_GB2312"/>
          <w:color w:val="auto"/>
          <w:sz w:val="32"/>
          <w:szCs w:val="32"/>
        </w:rPr>
        <w:t>坚持“引好项目、抓大项目、建民生项目”的发展理念，全年招商引资明珠矿业重晶石加工厂等项目10个，签约资金达2.3亿元，完成固定资产投资</w:t>
      </w:r>
      <w:r>
        <w:rPr>
          <w:rFonts w:hint="eastAsia" w:eastAsia="仿宋_GB2312"/>
          <w:color w:val="auto"/>
          <w:sz w:val="32"/>
          <w:szCs w:val="32"/>
        </w:rPr>
        <w:t>8287</w:t>
      </w:r>
      <w:r>
        <w:rPr>
          <w:rFonts w:eastAsia="仿宋_GB2312"/>
          <w:color w:val="auto"/>
          <w:sz w:val="32"/>
          <w:szCs w:val="32"/>
        </w:rPr>
        <w:t>万元。环湖旅游路、广绵高速复线等省市区重点项目稳步推进。</w:t>
      </w:r>
    </w:p>
    <w:p>
      <w:pPr>
        <w:spacing w:line="560" w:lineRule="exact"/>
        <w:ind w:firstLine="640" w:firstLineChars="200"/>
        <w:rPr>
          <w:rFonts w:eastAsia="仿宋_GB2312"/>
          <w:color w:val="auto"/>
          <w:sz w:val="32"/>
          <w:szCs w:val="32"/>
        </w:rPr>
      </w:pPr>
      <w:r>
        <w:rPr>
          <w:rFonts w:eastAsia="楷体_GB2312"/>
          <w:color w:val="auto"/>
          <w:sz w:val="32"/>
          <w:szCs w:val="32"/>
        </w:rPr>
        <w:t>（二）园区建设管护效益显著。</w:t>
      </w:r>
      <w:r>
        <w:rPr>
          <w:rFonts w:eastAsia="仿宋_GB2312"/>
          <w:color w:val="auto"/>
          <w:sz w:val="32"/>
          <w:szCs w:val="32"/>
        </w:rPr>
        <w:t>加强对辖区特色小水果园区的建设管护，双凤园区顺利通过省级</w:t>
      </w:r>
      <w:r>
        <w:rPr>
          <w:rFonts w:hint="eastAsia" w:eastAsia="仿宋_GB2312"/>
          <w:color w:val="auto"/>
          <w:sz w:val="32"/>
          <w:szCs w:val="32"/>
        </w:rPr>
        <w:t>五</w:t>
      </w:r>
      <w:r>
        <w:rPr>
          <w:rFonts w:eastAsia="仿宋_GB2312"/>
          <w:color w:val="auto"/>
          <w:sz w:val="32"/>
          <w:szCs w:val="32"/>
        </w:rPr>
        <w:t>星级园区</w:t>
      </w:r>
      <w:r>
        <w:rPr>
          <w:rFonts w:hint="eastAsia" w:eastAsia="仿宋_GB2312"/>
          <w:color w:val="auto"/>
          <w:sz w:val="32"/>
          <w:szCs w:val="32"/>
        </w:rPr>
        <w:t>验收</w:t>
      </w:r>
      <w:r>
        <w:rPr>
          <w:rFonts w:eastAsia="仿宋_GB2312"/>
          <w:color w:val="auto"/>
          <w:sz w:val="32"/>
          <w:szCs w:val="32"/>
        </w:rPr>
        <w:t>。</w:t>
      </w:r>
    </w:p>
    <w:p>
      <w:pPr>
        <w:spacing w:line="560" w:lineRule="exact"/>
        <w:ind w:firstLine="640" w:firstLineChars="200"/>
        <w:rPr>
          <w:rFonts w:eastAsia="仿宋_GB2312"/>
          <w:color w:val="auto"/>
          <w:sz w:val="32"/>
          <w:szCs w:val="32"/>
        </w:rPr>
      </w:pPr>
      <w:r>
        <w:rPr>
          <w:rFonts w:eastAsia="楷体_GB2312"/>
          <w:color w:val="auto"/>
          <w:sz w:val="32"/>
          <w:szCs w:val="32"/>
        </w:rPr>
        <w:t>（三）生猪稳产保供成效突出。</w:t>
      </w:r>
      <w:r>
        <w:rPr>
          <w:rFonts w:hint="eastAsia" w:eastAsia="楷体_GB2312"/>
          <w:color w:val="auto"/>
          <w:sz w:val="32"/>
          <w:szCs w:val="32"/>
        </w:rPr>
        <w:t>新好、牧康养殖场实现正常投产，</w:t>
      </w:r>
      <w:r>
        <w:rPr>
          <w:rFonts w:hint="eastAsia" w:eastAsia="仿宋_GB2312"/>
          <w:color w:val="auto"/>
          <w:sz w:val="32"/>
          <w:szCs w:val="32"/>
        </w:rPr>
        <w:t>截至目前出</w:t>
      </w:r>
      <w:r>
        <w:rPr>
          <w:rFonts w:eastAsia="仿宋_GB2312"/>
          <w:color w:val="auto"/>
          <w:sz w:val="32"/>
          <w:szCs w:val="32"/>
        </w:rPr>
        <w:t>栏生猪</w:t>
      </w:r>
      <w:r>
        <w:rPr>
          <w:rFonts w:hint="eastAsia" w:eastAsia="仿宋_GB2312"/>
          <w:color w:val="auto"/>
          <w:sz w:val="32"/>
          <w:szCs w:val="32"/>
        </w:rPr>
        <w:t>6.</w:t>
      </w:r>
      <w:r>
        <w:rPr>
          <w:rFonts w:hint="eastAsia" w:eastAsia="仿宋_GB2312"/>
          <w:color w:val="auto"/>
          <w:sz w:val="32"/>
          <w:szCs w:val="32"/>
          <w:lang w:val="en-US" w:eastAsia="zh-CN"/>
        </w:rPr>
        <w:t>6</w:t>
      </w:r>
      <w:r>
        <w:rPr>
          <w:rFonts w:eastAsia="仿宋_GB2312"/>
          <w:color w:val="auto"/>
          <w:sz w:val="32"/>
          <w:szCs w:val="32"/>
        </w:rPr>
        <w:t>万头</w:t>
      </w:r>
      <w:r>
        <w:rPr>
          <w:rFonts w:hint="eastAsia" w:eastAsia="仿宋_GB2312"/>
          <w:color w:val="auto"/>
          <w:sz w:val="32"/>
          <w:szCs w:val="32"/>
        </w:rPr>
        <w:t>、仔猪</w:t>
      </w:r>
      <w:r>
        <w:rPr>
          <w:rFonts w:hint="eastAsia" w:eastAsia="仿宋_GB2312"/>
          <w:color w:val="auto"/>
          <w:sz w:val="32"/>
          <w:szCs w:val="32"/>
          <w:lang w:val="en-US" w:eastAsia="zh-CN"/>
        </w:rPr>
        <w:t>6.03</w:t>
      </w:r>
      <w:r>
        <w:rPr>
          <w:rFonts w:hint="eastAsia" w:eastAsia="仿宋_GB2312"/>
          <w:color w:val="auto"/>
          <w:sz w:val="32"/>
          <w:szCs w:val="32"/>
        </w:rPr>
        <w:t>万头，</w:t>
      </w:r>
      <w:r>
        <w:rPr>
          <w:rFonts w:eastAsia="仿宋_GB2312"/>
          <w:color w:val="auto"/>
          <w:sz w:val="32"/>
          <w:szCs w:val="32"/>
        </w:rPr>
        <w:t>全区排名</w:t>
      </w:r>
      <w:r>
        <w:rPr>
          <w:rFonts w:hint="eastAsia" w:eastAsia="仿宋_GB2312"/>
          <w:color w:val="auto"/>
          <w:sz w:val="32"/>
          <w:szCs w:val="32"/>
          <w:lang w:eastAsia="zh-CN"/>
        </w:rPr>
        <w:t>从去年第三跃升为</w:t>
      </w:r>
      <w:r>
        <w:rPr>
          <w:rFonts w:eastAsia="仿宋_GB2312"/>
          <w:color w:val="auto"/>
          <w:sz w:val="32"/>
          <w:szCs w:val="32"/>
        </w:rPr>
        <w:t>第一。</w:t>
      </w:r>
    </w:p>
    <w:p>
      <w:pPr>
        <w:spacing w:line="560" w:lineRule="exact"/>
        <w:ind w:firstLine="640" w:firstLineChars="200"/>
        <w:rPr>
          <w:rFonts w:eastAsia="仿宋_GB2312"/>
          <w:color w:val="auto"/>
          <w:sz w:val="32"/>
          <w:szCs w:val="32"/>
        </w:rPr>
      </w:pPr>
      <w:r>
        <w:rPr>
          <w:rFonts w:eastAsia="楷体_GB2312"/>
          <w:color w:val="auto"/>
          <w:sz w:val="32"/>
          <w:szCs w:val="32"/>
        </w:rPr>
        <w:t>（</w:t>
      </w:r>
      <w:r>
        <w:rPr>
          <w:rFonts w:hint="eastAsia" w:eastAsia="楷体_GB2312"/>
          <w:color w:val="auto"/>
          <w:sz w:val="32"/>
          <w:szCs w:val="32"/>
        </w:rPr>
        <w:t>四</w:t>
      </w:r>
      <w:r>
        <w:rPr>
          <w:rFonts w:eastAsia="楷体_GB2312"/>
          <w:color w:val="auto"/>
          <w:sz w:val="32"/>
          <w:szCs w:val="32"/>
        </w:rPr>
        <w:t>）商贸物流蓬勃发展。</w:t>
      </w:r>
      <w:r>
        <w:rPr>
          <w:rFonts w:eastAsia="仿宋_GB2312"/>
          <w:color w:val="auto"/>
          <w:sz w:val="32"/>
          <w:szCs w:val="32"/>
        </w:rPr>
        <w:t>主动融入成渝双城经济圈，</w:t>
      </w:r>
      <w:r>
        <w:rPr>
          <w:rFonts w:hint="eastAsia" w:eastAsia="仿宋_GB2312"/>
          <w:color w:val="auto"/>
          <w:sz w:val="32"/>
          <w:szCs w:val="32"/>
        </w:rPr>
        <w:t>10月20日</w:t>
      </w:r>
      <w:r>
        <w:rPr>
          <w:rFonts w:eastAsia="仿宋_GB2312"/>
          <w:color w:val="auto"/>
          <w:sz w:val="32"/>
          <w:szCs w:val="32"/>
        </w:rPr>
        <w:t>“疆煤入渝”</w:t>
      </w:r>
      <w:r>
        <w:rPr>
          <w:rFonts w:hint="eastAsia" w:eastAsia="仿宋_GB2312"/>
          <w:color w:val="auto"/>
          <w:sz w:val="32"/>
          <w:szCs w:val="32"/>
        </w:rPr>
        <w:t>从广元港完成首发，</w:t>
      </w:r>
      <w:r>
        <w:rPr>
          <w:rFonts w:eastAsia="仿宋_GB2312"/>
          <w:color w:val="auto"/>
          <w:sz w:val="32"/>
          <w:szCs w:val="32"/>
        </w:rPr>
        <w:t>广元港成为疆煤、宁煤、陕煤等入渝的重要通道。</w:t>
      </w:r>
    </w:p>
    <w:p>
      <w:pPr>
        <w:spacing w:line="560" w:lineRule="exact"/>
        <w:ind w:firstLine="640" w:firstLineChars="200"/>
        <w:rPr>
          <w:rFonts w:eastAsia="仿宋_GB2312"/>
          <w:color w:val="auto"/>
          <w:sz w:val="32"/>
          <w:szCs w:val="32"/>
        </w:rPr>
      </w:pPr>
      <w:r>
        <w:rPr>
          <w:rFonts w:eastAsia="楷体_GB2312"/>
          <w:color w:val="auto"/>
          <w:sz w:val="32"/>
          <w:szCs w:val="32"/>
        </w:rPr>
        <w:t>（</w:t>
      </w:r>
      <w:r>
        <w:rPr>
          <w:rFonts w:hint="eastAsia" w:eastAsia="楷体_GB2312"/>
          <w:color w:val="auto"/>
          <w:sz w:val="32"/>
          <w:szCs w:val="32"/>
        </w:rPr>
        <w:t>五</w:t>
      </w:r>
      <w:r>
        <w:rPr>
          <w:rFonts w:eastAsia="楷体_GB2312"/>
          <w:color w:val="auto"/>
          <w:sz w:val="32"/>
          <w:szCs w:val="32"/>
        </w:rPr>
        <w:t>）</w:t>
      </w:r>
      <w:r>
        <w:rPr>
          <w:rFonts w:hint="eastAsia" w:eastAsia="楷体_GB2312"/>
          <w:color w:val="auto"/>
          <w:sz w:val="32"/>
          <w:szCs w:val="32"/>
        </w:rPr>
        <w:t>持续加强</w:t>
      </w:r>
      <w:r>
        <w:rPr>
          <w:rFonts w:eastAsia="楷体_GB2312"/>
          <w:color w:val="auto"/>
          <w:sz w:val="32"/>
          <w:szCs w:val="32"/>
        </w:rPr>
        <w:t>宣传工作。</w:t>
      </w:r>
      <w:r>
        <w:rPr>
          <w:rFonts w:eastAsia="仿宋_GB2312"/>
          <w:color w:val="auto"/>
          <w:sz w:val="32"/>
          <w:szCs w:val="32"/>
        </w:rPr>
        <w:t>打好传统媒体和新媒体结合牌，在市级以上主流媒体发布信息报道40余条，讲好红岩故事，传递红岩声音。</w:t>
      </w:r>
    </w:p>
    <w:p>
      <w:pPr>
        <w:pStyle w:val="7"/>
        <w:rPr>
          <w:rFonts w:eastAsia="仿宋_GB2312"/>
          <w:sz w:val="32"/>
          <w:szCs w:val="32"/>
        </w:rPr>
      </w:pPr>
    </w:p>
    <w:p>
      <w:pPr>
        <w:pStyle w:val="7"/>
        <w:rPr>
          <w:rFonts w:eastAsia="仿宋_GB2312"/>
          <w:sz w:val="32"/>
          <w:szCs w:val="32"/>
        </w:rPr>
      </w:pPr>
    </w:p>
    <w:p>
      <w:pPr>
        <w:pStyle w:val="7"/>
        <w:rPr>
          <w:rFonts w:eastAsia="仿宋_GB2312"/>
          <w:sz w:val="32"/>
          <w:szCs w:val="32"/>
        </w:rPr>
      </w:pPr>
    </w:p>
    <w:p>
      <w:pPr>
        <w:pStyle w:val="7"/>
        <w:rPr>
          <w:rFonts w:eastAsia="仿宋_GB2312"/>
          <w:sz w:val="32"/>
          <w:szCs w:val="32"/>
        </w:rPr>
      </w:pPr>
    </w:p>
    <w:p>
      <w:pPr>
        <w:pStyle w:val="7"/>
        <w:rPr>
          <w:rFonts w:eastAsia="仿宋_GB2312"/>
          <w:sz w:val="32"/>
          <w:szCs w:val="32"/>
        </w:rPr>
      </w:pPr>
    </w:p>
    <w:p>
      <w:pPr>
        <w:pStyle w:val="7"/>
        <w:rPr>
          <w:rFonts w:eastAsia="仿宋_GB2312"/>
          <w:sz w:val="32"/>
          <w:szCs w:val="32"/>
        </w:rPr>
      </w:pPr>
    </w:p>
    <w:p>
      <w:pPr>
        <w:pStyle w:val="7"/>
        <w:rPr>
          <w:rFonts w:eastAsia="仿宋_GB2312"/>
          <w:sz w:val="32"/>
          <w:szCs w:val="32"/>
        </w:rPr>
      </w:pPr>
    </w:p>
    <w:p>
      <w:pPr>
        <w:pStyle w:val="7"/>
        <w:rPr>
          <w:rFonts w:eastAsia="仿宋_GB2312"/>
          <w:sz w:val="32"/>
          <w:szCs w:val="32"/>
        </w:rPr>
      </w:pPr>
    </w:p>
    <w:p>
      <w:pPr>
        <w:pStyle w:val="7"/>
        <w:rPr>
          <w:rFonts w:eastAsia="仿宋_GB2312"/>
          <w:sz w:val="32"/>
          <w:szCs w:val="32"/>
        </w:rPr>
      </w:pPr>
    </w:p>
    <w:p>
      <w:pPr>
        <w:pStyle w:val="7"/>
        <w:rPr>
          <w:rFonts w:eastAsia="仿宋_GB2312"/>
          <w:sz w:val="32"/>
          <w:szCs w:val="32"/>
        </w:rPr>
      </w:pPr>
    </w:p>
    <w:p>
      <w:pPr>
        <w:pStyle w:val="7"/>
        <w:rPr>
          <w:rFonts w:eastAsia="仿宋_GB2312"/>
          <w:sz w:val="32"/>
          <w:szCs w:val="32"/>
        </w:rPr>
      </w:pPr>
    </w:p>
    <w:p>
      <w:pPr>
        <w:pStyle w:val="7"/>
        <w:rPr>
          <w:rFonts w:eastAsia="仿宋_GB2312"/>
          <w:sz w:val="32"/>
          <w:szCs w:val="32"/>
        </w:rPr>
      </w:pPr>
    </w:p>
    <w:p>
      <w:pPr>
        <w:pStyle w:val="4"/>
        <w:ind w:right="440"/>
        <w:jc w:val="center"/>
        <w:rPr>
          <w:rStyle w:val="26"/>
          <w:rFonts w:ascii="黑体" w:hAnsi="黑体" w:eastAsia="黑体"/>
          <w:b w:val="0"/>
          <w:bCs/>
          <w:color w:val="auto"/>
          <w:highlight w:val="none"/>
        </w:rPr>
      </w:pPr>
      <w:bookmarkStart w:id="16" w:name="_Toc15396602"/>
      <w:bookmarkStart w:id="17"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6"/>
          <w:rFonts w:hint="eastAsia" w:ascii="黑体" w:hAnsi="黑体" w:eastAsia="黑体"/>
          <w:b w:val="0"/>
          <w:bCs/>
          <w:color w:val="auto"/>
          <w:highlight w:val="none"/>
          <w:lang w:eastAsia="zh-CN"/>
        </w:rPr>
        <w:t>单位</w:t>
      </w:r>
      <w:r>
        <w:rPr>
          <w:rStyle w:val="26"/>
          <w:rFonts w:hint="eastAsia" w:ascii="黑体" w:hAnsi="黑体" w:eastAsia="黑体"/>
          <w:b w:val="0"/>
          <w:bCs/>
          <w:color w:val="auto"/>
          <w:highlight w:val="none"/>
        </w:rPr>
        <w:t>决算情况说明</w:t>
      </w:r>
      <w:bookmarkEnd w:id="16"/>
      <w:bookmarkEnd w:id="17"/>
    </w:p>
    <w:p>
      <w:pPr>
        <w:rPr>
          <w:color w:val="auto"/>
          <w:highlight w:val="none"/>
        </w:rPr>
      </w:pPr>
    </w:p>
    <w:p>
      <w:pPr>
        <w:pStyle w:val="25"/>
        <w:numPr>
          <w:ilvl w:val="0"/>
          <w:numId w:val="1"/>
        </w:numPr>
        <w:spacing w:line="600" w:lineRule="exact"/>
        <w:ind w:firstLineChars="0"/>
        <w:outlineLvl w:val="1"/>
        <w:rPr>
          <w:rStyle w:val="27"/>
          <w:rFonts w:ascii="黑体" w:hAnsi="黑体" w:eastAsia="黑体"/>
          <w:b w:val="0"/>
          <w:color w:val="auto"/>
          <w:highlight w:val="none"/>
        </w:rPr>
      </w:pPr>
      <w:bookmarkStart w:id="18" w:name="_Toc15396603"/>
      <w:bookmarkStart w:id="19" w:name="_Toc15377205"/>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入支出决算总体情况说明</w:t>
      </w:r>
      <w:bookmarkEnd w:id="18"/>
      <w:bookmarkEnd w:id="19"/>
    </w:p>
    <w:p>
      <w:pPr>
        <w:spacing w:line="600" w:lineRule="exact"/>
        <w:ind w:firstLine="640" w:firstLineChars="200"/>
        <w:rPr>
          <w:rFonts w:eastAsia="仿宋_GB2312"/>
          <w:sz w:val="32"/>
          <w:szCs w:val="32"/>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eastAsia="仿宋_GB2312"/>
          <w:sz w:val="32"/>
          <w:szCs w:val="32"/>
          <w:highlight w:val="none"/>
          <w:lang w:val="en-US" w:eastAsia="zh-CN"/>
        </w:rPr>
        <w:t>1425.74</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w:t>
      </w:r>
      <w:r>
        <w:rPr>
          <w:rFonts w:hint="eastAsia" w:eastAsia="仿宋_GB2312"/>
          <w:sz w:val="32"/>
          <w:szCs w:val="32"/>
          <w:lang w:val="en-US" w:eastAsia="zh-CN"/>
        </w:rPr>
        <w:t>减少596.84</w:t>
      </w:r>
      <w:r>
        <w:rPr>
          <w:rFonts w:eastAsia="仿宋_GB2312"/>
          <w:sz w:val="32"/>
          <w:szCs w:val="32"/>
        </w:rPr>
        <w:t>万元，</w:t>
      </w:r>
      <w:r>
        <w:rPr>
          <w:rFonts w:hint="eastAsia" w:eastAsia="仿宋_GB2312"/>
          <w:sz w:val="32"/>
          <w:szCs w:val="32"/>
          <w:lang w:val="en-US" w:eastAsia="zh-CN"/>
        </w:rPr>
        <w:t>减少20.56%</w:t>
      </w:r>
      <w:r>
        <w:rPr>
          <w:rFonts w:hint="eastAsia" w:ascii="仿宋" w:hAnsi="仿宋" w:eastAsia="仿宋"/>
          <w:color w:val="auto"/>
          <w:sz w:val="32"/>
          <w:szCs w:val="32"/>
          <w:highlight w:val="none"/>
        </w:rPr>
        <w:t>。</w:t>
      </w:r>
      <w:r>
        <w:rPr>
          <w:rFonts w:hint="eastAsia" w:eastAsia="仿宋_GB2312"/>
          <w:sz w:val="32"/>
          <w:szCs w:val="32"/>
          <w:lang w:val="en-US" w:eastAsia="zh-CN"/>
        </w:rPr>
        <w:t>主要原因：项目支出减少</w:t>
      </w:r>
      <w:r>
        <w:rPr>
          <w:rFonts w:eastAsia="仿宋_GB2312"/>
          <w:sz w:val="32"/>
          <w:szCs w:val="32"/>
        </w:rPr>
        <w:t>。</w:t>
      </w:r>
    </w:p>
    <w:p>
      <w:pPr>
        <w:pStyle w:val="7"/>
      </w:pPr>
      <w:r>
        <w:drawing>
          <wp:inline distT="0" distB="0" distL="114300" distR="114300">
            <wp:extent cx="5389880" cy="2753360"/>
            <wp:effectExtent l="4445" t="4445" r="15875" b="61595"/>
            <wp:docPr id="11" name="图表 10" descr="7b0a202020202263686172745265734964223a202232303437323034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5"/>
        <w:numPr>
          <w:ilvl w:val="0"/>
          <w:numId w:val="1"/>
        </w:numPr>
        <w:spacing w:line="600" w:lineRule="exact"/>
        <w:ind w:firstLineChars="0"/>
        <w:outlineLvl w:val="1"/>
        <w:rPr>
          <w:rStyle w:val="27"/>
          <w:rFonts w:ascii="黑体" w:hAnsi="黑体" w:eastAsia="黑体"/>
          <w:b w:val="0"/>
          <w:color w:val="auto"/>
          <w:highlight w:val="none"/>
        </w:rPr>
      </w:pPr>
      <w:bookmarkStart w:id="20" w:name="_Toc15396604"/>
      <w:bookmarkStart w:id="21" w:name="_Toc15377206"/>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入决算情况说明</w:t>
      </w:r>
      <w:bookmarkEnd w:id="20"/>
      <w:bookmarkEnd w:id="21"/>
    </w:p>
    <w:p>
      <w:pPr>
        <w:spacing w:line="600" w:lineRule="exact"/>
        <w:ind w:firstLine="640" w:firstLineChars="200"/>
        <w:outlineLvl w:val="1"/>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1385.54</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1385.54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7"/>
        <w:rPr>
          <w:rFonts w:ascii="仿宋" w:hAnsi="仿宋" w:eastAsia="仿宋"/>
          <w:color w:val="auto"/>
          <w:sz w:val="32"/>
          <w:szCs w:val="32"/>
          <w:highlight w:val="none"/>
        </w:rPr>
      </w:pPr>
      <w:r>
        <w:drawing>
          <wp:inline distT="0" distB="0" distL="114300" distR="114300">
            <wp:extent cx="5200650" cy="2409190"/>
            <wp:effectExtent l="4445" t="4445" r="14605" b="62865"/>
            <wp:docPr id="12" name="图表 11"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5"/>
        <w:numPr>
          <w:ilvl w:val="0"/>
          <w:numId w:val="1"/>
        </w:numPr>
        <w:spacing w:line="600" w:lineRule="exact"/>
        <w:ind w:firstLineChars="0"/>
        <w:outlineLvl w:val="1"/>
        <w:rPr>
          <w:rStyle w:val="27"/>
          <w:rFonts w:ascii="黑体" w:hAnsi="黑体" w:eastAsia="黑体"/>
          <w:b w:val="0"/>
          <w:color w:val="auto"/>
          <w:highlight w:val="none"/>
        </w:rPr>
      </w:pPr>
      <w:bookmarkStart w:id="22" w:name="_Toc15377207"/>
      <w:bookmarkStart w:id="23" w:name="_Toc15396605"/>
      <w:r>
        <w:rPr>
          <w:rFonts w:hint="eastAsia" w:ascii="黑体" w:hAnsi="黑体" w:eastAsia="黑体"/>
          <w:color w:val="auto"/>
          <w:sz w:val="32"/>
          <w:szCs w:val="32"/>
          <w:highlight w:val="none"/>
        </w:rPr>
        <w:t>支</w:t>
      </w:r>
      <w:r>
        <w:rPr>
          <w:rStyle w:val="27"/>
          <w:rFonts w:hint="eastAsia" w:ascii="黑体" w:hAnsi="黑体" w:eastAsia="黑体"/>
          <w:b w:val="0"/>
          <w:color w:val="auto"/>
          <w:highlight w:val="none"/>
        </w:rPr>
        <w:t>出决算情况说明</w:t>
      </w:r>
      <w:bookmarkEnd w:id="22"/>
      <w:bookmarkEnd w:id="23"/>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1425.74</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1289.3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90.43</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136.44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9.57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7"/>
        <w:rPr>
          <w:rFonts w:ascii="仿宋" w:hAnsi="仿宋" w:eastAsia="仿宋"/>
          <w:color w:val="auto"/>
          <w:sz w:val="32"/>
          <w:szCs w:val="32"/>
          <w:highlight w:val="none"/>
          <w:shd w:val="pct10" w:color="auto" w:fill="FFFFFF"/>
        </w:rPr>
      </w:pPr>
      <w:r>
        <w:drawing>
          <wp:inline distT="0" distB="0" distL="114300" distR="114300">
            <wp:extent cx="5267325" cy="2771775"/>
            <wp:effectExtent l="4445" t="4445" r="5080" b="5080"/>
            <wp:docPr id="13" name="图表 12" descr="7b0a202020202263686172745265734964223a20223230343731333838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27"/>
          <w:rFonts w:ascii="黑体" w:hAnsi="黑体" w:eastAsia="黑体"/>
          <w:b w:val="0"/>
          <w:color w:val="auto"/>
          <w:highlight w:val="none"/>
        </w:rPr>
      </w:pPr>
      <w:bookmarkStart w:id="24" w:name="_Toc15396606"/>
      <w:bookmarkStart w:id="25" w:name="_Toc15377208"/>
      <w:r>
        <w:rPr>
          <w:rFonts w:hint="eastAsia" w:ascii="黑体" w:hAnsi="黑体" w:eastAsia="黑体"/>
          <w:color w:val="auto"/>
          <w:sz w:val="32"/>
          <w:szCs w:val="32"/>
          <w:highlight w:val="none"/>
        </w:rPr>
        <w:t>四、财</w:t>
      </w:r>
      <w:r>
        <w:rPr>
          <w:rStyle w:val="27"/>
          <w:rFonts w:hint="eastAsia" w:ascii="黑体" w:hAnsi="黑体" w:eastAsia="黑体"/>
          <w:b w:val="0"/>
          <w:color w:val="auto"/>
          <w:highlight w:val="none"/>
        </w:rPr>
        <w:t>政拨款收入支出决算总体情况说明</w:t>
      </w:r>
      <w:bookmarkEnd w:id="24"/>
      <w:bookmarkEnd w:id="25"/>
    </w:p>
    <w:p>
      <w:pPr>
        <w:spacing w:line="600" w:lineRule="exact"/>
        <w:ind w:firstLine="640"/>
        <w:rPr>
          <w:rFonts w:eastAsia="仿宋_GB2312"/>
          <w:sz w:val="32"/>
          <w:szCs w:val="32"/>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eastAsia="仿宋_GB2312"/>
          <w:sz w:val="32"/>
          <w:szCs w:val="32"/>
          <w:highlight w:val="none"/>
          <w:lang w:val="en-US" w:eastAsia="zh-CN"/>
        </w:rPr>
        <w:t>1425.74</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w:t>
      </w:r>
      <w:r>
        <w:rPr>
          <w:rFonts w:hint="eastAsia" w:eastAsia="仿宋_GB2312"/>
          <w:sz w:val="32"/>
          <w:szCs w:val="32"/>
          <w:lang w:val="en-US" w:eastAsia="zh-CN"/>
        </w:rPr>
        <w:t>减少596.84</w:t>
      </w:r>
      <w:r>
        <w:rPr>
          <w:rFonts w:eastAsia="仿宋_GB2312"/>
          <w:sz w:val="32"/>
          <w:szCs w:val="32"/>
        </w:rPr>
        <w:t>万元，</w:t>
      </w:r>
      <w:r>
        <w:rPr>
          <w:rFonts w:hint="eastAsia" w:eastAsia="仿宋_GB2312"/>
          <w:sz w:val="32"/>
          <w:szCs w:val="32"/>
          <w:lang w:val="en-US" w:eastAsia="zh-CN"/>
        </w:rPr>
        <w:t>减少20.56%</w:t>
      </w:r>
      <w:r>
        <w:rPr>
          <w:rFonts w:hint="eastAsia" w:ascii="仿宋" w:hAnsi="仿宋" w:eastAsia="仿宋"/>
          <w:color w:val="auto"/>
          <w:sz w:val="32"/>
          <w:szCs w:val="32"/>
          <w:highlight w:val="none"/>
        </w:rPr>
        <w:t>。</w:t>
      </w:r>
      <w:r>
        <w:rPr>
          <w:rFonts w:hint="eastAsia" w:eastAsia="仿宋_GB2312"/>
          <w:sz w:val="32"/>
          <w:szCs w:val="32"/>
          <w:lang w:val="en-US" w:eastAsia="zh-CN"/>
        </w:rPr>
        <w:t>主要原因：项目支出减少</w:t>
      </w:r>
      <w:r>
        <w:rPr>
          <w:rFonts w:eastAsia="仿宋_GB2312"/>
          <w:sz w:val="32"/>
          <w:szCs w:val="32"/>
        </w:rPr>
        <w:t>。</w:t>
      </w:r>
    </w:p>
    <w:p>
      <w:pPr>
        <w:pStyle w:val="7"/>
        <w:rPr>
          <w:rFonts w:eastAsia="仿宋_GB2312"/>
          <w:sz w:val="32"/>
          <w:szCs w:val="32"/>
        </w:rPr>
      </w:pPr>
      <w:r>
        <w:drawing>
          <wp:inline distT="0" distB="0" distL="114300" distR="114300">
            <wp:extent cx="5389880" cy="2753360"/>
            <wp:effectExtent l="4445" t="4445" r="15875" b="61595"/>
            <wp:docPr id="1" name="图表 10" descr="7b0a202020202263686172745265734964223a202232303437323034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7"/>
          <w:rFonts w:ascii="黑体" w:hAnsi="黑体" w:eastAsia="黑体"/>
          <w:b w:val="0"/>
          <w:color w:val="auto"/>
          <w:highlight w:val="none"/>
        </w:rPr>
      </w:pPr>
      <w:bookmarkStart w:id="26" w:name="_Toc15377209"/>
      <w:bookmarkStart w:id="27"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般公共预算财政拨款支出决算情况说明</w:t>
      </w:r>
      <w:bookmarkEnd w:id="26"/>
      <w:bookmarkEnd w:id="27"/>
    </w:p>
    <w:p>
      <w:pPr>
        <w:spacing w:line="600" w:lineRule="exact"/>
        <w:ind w:firstLine="643" w:firstLineChars="200"/>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pPr>
        <w:spacing w:line="600" w:lineRule="exact"/>
        <w:ind w:firstLine="640" w:firstLineChars="200"/>
        <w:rPr>
          <w:rFonts w:hint="eastAsia"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1425.74</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eastAsia="仿宋_GB2312"/>
          <w:sz w:val="32"/>
          <w:szCs w:val="32"/>
          <w:lang w:val="en-US" w:eastAsia="zh-CN"/>
        </w:rPr>
        <w:t>减少596.84</w:t>
      </w:r>
      <w:r>
        <w:rPr>
          <w:rFonts w:eastAsia="仿宋_GB2312"/>
          <w:sz w:val="32"/>
          <w:szCs w:val="32"/>
        </w:rPr>
        <w:t>万元，</w:t>
      </w:r>
      <w:r>
        <w:rPr>
          <w:rFonts w:hint="eastAsia" w:eastAsia="仿宋_GB2312"/>
          <w:sz w:val="32"/>
          <w:szCs w:val="32"/>
          <w:lang w:val="en-US" w:eastAsia="zh-CN"/>
        </w:rPr>
        <w:t>减少20.56%</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项目支出减少。</w:t>
      </w:r>
    </w:p>
    <w:p>
      <w:pPr>
        <w:pStyle w:val="7"/>
        <w:rPr>
          <w:rFonts w:hint="eastAsia" w:ascii="仿宋" w:hAnsi="仿宋" w:eastAsia="仿宋"/>
          <w:color w:val="auto"/>
          <w:sz w:val="32"/>
          <w:szCs w:val="32"/>
          <w:highlight w:val="none"/>
          <w:lang w:val="en-US" w:eastAsia="zh-CN"/>
        </w:rPr>
      </w:pPr>
      <w:r>
        <w:drawing>
          <wp:inline distT="0" distB="0" distL="114300" distR="114300">
            <wp:extent cx="5269865" cy="2320925"/>
            <wp:effectExtent l="4445" t="4445" r="21590" b="55880"/>
            <wp:docPr id="14" name="图表 13" descr="7b0a202020202263686172745265734964223a202232303437323034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3" w:firstLineChars="200"/>
        <w:outlineLvl w:val="2"/>
        <w:rPr>
          <w:rFonts w:ascii="仿宋" w:hAnsi="仿宋" w:eastAsia="仿宋"/>
          <w:b/>
          <w:color w:val="auto"/>
          <w:sz w:val="32"/>
          <w:szCs w:val="32"/>
          <w:highlight w:val="none"/>
        </w:rPr>
      </w:pPr>
      <w:bookmarkStart w:id="29" w:name="_Toc15377211"/>
      <w:r>
        <w:rPr>
          <w:rFonts w:hint="eastAsia" w:ascii="仿宋" w:hAnsi="仿宋" w:eastAsia="仿宋"/>
          <w:b/>
          <w:color w:val="auto"/>
          <w:sz w:val="32"/>
          <w:szCs w:val="32"/>
          <w:highlight w:val="none"/>
        </w:rPr>
        <w:t>（二）一般公共预算财政拨款支出决算结构情况</w:t>
      </w:r>
      <w:bookmarkEnd w:id="29"/>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1425.74</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bookmarkStart w:id="30" w:name="OLE_LINK1"/>
      <w:r>
        <w:rPr>
          <w:rFonts w:hint="eastAsia" w:ascii="仿宋" w:hAnsi="仿宋" w:eastAsia="仿宋"/>
          <w:b/>
          <w:color w:val="auto"/>
          <w:sz w:val="32"/>
          <w:szCs w:val="32"/>
          <w:highlight w:val="none"/>
        </w:rPr>
        <w:t>一般公共服务（类）</w:t>
      </w:r>
      <w:r>
        <w:rPr>
          <w:rFonts w:hint="eastAsia" w:ascii="仿宋" w:hAnsi="仿宋" w:eastAsia="仿宋"/>
          <w:color w:val="auto"/>
          <w:sz w:val="32"/>
          <w:szCs w:val="32"/>
          <w:highlight w:val="none"/>
        </w:rPr>
        <w:t>支出</w:t>
      </w:r>
      <w:bookmarkEnd w:id="30"/>
      <w:r>
        <w:rPr>
          <w:rFonts w:hint="eastAsia" w:ascii="仿宋" w:hAnsi="仿宋" w:eastAsia="仿宋"/>
          <w:color w:val="auto"/>
          <w:sz w:val="32"/>
          <w:szCs w:val="32"/>
          <w:highlight w:val="none"/>
          <w:lang w:val="en-US" w:eastAsia="zh-CN"/>
        </w:rPr>
        <w:t>581.12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40.76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文化旅游体育与传媒（类）支出1.97万元，占</w:t>
      </w:r>
      <w:r>
        <w:rPr>
          <w:rFonts w:hint="eastAsia" w:ascii="仿宋" w:hAnsi="仿宋" w:eastAsia="仿宋"/>
          <w:b/>
          <w:bCs/>
          <w:color w:val="auto"/>
          <w:sz w:val="32"/>
          <w:szCs w:val="32"/>
          <w:highlight w:val="none"/>
          <w:lang w:val="en-US" w:eastAsia="zh-CN"/>
        </w:rPr>
        <w:t>0.14</w:t>
      </w:r>
      <w:r>
        <w:rPr>
          <w:rFonts w:ascii="仿宋" w:hAnsi="仿宋" w:eastAsia="仿宋"/>
          <w:b/>
          <w:bCs/>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支出67.42万元，占</w:t>
      </w:r>
      <w:r>
        <w:rPr>
          <w:rFonts w:hint="eastAsia" w:ascii="仿宋" w:hAnsi="仿宋" w:eastAsia="仿宋"/>
          <w:color w:val="auto"/>
          <w:sz w:val="32"/>
          <w:szCs w:val="32"/>
          <w:highlight w:val="none"/>
          <w:lang w:val="en-US" w:eastAsia="zh-CN"/>
        </w:rPr>
        <w:t>4.73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rPr>
        <w:t>41.33万元，占</w:t>
      </w:r>
      <w:r>
        <w:rPr>
          <w:rFonts w:hint="eastAsia" w:ascii="仿宋" w:hAnsi="仿宋" w:eastAsia="仿宋"/>
          <w:color w:val="auto"/>
          <w:sz w:val="32"/>
          <w:szCs w:val="32"/>
          <w:highlight w:val="none"/>
          <w:lang w:val="en-US" w:eastAsia="zh-CN"/>
        </w:rPr>
        <w:t>2.9</w:t>
      </w:r>
      <w:r>
        <w:rPr>
          <w:rFonts w:ascii="仿宋" w:hAnsi="仿宋" w:eastAsia="仿宋"/>
          <w:color w:val="auto"/>
          <w:sz w:val="32"/>
          <w:szCs w:val="32"/>
          <w:highlight w:val="none"/>
        </w:rPr>
        <w:t>%</w:t>
      </w:r>
      <w:r>
        <w:rPr>
          <w:rFonts w:hint="eastAsia" w:ascii="仿宋" w:hAnsi="仿宋" w:eastAsia="仿宋"/>
          <w:color w:val="auto"/>
          <w:sz w:val="32"/>
          <w:szCs w:val="32"/>
          <w:highlight w:val="none"/>
        </w:rPr>
        <w:t>；城乡社区支出</w:t>
      </w:r>
      <w:r>
        <w:rPr>
          <w:rFonts w:hint="eastAsia" w:ascii="仿宋" w:hAnsi="仿宋" w:eastAsia="仿宋"/>
          <w:color w:val="auto"/>
          <w:sz w:val="32"/>
          <w:szCs w:val="32"/>
          <w:highlight w:val="none"/>
          <w:lang w:val="en-US" w:eastAsia="zh-CN"/>
        </w:rPr>
        <w:t>9万元，占0.63%；农林水支出657.07万元，占46.08%；</w:t>
      </w:r>
      <w:r>
        <w:rPr>
          <w:rFonts w:hint="eastAsia" w:ascii="仿宋" w:hAnsi="仿宋" w:eastAsia="仿宋"/>
          <w:color w:val="auto"/>
          <w:sz w:val="32"/>
          <w:szCs w:val="32"/>
          <w:highlight w:val="none"/>
        </w:rPr>
        <w:t>住房保障支出</w:t>
      </w:r>
      <w:r>
        <w:rPr>
          <w:rFonts w:hint="eastAsia" w:ascii="仿宋" w:hAnsi="仿宋" w:eastAsia="仿宋"/>
          <w:color w:val="auto"/>
          <w:sz w:val="32"/>
          <w:szCs w:val="32"/>
          <w:highlight w:val="none"/>
          <w:lang w:val="en-US" w:eastAsia="zh-CN"/>
        </w:rPr>
        <w:t>67.83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4.76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7"/>
        <w:rPr>
          <w:rFonts w:hint="eastAsia" w:ascii="仿宋" w:hAnsi="仿宋" w:eastAsia="仿宋"/>
          <w:color w:val="auto"/>
          <w:sz w:val="32"/>
          <w:szCs w:val="32"/>
          <w:highlight w:val="none"/>
        </w:rPr>
      </w:pPr>
    </w:p>
    <w:p>
      <w:pPr>
        <w:pStyle w:val="7"/>
        <w:rPr>
          <w:rFonts w:hint="eastAsia" w:ascii="仿宋" w:hAnsi="仿宋" w:eastAsia="仿宋"/>
          <w:color w:val="auto"/>
          <w:sz w:val="32"/>
          <w:szCs w:val="32"/>
          <w:highlight w:val="none"/>
        </w:rPr>
      </w:pPr>
    </w:p>
    <w:p>
      <w:pPr>
        <w:pStyle w:val="7"/>
        <w:rPr>
          <w:rFonts w:hint="eastAsia" w:ascii="仿宋" w:hAnsi="仿宋" w:eastAsia="仿宋"/>
          <w:color w:val="auto"/>
          <w:sz w:val="32"/>
          <w:szCs w:val="32"/>
          <w:highlight w:val="none"/>
        </w:rPr>
      </w:pPr>
      <w:r>
        <w:drawing>
          <wp:inline distT="0" distB="0" distL="114300" distR="114300">
            <wp:extent cx="5353050" cy="2383155"/>
            <wp:effectExtent l="4445" t="4445" r="14605" b="50800"/>
            <wp:docPr id="15" name="图表 14"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hAnsi="仿宋" w:eastAsia="仿宋"/>
          <w:b/>
          <w:color w:val="auto"/>
          <w:sz w:val="32"/>
          <w:szCs w:val="32"/>
          <w:highlight w:val="none"/>
        </w:rPr>
      </w:pPr>
      <w:bookmarkStart w:id="31" w:name="_Toc15377212"/>
      <w:r>
        <w:rPr>
          <w:rFonts w:hint="eastAsia" w:ascii="仿宋" w:hAnsi="仿宋" w:eastAsia="仿宋"/>
          <w:b/>
          <w:color w:val="auto"/>
          <w:sz w:val="32"/>
          <w:szCs w:val="32"/>
          <w:highlight w:val="none"/>
        </w:rPr>
        <w:t>（三）一般公共预算财政拨款支出决算具体情况</w:t>
      </w:r>
      <w:bookmarkEnd w:id="31"/>
    </w:p>
    <w:p>
      <w:pPr>
        <w:spacing w:line="600" w:lineRule="exact"/>
        <w:ind w:firstLine="643" w:firstLineChars="200"/>
        <w:outlineLvl w:val="2"/>
        <w:rPr>
          <w:rFonts w:ascii="仿宋" w:hAnsi="仿宋" w:eastAsia="仿宋"/>
          <w:color w:val="auto"/>
          <w:sz w:val="32"/>
          <w:szCs w:val="32"/>
          <w:highlight w:val="none"/>
        </w:rPr>
      </w:pPr>
      <w:bookmarkStart w:id="32" w:name="_Toc15377444"/>
      <w:bookmarkStart w:id="33" w:name="_Toc15377213"/>
      <w:bookmarkStart w:id="34" w:name="_Toc15378460"/>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color w:val="auto"/>
          <w:sz w:val="32"/>
          <w:szCs w:val="32"/>
          <w:highlight w:val="none"/>
          <w:lang w:val="en-US" w:eastAsia="zh-CN"/>
        </w:rPr>
        <w:t>1425.74万元</w:t>
      </w:r>
      <w:r>
        <w:rPr>
          <w:rFonts w:hint="eastAsia" w:ascii="仿宋" w:hAnsi="仿宋" w:eastAsia="仿宋"/>
          <w:color w:val="auto"/>
          <w:sz w:val="32"/>
          <w:szCs w:val="32"/>
          <w:highlight w:val="none"/>
        </w:rPr>
        <w:t>，</w:t>
      </w:r>
      <w:r>
        <w:rPr>
          <w:rStyle w:val="16"/>
          <w:rFonts w:hint="eastAsia" w:ascii="仿宋" w:hAnsi="仿宋" w:eastAsia="仿宋"/>
          <w:bCs/>
          <w:color w:val="auto"/>
          <w:sz w:val="32"/>
          <w:szCs w:val="32"/>
          <w:highlight w:val="none"/>
        </w:rPr>
        <w:t>完成预算</w:t>
      </w:r>
      <w:r>
        <w:rPr>
          <w:rFonts w:hint="eastAsia" w:ascii="仿宋" w:hAnsi="仿宋" w:eastAsia="仿宋"/>
          <w:color w:val="auto"/>
          <w:sz w:val="32"/>
          <w:szCs w:val="32"/>
          <w:highlight w:val="none"/>
          <w:lang w:val="en-US" w:eastAsia="zh-CN"/>
        </w:rPr>
        <w:t>100</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。其中：</w:t>
      </w:r>
      <w:bookmarkEnd w:id="32"/>
      <w:bookmarkEnd w:id="33"/>
      <w:bookmarkEnd w:id="34"/>
    </w:p>
    <w:p>
      <w:pPr>
        <w:spacing w:line="600" w:lineRule="exact"/>
        <w:ind w:firstLine="643" w:firstLineChars="200"/>
        <w:rPr>
          <w:rFonts w:ascii="仿宋" w:hAnsi="仿宋" w:eastAsia="仿宋"/>
          <w:b/>
          <w:color w:val="auto"/>
          <w:sz w:val="32"/>
          <w:szCs w:val="32"/>
          <w:highlight w:val="none"/>
        </w:rPr>
      </w:pPr>
      <w:r>
        <w:rPr>
          <w:rStyle w:val="16"/>
          <w:rFonts w:ascii="仿宋" w:hAnsi="仿宋" w:eastAsia="仿宋"/>
          <w:bCs/>
          <w:color w:val="auto"/>
          <w:sz w:val="32"/>
          <w:szCs w:val="32"/>
          <w:highlight w:val="none"/>
        </w:rPr>
        <w:t>1.</w:t>
      </w:r>
      <w:r>
        <w:rPr>
          <w:rStyle w:val="16"/>
          <w:rFonts w:hint="eastAsia" w:ascii="仿宋" w:hAnsi="仿宋" w:eastAsia="仿宋"/>
          <w:bCs/>
          <w:color w:val="auto"/>
          <w:sz w:val="32"/>
          <w:szCs w:val="32"/>
          <w:highlight w:val="none"/>
        </w:rPr>
        <w:t>一般公共服务（类）人大事务（款）行政运行（项）</w:t>
      </w:r>
      <w:r>
        <w:rPr>
          <w:rStyle w:val="16"/>
          <w:rFonts w:ascii="仿宋" w:hAnsi="仿宋" w:eastAsia="仿宋"/>
          <w:bCs/>
          <w:color w:val="auto"/>
          <w:sz w:val="32"/>
          <w:szCs w:val="32"/>
          <w:highlight w:val="none"/>
        </w:rPr>
        <w:t>:</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支出决算为13.41万元，完成预算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lang w:eastAsia="zh-CN"/>
        </w:rPr>
        <w:t>、</w:t>
      </w:r>
      <w:r>
        <w:rPr>
          <w:rStyle w:val="16"/>
          <w:rFonts w:hint="eastAsia" w:ascii="仿宋" w:hAnsi="仿宋" w:eastAsia="仿宋"/>
          <w:bCs/>
          <w:color w:val="auto"/>
          <w:sz w:val="32"/>
          <w:szCs w:val="32"/>
          <w:highlight w:val="none"/>
        </w:rPr>
        <w:t>代表工作（项）</w:t>
      </w:r>
      <w:r>
        <w:rPr>
          <w:rStyle w:val="16"/>
          <w:rFonts w:hint="eastAsia" w:ascii="仿宋" w:hAnsi="仿宋" w:eastAsia="仿宋"/>
          <w:b w:val="0"/>
          <w:bCs/>
          <w:color w:val="auto"/>
          <w:sz w:val="32"/>
          <w:szCs w:val="32"/>
          <w:highlight w:val="none"/>
        </w:rPr>
        <w:t>支出决算为1.56万元，完成预算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lang w:eastAsia="zh-CN"/>
        </w:rPr>
        <w:t>；</w:t>
      </w:r>
      <w:r>
        <w:rPr>
          <w:rStyle w:val="16"/>
          <w:rFonts w:hint="eastAsia" w:ascii="仿宋" w:hAnsi="仿宋" w:eastAsia="仿宋" w:cstheme="minorBidi"/>
          <w:bCs/>
          <w:color w:val="auto"/>
          <w:sz w:val="32"/>
          <w:szCs w:val="32"/>
          <w:highlight w:val="none"/>
          <w:lang w:eastAsia="zh-CN"/>
        </w:rPr>
        <w:t>政府办公厅（室）及相关机构事务</w:t>
      </w:r>
      <w:r>
        <w:rPr>
          <w:rStyle w:val="16"/>
          <w:rFonts w:hint="eastAsia" w:ascii="仿宋" w:hAnsi="仿宋" w:eastAsia="仿宋"/>
          <w:bCs/>
          <w:color w:val="auto"/>
          <w:sz w:val="32"/>
          <w:szCs w:val="32"/>
          <w:highlight w:val="none"/>
        </w:rPr>
        <w:t>（类）行政运行（项）</w:t>
      </w:r>
      <w:r>
        <w:rPr>
          <w:rStyle w:val="16"/>
          <w:rFonts w:hint="eastAsia" w:ascii="仿宋" w:hAnsi="仿宋" w:eastAsia="仿宋"/>
          <w:b w:val="0"/>
          <w:bCs/>
          <w:color w:val="auto"/>
          <w:sz w:val="32"/>
          <w:szCs w:val="32"/>
          <w:highlight w:val="none"/>
        </w:rPr>
        <w:t>支出决算为520.6万元，完成预算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lang w:eastAsia="zh-CN"/>
        </w:rPr>
        <w:t>；</w:t>
      </w:r>
      <w:r>
        <w:rPr>
          <w:rStyle w:val="16"/>
          <w:rFonts w:hint="eastAsia" w:ascii="仿宋" w:hAnsi="仿宋" w:eastAsia="仿宋" w:cstheme="minorBidi"/>
          <w:bCs/>
          <w:color w:val="auto"/>
          <w:sz w:val="32"/>
          <w:szCs w:val="32"/>
          <w:highlight w:val="none"/>
          <w:lang w:eastAsia="zh-CN"/>
        </w:rPr>
        <w:t>财政事务</w:t>
      </w:r>
      <w:r>
        <w:rPr>
          <w:rStyle w:val="16"/>
          <w:rFonts w:hint="eastAsia" w:ascii="仿宋" w:hAnsi="仿宋" w:eastAsia="仿宋"/>
          <w:bCs/>
          <w:color w:val="auto"/>
          <w:sz w:val="32"/>
          <w:szCs w:val="32"/>
          <w:highlight w:val="none"/>
        </w:rPr>
        <w:t>（类）绩效工资（项）</w:t>
      </w:r>
      <w:r>
        <w:rPr>
          <w:rStyle w:val="16"/>
          <w:rFonts w:hint="eastAsia" w:ascii="仿宋" w:hAnsi="仿宋" w:eastAsia="仿宋"/>
          <w:b w:val="0"/>
          <w:bCs/>
          <w:color w:val="auto"/>
          <w:sz w:val="32"/>
          <w:szCs w:val="32"/>
          <w:highlight w:val="none"/>
        </w:rPr>
        <w:t>支出决算为11.4万元，完成预算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lang w:eastAsia="zh-CN"/>
        </w:rPr>
        <w:t>；</w:t>
      </w:r>
      <w:r>
        <w:rPr>
          <w:rStyle w:val="16"/>
          <w:rFonts w:hint="eastAsia" w:ascii="仿宋" w:hAnsi="仿宋" w:eastAsia="仿宋" w:cstheme="minorBidi"/>
          <w:bCs/>
          <w:color w:val="auto"/>
          <w:sz w:val="32"/>
          <w:szCs w:val="32"/>
          <w:highlight w:val="none"/>
          <w:lang w:eastAsia="zh-CN"/>
        </w:rPr>
        <w:t>纪检监察事务</w:t>
      </w:r>
      <w:r>
        <w:rPr>
          <w:rStyle w:val="16"/>
          <w:rFonts w:hint="eastAsia" w:ascii="仿宋" w:hAnsi="仿宋" w:eastAsia="仿宋"/>
          <w:bCs/>
          <w:color w:val="auto"/>
          <w:sz w:val="32"/>
          <w:szCs w:val="32"/>
          <w:highlight w:val="none"/>
        </w:rPr>
        <w:t>（类）机行政运行（项）</w:t>
      </w:r>
      <w:r>
        <w:rPr>
          <w:rStyle w:val="16"/>
          <w:rFonts w:hint="eastAsia" w:ascii="仿宋" w:hAnsi="仿宋" w:eastAsia="仿宋"/>
          <w:b w:val="0"/>
          <w:bCs/>
          <w:color w:val="auto"/>
          <w:sz w:val="32"/>
          <w:szCs w:val="32"/>
          <w:highlight w:val="none"/>
        </w:rPr>
        <w:t>支出决算为11.32万元，完成预算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lang w:eastAsia="zh-CN"/>
        </w:rPr>
        <w:t>；</w:t>
      </w:r>
      <w:r>
        <w:rPr>
          <w:rStyle w:val="16"/>
          <w:rFonts w:hint="eastAsia" w:ascii="仿宋" w:hAnsi="仿宋" w:eastAsia="仿宋" w:cstheme="minorBidi"/>
          <w:bCs/>
          <w:color w:val="auto"/>
          <w:sz w:val="32"/>
          <w:szCs w:val="32"/>
          <w:highlight w:val="none"/>
          <w:lang w:eastAsia="zh-CN"/>
        </w:rPr>
        <w:t>党委办公厅（室）及相关机构事务</w:t>
      </w:r>
      <w:r>
        <w:rPr>
          <w:rStyle w:val="16"/>
          <w:rFonts w:hint="eastAsia" w:ascii="仿宋" w:hAnsi="仿宋" w:eastAsia="仿宋" w:cstheme="minorBidi"/>
          <w:bCs/>
          <w:color w:val="auto"/>
          <w:sz w:val="32"/>
          <w:szCs w:val="32"/>
          <w:highlight w:val="none"/>
        </w:rPr>
        <w:t>（</w:t>
      </w:r>
      <w:r>
        <w:rPr>
          <w:rStyle w:val="16"/>
          <w:rFonts w:hint="eastAsia" w:ascii="仿宋" w:hAnsi="仿宋" w:eastAsia="仿宋"/>
          <w:bCs/>
          <w:color w:val="auto"/>
          <w:sz w:val="32"/>
          <w:szCs w:val="32"/>
          <w:highlight w:val="none"/>
        </w:rPr>
        <w:t>类）行政运行（项）</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22.83</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6"/>
          <w:rFonts w:hint="eastAsia" w:ascii="仿宋" w:hAnsi="仿宋" w:eastAsia="仿宋"/>
          <w:bCs/>
          <w:color w:val="auto"/>
          <w:sz w:val="32"/>
          <w:szCs w:val="32"/>
          <w:highlight w:val="none"/>
          <w:lang w:val="en-US" w:eastAsia="zh-CN"/>
        </w:rPr>
        <w:t>2</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文化旅游体育与传媒（类）文化和旅游（款）群众文化（项）</w:t>
      </w:r>
      <w:r>
        <w:rPr>
          <w:rStyle w:val="16"/>
          <w:rFonts w:ascii="仿宋" w:hAnsi="仿宋" w:eastAsia="仿宋"/>
          <w:bCs/>
          <w:color w:val="auto"/>
          <w:sz w:val="32"/>
          <w:szCs w:val="32"/>
          <w:highlight w:val="none"/>
        </w:rPr>
        <w:t>:</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支出决算为1.97万元，完成预算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6"/>
          <w:rFonts w:hint="eastAsia" w:ascii="仿宋" w:hAnsi="仿宋" w:eastAsia="仿宋"/>
          <w:bCs/>
          <w:color w:val="auto"/>
          <w:sz w:val="32"/>
          <w:szCs w:val="32"/>
          <w:highlight w:val="none"/>
          <w:lang w:val="en-US" w:eastAsia="zh-CN"/>
        </w:rPr>
        <w:t>3</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社会保障和就业（类）行政事业单位养老支出（款）机关事业单位基本养老保险缴费支出（项）</w:t>
      </w:r>
      <w:r>
        <w:rPr>
          <w:rStyle w:val="16"/>
          <w:rFonts w:ascii="仿宋" w:hAnsi="仿宋" w:eastAsia="仿宋"/>
          <w:bCs/>
          <w:color w:val="auto"/>
          <w:sz w:val="32"/>
          <w:szCs w:val="32"/>
          <w:highlight w:val="none"/>
        </w:rPr>
        <w:t>:</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支出决算为64.14万元，完成预算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lang w:eastAsia="zh-CN"/>
        </w:rPr>
        <w:t>；</w:t>
      </w:r>
      <w:r>
        <w:rPr>
          <w:rStyle w:val="16"/>
          <w:rFonts w:hint="eastAsia" w:ascii="仿宋" w:hAnsi="仿宋" w:eastAsia="仿宋"/>
          <w:bCs/>
          <w:color w:val="auto"/>
          <w:sz w:val="32"/>
          <w:szCs w:val="32"/>
          <w:highlight w:val="none"/>
        </w:rPr>
        <w:t>其他社会保障和就业支出（款）其他社会保障和就业支出（项）</w:t>
      </w:r>
      <w:r>
        <w:rPr>
          <w:rStyle w:val="16"/>
          <w:rFonts w:ascii="仿宋" w:hAnsi="仿宋" w:eastAsia="仿宋"/>
          <w:bCs/>
          <w:color w:val="auto"/>
          <w:sz w:val="32"/>
          <w:szCs w:val="32"/>
          <w:highlight w:val="none"/>
        </w:rPr>
        <w:t>:</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支出决算为3.28万元，完成预算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6"/>
          <w:rFonts w:hint="eastAsia" w:ascii="仿宋" w:hAnsi="仿宋" w:eastAsia="仿宋"/>
          <w:bCs/>
          <w:color w:val="auto"/>
          <w:sz w:val="32"/>
          <w:szCs w:val="32"/>
          <w:highlight w:val="none"/>
          <w:lang w:val="en-US" w:eastAsia="zh-CN"/>
        </w:rPr>
        <w:t>4</w:t>
      </w:r>
      <w:r>
        <w:rPr>
          <w:rStyle w:val="16"/>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6"/>
          <w:rFonts w:hint="eastAsia" w:ascii="仿宋" w:hAnsi="仿宋" w:eastAsia="仿宋"/>
          <w:bCs/>
          <w:color w:val="auto"/>
          <w:sz w:val="32"/>
          <w:szCs w:val="32"/>
          <w:highlight w:val="none"/>
        </w:rPr>
        <w:t>（类）计划生育事务（款）计划生育服务（项）</w:t>
      </w:r>
      <w:r>
        <w:rPr>
          <w:rStyle w:val="16"/>
          <w:rFonts w:ascii="仿宋" w:hAnsi="仿宋" w:eastAsia="仿宋"/>
          <w:bCs/>
          <w:color w:val="auto"/>
          <w:sz w:val="32"/>
          <w:szCs w:val="32"/>
          <w:highlight w:val="none"/>
        </w:rPr>
        <w:t>:</w:t>
      </w:r>
      <w:r>
        <w:rPr>
          <w:rStyle w:val="16"/>
          <w:rFonts w:hint="eastAsia" w:ascii="仿宋" w:hAnsi="仿宋" w:eastAsia="仿宋"/>
          <w:b w:val="0"/>
          <w:bCs/>
          <w:color w:val="auto"/>
          <w:sz w:val="32"/>
          <w:szCs w:val="32"/>
          <w:highlight w:val="none"/>
        </w:rPr>
        <w:t>支出决算为2.5万元，完成预算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lang w:eastAsia="zh-CN"/>
        </w:rPr>
        <w:t>；</w:t>
      </w:r>
      <w:r>
        <w:rPr>
          <w:rStyle w:val="16"/>
          <w:rFonts w:hint="eastAsia" w:ascii="仿宋" w:hAnsi="仿宋" w:eastAsia="仿宋"/>
          <w:bCs/>
          <w:color w:val="auto"/>
          <w:sz w:val="32"/>
          <w:szCs w:val="32"/>
          <w:highlight w:val="none"/>
        </w:rPr>
        <w:t>行政事业单位医疗（款）行政单位医疗（项）</w:t>
      </w:r>
      <w:r>
        <w:rPr>
          <w:rStyle w:val="16"/>
          <w:rFonts w:ascii="仿宋" w:hAnsi="仿宋" w:eastAsia="仿宋"/>
          <w:bCs/>
          <w:color w:val="auto"/>
          <w:sz w:val="32"/>
          <w:szCs w:val="32"/>
          <w:highlight w:val="none"/>
        </w:rPr>
        <w:t>:</w:t>
      </w:r>
      <w:r>
        <w:rPr>
          <w:rStyle w:val="16"/>
          <w:rFonts w:hint="eastAsia" w:ascii="仿宋" w:hAnsi="仿宋" w:eastAsia="仿宋"/>
          <w:b w:val="0"/>
          <w:bCs/>
          <w:color w:val="auto"/>
          <w:sz w:val="32"/>
          <w:szCs w:val="32"/>
          <w:highlight w:val="none"/>
        </w:rPr>
        <w:t>支出决算为20万元，完成预算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lang w:eastAsia="zh-CN"/>
        </w:rPr>
        <w:t>、</w:t>
      </w:r>
      <w:r>
        <w:rPr>
          <w:rStyle w:val="16"/>
          <w:rFonts w:hint="eastAsia" w:ascii="仿宋" w:hAnsi="仿宋" w:eastAsia="仿宋"/>
          <w:bCs/>
          <w:color w:val="auto"/>
          <w:sz w:val="32"/>
          <w:szCs w:val="32"/>
          <w:highlight w:val="none"/>
        </w:rPr>
        <w:t>事业单位医疗（项）</w:t>
      </w:r>
      <w:r>
        <w:rPr>
          <w:rStyle w:val="16"/>
          <w:rFonts w:ascii="仿宋" w:hAnsi="仿宋" w:eastAsia="仿宋"/>
          <w:bCs/>
          <w:color w:val="auto"/>
          <w:sz w:val="32"/>
          <w:szCs w:val="32"/>
          <w:highlight w:val="none"/>
        </w:rPr>
        <w:t>:</w:t>
      </w:r>
      <w:r>
        <w:rPr>
          <w:rStyle w:val="16"/>
          <w:rFonts w:hint="eastAsia" w:ascii="仿宋" w:hAnsi="仿宋" w:eastAsia="仿宋"/>
          <w:b w:val="0"/>
          <w:bCs/>
          <w:color w:val="auto"/>
          <w:sz w:val="32"/>
          <w:szCs w:val="32"/>
          <w:highlight w:val="none"/>
        </w:rPr>
        <w:t>支出决算为18.83万元，完成预算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6"/>
          <w:rFonts w:hint="eastAsia" w:ascii="仿宋" w:hAnsi="仿宋" w:eastAsia="仿宋"/>
          <w:bCs/>
          <w:color w:val="auto"/>
          <w:sz w:val="32"/>
          <w:szCs w:val="32"/>
          <w:highlight w:val="none"/>
          <w:lang w:val="en-US" w:eastAsia="zh-CN"/>
        </w:rPr>
        <w:t>5</w:t>
      </w:r>
      <w:r>
        <w:rPr>
          <w:rStyle w:val="16"/>
          <w:rFonts w:ascii="仿宋" w:hAnsi="仿宋" w:eastAsia="仿宋"/>
          <w:bCs/>
          <w:color w:val="auto"/>
          <w:sz w:val="32"/>
          <w:szCs w:val="32"/>
          <w:highlight w:val="none"/>
        </w:rPr>
        <w:t>.</w:t>
      </w:r>
      <w:r>
        <w:rPr>
          <w:rFonts w:hint="eastAsia" w:ascii="仿宋" w:hAnsi="仿宋" w:eastAsia="仿宋"/>
          <w:b/>
          <w:bCs/>
          <w:color w:val="auto"/>
          <w:sz w:val="32"/>
          <w:szCs w:val="32"/>
          <w:highlight w:val="none"/>
        </w:rPr>
        <w:t>城乡社区支出</w:t>
      </w:r>
      <w:r>
        <w:rPr>
          <w:rStyle w:val="16"/>
          <w:rFonts w:hint="eastAsia" w:ascii="仿宋" w:hAnsi="仿宋" w:eastAsia="仿宋"/>
          <w:bCs/>
          <w:color w:val="auto"/>
          <w:sz w:val="32"/>
          <w:szCs w:val="32"/>
          <w:highlight w:val="none"/>
        </w:rPr>
        <w:t>（类）城乡社区环境卫生（款</w:t>
      </w:r>
      <w:r>
        <w:rPr>
          <w:rStyle w:val="16"/>
          <w:rFonts w:hint="eastAsia" w:ascii="仿宋" w:hAnsi="仿宋" w:eastAsia="仿宋"/>
          <w:bCs/>
          <w:color w:val="auto"/>
          <w:sz w:val="32"/>
          <w:szCs w:val="32"/>
          <w:highlight w:val="none"/>
          <w:lang w:eastAsia="zh-CN"/>
        </w:rPr>
        <w:t>）</w:t>
      </w:r>
      <w:r>
        <w:rPr>
          <w:rStyle w:val="16"/>
          <w:rFonts w:hint="eastAsia" w:ascii="仿宋" w:hAnsi="仿宋" w:eastAsia="仿宋"/>
          <w:bCs/>
          <w:color w:val="auto"/>
          <w:sz w:val="32"/>
          <w:szCs w:val="32"/>
          <w:highlight w:val="none"/>
        </w:rPr>
        <w:t>城乡社区环境卫生（项）</w:t>
      </w:r>
      <w:r>
        <w:rPr>
          <w:rStyle w:val="16"/>
          <w:rFonts w:ascii="仿宋" w:hAnsi="仿宋" w:eastAsia="仿宋"/>
          <w:bCs/>
          <w:color w:val="auto"/>
          <w:sz w:val="32"/>
          <w:szCs w:val="32"/>
          <w:highlight w:val="none"/>
        </w:rPr>
        <w:t>:</w:t>
      </w:r>
      <w:r>
        <w:rPr>
          <w:rStyle w:val="16"/>
          <w:rFonts w:hint="eastAsia" w:ascii="仿宋" w:hAnsi="仿宋" w:eastAsia="仿宋"/>
          <w:b w:val="0"/>
          <w:bCs/>
          <w:color w:val="auto"/>
          <w:sz w:val="32"/>
          <w:szCs w:val="32"/>
          <w:highlight w:val="none"/>
        </w:rPr>
        <w:t>支出决算为9万元，完成预算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p>
    <w:p>
      <w:pPr>
        <w:spacing w:line="600" w:lineRule="exact"/>
        <w:ind w:firstLine="643" w:firstLineChars="200"/>
        <w:rPr>
          <w:rStyle w:val="16"/>
          <w:rFonts w:hint="eastAsia" w:ascii="仿宋" w:hAnsi="仿宋" w:eastAsia="仿宋"/>
          <w:b w:val="0"/>
          <w:bCs/>
          <w:color w:val="auto"/>
          <w:sz w:val="32"/>
          <w:szCs w:val="32"/>
          <w:highlight w:val="none"/>
          <w:lang w:eastAsia="zh-CN"/>
        </w:rPr>
      </w:pPr>
      <w:r>
        <w:rPr>
          <w:rStyle w:val="16"/>
          <w:rFonts w:hint="eastAsia" w:ascii="仿宋" w:hAnsi="仿宋" w:eastAsia="仿宋"/>
          <w:bCs/>
          <w:color w:val="auto"/>
          <w:sz w:val="32"/>
          <w:szCs w:val="32"/>
          <w:highlight w:val="none"/>
          <w:lang w:val="en-US" w:eastAsia="zh-CN"/>
        </w:rPr>
        <w:t>6</w:t>
      </w:r>
      <w:r>
        <w:rPr>
          <w:rStyle w:val="16"/>
          <w:rFonts w:ascii="仿宋" w:hAnsi="仿宋" w:eastAsia="仿宋"/>
          <w:bCs/>
          <w:color w:val="auto"/>
          <w:sz w:val="32"/>
          <w:szCs w:val="32"/>
          <w:highlight w:val="none"/>
        </w:rPr>
        <w:t>.</w:t>
      </w:r>
      <w:r>
        <w:rPr>
          <w:rFonts w:hint="eastAsia" w:ascii="仿宋" w:hAnsi="仿宋" w:eastAsia="仿宋"/>
          <w:b/>
          <w:bCs/>
          <w:color w:val="auto"/>
          <w:sz w:val="32"/>
          <w:szCs w:val="32"/>
          <w:highlight w:val="none"/>
        </w:rPr>
        <w:t>农林水支出</w:t>
      </w:r>
      <w:r>
        <w:rPr>
          <w:rStyle w:val="16"/>
          <w:rFonts w:hint="eastAsia" w:ascii="仿宋" w:hAnsi="仿宋" w:eastAsia="仿宋"/>
          <w:bCs/>
          <w:color w:val="auto"/>
          <w:sz w:val="32"/>
          <w:szCs w:val="32"/>
          <w:highlight w:val="none"/>
        </w:rPr>
        <w:t>（类）农业农村（款） 事业运行（项）</w:t>
      </w:r>
      <w:r>
        <w:rPr>
          <w:rStyle w:val="16"/>
          <w:rFonts w:ascii="仿宋" w:hAnsi="仿宋" w:eastAsia="仿宋"/>
          <w:bCs/>
          <w:color w:val="auto"/>
          <w:sz w:val="32"/>
          <w:szCs w:val="32"/>
          <w:highlight w:val="none"/>
        </w:rPr>
        <w:t>:</w:t>
      </w:r>
      <w:r>
        <w:rPr>
          <w:rStyle w:val="16"/>
          <w:rFonts w:hint="eastAsia" w:ascii="仿宋" w:hAnsi="仿宋" w:eastAsia="仿宋"/>
          <w:b w:val="0"/>
          <w:bCs/>
          <w:color w:val="auto"/>
          <w:sz w:val="32"/>
          <w:szCs w:val="32"/>
          <w:highlight w:val="none"/>
        </w:rPr>
        <w:t>支出决算为187.9万元，完成预算</w:t>
      </w:r>
      <w:r>
        <w:rPr>
          <w:rStyle w:val="16"/>
          <w:rFonts w:hint="eastAsia" w:ascii="仿宋" w:hAnsi="仿宋" w:eastAsia="仿宋"/>
          <w:b w:val="0"/>
          <w:bCs/>
          <w:color w:val="auto"/>
          <w:sz w:val="32"/>
          <w:szCs w:val="32"/>
          <w:highlight w:val="none"/>
          <w:lang w:val="en-US" w:eastAsia="zh-CN"/>
        </w:rPr>
        <w:t>100</w:t>
      </w:r>
      <w:r>
        <w:rPr>
          <w:rStyle w:val="16"/>
          <w:rFonts w:hint="eastAsia" w:ascii="仿宋" w:hAnsi="仿宋" w:eastAsia="仿宋"/>
          <w:b w:val="0"/>
          <w:bCs/>
          <w:color w:val="auto"/>
          <w:sz w:val="32"/>
          <w:szCs w:val="32"/>
          <w:highlight w:val="none"/>
          <w:lang w:eastAsia="zh-CN"/>
        </w:rPr>
        <w:t>、</w:t>
      </w:r>
      <w:r>
        <w:rPr>
          <w:rStyle w:val="16"/>
          <w:rFonts w:hint="eastAsia" w:ascii="仿宋" w:hAnsi="仿宋" w:eastAsia="仿宋"/>
          <w:bCs/>
          <w:color w:val="auto"/>
          <w:sz w:val="32"/>
          <w:szCs w:val="32"/>
          <w:highlight w:val="none"/>
        </w:rPr>
        <w:t>农村道路建设（项）</w:t>
      </w:r>
      <w:r>
        <w:rPr>
          <w:rStyle w:val="16"/>
          <w:rFonts w:ascii="仿宋" w:hAnsi="仿宋" w:eastAsia="仿宋"/>
          <w:bCs/>
          <w:color w:val="auto"/>
          <w:sz w:val="32"/>
          <w:szCs w:val="32"/>
          <w:highlight w:val="none"/>
        </w:rPr>
        <w:t>:</w:t>
      </w:r>
      <w:r>
        <w:rPr>
          <w:rStyle w:val="16"/>
          <w:rFonts w:hint="eastAsia" w:ascii="仿宋" w:hAnsi="仿宋" w:eastAsia="仿宋"/>
          <w:b w:val="0"/>
          <w:bCs/>
          <w:color w:val="auto"/>
          <w:sz w:val="32"/>
          <w:szCs w:val="32"/>
          <w:highlight w:val="none"/>
        </w:rPr>
        <w:t>支出决算为1.76万元，完成预算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lang w:eastAsia="zh-CN"/>
        </w:rPr>
        <w:t>；</w:t>
      </w:r>
      <w:r>
        <w:rPr>
          <w:rStyle w:val="16"/>
          <w:rFonts w:hint="eastAsia" w:ascii="仿宋" w:hAnsi="仿宋" w:eastAsia="仿宋"/>
          <w:bCs/>
          <w:color w:val="auto"/>
          <w:sz w:val="32"/>
          <w:szCs w:val="32"/>
          <w:highlight w:val="none"/>
        </w:rPr>
        <w:t>林业和草原（款）事业机构（项）</w:t>
      </w:r>
      <w:r>
        <w:rPr>
          <w:rStyle w:val="16"/>
          <w:rFonts w:ascii="仿宋" w:hAnsi="仿宋" w:eastAsia="仿宋"/>
          <w:bCs/>
          <w:color w:val="auto"/>
          <w:sz w:val="32"/>
          <w:szCs w:val="32"/>
          <w:highlight w:val="none"/>
        </w:rPr>
        <w:t>:</w:t>
      </w:r>
      <w:r>
        <w:rPr>
          <w:rStyle w:val="16"/>
          <w:rFonts w:hint="eastAsia" w:ascii="仿宋" w:hAnsi="仿宋" w:eastAsia="仿宋"/>
          <w:b w:val="0"/>
          <w:bCs/>
          <w:color w:val="auto"/>
          <w:sz w:val="32"/>
          <w:szCs w:val="32"/>
          <w:highlight w:val="none"/>
        </w:rPr>
        <w:t>支出决算为11.62万元，完成预算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lang w:eastAsia="zh-CN"/>
        </w:rPr>
        <w:t>；</w:t>
      </w:r>
      <w:r>
        <w:rPr>
          <w:rStyle w:val="16"/>
          <w:rFonts w:hint="eastAsia" w:ascii="仿宋" w:hAnsi="仿宋" w:eastAsia="仿宋"/>
          <w:bCs/>
          <w:color w:val="auto"/>
          <w:sz w:val="32"/>
          <w:szCs w:val="32"/>
          <w:highlight w:val="none"/>
        </w:rPr>
        <w:t>扶贫（款）其他扶贫支出（项）</w:t>
      </w:r>
      <w:r>
        <w:rPr>
          <w:rStyle w:val="16"/>
          <w:rFonts w:ascii="仿宋" w:hAnsi="仿宋" w:eastAsia="仿宋"/>
          <w:bCs/>
          <w:color w:val="auto"/>
          <w:sz w:val="32"/>
          <w:szCs w:val="32"/>
          <w:highlight w:val="none"/>
        </w:rPr>
        <w:t>:</w:t>
      </w:r>
      <w:r>
        <w:rPr>
          <w:rStyle w:val="16"/>
          <w:rFonts w:hint="eastAsia" w:ascii="仿宋" w:hAnsi="仿宋" w:eastAsia="仿宋"/>
          <w:b w:val="0"/>
          <w:bCs/>
          <w:color w:val="auto"/>
          <w:sz w:val="32"/>
          <w:szCs w:val="32"/>
          <w:highlight w:val="none"/>
        </w:rPr>
        <w:t>支出决算为42.11万元，完成预算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lang w:eastAsia="zh-CN"/>
        </w:rPr>
        <w:t>；</w:t>
      </w:r>
      <w:r>
        <w:rPr>
          <w:rStyle w:val="16"/>
          <w:rFonts w:hint="eastAsia" w:ascii="仿宋" w:hAnsi="仿宋" w:eastAsia="仿宋"/>
          <w:bCs/>
          <w:color w:val="auto"/>
          <w:sz w:val="32"/>
          <w:szCs w:val="32"/>
          <w:highlight w:val="none"/>
        </w:rPr>
        <w:t>农村综合改革（款）对村民委员会和村党支部的补助（项）</w:t>
      </w:r>
      <w:r>
        <w:rPr>
          <w:rStyle w:val="16"/>
          <w:rFonts w:ascii="仿宋" w:hAnsi="仿宋" w:eastAsia="仿宋"/>
          <w:bCs/>
          <w:color w:val="auto"/>
          <w:sz w:val="32"/>
          <w:szCs w:val="32"/>
          <w:highlight w:val="none"/>
        </w:rPr>
        <w:t>:</w:t>
      </w:r>
      <w:r>
        <w:rPr>
          <w:rStyle w:val="16"/>
          <w:rFonts w:hint="eastAsia" w:ascii="仿宋" w:hAnsi="仿宋" w:eastAsia="仿宋"/>
          <w:b w:val="0"/>
          <w:bCs/>
          <w:color w:val="auto"/>
          <w:sz w:val="32"/>
          <w:szCs w:val="32"/>
          <w:highlight w:val="none"/>
        </w:rPr>
        <w:t>支出决算为413.69万元，完成预算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lang w:eastAsia="zh-CN"/>
        </w:rPr>
        <w:t>；</w:t>
      </w:r>
    </w:p>
    <w:p>
      <w:pPr>
        <w:pStyle w:val="2"/>
      </w:pPr>
      <w:r>
        <w:rPr>
          <w:rStyle w:val="16"/>
          <w:rFonts w:hint="eastAsia" w:ascii="仿宋" w:hAnsi="仿宋" w:eastAsia="仿宋"/>
          <w:bCs/>
          <w:color w:val="auto"/>
          <w:sz w:val="32"/>
          <w:szCs w:val="32"/>
          <w:highlight w:val="none"/>
          <w:lang w:val="en-US" w:eastAsia="zh-CN"/>
        </w:rPr>
        <w:t>7</w:t>
      </w:r>
      <w:r>
        <w:rPr>
          <w:rStyle w:val="16"/>
          <w:rFonts w:ascii="仿宋" w:hAnsi="仿宋" w:eastAsia="仿宋"/>
          <w:bCs/>
          <w:color w:val="auto"/>
          <w:sz w:val="32"/>
          <w:szCs w:val="32"/>
          <w:highlight w:val="none"/>
        </w:rPr>
        <w:t>.</w:t>
      </w:r>
      <w:r>
        <w:rPr>
          <w:rFonts w:hint="eastAsia" w:ascii="仿宋" w:hAnsi="仿宋" w:eastAsia="仿宋"/>
          <w:b/>
          <w:bCs/>
          <w:color w:val="auto"/>
          <w:sz w:val="32"/>
          <w:szCs w:val="32"/>
          <w:highlight w:val="none"/>
        </w:rPr>
        <w:t>住房保障支出</w:t>
      </w:r>
      <w:r>
        <w:rPr>
          <w:rStyle w:val="16"/>
          <w:rFonts w:hint="eastAsia" w:ascii="仿宋" w:hAnsi="仿宋" w:eastAsia="仿宋"/>
          <w:bCs/>
          <w:color w:val="auto"/>
          <w:sz w:val="32"/>
          <w:szCs w:val="32"/>
          <w:highlight w:val="none"/>
        </w:rPr>
        <w:t>（类）住房改革支出（款</w:t>
      </w:r>
      <w:r>
        <w:rPr>
          <w:rStyle w:val="16"/>
          <w:rFonts w:hint="eastAsia" w:ascii="仿宋" w:hAnsi="仿宋" w:eastAsia="仿宋"/>
          <w:bCs/>
          <w:color w:val="auto"/>
          <w:sz w:val="32"/>
          <w:szCs w:val="32"/>
          <w:highlight w:val="none"/>
          <w:lang w:eastAsia="zh-CN"/>
        </w:rPr>
        <w:t>）</w:t>
      </w:r>
      <w:r>
        <w:rPr>
          <w:rStyle w:val="16"/>
          <w:rFonts w:hint="eastAsia" w:ascii="仿宋" w:hAnsi="仿宋" w:eastAsia="仿宋"/>
          <w:bCs/>
          <w:color w:val="auto"/>
          <w:sz w:val="32"/>
          <w:szCs w:val="32"/>
          <w:highlight w:val="none"/>
        </w:rPr>
        <w:t>住房公积金（项）</w:t>
      </w:r>
      <w:r>
        <w:rPr>
          <w:rStyle w:val="16"/>
          <w:rFonts w:ascii="仿宋" w:hAnsi="仿宋" w:eastAsia="仿宋"/>
          <w:bCs/>
          <w:color w:val="auto"/>
          <w:sz w:val="32"/>
          <w:szCs w:val="32"/>
          <w:highlight w:val="none"/>
        </w:rPr>
        <w:t>:</w:t>
      </w:r>
      <w:r>
        <w:rPr>
          <w:rStyle w:val="16"/>
          <w:rFonts w:hint="eastAsia" w:ascii="仿宋" w:hAnsi="仿宋" w:eastAsia="仿宋"/>
          <w:b w:val="0"/>
          <w:bCs/>
          <w:color w:val="auto"/>
          <w:sz w:val="32"/>
          <w:szCs w:val="32"/>
          <w:highlight w:val="none"/>
        </w:rPr>
        <w:t>支出决算为67.83万元，完成预算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p>
    <w:p>
      <w:pPr>
        <w:tabs>
          <w:tab w:val="right" w:pos="8306"/>
        </w:tabs>
        <w:spacing w:line="600" w:lineRule="exact"/>
        <w:ind w:firstLine="640"/>
        <w:outlineLvl w:val="1"/>
        <w:rPr>
          <w:rStyle w:val="27"/>
          <w:color w:val="auto"/>
          <w:highlight w:val="none"/>
        </w:rPr>
      </w:pPr>
      <w:bookmarkStart w:id="35" w:name="_Toc15377214"/>
      <w:bookmarkStart w:id="36"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般公共预算财政拨款基本支出决算情况说明</w:t>
      </w:r>
      <w:bookmarkEnd w:id="35"/>
      <w:bookmarkEnd w:id="36"/>
      <w:r>
        <w:rPr>
          <w:rStyle w:val="27"/>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1289.31</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1006.08</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283.23</w:t>
      </w:r>
      <w:r>
        <w:rPr>
          <w:rFonts w:hint="eastAsia" w:ascii="仿宋" w:hAnsi="仿宋" w:eastAsia="仿宋"/>
          <w:color w:val="auto"/>
          <w:sz w:val="32"/>
          <w:szCs w:val="32"/>
          <w:highlight w:val="none"/>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7"/>
          <w:rFonts w:ascii="黑体" w:hAnsi="黑体" w:eastAsia="黑体"/>
          <w:b w:val="0"/>
          <w:color w:val="auto"/>
          <w:highlight w:val="none"/>
        </w:rPr>
      </w:pPr>
      <w:bookmarkStart w:id="37" w:name="_Toc15396609"/>
      <w:bookmarkStart w:id="38" w:name="_Toc15377215"/>
      <w:r>
        <w:rPr>
          <w:rFonts w:hint="eastAsia" w:ascii="黑体" w:eastAsia="黑体"/>
          <w:color w:val="auto"/>
          <w:sz w:val="32"/>
          <w:szCs w:val="32"/>
          <w:highlight w:val="none"/>
        </w:rPr>
        <w:t>七、</w:t>
      </w:r>
      <w:r>
        <w:rPr>
          <w:rStyle w:val="27"/>
          <w:rFonts w:hint="eastAsia" w:ascii="黑体" w:hAnsi="黑体" w:eastAsia="黑体"/>
          <w:color w:val="auto"/>
          <w:highlight w:val="none"/>
        </w:rPr>
        <w:t>“</w:t>
      </w:r>
      <w:r>
        <w:rPr>
          <w:rStyle w:val="27"/>
          <w:rFonts w:hint="eastAsia" w:ascii="黑体" w:hAnsi="黑体" w:eastAsia="黑体"/>
          <w:b w:val="0"/>
          <w:color w:val="auto"/>
          <w:highlight w:val="none"/>
        </w:rPr>
        <w:t>三公”经费财政拨款支出决算情况说明</w:t>
      </w:r>
      <w:bookmarkEnd w:id="37"/>
      <w:bookmarkEnd w:id="38"/>
    </w:p>
    <w:p>
      <w:pPr>
        <w:spacing w:line="600" w:lineRule="exact"/>
        <w:ind w:firstLine="640"/>
        <w:outlineLvl w:val="2"/>
        <w:rPr>
          <w:rFonts w:ascii="仿宋" w:hAnsi="仿宋" w:eastAsia="仿宋"/>
          <w:b/>
          <w:color w:val="auto"/>
          <w:sz w:val="32"/>
          <w:szCs w:val="32"/>
          <w:highlight w:val="none"/>
        </w:rPr>
      </w:pPr>
      <w:bookmarkStart w:id="39" w:name="_Toc15377216"/>
      <w:r>
        <w:rPr>
          <w:rFonts w:hint="eastAsia" w:ascii="仿宋" w:hAnsi="仿宋" w:eastAsia="仿宋"/>
          <w:b/>
          <w:color w:val="auto"/>
          <w:sz w:val="32"/>
          <w:szCs w:val="32"/>
          <w:highlight w:val="none"/>
        </w:rPr>
        <w:t>（一）“三公”经费财政拨款支出决算总体情况说明</w:t>
      </w:r>
      <w:bookmarkEnd w:id="39"/>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18</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90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主要原因是三公经费压减</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40" w:name="_Toc15377217"/>
      <w:r>
        <w:rPr>
          <w:rFonts w:hint="eastAsia" w:ascii="仿宋" w:hAnsi="仿宋" w:eastAsia="仿宋"/>
          <w:b/>
          <w:color w:val="auto"/>
          <w:sz w:val="32"/>
          <w:szCs w:val="32"/>
          <w:highlight w:val="none"/>
        </w:rPr>
        <w:t>（二）“三公”经费财政拨款支出决算具体情况说明</w:t>
      </w:r>
      <w:bookmarkEnd w:id="40"/>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18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2"/>
        <w:ind w:left="0" w:leftChars="0" w:firstLine="0" w:firstLineChars="0"/>
        <w:rPr>
          <w:rFonts w:hint="eastAsia" w:ascii="仿宋" w:hAnsi="仿宋" w:eastAsia="仿宋"/>
          <w:color w:val="auto"/>
          <w:sz w:val="32"/>
          <w:szCs w:val="32"/>
          <w:highlight w:val="none"/>
        </w:rPr>
      </w:pPr>
      <w:r>
        <w:drawing>
          <wp:inline distT="0" distB="0" distL="114300" distR="114300">
            <wp:extent cx="5351145" cy="1056640"/>
            <wp:effectExtent l="4445" t="4445" r="16510" b="5715"/>
            <wp:docPr id="3" name="图表 2" descr="7b0a202020202263686172745265734964223a20223230343730333931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万元，年初未安排预算</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与2020年持平</w:t>
      </w:r>
      <w:r>
        <w:rPr>
          <w:rFonts w:hint="eastAsia" w:ascii="仿宋_GB2312" w:eastAsia="仿宋_GB2312"/>
          <w:color w:val="auto"/>
          <w:sz w:val="32"/>
          <w:szCs w:val="32"/>
          <w:highlight w:val="none"/>
        </w:rPr>
        <w:t>。</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万元,年初未安排预算</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与2020年持平</w:t>
      </w:r>
      <w:r>
        <w:rPr>
          <w:rFonts w:hint="eastAsia" w:ascii="仿宋_GB2312" w:eastAsia="仿宋_GB2312"/>
          <w:color w:val="auto"/>
          <w:sz w:val="32"/>
          <w:szCs w:val="32"/>
          <w:highlight w:val="none"/>
        </w:rPr>
        <w:t>。</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18</w:t>
      </w:r>
      <w:r>
        <w:rPr>
          <w:rFonts w:hint="eastAsia" w:ascii="仿宋_GB2312" w:eastAsia="仿宋_GB2312"/>
          <w:color w:val="auto"/>
          <w:sz w:val="32"/>
          <w:szCs w:val="32"/>
          <w:highlight w:val="none"/>
        </w:rPr>
        <w:t>万元，</w:t>
      </w:r>
      <w:r>
        <w:rPr>
          <w:rStyle w:val="16"/>
          <w:rFonts w:hint="eastAsia" w:ascii="仿宋" w:hAnsi="仿宋" w:eastAsia="仿宋"/>
          <w:b w:val="0"/>
          <w:bCs/>
          <w:color w:val="auto"/>
          <w:sz w:val="32"/>
          <w:szCs w:val="32"/>
          <w:highlight w:val="none"/>
        </w:rPr>
        <w:t>完成预算</w:t>
      </w:r>
      <w:r>
        <w:rPr>
          <w:rStyle w:val="16"/>
          <w:rFonts w:hint="eastAsia" w:ascii="仿宋" w:hAnsi="仿宋" w:eastAsia="仿宋"/>
          <w:b w:val="0"/>
          <w:bCs/>
          <w:color w:val="auto"/>
          <w:sz w:val="32"/>
          <w:szCs w:val="32"/>
          <w:highlight w:val="none"/>
          <w:lang w:val="en-US" w:eastAsia="zh-CN"/>
        </w:rPr>
        <w:t>90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w:t>
      </w:r>
      <w:r>
        <w:rPr>
          <w:rFonts w:hint="eastAsia" w:ascii="仿宋_GB2312" w:eastAsia="仿宋_GB2312"/>
          <w:color w:val="auto"/>
          <w:sz w:val="32"/>
          <w:szCs w:val="32"/>
          <w:highlight w:val="none"/>
          <w:lang w:val="en-US" w:eastAsia="zh-CN"/>
        </w:rPr>
        <w:t>比2020年增加1万元，主要原因是行政区划调整接待费调整。</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18</w:t>
      </w:r>
      <w:r>
        <w:rPr>
          <w:rFonts w:hint="eastAsia" w:ascii="仿宋_GB2312" w:eastAsia="仿宋_GB2312"/>
          <w:color w:val="auto"/>
          <w:sz w:val="32"/>
          <w:szCs w:val="32"/>
          <w:highlight w:val="none"/>
        </w:rPr>
        <w:t>万元，主要用于执行公务用餐费。国内公务接待</w:t>
      </w:r>
      <w:r>
        <w:rPr>
          <w:rFonts w:hint="eastAsia" w:ascii="仿宋_GB2312" w:eastAsia="仿宋_GB2312"/>
          <w:color w:val="auto"/>
          <w:sz w:val="32"/>
          <w:szCs w:val="32"/>
          <w:highlight w:val="none"/>
          <w:lang w:val="en-US" w:eastAsia="zh-CN"/>
        </w:rPr>
        <w:t>571</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4000</w:t>
      </w:r>
      <w:r>
        <w:rPr>
          <w:rFonts w:hint="eastAsia" w:ascii="仿宋_GB2312" w:eastAsia="仿宋_GB2312"/>
          <w:color w:val="auto"/>
          <w:sz w:val="32"/>
          <w:szCs w:val="32"/>
          <w:highlight w:val="none"/>
        </w:rPr>
        <w:t>人次，共计支出</w:t>
      </w:r>
      <w:r>
        <w:rPr>
          <w:rFonts w:hint="eastAsia" w:ascii="仿宋_GB2312" w:eastAsia="仿宋_GB2312"/>
          <w:color w:val="auto"/>
          <w:sz w:val="32"/>
          <w:szCs w:val="32"/>
          <w:highlight w:val="none"/>
          <w:lang w:val="en-US" w:eastAsia="zh-CN"/>
        </w:rPr>
        <w:t>18</w:t>
      </w:r>
      <w:r>
        <w:rPr>
          <w:rFonts w:hint="eastAsia" w:ascii="仿宋_GB2312" w:eastAsia="仿宋_GB2312"/>
          <w:color w:val="auto"/>
          <w:sz w:val="32"/>
          <w:szCs w:val="32"/>
          <w:highlight w:val="none"/>
        </w:rPr>
        <w:t>万元，主要用于执行公务用餐费。</w:t>
      </w:r>
    </w:p>
    <w:p>
      <w:pPr>
        <w:spacing w:line="600" w:lineRule="exact"/>
        <w:ind w:firstLine="640"/>
        <w:outlineLvl w:val="1"/>
        <w:rPr>
          <w:rFonts w:hint="eastAsia"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Start w:id="41" w:name="_Toc15377218"/>
      <w:bookmarkStart w:id="42" w:name="_Toc15396610"/>
    </w:p>
    <w:p>
      <w:pPr>
        <w:spacing w:line="600" w:lineRule="exact"/>
        <w:ind w:firstLine="640"/>
        <w:outlineLvl w:val="1"/>
        <w:rPr>
          <w:rStyle w:val="27"/>
          <w:rFonts w:ascii="黑体" w:hAnsi="黑体" w:eastAsia="黑体"/>
          <w:color w:val="auto"/>
          <w:highlight w:val="none"/>
        </w:rPr>
      </w:pPr>
      <w:r>
        <w:rPr>
          <w:rFonts w:hint="eastAsia" w:ascii="黑体" w:eastAsia="黑体"/>
          <w:color w:val="auto"/>
          <w:sz w:val="32"/>
          <w:szCs w:val="32"/>
          <w:highlight w:val="none"/>
        </w:rPr>
        <w:t>八、</w:t>
      </w:r>
      <w:r>
        <w:rPr>
          <w:rStyle w:val="27"/>
          <w:rFonts w:hint="eastAsia" w:ascii="黑体" w:hAnsi="黑体" w:eastAsia="黑体"/>
          <w:b w:val="0"/>
          <w:color w:val="auto"/>
          <w:highlight w:val="none"/>
        </w:rPr>
        <w:t>政府性基金预算支出决算情况说明</w:t>
      </w:r>
      <w:bookmarkEnd w:id="41"/>
      <w:bookmarkEnd w:id="42"/>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2"/>
        </w:numPr>
        <w:spacing w:line="600" w:lineRule="exact"/>
        <w:ind w:firstLine="640"/>
        <w:outlineLvl w:val="1"/>
        <w:rPr>
          <w:rStyle w:val="27"/>
          <w:rFonts w:ascii="黑体" w:hAnsi="黑体" w:eastAsia="黑体"/>
          <w:b w:val="0"/>
          <w:color w:val="auto"/>
          <w:highlight w:val="none"/>
        </w:rPr>
      </w:pPr>
      <w:bookmarkStart w:id="43" w:name="_Toc15377219"/>
      <w:bookmarkStart w:id="44" w:name="_Toc15396611"/>
      <w:r>
        <w:rPr>
          <w:rStyle w:val="27"/>
          <w:rFonts w:hint="eastAsia" w:ascii="黑体" w:hAnsi="黑体" w:eastAsia="黑体"/>
          <w:b w:val="0"/>
          <w:color w:val="auto"/>
          <w:highlight w:val="none"/>
        </w:rPr>
        <w:t>国有资本经营预算支出决算情况说明</w:t>
      </w:r>
      <w:bookmarkEnd w:id="43"/>
      <w:bookmarkEnd w:id="44"/>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2"/>
        </w:numPr>
        <w:spacing w:line="600" w:lineRule="exact"/>
        <w:ind w:firstLine="640"/>
        <w:outlineLvl w:val="1"/>
        <w:rPr>
          <w:rStyle w:val="27"/>
          <w:rFonts w:hint="eastAsia" w:ascii="黑体" w:hAnsi="黑体" w:eastAsia="黑体"/>
          <w:b w:val="0"/>
          <w:color w:val="auto"/>
          <w:highlight w:val="none"/>
        </w:rPr>
      </w:pPr>
      <w:bookmarkStart w:id="45" w:name="_Toc15396612"/>
      <w:bookmarkStart w:id="46" w:name="_Toc15377221"/>
      <w:r>
        <w:rPr>
          <w:rStyle w:val="27"/>
          <w:rFonts w:hint="eastAsia" w:ascii="黑体" w:hAnsi="黑体" w:eastAsia="黑体"/>
          <w:b w:val="0"/>
          <w:color w:val="auto"/>
          <w:highlight w:val="none"/>
          <w:lang w:val="en-US" w:eastAsia="zh-CN"/>
        </w:rPr>
        <w:t>预算绩效管理情况</w:t>
      </w:r>
    </w:p>
    <w:p>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val="en-US" w:eastAsia="zh-CN"/>
        </w:rPr>
        <w:t>村级公共运行维护资金、烤烟发展资金等4个项目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村级公共运行维护资金、烤烟发展资金4</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村级公共运行维护资金、烤烟发展资金2个</w:t>
      </w:r>
      <w:r>
        <w:rPr>
          <w:rFonts w:hint="eastAsia" w:ascii="仿宋_GB2312" w:hAnsi="仿宋_GB2312" w:eastAsia="仿宋_GB2312" w:cs="仿宋_GB2312"/>
          <w:color w:val="auto"/>
          <w:sz w:val="32"/>
          <w:szCs w:val="32"/>
          <w:highlight w:val="none"/>
        </w:rPr>
        <w:t>项目开展绩效监控，年终执行完毕后，对</w:t>
      </w:r>
      <w:r>
        <w:rPr>
          <w:rFonts w:hint="eastAsia" w:ascii="仿宋_GB2312" w:hAnsi="仿宋_GB2312" w:eastAsia="仿宋_GB2312" w:cs="仿宋_GB2312"/>
          <w:color w:val="auto"/>
          <w:sz w:val="32"/>
          <w:szCs w:val="32"/>
          <w:highlight w:val="none"/>
          <w:lang w:val="en-US" w:eastAsia="zh-CN"/>
        </w:rPr>
        <w:t>村级公共运行维护资金、烤烟发展资金2个</w:t>
      </w:r>
      <w:r>
        <w:rPr>
          <w:rFonts w:hint="eastAsia" w:ascii="仿宋_GB2312" w:hAnsi="仿宋_GB2312" w:eastAsia="仿宋_GB2312" w:cs="仿宋_GB2312"/>
          <w:color w:val="auto"/>
          <w:sz w:val="32"/>
          <w:szCs w:val="32"/>
          <w:highlight w:val="none"/>
        </w:rPr>
        <w:t>项目开展了绩效自评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2021年部门预算项目绩效目标自评表见附件（第四部分）</w:t>
      </w:r>
      <w:r>
        <w:rPr>
          <w:rFonts w:hint="eastAsia" w:ascii="仿宋_GB2312" w:hAnsi="仿宋_GB2312" w:eastAsia="仿宋_GB2312" w:cs="仿宋_GB2312"/>
          <w:color w:val="auto"/>
          <w:sz w:val="32"/>
          <w:szCs w:val="32"/>
          <w:highlight w:val="none"/>
        </w:rPr>
        <w:t>。</w:t>
      </w:r>
    </w:p>
    <w:p>
      <w:pPr>
        <w:numPr>
          <w:ilvl w:val="0"/>
          <w:numId w:val="2"/>
        </w:numPr>
        <w:spacing w:line="600" w:lineRule="exact"/>
        <w:ind w:firstLine="640"/>
        <w:outlineLvl w:val="1"/>
        <w:rPr>
          <w:rStyle w:val="27"/>
          <w:rFonts w:hint="eastAsia" w:ascii="黑体" w:hAnsi="黑体" w:eastAsia="黑体"/>
          <w:b w:val="0"/>
          <w:color w:val="auto"/>
          <w:highlight w:val="none"/>
        </w:rPr>
      </w:pPr>
      <w:r>
        <w:rPr>
          <w:rStyle w:val="27"/>
          <w:rFonts w:hint="eastAsia" w:ascii="黑体" w:hAnsi="黑体" w:eastAsia="黑体"/>
          <w:b w:val="0"/>
          <w:color w:val="auto"/>
          <w:highlight w:val="none"/>
        </w:rPr>
        <w:t>其他重要事项的情况说明</w:t>
      </w:r>
      <w:bookmarkEnd w:id="45"/>
      <w:bookmarkEnd w:id="46"/>
    </w:p>
    <w:p>
      <w:pPr>
        <w:spacing w:line="600" w:lineRule="exact"/>
        <w:ind w:firstLine="643" w:firstLineChars="200"/>
        <w:outlineLvl w:val="2"/>
        <w:rPr>
          <w:rFonts w:ascii="仿宋" w:hAnsi="仿宋" w:eastAsia="仿宋"/>
          <w:color w:val="auto"/>
          <w:sz w:val="32"/>
          <w:szCs w:val="32"/>
          <w:highlight w:val="none"/>
        </w:rPr>
      </w:pPr>
      <w:bookmarkStart w:id="47" w:name="_Toc15377222"/>
      <w:r>
        <w:rPr>
          <w:rFonts w:hint="eastAsia" w:ascii="仿宋" w:hAnsi="仿宋" w:eastAsia="仿宋"/>
          <w:b/>
          <w:color w:val="auto"/>
          <w:sz w:val="32"/>
          <w:szCs w:val="32"/>
          <w:highlight w:val="none"/>
        </w:rPr>
        <w:t>（一）机关运行经费支出情况</w:t>
      </w:r>
      <w:bookmarkEnd w:id="47"/>
    </w:p>
    <w:p>
      <w:pPr>
        <w:spacing w:line="600" w:lineRule="exact"/>
        <w:ind w:firstLine="640" w:firstLineChars="200"/>
        <w:rPr>
          <w:rFonts w:ascii="仿宋" w:hAnsi="仿宋" w:eastAsia="仿宋"/>
          <w:b/>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红岩镇</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283.23</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17.98</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6.78</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村级办公经费调整</w:t>
      </w:r>
      <w:r>
        <w:rPr>
          <w:rFonts w:hint="eastAsia" w:ascii="仿宋" w:hAnsi="仿宋" w:eastAsia="仿宋" w:cs="仿宋"/>
          <w:b/>
          <w:bCs w:val="0"/>
          <w:color w:val="auto"/>
          <w:sz w:val="32"/>
          <w:szCs w:val="32"/>
          <w:highlight w:val="none"/>
          <w:lang w:val="en-US" w:eastAsia="zh-CN"/>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8" w:name="_Toc15377223"/>
      <w:r>
        <w:rPr>
          <w:rFonts w:hint="eastAsia" w:ascii="仿宋" w:hAnsi="仿宋" w:eastAsia="仿宋"/>
          <w:b/>
          <w:color w:val="auto"/>
          <w:sz w:val="32"/>
          <w:szCs w:val="32"/>
          <w:highlight w:val="none"/>
        </w:rPr>
        <w:t>（二）政府采购支出情况</w:t>
      </w:r>
      <w:bookmarkEnd w:id="48"/>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红岩</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9" w:name="_Toc15377224"/>
      <w:r>
        <w:rPr>
          <w:rFonts w:hint="eastAsia" w:ascii="仿宋" w:hAnsi="仿宋" w:eastAsia="仿宋"/>
          <w:b/>
          <w:color w:val="auto"/>
          <w:sz w:val="32"/>
          <w:szCs w:val="32"/>
          <w:highlight w:val="none"/>
        </w:rPr>
        <w:t>（三）国有资产占有使用情况</w:t>
      </w:r>
      <w:bookmarkEnd w:id="49"/>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红岩镇</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pStyle w:val="2"/>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numPr>
          <w:ilvl w:val="0"/>
          <w:numId w:val="3"/>
        </w:numPr>
        <w:spacing w:line="600" w:lineRule="exact"/>
        <w:ind w:firstLine="660" w:firstLineChars="150"/>
        <w:jc w:val="center"/>
        <w:outlineLvl w:val="0"/>
        <w:rPr>
          <w:rStyle w:val="26"/>
          <w:rFonts w:ascii="黑体" w:hAnsi="黑体" w:eastAsia="黑体"/>
          <w:b w:val="0"/>
          <w:color w:val="auto"/>
          <w:highlight w:val="none"/>
        </w:rPr>
      </w:pPr>
      <w:bookmarkStart w:id="50" w:name="_Toc15396613"/>
      <w:bookmarkStart w:id="51" w:name="_Toc15377225"/>
      <w:r>
        <w:rPr>
          <w:rFonts w:hint="eastAsia" w:ascii="黑体" w:hAnsi="黑体" w:eastAsia="黑体"/>
          <w:color w:val="auto"/>
          <w:sz w:val="44"/>
          <w:szCs w:val="44"/>
          <w:highlight w:val="none"/>
        </w:rPr>
        <w:t>名</w:t>
      </w:r>
      <w:r>
        <w:rPr>
          <w:rStyle w:val="26"/>
          <w:rFonts w:hint="eastAsia" w:ascii="黑体" w:hAnsi="黑体" w:eastAsia="黑体"/>
          <w:b w:val="0"/>
          <w:color w:val="auto"/>
          <w:highlight w:val="none"/>
        </w:rPr>
        <w:t>词解释</w:t>
      </w:r>
      <w:bookmarkEnd w:id="50"/>
      <w:bookmarkEnd w:id="51"/>
    </w:p>
    <w:p>
      <w:pPr>
        <w:spacing w:line="600" w:lineRule="exact"/>
        <w:jc w:val="left"/>
        <w:rPr>
          <w:rFonts w:ascii="宋体"/>
          <w:b/>
          <w:color w:val="auto"/>
          <w:sz w:val="44"/>
          <w:szCs w:val="44"/>
          <w:highlight w:val="none"/>
        </w:rPr>
      </w:pPr>
    </w:p>
    <w:p>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4"/>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pPr>
        <w:pStyle w:val="24"/>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r>
        <w:rPr>
          <w:rFonts w:ascii="仿宋_GB2312" w:eastAsia="仿宋_GB2312"/>
          <w:color w:val="auto"/>
          <w:sz w:val="32"/>
          <w:szCs w:val="32"/>
          <w:highlight w:val="none"/>
        </w:rPr>
        <w:t xml:space="preserve"> </w:t>
      </w:r>
    </w:p>
    <w:p>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rPr>
        <w:t>、年末结转和结余：指单位按有关规定结转到下年或以后年度继续使用的资金。</w:t>
      </w:r>
    </w:p>
    <w:p>
      <w:pPr>
        <w:pStyle w:val="24"/>
        <w:pageBreakBefore w:val="0"/>
        <w:kinsoku/>
        <w:wordWrap/>
        <w:overflowPunct/>
        <w:topLinePunct w:val="0"/>
        <w:bidi w:val="0"/>
        <w:spacing w:line="576" w:lineRule="exact"/>
        <w:ind w:firstLine="640" w:firstLineChars="200"/>
        <w:rPr>
          <w:rFonts w:hint="eastAsia" w:ascii="华文仿宋" w:hAnsi="华文仿宋" w:eastAsia="华文仿宋" w:cs="华文仿宋"/>
          <w:color w:val="auto"/>
          <w:kern w:val="2"/>
          <w:sz w:val="32"/>
          <w:szCs w:val="32"/>
          <w:lang w:val="en-US" w:eastAsia="zh-CN" w:bidi="ar-SA"/>
        </w:rPr>
      </w:pPr>
      <w:r>
        <w:rPr>
          <w:rFonts w:hint="eastAsia" w:ascii="华文仿宋" w:hAnsi="华文仿宋" w:eastAsia="华文仿宋" w:cs="华文仿宋"/>
          <w:color w:val="auto"/>
          <w:kern w:val="2"/>
          <w:sz w:val="32"/>
          <w:szCs w:val="32"/>
          <w:lang w:val="en-US" w:eastAsia="zh-CN" w:bidi="ar-SA"/>
        </w:rPr>
        <w:t>9一般公共服务：反应政府提供一般公共服务的支出。</w:t>
      </w:r>
    </w:p>
    <w:p>
      <w:pPr>
        <w:pStyle w:val="24"/>
        <w:pageBreakBefore w:val="0"/>
        <w:kinsoku/>
        <w:wordWrap/>
        <w:overflowPunct/>
        <w:topLinePunct w:val="0"/>
        <w:bidi w:val="0"/>
        <w:spacing w:line="576" w:lineRule="exact"/>
        <w:ind w:firstLine="640" w:firstLineChars="200"/>
        <w:rPr>
          <w:rFonts w:hint="eastAsia" w:ascii="华文仿宋" w:hAnsi="华文仿宋" w:eastAsia="华文仿宋" w:cs="华文仿宋"/>
          <w:color w:val="auto"/>
          <w:kern w:val="2"/>
          <w:sz w:val="32"/>
          <w:szCs w:val="32"/>
          <w:lang w:val="en-US" w:eastAsia="zh-CN" w:bidi="ar-SA"/>
        </w:rPr>
      </w:pPr>
      <w:r>
        <w:rPr>
          <w:rFonts w:hint="eastAsia" w:ascii="华文仿宋" w:hAnsi="华文仿宋" w:eastAsia="华文仿宋" w:cs="华文仿宋"/>
          <w:color w:val="auto"/>
          <w:kern w:val="2"/>
          <w:sz w:val="32"/>
          <w:szCs w:val="32"/>
          <w:lang w:val="en-US" w:eastAsia="zh-CN" w:bidi="ar-SA"/>
        </w:rPr>
        <w:t>10.外交支出：指反映政府外交管理事务支出。</w:t>
      </w:r>
    </w:p>
    <w:p>
      <w:pPr>
        <w:pStyle w:val="24"/>
        <w:pageBreakBefore w:val="0"/>
        <w:kinsoku/>
        <w:wordWrap/>
        <w:overflowPunct/>
        <w:topLinePunct w:val="0"/>
        <w:bidi w:val="0"/>
        <w:spacing w:line="576" w:lineRule="exact"/>
        <w:ind w:firstLine="640" w:firstLineChars="200"/>
        <w:rPr>
          <w:rFonts w:hint="eastAsia" w:ascii="华文仿宋" w:hAnsi="华文仿宋" w:eastAsia="华文仿宋" w:cs="华文仿宋"/>
          <w:color w:val="auto"/>
          <w:kern w:val="2"/>
          <w:sz w:val="32"/>
          <w:szCs w:val="32"/>
          <w:lang w:val="en-US" w:eastAsia="zh-CN" w:bidi="ar-SA"/>
        </w:rPr>
      </w:pPr>
      <w:r>
        <w:rPr>
          <w:rFonts w:hint="eastAsia" w:ascii="华文仿宋" w:hAnsi="华文仿宋" w:eastAsia="华文仿宋" w:cs="华文仿宋"/>
          <w:color w:val="auto"/>
          <w:kern w:val="2"/>
          <w:sz w:val="32"/>
          <w:szCs w:val="32"/>
          <w:lang w:val="en-US" w:eastAsia="zh-CN" w:bidi="ar-SA"/>
        </w:rPr>
        <w:t>11.公共安全支出：指反映政府维护社会公共安全方面。</w:t>
      </w:r>
    </w:p>
    <w:p>
      <w:pPr>
        <w:pStyle w:val="24"/>
        <w:pageBreakBefore w:val="0"/>
        <w:kinsoku/>
        <w:wordWrap/>
        <w:overflowPunct/>
        <w:topLinePunct w:val="0"/>
        <w:bidi w:val="0"/>
        <w:spacing w:line="576" w:lineRule="exact"/>
        <w:ind w:firstLine="640" w:firstLineChars="200"/>
        <w:rPr>
          <w:rFonts w:hint="eastAsia" w:ascii="华文仿宋" w:hAnsi="华文仿宋" w:eastAsia="华文仿宋" w:cs="华文仿宋"/>
          <w:color w:val="auto"/>
          <w:kern w:val="2"/>
          <w:sz w:val="32"/>
          <w:szCs w:val="32"/>
          <w:lang w:val="en-US" w:eastAsia="zh-CN" w:bidi="ar-SA"/>
        </w:rPr>
      </w:pPr>
      <w:r>
        <w:rPr>
          <w:rFonts w:hint="eastAsia" w:ascii="华文仿宋" w:hAnsi="华文仿宋" w:eastAsia="华文仿宋" w:cs="华文仿宋"/>
          <w:color w:val="auto"/>
          <w:kern w:val="2"/>
          <w:sz w:val="32"/>
          <w:szCs w:val="32"/>
          <w:lang w:val="en-US" w:eastAsia="zh-CN" w:bidi="ar-SA"/>
        </w:rPr>
        <w:t>12.教育支出：指反映政府教育事务支出。</w:t>
      </w:r>
    </w:p>
    <w:p>
      <w:pPr>
        <w:pStyle w:val="24"/>
        <w:pageBreakBefore w:val="0"/>
        <w:kinsoku/>
        <w:wordWrap/>
        <w:overflowPunct/>
        <w:topLinePunct w:val="0"/>
        <w:bidi w:val="0"/>
        <w:spacing w:line="576" w:lineRule="exact"/>
        <w:ind w:firstLine="640" w:firstLineChars="200"/>
        <w:rPr>
          <w:rFonts w:hint="eastAsia" w:ascii="华文仿宋" w:hAnsi="华文仿宋" w:eastAsia="华文仿宋" w:cs="华文仿宋"/>
          <w:color w:val="auto"/>
          <w:kern w:val="2"/>
          <w:sz w:val="32"/>
          <w:szCs w:val="32"/>
          <w:lang w:val="en-US" w:eastAsia="zh-CN" w:bidi="ar-SA"/>
        </w:rPr>
      </w:pPr>
      <w:r>
        <w:rPr>
          <w:rFonts w:hint="eastAsia" w:ascii="华文仿宋" w:hAnsi="华文仿宋" w:eastAsia="华文仿宋" w:cs="华文仿宋"/>
          <w:color w:val="auto"/>
          <w:kern w:val="2"/>
          <w:sz w:val="32"/>
          <w:szCs w:val="32"/>
          <w:lang w:val="en-US" w:eastAsia="zh-CN" w:bidi="ar-SA"/>
        </w:rPr>
        <w:t>13.科学技术支出：指反映科学技术方面的支出。</w:t>
      </w:r>
    </w:p>
    <w:p>
      <w:pPr>
        <w:pStyle w:val="24"/>
        <w:pageBreakBefore w:val="0"/>
        <w:kinsoku/>
        <w:wordWrap/>
        <w:overflowPunct/>
        <w:topLinePunct w:val="0"/>
        <w:bidi w:val="0"/>
        <w:spacing w:line="576" w:lineRule="exact"/>
        <w:ind w:firstLine="640" w:firstLineChars="200"/>
        <w:rPr>
          <w:rFonts w:hint="eastAsia" w:ascii="华文仿宋" w:hAnsi="华文仿宋" w:eastAsia="华文仿宋" w:cs="华文仿宋"/>
          <w:color w:val="auto"/>
          <w:kern w:val="2"/>
          <w:sz w:val="32"/>
          <w:szCs w:val="32"/>
          <w:lang w:val="en-US" w:eastAsia="zh-CN" w:bidi="ar-SA"/>
        </w:rPr>
      </w:pPr>
      <w:r>
        <w:rPr>
          <w:rFonts w:hint="eastAsia" w:ascii="华文仿宋" w:hAnsi="华文仿宋" w:eastAsia="华文仿宋" w:cs="华文仿宋"/>
          <w:color w:val="auto"/>
          <w:kern w:val="2"/>
          <w:sz w:val="32"/>
          <w:szCs w:val="32"/>
          <w:lang w:val="en-US" w:eastAsia="zh-CN" w:bidi="ar-SA"/>
        </w:rPr>
        <w:t>14.文化体育与传媒支出：指反映政府在文化、文物、体育、广播电视、新闻出版等方面的支出。</w:t>
      </w:r>
    </w:p>
    <w:p>
      <w:pPr>
        <w:pStyle w:val="24"/>
        <w:pageBreakBefore w:val="0"/>
        <w:kinsoku/>
        <w:wordWrap/>
        <w:overflowPunct/>
        <w:topLinePunct w:val="0"/>
        <w:bidi w:val="0"/>
        <w:spacing w:line="576" w:lineRule="exact"/>
        <w:ind w:firstLine="640" w:firstLineChars="200"/>
        <w:rPr>
          <w:rFonts w:hint="eastAsia" w:ascii="华文仿宋" w:hAnsi="华文仿宋" w:eastAsia="华文仿宋" w:cs="华文仿宋"/>
          <w:color w:val="auto"/>
          <w:kern w:val="2"/>
          <w:sz w:val="32"/>
          <w:szCs w:val="32"/>
          <w:lang w:val="en-US" w:eastAsia="zh-CN" w:bidi="ar-SA"/>
        </w:rPr>
      </w:pPr>
      <w:r>
        <w:rPr>
          <w:rFonts w:hint="eastAsia" w:ascii="华文仿宋" w:hAnsi="华文仿宋" w:eastAsia="华文仿宋" w:cs="华文仿宋"/>
          <w:color w:val="auto"/>
          <w:kern w:val="2"/>
          <w:sz w:val="32"/>
          <w:szCs w:val="32"/>
          <w:lang w:val="en-US" w:eastAsia="zh-CN" w:bidi="ar-SA"/>
        </w:rPr>
        <w:t>15.社会保障和就业支出：反映政府在社会保障与就业方面的支出。</w:t>
      </w:r>
    </w:p>
    <w:p>
      <w:pPr>
        <w:pStyle w:val="24"/>
        <w:pageBreakBefore w:val="0"/>
        <w:kinsoku/>
        <w:wordWrap/>
        <w:overflowPunct/>
        <w:topLinePunct w:val="0"/>
        <w:bidi w:val="0"/>
        <w:spacing w:line="576" w:lineRule="exact"/>
        <w:ind w:firstLine="640" w:firstLineChars="200"/>
        <w:rPr>
          <w:rFonts w:hint="eastAsia" w:ascii="华文仿宋" w:hAnsi="华文仿宋" w:eastAsia="华文仿宋" w:cs="华文仿宋"/>
          <w:color w:val="auto"/>
          <w:kern w:val="2"/>
          <w:sz w:val="32"/>
          <w:szCs w:val="32"/>
          <w:lang w:val="en-US" w:eastAsia="zh-CN" w:bidi="ar-SA"/>
        </w:rPr>
      </w:pPr>
      <w:r>
        <w:rPr>
          <w:rFonts w:hint="eastAsia" w:ascii="华文仿宋" w:hAnsi="华文仿宋" w:eastAsia="华文仿宋" w:cs="华文仿宋"/>
          <w:color w:val="auto"/>
          <w:kern w:val="2"/>
          <w:sz w:val="32"/>
          <w:szCs w:val="32"/>
          <w:lang w:val="en-US" w:eastAsia="zh-CN" w:bidi="ar-SA"/>
        </w:rPr>
        <w:t>16.医疗卫生与计划生育支出：指反映政府医疗卫生与计划生育管理方面的支出。</w:t>
      </w:r>
    </w:p>
    <w:p>
      <w:pPr>
        <w:pStyle w:val="24"/>
        <w:pageBreakBefore w:val="0"/>
        <w:kinsoku/>
        <w:wordWrap/>
        <w:overflowPunct/>
        <w:topLinePunct w:val="0"/>
        <w:bidi w:val="0"/>
        <w:spacing w:line="576" w:lineRule="exact"/>
        <w:ind w:firstLine="640" w:firstLineChars="200"/>
        <w:rPr>
          <w:rFonts w:hint="eastAsia" w:ascii="华文仿宋" w:hAnsi="华文仿宋" w:eastAsia="华文仿宋" w:cs="华文仿宋"/>
          <w:color w:val="auto"/>
          <w:kern w:val="2"/>
          <w:sz w:val="32"/>
          <w:szCs w:val="32"/>
          <w:lang w:val="en-US" w:eastAsia="zh-CN" w:bidi="ar-SA"/>
        </w:rPr>
      </w:pPr>
      <w:r>
        <w:rPr>
          <w:rFonts w:hint="eastAsia" w:ascii="华文仿宋" w:hAnsi="华文仿宋" w:eastAsia="华文仿宋" w:cs="华文仿宋"/>
          <w:color w:val="auto"/>
          <w:kern w:val="2"/>
          <w:sz w:val="32"/>
          <w:szCs w:val="32"/>
          <w:lang w:val="en-US" w:eastAsia="zh-CN" w:bidi="ar-SA"/>
        </w:rPr>
        <w:t>17.节能环保支出：指反映政府节能环保支出。</w:t>
      </w:r>
    </w:p>
    <w:p>
      <w:pPr>
        <w:pStyle w:val="24"/>
        <w:pageBreakBefore w:val="0"/>
        <w:kinsoku/>
        <w:wordWrap/>
        <w:overflowPunct/>
        <w:topLinePunct w:val="0"/>
        <w:bidi w:val="0"/>
        <w:spacing w:line="576" w:lineRule="exact"/>
        <w:ind w:firstLine="640" w:firstLineChars="200"/>
        <w:rPr>
          <w:rFonts w:hint="eastAsia" w:ascii="华文仿宋" w:hAnsi="华文仿宋" w:eastAsia="华文仿宋" w:cs="华文仿宋"/>
          <w:color w:val="auto"/>
          <w:kern w:val="2"/>
          <w:sz w:val="32"/>
          <w:szCs w:val="32"/>
          <w:lang w:val="en-US" w:eastAsia="zh-CN" w:bidi="ar-SA"/>
        </w:rPr>
      </w:pPr>
      <w:r>
        <w:rPr>
          <w:rFonts w:hint="eastAsia" w:ascii="华文仿宋" w:hAnsi="华文仿宋" w:eastAsia="华文仿宋" w:cs="华文仿宋"/>
          <w:color w:val="auto"/>
          <w:kern w:val="2"/>
          <w:sz w:val="32"/>
          <w:szCs w:val="32"/>
          <w:lang w:val="en-US" w:eastAsia="zh-CN" w:bidi="ar-SA"/>
        </w:rPr>
        <w:t>18.城乡社区支出：指反映政府城乡社区事务支出。</w:t>
      </w:r>
    </w:p>
    <w:p>
      <w:pPr>
        <w:pStyle w:val="24"/>
        <w:pageBreakBefore w:val="0"/>
        <w:kinsoku/>
        <w:wordWrap/>
        <w:overflowPunct/>
        <w:topLinePunct w:val="0"/>
        <w:bidi w:val="0"/>
        <w:spacing w:line="576" w:lineRule="exact"/>
        <w:ind w:firstLine="640" w:firstLineChars="200"/>
        <w:rPr>
          <w:rFonts w:hint="eastAsia" w:ascii="华文仿宋" w:hAnsi="华文仿宋" w:eastAsia="华文仿宋" w:cs="华文仿宋"/>
          <w:color w:val="auto"/>
          <w:kern w:val="2"/>
          <w:sz w:val="32"/>
          <w:szCs w:val="32"/>
          <w:lang w:val="en-US" w:eastAsia="zh-CN" w:bidi="ar-SA"/>
        </w:rPr>
      </w:pPr>
      <w:r>
        <w:rPr>
          <w:rFonts w:hint="eastAsia" w:ascii="华文仿宋" w:hAnsi="华文仿宋" w:eastAsia="华文仿宋" w:cs="华文仿宋"/>
          <w:color w:val="auto"/>
          <w:kern w:val="2"/>
          <w:sz w:val="32"/>
          <w:szCs w:val="32"/>
          <w:lang w:val="en-US" w:eastAsia="zh-CN" w:bidi="ar-SA"/>
        </w:rPr>
        <w:t>19.农林水支出：指反映政府农林水事务支出。</w:t>
      </w:r>
    </w:p>
    <w:p>
      <w:pPr>
        <w:pStyle w:val="24"/>
        <w:pageBreakBefore w:val="0"/>
        <w:kinsoku/>
        <w:wordWrap/>
        <w:overflowPunct/>
        <w:topLinePunct w:val="0"/>
        <w:bidi w:val="0"/>
        <w:spacing w:line="576" w:lineRule="exact"/>
        <w:ind w:firstLine="640" w:firstLineChars="200"/>
        <w:rPr>
          <w:rFonts w:hint="eastAsia" w:ascii="华文仿宋" w:hAnsi="华文仿宋" w:eastAsia="华文仿宋" w:cs="华文仿宋"/>
          <w:color w:val="auto"/>
          <w:kern w:val="2"/>
          <w:sz w:val="32"/>
          <w:szCs w:val="32"/>
          <w:lang w:val="en-US" w:eastAsia="zh-CN" w:bidi="ar-SA"/>
        </w:rPr>
      </w:pPr>
      <w:r>
        <w:rPr>
          <w:rFonts w:hint="eastAsia" w:ascii="华文仿宋" w:hAnsi="华文仿宋" w:eastAsia="华文仿宋" w:cs="华文仿宋"/>
          <w:color w:val="auto"/>
          <w:kern w:val="2"/>
          <w:sz w:val="32"/>
          <w:szCs w:val="32"/>
          <w:lang w:val="en-US" w:eastAsia="zh-CN" w:bidi="ar-SA"/>
        </w:rPr>
        <w:t>20.交通运输支出：指反映交通运输和邮政业务方面的支出。</w:t>
      </w:r>
    </w:p>
    <w:p>
      <w:pPr>
        <w:pStyle w:val="24"/>
        <w:pageBreakBefore w:val="0"/>
        <w:kinsoku/>
        <w:wordWrap/>
        <w:overflowPunct/>
        <w:topLinePunct w:val="0"/>
        <w:bidi w:val="0"/>
        <w:spacing w:line="576" w:lineRule="exact"/>
        <w:ind w:firstLine="640" w:firstLineChars="200"/>
        <w:rPr>
          <w:rFonts w:hint="eastAsia" w:ascii="华文仿宋" w:hAnsi="华文仿宋" w:eastAsia="华文仿宋" w:cs="华文仿宋"/>
          <w:color w:val="auto"/>
          <w:kern w:val="2"/>
          <w:sz w:val="32"/>
          <w:szCs w:val="32"/>
          <w:lang w:val="en-US" w:eastAsia="zh-CN" w:bidi="ar-SA"/>
        </w:rPr>
      </w:pPr>
      <w:r>
        <w:rPr>
          <w:rFonts w:hint="eastAsia" w:ascii="华文仿宋" w:hAnsi="华文仿宋" w:eastAsia="华文仿宋" w:cs="华文仿宋"/>
          <w:color w:val="auto"/>
          <w:kern w:val="2"/>
          <w:sz w:val="32"/>
          <w:szCs w:val="32"/>
          <w:lang w:val="en-US" w:eastAsia="zh-CN" w:bidi="ar-SA"/>
        </w:rPr>
        <w:t>21.资源勘探信息等支出：指反映用于资源勘探、制造业、建筑业、工业信息等方面支出。</w:t>
      </w:r>
    </w:p>
    <w:p>
      <w:pPr>
        <w:pStyle w:val="24"/>
        <w:pageBreakBefore w:val="0"/>
        <w:kinsoku/>
        <w:wordWrap/>
        <w:overflowPunct/>
        <w:topLinePunct w:val="0"/>
        <w:bidi w:val="0"/>
        <w:spacing w:line="576" w:lineRule="exact"/>
        <w:ind w:firstLine="640" w:firstLineChars="200"/>
        <w:rPr>
          <w:rFonts w:hint="eastAsia" w:ascii="华文仿宋" w:hAnsi="华文仿宋" w:eastAsia="华文仿宋" w:cs="华文仿宋"/>
          <w:color w:val="auto"/>
          <w:kern w:val="2"/>
          <w:sz w:val="32"/>
          <w:szCs w:val="32"/>
          <w:lang w:val="en-US" w:eastAsia="zh-CN" w:bidi="ar-SA"/>
        </w:rPr>
      </w:pPr>
      <w:r>
        <w:rPr>
          <w:rFonts w:hint="eastAsia" w:ascii="华文仿宋" w:hAnsi="华文仿宋" w:eastAsia="华文仿宋" w:cs="华文仿宋"/>
          <w:color w:val="auto"/>
          <w:kern w:val="2"/>
          <w:sz w:val="32"/>
          <w:szCs w:val="32"/>
          <w:lang w:val="en-US" w:eastAsia="zh-CN" w:bidi="ar-SA"/>
        </w:rPr>
        <w:t>22.商业服务业支出：指反映商业服务等方面的支出。</w:t>
      </w:r>
    </w:p>
    <w:p>
      <w:pPr>
        <w:pStyle w:val="24"/>
        <w:pageBreakBefore w:val="0"/>
        <w:kinsoku/>
        <w:wordWrap/>
        <w:overflowPunct/>
        <w:topLinePunct w:val="0"/>
        <w:bidi w:val="0"/>
        <w:spacing w:line="576" w:lineRule="exact"/>
        <w:ind w:firstLine="640" w:firstLineChars="200"/>
        <w:rPr>
          <w:rFonts w:hint="eastAsia" w:ascii="华文仿宋" w:hAnsi="华文仿宋" w:eastAsia="华文仿宋" w:cs="华文仿宋"/>
          <w:color w:val="auto"/>
          <w:kern w:val="2"/>
          <w:sz w:val="32"/>
          <w:szCs w:val="32"/>
          <w:lang w:val="en-US" w:eastAsia="zh-CN" w:bidi="ar-SA"/>
        </w:rPr>
      </w:pPr>
      <w:r>
        <w:rPr>
          <w:rFonts w:hint="eastAsia" w:ascii="华文仿宋" w:hAnsi="华文仿宋" w:eastAsia="华文仿宋" w:cs="华文仿宋"/>
          <w:color w:val="auto"/>
          <w:kern w:val="2"/>
          <w:sz w:val="32"/>
          <w:szCs w:val="32"/>
          <w:lang w:val="en-US" w:eastAsia="zh-CN" w:bidi="ar-SA"/>
        </w:rPr>
        <w:t>23.金融支出：指反映金融方面的支出。</w:t>
      </w:r>
    </w:p>
    <w:p>
      <w:pPr>
        <w:pStyle w:val="24"/>
        <w:pageBreakBefore w:val="0"/>
        <w:kinsoku/>
        <w:wordWrap/>
        <w:overflowPunct/>
        <w:topLinePunct w:val="0"/>
        <w:bidi w:val="0"/>
        <w:spacing w:line="576" w:lineRule="exact"/>
        <w:ind w:firstLine="640" w:firstLineChars="200"/>
        <w:rPr>
          <w:rFonts w:hint="eastAsia" w:ascii="华文仿宋" w:hAnsi="华文仿宋" w:eastAsia="华文仿宋" w:cs="华文仿宋"/>
          <w:color w:val="auto"/>
          <w:kern w:val="2"/>
          <w:sz w:val="32"/>
          <w:szCs w:val="32"/>
          <w:lang w:val="en-US" w:eastAsia="zh-CN" w:bidi="ar-SA"/>
        </w:rPr>
      </w:pPr>
      <w:r>
        <w:rPr>
          <w:rFonts w:hint="eastAsia" w:ascii="华文仿宋" w:hAnsi="华文仿宋" w:eastAsia="华文仿宋" w:cs="华文仿宋"/>
          <w:color w:val="auto"/>
          <w:kern w:val="2"/>
          <w:sz w:val="32"/>
          <w:szCs w:val="32"/>
          <w:lang w:val="en-US" w:eastAsia="zh-CN" w:bidi="ar-SA"/>
        </w:rPr>
        <w:t>24.国土海洋气象等支出：指反映政府用于国土资源、海洋、测绘、地震、气象等公益服务事业方面的支出。</w:t>
      </w:r>
    </w:p>
    <w:p>
      <w:pPr>
        <w:pStyle w:val="24"/>
        <w:pageBreakBefore w:val="0"/>
        <w:kinsoku/>
        <w:wordWrap/>
        <w:overflowPunct/>
        <w:topLinePunct w:val="0"/>
        <w:bidi w:val="0"/>
        <w:spacing w:line="576" w:lineRule="exact"/>
        <w:ind w:firstLine="640" w:firstLineChars="200"/>
        <w:rPr>
          <w:rFonts w:hint="eastAsia" w:ascii="华文仿宋" w:hAnsi="华文仿宋" w:eastAsia="华文仿宋" w:cs="华文仿宋"/>
          <w:color w:val="auto"/>
          <w:kern w:val="2"/>
          <w:sz w:val="32"/>
          <w:szCs w:val="32"/>
          <w:lang w:val="en-US" w:eastAsia="zh-CN" w:bidi="ar-SA"/>
        </w:rPr>
      </w:pPr>
      <w:r>
        <w:rPr>
          <w:rFonts w:hint="eastAsia" w:ascii="华文仿宋" w:hAnsi="华文仿宋" w:eastAsia="华文仿宋" w:cs="华文仿宋"/>
          <w:color w:val="auto"/>
          <w:kern w:val="2"/>
          <w:sz w:val="32"/>
          <w:szCs w:val="32"/>
          <w:lang w:val="en-US" w:eastAsia="zh-CN" w:bidi="ar-SA"/>
        </w:rPr>
        <w:t>25.住房保障支出：指反映政府用于政府方面的支出。</w:t>
      </w:r>
    </w:p>
    <w:p>
      <w:pPr>
        <w:pStyle w:val="24"/>
        <w:pageBreakBefore w:val="0"/>
        <w:kinsoku/>
        <w:wordWrap/>
        <w:overflowPunct/>
        <w:topLinePunct w:val="0"/>
        <w:bidi w:val="0"/>
        <w:spacing w:line="576" w:lineRule="exact"/>
        <w:ind w:firstLine="640" w:firstLineChars="200"/>
        <w:rPr>
          <w:rFonts w:hint="eastAsia" w:ascii="华文仿宋" w:hAnsi="华文仿宋" w:eastAsia="华文仿宋" w:cs="华文仿宋"/>
          <w:color w:val="auto"/>
          <w:kern w:val="2"/>
          <w:sz w:val="32"/>
          <w:szCs w:val="32"/>
          <w:lang w:val="en-US" w:eastAsia="zh-CN" w:bidi="ar-SA"/>
        </w:rPr>
      </w:pPr>
      <w:r>
        <w:rPr>
          <w:rFonts w:hint="eastAsia" w:ascii="华文仿宋" w:hAnsi="华文仿宋" w:eastAsia="华文仿宋" w:cs="华文仿宋"/>
          <w:color w:val="auto"/>
          <w:kern w:val="2"/>
          <w:sz w:val="32"/>
          <w:szCs w:val="32"/>
          <w:lang w:val="en-US" w:eastAsia="zh-CN" w:bidi="ar-SA"/>
        </w:rPr>
        <w:t>26.粮油物资储备支出：指反映政府粮油物资储备方面的支出。</w:t>
      </w:r>
    </w:p>
    <w:p>
      <w:pPr>
        <w:pageBreakBefore w:val="0"/>
        <w:kinsoku/>
        <w:wordWrap/>
        <w:overflowPunct/>
        <w:topLinePunct w:val="0"/>
        <w:bidi w:val="0"/>
        <w:spacing w:line="576" w:lineRule="exact"/>
        <w:ind w:firstLine="640" w:firstLineChars="200"/>
        <w:rPr>
          <w:rFonts w:hint="eastAsia" w:ascii="华文仿宋" w:hAnsi="华文仿宋" w:eastAsia="华文仿宋" w:cs="华文仿宋"/>
          <w:color w:val="auto"/>
          <w:kern w:val="2"/>
          <w:sz w:val="32"/>
          <w:szCs w:val="32"/>
          <w:lang w:val="en-US" w:eastAsia="zh-CN" w:bidi="ar-SA"/>
        </w:rPr>
      </w:pPr>
      <w:r>
        <w:rPr>
          <w:rFonts w:hint="eastAsia" w:ascii="华文仿宋" w:hAnsi="华文仿宋" w:eastAsia="华文仿宋" w:cs="华文仿宋"/>
          <w:color w:val="auto"/>
          <w:kern w:val="2"/>
          <w:sz w:val="32"/>
          <w:szCs w:val="32"/>
          <w:lang w:val="en-US" w:eastAsia="zh-CN" w:bidi="ar-SA"/>
        </w:rPr>
        <w:t>27.基本支出：指为保障机构正常运转、完成日常工作任务而发生的人员支出和公用支出。</w:t>
      </w:r>
    </w:p>
    <w:p>
      <w:pPr>
        <w:pageBreakBefore w:val="0"/>
        <w:kinsoku/>
        <w:wordWrap/>
        <w:overflowPunct/>
        <w:topLinePunct w:val="0"/>
        <w:bidi w:val="0"/>
        <w:spacing w:line="576" w:lineRule="exact"/>
        <w:ind w:firstLine="640" w:firstLineChars="200"/>
        <w:rPr>
          <w:rFonts w:hint="eastAsia" w:ascii="华文仿宋" w:hAnsi="华文仿宋" w:eastAsia="华文仿宋" w:cs="华文仿宋"/>
          <w:color w:val="auto"/>
          <w:kern w:val="2"/>
          <w:sz w:val="32"/>
          <w:szCs w:val="32"/>
          <w:lang w:val="en-US" w:eastAsia="zh-CN" w:bidi="ar-SA"/>
        </w:rPr>
      </w:pPr>
      <w:r>
        <w:rPr>
          <w:rFonts w:hint="eastAsia" w:ascii="华文仿宋" w:hAnsi="华文仿宋" w:eastAsia="华文仿宋" w:cs="华文仿宋"/>
          <w:color w:val="auto"/>
          <w:kern w:val="2"/>
          <w:sz w:val="32"/>
          <w:szCs w:val="32"/>
          <w:lang w:val="en-US" w:eastAsia="zh-CN" w:bidi="ar-SA"/>
        </w:rPr>
        <w:t xml:space="preserve">28.项目支出：指在基本支出之外为完成特定行政任务和事业发展目标所发生的支出。 </w:t>
      </w:r>
    </w:p>
    <w:p>
      <w:pPr>
        <w:pageBreakBefore w:val="0"/>
        <w:kinsoku/>
        <w:wordWrap/>
        <w:overflowPunct/>
        <w:topLinePunct w:val="0"/>
        <w:bidi w:val="0"/>
        <w:spacing w:line="576" w:lineRule="exact"/>
        <w:ind w:firstLine="640" w:firstLineChars="200"/>
        <w:rPr>
          <w:rFonts w:hint="eastAsia" w:ascii="华文仿宋" w:hAnsi="华文仿宋" w:eastAsia="华文仿宋" w:cs="华文仿宋"/>
          <w:color w:val="auto"/>
          <w:kern w:val="2"/>
          <w:sz w:val="32"/>
          <w:szCs w:val="32"/>
          <w:lang w:val="en-US" w:eastAsia="zh-CN" w:bidi="ar-SA"/>
        </w:rPr>
      </w:pPr>
      <w:r>
        <w:rPr>
          <w:rFonts w:hint="eastAsia" w:ascii="华文仿宋" w:hAnsi="华文仿宋" w:eastAsia="华文仿宋" w:cs="华文仿宋"/>
          <w:color w:val="auto"/>
          <w:kern w:val="2"/>
          <w:sz w:val="32"/>
          <w:szCs w:val="32"/>
          <w:lang w:val="en-US" w:eastAsia="zh-CN" w:bidi="ar-SA"/>
        </w:rPr>
        <w:t>29.经营支出：指事业单位在专业业务活动及其辅助活动之外开展非独立核算经营活动发生的支出。</w:t>
      </w:r>
    </w:p>
    <w:p>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30.</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31.</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hint="eastAsia" w:ascii="黑体" w:hAnsi="黑体" w:eastAsia="黑体"/>
          <w:color w:val="auto"/>
          <w:sz w:val="44"/>
          <w:szCs w:val="44"/>
          <w:highlight w:val="none"/>
        </w:rPr>
      </w:pPr>
      <w:bookmarkStart w:id="52" w:name="_Toc15396614"/>
      <w:bookmarkStart w:id="53" w:name="_Toc15377226"/>
    </w:p>
    <w:p>
      <w:pPr>
        <w:spacing w:line="600" w:lineRule="exact"/>
        <w:jc w:val="center"/>
        <w:outlineLvl w:val="0"/>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Style w:val="26"/>
          <w:rFonts w:ascii="黑体" w:hAnsi="黑体" w:eastAsia="黑体"/>
          <w:b w:val="0"/>
          <w:color w:val="auto"/>
          <w:highlight w:val="none"/>
        </w:rPr>
      </w:pPr>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四部分 附件</w:t>
      </w:r>
      <w:bookmarkEnd w:id="52"/>
    </w:p>
    <w:tbl>
      <w:tblPr>
        <w:tblStyle w:val="14"/>
        <w:tblpPr w:leftFromText="180" w:rightFromText="180" w:vertAnchor="text" w:horzAnchor="page" w:tblpX="1283" w:tblpY="806"/>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3"/>
        <w:gridCol w:w="1036"/>
        <w:gridCol w:w="1064"/>
        <w:gridCol w:w="1622"/>
        <w:gridCol w:w="1637"/>
        <w:gridCol w:w="2895"/>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b/>
                <w:bCs/>
                <w:sz w:val="36"/>
                <w:szCs w:val="44"/>
                <w:lang w:val="en-US" w:eastAsia="zh-CN"/>
              </w:rPr>
            </w:pPr>
            <w:r>
              <w:rPr>
                <w:rFonts w:hint="eastAsia"/>
                <w:b/>
                <w:bCs/>
                <w:sz w:val="36"/>
                <w:szCs w:val="44"/>
                <w:lang w:val="en-US" w:eastAsia="zh-CN"/>
              </w:rPr>
              <w:t>2021年部门预算项目绩效目标自评</w:t>
            </w:r>
          </w:p>
          <w:p>
            <w:pPr>
              <w:pStyle w:val="2"/>
              <w:ind w:firstLine="2520" w:firstLineChars="1200"/>
              <w:jc w:val="both"/>
              <w:rPr>
                <w:rFonts w:hint="default"/>
                <w:lang w:val="en-US"/>
              </w:rPr>
            </w:pPr>
            <w:r>
              <w:rPr>
                <w:rFonts w:hint="eastAsia"/>
                <w:lang w:val="en-US" w:eastAsia="zh-CN"/>
              </w:rPr>
              <w:t>（</w:t>
            </w:r>
            <w:r>
              <w:rPr>
                <w:rFonts w:hint="default"/>
                <w:lang w:val="en-US"/>
              </w:rPr>
              <w:t>基层组织活动和公共服务运行经费</w:t>
            </w:r>
            <w:r>
              <w:rPr>
                <w:rFonts w:hint="eastAsia"/>
                <w:lang w:val="en-US" w:eastAsia="zh-CN"/>
              </w:rPr>
              <w:t>）</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78" w:hRule="atLeast"/>
        </w:trPr>
        <w:tc>
          <w:tcPr>
            <w:tcW w:w="2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主管部门及代码</w:t>
            </w:r>
          </w:p>
        </w:tc>
        <w:tc>
          <w:tcPr>
            <w:tcW w:w="2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797701</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实施单位</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广元市昭化区红岩镇人民政府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3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（万元）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 xml:space="preserve"> 预算数：</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91</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 xml:space="preserve"> 执行数：</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88" w:hRule="atLeast"/>
        </w:trPr>
        <w:tc>
          <w:tcPr>
            <w:tcW w:w="23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其中：财政拨款</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91</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其中：财政拨款</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3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其他资金</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其他资金</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年度总体目标完成情况</w:t>
            </w:r>
          </w:p>
        </w:tc>
        <w:tc>
          <w:tcPr>
            <w:tcW w:w="37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预期目标</w:t>
            </w:r>
          </w:p>
        </w:tc>
        <w:tc>
          <w:tcPr>
            <w:tcW w:w="4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p>
        </w:tc>
        <w:tc>
          <w:tcPr>
            <w:tcW w:w="372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加强基层组织建设，提高基层公共运行服务保障水平和社会治理能力，按照《广元市昭化区基层活动和公共服务运行经费使用管理办法》，开展组织活动每村每月一次，党员干部培训每村每月1次，产业培训每村每季度1次，走访慰问每村全年不少于10次，完成14个村（居）组织活动场所维护、基础设施维护，维持14个村（居）日常办公运转。垃圾清运每村每周不少于1次，村容村貌良好，无任何“脏乱差”现象的发生。红岩镇农公运成本为91万元。服务对象覆盖11个村3个社区、132个村民小组，共15010人。群众满意度达到95%以上。</w:t>
            </w:r>
          </w:p>
        </w:tc>
        <w:tc>
          <w:tcPr>
            <w:tcW w:w="453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本年我单位按照民主决策、统筹安排、公开公示、规范管理的原则。按照年初预算既定的目标，开展组织活动每村每月一次，党员干部培训每村每月1次，产业培训每村每季度1次，走访慰问每村全年不少于10次，完成14个村（居）组织活动场所维护、基础设施维护，维持14个村（居）日常办公运转。垃圾清运每村每周不少于1次，村容村貌良好，无任何“脏乱差”现象的发生。红岩镇农公运成本为91万元。服务对象覆盖11个村3个社区、132个村民小组，共15010人。群众满意度达到95%以上。保证了11村3居委会基层组织活动、公共服务运行、日常办公等的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830" w:hRule="atLeast"/>
        </w:trPr>
        <w:tc>
          <w:tcPr>
            <w:tcW w:w="132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年度绩效指标完成情况</w:t>
            </w:r>
          </w:p>
        </w:tc>
        <w:tc>
          <w:tcPr>
            <w:tcW w:w="10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一级指标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二级指标</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三级指标</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预期指标值</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73" w:hRule="atLeast"/>
        </w:trPr>
        <w:tc>
          <w:tcPr>
            <w:tcW w:w="132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p>
        </w:tc>
        <w:tc>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数量指标</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村组织活动场所维护（个）</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11各村、3个社区共14个</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11各村、3个社区共14个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32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数量指标</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产业培训</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每村每季度产业技能培训次数至少1次</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每村每季度产业技能培训次数至少1次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32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数量指标</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全年垃圾清运（次）</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11个村3个社区每周至少清运垃圾1次</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11个村3个社区每周至少清运垃圾1次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32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数量指标</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党员干部培训</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各村每季度党员干部培训至少1次</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各村每季度党员干部培训至少1次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32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质量指标</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资金使用合规</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无违纪现象发生</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无违纪现象发生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32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质量指标</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村容村貌、基础设施配备率</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容村貌良好，基础设施配备基本完成</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容村貌良好，基础设施配备基本完成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32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质量指标</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绩效评价按得分</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95分</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95分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32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质量指标</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积压垃圾</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村境无垃圾积压</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村境无垃圾积压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32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时效指标</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完成及时率</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100%</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32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成本指标</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村农公运资金成本概算</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全镇14个村级活动场所维护所需资金46万元</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各项完成100%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32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成本指标</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村级基础设施建设</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村容、村貌基础设施维护35万元</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各项完成100%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32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社会效益指标</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居民生活幸福感提升</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村容村貌良好、民风淳朴</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完成100%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77" w:hRule="atLeast"/>
        </w:trPr>
        <w:tc>
          <w:tcPr>
            <w:tcW w:w="132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生态效益指标</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覆盖村小组</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全面覆盖11个村，3个社区，72个社</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全面覆盖11个村，3个社区，72个社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77" w:hRule="atLeast"/>
        </w:trPr>
        <w:tc>
          <w:tcPr>
            <w:tcW w:w="132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sz w:val="20"/>
                <w:szCs w:val="20"/>
                <w:u w:val="none"/>
                <w:lang w:val="en-US" w:eastAsia="zh-CN"/>
              </w:rPr>
              <w:t>生态效益指标</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覆盖村民数</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覆盖村民15010</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覆盖村民15010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32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可持续影响指标</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项目使用年限(年）</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1年</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32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度指标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指标</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群众满意度</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9村2社区受益群众满意度</w:t>
            </w:r>
            <w:r>
              <w:rPr>
                <w:rFonts w:hint="eastAsia" w:ascii="宋体" w:hAnsi="宋体" w:cs="宋体"/>
                <w:i w:val="0"/>
                <w:color w:val="auto"/>
                <w:sz w:val="20"/>
                <w:szCs w:val="20"/>
                <w:u w:val="none"/>
                <w:lang w:val="en-US" w:eastAsia="zh-CN"/>
              </w:rPr>
              <w:t>95</w:t>
            </w:r>
            <w:r>
              <w:rPr>
                <w:rFonts w:hint="eastAsia" w:ascii="宋体" w:hAnsi="宋体" w:eastAsia="宋体" w:cs="宋体"/>
                <w:i w:val="0"/>
                <w:color w:val="auto"/>
                <w:sz w:val="20"/>
                <w:szCs w:val="20"/>
                <w:u w:val="none"/>
              </w:rPr>
              <w:t>%</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达到95%</w:t>
            </w:r>
          </w:p>
        </w:tc>
      </w:tr>
    </w:tbl>
    <w:p>
      <w:pPr>
        <w:spacing w:line="600" w:lineRule="exact"/>
        <w:jc w:val="center"/>
        <w:outlineLvl w:val="0"/>
        <w:rPr>
          <w:rFonts w:hint="eastAsia" w:ascii="黑体" w:hAnsi="黑体" w:eastAsia="黑体"/>
          <w:color w:val="auto"/>
          <w:sz w:val="44"/>
          <w:szCs w:val="44"/>
          <w:highlight w:val="none"/>
        </w:rPr>
      </w:pPr>
      <w:bookmarkStart w:id="54" w:name="_Toc15396618"/>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spacing w:line="600" w:lineRule="exact"/>
        <w:jc w:val="center"/>
        <w:outlineLvl w:val="0"/>
        <w:rPr>
          <w:rStyle w:val="26"/>
          <w:rFonts w:ascii="黑体" w:hAnsi="黑体" w:eastAsia="黑体"/>
          <w:b w:val="0"/>
          <w:color w:val="auto"/>
          <w:highlight w:val="none"/>
        </w:rPr>
      </w:pPr>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四部分 附件</w:t>
      </w:r>
    </w:p>
    <w:tbl>
      <w:tblPr>
        <w:tblStyle w:val="14"/>
        <w:tblpPr w:leftFromText="180" w:rightFromText="180" w:vertAnchor="text" w:horzAnchor="page" w:tblpX="1283" w:tblpY="806"/>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3"/>
        <w:gridCol w:w="1036"/>
        <w:gridCol w:w="1064"/>
        <w:gridCol w:w="1622"/>
        <w:gridCol w:w="1637"/>
        <w:gridCol w:w="2895"/>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b/>
                <w:bCs/>
                <w:sz w:val="36"/>
                <w:szCs w:val="44"/>
                <w:lang w:val="en-US" w:eastAsia="zh-CN"/>
              </w:rPr>
            </w:pPr>
            <w:r>
              <w:rPr>
                <w:rFonts w:hint="eastAsia"/>
                <w:b/>
                <w:bCs/>
                <w:sz w:val="36"/>
                <w:szCs w:val="44"/>
                <w:lang w:val="en-US" w:eastAsia="zh-CN"/>
              </w:rPr>
              <w:t>2021年部门预算项目绩效目标自评</w:t>
            </w:r>
          </w:p>
          <w:p>
            <w:pPr>
              <w:pStyle w:val="2"/>
              <w:ind w:firstLine="3150" w:firstLineChars="1500"/>
              <w:jc w:val="both"/>
              <w:rPr>
                <w:rFonts w:hint="default"/>
                <w:lang w:val="en-US"/>
              </w:rPr>
            </w:pPr>
            <w:r>
              <w:rPr>
                <w:rFonts w:hint="eastAsia"/>
                <w:lang w:val="en-US" w:eastAsia="zh-CN"/>
              </w:rPr>
              <w:t>（</w:t>
            </w:r>
            <w:r>
              <w:rPr>
                <w:rFonts w:hint="default"/>
                <w:lang w:val="en-US"/>
              </w:rPr>
              <w:t>烤烟产业发展资金</w:t>
            </w:r>
            <w:r>
              <w:rPr>
                <w:rFonts w:hint="eastAsia"/>
                <w:lang w:val="en-US" w:eastAsia="zh-CN"/>
              </w:rPr>
              <w:t>）</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78" w:hRule="atLeast"/>
        </w:trPr>
        <w:tc>
          <w:tcPr>
            <w:tcW w:w="2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主管部门及代码</w:t>
            </w:r>
          </w:p>
        </w:tc>
        <w:tc>
          <w:tcPr>
            <w:tcW w:w="2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797701</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实施单位</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广元市昭化区红岩镇人民政府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3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（万元）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 xml:space="preserve"> 预算数：</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21.96</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 xml:space="preserve"> 执行数：</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88" w:hRule="atLeast"/>
        </w:trPr>
        <w:tc>
          <w:tcPr>
            <w:tcW w:w="23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其中：财政拨款</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21.96</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其中：财政拨款</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3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其他资金</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其他资金</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年度总体目标完成情况</w:t>
            </w:r>
          </w:p>
        </w:tc>
        <w:tc>
          <w:tcPr>
            <w:tcW w:w="37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预期目标</w:t>
            </w:r>
          </w:p>
        </w:tc>
        <w:tc>
          <w:tcPr>
            <w:tcW w:w="4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p>
        </w:tc>
        <w:tc>
          <w:tcPr>
            <w:tcW w:w="372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完成21.96万元烟叶税收目标任务，开展烤烟生产技术培训每季度1次，维修烤房19间（山溪5间、青光2间、会果4间、华丰5间、金牛3间），红寨村新建烤房5间，烟地整理510亩（（山溪80亩、青光30亩、会果100亩、金牛80亩、华丰120亩，红寨100亩），提高烟农收入。2021年12月之前烟叶税收目标任务完成100%、烟叶种植目标任务完成100%,全年烤烟发展成本为18.29万元,，全年烟农效益增收率为21.4%。对生态环境不造成任何污染，群众满意度达到95%。</w:t>
            </w:r>
          </w:p>
        </w:tc>
        <w:tc>
          <w:tcPr>
            <w:tcW w:w="453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完成21.96万元烟叶税收目标任务，开展烤烟生产技术培训每季度1次，维修烤房19间（山溪5间、青光2间、会果4间、华丰5间、金牛3间），红寨村新建烤房5间，烟地整理</w:t>
            </w:r>
            <w:r>
              <w:rPr>
                <w:rFonts w:hint="eastAsia" w:ascii="宋体" w:hAnsi="宋体" w:cs="宋体"/>
                <w:i w:val="0"/>
                <w:color w:val="auto"/>
                <w:sz w:val="20"/>
                <w:szCs w:val="20"/>
                <w:u w:val="none"/>
                <w:lang w:val="en-US" w:eastAsia="zh-CN"/>
              </w:rPr>
              <w:t>477</w:t>
            </w:r>
            <w:r>
              <w:rPr>
                <w:rFonts w:hint="eastAsia" w:ascii="宋体" w:hAnsi="宋体" w:eastAsia="宋体" w:cs="宋体"/>
                <w:i w:val="0"/>
                <w:color w:val="auto"/>
                <w:sz w:val="20"/>
                <w:szCs w:val="20"/>
                <w:u w:val="none"/>
              </w:rPr>
              <w:t>亩（（华丰100亩，红寨120亩、金牛村100亩、山溪村157亩），提高烟农收入。2021年12月之前烟叶税收目标任务完成100%、烟叶种植目标任务完成100%,全年烤烟发展成本为18.29万元,，全年烟农效益增收率为21.4%。对生态环境不造成任何污染，群众满意度达到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830" w:hRule="atLeast"/>
        </w:trPr>
        <w:tc>
          <w:tcPr>
            <w:tcW w:w="132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年度绩效指标完成情况</w:t>
            </w:r>
          </w:p>
        </w:tc>
        <w:tc>
          <w:tcPr>
            <w:tcW w:w="10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一级指标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二级指标</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三级指标</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预期指标值</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73" w:hRule="atLeast"/>
        </w:trPr>
        <w:tc>
          <w:tcPr>
            <w:tcW w:w="132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p>
        </w:tc>
        <w:tc>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数量指标</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烤房维修</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山溪5间、青光2间、会果4间、华丰5间、金牛3间</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山溪5间、青光2间、会果4间、华丰5间、金牛3间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32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数量指标</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产业培训</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全年技术培训3数</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全年技术培训3数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32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数量指标</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全年垃圾清运（次）</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16"/>
                <w:szCs w:val="16"/>
                <w:u w:val="none"/>
              </w:rPr>
              <w:t>山溪80亩、青光30亩、会果100亩、金牛80亩、华丰120亩，红寨100亩</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华丰100亩，红寨120亩、金牛村100亩、山溪村157亩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32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质量指标</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烤烟完成率</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16"/>
                <w:szCs w:val="16"/>
                <w:u w:val="none"/>
              </w:rPr>
              <w:t>山溪80亩、青光30亩、会果100亩、金牛80亩、华丰120亩，红寨100亩</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华丰100亩，红寨120亩、金牛村100亩、山溪村157亩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32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时效指标</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烟叶税收目标完成及时率</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2021年12月前达到目标任务21.96万元</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2021年12月前达到目标任务21.96万元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32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时效指标</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烟叶种植目标任务完成及时性</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rPr>
              <w:t>山溪80亩、青光30亩、会果100亩、金牛80亩、华丰120亩，红寨100亩</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华丰100亩，红寨120亩、金牛村100亩、山溪村157亩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32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成本指标</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烤房维修</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烤房维修、新建资金10.96万元</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烤房维修、新建资金10.96万元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32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成本指标</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rPr>
              <w:t>烟地整理</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rPr>
              <w:t>烟地整理花费经11万元</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烟地整理花费经11万元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32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p>
        </w:tc>
        <w:tc>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经济效益指标</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全年烟农效益增收率</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全年烟农收入21.5万元，较去年19.8万元，增加21.4%</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全年烟农收入21.5万元，较去年19.8万元，增加21.4%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32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社会效益指标</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rPr>
              <w:t>烟农受益率</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全年烟农受益率</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实际农户受益100%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32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可持续影响指标</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项目使用年限(年）</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1年</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30" w:hRule="atLeast"/>
        </w:trPr>
        <w:tc>
          <w:tcPr>
            <w:tcW w:w="132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度指标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指标</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群众满意度</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覆盖村村民、及社会公众满意度达99%。</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满意度100%</w:t>
            </w:r>
          </w:p>
        </w:tc>
      </w:tr>
    </w:tbl>
    <w:p>
      <w:pPr>
        <w:pStyle w:val="2"/>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五部分 附表</w:t>
      </w:r>
      <w:bookmarkEnd w:id="53"/>
      <w:bookmarkEnd w:id="54"/>
      <w:bookmarkStart w:id="55" w:name="_Toc15396619"/>
    </w:p>
    <w:p>
      <w:pPr>
        <w:pStyle w:val="5"/>
        <w:rPr>
          <w:rFonts w:ascii="仿宋" w:hAnsi="仿宋" w:eastAsia="仿宋"/>
          <w:color w:val="auto"/>
          <w:highlight w:val="none"/>
        </w:rPr>
      </w:pPr>
      <w:r>
        <w:rPr>
          <w:rFonts w:hint="eastAsia" w:ascii="仿宋" w:hAnsi="仿宋" w:eastAsia="仿宋"/>
          <w:b w:val="0"/>
          <w:color w:val="auto"/>
          <w:highlight w:val="none"/>
        </w:rPr>
        <w:t>一、收</w:t>
      </w:r>
      <w:r>
        <w:rPr>
          <w:rStyle w:val="27"/>
          <w:rFonts w:hint="eastAsia" w:ascii="仿宋" w:hAnsi="仿宋" w:eastAsia="仿宋"/>
          <w:b w:val="0"/>
          <w:bCs w:val="0"/>
          <w:color w:val="auto"/>
          <w:highlight w:val="none"/>
        </w:rPr>
        <w:t>入支出决算总表</w:t>
      </w:r>
      <w:bookmarkEnd w:id="55"/>
    </w:p>
    <w:p>
      <w:pPr>
        <w:pStyle w:val="5"/>
        <w:rPr>
          <w:rFonts w:ascii="仿宋" w:hAnsi="仿宋" w:eastAsia="仿宋"/>
          <w:color w:val="auto"/>
          <w:highlight w:val="none"/>
        </w:rPr>
      </w:pPr>
      <w:bookmarkStart w:id="56" w:name="_Toc15396620"/>
      <w:r>
        <w:rPr>
          <w:rFonts w:hint="eastAsia" w:ascii="仿宋" w:hAnsi="仿宋" w:eastAsia="仿宋"/>
          <w:b w:val="0"/>
          <w:color w:val="auto"/>
          <w:highlight w:val="none"/>
        </w:rPr>
        <w:t>二、收</w:t>
      </w:r>
      <w:r>
        <w:rPr>
          <w:rStyle w:val="27"/>
          <w:rFonts w:hint="eastAsia" w:ascii="仿宋" w:hAnsi="仿宋" w:eastAsia="仿宋"/>
          <w:b w:val="0"/>
          <w:bCs w:val="0"/>
          <w:color w:val="auto"/>
          <w:highlight w:val="none"/>
        </w:rPr>
        <w:t>入决算表</w:t>
      </w:r>
      <w:bookmarkEnd w:id="56"/>
    </w:p>
    <w:p>
      <w:pPr>
        <w:pStyle w:val="5"/>
        <w:rPr>
          <w:rFonts w:ascii="仿宋" w:hAnsi="仿宋" w:eastAsia="仿宋"/>
          <w:color w:val="auto"/>
          <w:highlight w:val="none"/>
        </w:rPr>
      </w:pPr>
      <w:bookmarkStart w:id="57" w:name="_Toc15396621"/>
      <w:r>
        <w:rPr>
          <w:rStyle w:val="27"/>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7"/>
          <w:rFonts w:hint="eastAsia" w:ascii="仿宋" w:hAnsi="仿宋" w:eastAsia="仿宋"/>
          <w:b w:val="0"/>
          <w:bCs w:val="0"/>
          <w:color w:val="auto"/>
          <w:highlight w:val="none"/>
        </w:rPr>
        <w:t>出决算表</w:t>
      </w:r>
      <w:bookmarkEnd w:id="57"/>
    </w:p>
    <w:p>
      <w:pPr>
        <w:pStyle w:val="5"/>
        <w:rPr>
          <w:rFonts w:ascii="仿宋" w:hAnsi="仿宋" w:eastAsia="仿宋"/>
          <w:b w:val="0"/>
          <w:color w:val="auto"/>
          <w:highlight w:val="none"/>
        </w:rPr>
      </w:pPr>
      <w:bookmarkStart w:id="58" w:name="_Toc15396622"/>
      <w:r>
        <w:rPr>
          <w:rStyle w:val="27"/>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政拨款收入支出决算总表</w:t>
      </w:r>
      <w:bookmarkEnd w:id="58"/>
    </w:p>
    <w:p>
      <w:pPr>
        <w:pStyle w:val="5"/>
        <w:rPr>
          <w:rStyle w:val="27"/>
          <w:rFonts w:ascii="仿宋" w:hAnsi="仿宋" w:eastAsia="仿宋"/>
          <w:b w:val="0"/>
          <w:bCs w:val="0"/>
          <w:color w:val="auto"/>
          <w:highlight w:val="none"/>
        </w:rPr>
      </w:pPr>
      <w:bookmarkStart w:id="59" w:name="_Toc15396623"/>
      <w:r>
        <w:rPr>
          <w:rStyle w:val="27"/>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政拨款支出决算明细表</w:t>
      </w:r>
      <w:bookmarkEnd w:id="59"/>
      <w:bookmarkStart w:id="60" w:name="_Toc15396624"/>
    </w:p>
    <w:p>
      <w:pPr>
        <w:pStyle w:val="5"/>
        <w:rPr>
          <w:rFonts w:ascii="仿宋" w:hAnsi="仿宋" w:eastAsia="仿宋"/>
          <w:color w:val="auto"/>
          <w:highlight w:val="none"/>
        </w:rPr>
      </w:pPr>
      <w:r>
        <w:rPr>
          <w:rStyle w:val="27"/>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般公共预算财政拨款支出决算表</w:t>
      </w:r>
      <w:bookmarkEnd w:id="60"/>
    </w:p>
    <w:p>
      <w:pPr>
        <w:pStyle w:val="5"/>
        <w:rPr>
          <w:rFonts w:ascii="仿宋" w:hAnsi="仿宋" w:eastAsia="仿宋"/>
          <w:color w:val="auto"/>
          <w:highlight w:val="none"/>
        </w:rPr>
      </w:pPr>
      <w:bookmarkStart w:id="61" w:name="_Toc15396625"/>
      <w:r>
        <w:rPr>
          <w:rStyle w:val="27"/>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般公共预算财政拨款支出决算明细表</w:t>
      </w:r>
      <w:bookmarkEnd w:id="61"/>
    </w:p>
    <w:p>
      <w:pPr>
        <w:pStyle w:val="5"/>
        <w:rPr>
          <w:rFonts w:ascii="仿宋" w:hAnsi="仿宋" w:eastAsia="仿宋"/>
          <w:color w:val="auto"/>
          <w:highlight w:val="none"/>
        </w:rPr>
      </w:pPr>
      <w:bookmarkStart w:id="62" w:name="_Toc15396626"/>
      <w:r>
        <w:rPr>
          <w:rStyle w:val="27"/>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般公共预算财政拨款基本支出决算表</w:t>
      </w:r>
      <w:bookmarkEnd w:id="62"/>
    </w:p>
    <w:p>
      <w:pPr>
        <w:pStyle w:val="5"/>
        <w:rPr>
          <w:rFonts w:ascii="仿宋" w:hAnsi="仿宋" w:eastAsia="仿宋"/>
          <w:color w:val="auto"/>
          <w:highlight w:val="none"/>
        </w:rPr>
      </w:pPr>
      <w:bookmarkStart w:id="63" w:name="_Toc15396627"/>
      <w:r>
        <w:rPr>
          <w:rStyle w:val="27"/>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般公共预算财政拨款项目支出决算表</w:t>
      </w:r>
      <w:bookmarkEnd w:id="63"/>
    </w:p>
    <w:p>
      <w:pPr>
        <w:pStyle w:val="5"/>
        <w:rPr>
          <w:rFonts w:ascii="仿宋" w:hAnsi="仿宋" w:eastAsia="仿宋"/>
          <w:color w:val="auto"/>
          <w:highlight w:val="none"/>
        </w:rPr>
      </w:pPr>
      <w:bookmarkStart w:id="64" w:name="_Toc15396628"/>
      <w:r>
        <w:rPr>
          <w:rStyle w:val="27"/>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般公共预算财政拨款“三公”经费支出决算表</w:t>
      </w:r>
      <w:bookmarkEnd w:id="64"/>
    </w:p>
    <w:p>
      <w:pPr>
        <w:pStyle w:val="5"/>
        <w:rPr>
          <w:rFonts w:ascii="仿宋" w:hAnsi="仿宋" w:eastAsia="仿宋"/>
          <w:color w:val="auto"/>
          <w:highlight w:val="none"/>
        </w:rPr>
      </w:pPr>
      <w:bookmarkStart w:id="65" w:name="_Toc15396629"/>
      <w:r>
        <w:rPr>
          <w:rStyle w:val="27"/>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府性基金预算财政拨款收入支出决算表</w:t>
      </w:r>
      <w:bookmarkEnd w:id="65"/>
    </w:p>
    <w:p>
      <w:pPr>
        <w:pStyle w:val="5"/>
        <w:rPr>
          <w:rFonts w:ascii="仿宋" w:hAnsi="仿宋" w:eastAsia="仿宋"/>
          <w:color w:val="auto"/>
          <w:highlight w:val="none"/>
        </w:rPr>
      </w:pPr>
      <w:bookmarkStart w:id="66" w:name="_Toc15396630"/>
      <w:r>
        <w:rPr>
          <w:rStyle w:val="27"/>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府性基金预算财政拨款“三公”经费支出决算表</w:t>
      </w:r>
      <w:bookmarkEnd w:id="66"/>
    </w:p>
    <w:p>
      <w:pPr>
        <w:pStyle w:val="5"/>
        <w:rPr>
          <w:rStyle w:val="27"/>
          <w:rFonts w:hint="eastAsia" w:ascii="仿宋" w:hAnsi="仿宋" w:eastAsia="仿宋"/>
          <w:b w:val="0"/>
          <w:bCs w:val="0"/>
          <w:color w:val="auto"/>
          <w:highlight w:val="none"/>
        </w:rPr>
      </w:pPr>
      <w:bookmarkStart w:id="67" w:name="_Toc15396631"/>
      <w:r>
        <w:rPr>
          <w:rStyle w:val="27"/>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7"/>
          <w:rFonts w:hint="eastAsia" w:ascii="仿宋" w:hAnsi="仿宋" w:eastAsia="仿宋"/>
          <w:b w:val="0"/>
          <w:bCs w:val="0"/>
          <w:color w:val="auto"/>
          <w:highlight w:val="none"/>
        </w:rPr>
        <w:t>有资本经营预算</w:t>
      </w:r>
      <w:r>
        <w:rPr>
          <w:rStyle w:val="27"/>
          <w:rFonts w:hint="eastAsia" w:ascii="仿宋" w:hAnsi="仿宋" w:eastAsia="仿宋"/>
          <w:b w:val="0"/>
          <w:bCs w:val="0"/>
          <w:color w:val="auto"/>
          <w:highlight w:val="none"/>
          <w:lang w:eastAsia="zh-CN"/>
        </w:rPr>
        <w:t>财政拨款收入</w:t>
      </w:r>
      <w:r>
        <w:rPr>
          <w:rStyle w:val="27"/>
          <w:rFonts w:hint="eastAsia" w:ascii="仿宋" w:hAnsi="仿宋" w:eastAsia="仿宋"/>
          <w:b w:val="0"/>
          <w:bCs w:val="0"/>
          <w:color w:val="auto"/>
          <w:highlight w:val="none"/>
        </w:rPr>
        <w:t>支出决算表</w:t>
      </w:r>
      <w:bookmarkEnd w:id="67"/>
    </w:p>
    <w:p>
      <w:pPr>
        <w:rPr>
          <w:rFonts w:hint="eastAsia" w:eastAsia="仿宋"/>
          <w:color w:val="auto"/>
          <w:highlight w:val="none"/>
          <w:lang w:eastAsia="zh-CN"/>
        </w:rPr>
      </w:pPr>
      <w:r>
        <w:rPr>
          <w:rStyle w:val="27"/>
          <w:rFonts w:hint="eastAsia" w:ascii="仿宋" w:hAnsi="仿宋" w:eastAsia="仿宋"/>
          <w:b w:val="0"/>
          <w:bCs w:val="0"/>
          <w:color w:val="auto"/>
          <w:highlight w:val="none"/>
          <w:lang w:eastAsia="zh-CN"/>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kOWI1N2Y5MWRhYmM5MTJkZjllZWY5ZmM4MDhjYW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AC52CB"/>
    <w:rsid w:val="06F379BD"/>
    <w:rsid w:val="07F25594"/>
    <w:rsid w:val="0A2032A3"/>
    <w:rsid w:val="0B8A37D8"/>
    <w:rsid w:val="0DD71449"/>
    <w:rsid w:val="10C055FF"/>
    <w:rsid w:val="118107EC"/>
    <w:rsid w:val="11DD6519"/>
    <w:rsid w:val="14F21366"/>
    <w:rsid w:val="16BB723D"/>
    <w:rsid w:val="17980506"/>
    <w:rsid w:val="18015F3F"/>
    <w:rsid w:val="1BE8440E"/>
    <w:rsid w:val="1D155CEE"/>
    <w:rsid w:val="20F57F95"/>
    <w:rsid w:val="240371BF"/>
    <w:rsid w:val="25C741E6"/>
    <w:rsid w:val="27842671"/>
    <w:rsid w:val="29FD04D3"/>
    <w:rsid w:val="2ABE7A3E"/>
    <w:rsid w:val="2EFA178C"/>
    <w:rsid w:val="30B46D73"/>
    <w:rsid w:val="319F7F4E"/>
    <w:rsid w:val="379E07F3"/>
    <w:rsid w:val="39AE70AB"/>
    <w:rsid w:val="3C0C0783"/>
    <w:rsid w:val="3F795B0E"/>
    <w:rsid w:val="3F9F3A96"/>
    <w:rsid w:val="45494B32"/>
    <w:rsid w:val="493C27E9"/>
    <w:rsid w:val="496F39ED"/>
    <w:rsid w:val="49C03747"/>
    <w:rsid w:val="49FF41D3"/>
    <w:rsid w:val="4A185DC8"/>
    <w:rsid w:val="4A331C29"/>
    <w:rsid w:val="4BE068DB"/>
    <w:rsid w:val="4BF6002B"/>
    <w:rsid w:val="4ECE2238"/>
    <w:rsid w:val="51DB4B86"/>
    <w:rsid w:val="55333C3E"/>
    <w:rsid w:val="57770C7B"/>
    <w:rsid w:val="64CA39A1"/>
    <w:rsid w:val="691D5B05"/>
    <w:rsid w:val="6BBC517B"/>
    <w:rsid w:val="6C4A05C8"/>
    <w:rsid w:val="72734D90"/>
    <w:rsid w:val="74E366CA"/>
    <w:rsid w:val="78D77EF8"/>
    <w:rsid w:val="791A4971"/>
    <w:rsid w:val="799A287B"/>
    <w:rsid w:val="79E7B28D"/>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pPr>
  </w:style>
  <w:style w:type="paragraph" w:styleId="3">
    <w:name w:val="Body Text Indent"/>
    <w:basedOn w:val="1"/>
    <w:qFormat/>
    <w:uiPriority w:val="99"/>
    <w:pPr>
      <w:spacing w:after="120"/>
      <w:ind w:left="420" w:leftChars="200"/>
    </w:pPr>
  </w:style>
  <w:style w:type="paragraph" w:styleId="7">
    <w:name w:val="Body Text"/>
    <w:basedOn w:val="1"/>
    <w:link w:val="23"/>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29"/>
    <w:semiHidden/>
    <w:unhideWhenUsed/>
    <w:qFormat/>
    <w:uiPriority w:val="99"/>
    <w:rPr>
      <w:sz w:val="18"/>
      <w:szCs w:val="18"/>
    </w:rPr>
  </w:style>
  <w:style w:type="paragraph" w:styleId="10">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1"/>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10"/>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7"/>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4"/>
    <w:qFormat/>
    <w:uiPriority w:val="9"/>
    <w:rPr>
      <w:rFonts w:ascii="Times New Roman" w:hAnsi="Times New Roman"/>
      <w:b/>
      <w:bCs/>
      <w:kern w:val="44"/>
      <w:sz w:val="44"/>
      <w:szCs w:val="44"/>
    </w:rPr>
  </w:style>
  <w:style w:type="character" w:customStyle="1" w:styleId="27">
    <w:name w:val="标题 2 Char"/>
    <w:basedOn w:val="15"/>
    <w:link w:val="5"/>
    <w:qFormat/>
    <w:uiPriority w:val="9"/>
    <w:rPr>
      <w:rFonts w:asciiTheme="majorHAnsi" w:hAnsiTheme="majorHAnsi" w:eastAsiaTheme="majorEastAsia" w:cstheme="majorBidi"/>
      <w:b/>
      <w:bCs/>
      <w:kern w:val="2"/>
      <w:sz w:val="32"/>
      <w:szCs w:val="32"/>
    </w:rPr>
  </w:style>
  <w:style w:type="paragraph" w:customStyle="1" w:styleId="28">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5"/>
    <w:link w:val="9"/>
    <w:semiHidden/>
    <w:qFormat/>
    <w:uiPriority w:val="99"/>
    <w:rPr>
      <w:rFonts w:ascii="Times New Roman" w:hAnsi="Times New Roman"/>
      <w:kern w:val="2"/>
      <w:sz w:val="18"/>
      <w:szCs w:val="18"/>
    </w:rPr>
  </w:style>
  <w:style w:type="character" w:customStyle="1" w:styleId="30">
    <w:name w:val="标题 3 Char"/>
    <w:basedOn w:val="15"/>
    <w:link w:val="6"/>
    <w:qFormat/>
    <w:uiPriority w:val="9"/>
    <w:rPr>
      <w:rFonts w:ascii="Times New Roman" w:hAnsi="Times New Roman"/>
      <w:b/>
      <w:bCs/>
      <w:kern w:val="2"/>
      <w:sz w:val="32"/>
      <w:szCs w:val="32"/>
    </w:rPr>
  </w:style>
  <w:style w:type="paragraph" w:customStyle="1" w:styleId="31">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3.xml"/><Relationship Id="rId1" Type="http://schemas.openxmlformats.org/officeDocument/2006/relationships/oleObject" Target="file:///F:\&#39044;&#20915;&#31639;\2021&#24180;&#20915;&#31639;&#20844;&#24320;\&#26032;&#24314;%20XLS%20&#24037;&#20316;&#34920;.xls"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4.xml"/><Relationship Id="rId1" Type="http://schemas.openxmlformats.org/officeDocument/2006/relationships/oleObject" Target="file:///F:\&#39044;&#20915;&#31639;\2021&#24180;&#20915;&#31639;&#20844;&#24320;\&#26032;&#24314;%20XLS%20&#24037;&#20316;&#3492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F:\&#39044;&#20915;&#31639;\2021&#24180;&#20915;&#31639;&#20844;&#24320;\&#26032;&#24314;%20XLS%20&#24037;&#20316;&#34920;.xls" TargetMode="External"/></Relationships>
</file>

<file path=word/charts/_rels/chart4.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2.xml"/><Relationship Id="rId1" Type="http://schemas.openxmlformats.org/officeDocument/2006/relationships/oleObject" Target="file:///F:\&#39044;&#20915;&#31639;\2021&#24180;&#20915;&#31639;&#20844;&#24320;\&#26032;&#24314;%20XLS%20&#24037;&#20316;&#34920;.xls" TargetMode="External"/></Relationships>
</file>

<file path=word/charts/_rels/chart5.xml.rels><?xml version="1.0" encoding="UTF-8" standalone="yes"?>
<Relationships xmlns="http://schemas.openxmlformats.org/package/2006/relationships"><Relationship Id="rId4" Type="http://schemas.microsoft.com/office/2011/relationships/chartColorStyle" Target="colors7.xml"/><Relationship Id="rId3" Type="http://schemas.microsoft.com/office/2011/relationships/chartStyle" Target="style7.xml"/><Relationship Id="rId2" Type="http://schemas.openxmlformats.org/officeDocument/2006/relationships/themeOverride" Target="../theme/themeOverride5.xml"/><Relationship Id="rId1" Type="http://schemas.openxmlformats.org/officeDocument/2006/relationships/oleObject" Target="file:///F:\&#39044;&#20915;&#31639;\2021&#24180;&#20915;&#31639;&#20844;&#24320;\&#26032;&#24314;%20XLS%20&#24037;&#20316;&#34920;.xls" TargetMode="External"/></Relationships>
</file>

<file path=word/charts/_rels/chart6.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F:\&#39044;&#20915;&#31639;\2021&#24180;&#20915;&#31639;&#20844;&#24320;\&#26032;&#24314;%20XLS%20&#24037;&#20316;&#34920;.xls"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F:\&#39044;&#20915;&#31639;\2021&#24180;&#20915;&#31639;&#20844;&#24320;\&#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1"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财政收、支（单位：万元）</a:t>
            </a:r>
          </a:p>
        </c:rich>
      </c:tx>
      <c:layout/>
      <c:overlay val="0"/>
      <c:spPr>
        <a:noFill/>
        <a:ln>
          <a:noFill/>
        </a:ln>
        <a:effectLst/>
      </c:spPr>
    </c:title>
    <c:autoTitleDeleted val="0"/>
    <c:plotArea>
      <c:layout>
        <c:manualLayout>
          <c:layoutTarget val="inner"/>
          <c:xMode val="edge"/>
          <c:yMode val="edge"/>
          <c:x val="0.0982092365692743"/>
          <c:y val="0.239967712177122"/>
          <c:w val="0.848892554194156"/>
          <c:h val="0.646886531365314"/>
        </c:manualLayout>
      </c:layout>
      <c:barChart>
        <c:barDir val="col"/>
        <c:grouping val="clustered"/>
        <c:varyColors val="0"/>
        <c:ser>
          <c:idx val="0"/>
          <c:order val="0"/>
          <c:tx>
            <c:strRef>
              <c:f>'[新建 XLS 工作表.xls]Sheet1'!$A$2</c:f>
              <c:strCache>
                <c:ptCount val="1"/>
                <c:pt idx="0">
                  <c:v>2020年</c:v>
                </c:pt>
              </c:strCache>
            </c:strRef>
          </c:tx>
          <c:spPr>
            <a:gradFill>
              <a:gsLst>
                <a:gs pos="0">
                  <a:srgbClr val="EE5596"/>
                </a:gs>
                <a:gs pos="100000">
                  <a:srgbClr val="F9B621"/>
                </a:gs>
              </a:gsLst>
              <a:lin ang="5400000" scaled="0"/>
            </a:gra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工作表.xls]Sheet1'!$B$1</c:f>
              <c:strCache>
                <c:ptCount val="1"/>
                <c:pt idx="0">
                  <c:v>同比减少20.56%</c:v>
                </c:pt>
              </c:strCache>
            </c:strRef>
          </c:cat>
          <c:val>
            <c:numRef>
              <c:f>'[新建 XLS 工作表.xls]Sheet1'!$B$2</c:f>
              <c:numCache>
                <c:formatCode>General</c:formatCode>
                <c:ptCount val="1"/>
                <c:pt idx="0">
                  <c:v>2022.58</c:v>
                </c:pt>
              </c:numCache>
            </c:numRef>
          </c:val>
        </c:ser>
        <c:ser>
          <c:idx val="1"/>
          <c:order val="1"/>
          <c:tx>
            <c:strRef>
              <c:f>'[新建 XLS 工作表.xls]Sheet1'!$A$3</c:f>
              <c:strCache>
                <c:ptCount val="1"/>
                <c:pt idx="0">
                  <c:v>2021年</c:v>
                </c:pt>
              </c:strCache>
            </c:strRef>
          </c:tx>
          <c:spPr>
            <a:gradFill>
              <a:gsLst>
                <a:gs pos="0">
                  <a:srgbClr val="6E6FFA"/>
                </a:gs>
                <a:gs pos="100000">
                  <a:srgbClr val="07E3EE"/>
                </a:gs>
              </a:gsLst>
              <a:lin ang="5400000" scaled="0"/>
            </a:gra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工作表.xls]Sheet1'!$B$1</c:f>
              <c:strCache>
                <c:ptCount val="1"/>
                <c:pt idx="0">
                  <c:v>同比减少20.56%</c:v>
                </c:pt>
              </c:strCache>
            </c:strRef>
          </c:cat>
          <c:val>
            <c:numRef>
              <c:f>'[新建 XLS 工作表.xls]Sheet1'!$B$3</c:f>
              <c:numCache>
                <c:formatCode>General</c:formatCode>
                <c:ptCount val="1"/>
                <c:pt idx="0">
                  <c:v>1425.74</c:v>
                </c:pt>
              </c:numCache>
            </c:numRef>
          </c:val>
        </c:ser>
        <c:dLbls>
          <c:showLegendKey val="0"/>
          <c:showVal val="1"/>
          <c:showCatName val="0"/>
          <c:showSerName val="0"/>
          <c:showPercent val="0"/>
          <c:showBubbleSize val="0"/>
        </c:dLbls>
        <c:gapWidth val="219"/>
        <c:overlap val="-27"/>
        <c:axId val="653154892"/>
        <c:axId val="444026026"/>
      </c:barChart>
      <c:catAx>
        <c:axId val="653154892"/>
        <c:scaling>
          <c:orientation val="minMax"/>
        </c:scaling>
        <c:delete val="0"/>
        <c:axPos val="b"/>
        <c:majorGridlines>
          <c:spPr>
            <a:ln w="9525" cap="flat" cmpd="sng" algn="ctr">
              <a:solidFill>
                <a:schemeClr val="bg1">
                  <a:lumMod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444026026"/>
        <c:crosses val="autoZero"/>
        <c:auto val="1"/>
        <c:lblAlgn val="ctr"/>
        <c:lblOffset val="100"/>
        <c:noMultiLvlLbl val="0"/>
      </c:catAx>
      <c:valAx>
        <c:axId val="444026026"/>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653154892"/>
        <c:crosses val="autoZero"/>
        <c:crossBetween val="between"/>
      </c:valAx>
      <c:spPr>
        <a:noFill/>
        <a:ln>
          <a:solidFill>
            <a:schemeClr val="bg1">
              <a:lumMod val="85000"/>
            </a:schemeClr>
          </a:solid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2021年财政收入</a:t>
            </a:r>
          </a:p>
        </c:rich>
      </c:tx>
      <c:layout/>
      <c:overlay val="0"/>
      <c:spPr>
        <a:noFill/>
        <a:ln>
          <a:noFill/>
        </a:ln>
        <a:effectLst/>
      </c:spPr>
    </c:title>
    <c:autoTitleDeleted val="0"/>
    <c:plotArea>
      <c:layout/>
      <c:pieChart>
        <c:varyColors val="1"/>
        <c:ser>
          <c:idx val="0"/>
          <c:order val="0"/>
          <c:tx>
            <c:strRef>
              <c:f>'[新建 XLS 工作表.xls]Sheet1'!$A$21</c:f>
              <c:strCache>
                <c:ptCount val="1"/>
                <c:pt idx="0">
                  <c:v>2021年财政收入</c:v>
                </c:pt>
              </c:strCache>
            </c:strRef>
          </c:tx>
          <c:spPr>
            <a:gradFill>
              <a:gsLst>
                <a:gs pos="0">
                  <a:srgbClr val="9EE256"/>
                </a:gs>
                <a:gs pos="100000">
                  <a:srgbClr val="52762D"/>
                </a:gs>
              </a:gsLst>
              <a:lin ang="5400000" scaled="0"/>
            </a:gradFill>
            <a:ln w="31750">
              <a:solidFill>
                <a:schemeClr val="bg1">
                  <a:alpha val="42000"/>
                </a:schemeClr>
              </a:solidFill>
            </a:ln>
          </c:spPr>
          <c:explosion val="0"/>
          <c:dPt>
            <c:idx val="0"/>
            <c:bubble3D val="0"/>
            <c:spPr>
              <a:gradFill>
                <a:gsLst>
                  <a:gs pos="0">
                    <a:srgbClr val="9EE256"/>
                  </a:gs>
                  <a:gs pos="100000">
                    <a:srgbClr val="52762D"/>
                  </a:gs>
                </a:gsLst>
                <a:lin ang="5400000" scaled="0"/>
              </a:gradFill>
              <a:ln w="31750">
                <a:solidFill>
                  <a:schemeClr val="bg1">
                    <a:alpha val="42000"/>
                  </a:schemeClr>
                </a:solidFill>
              </a:ln>
              <a:effectLst/>
            </c:spPr>
          </c:dPt>
          <c:dPt>
            <c:idx val="1"/>
            <c:bubble3D val="0"/>
            <c:spPr>
              <a:gradFill>
                <a:gsLst>
                  <a:gs pos="0">
                    <a:srgbClr val="9EE256"/>
                  </a:gs>
                  <a:gs pos="100000">
                    <a:srgbClr val="52762D"/>
                  </a:gs>
                </a:gsLst>
                <a:lin ang="5400000" scaled="0"/>
              </a:gradFill>
              <a:ln w="31750">
                <a:solidFill>
                  <a:schemeClr val="bg1">
                    <a:alpha val="42000"/>
                  </a:schemeClr>
                </a:solidFill>
              </a:ln>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工作表.xls]Sheet1'!$B$20:$C$20</c:f>
              <c:strCache>
                <c:ptCount val="2"/>
                <c:pt idx="0">
                  <c:v>一般公共预算财政拨款收入</c:v>
                </c:pt>
              </c:strCache>
            </c:strRef>
          </c:cat>
          <c:val>
            <c:numRef>
              <c:f>'[新建 XLS 工作表.xls]Sheet1'!$B$21:$C$21</c:f>
              <c:numCache>
                <c:formatCode>General</c:formatCode>
                <c:ptCount val="2"/>
                <c:pt idx="0">
                  <c:v>1385.54</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2021年支出（单位：万元）</a:t>
            </a:r>
          </a:p>
        </c:rich>
      </c:tx>
      <c:layout/>
      <c:overlay val="0"/>
      <c:spPr>
        <a:noFill/>
        <a:ln>
          <a:noFill/>
        </a:ln>
        <a:effectLst/>
      </c:spPr>
    </c:title>
    <c:autoTitleDeleted val="0"/>
    <c:plotArea>
      <c:layout>
        <c:manualLayout>
          <c:layoutTarget val="inner"/>
          <c:xMode val="edge"/>
          <c:yMode val="edge"/>
          <c:x val="0.298067413404152"/>
          <c:y val="0.199134199134199"/>
          <c:w val="0.411575273422998"/>
          <c:h val="0.693263804713804"/>
        </c:manualLayout>
      </c:layout>
      <c:pieChart>
        <c:varyColors val="1"/>
        <c:ser>
          <c:idx val="0"/>
          <c:order val="0"/>
          <c:tx>
            <c:strRef>
              <c:f>'[新建 XLS 工作表.xls]Sheet1'!$A$41</c:f>
              <c:strCache>
                <c:ptCount val="1"/>
                <c:pt idx="0">
                  <c:v>2021年支出（单位：万元）</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dLbl>
              <c:idx val="0"/>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t>基本支出</a:t>
                    </a:r>
                  </a:p>
                  <a:p>
                    <a:pPr defTabSz="914400">
                      <a:defRPr lang="zh-CN" sz="1000" b="1" i="0" u="none" strike="noStrike" kern="1200" baseline="0">
                        <a:solidFill>
                          <a:schemeClr val="lt1"/>
                        </a:solidFill>
                        <a:latin typeface="+mn-lt"/>
                        <a:ea typeface="+mn-ea"/>
                        <a:cs typeface="+mn-cs"/>
                      </a:defRPr>
                    </a:pPr>
                    <a:r>
                      <a:rPr lang="en-US" altLang="zh-CN"/>
                      <a:t>90.43</a:t>
                    </a:r>
                    <a:r>
                      <a:t>%</a:t>
                    </a:r>
                  </a:p>
                </c:rich>
              </c:tx>
              <c:dLblPos val="ctr"/>
              <c:showLegendKey val="0"/>
              <c:showVal val="0"/>
              <c:showCatName val="1"/>
              <c:showSerName val="0"/>
              <c:showPercent val="1"/>
              <c:showBubbleSize val="0"/>
              <c:separator>
</c:separator>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t>项目支出</a:t>
                    </a:r>
                  </a:p>
                  <a:p>
                    <a:pPr defTabSz="914400">
                      <a:defRPr lang="zh-CN" sz="1000" b="1" i="0" u="none" strike="noStrike" kern="1200" baseline="0">
                        <a:solidFill>
                          <a:schemeClr val="lt1"/>
                        </a:solidFill>
                        <a:latin typeface="+mn-lt"/>
                        <a:ea typeface="+mn-ea"/>
                        <a:cs typeface="+mn-cs"/>
                      </a:defRPr>
                    </a:pPr>
                    <a:r>
                      <a:rPr lang="en-US" altLang="zh-CN"/>
                      <a:t>9.57</a:t>
                    </a:r>
                    <a:r>
                      <a:t>%</a:t>
                    </a:r>
                  </a:p>
                </c:rich>
              </c:tx>
              <c:dLblPos val="ctr"/>
              <c:showLegendKey val="0"/>
              <c:showVal val="0"/>
              <c:showCatName val="1"/>
              <c:showSerName val="0"/>
              <c:showPercent val="1"/>
              <c:showBubbleSize val="0"/>
              <c:separator>
</c:separator>
              <c:extLst>
                <c:ext xmlns:c15="http://schemas.microsoft.com/office/drawing/2012/chart" uri="{CE6537A1-D6FC-4f65-9D91-7224C49458BB}"/>
              </c:extLst>
            </c:dLbl>
            <c:numFmt formatCode="General" sourceLinked="1"/>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'[新建 XLS 工作表.xls]Sheet1'!$B$40:$C$40</c:f>
              <c:strCache>
                <c:ptCount val="2"/>
                <c:pt idx="0">
                  <c:v>基本支出</c:v>
                </c:pt>
                <c:pt idx="1">
                  <c:v>项目支出</c:v>
                </c:pt>
              </c:strCache>
            </c:strRef>
          </c:cat>
          <c:val>
            <c:numRef>
              <c:f>'[新建 XLS 工作表.xls]Sheet1'!$B$41:$C$41</c:f>
              <c:numCache>
                <c:formatCode>General</c:formatCode>
                <c:ptCount val="2"/>
                <c:pt idx="0">
                  <c:v>1289.3</c:v>
                </c:pt>
                <c:pt idx="1">
                  <c:v>136.44</c:v>
                </c:pt>
              </c:numCache>
            </c:numRef>
          </c:val>
        </c:ser>
        <c:dLbls>
          <c:showLegendKey val="0"/>
          <c:showVal val="0"/>
          <c:showCatName val="1"/>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1"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财政收、支（单位：万元）</a:t>
            </a:r>
          </a:p>
        </c:rich>
      </c:tx>
      <c:layout/>
      <c:overlay val="0"/>
      <c:spPr>
        <a:noFill/>
        <a:ln>
          <a:noFill/>
        </a:ln>
        <a:effectLst/>
      </c:spPr>
    </c:title>
    <c:autoTitleDeleted val="0"/>
    <c:plotArea>
      <c:layout>
        <c:manualLayout>
          <c:layoutTarget val="inner"/>
          <c:xMode val="edge"/>
          <c:yMode val="edge"/>
          <c:x val="0.0982092365692743"/>
          <c:y val="0.239967712177122"/>
          <c:w val="0.848892554194156"/>
          <c:h val="0.646886531365314"/>
        </c:manualLayout>
      </c:layout>
      <c:barChart>
        <c:barDir val="col"/>
        <c:grouping val="clustered"/>
        <c:varyColors val="0"/>
        <c:ser>
          <c:idx val="0"/>
          <c:order val="0"/>
          <c:tx>
            <c:strRef>
              <c:f>'[新建 XLS 工作表.xls]Sheet1'!$A$2</c:f>
              <c:strCache>
                <c:ptCount val="1"/>
                <c:pt idx="0">
                  <c:v>2020年</c:v>
                </c:pt>
              </c:strCache>
            </c:strRef>
          </c:tx>
          <c:spPr>
            <a:gradFill>
              <a:gsLst>
                <a:gs pos="0">
                  <a:srgbClr val="EE5596"/>
                </a:gs>
                <a:gs pos="100000">
                  <a:srgbClr val="F9B621"/>
                </a:gs>
              </a:gsLst>
              <a:lin ang="5400000" scaled="0"/>
            </a:gra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工作表.xls]Sheet1'!$B$1</c:f>
              <c:strCache>
                <c:ptCount val="1"/>
                <c:pt idx="0">
                  <c:v>同比减少20.56%</c:v>
                </c:pt>
              </c:strCache>
            </c:strRef>
          </c:cat>
          <c:val>
            <c:numRef>
              <c:f>'[新建 XLS 工作表.xls]Sheet1'!$B$2</c:f>
              <c:numCache>
                <c:formatCode>General</c:formatCode>
                <c:ptCount val="1"/>
                <c:pt idx="0">
                  <c:v>2022.58</c:v>
                </c:pt>
              </c:numCache>
            </c:numRef>
          </c:val>
        </c:ser>
        <c:ser>
          <c:idx val="1"/>
          <c:order val="1"/>
          <c:tx>
            <c:strRef>
              <c:f>'[新建 XLS 工作表.xls]Sheet1'!$A$3</c:f>
              <c:strCache>
                <c:ptCount val="1"/>
                <c:pt idx="0">
                  <c:v>2021年</c:v>
                </c:pt>
              </c:strCache>
            </c:strRef>
          </c:tx>
          <c:spPr>
            <a:gradFill>
              <a:gsLst>
                <a:gs pos="0">
                  <a:srgbClr val="6E6FFA"/>
                </a:gs>
                <a:gs pos="100000">
                  <a:srgbClr val="07E3EE"/>
                </a:gs>
              </a:gsLst>
              <a:lin ang="5400000" scaled="0"/>
            </a:gra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工作表.xls]Sheet1'!$B$1</c:f>
              <c:strCache>
                <c:ptCount val="1"/>
                <c:pt idx="0">
                  <c:v>同比减少20.56%</c:v>
                </c:pt>
              </c:strCache>
            </c:strRef>
          </c:cat>
          <c:val>
            <c:numRef>
              <c:f>'[新建 XLS 工作表.xls]Sheet1'!$B$3</c:f>
              <c:numCache>
                <c:formatCode>General</c:formatCode>
                <c:ptCount val="1"/>
                <c:pt idx="0">
                  <c:v>1425.74</c:v>
                </c:pt>
              </c:numCache>
            </c:numRef>
          </c:val>
        </c:ser>
        <c:dLbls>
          <c:showLegendKey val="0"/>
          <c:showVal val="1"/>
          <c:showCatName val="0"/>
          <c:showSerName val="0"/>
          <c:showPercent val="0"/>
          <c:showBubbleSize val="0"/>
        </c:dLbls>
        <c:gapWidth val="219"/>
        <c:overlap val="-27"/>
        <c:axId val="653154892"/>
        <c:axId val="444026026"/>
      </c:barChart>
      <c:catAx>
        <c:axId val="653154892"/>
        <c:scaling>
          <c:orientation val="minMax"/>
        </c:scaling>
        <c:delete val="0"/>
        <c:axPos val="b"/>
        <c:majorGridlines>
          <c:spPr>
            <a:ln w="9525" cap="flat" cmpd="sng" algn="ctr">
              <a:solidFill>
                <a:schemeClr val="bg1">
                  <a:lumMod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444026026"/>
        <c:crosses val="autoZero"/>
        <c:auto val="1"/>
        <c:lblAlgn val="ctr"/>
        <c:lblOffset val="100"/>
        <c:noMultiLvlLbl val="0"/>
      </c:catAx>
      <c:valAx>
        <c:axId val="444026026"/>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653154892"/>
        <c:crosses val="autoZero"/>
        <c:crossBetween val="between"/>
      </c:valAx>
      <c:spPr>
        <a:noFill/>
        <a:ln>
          <a:solidFill>
            <a:schemeClr val="bg1">
              <a:lumMod val="85000"/>
            </a:schemeClr>
          </a:solid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1"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一般公共预算财政拨款支出（单位：万元）</a:t>
            </a:r>
          </a:p>
        </c:rich>
      </c:tx>
      <c:layout/>
      <c:overlay val="0"/>
      <c:spPr>
        <a:noFill/>
        <a:ln>
          <a:noFill/>
        </a:ln>
        <a:effectLst/>
      </c:spPr>
    </c:title>
    <c:autoTitleDeleted val="0"/>
    <c:plotArea>
      <c:layout>
        <c:manualLayout>
          <c:layoutTarget val="inner"/>
          <c:xMode val="edge"/>
          <c:yMode val="edge"/>
          <c:x val="0.0981691834825609"/>
          <c:y val="0.268844781445138"/>
          <c:w val="0.847975410931445"/>
          <c:h val="0.609924174843889"/>
        </c:manualLayout>
      </c:layout>
      <c:barChart>
        <c:barDir val="col"/>
        <c:grouping val="clustered"/>
        <c:varyColors val="0"/>
        <c:ser>
          <c:idx val="0"/>
          <c:order val="0"/>
          <c:tx>
            <c:strRef>
              <c:f>'[新建 XLS 工作表.xls]Sheet1'!$A$2</c:f>
              <c:strCache>
                <c:ptCount val="1"/>
                <c:pt idx="0">
                  <c:v>2020年</c:v>
                </c:pt>
              </c:strCache>
            </c:strRef>
          </c:tx>
          <c:spPr>
            <a:gradFill>
              <a:gsLst>
                <a:gs pos="0">
                  <a:srgbClr val="EE5596"/>
                </a:gs>
                <a:gs pos="100000">
                  <a:srgbClr val="F9B621"/>
                </a:gs>
              </a:gsLst>
              <a:lin ang="5400000" scaled="0"/>
            </a:gra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工作表.xls]Sheet1'!$B$1</c:f>
              <c:strCache>
                <c:ptCount val="1"/>
                <c:pt idx="0">
                  <c:v>同比减少20.56%</c:v>
                </c:pt>
              </c:strCache>
            </c:strRef>
          </c:cat>
          <c:val>
            <c:numRef>
              <c:f>'[新建 XLS 工作表.xls]Sheet1'!$B$2</c:f>
              <c:numCache>
                <c:formatCode>General</c:formatCode>
                <c:ptCount val="1"/>
                <c:pt idx="0">
                  <c:v>2022.58</c:v>
                </c:pt>
              </c:numCache>
            </c:numRef>
          </c:val>
        </c:ser>
        <c:ser>
          <c:idx val="1"/>
          <c:order val="1"/>
          <c:tx>
            <c:strRef>
              <c:f>'[新建 XLS 工作表.xls]Sheet1'!$A$3</c:f>
              <c:strCache>
                <c:ptCount val="1"/>
                <c:pt idx="0">
                  <c:v>2021年</c:v>
                </c:pt>
              </c:strCache>
            </c:strRef>
          </c:tx>
          <c:spPr>
            <a:gradFill>
              <a:gsLst>
                <a:gs pos="0">
                  <a:srgbClr val="6E6FFA"/>
                </a:gs>
                <a:gs pos="100000">
                  <a:srgbClr val="07E3EE"/>
                </a:gs>
              </a:gsLst>
              <a:lin ang="5400000" scaled="0"/>
            </a:gra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工作表.xls]Sheet1'!$B$1</c:f>
              <c:strCache>
                <c:ptCount val="1"/>
                <c:pt idx="0">
                  <c:v>同比减少20.56%</c:v>
                </c:pt>
              </c:strCache>
            </c:strRef>
          </c:cat>
          <c:val>
            <c:numRef>
              <c:f>'[新建 XLS 工作表.xls]Sheet1'!$B$3</c:f>
              <c:numCache>
                <c:formatCode>General</c:formatCode>
                <c:ptCount val="1"/>
                <c:pt idx="0">
                  <c:v>1425.74</c:v>
                </c:pt>
              </c:numCache>
            </c:numRef>
          </c:val>
        </c:ser>
        <c:dLbls>
          <c:showLegendKey val="0"/>
          <c:showVal val="1"/>
          <c:showCatName val="0"/>
          <c:showSerName val="0"/>
          <c:showPercent val="0"/>
          <c:showBubbleSize val="0"/>
        </c:dLbls>
        <c:gapWidth val="219"/>
        <c:overlap val="-27"/>
        <c:axId val="653154892"/>
        <c:axId val="444026026"/>
      </c:barChart>
      <c:catAx>
        <c:axId val="653154892"/>
        <c:scaling>
          <c:orientation val="minMax"/>
        </c:scaling>
        <c:delete val="0"/>
        <c:axPos val="b"/>
        <c:majorGridlines>
          <c:spPr>
            <a:ln w="9525" cap="flat" cmpd="sng" algn="ctr">
              <a:solidFill>
                <a:schemeClr val="bg1">
                  <a:lumMod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444026026"/>
        <c:crosses val="autoZero"/>
        <c:auto val="1"/>
        <c:lblAlgn val="ctr"/>
        <c:lblOffset val="100"/>
        <c:noMultiLvlLbl val="0"/>
      </c:catAx>
      <c:valAx>
        <c:axId val="444026026"/>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653154892"/>
        <c:crosses val="autoZero"/>
        <c:crossBetween val="between"/>
      </c:valAx>
      <c:spPr>
        <a:noFill/>
        <a:ln>
          <a:solidFill>
            <a:schemeClr val="bg1">
              <a:lumMod val="85000"/>
            </a:schemeClr>
          </a:solid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一般公共预算财政拨款支出决算结构</a:t>
            </a:r>
          </a:p>
        </c:rich>
      </c:tx>
      <c:layout/>
      <c:overlay val="0"/>
      <c:spPr>
        <a:noFill/>
        <a:ln>
          <a:noFill/>
        </a:ln>
        <a:effectLst/>
      </c:spPr>
    </c:title>
    <c:autoTitleDeleted val="0"/>
    <c:plotArea>
      <c:layout/>
      <c:pieChart>
        <c:varyColors val="1"/>
        <c:ser>
          <c:idx val="0"/>
          <c:order val="0"/>
          <c:tx>
            <c:strRef>
              <c:f>'[新建 XLS 工作表.xls]Sheet1'!$A$84</c:f>
              <c:strCache>
                <c:ptCount val="1"/>
                <c:pt idx="0">
                  <c:v>一般公共预算财政拨款支出决算结构</c:v>
                </c:pt>
              </c:strCache>
            </c:strRef>
          </c:tx>
          <c:spPr>
            <a:solidFill>
              <a:srgbClr val="859949"/>
            </a:solidFill>
            <a:ln w="31750">
              <a:solidFill>
                <a:schemeClr val="bg1">
                  <a:alpha val="42000"/>
                </a:schemeClr>
              </a:solidFill>
            </a:ln>
          </c:spPr>
          <c:explosion val="0"/>
          <c:dPt>
            <c:idx val="0"/>
            <c:bubble3D val="0"/>
            <c:spPr>
              <a:gradFill>
                <a:gsLst>
                  <a:gs pos="0">
                    <a:srgbClr val="9EE256"/>
                  </a:gs>
                  <a:gs pos="100000">
                    <a:srgbClr val="52762D"/>
                  </a:gs>
                </a:gsLst>
                <a:lin ang="5400000" scaled="0"/>
              </a:gradFill>
              <a:ln w="31750">
                <a:solidFill>
                  <a:schemeClr val="bg1">
                    <a:alpha val="42000"/>
                  </a:schemeClr>
                </a:solidFill>
              </a:ln>
              <a:effectLst/>
            </c:spPr>
          </c:dPt>
          <c:dPt>
            <c:idx val="1"/>
            <c:bubble3D val="0"/>
            <c:spPr>
              <a:gradFill>
                <a:gsLst>
                  <a:gs pos="0">
                    <a:srgbClr val="E30000"/>
                  </a:gs>
                  <a:gs pos="100000">
                    <a:srgbClr val="760303"/>
                  </a:gs>
                </a:gsLst>
                <a:lin ang="5400000" scaled="0"/>
              </a:gradFill>
              <a:ln w="31750">
                <a:solidFill>
                  <a:schemeClr val="bg1">
                    <a:alpha val="42000"/>
                  </a:schemeClr>
                </a:solidFill>
              </a:ln>
              <a:effectLst/>
            </c:spPr>
          </c:dPt>
          <c:dPt>
            <c:idx val="2"/>
            <c:bubble3D val="0"/>
            <c:spPr>
              <a:gradFill>
                <a:gsLst>
                  <a:gs pos="0">
                    <a:srgbClr val="012D86"/>
                  </a:gs>
                  <a:gs pos="100000">
                    <a:srgbClr val="0E2557"/>
                  </a:gs>
                </a:gsLst>
                <a:lin ang="5400000" scaled="0"/>
              </a:gradFill>
              <a:ln w="31750">
                <a:solidFill>
                  <a:schemeClr val="bg1">
                    <a:alpha val="42000"/>
                  </a:schemeClr>
                </a:solidFill>
              </a:ln>
              <a:effectLst/>
            </c:spPr>
          </c:dPt>
          <c:dPt>
            <c:idx val="3"/>
            <c:bubble3D val="0"/>
            <c:spPr>
              <a:solidFill>
                <a:srgbClr val="ED7D31">
                  <a:lumMod val="40000"/>
                  <a:lumOff val="60000"/>
                </a:srgbClr>
              </a:solidFill>
              <a:ln w="31750">
                <a:solidFill>
                  <a:schemeClr val="bg1">
                    <a:alpha val="42000"/>
                  </a:schemeClr>
                </a:solidFill>
              </a:ln>
              <a:effectLst/>
            </c:spPr>
          </c:dPt>
          <c:dPt>
            <c:idx val="4"/>
            <c:bubble3D val="0"/>
            <c:spPr>
              <a:solidFill>
                <a:sysClr val="windowText" lastClr="000000"/>
              </a:solidFill>
              <a:ln w="31750">
                <a:solidFill>
                  <a:schemeClr val="bg1">
                    <a:alpha val="42000"/>
                  </a:schemeClr>
                </a:solidFill>
              </a:ln>
              <a:effectLst/>
            </c:spPr>
          </c:dPt>
          <c:dPt>
            <c:idx val="5"/>
            <c:bubble3D val="0"/>
            <c:spPr>
              <a:gradFill>
                <a:gsLst>
                  <a:gs pos="0">
                    <a:srgbClr val="14CD68"/>
                  </a:gs>
                  <a:gs pos="100000">
                    <a:srgbClr val="035C7D"/>
                  </a:gs>
                </a:gsLst>
                <a:lin ang="5400000" scaled="0"/>
              </a:gradFill>
              <a:ln w="31750">
                <a:solidFill>
                  <a:schemeClr val="bg1">
                    <a:alpha val="42000"/>
                  </a:schemeClr>
                </a:solidFill>
              </a:ln>
              <a:effectLst/>
            </c:spPr>
          </c:dPt>
          <c:dPt>
            <c:idx val="6"/>
            <c:bubble3D val="0"/>
            <c:spPr>
              <a:solidFill>
                <a:srgbClr val="5B9BD5">
                  <a:lumMod val="60000"/>
                  <a:lumOff val="40000"/>
                </a:srgbClr>
              </a:solidFill>
              <a:ln w="31750">
                <a:solidFill>
                  <a:schemeClr val="bg1">
                    <a:alpha val="42000"/>
                  </a:schemeClr>
                </a:solidFill>
              </a:ln>
              <a:effectLst/>
            </c:spPr>
          </c:dPt>
          <c:dLbls>
            <c:dLbl>
              <c:idx val="0"/>
              <c:layout/>
              <c:tx>
                <c:rich>
                  <a:bodyPr rot="0" spcFirstLastPara="0" vertOverflow="ellipsis" vert="horz" wrap="square" lIns="38100" tIns="19050" rIns="38100" bIns="19050" anchor="ctr" anchorCtr="1" forceAA="0"/>
                  <a:lstStyle/>
                  <a:p>
                    <a:pPr defTabSz="914400">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4</a:t>
                    </a:r>
                    <a:r>
                      <a:rPr lang="en-US" altLang="zh-CN"/>
                      <a:t>0.76</a:t>
                    </a:r>
                    <a:r>
                      <a:t>%</a:t>
                    </a:r>
                  </a:p>
                </c:rich>
              </c:tx>
              <c:dLblPos val="inEnd"/>
              <c:showLegendKey val="1"/>
              <c:showVal val="0"/>
              <c:showCatName val="0"/>
              <c:showSerName val="0"/>
              <c:showPercent val="1"/>
              <c:showBubbleSize val="0"/>
              <c:extLst>
                <c:ext xmlns:c15="http://schemas.microsoft.com/office/drawing/2012/chart" uri="{CE6537A1-D6FC-4f65-9D91-7224C49458BB}"/>
              </c:extLst>
            </c:dLbl>
            <c:dLbl>
              <c:idx val="1"/>
              <c:layout>
                <c:manualLayout>
                  <c:x val="-0.0632513581190786"/>
                  <c:y val="-0.24217733813315"/>
                </c:manualLayout>
              </c:layout>
              <c:tx>
                <c:rich>
                  <a:bodyPr rot="0" spcFirstLastPara="0" vertOverflow="ellipsis" vert="horz" wrap="square" lIns="38100" tIns="19050" rIns="38100" bIns="19050" anchor="ctr" anchorCtr="1" forceAA="0"/>
                  <a:lstStyle/>
                  <a:p>
                    <a:pPr defTabSz="914400">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0</a:t>
                    </a:r>
                    <a:r>
                      <a:rPr lang="en-US" altLang="zh-CN"/>
                      <a:t>.14</a:t>
                    </a:r>
                    <a:r>
                      <a:t>%</a:t>
                    </a:r>
                  </a:p>
                </c:rich>
              </c:tx>
              <c:dLblPos val="bestFit"/>
              <c:showLegendKey val="1"/>
              <c:showVal val="0"/>
              <c:showCatName val="0"/>
              <c:showSerName val="0"/>
              <c:showPercent val="1"/>
              <c:showBubbleSize val="0"/>
              <c:extLst>
                <c:ext xmlns:c15="http://schemas.microsoft.com/office/drawing/2012/chart" uri="{CE6537A1-D6FC-4f65-9D91-7224C49458BB}">
                  <c15:layout/>
                </c:ext>
              </c:extLst>
            </c:dLbl>
            <c:dLbl>
              <c:idx val="2"/>
              <c:layout>
                <c:manualLayout>
                  <c:x val="-0.0184929047798938"/>
                  <c:y val="-0.174193721773175"/>
                </c:manualLayout>
              </c:layout>
              <c:tx>
                <c:rich>
                  <a:bodyPr rot="0" spcFirstLastPara="0" vertOverflow="ellipsis" vert="horz" wrap="square" lIns="38100" tIns="19050" rIns="38100" bIns="19050" anchor="ctr" anchorCtr="1" forceAA="0"/>
                  <a:lstStyle/>
                  <a:p>
                    <a:pPr defTabSz="914400">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en-US" altLang="zh-CN"/>
                      <a:t>4.73</a:t>
                    </a:r>
                    <a:r>
                      <a:t>%</a:t>
                    </a:r>
                  </a:p>
                </c:rich>
              </c:tx>
              <c:dLblPos val="bestFit"/>
              <c:showLegendKey val="1"/>
              <c:showVal val="0"/>
              <c:showCatName val="0"/>
              <c:showSerName val="0"/>
              <c:showPercent val="1"/>
              <c:showBubbleSize val="0"/>
              <c:extLst>
                <c:ext xmlns:c15="http://schemas.microsoft.com/office/drawing/2012/chart" uri="{CE6537A1-D6FC-4f65-9D91-7224C49458BB}">
                  <c15:layout/>
                </c:ext>
              </c:extLst>
            </c:dLbl>
            <c:dLbl>
              <c:idx val="3"/>
              <c:layout>
                <c:manualLayout>
                  <c:x val="0.0130596956791101"/>
                  <c:y val="-0.0812164383074524"/>
                </c:manualLayout>
              </c:layout>
              <c:tx>
                <c:rich>
                  <a:bodyPr rot="0" spcFirstLastPara="0" vertOverflow="ellipsis" vert="horz" wrap="square" lIns="38100" tIns="19050" rIns="38100" bIns="19050" anchor="ctr" anchorCtr="1" forceAA="0"/>
                  <a:lstStyle/>
                  <a:p>
                    <a:pPr defTabSz="914400">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en-US" altLang="zh-CN"/>
                      <a:t>2.9</a:t>
                    </a:r>
                    <a:r>
                      <a:t>%</a:t>
                    </a:r>
                  </a:p>
                </c:rich>
              </c:tx>
              <c:dLblPos val="bestFit"/>
              <c:showLegendKey val="1"/>
              <c:showVal val="0"/>
              <c:showCatName val="0"/>
              <c:showSerName val="0"/>
              <c:showPercent val="1"/>
              <c:showBubbleSize val="0"/>
              <c:extLst>
                <c:ext xmlns:c15="http://schemas.microsoft.com/office/drawing/2012/chart" uri="{CE6537A1-D6FC-4f65-9D91-7224C49458BB}">
                  <c15:layout>
                    <c:manualLayout>
                      <c:w val="0.0927545389270695"/>
                      <c:h val="0.0934240362811791"/>
                    </c:manualLayout>
                  </c15:layout>
                </c:ext>
              </c:extLst>
            </c:dLbl>
            <c:dLbl>
              <c:idx val="4"/>
              <c:layout>
                <c:manualLayout>
                  <c:x val="0.0194009607408617"/>
                  <c:y val="-0.0322106115260763"/>
                </c:manualLayout>
              </c:layout>
              <c:tx>
                <c:rich>
                  <a:bodyPr rot="0" spcFirstLastPara="0" vertOverflow="ellipsis" vert="horz" wrap="square" lIns="38100" tIns="19050" rIns="38100" bIns="19050" anchor="ctr" anchorCtr="1" forceAA="0"/>
                  <a:lstStyle/>
                  <a:p>
                    <a:pPr defTabSz="914400">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en-US" altLang="zh-CN"/>
                      <a:t>0.63</a:t>
                    </a:r>
                    <a:r>
                      <a:t>%</a:t>
                    </a:r>
                  </a:p>
                </c:rich>
              </c:tx>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1"/>
              <c:showVal val="0"/>
              <c:showCatName val="0"/>
              <c:showSerName val="0"/>
              <c:showPercent val="1"/>
              <c:showBubbleSize val="0"/>
              <c:extLst>
                <c:ext xmlns:c15="http://schemas.microsoft.com/office/drawing/2012/chart" uri="{CE6537A1-D6FC-4f65-9D91-7224C49458BB}">
                  <c15:layout/>
                </c:ext>
              </c:extLst>
            </c:dLbl>
            <c:dLbl>
              <c:idx val="5"/>
              <c:layout/>
              <c:tx>
                <c:rich>
                  <a:bodyPr rot="0" spcFirstLastPara="0" vertOverflow="ellipsis" vert="horz" wrap="square" lIns="38100" tIns="19050" rIns="38100" bIns="19050" anchor="ctr" anchorCtr="1" forceAA="0"/>
                  <a:lstStyle/>
                  <a:p>
                    <a:pPr defTabSz="914400">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46</a:t>
                    </a:r>
                    <a:r>
                      <a:rPr lang="en-US" altLang="zh-CN"/>
                      <a:t>.08</a:t>
                    </a:r>
                    <a:r>
                      <a:t>%</a:t>
                    </a:r>
                  </a:p>
                </c:rich>
              </c:tx>
              <c:dLblPos val="inEnd"/>
              <c:showLegendKey val="1"/>
              <c:showVal val="0"/>
              <c:showCatName val="0"/>
              <c:showSerName val="0"/>
              <c:showPercent val="1"/>
              <c:showBubbleSize val="0"/>
              <c:extLst>
                <c:ext xmlns:c15="http://schemas.microsoft.com/office/drawing/2012/chart" uri="{CE6537A1-D6FC-4f65-9D91-7224C49458BB}"/>
              </c:extLst>
            </c:dLbl>
            <c:dLbl>
              <c:idx val="6"/>
              <c:layout/>
              <c:tx>
                <c:rich>
                  <a:bodyPr rot="0" spcFirstLastPara="0" vertOverflow="ellipsis" vert="horz" wrap="square" lIns="38100" tIns="19050" rIns="38100" bIns="19050" anchor="ctr" anchorCtr="1" forceAA="0"/>
                  <a:lstStyle/>
                  <a:p>
                    <a:pPr defTabSz="914400">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en-US" altLang="zh-CN"/>
                      <a:t>4.76</a:t>
                    </a:r>
                    <a:r>
                      <a:t>%</a:t>
                    </a:r>
                  </a:p>
                </c:rich>
              </c:tx>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1"/>
              <c:showVal val="0"/>
              <c:showCatName val="0"/>
              <c:showSerName val="0"/>
              <c:showPercent val="1"/>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1"/>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工作表.xls]Sheet1'!$B$83:$H$83</c:f>
              <c:strCache>
                <c:ptCount val="7"/>
                <c:pt idx="0">
                  <c:v>一般公共服务（类）支出</c:v>
                </c:pt>
                <c:pt idx="1">
                  <c:v>文化旅游体育与传媒支出</c:v>
                </c:pt>
                <c:pt idx="2">
                  <c:v>社会保障和就业支出</c:v>
                </c:pt>
                <c:pt idx="3">
                  <c:v>卫生健康支出</c:v>
                </c:pt>
                <c:pt idx="4">
                  <c:v>城乡社区支出</c:v>
                </c:pt>
                <c:pt idx="5">
                  <c:v>农林水支出</c:v>
                </c:pt>
                <c:pt idx="6">
                  <c:v>住房保障支出</c:v>
                </c:pt>
              </c:strCache>
            </c:strRef>
          </c:cat>
          <c:val>
            <c:numRef>
              <c:f>'[新建 XLS 工作表.xls]Sheet1'!$B$84:$H$84</c:f>
              <c:numCache>
                <c:formatCode>General</c:formatCode>
                <c:ptCount val="7"/>
                <c:pt idx="0">
                  <c:v>581.12</c:v>
                </c:pt>
                <c:pt idx="1">
                  <c:v>1.97</c:v>
                </c:pt>
                <c:pt idx="2">
                  <c:v>67.42</c:v>
                </c:pt>
                <c:pt idx="3">
                  <c:v>41.33</c:v>
                </c:pt>
                <c:pt idx="4">
                  <c:v>9</c:v>
                </c:pt>
                <c:pt idx="5">
                  <c:v>657.07</c:v>
                </c:pt>
                <c:pt idx="6">
                  <c:v>67.83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chart>
  <c:spPr>
    <a:solidFill>
      <a:sysClr val="window" lastClr="CCE8CF"/>
    </a:solidFill>
    <a:ln w="9525" cap="flat" cmpd="sng" algn="ctr">
      <a:solidFill>
        <a:schemeClr val="tx1">
          <a:lumMod val="15000"/>
          <a:lumOff val="85000"/>
        </a:schemeClr>
      </a:solidFill>
      <a:round/>
    </a:ln>
    <a:effectLst>
      <a:outerShdw blurRad="63500" dist="37357" dir="2700000" sx="0" sy="0" rotWithShape="0">
        <a:srgbClr val="92D050"/>
      </a:outerShdw>
    </a:effectLst>
  </c:spPr>
  <c:txPr>
    <a:bodyPr/>
    <a:lstStyle/>
    <a:p>
      <a:pPr>
        <a:defRPr lang="zh-CN">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lumMod val="75000"/>
                    <a:lumOff val="25000"/>
                  </a:schemeClr>
                </a:solidFill>
                <a:latin typeface="+mn-lt"/>
                <a:ea typeface="+mn-ea"/>
                <a:cs typeface="+mn-cs"/>
              </a:defRPr>
            </a:pPr>
            <a:r>
              <a:t>“三公”经费财政拨款支出</a:t>
            </a:r>
          </a:p>
        </c:rich>
      </c:tx>
      <c:layout/>
      <c:overlay val="0"/>
      <c:spPr>
        <a:noFill/>
        <a:ln>
          <a:noFill/>
        </a:ln>
        <a:effectLst/>
      </c:spPr>
    </c:title>
    <c:autoTitleDeleted val="0"/>
    <c:plotArea>
      <c:layout>
        <c:manualLayout>
          <c:layoutTarget val="inner"/>
          <c:xMode val="edge"/>
          <c:yMode val="edge"/>
          <c:x val="0.0293561799168452"/>
          <c:y val="0.338768854463922"/>
          <c:w val="0.597580949981101"/>
          <c:h val="0.560538116591928"/>
        </c:manualLayout>
      </c:layout>
      <c:ofPieChart>
        <c:ofPieType val="bar"/>
        <c:varyColors val="1"/>
        <c:ser>
          <c:idx val="0"/>
          <c:order val="0"/>
          <c:tx>
            <c:strRef>
              <c:f>'[新建 XLS 工作表.xls]Sheet1'!$B$102</c:f>
              <c:strCache>
                <c:ptCount val="1"/>
                <c:pt idx="0">
                  <c:v>“三公”经费财政拨款支出</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'[新建 XLS 工作表.xls]Sheet1'!$A$103:$A$105</c:f>
              <c:strCache>
                <c:ptCount val="3"/>
                <c:pt idx="0">
                  <c:v>因公出国（境）费支出</c:v>
                </c:pt>
                <c:pt idx="1">
                  <c:v>公务用车购置及运行维护费支出</c:v>
                </c:pt>
                <c:pt idx="2">
                  <c:v>公务接待费支出</c:v>
                </c:pt>
              </c:strCache>
            </c:strRef>
          </c:cat>
          <c:val>
            <c:numRef>
              <c:f>'[新建 XLS 工作表.xls]Sheet1'!$B$103:$B$105</c:f>
              <c:numCache>
                <c:formatCode>General</c:formatCode>
                <c:ptCount val="3"/>
                <c:pt idx="0">
                  <c:v>0</c:v>
                </c:pt>
                <c:pt idx="1">
                  <c:v>0</c:v>
                </c:pt>
                <c:pt idx="2">
                  <c:v>20</c:v>
                </c:pt>
              </c:numCache>
            </c:numRef>
          </c:val>
        </c:ser>
        <c:dLbls>
          <c:showLegendKey val="0"/>
          <c:showVal val="1"/>
          <c:showCatName val="0"/>
          <c:showSerName val="0"/>
          <c:showPercent val="0"/>
          <c:showBubbleSize val="0"/>
          <c:showLeaderLines val="1"/>
        </c:dLbls>
        <c:gapWidth val="100"/>
        <c:secondPieSize val="75"/>
        <c:serLines>
          <c:spPr>
            <a:ln w="9525">
              <a:solidFill>
                <a:schemeClr val="dk1">
                  <a:lumMod val="50000"/>
                  <a:lumOff val="50000"/>
                </a:schemeClr>
              </a:solidFill>
              <a:round/>
            </a:ln>
            <a:effectLst/>
          </c:spPr>
        </c:serLines>
      </c:of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7812</Words>
  <Characters>8622</Characters>
  <Lines>61</Lines>
  <Paragraphs>17</Paragraphs>
  <TotalTime>51</TotalTime>
  <ScaleCrop>false</ScaleCrop>
  <LinksUpToDate>false</LinksUpToDate>
  <CharactersWithSpaces>8648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林204</cp:lastModifiedBy>
  <cp:lastPrinted>2022-08-06T02:23:00Z</cp:lastPrinted>
  <dcterms:modified xsi:type="dcterms:W3CDTF">2022-09-28T09:18:29Z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18C4299B72334D3095585539B3212D20</vt:lpwstr>
  </property>
</Properties>
</file>