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28ECD">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广元市昭化区昭化镇</w:t>
      </w:r>
      <w:r>
        <w:rPr>
          <w:rFonts w:hint="eastAsia" w:ascii="方正小标宋简体" w:hAnsi="方正小标宋简体" w:eastAsia="方正小标宋简体" w:cs="方正小标宋简体"/>
          <w:bCs/>
          <w:sz w:val="44"/>
          <w:szCs w:val="44"/>
        </w:rPr>
        <w:t>主动公开事项目录</w:t>
      </w:r>
    </w:p>
    <w:tbl>
      <w:tblPr>
        <w:tblStyle w:val="3"/>
        <w:tblW w:w="13993"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15" w:type="dxa"/>
          <w:left w:w="15" w:type="dxa"/>
          <w:bottom w:w="15" w:type="dxa"/>
          <w:right w:w="15" w:type="dxa"/>
        </w:tblCellMar>
      </w:tblPr>
      <w:tblGrid>
        <w:gridCol w:w="620"/>
        <w:gridCol w:w="496"/>
        <w:gridCol w:w="961"/>
        <w:gridCol w:w="1538"/>
        <w:gridCol w:w="1253"/>
        <w:gridCol w:w="85"/>
        <w:gridCol w:w="2349"/>
        <w:gridCol w:w="1304"/>
        <w:gridCol w:w="1304"/>
        <w:gridCol w:w="1644"/>
        <w:gridCol w:w="1361"/>
        <w:gridCol w:w="1078"/>
      </w:tblGrid>
      <w:tr w14:paraId="5B63734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15" w:type="dxa"/>
            <w:left w:w="15" w:type="dxa"/>
            <w:bottom w:w="15" w:type="dxa"/>
            <w:right w:w="15" w:type="dxa"/>
          </w:tblCellMar>
        </w:tblPrEx>
        <w:trPr>
          <w:trHeight w:val="90" w:hRule="atLeast"/>
          <w:jc w:val="center"/>
        </w:trPr>
        <w:tc>
          <w:tcPr>
            <w:tcW w:w="620"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3835E2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类别</w:t>
            </w:r>
          </w:p>
        </w:tc>
        <w:tc>
          <w:tcPr>
            <w:tcW w:w="1457" w:type="dxa"/>
            <w:gridSpan w:val="2"/>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5444A8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公开事项</w:t>
            </w:r>
          </w:p>
        </w:tc>
        <w:tc>
          <w:tcPr>
            <w:tcW w:w="1538"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33F816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公开内容</w:t>
            </w:r>
          </w:p>
        </w:tc>
        <w:tc>
          <w:tcPr>
            <w:tcW w:w="3687" w:type="dxa"/>
            <w:gridSpan w:val="3"/>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7B05F2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公开依据</w:t>
            </w:r>
          </w:p>
        </w:tc>
        <w:tc>
          <w:tcPr>
            <w:tcW w:w="1304"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0CDD7B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公开主体</w:t>
            </w:r>
          </w:p>
        </w:tc>
        <w:tc>
          <w:tcPr>
            <w:tcW w:w="1304"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0167CD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公开渠道</w:t>
            </w:r>
          </w:p>
        </w:tc>
        <w:tc>
          <w:tcPr>
            <w:tcW w:w="1644"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742254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公开时限</w:t>
            </w:r>
          </w:p>
        </w:tc>
        <w:tc>
          <w:tcPr>
            <w:tcW w:w="1361"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2715A3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公开责任</w:t>
            </w:r>
          </w:p>
        </w:tc>
        <w:tc>
          <w:tcPr>
            <w:tcW w:w="1078" w:type="dxa"/>
            <w:tcBorders>
              <w:top w:val="single" w:color="auto" w:sz="6" w:space="0"/>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28F5E0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r>
              <w:rPr>
                <w:rFonts w:hint="eastAsia" w:ascii="黑体" w:hAnsi="黑体" w:eastAsia="黑体" w:cs="黑体"/>
                <w:color w:val="000000"/>
                <w:kern w:val="0"/>
                <w:lang w:bidi="ar"/>
              </w:rPr>
              <w:t>监督电话</w:t>
            </w:r>
          </w:p>
        </w:tc>
      </w:tr>
      <w:tr w14:paraId="099273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412" w:hRule="atLeast"/>
          <w:jc w:val="center"/>
        </w:trPr>
        <w:tc>
          <w:tcPr>
            <w:tcW w:w="620" w:type="dxa"/>
            <w:vMerge w:val="restart"/>
            <w:tcBorders>
              <w:top w:val="single" w:color="auto" w:sz="6"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EC4531B">
            <w:pPr>
              <w:widowControl/>
              <w:spacing w:before="75" w:after="75" w:line="450" w:lineRule="atLeast"/>
              <w:jc w:val="center"/>
              <w:rPr>
                <w:rFonts w:hint="eastAsia"/>
                <w:b/>
                <w:bCs/>
                <w:sz w:val="32"/>
                <w:szCs w:val="32"/>
              </w:rPr>
            </w:pPr>
          </w:p>
          <w:p w14:paraId="44DABEBE">
            <w:pPr>
              <w:widowControl/>
              <w:spacing w:before="75" w:after="75" w:line="450" w:lineRule="atLeast"/>
              <w:jc w:val="center"/>
              <w:rPr>
                <w:rFonts w:hint="eastAsia"/>
                <w:b/>
                <w:bCs/>
                <w:sz w:val="32"/>
                <w:szCs w:val="32"/>
              </w:rPr>
            </w:pPr>
          </w:p>
          <w:p w14:paraId="2BD9E0DA">
            <w:pPr>
              <w:widowControl/>
              <w:spacing w:before="75" w:after="75" w:line="450" w:lineRule="atLeast"/>
              <w:jc w:val="center"/>
              <w:rPr>
                <w:rFonts w:hint="eastAsia"/>
                <w:b/>
                <w:bCs/>
                <w:sz w:val="32"/>
                <w:szCs w:val="32"/>
              </w:rPr>
            </w:pPr>
          </w:p>
          <w:p w14:paraId="214799D6">
            <w:pPr>
              <w:widowControl/>
              <w:spacing w:before="75" w:after="75" w:line="450" w:lineRule="atLeast"/>
              <w:jc w:val="center"/>
              <w:rPr>
                <w:rFonts w:hint="eastAsia"/>
                <w:b/>
                <w:bCs/>
                <w:sz w:val="32"/>
                <w:szCs w:val="32"/>
              </w:rPr>
            </w:pPr>
          </w:p>
          <w:p w14:paraId="122C8C2C">
            <w:pPr>
              <w:widowControl/>
              <w:spacing w:before="75" w:after="75" w:line="450" w:lineRule="atLeast"/>
              <w:jc w:val="center"/>
              <w:rPr>
                <w:rFonts w:hint="eastAsia"/>
              </w:rPr>
            </w:pPr>
            <w:r>
              <w:rPr>
                <w:rFonts w:hint="eastAsia"/>
                <w:b/>
                <w:bCs/>
                <w:sz w:val="32"/>
                <w:szCs w:val="32"/>
              </w:rPr>
              <w:t>法定公开事项</w:t>
            </w:r>
          </w:p>
        </w:tc>
        <w:tc>
          <w:tcPr>
            <w:tcW w:w="1457" w:type="dxa"/>
            <w:gridSpan w:val="2"/>
            <w:vMerge w:val="restart"/>
            <w:tcBorders>
              <w:top w:val="single" w:color="auto" w:sz="6"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1998AAD">
            <w:pPr>
              <w:spacing w:line="200" w:lineRule="exact"/>
              <w:jc w:val="center"/>
              <w:rPr>
                <w:rFonts w:hint="eastAsia" w:ascii="宋体" w:hAnsi="宋体" w:cs="宋体"/>
                <w:sz w:val="15"/>
                <w:szCs w:val="15"/>
              </w:rPr>
            </w:pPr>
            <w:r>
              <w:rPr>
                <w:rFonts w:hint="eastAsia" w:ascii="宋体" w:hAnsi="宋体" w:cs="宋体"/>
                <w:b/>
                <w:bCs/>
                <w:sz w:val="15"/>
                <w:szCs w:val="15"/>
              </w:rPr>
              <w:t>政策</w:t>
            </w:r>
          </w:p>
        </w:tc>
        <w:tc>
          <w:tcPr>
            <w:tcW w:w="1538" w:type="dxa"/>
            <w:tcBorders>
              <w:top w:val="single" w:color="auto" w:sz="6"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AFE208A">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规章</w:t>
            </w:r>
          </w:p>
        </w:tc>
        <w:tc>
          <w:tcPr>
            <w:tcW w:w="1253" w:type="dxa"/>
            <w:vMerge w:val="restart"/>
            <w:tcBorders>
              <w:top w:val="single" w:color="auto" w:sz="6" w:space="0"/>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4171C0F">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434" w:type="dxa"/>
            <w:gridSpan w:val="2"/>
            <w:vMerge w:val="restart"/>
            <w:tcBorders>
              <w:top w:val="single" w:color="auto" w:sz="6"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7D24A304">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第二十条第一款</w:t>
            </w:r>
          </w:p>
        </w:tc>
        <w:tc>
          <w:tcPr>
            <w:tcW w:w="1304" w:type="dxa"/>
            <w:tcBorders>
              <w:top w:val="single" w:color="auto" w:sz="6"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72C65E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lang w:eastAsia="zh-CN"/>
              </w:rPr>
            </w:pPr>
            <w:r>
              <w:rPr>
                <w:rFonts w:hint="eastAsia" w:ascii="宋体" w:hAnsi="宋体" w:cs="宋体"/>
                <w:sz w:val="13"/>
                <w:szCs w:val="13"/>
                <w:lang w:eastAsia="zh-CN"/>
              </w:rPr>
              <w:t>昭化镇</w:t>
            </w:r>
          </w:p>
        </w:tc>
        <w:tc>
          <w:tcPr>
            <w:tcW w:w="1304" w:type="dxa"/>
            <w:tcBorders>
              <w:top w:val="single" w:color="auto" w:sz="6"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BCE7527">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6"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32AAC9F">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vMerge w:val="restart"/>
            <w:tcBorders>
              <w:top w:val="single" w:color="auto" w:sz="6"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2B0EA2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lang w:eastAsia="zh-CN"/>
              </w:rPr>
            </w:pPr>
            <w:r>
              <w:rPr>
                <w:rFonts w:hint="eastAsia" w:ascii="宋体" w:hAnsi="宋体" w:cs="宋体"/>
                <w:sz w:val="13"/>
                <w:szCs w:val="13"/>
                <w:lang w:eastAsia="zh-CN"/>
              </w:rPr>
              <w:t>党政综合办公室</w:t>
            </w:r>
          </w:p>
        </w:tc>
        <w:tc>
          <w:tcPr>
            <w:tcW w:w="1078" w:type="dxa"/>
            <w:vMerge w:val="restart"/>
            <w:tcBorders>
              <w:top w:val="single" w:color="auto" w:sz="6"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84EBD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宋体"/>
                <w:lang w:val="en-US" w:eastAsia="zh-CN"/>
              </w:rPr>
            </w:pPr>
            <w:r>
              <w:rPr>
                <w:rFonts w:hint="eastAsia" w:ascii="宋体" w:hAnsi="宋体" w:cs="宋体"/>
                <w:sz w:val="13"/>
                <w:szCs w:val="13"/>
                <w:lang w:val="en-US" w:eastAsia="zh-CN"/>
              </w:rPr>
              <w:t>0839-8310170</w:t>
            </w:r>
          </w:p>
        </w:tc>
      </w:tr>
      <w:tr w14:paraId="5CCEEF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BE008C0">
            <w:pPr>
              <w:widowControl/>
              <w:spacing w:before="75" w:after="75" w:line="450" w:lineRule="atLeast"/>
              <w:jc w:val="center"/>
              <w:rPr>
                <w:rFonts w:hint="eastAsia"/>
                <w:b/>
                <w:bCs/>
                <w:sz w:val="32"/>
                <w:szCs w:val="32"/>
              </w:rPr>
            </w:pPr>
          </w:p>
        </w:tc>
        <w:tc>
          <w:tcPr>
            <w:tcW w:w="1457" w:type="dxa"/>
            <w:gridSpan w:val="2"/>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1813BA4">
            <w:pPr>
              <w:spacing w:line="200" w:lineRule="exact"/>
              <w:jc w:val="center"/>
              <w:rPr>
                <w:rFonts w:ascii="宋体" w:hAnsi="宋体" w:cs="宋体"/>
                <w:sz w:val="15"/>
                <w:szCs w:val="15"/>
              </w:rPr>
            </w:pP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F5E589A">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行政规范性文件</w:t>
            </w:r>
          </w:p>
        </w:tc>
        <w:tc>
          <w:tcPr>
            <w:tcW w:w="1253" w:type="dxa"/>
            <w:vMerge w:val="continue"/>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3FAE61F4">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p>
        </w:tc>
        <w:tc>
          <w:tcPr>
            <w:tcW w:w="2434" w:type="dxa"/>
            <w:gridSpan w:val="2"/>
            <w:vMerge w:val="continue"/>
            <w:tcBorders>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540E11E">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03BEC1C">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2FDB794">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89722A3">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C15C27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FA19F25">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r>
      <w:tr w14:paraId="30EE1F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2410107">
            <w:pPr>
              <w:widowControl/>
              <w:spacing w:before="75" w:after="75" w:line="450" w:lineRule="atLeast"/>
              <w:jc w:val="center"/>
              <w:rPr>
                <w:rFonts w:hint="eastAsia"/>
                <w:b/>
                <w:bCs/>
                <w:sz w:val="32"/>
                <w:szCs w:val="32"/>
              </w:rPr>
            </w:pPr>
          </w:p>
        </w:tc>
        <w:tc>
          <w:tcPr>
            <w:tcW w:w="1457" w:type="dxa"/>
            <w:gridSpan w:val="2"/>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1B37201">
            <w:pPr>
              <w:spacing w:line="200" w:lineRule="exact"/>
              <w:jc w:val="center"/>
              <w:rPr>
                <w:rFonts w:ascii="宋体" w:hAnsi="宋体" w:cs="宋体"/>
                <w:sz w:val="15"/>
                <w:szCs w:val="15"/>
              </w:rPr>
            </w:pPr>
          </w:p>
        </w:tc>
        <w:tc>
          <w:tcPr>
            <w:tcW w:w="1538" w:type="dxa"/>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2CD2F7A">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其他文件</w:t>
            </w:r>
          </w:p>
        </w:tc>
        <w:tc>
          <w:tcPr>
            <w:tcW w:w="1253" w:type="dxa"/>
            <w:vMerge w:val="continue"/>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48DAAD7A">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p>
        </w:tc>
        <w:tc>
          <w:tcPr>
            <w:tcW w:w="2434" w:type="dxa"/>
            <w:gridSpan w:val="2"/>
            <w:vMerge w:val="continue"/>
            <w:tcBorders>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CAEFBE3">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391B798">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D4C19F1">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w:t>
            </w:r>
            <w:bookmarkStart w:id="0" w:name="_GoBack"/>
            <w:bookmarkEnd w:id="0"/>
            <w:r>
              <w:rPr>
                <w:rFonts w:hint="eastAsia" w:ascii="宋体" w:hAnsi="宋体" w:cs="宋体"/>
                <w:sz w:val="13"/>
                <w:szCs w:val="13"/>
              </w:rPr>
              <w:t>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5BE0A44">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1B9382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F53922A">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r>
      <w:tr w14:paraId="730CDC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27"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0177316">
            <w:pPr>
              <w:widowControl/>
              <w:spacing w:before="75" w:after="75" w:line="450" w:lineRule="atLeast"/>
              <w:jc w:val="center"/>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3F61A59">
            <w:pPr>
              <w:spacing w:line="200" w:lineRule="exact"/>
              <w:jc w:val="center"/>
              <w:rPr>
                <w:rFonts w:hint="eastAsia" w:ascii="宋体" w:hAnsi="宋体" w:cs="宋体"/>
                <w:sz w:val="15"/>
                <w:szCs w:val="15"/>
              </w:rPr>
            </w:pPr>
            <w:r>
              <w:rPr>
                <w:rFonts w:hint="eastAsia" w:ascii="宋体" w:hAnsi="宋体" w:cs="宋体"/>
                <w:b/>
                <w:bCs/>
                <w:sz w:val="15"/>
                <w:szCs w:val="15"/>
              </w:rPr>
              <w:t>机关简介</w:t>
            </w: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8F32EB3">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机关职能、机构设置、办公地址、办公时间、联系方式、责任人姓名</w:t>
            </w:r>
          </w:p>
        </w:tc>
        <w:tc>
          <w:tcPr>
            <w:tcW w:w="1253" w:type="dxa"/>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7484317C">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434" w:type="dxa"/>
            <w:gridSpan w:val="2"/>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2FC5AF3">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第二十条第二款</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B9D0E20">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DF091D8">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04F95D7">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7E095B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D12FA43">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4B5822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6143786">
            <w:pPr>
              <w:widowControl/>
              <w:spacing w:before="75" w:after="75" w:line="450" w:lineRule="atLeast"/>
              <w:jc w:val="center"/>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30BB88B">
            <w:pPr>
              <w:spacing w:line="200" w:lineRule="exact"/>
              <w:jc w:val="center"/>
              <w:rPr>
                <w:rFonts w:hint="eastAsia" w:ascii="宋体" w:hAnsi="宋体" w:cs="宋体"/>
                <w:sz w:val="15"/>
                <w:szCs w:val="15"/>
              </w:rPr>
            </w:pPr>
            <w:r>
              <w:rPr>
                <w:rFonts w:hint="eastAsia" w:ascii="宋体" w:hAnsi="宋体" w:cs="宋体"/>
                <w:b/>
                <w:bCs/>
                <w:sz w:val="15"/>
                <w:szCs w:val="15"/>
              </w:rPr>
              <w:t>规划信息</w:t>
            </w: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0435F09">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国民经济和社会发展规划、专项规划、区域规划及相关政策</w:t>
            </w:r>
          </w:p>
        </w:tc>
        <w:tc>
          <w:tcPr>
            <w:tcW w:w="1253" w:type="dxa"/>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18C4E414">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434" w:type="dxa"/>
            <w:gridSpan w:val="2"/>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A8001A8">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第二十条第三款</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E67B569">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BB53EAF">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81A5265">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FCEA83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sz w:val="13"/>
                <w:szCs w:val="13"/>
                <w:lang w:val="en-US" w:eastAsia="zh-CN"/>
              </w:rPr>
            </w:pPr>
            <w:r>
              <w:rPr>
                <w:rFonts w:hint="eastAsia" w:ascii="宋体" w:hAnsi="宋体" w:cs="宋体"/>
                <w:sz w:val="13"/>
                <w:szCs w:val="13"/>
                <w:lang w:val="en-US" w:eastAsia="zh-CN"/>
              </w:rPr>
              <w:t>经济发展办公室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244EEAC">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5D9720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367"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C40E531">
            <w:pPr>
              <w:widowControl/>
              <w:spacing w:before="75" w:after="75" w:line="450" w:lineRule="atLeast"/>
              <w:jc w:val="center"/>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397EA8A">
            <w:pPr>
              <w:spacing w:line="200" w:lineRule="exact"/>
              <w:jc w:val="center"/>
              <w:rPr>
                <w:rFonts w:hint="eastAsia" w:ascii="宋体" w:hAnsi="宋体" w:cs="宋体"/>
                <w:sz w:val="15"/>
                <w:szCs w:val="15"/>
              </w:rPr>
            </w:pPr>
            <w:r>
              <w:rPr>
                <w:rFonts w:hint="eastAsia" w:ascii="宋体" w:hAnsi="宋体" w:cs="宋体"/>
                <w:b/>
                <w:bCs/>
                <w:sz w:val="15"/>
                <w:szCs w:val="15"/>
              </w:rPr>
              <w:t>统计信息</w:t>
            </w: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C25EC1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国民经济和社会发展统计信息</w:t>
            </w:r>
          </w:p>
        </w:tc>
        <w:tc>
          <w:tcPr>
            <w:tcW w:w="1253" w:type="dxa"/>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4612446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2B568727">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434" w:type="dxa"/>
            <w:gridSpan w:val="2"/>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16C33D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1.《</w:t>
            </w:r>
            <w:r>
              <w:rPr>
                <w:rFonts w:hint="eastAsia" w:ascii="宋体" w:hAnsi="宋体" w:cs="宋体"/>
                <w:sz w:val="13"/>
                <w:szCs w:val="13"/>
                <w:lang w:eastAsia="zh-CN"/>
              </w:rPr>
              <w:t>中华人民共和国统计法</w:t>
            </w:r>
            <w:r>
              <w:rPr>
                <w:rFonts w:hint="eastAsia" w:ascii="宋体" w:hAnsi="宋体" w:cs="宋体"/>
                <w:sz w:val="13"/>
                <w:szCs w:val="13"/>
              </w:rPr>
              <w:t>》第二十六条</w:t>
            </w:r>
            <w:r>
              <w:rPr>
                <w:rFonts w:hint="eastAsia" w:ascii="宋体" w:hAnsi="宋体" w:cs="宋体"/>
                <w:sz w:val="13"/>
                <w:szCs w:val="13"/>
                <w:lang w:eastAsia="zh-CN"/>
              </w:rPr>
              <w:t>、第</w:t>
            </w:r>
            <w:r>
              <w:rPr>
                <w:rFonts w:hint="eastAsia" w:ascii="宋体" w:hAnsi="宋体" w:cs="宋体"/>
                <w:sz w:val="13"/>
                <w:szCs w:val="13"/>
              </w:rPr>
              <w:t>二十七条</w:t>
            </w:r>
          </w:p>
          <w:p w14:paraId="3DBD1300">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2.</w:t>
            </w: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第二十条第四款</w:t>
            </w:r>
          </w:p>
          <w:p w14:paraId="341E2857">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lang w:val="en"/>
              </w:rPr>
            </w:pPr>
            <w:r>
              <w:rPr>
                <w:rFonts w:hint="eastAsia" w:ascii="宋体" w:hAnsi="宋体" w:cs="宋体"/>
                <w:sz w:val="13"/>
                <w:szCs w:val="13"/>
              </w:rPr>
              <w:t>其他</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C067193">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lang w:val="en"/>
              </w:rPr>
            </w:pPr>
            <w:r>
              <w:rPr>
                <w:rFonts w:hint="eastAsia" w:ascii="宋体" w:hAnsi="宋体" w:cs="宋体"/>
                <w:sz w:val="13"/>
                <w:szCs w:val="13"/>
                <w:lang w:val="en"/>
              </w:rPr>
              <w:t>各级统计机构</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56A1BE8">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46B3A4F">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65E1CE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sz w:val="13"/>
                <w:szCs w:val="13"/>
                <w:lang w:val="en-US" w:eastAsia="zh-CN"/>
              </w:rPr>
            </w:pPr>
            <w:r>
              <w:rPr>
                <w:rFonts w:hint="eastAsia" w:ascii="宋体" w:hAnsi="宋体" w:cs="宋体"/>
                <w:sz w:val="13"/>
                <w:szCs w:val="13"/>
                <w:lang w:val="en-US" w:eastAsia="zh-CN"/>
              </w:rPr>
              <w:t>经济发展办公室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1020853">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04572B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0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A5C9470">
            <w:pPr>
              <w:widowControl/>
              <w:spacing w:before="75" w:after="75" w:line="450" w:lineRule="atLeast"/>
              <w:jc w:val="center"/>
              <w:rPr>
                <w:rFonts w:hint="eastAsia"/>
                <w:b/>
                <w:bCs/>
                <w:sz w:val="32"/>
                <w:szCs w:val="32"/>
              </w:rPr>
            </w:pPr>
          </w:p>
        </w:tc>
        <w:tc>
          <w:tcPr>
            <w:tcW w:w="496" w:type="dxa"/>
            <w:vMerge w:val="restart"/>
            <w:tcBorders>
              <w:top w:val="single" w:color="auto" w:sz="4" w:space="0"/>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6EDA5B26">
            <w:pPr>
              <w:widowControl/>
              <w:spacing w:before="75" w:after="75" w:line="240" w:lineRule="exact"/>
              <w:jc w:val="center"/>
              <w:rPr>
                <w:rFonts w:hint="eastAsia"/>
              </w:rPr>
            </w:pPr>
            <w:r>
              <w:rPr>
                <w:rFonts w:hint="eastAsia" w:ascii="宋体" w:hAnsi="宋体" w:cs="宋体"/>
                <w:b/>
                <w:bCs/>
                <w:sz w:val="15"/>
                <w:szCs w:val="15"/>
              </w:rPr>
              <w:t>行政执法</w:t>
            </w: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384A8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行政许可</w:t>
            </w: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130FFD9">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依据、条件、程序以及办理结果</w:t>
            </w:r>
          </w:p>
        </w:tc>
        <w:tc>
          <w:tcPr>
            <w:tcW w:w="3687" w:type="dxa"/>
            <w:gridSpan w:val="3"/>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C59542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1.《</w:t>
            </w:r>
            <w:r>
              <w:rPr>
                <w:rFonts w:hint="eastAsia" w:ascii="宋体" w:hAnsi="宋体" w:cs="宋体"/>
                <w:sz w:val="13"/>
                <w:szCs w:val="13"/>
                <w:lang w:eastAsia="zh-CN"/>
              </w:rPr>
              <w:t>中华人民共和国行政许可法》《中华人民共和国行政处罚法》《中华人民共和国行政强制法</w:t>
            </w:r>
            <w:r>
              <w:rPr>
                <w:rFonts w:hint="eastAsia" w:ascii="宋体" w:hAnsi="宋体" w:cs="宋体"/>
                <w:sz w:val="13"/>
                <w:szCs w:val="13"/>
              </w:rPr>
              <w:t>》</w:t>
            </w:r>
          </w:p>
          <w:p w14:paraId="5C524268">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2.</w:t>
            </w: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第二十条第五款、第六款</w:t>
            </w:r>
          </w:p>
          <w:p w14:paraId="516DBE8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3.《关于加快推进社会信用体系建设构建以信用为基础的新型监管机制的指导意见》（国办发〔2019〕35号）</w:t>
            </w:r>
          </w:p>
          <w:p w14:paraId="3954856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4.《关于全面推行行政执法公示制度执法全过程记录制度重大执法决定法制审核制度的指导意见》（国办发〔2018〕118号）</w:t>
            </w:r>
          </w:p>
          <w:p w14:paraId="762EC76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5"/>
                <w:szCs w:val="15"/>
              </w:rPr>
            </w:pPr>
            <w:r>
              <w:rPr>
                <w:rFonts w:hint="eastAsia" w:ascii="宋体" w:hAnsi="宋体" w:cs="宋体"/>
                <w:sz w:val="13"/>
                <w:szCs w:val="13"/>
              </w:rPr>
              <w:t>5.国家发展改革委办公厅关于进一步完善行政许可和行政处罚等信用信息公示工作的指导意见（发改办财金〔2018〕424号）</w:t>
            </w:r>
          </w:p>
        </w:tc>
        <w:tc>
          <w:tcPr>
            <w:tcW w:w="130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43B6926">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kern w:val="2"/>
                <w:sz w:val="13"/>
                <w:szCs w:val="13"/>
                <w:lang w:val="en-US" w:eastAsia="zh-CN" w:bidi="ar-SA"/>
              </w:rPr>
            </w:pPr>
            <w:r>
              <w:rPr>
                <w:rFonts w:hint="eastAsia" w:ascii="宋体" w:hAnsi="宋体" w:cs="宋体"/>
                <w:sz w:val="13"/>
                <w:szCs w:val="13"/>
                <w:lang w:eastAsia="zh-CN"/>
              </w:rPr>
              <w:t>昭化镇</w:t>
            </w:r>
          </w:p>
        </w:tc>
        <w:tc>
          <w:tcPr>
            <w:tcW w:w="130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5D92CDF">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kern w:val="2"/>
                <w:sz w:val="13"/>
                <w:szCs w:val="13"/>
                <w:lang w:val="en-US" w:eastAsia="zh-CN" w:bidi="ar-SA"/>
              </w:rP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DDC723E">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t>自作出行政决定之日起7个工作日内上网公示</w:t>
            </w:r>
          </w:p>
        </w:tc>
        <w:tc>
          <w:tcPr>
            <w:tcW w:w="1361"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AC8F10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lang w:eastAsia="zh-CN"/>
              </w:rPr>
            </w:pPr>
            <w:r>
              <w:rPr>
                <w:rFonts w:hint="eastAsia" w:ascii="宋体" w:hAnsi="宋体" w:cs="宋体"/>
                <w:sz w:val="13"/>
                <w:szCs w:val="13"/>
                <w:lang w:eastAsia="zh-CN"/>
              </w:rPr>
              <w:t>综合行政执法办公室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7F4D41F">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7D1B37B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62"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61DEEBC">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B5CDDE3">
            <w:pPr>
              <w:widowControl/>
              <w:spacing w:before="75" w:after="75" w:line="240" w:lineRule="exact"/>
              <w:jc w:val="cente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185D8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行政处罚</w:t>
            </w: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01884F4">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依据、条件、程序以及具有一定社会影响的行政处罚决定</w:t>
            </w:r>
          </w:p>
        </w:tc>
        <w:tc>
          <w:tcPr>
            <w:tcW w:w="3687" w:type="dxa"/>
            <w:gridSpan w:val="3"/>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8CA157B">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E79E0E2">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9E0D0DB">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B383356">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C6F9EC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1205376">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30CA896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B10AD21">
            <w:pPr>
              <w:widowControl/>
              <w:spacing w:before="75" w:after="75" w:line="450" w:lineRule="atLeast"/>
              <w:jc w:val="center"/>
              <w:rPr>
                <w:rFonts w:hint="eastAsia"/>
                <w:b/>
                <w:bCs/>
                <w:sz w:val="32"/>
                <w:szCs w:val="32"/>
              </w:rPr>
            </w:pPr>
          </w:p>
        </w:tc>
        <w:tc>
          <w:tcPr>
            <w:tcW w:w="496" w:type="dxa"/>
            <w:vMerge w:val="continue"/>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4302C9A3">
            <w:pPr>
              <w:widowControl/>
              <w:spacing w:before="75" w:after="75" w:line="240" w:lineRule="exact"/>
              <w:jc w:val="center"/>
            </w:pPr>
          </w:p>
        </w:tc>
        <w:tc>
          <w:tcPr>
            <w:tcW w:w="961" w:type="dxa"/>
            <w:tcBorders>
              <w:top w:val="single" w:color="auto" w:sz="4"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1FE4E9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行政强制</w:t>
            </w:r>
          </w:p>
        </w:tc>
        <w:tc>
          <w:tcPr>
            <w:tcW w:w="1538" w:type="dxa"/>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016F44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依据、条件、程序</w:t>
            </w:r>
          </w:p>
        </w:tc>
        <w:tc>
          <w:tcPr>
            <w:tcW w:w="3687" w:type="dxa"/>
            <w:gridSpan w:val="3"/>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C85E3E3">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370F1CE">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1276848">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31B1A17">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BC5170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F22ADF1">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4AA3C9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1D202AD">
            <w:pPr>
              <w:widowControl/>
              <w:spacing w:before="75" w:after="75" w:line="450" w:lineRule="atLeast"/>
              <w:jc w:val="center"/>
              <w:rPr>
                <w:rFonts w:hint="eastAsia"/>
                <w:b/>
                <w:bCs/>
                <w:sz w:val="32"/>
                <w:szCs w:val="32"/>
              </w:rPr>
            </w:pPr>
          </w:p>
        </w:tc>
        <w:tc>
          <w:tcPr>
            <w:tcW w:w="496" w:type="dxa"/>
            <w:vMerge w:val="restart"/>
            <w:tcBorders>
              <w:top w:val="single" w:color="auto" w:sz="4" w:space="0"/>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63C74436">
            <w:pPr>
              <w:widowControl/>
              <w:spacing w:before="75" w:after="75" w:line="240" w:lineRule="exact"/>
              <w:jc w:val="center"/>
              <w:rPr>
                <w:rFonts w:hint="eastAsia" w:ascii="宋体" w:hAnsi="宋体" w:cs="宋体"/>
                <w:b/>
                <w:bCs/>
                <w:sz w:val="15"/>
                <w:szCs w:val="15"/>
                <w:lang w:val="en"/>
              </w:rPr>
            </w:pPr>
            <w:r>
              <w:rPr>
                <w:rFonts w:hint="eastAsia" w:ascii="宋体" w:hAnsi="宋体" w:cs="宋体"/>
                <w:b/>
                <w:bCs/>
                <w:sz w:val="15"/>
                <w:szCs w:val="15"/>
                <w:lang w:val="en"/>
              </w:rPr>
              <w:t>财务信息</w:t>
            </w: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B649E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预算决算</w:t>
            </w: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809882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财政预算、决算信息</w:t>
            </w:r>
          </w:p>
        </w:tc>
        <w:tc>
          <w:tcPr>
            <w:tcW w:w="1338"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77C3C524">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4175C708">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4B2F95A">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w:t>
            </w:r>
            <w:r>
              <w:rPr>
                <w:rFonts w:hint="eastAsia" w:ascii="宋体" w:hAnsi="宋体" w:cs="宋体"/>
                <w:sz w:val="13"/>
                <w:szCs w:val="13"/>
                <w:lang w:eastAsia="zh-CN"/>
              </w:rPr>
              <w:t>中华人民共和国预算法</w:t>
            </w:r>
            <w:r>
              <w:rPr>
                <w:rFonts w:hint="eastAsia" w:ascii="宋体" w:hAnsi="宋体" w:cs="宋体"/>
                <w:sz w:val="13"/>
                <w:szCs w:val="13"/>
              </w:rPr>
              <w:t>》第十四条</w:t>
            </w:r>
          </w:p>
          <w:p w14:paraId="5EC728B4">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第二十条第七款</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E324442">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5D0C770">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93B3B35">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25AB0C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0060D1A">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7F888B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FB0C5A2">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D016398">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72D4F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收费项目</w:t>
            </w: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0557DF8">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行政事业性收费项目及其依据、标准</w:t>
            </w:r>
          </w:p>
        </w:tc>
        <w:tc>
          <w:tcPr>
            <w:tcW w:w="1338"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70538FBE">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221A5859">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5CF36C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第二十条第八款</w:t>
            </w:r>
          </w:p>
          <w:p w14:paraId="1A074881">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其他</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8BEF3BB">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F1B8F02">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4D3D975">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FAFE4B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C00A97F">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6200F4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38"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440620D">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1750E626">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88E44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政府采购</w:t>
            </w:r>
          </w:p>
        </w:tc>
        <w:tc>
          <w:tcPr>
            <w:tcW w:w="153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FA335AA">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政府集中采购项目的目录、标准及实施情况</w:t>
            </w:r>
          </w:p>
        </w:tc>
        <w:tc>
          <w:tcPr>
            <w:tcW w:w="1338"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3253E22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53352C4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584DCAAA">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5CF380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w:t>
            </w:r>
            <w:r>
              <w:rPr>
                <w:rFonts w:hint="eastAsia" w:ascii="宋体" w:hAnsi="宋体" w:cs="宋体"/>
                <w:sz w:val="13"/>
                <w:szCs w:val="13"/>
                <w:lang w:eastAsia="zh-CN"/>
              </w:rPr>
              <w:t>中华人民共和国政府采购法</w:t>
            </w:r>
            <w:r>
              <w:rPr>
                <w:rFonts w:hint="eastAsia" w:ascii="宋体" w:hAnsi="宋体" w:cs="宋体"/>
                <w:sz w:val="13"/>
                <w:szCs w:val="13"/>
              </w:rPr>
              <w:t>》第六十三条</w:t>
            </w:r>
          </w:p>
          <w:p w14:paraId="20287253">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w:t>
            </w:r>
            <w:r>
              <w:rPr>
                <w:rFonts w:hint="eastAsia" w:ascii="宋体" w:hAnsi="宋体" w:cs="宋体"/>
                <w:sz w:val="13"/>
                <w:szCs w:val="13"/>
                <w:lang w:eastAsia="zh-CN"/>
              </w:rPr>
              <w:t>中华人民共和国政府采购法实施条例</w:t>
            </w:r>
            <w:r>
              <w:rPr>
                <w:rFonts w:hint="eastAsia" w:ascii="宋体" w:hAnsi="宋体" w:cs="宋体"/>
                <w:sz w:val="13"/>
                <w:szCs w:val="13"/>
              </w:rPr>
              <w:t>》第八条等</w:t>
            </w:r>
          </w:p>
          <w:p w14:paraId="34B55467">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第二十条第九款</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CE98420">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BC850E9">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F0AD2DC">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BD0D5C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FE59C20">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069A52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77984ED">
            <w:pPr>
              <w:widowControl/>
              <w:spacing w:before="75" w:after="75" w:line="450" w:lineRule="atLeast"/>
              <w:jc w:val="center"/>
              <w:rPr>
                <w:rFonts w:hint="eastAsia"/>
                <w:b/>
                <w:bCs/>
                <w:sz w:val="32"/>
                <w:szCs w:val="32"/>
              </w:rPr>
            </w:pPr>
          </w:p>
        </w:tc>
        <w:tc>
          <w:tcPr>
            <w:tcW w:w="496" w:type="dxa"/>
            <w:vMerge w:val="restart"/>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0DA3CA83">
            <w:pPr>
              <w:widowControl/>
              <w:spacing w:before="75" w:after="75" w:line="240" w:lineRule="exact"/>
              <w:jc w:val="center"/>
              <w:rPr>
                <w:rFonts w:hint="eastAsia" w:ascii="宋体" w:hAnsi="宋体" w:cs="宋体"/>
                <w:b/>
                <w:bCs/>
                <w:sz w:val="15"/>
                <w:szCs w:val="15"/>
                <w:lang w:val="en"/>
              </w:rPr>
            </w:pPr>
            <w:r>
              <w:rPr>
                <w:rFonts w:hint="eastAsia" w:ascii="宋体" w:hAnsi="宋体" w:cs="宋体"/>
                <w:b/>
                <w:bCs/>
                <w:sz w:val="15"/>
                <w:szCs w:val="15"/>
                <w:lang w:val="en"/>
              </w:rPr>
              <w:t>重大民生信息</w:t>
            </w: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CDD7A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乡村振兴</w:t>
            </w:r>
          </w:p>
        </w:tc>
        <w:tc>
          <w:tcPr>
            <w:tcW w:w="1538"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F090187">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政策、措施及其实施情况</w:t>
            </w:r>
          </w:p>
        </w:tc>
        <w:tc>
          <w:tcPr>
            <w:tcW w:w="1338" w:type="dxa"/>
            <w:gridSpan w:val="2"/>
            <w:vMerge w:val="restart"/>
            <w:tcBorders>
              <w:top w:val="single" w:color="auto" w:sz="4" w:space="0"/>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5DAAC21A">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19DD5540">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7FE96B6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地方性法规</w:t>
            </w:r>
          </w:p>
          <w:p w14:paraId="60FE132F">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规章</w:t>
            </w:r>
          </w:p>
          <w:p w14:paraId="74369EC8">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行政规范性文件</w:t>
            </w:r>
          </w:p>
          <w:p w14:paraId="50EA5D1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restart"/>
            <w:tcBorders>
              <w:top w:val="single" w:color="auto" w:sz="4"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0D1078D0">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第二十条第十一款</w:t>
            </w:r>
          </w:p>
          <w:p w14:paraId="6BE6B93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其他</w:t>
            </w:r>
          </w:p>
        </w:tc>
        <w:tc>
          <w:tcPr>
            <w:tcW w:w="130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A09DFBE">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eastAsia="zh-CN"/>
              </w:rPr>
              <w:t>昭化镇</w:t>
            </w:r>
          </w:p>
        </w:tc>
        <w:tc>
          <w:tcPr>
            <w:tcW w:w="130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DCA39FB">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64A65E9">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t>公开事项信息形成或变更之日起20个工作日内公开</w:t>
            </w:r>
          </w:p>
        </w:tc>
        <w:tc>
          <w:tcPr>
            <w:tcW w:w="1361" w:type="dxa"/>
            <w:vMerge w:val="restart"/>
            <w:tcBorders>
              <w:top w:val="single" w:color="auto" w:sz="4" w:space="0"/>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5617AA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13"/>
                <w:szCs w:val="13"/>
                <w:lang w:eastAsia="zh-CN"/>
              </w:rPr>
            </w:pPr>
            <w:r>
              <w:rPr>
                <w:rFonts w:hint="eastAsia" w:ascii="宋体" w:hAnsi="宋体" w:cs="宋体"/>
                <w:sz w:val="13"/>
                <w:szCs w:val="13"/>
                <w:lang w:eastAsia="zh-CN"/>
              </w:rPr>
              <w:t>农业综合服务中心、应急管理办公室、综合行政执法办公室、昭化镇便民服务中心</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7BFF7F4">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26CDBD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19B5DB0">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6B00E0BA">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474230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教育信息</w:t>
            </w:r>
          </w:p>
        </w:tc>
        <w:tc>
          <w:tcPr>
            <w:tcW w:w="153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322F6DE">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38"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0641D707">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59868F64">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3349FF0">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F41E48D">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C59D868">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552A65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F9A5772">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6909EF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68"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D62B822">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769B3EA4">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CD262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医疗卫生</w:t>
            </w:r>
          </w:p>
        </w:tc>
        <w:tc>
          <w:tcPr>
            <w:tcW w:w="153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D09C6C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38"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0332012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0B723349">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46A1F13">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CDFBD0C">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5436FB0">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B4F73A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1FB6DAC">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54EB7E6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9BB0BD2">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5EAB1017">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869F1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社会保障</w:t>
            </w:r>
          </w:p>
        </w:tc>
        <w:tc>
          <w:tcPr>
            <w:tcW w:w="153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EEE010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38"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6EB94A2A">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332D883B">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4B893F4">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3AF189C">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1E32B89">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408FE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5F28811">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5F1D3C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F584A26">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20EC0836">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766CA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促进就业</w:t>
            </w:r>
          </w:p>
        </w:tc>
        <w:tc>
          <w:tcPr>
            <w:tcW w:w="153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2AD0856">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38"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3F6A5B24">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0D4417B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0B3A18C">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0322786">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2B13C72">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7C7F02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ECB0B69">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4D14C0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45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6BED699">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5C810334">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B161F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应急管理</w:t>
            </w:r>
          </w:p>
        </w:tc>
        <w:tc>
          <w:tcPr>
            <w:tcW w:w="1538"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EEED028">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应急预案、预警信息及应对情况</w:t>
            </w:r>
          </w:p>
        </w:tc>
        <w:tc>
          <w:tcPr>
            <w:tcW w:w="1338" w:type="dxa"/>
            <w:gridSpan w:val="2"/>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5F9D88F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21FEAD7E">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662EAAD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地方性法规</w:t>
            </w:r>
          </w:p>
          <w:p w14:paraId="19A99F4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规章</w:t>
            </w:r>
          </w:p>
          <w:p w14:paraId="3282E269">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行政规范性文件</w:t>
            </w:r>
          </w:p>
        </w:tc>
        <w:tc>
          <w:tcPr>
            <w:tcW w:w="2349" w:type="dxa"/>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48FC4AAE">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第二十条第十二款</w:t>
            </w:r>
          </w:p>
          <w:p w14:paraId="30D1F97B">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其他</w:t>
            </w: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5F96356">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32ADE79">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E95399F">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27F167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A4FB4E6">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56E5F5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325"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830DF85">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6A6035FF">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557AB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生态环境</w:t>
            </w:r>
          </w:p>
        </w:tc>
        <w:tc>
          <w:tcPr>
            <w:tcW w:w="1538" w:type="dxa"/>
            <w:vMerge w:val="restart"/>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B74D4F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监督检查情况（特指监督检查结果、不含动态类信息）</w:t>
            </w:r>
          </w:p>
        </w:tc>
        <w:tc>
          <w:tcPr>
            <w:tcW w:w="1338" w:type="dxa"/>
            <w:gridSpan w:val="2"/>
            <w:vMerge w:val="restart"/>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786B92B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法律</w:t>
            </w:r>
          </w:p>
          <w:p w14:paraId="3801995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33C7E0EF">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地方性法规</w:t>
            </w:r>
          </w:p>
          <w:p w14:paraId="40BBAFB8">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规章</w:t>
            </w:r>
          </w:p>
          <w:p w14:paraId="73C50B3E">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行政规范性文件</w:t>
            </w:r>
          </w:p>
        </w:tc>
        <w:tc>
          <w:tcPr>
            <w:tcW w:w="2349" w:type="dxa"/>
            <w:vMerge w:val="restart"/>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01267DD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p w14:paraId="3C4F5291">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第二十条第十三款</w:t>
            </w:r>
          </w:p>
          <w:p w14:paraId="507206E4">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其他</w:t>
            </w: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3236E88">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63A84CB">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26C1C53">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36641C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1BA6D57">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21146F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35FC166">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40206E6B">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8A0AB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公共卫生</w:t>
            </w:r>
          </w:p>
        </w:tc>
        <w:tc>
          <w:tcPr>
            <w:tcW w:w="153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9045BB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38"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0C85D96B">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468A565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68F5127">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68AFADB">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B27C6E5">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D157CC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593E62D">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63751A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25"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288DA50">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7F3C6B8D">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57099D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安全生产</w:t>
            </w:r>
          </w:p>
        </w:tc>
        <w:tc>
          <w:tcPr>
            <w:tcW w:w="153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0B15308">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38"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364BF16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4B1E3763">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9D1AAA0">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496083F">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21B4B72">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72B4B3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D4F92A3">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3671A3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52"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A0C641C">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05855B53">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3420B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食品药品</w:t>
            </w:r>
          </w:p>
        </w:tc>
        <w:tc>
          <w:tcPr>
            <w:tcW w:w="153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C66666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38"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2BA13BC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3A786D20">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7B366DC">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37C1E1DC">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0538540E">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DFB129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ECE7ABF">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6A8DD1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02"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DD68F48">
            <w:pPr>
              <w:widowControl/>
              <w:spacing w:before="75" w:after="75" w:line="450" w:lineRule="atLeast"/>
              <w:jc w:val="center"/>
              <w:rPr>
                <w:rFonts w:hint="eastAsia"/>
                <w:b/>
                <w:bCs/>
                <w:sz w:val="32"/>
                <w:szCs w:val="32"/>
              </w:rPr>
            </w:pPr>
          </w:p>
        </w:tc>
        <w:tc>
          <w:tcPr>
            <w:tcW w:w="496" w:type="dxa"/>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25F2DB9A">
            <w:pPr>
              <w:widowControl/>
              <w:spacing w:before="75" w:after="75" w:line="240" w:lineRule="exact"/>
              <w:jc w:val="center"/>
              <w:rPr>
                <w:rFonts w:hint="eastAsia" w:ascii="宋体" w:hAnsi="宋体" w:cs="宋体"/>
                <w:b/>
                <w:bCs/>
                <w:sz w:val="15"/>
                <w:szCs w:val="15"/>
                <w:lang w:val="en"/>
              </w:rPr>
            </w:pPr>
          </w:p>
        </w:tc>
        <w:tc>
          <w:tcPr>
            <w:tcW w:w="961"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1DB79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b/>
                <w:bCs/>
                <w:sz w:val="15"/>
                <w:szCs w:val="15"/>
              </w:rPr>
            </w:pPr>
            <w:r>
              <w:rPr>
                <w:rFonts w:hint="eastAsia" w:ascii="宋体" w:hAnsi="宋体" w:cs="宋体"/>
                <w:b/>
                <w:bCs/>
                <w:sz w:val="15"/>
                <w:szCs w:val="15"/>
              </w:rPr>
              <w:t>产品质量</w:t>
            </w:r>
          </w:p>
        </w:tc>
        <w:tc>
          <w:tcPr>
            <w:tcW w:w="1538"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6A349AF">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38" w:type="dxa"/>
            <w:gridSpan w:val="2"/>
            <w:vMerge w:val="continue"/>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2E2B6786">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2349" w:type="dxa"/>
            <w:vMerge w:val="continue"/>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5ABCF163">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EB8E618">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0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31BFF01">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644"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1644546">
            <w:pPr>
              <w:keepNext w:val="0"/>
              <w:keepLines w:val="0"/>
              <w:pageBreakBefore w:val="0"/>
              <w:widowControl/>
              <w:kinsoku/>
              <w:wordWrap/>
              <w:overflowPunct/>
              <w:topLinePunct w:val="0"/>
              <w:autoSpaceDE/>
              <w:autoSpaceDN/>
              <w:bidi w:val="0"/>
              <w:adjustRightInd/>
              <w:snapToGrid/>
              <w:spacing w:line="200" w:lineRule="exact"/>
              <w:jc w:val="center"/>
              <w:textAlignment w:val="auto"/>
            </w:pPr>
          </w:p>
        </w:tc>
        <w:tc>
          <w:tcPr>
            <w:tcW w:w="1361"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CCD011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8EADC2E">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3E432B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104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F976796">
            <w:pPr>
              <w:widowControl/>
              <w:spacing w:before="75" w:after="75" w:line="450" w:lineRule="atLeast"/>
              <w:jc w:val="center"/>
              <w:rPr>
                <w:rFonts w:hint="eastAsia"/>
                <w:b/>
                <w:bCs/>
                <w:sz w:val="32"/>
                <w:szCs w:val="32"/>
              </w:rPr>
            </w:pPr>
          </w:p>
        </w:tc>
        <w:tc>
          <w:tcPr>
            <w:tcW w:w="2995" w:type="dxa"/>
            <w:gridSpan w:val="3"/>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409502C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b/>
                <w:bCs/>
                <w:sz w:val="15"/>
                <w:szCs w:val="15"/>
              </w:rPr>
              <w:t>政府信息公开年报</w:t>
            </w:r>
          </w:p>
        </w:tc>
        <w:tc>
          <w:tcPr>
            <w:tcW w:w="1338" w:type="dxa"/>
            <w:gridSpan w:val="2"/>
            <w:tcBorders>
              <w:left w:val="single" w:color="auto" w:sz="6" w:space="0"/>
              <w:right w:val="single" w:color="auto" w:sz="4" w:space="0"/>
            </w:tcBorders>
            <w:shd w:val="clear" w:color="auto" w:fill="FFFFFF"/>
            <w:noWrap w:val="0"/>
            <w:tcMar>
              <w:top w:w="45" w:type="dxa"/>
              <w:left w:w="75" w:type="dxa"/>
              <w:bottom w:w="45" w:type="dxa"/>
              <w:right w:w="75" w:type="dxa"/>
            </w:tcMar>
            <w:vAlign w:val="center"/>
          </w:tcPr>
          <w:p w14:paraId="5927CC10">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20461917">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行政规范性文件</w:t>
            </w:r>
          </w:p>
        </w:tc>
        <w:tc>
          <w:tcPr>
            <w:tcW w:w="2349" w:type="dxa"/>
            <w:tcBorders>
              <w:left w:val="single" w:color="auto" w:sz="4" w:space="0"/>
              <w:right w:val="single" w:color="auto" w:sz="6" w:space="0"/>
            </w:tcBorders>
            <w:shd w:val="clear" w:color="auto" w:fill="FFFFFF"/>
            <w:noWrap w:val="0"/>
            <w:tcMar>
              <w:top w:w="45" w:type="dxa"/>
              <w:left w:w="75" w:type="dxa"/>
              <w:bottom w:w="45" w:type="dxa"/>
              <w:right w:w="75" w:type="dxa"/>
            </w:tcMar>
            <w:vAlign w:val="center"/>
          </w:tcPr>
          <w:p w14:paraId="0F9F335F">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《中华人民共和国政府信息公开条例》</w:t>
            </w:r>
            <w:r>
              <w:rPr>
                <w:rFonts w:hint="eastAsia" w:ascii="宋体" w:hAnsi="宋体" w:cs="宋体"/>
                <w:sz w:val="13"/>
                <w:szCs w:val="13"/>
              </w:rPr>
              <w:t>第四十九条</w:t>
            </w:r>
            <w:r>
              <w:rPr>
                <w:rFonts w:hint="eastAsia" w:ascii="宋体" w:hAnsi="宋体" w:cs="宋体"/>
                <w:sz w:val="13"/>
                <w:szCs w:val="13"/>
                <w:lang w:eastAsia="zh-CN"/>
              </w:rPr>
              <w:t>、第</w:t>
            </w:r>
            <w:r>
              <w:rPr>
                <w:rFonts w:hint="eastAsia" w:ascii="宋体" w:hAnsi="宋体" w:cs="宋体"/>
                <w:sz w:val="13"/>
                <w:szCs w:val="13"/>
              </w:rPr>
              <w:t>五十条</w:t>
            </w:r>
          </w:p>
          <w:p w14:paraId="5F28A32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《中华人民共和国政府信息公开工作年度报告格式》（国办公开办函〔2021〕30号）</w:t>
            </w:r>
          </w:p>
        </w:tc>
        <w:tc>
          <w:tcPr>
            <w:tcW w:w="1304"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6EECBF0E">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eastAsia="zh-CN"/>
              </w:rPr>
              <w:t>昭化镇</w:t>
            </w:r>
          </w:p>
        </w:tc>
        <w:tc>
          <w:tcPr>
            <w:tcW w:w="1304"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19A36B0F">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ACC3452">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t>每年：1月31日公开</w:t>
            </w:r>
          </w:p>
        </w:tc>
        <w:tc>
          <w:tcPr>
            <w:tcW w:w="1361" w:type="dxa"/>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2FA77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4379633">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64A527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18" w:hRule="atLeast"/>
          <w:jc w:val="center"/>
        </w:trPr>
        <w:tc>
          <w:tcPr>
            <w:tcW w:w="620" w:type="dxa"/>
            <w:vMerge w:val="restart"/>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A8C1790">
            <w:pPr>
              <w:widowControl/>
              <w:spacing w:before="75" w:after="75" w:line="450" w:lineRule="atLeast"/>
              <w:jc w:val="center"/>
              <w:rPr>
                <w:rFonts w:hint="eastAsia"/>
                <w:b/>
                <w:bCs/>
                <w:sz w:val="32"/>
                <w:szCs w:val="32"/>
              </w:rPr>
            </w:pPr>
            <w:r>
              <w:rPr>
                <w:rFonts w:hint="eastAsia"/>
                <w:b/>
                <w:bCs/>
                <w:sz w:val="32"/>
                <w:szCs w:val="32"/>
              </w:rPr>
              <w:t>其他公开事项</w:t>
            </w:r>
          </w:p>
        </w:tc>
        <w:tc>
          <w:tcPr>
            <w:tcW w:w="1457" w:type="dxa"/>
            <w:gridSpan w:val="2"/>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5AAE1E04">
            <w:pPr>
              <w:spacing w:line="200" w:lineRule="exact"/>
              <w:jc w:val="center"/>
              <w:rPr>
                <w:rFonts w:hint="eastAsia" w:ascii="宋体" w:hAnsi="宋体" w:cs="宋体"/>
                <w:b/>
                <w:bCs/>
                <w:sz w:val="15"/>
                <w:szCs w:val="15"/>
              </w:rPr>
            </w:pPr>
            <w:r>
              <w:rPr>
                <w:rFonts w:hint="eastAsia" w:ascii="宋体" w:hAnsi="宋体" w:cs="宋体"/>
                <w:b/>
                <w:bCs/>
                <w:sz w:val="15"/>
                <w:szCs w:val="15"/>
                <w:lang w:eastAsia="zh-CN"/>
              </w:rPr>
              <w:t>“双随机、一公开”</w:t>
            </w:r>
          </w:p>
        </w:tc>
        <w:tc>
          <w:tcPr>
            <w:tcW w:w="1538" w:type="dxa"/>
            <w:tcBorders>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70EA10C">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sz w:val="15"/>
                <w:szCs w:val="15"/>
              </w:rPr>
            </w:pPr>
            <w:r>
              <w:rPr>
                <w:rFonts w:hint="eastAsia" w:ascii="宋体" w:hAnsi="宋体" w:cs="宋体"/>
                <w:sz w:val="13"/>
                <w:szCs w:val="13"/>
              </w:rPr>
              <w:t>随机抽取检查对象、随机选派执法检查人员、抽查事项及查处结果</w:t>
            </w:r>
          </w:p>
        </w:tc>
        <w:tc>
          <w:tcPr>
            <w:tcW w:w="1338" w:type="dxa"/>
            <w:gridSpan w:val="2"/>
            <w:tcBorders>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704879CC">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2E781AC8">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2D1001B">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《优化营商环境条例》第五十四条国务院关于在市场监管领域全面推行部门联合“双随机、一公开”监管的意见（国发〔2019〕5号）</w:t>
            </w:r>
          </w:p>
          <w:p w14:paraId="720FFBE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其他依据</w:t>
            </w:r>
          </w:p>
        </w:tc>
        <w:tc>
          <w:tcPr>
            <w:tcW w:w="130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AD163CF">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eastAsia="zh-CN"/>
              </w:rPr>
              <w:t>昭化镇</w:t>
            </w:r>
          </w:p>
        </w:tc>
        <w:tc>
          <w:tcPr>
            <w:tcW w:w="130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286A8B9">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E86B68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92F34F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FA0B4D9">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1E0D2E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20B6F4EF">
            <w:pPr>
              <w:widowControl/>
              <w:spacing w:before="75" w:after="75" w:line="450" w:lineRule="atLeast"/>
              <w:jc w:val="center"/>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53C01AEC">
            <w:pPr>
              <w:spacing w:line="200" w:lineRule="exact"/>
              <w:jc w:val="center"/>
              <w:rPr>
                <w:rFonts w:hint="eastAsia" w:ascii="宋体" w:hAnsi="宋体" w:cs="宋体"/>
                <w:b/>
                <w:bCs/>
                <w:sz w:val="15"/>
                <w:szCs w:val="15"/>
              </w:rPr>
            </w:pPr>
            <w:r>
              <w:rPr>
                <w:rFonts w:hint="eastAsia" w:ascii="宋体" w:hAnsi="宋体" w:cs="宋体"/>
                <w:b/>
                <w:bCs/>
                <w:sz w:val="15"/>
                <w:szCs w:val="15"/>
              </w:rPr>
              <w:t>法治政府建设</w:t>
            </w:r>
          </w:p>
        </w:tc>
        <w:tc>
          <w:tcPr>
            <w:tcW w:w="1538"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24D9452">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sz w:val="15"/>
                <w:szCs w:val="15"/>
              </w:rPr>
            </w:pPr>
            <w:r>
              <w:rPr>
                <w:rFonts w:hint="eastAsia" w:ascii="宋体" w:hAnsi="宋体" w:cs="宋体"/>
                <w:sz w:val="13"/>
                <w:szCs w:val="13"/>
              </w:rPr>
              <w:t>年度报告</w:t>
            </w:r>
          </w:p>
        </w:tc>
        <w:tc>
          <w:tcPr>
            <w:tcW w:w="1338"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209AEF88">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C3E580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1.</w:t>
            </w:r>
            <w:r>
              <w:rPr>
                <w:rFonts w:hint="eastAsia" w:ascii="宋体" w:hAnsi="宋体" w:cs="宋体"/>
                <w:sz w:val="13"/>
                <w:szCs w:val="13"/>
                <w:lang w:eastAsia="zh-CN"/>
              </w:rPr>
              <w:t>《法治政府建设实施纲要（2021—2025年）》</w:t>
            </w:r>
          </w:p>
          <w:p w14:paraId="6B5E1934">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2.《法治政府建设与责任落实督察工作规定》第二十四条</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C3BD955">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C664DBD">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CAFDCC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宋体"/>
                <w:sz w:val="13"/>
                <w:szCs w:val="13"/>
              </w:rPr>
            </w:pPr>
            <w:r>
              <w:rPr>
                <w:rFonts w:hint="eastAsia" w:ascii="宋体" w:hAnsi="宋体" w:cs="宋体"/>
                <w:sz w:val="13"/>
                <w:szCs w:val="13"/>
              </w:rPr>
              <w:t>每年4月1日之前</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F40D9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B048622">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575F6B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78C9B207">
            <w:pPr>
              <w:widowControl/>
              <w:spacing w:before="75" w:after="75" w:line="450" w:lineRule="atLeast"/>
              <w:jc w:val="center"/>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61CEFA02">
            <w:pPr>
              <w:spacing w:line="200" w:lineRule="exact"/>
              <w:jc w:val="center"/>
              <w:rPr>
                <w:rFonts w:hint="eastAsia" w:ascii="宋体" w:hAnsi="宋体" w:cs="宋体"/>
                <w:b/>
                <w:bCs/>
                <w:sz w:val="15"/>
                <w:szCs w:val="15"/>
              </w:rPr>
            </w:pPr>
            <w:r>
              <w:rPr>
                <w:rFonts w:hint="eastAsia" w:ascii="宋体" w:hAnsi="宋体" w:cs="宋体"/>
                <w:b/>
                <w:bCs/>
                <w:sz w:val="15"/>
                <w:szCs w:val="15"/>
              </w:rPr>
              <w:t>建议提案</w:t>
            </w:r>
          </w:p>
        </w:tc>
        <w:tc>
          <w:tcPr>
            <w:tcW w:w="1538"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AFB83CD">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sz w:val="15"/>
                <w:szCs w:val="15"/>
              </w:rPr>
            </w:pPr>
            <w:r>
              <w:rPr>
                <w:rFonts w:hint="eastAsia" w:ascii="宋体" w:hAnsi="宋体" w:cs="宋体"/>
                <w:sz w:val="13"/>
                <w:szCs w:val="13"/>
              </w:rPr>
              <w:t>办理结果</w:t>
            </w:r>
          </w:p>
        </w:tc>
        <w:tc>
          <w:tcPr>
            <w:tcW w:w="1338"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5A5F051F">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B0DE11F">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《关于做好全国人大代表建议和全国政协委员提案办理结果公开工作的通知》（国办发〔2014〕46号）</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883B442">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0217A110">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25B69E3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ED1B63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20933C3">
            <w:pPr>
              <w:keepNext w:val="0"/>
              <w:keepLines w:val="0"/>
              <w:pageBreakBefore w:val="0"/>
              <w:widowControl/>
              <w:kinsoku/>
              <w:wordWrap/>
              <w:overflowPunct/>
              <w:topLinePunct w:val="0"/>
              <w:autoSpaceDE/>
              <w:autoSpaceDN/>
              <w:bidi w:val="0"/>
              <w:adjustRightInd/>
              <w:snapToGrid/>
              <w:spacing w:line="200" w:lineRule="exact"/>
              <w:jc w:val="center"/>
              <w:textAlignment w:val="auto"/>
            </w:pPr>
            <w:r>
              <w:rPr>
                <w:rFonts w:hint="eastAsia" w:ascii="宋体" w:hAnsi="宋体" w:cs="宋体"/>
                <w:sz w:val="13"/>
                <w:szCs w:val="13"/>
                <w:lang w:val="en-US" w:eastAsia="zh-CN"/>
              </w:rPr>
              <w:t>0839-8310170</w:t>
            </w:r>
          </w:p>
        </w:tc>
      </w:tr>
      <w:tr w14:paraId="4222CD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294" w:hRule="atLeast"/>
          <w:jc w:val="center"/>
        </w:trPr>
        <w:tc>
          <w:tcPr>
            <w:tcW w:w="620" w:type="dxa"/>
            <w:vMerge w:val="continue"/>
            <w:tcBorders>
              <w:left w:val="single" w:color="auto" w:sz="6" w:space="0"/>
              <w:right w:val="single" w:color="auto" w:sz="6" w:space="0"/>
            </w:tcBorders>
            <w:shd w:val="clear" w:color="auto" w:fill="FFFFFF"/>
            <w:noWrap w:val="0"/>
            <w:tcMar>
              <w:top w:w="45" w:type="dxa"/>
              <w:left w:w="75" w:type="dxa"/>
              <w:bottom w:w="45" w:type="dxa"/>
              <w:right w:w="75" w:type="dxa"/>
            </w:tcMar>
            <w:vAlign w:val="center"/>
          </w:tcPr>
          <w:p w14:paraId="5563A85C">
            <w:pPr>
              <w:widowControl/>
              <w:spacing w:before="75" w:after="75" w:line="450" w:lineRule="atLeast"/>
              <w:jc w:val="center"/>
              <w:rPr>
                <w:rFonts w:hint="eastAsia"/>
                <w:b/>
                <w:bCs/>
                <w:sz w:val="32"/>
                <w:szCs w:val="32"/>
              </w:rPr>
            </w:pPr>
          </w:p>
        </w:tc>
        <w:tc>
          <w:tcPr>
            <w:tcW w:w="1457"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5504D758">
            <w:pPr>
              <w:spacing w:line="200" w:lineRule="exact"/>
              <w:jc w:val="center"/>
              <w:rPr>
                <w:rFonts w:hint="eastAsia" w:ascii="宋体" w:hAnsi="宋体" w:cs="宋体"/>
                <w:b/>
                <w:bCs/>
                <w:sz w:val="15"/>
                <w:szCs w:val="15"/>
              </w:rPr>
            </w:pPr>
            <w:r>
              <w:rPr>
                <w:rFonts w:hint="eastAsia" w:ascii="宋体" w:hAnsi="宋体" w:cs="宋体"/>
                <w:b/>
                <w:bCs/>
                <w:sz w:val="15"/>
                <w:szCs w:val="15"/>
              </w:rPr>
              <w:t>重大行政决策事项</w:t>
            </w:r>
          </w:p>
        </w:tc>
        <w:tc>
          <w:tcPr>
            <w:tcW w:w="1538"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2565954">
            <w:pPr>
              <w:spacing w:line="200" w:lineRule="exact"/>
              <w:jc w:val="center"/>
              <w:rPr>
                <w:rFonts w:hint="eastAsia" w:ascii="宋体" w:hAnsi="宋体" w:cs="宋体"/>
                <w:sz w:val="13"/>
                <w:szCs w:val="13"/>
              </w:rPr>
            </w:pPr>
            <w:r>
              <w:rPr>
                <w:rFonts w:hint="eastAsia" w:ascii="宋体" w:hAnsi="宋体" w:cs="宋体"/>
                <w:sz w:val="13"/>
                <w:szCs w:val="13"/>
              </w:rPr>
              <w:t>年度目录</w:t>
            </w:r>
          </w:p>
          <w:p w14:paraId="314B6A0C">
            <w:pPr>
              <w:spacing w:line="200" w:lineRule="exact"/>
              <w:jc w:val="center"/>
              <w:rPr>
                <w:rFonts w:hint="eastAsia" w:ascii="宋体" w:hAnsi="宋体" w:cs="宋体"/>
                <w:b/>
                <w:bCs/>
                <w:sz w:val="15"/>
                <w:szCs w:val="15"/>
              </w:rPr>
            </w:pPr>
            <w:r>
              <w:rPr>
                <w:rFonts w:hint="eastAsia" w:ascii="宋体" w:hAnsi="宋体" w:cs="宋体"/>
                <w:sz w:val="13"/>
                <w:szCs w:val="13"/>
              </w:rPr>
              <w:t>（动态调整）</w:t>
            </w:r>
          </w:p>
        </w:tc>
        <w:tc>
          <w:tcPr>
            <w:tcW w:w="1338" w:type="dxa"/>
            <w:gridSpan w:val="2"/>
            <w:tcBorders>
              <w:top w:val="single" w:color="auto" w:sz="4" w:space="0"/>
              <w:left w:val="single" w:color="auto" w:sz="6" w:space="0"/>
              <w:bottom w:val="single" w:color="auto" w:sz="4" w:space="0"/>
              <w:right w:val="single" w:color="auto" w:sz="4" w:space="0"/>
            </w:tcBorders>
            <w:shd w:val="clear" w:color="auto" w:fill="FFFFFF"/>
            <w:noWrap w:val="0"/>
            <w:tcMar>
              <w:top w:w="45" w:type="dxa"/>
              <w:left w:w="75" w:type="dxa"/>
              <w:bottom w:w="45" w:type="dxa"/>
              <w:right w:w="75" w:type="dxa"/>
            </w:tcMar>
            <w:vAlign w:val="center"/>
          </w:tcPr>
          <w:p w14:paraId="56FD4502">
            <w:pPr>
              <w:spacing w:line="200" w:lineRule="exact"/>
              <w:jc w:val="center"/>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行政法规</w:t>
            </w:r>
          </w:p>
          <w:p w14:paraId="395D0C8B">
            <w:pPr>
              <w:spacing w:line="200" w:lineRule="exact"/>
              <w:jc w:val="center"/>
              <w:rPr>
                <w:rFonts w:hint="eastAsia" w:ascii="宋体" w:hAnsi="宋体" w:cs="宋体"/>
                <w:sz w:val="13"/>
                <w:szCs w:val="13"/>
              </w:rPr>
            </w:pPr>
            <w:r>
              <w:rPr>
                <w:rFonts w:hint="eastAsia" w:ascii="宋体" w:hAnsi="宋体" w:cs="宋体"/>
                <w:sz w:val="13"/>
                <w:szCs w:val="13"/>
              </w:rPr>
              <w:sym w:font="Wingdings 2" w:char="0052"/>
            </w:r>
            <w:r>
              <w:rPr>
                <w:rFonts w:hint="eastAsia" w:ascii="宋体" w:hAnsi="宋体" w:cs="宋体"/>
                <w:sz w:val="13"/>
                <w:szCs w:val="13"/>
              </w:rPr>
              <w:t>其他</w:t>
            </w:r>
          </w:p>
        </w:tc>
        <w:tc>
          <w:tcPr>
            <w:tcW w:w="2349" w:type="dxa"/>
            <w:tcBorders>
              <w:top w:val="single" w:color="auto" w:sz="4" w:space="0"/>
              <w:left w:val="single" w:color="auto" w:sz="4"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4F3D3C4C">
            <w:pPr>
              <w:spacing w:line="200" w:lineRule="exact"/>
              <w:jc w:val="center"/>
              <w:rPr>
                <w:rFonts w:hint="eastAsia" w:ascii="宋体" w:hAnsi="宋体" w:cs="宋体"/>
                <w:sz w:val="13"/>
                <w:szCs w:val="13"/>
              </w:rPr>
            </w:pPr>
            <w:r>
              <w:rPr>
                <w:rFonts w:hint="eastAsia" w:ascii="宋体" w:hAnsi="宋体" w:cs="宋体"/>
                <w:sz w:val="13"/>
                <w:szCs w:val="13"/>
              </w:rPr>
              <w:t>1.《重大行政决策程序暂行条例》第三条</w:t>
            </w:r>
          </w:p>
          <w:p w14:paraId="237BFF89">
            <w:pPr>
              <w:spacing w:line="200" w:lineRule="exact"/>
              <w:jc w:val="center"/>
              <w:rPr>
                <w:rFonts w:ascii="宋体" w:hAnsi="宋体" w:cs="宋体"/>
                <w:sz w:val="13"/>
                <w:szCs w:val="13"/>
              </w:rPr>
            </w:pPr>
            <w:r>
              <w:rPr>
                <w:rFonts w:hint="eastAsia" w:ascii="宋体" w:hAnsi="宋体" w:cs="宋体"/>
                <w:sz w:val="13"/>
                <w:szCs w:val="13"/>
              </w:rPr>
              <w:t>2.《四川省重大行政决策程序规定》（川府发〔2025〕4号）第十五条</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3545CF7">
            <w:pPr>
              <w:widowControl/>
              <w:spacing w:before="75" w:after="75" w:line="240" w:lineRule="exact"/>
              <w:jc w:val="center"/>
            </w:pPr>
            <w:r>
              <w:rPr>
                <w:rFonts w:hint="eastAsia" w:ascii="宋体" w:hAnsi="宋体" w:cs="宋体"/>
                <w:sz w:val="13"/>
                <w:szCs w:val="13"/>
                <w:lang w:eastAsia="zh-CN"/>
              </w:rPr>
              <w:t>昭化镇</w:t>
            </w:r>
          </w:p>
        </w:tc>
        <w:tc>
          <w:tcPr>
            <w:tcW w:w="130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64669F64">
            <w:pPr>
              <w:widowControl/>
              <w:spacing w:before="75" w:after="75" w:line="240" w:lineRule="exact"/>
              <w:jc w:val="center"/>
            </w:pPr>
            <w:r>
              <w:rPr>
                <w:rFonts w:hint="eastAsia" w:ascii="宋体" w:hAnsi="宋体" w:cs="宋体"/>
                <w:sz w:val="13"/>
                <w:szCs w:val="13"/>
              </w:rPr>
              <w:sym w:font="Wingdings 2" w:char="0052"/>
            </w:r>
            <w:r>
              <w:rPr>
                <w:rFonts w:hint="eastAsia" w:ascii="宋体" w:hAnsi="宋体" w:cs="宋体"/>
                <w:sz w:val="13"/>
                <w:szCs w:val="13"/>
              </w:rPr>
              <w:t>政府网站</w:t>
            </w:r>
          </w:p>
        </w:tc>
        <w:tc>
          <w:tcPr>
            <w:tcW w:w="1644"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7C6DF42C">
            <w:pPr>
              <w:widowControl/>
              <w:spacing w:before="75" w:after="75" w:line="240" w:lineRule="exact"/>
              <w:jc w:val="center"/>
              <w:rPr>
                <w:rFonts w:hint="eastAsia" w:ascii="宋体" w:hAnsi="宋体" w:cs="宋体"/>
                <w:sz w:val="13"/>
                <w:szCs w:val="13"/>
              </w:rPr>
            </w:pPr>
            <w:r>
              <w:rPr>
                <w:rFonts w:hint="eastAsia" w:ascii="宋体" w:hAnsi="宋体" w:cs="宋体"/>
                <w:sz w:val="13"/>
                <w:szCs w:val="13"/>
              </w:rPr>
              <w:t>公开事项信息形成或变更之日起20个工作日内公开</w:t>
            </w:r>
          </w:p>
        </w:tc>
        <w:tc>
          <w:tcPr>
            <w:tcW w:w="1361"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1F5354EA">
            <w:pPr>
              <w:keepNext w:val="0"/>
              <w:keepLines w:val="0"/>
              <w:pageBreakBefore w:val="0"/>
              <w:widowControl/>
              <w:kinsoku/>
              <w:wordWrap/>
              <w:overflowPunct/>
              <w:topLinePunct w:val="0"/>
              <w:autoSpaceDE/>
              <w:autoSpaceDN/>
              <w:bidi w:val="0"/>
              <w:adjustRightInd/>
              <w:snapToGrid/>
              <w:spacing w:before="75" w:after="75" w:line="300" w:lineRule="atLeast"/>
              <w:jc w:val="center"/>
              <w:textAlignment w:val="auto"/>
              <w:rPr>
                <w:rFonts w:hint="eastAsia" w:ascii="宋体" w:hAnsi="宋体" w:cs="宋体"/>
                <w:sz w:val="13"/>
                <w:szCs w:val="13"/>
              </w:rPr>
            </w:pPr>
            <w:r>
              <w:rPr>
                <w:rFonts w:hint="eastAsia" w:ascii="宋体" w:hAnsi="宋体" w:cs="宋体"/>
                <w:sz w:val="13"/>
                <w:szCs w:val="13"/>
                <w:lang w:eastAsia="zh-CN"/>
              </w:rPr>
              <w:t>党政综合办公室</w:t>
            </w:r>
          </w:p>
        </w:tc>
        <w:tc>
          <w:tcPr>
            <w:tcW w:w="1078" w:type="dxa"/>
            <w:tcBorders>
              <w:top w:val="single" w:color="auto" w:sz="4" w:space="0"/>
              <w:left w:val="single" w:color="auto" w:sz="6" w:space="0"/>
              <w:bottom w:val="single" w:color="auto" w:sz="4" w:space="0"/>
              <w:right w:val="single" w:color="auto" w:sz="6" w:space="0"/>
            </w:tcBorders>
            <w:shd w:val="clear" w:color="auto" w:fill="FFFFFF"/>
            <w:noWrap w:val="0"/>
            <w:tcMar>
              <w:top w:w="45" w:type="dxa"/>
              <w:left w:w="75" w:type="dxa"/>
              <w:bottom w:w="45" w:type="dxa"/>
              <w:right w:w="75" w:type="dxa"/>
            </w:tcMar>
            <w:vAlign w:val="center"/>
          </w:tcPr>
          <w:p w14:paraId="3D7402F4">
            <w:pPr>
              <w:widowControl/>
              <w:spacing w:before="75" w:after="75" w:line="240" w:lineRule="exact"/>
              <w:jc w:val="center"/>
            </w:pPr>
            <w:r>
              <w:rPr>
                <w:rFonts w:hint="eastAsia" w:ascii="宋体" w:hAnsi="宋体" w:cs="宋体"/>
                <w:sz w:val="13"/>
                <w:szCs w:val="13"/>
                <w:lang w:val="en-US" w:eastAsia="zh-CN"/>
              </w:rPr>
              <w:t>0839-8310170</w:t>
            </w:r>
          </w:p>
        </w:tc>
      </w:tr>
      <w:tr w14:paraId="1D89DA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cantSplit/>
          <w:trHeight w:val="90" w:hRule="atLeast"/>
          <w:jc w:val="center"/>
        </w:trPr>
        <w:tc>
          <w:tcPr>
            <w:tcW w:w="13993" w:type="dxa"/>
            <w:gridSpan w:val="12"/>
            <w:tcBorders>
              <w:left w:val="single" w:color="auto" w:sz="6" w:space="0"/>
              <w:bottom w:val="single" w:color="auto" w:sz="6" w:space="0"/>
              <w:right w:val="single" w:color="auto" w:sz="6" w:space="0"/>
            </w:tcBorders>
            <w:shd w:val="clear" w:color="auto" w:fill="FFFFFF"/>
            <w:noWrap w:val="0"/>
            <w:tcMar>
              <w:top w:w="45" w:type="dxa"/>
              <w:left w:w="75" w:type="dxa"/>
              <w:bottom w:w="45" w:type="dxa"/>
              <w:right w:w="75" w:type="dxa"/>
            </w:tcMar>
            <w:vAlign w:val="center"/>
          </w:tcPr>
          <w:p w14:paraId="7E2992BD">
            <w:pPr>
              <w:widowControl/>
              <w:spacing w:before="75" w:after="75" w:line="240" w:lineRule="exact"/>
              <w:jc w:val="center"/>
              <w:rPr>
                <w:rFonts w:hint="eastAsia"/>
              </w:rPr>
            </w:pPr>
            <w:r>
              <w:rPr>
                <w:rFonts w:hint="eastAsia" w:ascii="宋体" w:hAnsi="宋体" w:cs="宋体"/>
                <w:b/>
                <w:bCs/>
              </w:rPr>
              <w:t>（2025年</w:t>
            </w:r>
            <w:r>
              <w:rPr>
                <w:rFonts w:hint="eastAsia" w:ascii="宋体" w:hAnsi="宋体" w:cs="宋体"/>
                <w:b/>
                <w:bCs/>
                <w:lang w:val="en-US" w:eastAsia="zh-CN"/>
              </w:rPr>
              <w:t>5</w:t>
            </w:r>
            <w:r>
              <w:rPr>
                <w:rFonts w:hint="eastAsia" w:ascii="宋体" w:hAnsi="宋体" w:cs="宋体"/>
                <w:b/>
                <w:bCs/>
              </w:rPr>
              <w:t>月制）</w:t>
            </w:r>
          </w:p>
        </w:tc>
      </w:tr>
    </w:tbl>
    <w:p w14:paraId="2FB61D5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ZDMxNzI5MGNmMmU1MjU4MGJlOWE4MmM3NWY0MTAifQ=="/>
  </w:docVars>
  <w:rsids>
    <w:rsidRoot w:val="5E102B2C"/>
    <w:rsid w:val="2EFD22A6"/>
    <w:rsid w:val="39CD6A8C"/>
    <w:rsid w:val="5BF952A7"/>
    <w:rsid w:val="5E10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华文仿宋" w:eastAsia="华文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2060</Words>
  <Characters>2382</Characters>
  <Lines>0</Lines>
  <Paragraphs>0</Paragraphs>
  <TotalTime>12</TotalTime>
  <ScaleCrop>false</ScaleCrop>
  <LinksUpToDate>false</LinksUpToDate>
  <CharactersWithSpaces>2382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2025-06-16T02:26:00Z</dcterms:created>
  <dc:creator>绗海</dc:creator>
  <cp:lastModifiedBy>灯塔</cp:lastModifiedBy>
  <dcterms:modified xsi:type="dcterms:W3CDTF">2025-06-16T06:43:48Z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59B08B885B344A4AA44F288425966A65_13</vt:lpwstr>
  </property>
  <property fmtid="{D5CDD505-2E9C-101B-9397-08002B2CF9AE}" pid="4" name="KSOTemplateDocerSaveRecord">
    <vt:lpwstr>eyJoZGlkIjoiY2YwZmExNWY4ZTQ4M2QxNjZjMDFjOTA4MjQxN2Q3NjEiLCJ1c2VySWQiOiIzMjE3NTcxNzMifQ==</vt:lpwstr>
  </property>
</Properties>
</file>