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shd w:val="clear" w:color="auto" w:fill="FFFFFF"/>
          <w:lang w:val="en-US" w:eastAsia="zh-CN"/>
        </w:rPr>
      </w:pPr>
      <w:r>
        <w:rPr>
          <w:rFonts w:hint="default" w:ascii="Times New Roman" w:hAnsi="Times New Roman" w:eastAsia="方正小标宋简体" w:cs="Times New Roman"/>
          <w:color w:val="auto"/>
          <w:kern w:val="0"/>
          <w:sz w:val="44"/>
          <w:szCs w:val="44"/>
          <w:shd w:val="clear" w:color="auto" w:fill="FFFFFF"/>
          <w:lang w:val="en-US" w:eastAsia="zh-CN"/>
        </w:rPr>
        <w:t>广元市昭化区昭化镇</w:t>
      </w:r>
    </w:p>
    <w:p>
      <w:pPr>
        <w:keepNext w:val="0"/>
        <w:keepLines w:val="0"/>
        <w:pageBreakBefore w:val="0"/>
        <w:widowControl w:val="0"/>
        <w:shd w:val="clear"/>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shd w:val="clear" w:color="auto" w:fill="FFFFFF"/>
          <w:lang w:val="en-US" w:eastAsia="zh-CN"/>
        </w:rPr>
      </w:pPr>
      <w:r>
        <w:rPr>
          <w:rFonts w:hint="default" w:ascii="Times New Roman" w:hAnsi="Times New Roman" w:eastAsia="方正小标宋简体" w:cs="Times New Roman"/>
          <w:color w:val="auto"/>
          <w:kern w:val="0"/>
          <w:sz w:val="44"/>
          <w:szCs w:val="44"/>
          <w:shd w:val="clear" w:color="auto" w:fill="FFFFFF"/>
          <w:lang w:val="en-US" w:eastAsia="zh-CN"/>
        </w:rPr>
        <w:t>2019年部门综合预算编制情况说明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560" w:firstLineChars="200"/>
        <w:jc w:val="both"/>
        <w:textAlignment w:val="auto"/>
        <w:outlineLvl w:val="9"/>
        <w:rPr>
          <w:rFonts w:hint="default" w:ascii="Times New Roman" w:hAnsi="Times New Roman" w:eastAsia="黑体" w:cs="Times New Roman"/>
          <w:color w:val="auto"/>
          <w:sz w:val="28"/>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昭化镇共有编制</w:t>
      </w:r>
      <w:r>
        <w:rPr>
          <w:rFonts w:hint="default" w:ascii="Times New Roman" w:hAnsi="Times New Roman" w:eastAsia="仿宋_GB2312" w:cs="Times New Roman"/>
          <w:color w:val="auto"/>
          <w:sz w:val="32"/>
          <w:szCs w:val="32"/>
          <w:lang w:val="en-US"/>
        </w:rPr>
        <w:t>29</w:t>
      </w:r>
      <w:r>
        <w:rPr>
          <w:rFonts w:hint="default" w:ascii="Times New Roman" w:hAnsi="Times New Roman" w:eastAsia="仿宋_GB2312" w:cs="Times New Roman"/>
          <w:color w:val="auto"/>
          <w:sz w:val="32"/>
          <w:szCs w:val="32"/>
        </w:rPr>
        <w:t>人（不含林业站</w:t>
      </w:r>
      <w:r>
        <w:rPr>
          <w:rFonts w:hint="default" w:ascii="Times New Roman" w:hAnsi="Times New Roman" w:eastAsia="仿宋_GB2312" w:cs="Times New Roman"/>
          <w:color w:val="auto"/>
          <w:sz w:val="32"/>
          <w:szCs w:val="32"/>
          <w:lang w:val="en-US" w:eastAsia="zh-CN"/>
        </w:rPr>
        <w:t>2人</w:t>
      </w:r>
      <w:r>
        <w:rPr>
          <w:rFonts w:hint="default" w:ascii="Times New Roman" w:hAnsi="Times New Roman" w:eastAsia="仿宋_GB2312" w:cs="Times New Roman"/>
          <w:color w:val="auto"/>
          <w:sz w:val="32"/>
          <w:szCs w:val="32"/>
        </w:rPr>
        <w:t>、兽防站</w:t>
      </w:r>
      <w:r>
        <w:rPr>
          <w:rFonts w:hint="default" w:ascii="Times New Roman" w:hAnsi="Times New Roman" w:eastAsia="仿宋_GB2312" w:cs="Times New Roman"/>
          <w:color w:val="auto"/>
          <w:sz w:val="32"/>
          <w:szCs w:val="32"/>
          <w:lang w:val="en-US" w:eastAsia="zh-CN"/>
        </w:rPr>
        <w:t>4人</w:t>
      </w:r>
      <w:r>
        <w:rPr>
          <w:rFonts w:hint="default" w:ascii="Times New Roman" w:hAnsi="Times New Roman" w:eastAsia="仿宋_GB2312" w:cs="Times New Roman"/>
          <w:color w:val="auto"/>
          <w:sz w:val="32"/>
          <w:szCs w:val="32"/>
        </w:rPr>
        <w:t>编制），其中：行政编制1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人，其他事业编制</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人,工勤编制</w:t>
      </w:r>
      <w:r>
        <w:rPr>
          <w:rFonts w:hint="default" w:ascii="Times New Roman" w:hAnsi="Times New Roman" w:eastAsia="仿宋_GB2312" w:cs="Times New Roman"/>
          <w:color w:val="auto"/>
          <w:sz w:val="32"/>
          <w:szCs w:val="32"/>
          <w:lang w:val="en-US"/>
        </w:rPr>
        <w:t>3</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2019</w:t>
      </w:r>
      <w:r>
        <w:rPr>
          <w:rFonts w:hint="default" w:ascii="Times New Roman" w:hAnsi="Times New Roman" w:eastAsia="仿宋_GB2312" w:cs="Times New Roman"/>
          <w:color w:val="auto"/>
          <w:sz w:val="32"/>
          <w:szCs w:val="32"/>
        </w:rPr>
        <w:t>年预算实有在职编制内人员</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含林业站</w:t>
      </w:r>
      <w:r>
        <w:rPr>
          <w:rFonts w:hint="default" w:ascii="Times New Roman" w:hAnsi="Times New Roman" w:eastAsia="仿宋_GB2312" w:cs="Times New Roman"/>
          <w:color w:val="auto"/>
          <w:sz w:val="32"/>
          <w:szCs w:val="32"/>
          <w:lang w:val="en-US" w:eastAsia="zh-CN"/>
        </w:rPr>
        <w:t>2人</w:t>
      </w:r>
      <w:r>
        <w:rPr>
          <w:rFonts w:hint="default" w:ascii="Times New Roman" w:hAnsi="Times New Roman" w:eastAsia="仿宋_GB2312" w:cs="Times New Roman"/>
          <w:color w:val="auto"/>
          <w:sz w:val="32"/>
          <w:szCs w:val="32"/>
        </w:rPr>
        <w:t>、兽防站</w:t>
      </w:r>
      <w:r>
        <w:rPr>
          <w:rFonts w:hint="default" w:ascii="Times New Roman" w:hAnsi="Times New Roman" w:eastAsia="仿宋_GB2312" w:cs="Times New Roman"/>
          <w:color w:val="auto"/>
          <w:sz w:val="32"/>
          <w:szCs w:val="32"/>
          <w:lang w:val="en-US" w:eastAsia="zh-CN"/>
        </w:rPr>
        <w:t>4人</w:t>
      </w:r>
      <w:r>
        <w:rPr>
          <w:rFonts w:hint="default" w:ascii="Times New Roman" w:hAnsi="Times New Roman" w:eastAsia="仿宋_GB2312" w:cs="Times New Roman"/>
          <w:color w:val="auto"/>
          <w:sz w:val="32"/>
          <w:szCs w:val="32"/>
        </w:rPr>
        <w:t>编制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rPr>
        <w:t>比去年增加1人</w:t>
      </w:r>
      <w:r>
        <w:rPr>
          <w:rFonts w:hint="default" w:ascii="Times New Roman" w:hAnsi="Times New Roman" w:eastAsia="仿宋_GB2312" w:cs="Times New Roman"/>
          <w:color w:val="auto"/>
          <w:sz w:val="32"/>
          <w:szCs w:val="32"/>
        </w:rPr>
        <w:t>，其中：行政人员1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人，其他事业人员 15人，工勤人员</w:t>
      </w:r>
      <w:r>
        <w:rPr>
          <w:rFonts w:hint="default" w:ascii="Times New Roman" w:hAnsi="Times New Roman" w:eastAsia="仿宋_GB2312" w:cs="Times New Roman"/>
          <w:color w:val="auto"/>
          <w:sz w:val="32"/>
          <w:szCs w:val="32"/>
          <w:lang w:val="en-US"/>
        </w:rPr>
        <w:t>4</w:t>
      </w:r>
      <w:r>
        <w:rPr>
          <w:rFonts w:hint="default" w:ascii="Times New Roman" w:hAnsi="Times New Roman" w:eastAsia="仿宋_GB2312" w:cs="Times New Roman"/>
          <w:color w:val="auto"/>
          <w:sz w:val="32"/>
          <w:szCs w:val="32"/>
        </w:rPr>
        <w:t>人。按财政供给率分，均为财政全额供给。本单位退休1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人，其中：行政人员</w:t>
      </w:r>
      <w:r>
        <w:rPr>
          <w:rFonts w:hint="default" w:ascii="Times New Roman" w:hAnsi="Times New Roman" w:eastAsia="仿宋_GB2312" w:cs="Times New Roman"/>
          <w:color w:val="auto"/>
          <w:sz w:val="32"/>
          <w:szCs w:val="32"/>
          <w:lang w:val="en-US"/>
        </w:rPr>
        <w:t>11</w:t>
      </w:r>
      <w:r>
        <w:rPr>
          <w:rFonts w:hint="default" w:ascii="Times New Roman" w:hAnsi="Times New Roman" w:eastAsia="仿宋_GB2312" w:cs="Times New Roman"/>
          <w:color w:val="auto"/>
          <w:sz w:val="32"/>
          <w:szCs w:val="32"/>
        </w:rPr>
        <w:t>人，事业人员6人。其他人员共3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人，其中：村官</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人，乡镇交管员3人，遗属人员</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人，三支一扶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人，临时炊员1名，独子补助人员14人。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主要职能职责如下：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（一）制定和组织实施经济、科技和社会发展计划，制定资源开发技术改造和产业结构调整方案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组织指导好各业生产</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搞好商品流通</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协调好本镇与外地区的经济交流与合作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抓好招商引资，人才引进项目开发</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不断培育市场体系</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组织经济运行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促进经济发展。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（八）保护好社会主义全民所有的财产和劳动群众集体所有财产，保护公民私有的合法财产，维护社会秩序，保障公民的人身权利、民主权利和其他权利。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（九）保障农村集体经济组织应有的自主权。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（十）保障少数民族的权利和尊重少数民族的风俗习惯。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（十一）保障宪法和法律赋予妇女的男女平等、同工同酬和婚姻自由平等各项权利。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二、预算情况</w:t>
      </w:r>
      <w:r>
        <w:rPr>
          <w:rFonts w:hint="default" w:ascii="Times New Roman" w:hAnsi="Times New Roman" w:eastAsia="黑体" w:cs="Times New Roman"/>
          <w:color w:val="auto"/>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（一）部门综合预算收入情况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昭化镇201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年部门综合预算收入733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16万元，较201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年部门综合预算收入687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32万元增加</w:t>
      </w:r>
      <w:r>
        <w:rPr>
          <w:rFonts w:hint="default" w:ascii="Times New Roman" w:hAnsi="Times New Roman" w:eastAsia="仿宋_GB2312" w:cs="Times New Roman"/>
          <w:color w:val="auto"/>
          <w:sz w:val="32"/>
          <w:szCs w:val="32"/>
          <w:lang w:val="en-US" w:eastAsia="zh-CN"/>
        </w:rPr>
        <w:t>45.84</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6.67</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,增加的原因是人员的正常变动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（二）部门综合预算支出情况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昭化镇2019年部门综合预算支出733.16万元，较2018年部门综合预算支出687.32万元增加45.84万</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6.67</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新宋体" w:cs="Times New Roman"/>
          <w:color w:val="auto"/>
        </w:rPr>
        <w:t xml:space="preserve">  </w:t>
      </w:r>
      <w:r>
        <w:rPr>
          <w:rFonts w:hint="default" w:ascii="Times New Roman" w:hAnsi="Times New Roman" w:eastAsia="仿宋" w:cs="Times New Roman"/>
          <w:color w:val="auto"/>
          <w:sz w:val="32"/>
          <w:szCs w:val="32"/>
        </w:rPr>
        <w:t>部</w:t>
      </w:r>
      <w:r>
        <w:rPr>
          <w:rFonts w:hint="default" w:ascii="Times New Roman" w:hAnsi="Times New Roman" w:eastAsia="仿宋_GB2312" w:cs="Times New Roman"/>
          <w:color w:val="auto"/>
          <w:sz w:val="32"/>
          <w:szCs w:val="32"/>
          <w:lang w:val="en-US" w:eastAsia="zh-CN"/>
        </w:rPr>
        <w:t>门基本支出预算693.16万元，其中：人员支出562.17万元，公用支出130.99万元。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部门专项项目预算40万元。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部门政府采购预算0万元。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三公经费2019年预算8万元，其中：因公出国（境）经费0万元；公务用车运行维护费预算0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公务接待费预算</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，与2018年预算持平。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both"/>
        <w:textAlignment w:val="auto"/>
        <w:outlineLvl w:val="9"/>
        <w:rPr>
          <w:rFonts w:hint="default" w:eastAsia="仿宋_GB2312" w:cs="Times New Roman"/>
          <w:color w:val="auto"/>
          <w:sz w:val="32"/>
          <w:szCs w:val="32"/>
          <w:lang w:val="en-US" w:eastAsia="zh-CN"/>
        </w:rPr>
      </w:pPr>
      <w:r>
        <w:rPr>
          <w:rFonts w:hint="eastAsia" w:cs="Times New Roman"/>
          <w:color w:val="auto"/>
          <w:lang w:val="en-US" w:eastAsia="zh-CN"/>
        </w:rPr>
        <w:t xml:space="preserve">  </w:t>
      </w:r>
      <w:r>
        <w:rPr>
          <w:rFonts w:hint="eastAsia" w:eastAsia="仿宋_GB2312" w:cs="Times New Roman"/>
          <w:color w:val="auto"/>
          <w:sz w:val="32"/>
          <w:szCs w:val="32"/>
          <w:lang w:val="en-US" w:eastAsia="zh-CN"/>
        </w:rPr>
        <w:t>2019年，广元市昭化区昭化镇机关运行经费财政拨款预算为693.16万元，比2018年预算数增加</w:t>
      </w:r>
      <w:r>
        <w:rPr>
          <w:rFonts w:hint="default" w:ascii="Times New Roman" w:hAnsi="Times New Roman" w:eastAsia="仿宋_GB2312" w:cs="Times New Roman"/>
          <w:color w:val="auto"/>
          <w:sz w:val="32"/>
          <w:szCs w:val="32"/>
          <w:lang w:val="en-US" w:eastAsia="zh-CN"/>
        </w:rPr>
        <w:t>45.84</w:t>
      </w:r>
      <w:r>
        <w:rPr>
          <w:rFonts w:hint="eastAsia" w:eastAsia="仿宋_GB2312" w:cs="Times New Roman"/>
          <w:color w:val="auto"/>
          <w:sz w:val="32"/>
          <w:szCs w:val="32"/>
          <w:lang w:val="en-US" w:eastAsia="zh-CN"/>
        </w:rPr>
        <w:t xml:space="preserve">万元，主要原因是2019年人员的正常变动。      </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ascii="Times New Roman" w:hAnsi="Times New Roman" w:eastAsia="黑体" w:cs="Times New Roman"/>
          <w:b/>
          <w:bCs/>
          <w:i w:val="0"/>
          <w:iCs w:val="0"/>
          <w:color w:val="auto"/>
          <w:spacing w:val="-4"/>
          <w:sz w:val="32"/>
          <w:szCs w:val="32"/>
          <w:highlight w:val="none"/>
          <w:lang w:val="en-US" w:eastAsia="zh-CN"/>
        </w:rPr>
      </w:pPr>
      <w:r>
        <w:rPr>
          <w:rFonts w:hint="eastAsia" w:cs="Times New Roman"/>
          <w:color w:val="auto"/>
          <w:lang w:val="en-US" w:eastAsia="zh-CN"/>
        </w:rPr>
        <w:t xml:space="preserve">  </w:t>
      </w:r>
      <w:r>
        <w:rPr>
          <w:rFonts w:hint="default" w:ascii="Times New Roman" w:hAnsi="Times New Roman" w:eastAsia="黑体" w:cs="Times New Roman"/>
          <w:b/>
          <w:bCs/>
          <w:i w:val="0"/>
          <w:iCs w:val="0"/>
          <w:color w:val="auto"/>
          <w:spacing w:val="-4"/>
          <w:sz w:val="32"/>
          <w:szCs w:val="32"/>
          <w:highlight w:val="none"/>
          <w:lang w:val="en-US" w:eastAsia="zh-CN"/>
        </w:rPr>
        <w:t xml:space="preserve">三、其他情况说明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 xml:space="preserve">政府性基金预算支出情况说明：2019年政府性基金预算拨款安排支出 0万元。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 xml:space="preserve">国有资本经营预算支出情况说明：2019年无国有资本经营预算拨款安排的支出。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重点项目预算的绩效目标等预算绩效情况说明：2019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国有资产占用情况说明：主要占用</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lang w:eastAsia="zh-CN"/>
        </w:rPr>
        <w:t>资产</w:t>
      </w:r>
      <w:r>
        <w:rPr>
          <w:rFonts w:hint="eastAsia" w:ascii="Times New Roman" w:hAnsi="Times New Roman" w:eastAsia="仿宋_GB2312" w:cs="Times New Roman"/>
          <w:color w:val="auto"/>
          <w:sz w:val="32"/>
          <w:szCs w:val="32"/>
          <w:highlight w:val="none"/>
          <w:lang w:eastAsia="zh-CN"/>
        </w:rPr>
        <w:t>类型为房屋</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办公用房</w:t>
      </w:r>
      <w:r>
        <w:rPr>
          <w:rFonts w:hint="eastAsia" w:eastAsia="仿宋_GB2312" w:cs="Times New Roman"/>
          <w:color w:val="auto"/>
          <w:sz w:val="32"/>
          <w:szCs w:val="32"/>
          <w:highlight w:val="none"/>
          <w:lang w:val="en-US" w:eastAsia="zh-CN"/>
        </w:rPr>
        <w:t>1300平方米，价值165.08万元，其他固定资产35.45万元。</w:t>
      </w:r>
      <w:bookmarkStart w:id="0" w:name="_GoBack"/>
      <w:bookmarkEnd w:id="0"/>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i w:val="0"/>
          <w:iCs w:val="0"/>
          <w:color w:val="auto"/>
          <w:kern w:val="0"/>
          <w:sz w:val="32"/>
          <w:szCs w:val="32"/>
          <w:shd w:val="clear" w:fill="FFFFFF"/>
          <w:lang w:val="en-US" w:eastAsia="zh-CN" w:bidi="ar"/>
        </w:rPr>
      </w:pPr>
      <w:r>
        <w:rPr>
          <w:rFonts w:hint="eastAsia" w:ascii="Times New Roman" w:hAnsi="Times New Roman" w:eastAsia="仿宋_GB2312" w:cs="Times New Roman"/>
          <w:i w:val="0"/>
          <w:iCs w:val="0"/>
          <w:color w:val="auto"/>
          <w:kern w:val="0"/>
          <w:sz w:val="32"/>
          <w:szCs w:val="32"/>
          <w:shd w:val="clear" w:fill="FFFFFF"/>
          <w:lang w:val="en-US" w:eastAsia="zh-CN" w:bidi="ar"/>
        </w:rPr>
        <w:t>名词解释：</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基本支出。指为保障机构正常运转、完成日常工作任务而发生的人员支出和公用支出。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项目支出。指在基本支出之外为完成特定行政任务和事业发展目标所发生的支出。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color w:val="auto"/>
          <w:kern w:val="0"/>
          <w:sz w:val="32"/>
          <w:szCs w:val="32"/>
          <w:shd w:val="clear" w:fill="FFFFFF"/>
          <w:lang w:val="en-US" w:eastAsia="zh-CN" w:bidi="ar"/>
        </w:rPr>
      </w:pPr>
      <w:r>
        <w:rPr>
          <w:rFonts w:hint="eastAsia" w:ascii="Times New Roman" w:hAnsi="Times New Roman" w:eastAsia="仿宋_GB2312" w:cs="Times New Roman"/>
          <w:color w:val="auto"/>
          <w:kern w:val="0"/>
          <w:sz w:val="32"/>
          <w:szCs w:val="32"/>
          <w:shd w:val="clear" w:fill="FFFFFF"/>
          <w:lang w:val="en-US" w:eastAsia="zh-CN" w:bidi="ar"/>
        </w:rPr>
        <w:t xml:space="preserve">财政拨款收入。指单位从同级财政部门取得的财政预算资金。 </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jc w:val="left"/>
        <w:textAlignment w:val="auto"/>
        <w:rPr>
          <w:rFonts w:hint="eastAsia" w:ascii="Times New Roman" w:hAnsi="Times New Roman" w:eastAsia="仿宋_GB2312" w:cs="Times New Roman"/>
          <w:color w:val="auto"/>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jc w:val="both"/>
        <w:textAlignment w:val="auto"/>
        <w:outlineLvl w:val="9"/>
        <w:rPr>
          <w:rFonts w:hint="default" w:ascii="Times New Roman" w:hAnsi="Times New Roman" w:eastAsia="宋体" w:cs="Times New Roman"/>
          <w:color w:val="auto"/>
          <w:lang w:val="en-US" w:eastAsia="zh-CN"/>
        </w:rPr>
      </w:pPr>
    </w:p>
    <w:sectPr>
      <w:footerReference r:id="rId3" w:type="default"/>
      <w:pgSz w:w="11906" w:h="16838"/>
      <w:pgMar w:top="2098" w:right="1474" w:bottom="1984" w:left="1587" w:header="851" w:footer="1531" w:gutter="0"/>
      <w:pgNumType w:fmt="decimal" w:start="49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373315"/>
    <w:multiLevelType w:val="singleLevel"/>
    <w:tmpl w:val="C83733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0909"/>
    <w:rsid w:val="181E4D76"/>
    <w:rsid w:val="187C4708"/>
    <w:rsid w:val="1F1715DD"/>
    <w:rsid w:val="20C348F8"/>
    <w:rsid w:val="3262202F"/>
    <w:rsid w:val="484E302E"/>
    <w:rsid w:val="4E4A3D57"/>
    <w:rsid w:val="529B78F4"/>
    <w:rsid w:val="639761FA"/>
    <w:rsid w:val="68147280"/>
    <w:rsid w:val="742016C3"/>
    <w:rsid w:val="7E6D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1383</Words>
  <Characters>1499</Characters>
  <Paragraphs>27</Paragraphs>
  <TotalTime>1</TotalTime>
  <ScaleCrop>false</ScaleCrop>
  <LinksUpToDate>false</LinksUpToDate>
  <CharactersWithSpaces>1539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2019-02-15T00:36:00Z</dcterms:created>
  <dc:creator>L。。。</dc:creator>
  <cp:lastModifiedBy>Administrator</cp:lastModifiedBy>
  <dcterms:modified xsi:type="dcterms:W3CDTF">2021-05-23T03:29:51Z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