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pPr>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广元市昭化区赋予乡镇县级行政权力事项（第二批）</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pPr>
      <w:r>
        <w:rPr>
          <w:rFonts w:hint="eastAsia" w:ascii="Times New Roman" w:hAnsi="Times New Roman" w:eastAsia="方正小标宋简体" w:cs="Times New Roman"/>
          <w:b w:val="0"/>
          <w:bCs w:val="0"/>
          <w:color w:val="000000"/>
          <w:spacing w:val="-20"/>
          <w:kern w:val="0"/>
          <w:sz w:val="44"/>
          <w:szCs w:val="44"/>
          <w:shd w:val="clear" w:color="auto" w:fill="FFFFFF"/>
          <w:lang w:val="en-US" w:eastAsia="zh-CN"/>
        </w:rPr>
        <w:t>青牛镇</w:t>
      </w:r>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责</w:t>
      </w:r>
      <w:bookmarkStart w:id="0" w:name="_GoBack"/>
      <w:bookmarkEnd w:id="0"/>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任清单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w:t>
      </w:r>
    </w:p>
    <w:tbl>
      <w:tblPr>
        <w:tblStyle w:val="9"/>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7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6" w:type="pct"/>
            <w:noWrap w:val="0"/>
            <w:vAlign w:val="center"/>
          </w:tcPr>
          <w:p>
            <w:pPr>
              <w:ind w:firstLine="420" w:firstLineChars="200"/>
              <w:jc w:val="left"/>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对未经批准或者未按照批准内容进行临时建设以及临时建筑物、构筑物超过批准期限不拆除的行政处罚</w:t>
            </w:r>
            <w:r>
              <w:rPr>
                <w:rFonts w:hint="eastAsia" w:ascii="Times New Roman" w:hAnsi="Times New Roman" w:cs="Times New Roman"/>
                <w:b w:val="0"/>
                <w:bCs w:val="0"/>
                <w:color w:val="000000"/>
                <w:lang w:eastAsia="zh-CN"/>
              </w:rPr>
              <w:t>（不含“对未按照批准内容进行临时建设以及临时建筑物、构筑物超过批准期限不拆除的行政处罚”）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权力主体</w:t>
            </w:r>
          </w:p>
        </w:tc>
        <w:tc>
          <w:tcPr>
            <w:tcW w:w="4246" w:type="pct"/>
            <w:noWrap w:val="0"/>
            <w:vAlign w:val="center"/>
          </w:tcPr>
          <w:p>
            <w:pPr>
              <w:ind w:firstLine="420" w:firstLineChars="200"/>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权力来源</w:t>
            </w:r>
          </w:p>
        </w:tc>
        <w:tc>
          <w:tcPr>
            <w:tcW w:w="4246" w:type="pct"/>
            <w:noWrap w:val="0"/>
            <w:vAlign w:val="center"/>
          </w:tcPr>
          <w:p>
            <w:pPr>
              <w:jc w:val="center"/>
              <w:rPr>
                <w:rFonts w:hint="default" w:ascii="Times New Roman" w:hAnsi="Times New Roman" w:eastAsia="宋体" w:cs="Times New Roman"/>
                <w:b w:val="0"/>
                <w:bCs w:val="0"/>
                <w:color w:val="00000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auto"/>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rPr>
        <w:t>表1-2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spacing w:line="260" w:lineRule="exact"/>
              <w:ind w:firstLine="420" w:firstLineChars="200"/>
              <w:jc w:val="left"/>
              <w:rPr>
                <w:rFonts w:hint="default" w:ascii="Times New Roman" w:hAnsi="Times New Roman" w:cs="Times New Roman"/>
                <w:b w:val="0"/>
                <w:bCs w:val="0"/>
                <w:color w:val="000000"/>
              </w:rPr>
            </w:pPr>
            <w:r>
              <w:rPr>
                <w:rFonts w:hint="default" w:ascii="Times New Roman" w:hAnsi="Times New Roman" w:cs="Times New Roman"/>
                <w:b w:val="0"/>
                <w:bCs w:val="0"/>
                <w:color w:val="000000"/>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《城市照明管理规定》 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第三十二条　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snapToGrid w:val="0"/>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对在历史文化名城、名镇、名村保护范围内在历史建筑上刻划、涂污的行政处罚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《历史文化名城名镇名村保护条例》第四十二条　违反本条例规定，在历史建筑上刻划、涂污的，由城市、县人民政府城乡规划主管部门责令恢复原状或者采取其他补救措施，处50元的罚款。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对在历史文化名城、名镇、名村保护范围内擅自设置、移动、涂改或者损毁历史文化街区、名镇、名村标志牌的行政处罚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eastAsia="zh-CN"/>
              </w:rPr>
              <w:t>青牛镇综合行政执法办公室（大队）</w:t>
            </w:r>
            <w:r>
              <w:rPr>
                <w:rFonts w:hint="default" w:ascii="Times New Roman" w:hAnsi="Times New Roman" w:cs="Times New Roman"/>
                <w:b w:val="0"/>
                <w:bCs w:val="0"/>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lang w:val="en-US" w:eastAsia="zh-CN"/>
              </w:rPr>
              <w:t xml:space="preserve">    </w:t>
            </w:r>
            <w:r>
              <w:rPr>
                <w:rFonts w:hint="default" w:ascii="Times New Roman" w:hAnsi="Times New Roman" w:cs="Times New Roman"/>
                <w:b w:val="0"/>
                <w:bCs w:val="0"/>
                <w:color w:val="00000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对损坏各类环境卫生设施及附属设施的行政处罚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对违反摊点卫生管理规定的行政处罚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 第三十七条第二款　 集贸市场内的经营者应当保持摊位和经营场所的整洁。餐饮、农产品等易产生垃圾的摊位应当配置垃圾收集容器，保持摊点干净和卫生。</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第三十八条　早市、夜市、摊区、临时农副产品市场应当定时定点经营，保持摊位整洁，收市时应当将垃圾、污渍清理干净。临时饮食摊点应当采取有效措施防止油污、污水和垃圾污染环境。</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对侵占、毁损、围挡园林绿地；损毁、盗窃、占用城乡环境卫生设施，擅自关闭、拆除、迁移或者改变用途的行政处罚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《四川省城乡环境综合治理条例》第二十五条第一款　城镇园林绿地建设应当具有市容美化、防灾避险功能，应当定期维护，保持整洁美观，禁止侵占、毁损、围挡园林绿地。</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第五十五条　单位和个人应当保护和正确使用城乡环境卫生设施，禁止损毁、盗窃、占用；禁止擅自关闭、拆除、迁移或者改变其使用性质和内部结构。</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对占用公共道路和公共场所从事车辆修理、清洗、装饰和再生资源回收的行政处罚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《四川省城乡环境综合治理条例》第三十九条　从事车辆修理、清洗、装饰和再生资源回收的，应当符合国土空间规划、城乡容貌管理的要求，保持经营场所及周边环境整洁卫生，不得占用公共道路和公共场所。</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第六十九条　违反本条例第三十九条规定，占用公共道路和公共场所从事车辆修理、清洗、装饰和再生资源回收的，责令改正，恢复原状，并处五百元以上两千元以下罚款。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对施工单位未及时清运工程施工过程中产生的建筑垃圾，造成环境污染的行政处罚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《城市建筑垃圾管理规定》第二十二条第一款　施工单位未及时清运工程施工过程中产生的建筑垃圾，造成环境污染的，由城市人民政府市容环境卫生主管部门责令限期改正，给予警告，处5000元以上5万元以下罚款。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对单位和个人未按规定缴纳城市生活垃圾处理费的行政处罚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《城市生活垃圾管理办法》第三十八条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对随意倾倒、抛洒、堆放城市生活垃圾的行政处罚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表1-14</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5" w:type="pct"/>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对擅自砍伐、损坏城市树竹花草或者损毁城市园林绿地；因养护不善致使古树名木受到损伤或者死亡；损坏城市园林绿化设施的行政处罚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4245" w:type="pct"/>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4245"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1.《城市绿化条例》第二十六条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2.《四川省城市园林绿化条例》第四十条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5"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对堆放、吊挂影响市容市貌物品的行政处罚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对在城镇住宅区内饲养家畜家禽，饲养宠物和信鸽影响环境卫生和周围居民正常生活的行政处罚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对单位和个人擅自开启公共消火栓的行政处罚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《四川省城市供水条例》第四十四条第三款　公共消火栓实行专管专用制度，除训练演练、灭火救援用水外，任何单位和个人不得擅自动用。</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第五十七条第六项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对在城市绿地范围内进行拦河截溪、取土采石、设置垃圾堆场、排放污水以及其他对城市生态环境造成破坏活动的行政处罚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对违反施工现场容貌管理规定逾期不改正的行政处罚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第六十八条 　违反本条例第二十七条第一款施工现场容貌管理规定的，责令限期改正，处二万元以上十万元以下罚款；拒不改正的，责令停工整治。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对城乡环境综合治理责任人不履行义务，责任区的容貌秩序、环境卫生未达到有关标准的行政处罚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rPr>
            </w:pPr>
            <w:r>
              <w:rPr>
                <w:rFonts w:hint="default" w:ascii="Times New Roman" w:hAnsi="Times New Roman" w:cs="Times New Roman"/>
                <w:b w:val="0"/>
                <w:bCs w:val="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lang w:eastAsia="zh-CN"/>
              </w:rPr>
            </w:pPr>
            <w:r>
              <w:rPr>
                <w:rFonts w:hint="default" w:ascii="Times New Roman" w:hAnsi="Times New Roman" w:cs="Times New Roman"/>
                <w:b w:val="0"/>
                <w:bCs w:val="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rPr>
                <w:rFonts w:hint="default" w:ascii="Times New Roman" w:hAnsi="Times New Roman" w:cs="Times New Roman"/>
                <w:b w:val="0"/>
                <w:bCs w:val="0"/>
              </w:rPr>
            </w:pPr>
            <w:r>
              <w:rPr>
                <w:rFonts w:hint="default" w:ascii="Times New Roman" w:hAnsi="Times New Roman" w:cs="Times New Roman"/>
                <w:b w:val="0"/>
                <w:bCs w:val="0"/>
                <w:color w:val="000000"/>
                <w:spacing w:val="-1"/>
              </w:rPr>
              <w:t>对运输煤炭、垃圾、渣土、砂石、土方、灰浆等散装、流体物料的车辆，未采取密闭或者其他措施防止物料遗撒的行政处罚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对车辆未采取覆盖或者密闭措施，造成泄漏遗撒的或者违规倾倒的行政处罚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对排放油烟的餐饮服务业经营者未安装油烟净化设施、不正常使用油烟净化设施或者未采取其他油烟净化措施，超过排放标准排放油烟的行政处罚（由生态环境部门实施的区域除外）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对在当地人民政府禁止的时段和区域内露天烧烤食品或者为露天烧烤食品提供场地的行政处罚（由生态环境部门实施的区域除外）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对露天焚烧秸秆、落叶等产生烟尘污染的物质的行政处罚（由生态环境部门实施的区域除外）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对在人口集中地区和其他依法需要特殊保护的区域内，焚烧沥青、油毡、橡胶、塑料、皮革、垃圾以及其他产生有毒有害烟尘和恶臭气体的物质的行政处罚（由生态环境部门实施的区域除外）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表1-2</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对擅自进行涉路施工等行为的行政处罚（</w:t>
            </w: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不含“对未按照公路工程技术标准的要求修建桥梁、渡槽或者架设、埋设管线、电缆等设施和未经批准在公路上增设或者改造平面交叉道口的行政处罚”；2.仅适用农村公路）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1.《中华人民共和国公路法》第四十四条第一款　任何单位和个人不得擅自占用、挖掘公路。</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第五十五条　在公路上增设平面交叉道口，必须按照国家有关规定经过批准，并按照国家规定的技术标准建设。</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第七十六条第一项、第二项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第八十条　违反本法第五十五条规定，未经批准在公路上增设平面交叉道口的，由交通主管部门责令恢复原状，处五万元以下的罚款。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2.《公路安全保护条例》第二十七条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 xml:space="preserve">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 </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3.《四川省农村公路条例》第二十八条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占用、挖掘村道的应当按照不低于该路段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sz w:val="21"/>
                <w:szCs w:val="21"/>
              </w:rPr>
              <w:t>第五十五条　违反本条例第二十八条规定，实施占用、挖掘村道等影响村道畅通安全的行为，未经乡（镇）人民政府同意的，县（市、区）人民政府交通运输主管部门公路管理机构可以处三万元以下的罚款。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对从事挖砂、爆破及其他危及公路、公路桥梁等安全的作业行为的行政处罚</w:t>
            </w:r>
          </w:p>
          <w:p>
            <w:pPr>
              <w:ind w:firstLine="420" w:firstLineChars="200"/>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第七十六条第三项　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2.《四川省农村公路条例》第三十一条　禁止在村道的公路用地外缘起向外五十米、大中型桥梁和渡口周围二百米、隧道上方和洞口外一百米范围内从事采矿、爆破等危及村道安全的活动。</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对利用公路桥梁进行牵拉、吊装等危及公路桥梁安全的施工作业行为的行政处罚（仅适用农村公路）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《公路安全保护条例》第二十二条第一款　禁止利用公路桥梁进行牵拉、吊装等危及公路桥梁安全的施工作业。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第五十九条　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对铁轮车、履带车和其他可能损害路面的机具擅自在公路上行驶行为的行政处罚（仅适用农村公路）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《中华人民共和国公路法》第四十八条　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第七十六条第四项　有下列违法行为之一的，由交通主管部门责令停止违法行为，可以处三万元以下的罚款：（四）违反本法第四十八条规定，铁轮车、履带车和其他可能损害路面的机具擅自在公路上行驶的。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对损坏、擅自移动、涂改、遮挡公路附属设施或者利用公路附属设施架设管道、悬挂物品或者损坏、擅自挪动建筑控制区的标桩、界桩等可能危及公路安全等行为的行政处罚（仅适用农村公路）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1.《中华人民共和国公路法》第五十二条　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2.《公路安全保护条例》第二十五条　禁止损坏、擅自移动、涂改、遮挡公路附属设施或者利用公路附属设施架设管道、悬挂物品。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对造成公路路面损坏、污染或者影响公路畅通行为的行政处罚（仅适用农村公路）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1.《中华人民共和国公路法》第四十六条　任何单位和个人不得在公路上及公路用地范围内摆摊设点、堆放物品、倾倒垃圾、设置障碍、挖沟引水、利用公路边沟排放污物或者进行其他损坏、污染公路和影响公路畅通的活动。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第七十七条　违反本法第四十六条的规定，造成公路路面损坏、污染或者影响公路畅通的，或者违反本法第五十一条规定，将公路作为试车场地的，由交通主管部门责令停止违法行为，可以处五千元以下的罚款。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2.《公路安全保护条例》第六十九条　车辆装载物触地拖行、掉落、遗洒或者飘散，造成公路路面损坏、污染的，由公路管理机构责令改正，处5000元以下的罚款。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对在公路建筑控制区内修建、扩建建筑物、地面构筑物或擅自埋设管道、电缆等设施行为的行政处罚（仅适用农村公路）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3.《四川省农村公路条例》第二十七条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 </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对在崩塌、滑坡危险区或者泥石流易发区从事取土、挖砂、采石等可能造成水土流失的活动的行政处罚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对在禁止开垦坡度以上陡坡地开垦种植农作物或者在禁止开垦、开发的植物保护带内开垦、开发的行政处罚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对采集发菜，或者在水土流失重点预防区和重点治理区铲草皮、挖树兜、滥挖虫草、甘草、麻黄等的行政处罚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对破坏、侵占、毁损防洪排涝设施的行政处罚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《四川省〈中华人民共和国防洪法〉实施办法》第十条　任何单位和个人不得破坏、侵占、毁损防洪排涝设施，不得向行洪道倾倒固体废弃物。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第二十九条　 违反本实施办法第十条规定的，由县级以上地方人民政府水行政主管部门责令停止违法行为，恢复原状，赔偿损失，可并处1万元以上5万元以下罚款。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对在供生活饮用水的重要水域，从事集约化养殖等危害饮用水水源水质的活动的行政处罚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08" w:firstLineChars="200"/>
              <w:rPr>
                <w:rFonts w:hint="default" w:ascii="Times New Roman" w:hAnsi="Times New Roman" w:cs="Times New Roman"/>
                <w:b w:val="0"/>
                <w:bCs w:val="0"/>
                <w:color w:val="000000"/>
                <w:spacing w:val="-3"/>
                <w:lang w:eastAsia="zh-CN"/>
              </w:rPr>
            </w:pPr>
            <w:r>
              <w:rPr>
                <w:rFonts w:hint="default" w:ascii="Times New Roman" w:hAnsi="Times New Roman" w:cs="Times New Roman"/>
                <w:b w:val="0"/>
                <w:bCs w:val="0"/>
                <w:color w:val="000000"/>
                <w:spacing w:val="-3"/>
              </w:rPr>
              <w:t>　《四川省〈中华人民共和国水法〉实施办法》第十五条第二款　供生活饮用水的重要水域，不得从事集约化养殖等危害饮用水水源水质的活动。</w:t>
            </w:r>
          </w:p>
          <w:p>
            <w:pPr>
              <w:ind w:firstLine="408" w:firstLineChars="200"/>
              <w:rPr>
                <w:rFonts w:hint="default" w:ascii="Times New Roman" w:hAnsi="Times New Roman" w:cs="Times New Roman"/>
                <w:b w:val="0"/>
                <w:bCs w:val="0"/>
                <w:color w:val="000000"/>
                <w:spacing w:val="-3"/>
              </w:rPr>
            </w:pPr>
            <w:r>
              <w:rPr>
                <w:rFonts w:hint="default" w:ascii="Times New Roman" w:hAnsi="Times New Roman" w:cs="Times New Roman"/>
                <w:b w:val="0"/>
                <w:bCs w:val="0"/>
                <w:color w:val="000000"/>
                <w:spacing w:val="-3"/>
              </w:rPr>
              <w:t>第三十九条　违反本办法第十五条第二款规定的，责令限期拆除、恢复原状；逾期不拆除、不恢复原状的，代为拆除、恢复原状，费用由违法单位或者个人承担，并处1万元以上5万元以下的罚款。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对未经许可在水利工程管理范围内建设项目的行政处罚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第四十九条　违反本条例第二十三条、第二十四条规定的，由水行政主管部门责令停止施工，处一万元以上十万元以下的罚款，造成损失的依法赔偿。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对在水利工程管理和保护范围内从事相关违法行为的行政处罚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在水工程保护范围内，禁止从事影响水工程运行、危害水工程安全和防洪设施以及污染水源的爆破、打井、取土、采石（砂）、陡坡开垦、伐木、开矿、建筑等活动。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违反本办法第二十条第二款、第三款规定的，责令停止违法行为，采取补救措施，处1万元以上5万元以下的罚款。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对在村镇供水工程保护控制范围内从事禁止性活动的行政处罚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 第二十六条第二款　供水工程保护控制范围内，不得修建筑物、构筑物，不得挖坑（沟）、取土、堆渣，严禁爆破、打桩、顶进作业等危害供水工程及设施安全的活动。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净水构筑物、调节构筑物、泵站（加压站）保护范围内，不得设立生活区和修建畜禽饲养场、厕所、渗水坑、污水沟道，不得堆放垃圾、粪便等污染物，严禁排放有毒有害物质。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对擅自改装、迁移、拆除公共供水设施，拆卸、启封、损坏结算水表或者干扰水表正常计量的行政处罚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对擅自在村镇公共供水管道上连接取水设施的行政处罚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对擅自将生产、使用有毒有害物质的设施与村镇公共供水管道连接的行政处罚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对供水单位擅自停止营运的行政处罚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《四川省村镇供水条例》第三十四条　已在营运的供水单位不得擅自停止营运。供水单位需退出营运的，应当提前三个月向县级水行政主管部门提出申请。供水单位退出营运的管理办法由省人民政府另行制定。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第五十三条　供水单位违反本条例第三十四条规定，供水单位擅自停止营运的，由县级以上地方人民政府水行政主管部门责令限期恢复营运，并对供水单位处一万元以上五万元以下罚款。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eastAsiaTheme="minorEastAsia"/>
                <w:b w:val="0"/>
                <w:bCs w:val="0"/>
                <w:color w:val="000000"/>
                <w:spacing w:val="-1"/>
                <w:kern w:val="2"/>
                <w:position w:val="1"/>
                <w:sz w:val="21"/>
                <w:szCs w:val="21"/>
                <w:lang w:val="en-US" w:eastAsia="zh-CN" w:bidi="ar-SA"/>
              </w:rPr>
            </w:pPr>
            <w:r>
              <w:rPr>
                <w:rFonts w:hint="default" w:ascii="Times New Roman" w:hAnsi="Times New Roman" w:cs="Times New Roman" w:eastAsiaTheme="minorEastAsia"/>
                <w:b w:val="0"/>
                <w:bCs w:val="0"/>
                <w:color w:val="000000"/>
                <w:spacing w:val="-1"/>
                <w:kern w:val="2"/>
                <w:position w:val="1"/>
                <w:sz w:val="21"/>
                <w:szCs w:val="21"/>
                <w:lang w:val="en-US" w:eastAsia="zh-CN" w:bidi="ar-SA"/>
              </w:rPr>
              <w:t>对擅自开启公共消防栓的行政处罚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《四川省村镇供水条例》第四十五条第二款　公共消火栓实行专管专用制度，除训练演练、灭火救援用水外，任何单位和个人不得擅自动用。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违反本条例第四十五条第二款规定，擅自开启公共消防栓的，由县级以上地方人民政府水行政主管部门对行为人处以五百元以上五千元以下罚款，并依法承担赔偿责任。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对擅自砍伐护堤护岸林木的行政处罚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对在堤防安全保护区内进行打井、钻探、爆破、挖筑鱼塘、采石、取土、建房、开渠等危害堤防安全的活动的行政处罚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对擅自移动、损坏水利工程的界桩、公告牌的行政处罚</w:t>
            </w:r>
          </w:p>
          <w:p>
            <w:pPr>
              <w:jc w:val="center"/>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（仅适用乡镇及以下管理的水利工程）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《四川省水利工程管理条例》第二十五条　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违反本条例第二十五条规定，擅自移动、损坏水利工程的界桩、公告牌的，由水行政主管部门责令改正，可处五百元以上二千元以下的罚款。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3.《农用薄膜管理办法》第二十四条　农用薄膜生产者、销售者、使用者未按照规定回收农用薄膜的，依照《中华人民共和国土壤污染防治法》第八十八条规定处罚。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对农药经营者和农药包装废弃物回收站（点）未按规定建立农药包装废弃物回收台账的行政处罚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spacing w:val="-1"/>
              </w:rPr>
              <w:t>对侵占、损毁、拆除、擅自移动农作物病虫害监测设施设备或者以其他方式妨害农作物病虫害监测设施设备正常运行的行政处罚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对在地表水饮用水水源二级保护区内违反规定使用化肥行为的行政处罚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对在地表水饮用水水源保护一级保护区内使用化肥行为的行政处罚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《四川省饮用水水源保护管理条例》第十九条第二项　地表水饮用水水源一级保护区内，除遵守本条例第十七条和第十八条规定外，还应当遵守下列规定：（二）禁止使用化肥。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对未按规定建立、保存或者伪造农产品生产记录的行政处罚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1.《中华人民共和国农产品质量安全法》第四十七条　农产品生产企业、农民专业合作经济组织未建立或者未按照规定保存农产品生产记录的，或者伪造农产品生产记录的，责令限期改正；逾期不改正的，可以处二千元以下罚款。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违反本办法第二十一条规定的，由县级以上地方人民政府农业行政主管部门责令限期改正；逾期不改正的，处2000元以下罚款。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对销售的农产品未按照规定进行包装、标识的行政处罚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第四十八条　违反本法第二十八条规定，销售的农产品未按照规定进行包装、标识的，责令限期改正；逾期不改正的，可以处二千元以下罚款。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对擅自移动、损毁禁止生产区标牌的行政处罚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1.《农产品产地安全管理办法》第二十六条第二款　违反本办法规定，擅自移动、损毁禁止生产区标牌的，由县级以上地方人民政府农业行政主管部门责令限期改正，可处以一千元以下罚款。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2.《四川省〈中华人民共和国农产品质量安全法〉实施办法》第十一条第二款　任何单位和个人不得擅自移动和损毁标识。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　违反本办法第十一条第二款规定，擅自移动、损毁禁止生产区标识的，由县级以上地方人民政府农业行政主管部门责令限期改正，可处1000元以下罚款。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对未建立、保存农业投入品进销货台账或者未向购买者出具销售凭证的行政处罚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第四十二条　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对农产品生产过程中违规行为的行政处罚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对农产品运载工具、垫料、包装物、容器等不符合卫生、植物检疫和动物防疫条件，或将农产品与有毒有害物品混装运输的行政处罚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《四川省〈中华人民共和国农产品质量安全法〉实施办法》第二十四条第一款　农产品的运载工具、垫料、包装物、容器等应当符合国家规定的卫生、植物检疫和动物防疫条件，不得将农产品与有毒有害物品混装运输。</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第四十五条　违反本办法第二十四条第一款规定的，由县级以上地方人民政府农业行政主管部门或者其他有关部门责令改正，监督其对被污染的农产品进行无害化处理；对不能进行无害化处理的，予以监督销毁，并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对未按照规定登记、使用拖拉机、联合收割机的行政处罚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对未取得操作证件操作拖拉机、联合收割机的行政处罚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《农业机械安全监督管理条例》第五十二条　未取得拖拉机、联合收割机操作证件而操作拖拉机、联合收割机的，由县级以上地方人民政府农业机械化主管部门责令改正，处100元以上500元以下罚款。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对未按照规定操作拖拉机、联合收割机的行政处罚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对使用拖拉机、联合收割机违反规定载人的行政处罚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1.《中华人民共和国农业机械化促进法》第三十一条　农业机械驾驶、操作人员违反国家规定的安全操作规程，违章作业的，责令改正，依照有关法律、行政法规的规定予以处罚；构成犯罪的，依法追究刑事责任。</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对农业机械操作人员违规操作的行政处罚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《四川省农业机械安全监督管理条例》 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第二十九条第七项　操作拖拉机、联合收割机应当严格执行有关安全操作规程，不得有下列行为：（七）操作拼装或者报废的拖拉机、联合收割机。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第四十五条　违反本条例第二十八条第一、二、三、六、七、八项和第二十九条第七项规定的，由县级人民政府农业机械化主管部门责令改正，并处以一百元以上五百元以下罚款。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对影响提灌站正常使用行为的行政处罚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《四川省农村机电提灌管理条例》第三十八条　违反本条例的规定，有下列行为之一的，由县级以上人民政府农业机械主管部门责令停止或者纠正；拒不停止或者纠正的，可并处2000元以下的罚款：（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对养殖者违规使用饲料和添加物质的行政处罚</w:t>
            </w:r>
            <w:r>
              <w:rPr>
                <w:rFonts w:hint="eastAsia" w:ascii="Times New Roman" w:hAnsi="Times New Roman" w:cs="Times New Roman"/>
                <w:b w:val="0"/>
                <w:bCs w:val="0"/>
                <w:lang w:val="en-US" w:eastAsia="zh-CN"/>
              </w:rPr>
              <w:t>（不含“对违反《饲料和饲料添加剂管理条例》第四十七条第一款第四项至第七项的行政处罚”）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《饲料和饲料添加剂管理条例》第四十七条第一款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69</w:t>
      </w:r>
    </w:p>
    <w:tbl>
      <w:tblPr>
        <w:tblStyle w:val="9"/>
        <w:tblpPr w:leftFromText="180" w:rightFromText="180" w:vertAnchor="text" w:horzAnchor="page" w:tblpX="1510"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对在不能从事养殖活动的水域从事养殖业的行政处罚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《四川省〈中华人民共和国渔业法〉实施办法》第七条　禁止在生活饮用水地表水源一级保护区和县级以上人民政府确定的不能从事养殖活动的水域从事养殖业。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第三十一条　违反本办法第七条规定，在县级以上人民政府确定的不能从事养殖活动的水域从事养殖业的，责令停止养殖生产，限期拆除养殖设施，没收渔获物和违法所得，可并处1000元以上1万元以下罚款。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对在禁渔区、禁渔期内从事游钓、水禽放养、扎巢取卵和挖沙取石，或者销售、收购在禁渔区、禁渔期内捕捞的渔获物的行政处罚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《四川省〈中华人民共和国渔业法〉实施办法》第二十六条第三款　在禁渔期和禁渔区内，禁止捕捞作业、游钓和水禽放养，禁止扎巢取卵、挖沙采石，禁止销售、收购在禁渔期和禁渔区内捕捞的渔获物。</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第三十五条　违反本办法第二十六条第三款规定的，按以下规定处罚：（一）在禁渔期和禁渔区内从事游钓和水禽放养及扎巢取卵、挖沙采石的，给予警告，责令改正；拒不改正的，可并处100元以上1000元以下罚款；（二）销售、收购在禁渔区、禁渔期内捕捞的渔获物的，没收非法渔获物和违法所得，可并处相当于实物价值1至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对未经定点从事生猪屠宰活动，冒用、使用伪造、出借、转让生猪定点屠宰证书或者生猪定点屠宰标志牌的行政处罚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《生猪屠宰管理条例》第三十一条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对为违法生猪屠宰相关活动提供场所的行政处罚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对未取得农药经营许可证经营农药的行政处罚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第三十条　农药经营者违法从事农药经营活动的，按照《农药管理条例》的规定处罚；构成犯罪的，依法追究刑事责任。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对向未取得农药生产许可证的农药生产企业或者未取得农药经营许可证的其他农药经营者采购农药的行政处罚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《农药管理条例》第五十七条第二项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对采购、销售未附具产品质量检验合格证或者包装、标签不符合规定的农药的行政处罚（不含“吊销农药经营许可证”）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《农药管理条例》第五十七条第三项　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对不停止销售依法应当召回的农药的行政处罚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《农药管理条例》第五十七条第四项　农药经营者有下列行为之一的，由县级以上地方人民政府农业主管部门责令改正，没收违法所得和违法经营的农药，并处5000元以上5万元以下罚款；拒不改正或者情节严重的，由发证机关吊销农药经营许可证：（四）不停止销售依法应当召回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对不执行农药采购台账、销售台账制度的行政处罚（不含“吊销农药经营许可证”）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《农药管理条例》第五十八条第一项　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对在卫生用农药以外的农药经营场所内经营食品、食用农产品、饲料等的行政处罚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《农药管理条例》第五十八条第二项　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对未将卫生用农药与其他商品分柜销售的行政处罚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《农药管理条例》第五十八条第三项　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对不履行农药废弃物回收义务的行政处罚（不含“吊销农药经营许可证”）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对农药使用者不按照农药的标签标注的使用范围、使用方法和剂量、使用技术要求和注意事项、安全间隔期使用农药的行政处罚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对使用禁用的农药的行政处罚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第二款　有前款第二项规定的行为的，县级人民政府农业主管部门还应当没收禁用的农药。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对将剧毒、高毒农药用于防治卫生害虫，用于蔬菜、瓜果、茶叶、菌类、中草药材生产或者用于水生植物的病虫害防治的行政处罚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tbl>
      <w:tblPr>
        <w:tblStyle w:val="9"/>
        <w:tblpPr w:leftFromText="180" w:rightFromText="180" w:vertAnchor="text" w:horzAnchor="page" w:tblpX="151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对使用农药毒鱼、虾、鸟、兽等的行政处罚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4</w:t>
      </w: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对农产品生产企业、食品和食用农产品仓储企业、专业化病虫害防治服务组织和从事农产品生产的农民专业合作社等不执行农药使用记录制度的行政处罚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对制造、销售禁用的渔具的行政处罚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《中华人民共和国渔业法》 第三十八条第三款　制造、销售禁用的渔具的，没收非法制造、销售的渔具和违法所得，并处一万元以下的罚款。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对农村村民未经批准或者采取欺骗手段骗取批准，非法占用土地建住宅的行政处罚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对互联网上网服务营业场所接纳未成年人的行政处罚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《互联网上网服务营业场所管理条例》第三十一条第二项　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对互联网上网服务营业场所未悬挂《网络文化经营许可证》或者未成年人禁入标志的行政处罚</w:t>
            </w: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《互联网上网服务营业场所管理条例》第三十一条第五项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p>
    <w:tbl>
      <w:tblPr>
        <w:tblStyle w:val="9"/>
        <w:tblpPr w:leftFromText="180" w:rightFromText="180" w:vertAnchor="text" w:horzAnchor="page" w:tblpX="1495" w:tblpY="3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对擅自从事营业性演出经营活动的行政处罚</w:t>
            </w:r>
            <w:r>
              <w:rPr>
                <w:rFonts w:hint="eastAsia" w:ascii="Times New Roman" w:hAnsi="Times New Roman" w:cs="Times New Roman"/>
                <w:b w:val="0"/>
                <w:bCs w:val="0"/>
                <w:lang w:val="en-US" w:eastAsia="zh-CN"/>
              </w:rPr>
              <w:t>（不含“对违反《营业性演出管理条例》第十条、第十一条规定，擅自从事营业性演出经营活动的行政处罚”；仅适用农村营业性演出活动）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eastAsiaTheme="minorEastAsia"/>
          <w:b w:val="0"/>
          <w:bCs w:val="0"/>
          <w:color w:val="000000"/>
          <w:lang w:val="en-US" w:eastAsia="zh-CN"/>
        </w:rPr>
      </w:pPr>
      <w:r>
        <w:rPr>
          <w:rFonts w:hint="eastAsia" w:ascii="Times New Roman" w:hAnsi="Times New Roman" w:cs="Times New Roman"/>
          <w:b w:val="0"/>
          <w:bCs w:val="0"/>
          <w:color w:val="000000"/>
          <w:lang w:eastAsia="zh-CN"/>
        </w:rPr>
        <w:t>表</w:t>
      </w:r>
      <w:r>
        <w:rPr>
          <w:rFonts w:hint="eastAsia" w:ascii="Times New Roman" w:hAnsi="Times New Roman" w:cs="Times New Roman"/>
          <w:b w:val="0"/>
          <w:bCs w:val="0"/>
          <w:color w:val="000000"/>
          <w:lang w:val="en-US" w:eastAsia="zh-CN"/>
        </w:rPr>
        <w:t>1-90</w:t>
      </w: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对未经批准举办营业性演出的行政处罚（不含“对违反《营业性演出管理条例》第十条、第十一条规定，擅自从事营业性演出经营活动的行政处罚”；仅适用农村营业性演出活动）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第四十四条第一款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对歌舞娱乐场所接纳未成年人的行政处罚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《娱乐场所管理条例》第四十八条第三项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eastAsiaTheme="minorEastAsia"/>
                <w:b w:val="0"/>
                <w:bCs w:val="0"/>
                <w:color w:val="000000"/>
                <w:spacing w:val="-6"/>
                <w:sz w:val="21"/>
                <w:lang w:val="en-US" w:eastAsia="zh-CN"/>
              </w:rPr>
              <w:t>对游艺娱乐场所设置的电子游戏机在国家法定节假日外向未成年人提供的行政处罚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对娱乐场所未按规定悬挂警示标志、未成年人禁入或者限入标志的行政处罚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《娱乐场所管理条例》第五十一条　 娱乐场所未按照本条例规定悬挂警示标志、未成年人禁入或者限入标志的，由县级人民政府文化主管部门、县级公安部门依据法定职权责令改正，给予警告。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对娱乐场所未在显著位置悬挂娱乐经营许可证，或者未成年人禁入（限入）标志未注明“12318”文化市场举报电话的行政处罚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1.《娱乐场所管理办法》第二十四条　娱乐场所应当在显著位置悬挂娱乐经营许可证、未成年人禁入或者限入标志，标志应当注明“12318”文化市场举报电话。</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第三十三条　娱乐场所违反本办法第二十四条规定的，由县级以上人民政府文化主管部门责令改正，予以警告。</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对未经许可生产、经营烟花爆竹制品的行政处罚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对未经许可经营、超许可范围经营、许可证过期继续经营烟花爆竹的行政处罚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《烟花爆竹经营许可实施办法》第三十一条　对未经许可经营、超许可范围经营、许可证过期继续经营烟花爆竹的，责令其停止非法经营活动，处2万元以上10万元以下的罚款，并没收非法经营的物品及违法所得。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对烟花爆竹零售经营者存放的烟花爆竹数量超过零售许可证载明范围的行政处罚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《烟花爆竹经营许可实施办法》第三十五条第二项　零售经营者有下列行为之一的，责令其限期改正，处1000元以上5000元以下的罚款；情节严重的，处5000元以上30000元以下的罚款：（二）存放的烟花爆竹数量超过零售许可证载明范围的。</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对生产经营单位未落实应急预案规定的应急物资及装备的行政处罚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《生产安全事故应急预案管理办法》第四十五条第一款第六项 　生产经营单位有下列情形之一的，由县级以上人民政府应急管理部门责令限期改正，可以处1万元以上3万元以下的罚款：（六）未落实应急预案规定的应急物资及装备的。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对擅自移动或者损毁古树名木保护牌以及保护设施的行政处罚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《四川省古树名木保护条例》第二十六条第三款　任何单位和个人不得擅自移动或者损毁古树名木保护牌以及保护设施。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对森林防火期内未经批准擅自在森林防火区内野外用火的行政处罚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对森林高火险期内未经批准擅自进入森林高火险区活动的行政处罚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《森林防火条例》第五十二条第三项　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对森林防火期内进入森林防火区的机动车辆未安装森林防火装置的行政处罚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《森林防火条例》第五十二条第二项　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对森林防火期内森林、林木、林地的经营单位未设置森林防火警示宣传标志的行政处罚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对森林防火区内的有关单位或者个人拒绝接受森林防火检查或者接到森林火灾隐患整改通知书逾期不消除火灾隐患的行政处罚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对森林、林木、林地的经营单位或者个人未履行森林防火责任的行政处罚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对破坏和侵占森林防火通道、标志、宣传碑（牌）、瞭望台（塔）、隔离带等设施设备的行政处罚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对森林防火期内携带火种和易燃易爆物品进入森林防火区或其他野外违规用火行为的行政处罚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对擅自移动或者破坏野生植物保护设施、保护标志的行政处罚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《四川省野生植物保护条例》第九条第三款　禁止破坏野生植物生长环境和野生植物保护小区、保护点的保护设施、保护标志。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对在幼林地砍柴、毁苗、放牧造成林木毁坏的行政处罚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青牛镇人民政府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青牛镇综合行政执法办公室（大队）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0839-6280300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rPr>
      </w:pPr>
    </w:p>
    <w:sectPr>
      <w:headerReference r:id="rId3" w:type="default"/>
      <w:footerReference r:id="rId4" w:type="default"/>
      <w:pgSz w:w="11906" w:h="16838"/>
      <w:pgMar w:top="192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w:t>
                    </w: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B4B69"/>
    <w:multiLevelType w:val="singleLevel"/>
    <w:tmpl w:val="A19B4B69"/>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OGZjNDhjNDcyYzk0NTgwNmYyZjEyN2VlMGVlNGUifQ=="/>
  </w:docVars>
  <w:rsids>
    <w:rsidRoot w:val="4FCF2539"/>
    <w:rsid w:val="02FD4BE5"/>
    <w:rsid w:val="04B3372F"/>
    <w:rsid w:val="05CC057F"/>
    <w:rsid w:val="05EA38A9"/>
    <w:rsid w:val="06CF11D3"/>
    <w:rsid w:val="084B110C"/>
    <w:rsid w:val="0D3D1A17"/>
    <w:rsid w:val="1019260E"/>
    <w:rsid w:val="163B669C"/>
    <w:rsid w:val="185868E2"/>
    <w:rsid w:val="19E33973"/>
    <w:rsid w:val="1A1E49AB"/>
    <w:rsid w:val="234019FF"/>
    <w:rsid w:val="262A7D54"/>
    <w:rsid w:val="333C7F24"/>
    <w:rsid w:val="38787C94"/>
    <w:rsid w:val="39EB40F6"/>
    <w:rsid w:val="3B2C4D22"/>
    <w:rsid w:val="3BAD71B4"/>
    <w:rsid w:val="3FB80581"/>
    <w:rsid w:val="40DF46EA"/>
    <w:rsid w:val="40E331E4"/>
    <w:rsid w:val="43B52F2F"/>
    <w:rsid w:val="45F51ACF"/>
    <w:rsid w:val="47A13DEF"/>
    <w:rsid w:val="480404E9"/>
    <w:rsid w:val="488D7E82"/>
    <w:rsid w:val="4FCF2539"/>
    <w:rsid w:val="58D565A1"/>
    <w:rsid w:val="59261FA4"/>
    <w:rsid w:val="5D9D44E0"/>
    <w:rsid w:val="60C5514D"/>
    <w:rsid w:val="67C45173"/>
    <w:rsid w:val="6BB23EF4"/>
    <w:rsid w:val="6EF249D7"/>
    <w:rsid w:val="712D5EEB"/>
    <w:rsid w:val="73141C92"/>
    <w:rsid w:val="77DA421D"/>
    <w:rsid w:val="7828228E"/>
    <w:rsid w:val="789E66B0"/>
    <w:rsid w:val="7A86430F"/>
    <w:rsid w:val="7F03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w:basedOn w:val="1"/>
    <w:next w:val="1"/>
    <w:qFormat/>
    <w:uiPriority w:val="1"/>
    <w:rPr>
      <w:rFonts w:ascii="仿宋_GB2312" w:hAnsi="仿宋_GB2312" w:eastAsia="仿宋_GB2312" w:cs="仿宋_GB2312"/>
      <w:sz w:val="32"/>
      <w:szCs w:val="32"/>
      <w:lang w:val="zh-CN" w:eastAsia="zh-CN" w:bidi="zh-CN"/>
    </w:r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ind w:firstLine="420" w:firstLineChars="200"/>
    </w:pPr>
  </w:style>
  <w:style w:type="paragraph" w:customStyle="1" w:styleId="11">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98136</Words>
  <Characters>100944</Characters>
  <Lines>0</Lines>
  <Paragraphs>0</Paragraphs>
  <TotalTime>0</TotalTime>
  <ScaleCrop>false</ScaleCrop>
  <LinksUpToDate>false</LinksUpToDate>
  <CharactersWithSpaces>101174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2021-07-02T00:56:00Z</dcterms:created>
  <dc:creator>薛静</dc:creator>
  <cp:lastModifiedBy>陈建隆</cp:lastModifiedBy>
  <dcterms:modified xsi:type="dcterms:W3CDTF">2023-01-07T12:52:32Z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EDEE0900DA954C6EA8283EA5FD30C458</vt:lpwstr>
  </property>
</Properties>
</file>