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77193"/>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96476"/>
      <w:bookmarkStart w:id="9" w:name="_Toc15377194"/>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广元市昭化区香溪乡人民政府</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rPr>
          <w:rFonts w:cstheme="minorBidi"/>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w:t>
      </w:r>
      <w:r>
        <w:rPr>
          <w:rStyle w:val="16"/>
          <w:rFonts w:hint="eastAsia"/>
          <w:lang w:eastAsia="zh-CN"/>
        </w:rPr>
        <w:t>2019</w:t>
      </w:r>
      <w:r>
        <w:rPr>
          <w:rStyle w:val="16"/>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jc w:val="left"/>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5"/>
          <w:rFonts w:ascii="黑体" w:hAnsi="黑体" w:eastAsia="黑体"/>
          <w:b/>
          <w:bCs w:val="0"/>
          <w:highlight w:val="none"/>
        </w:rPr>
      </w:pPr>
      <w:r>
        <w:rPr>
          <w:rFonts w:hint="eastAsia" w:ascii="黑体" w:hAnsi="黑体" w:eastAsia="黑体"/>
          <w:b w:val="0"/>
          <w:highlight w:val="none"/>
        </w:rPr>
        <w:t xml:space="preserve">第一部分 </w:t>
      </w:r>
      <w:r>
        <w:rPr>
          <w:rStyle w:val="25"/>
          <w:rFonts w:hint="eastAsia" w:ascii="黑体" w:hAnsi="黑体" w:eastAsia="黑体"/>
          <w:b w:val="0"/>
          <w:bCs w:val="0"/>
          <w:highlight w:val="none"/>
        </w:rPr>
        <w:t>部门概况</w:t>
      </w:r>
      <w:bookmarkEnd w:id="12"/>
      <w:bookmarkEnd w:id="13"/>
    </w:p>
    <w:p>
      <w:pPr>
        <w:widowControl/>
        <w:jc w:val="left"/>
        <w:rPr>
          <w:rFonts w:ascii="黑体" w:eastAsia="黑体"/>
          <w:color w:val="000000"/>
          <w:sz w:val="32"/>
          <w:szCs w:val="32"/>
          <w:highlight w:val="none"/>
        </w:rPr>
      </w:pPr>
    </w:p>
    <w:p>
      <w:pPr>
        <w:pStyle w:val="3"/>
        <w:numPr>
          <w:ilvl w:val="0"/>
          <w:numId w:val="1"/>
        </w:numPr>
        <w:ind w:firstLine="640" w:firstLineChars="200"/>
        <w:rPr>
          <w:rStyle w:val="26"/>
          <w:rFonts w:hint="eastAsia" w:ascii="黑体" w:hAnsi="黑体" w:eastAsia="黑体"/>
          <w:b w:val="0"/>
          <w:bCs w:val="0"/>
          <w:highlight w:val="none"/>
        </w:rPr>
      </w:pPr>
      <w:bookmarkStart w:id="14" w:name="_Toc15396600"/>
      <w:bookmarkStart w:id="15" w:name="_Toc15377197"/>
      <w:r>
        <w:rPr>
          <w:rFonts w:hint="eastAsia" w:ascii="黑体" w:hAnsi="黑体" w:eastAsia="黑体"/>
          <w:b w:val="0"/>
          <w:color w:val="000000"/>
          <w:highlight w:val="none"/>
        </w:rPr>
        <w:t>基</w:t>
      </w:r>
      <w:r>
        <w:rPr>
          <w:rStyle w:val="26"/>
          <w:rFonts w:hint="eastAsia" w:ascii="黑体" w:hAnsi="黑体" w:eastAsia="黑体"/>
          <w:b w:val="0"/>
          <w:bCs w:val="0"/>
          <w:highlight w:val="none"/>
        </w:rPr>
        <w:t>本职能及主要工作</w:t>
      </w:r>
      <w:bookmarkEnd w:id="14"/>
      <w:bookmarkEnd w:id="15"/>
      <w:bookmarkStart w:id="16" w:name="_Toc15377198"/>
      <w:bookmarkStart w:id="17" w:name="_Toc15378445"/>
    </w:p>
    <w:p>
      <w:pPr>
        <w:pStyle w:val="3"/>
        <w:numPr>
          <w:ilvl w:val="0"/>
          <w:numId w:val="0"/>
        </w:numPr>
        <w:ind w:firstLine="643" w:firstLineChars="200"/>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lang w:eastAsia="zh-CN"/>
        </w:rPr>
        <w:t>（一）</w:t>
      </w:r>
      <w:r>
        <w:rPr>
          <w:rFonts w:hint="eastAsia" w:ascii="仿宋" w:hAnsi="仿宋" w:eastAsia="仿宋"/>
          <w:bCs/>
          <w:color w:val="000000"/>
          <w:sz w:val="32"/>
          <w:szCs w:val="32"/>
          <w:highlight w:val="none"/>
        </w:rPr>
        <w:t>主要职能。</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rPr>
        <w:t>1.</w:t>
      </w:r>
      <w:r>
        <w:rPr>
          <w:rFonts w:hint="default" w:ascii="Times New Roman" w:hAnsi="Times New Roman" w:eastAsia="仿宋_GB2312" w:cs="Times New Roman"/>
          <w:sz w:val="32"/>
          <w:szCs w:val="32"/>
          <w:highlight w:val="none"/>
        </w:rPr>
        <w:t>制定和组织实施经济、科技和社会发展计划，制定资源开发技术改造和产业结构调整方案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组织指导好各业生产,搞好商品流通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协调好本</w:t>
      </w:r>
      <w:r>
        <w:rPr>
          <w:rFonts w:hint="default" w:ascii="Times New Roman" w:hAnsi="Times New Roman" w:eastAsia="仿宋_GB2312" w:cs="Times New Roman"/>
          <w:sz w:val="32"/>
          <w:szCs w:val="32"/>
          <w:highlight w:val="none"/>
          <w:lang w:eastAsia="zh-CN"/>
        </w:rPr>
        <w:t>办事处</w:t>
      </w:r>
      <w:r>
        <w:rPr>
          <w:rFonts w:hint="default" w:ascii="Times New Roman" w:hAnsi="Times New Roman" w:eastAsia="仿宋_GB2312" w:cs="Times New Roman"/>
          <w:sz w:val="32"/>
          <w:szCs w:val="32"/>
          <w:highlight w:val="none"/>
        </w:rPr>
        <w:t>与外地区的经济交流与合作</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抓好招商引资，人才引进项目开发,不断培育市场体系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组织经济运行,促进经济发展。</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rPr>
        <w:t>2.</w:t>
      </w:r>
      <w:r>
        <w:rPr>
          <w:rFonts w:hint="default" w:ascii="Times New Roman" w:hAnsi="Times New Roman" w:eastAsia="仿宋_GB2312" w:cs="Times New Roman"/>
          <w:sz w:val="32"/>
          <w:szCs w:val="32"/>
          <w:highlight w:val="none"/>
        </w:rPr>
        <w:t>制定并组织实施村</w:t>
      </w:r>
      <w:r>
        <w:rPr>
          <w:rFonts w:hint="eastAsia" w:eastAsia="仿宋_GB2312" w:cs="Times New Roman"/>
          <w:sz w:val="32"/>
          <w:szCs w:val="32"/>
          <w:highlight w:val="none"/>
          <w:lang w:eastAsia="zh-CN"/>
        </w:rPr>
        <w:t>乡</w:t>
      </w:r>
      <w:r>
        <w:rPr>
          <w:rFonts w:hint="default" w:ascii="Times New Roman" w:hAnsi="Times New Roman" w:eastAsia="仿宋_GB2312" w:cs="Times New Roman"/>
          <w:sz w:val="32"/>
          <w:szCs w:val="32"/>
          <w:highlight w:val="none"/>
        </w:rPr>
        <w:t>建设规划，部署重点工程建设，地方道路建设及公共设施，水利设施的管理，负责土地、林木、水等自然资源和生态环境的保护，做好护林防火工作。</w:t>
      </w:r>
    </w:p>
    <w:p>
      <w:pPr>
        <w:ind w:firstLine="640" w:firstLineChars="200"/>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rPr>
        <w:t>3.</w:t>
      </w:r>
      <w:r>
        <w:rPr>
          <w:rFonts w:hint="default" w:ascii="Times New Roman" w:hAnsi="Times New Roman" w:eastAsia="仿宋_GB2312" w:cs="Times New Roman"/>
          <w:sz w:val="32"/>
          <w:szCs w:val="32"/>
          <w:highlight w:val="none"/>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rPr>
        <w:t>4.</w:t>
      </w:r>
      <w:r>
        <w:rPr>
          <w:rFonts w:hint="default" w:ascii="Times New Roman" w:hAnsi="Times New Roman" w:eastAsia="仿宋_GB2312" w:cs="Times New Roman"/>
          <w:sz w:val="32"/>
          <w:szCs w:val="32"/>
          <w:highlight w:val="none"/>
        </w:rPr>
        <w:t>按计划组织本级财政收入和地方税的征收，完成国家财政计划，不断培植税源，管好财政资金，增强财政实力。</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rPr>
        <w:t>5.</w:t>
      </w:r>
      <w:r>
        <w:rPr>
          <w:rFonts w:hint="default" w:ascii="Times New Roman" w:hAnsi="Times New Roman" w:eastAsia="仿宋_GB2312" w:cs="Times New Roman"/>
          <w:sz w:val="32"/>
          <w:szCs w:val="32"/>
          <w:highlight w:val="none"/>
        </w:rPr>
        <w:t>抓好精神文明建设，丰富群众文化生活，提倡移风易俗，反对封建迷信，破除陈规陋习，树立社会主义新风尚。</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rPr>
        <w:t>6.</w:t>
      </w:r>
      <w:r>
        <w:rPr>
          <w:rFonts w:hint="default" w:ascii="Times New Roman" w:hAnsi="Times New Roman" w:eastAsia="仿宋_GB2312" w:cs="Times New Roman"/>
          <w:sz w:val="32"/>
          <w:szCs w:val="32"/>
          <w:highlight w:val="none"/>
        </w:rPr>
        <w:t>执行本级人民代表大会的决议和上级国家行政机关的决定和命令，发布决定和命令。</w:t>
      </w:r>
    </w:p>
    <w:p>
      <w:pPr>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lang w:val="en-US" w:eastAsia="zh-CN"/>
        </w:rPr>
        <w:t>7</w:t>
      </w:r>
      <w:r>
        <w:rPr>
          <w:rFonts w:eastAsia="仿宋_GB2312"/>
          <w:sz w:val="32"/>
          <w:szCs w:val="32"/>
          <w:highlight w:val="none"/>
        </w:rPr>
        <w:t>.</w:t>
      </w:r>
      <w:r>
        <w:rPr>
          <w:rFonts w:hint="eastAsia" w:eastAsia="仿宋_GB2312"/>
          <w:sz w:val="32"/>
          <w:szCs w:val="32"/>
          <w:highlight w:val="none"/>
        </w:rPr>
        <w:t>执行本行政区域内的经济和社会发展计划、预算。管理本行政区域内的经济、教育、科学、文化、卫生、体育事业和财政、民政、公安、司法行政、计划生育等行政工作。</w:t>
      </w:r>
    </w:p>
    <w:p>
      <w:pPr>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lang w:val="en-US" w:eastAsia="zh-CN"/>
        </w:rPr>
        <w:t>8</w:t>
      </w:r>
      <w:r>
        <w:rPr>
          <w:rFonts w:eastAsia="仿宋_GB2312"/>
          <w:sz w:val="32"/>
          <w:szCs w:val="32"/>
          <w:highlight w:val="none"/>
        </w:rPr>
        <w:t>.</w:t>
      </w:r>
      <w:r>
        <w:rPr>
          <w:rFonts w:hint="eastAsia" w:eastAsia="仿宋_GB2312"/>
          <w:sz w:val="32"/>
          <w:szCs w:val="32"/>
          <w:highlight w:val="none"/>
        </w:rPr>
        <w:t>保护好社会主义全民所有的财产和劳动群众集体所有财产，保护公民私有的合法财产，维护社会秩序，保障公民的人身权利、民主权利和其他权利。</w:t>
      </w:r>
    </w:p>
    <w:p>
      <w:pPr>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lang w:val="en-US" w:eastAsia="zh-CN"/>
        </w:rPr>
        <w:t>9</w:t>
      </w:r>
      <w:r>
        <w:rPr>
          <w:rFonts w:eastAsia="仿宋_GB2312"/>
          <w:sz w:val="32"/>
          <w:szCs w:val="32"/>
          <w:highlight w:val="none"/>
        </w:rPr>
        <w:t>.</w:t>
      </w:r>
      <w:r>
        <w:rPr>
          <w:rFonts w:hint="eastAsia" w:eastAsia="仿宋_GB2312"/>
          <w:sz w:val="32"/>
          <w:szCs w:val="32"/>
          <w:highlight w:val="none"/>
        </w:rPr>
        <w:t>保障农村集体经济组织应有的自主权。</w:t>
      </w:r>
    </w:p>
    <w:p>
      <w:pPr>
        <w:rPr>
          <w:rFonts w:eastAsia="仿宋_GB2312"/>
          <w:sz w:val="32"/>
          <w:szCs w:val="32"/>
          <w:highlight w:val="none"/>
        </w:rPr>
      </w:pPr>
      <w:r>
        <w:rPr>
          <w:rFonts w:eastAsia="仿宋_GB2312"/>
          <w:sz w:val="32"/>
          <w:szCs w:val="32"/>
          <w:highlight w:val="none"/>
        </w:rPr>
        <w:t xml:space="preserve">    </w:t>
      </w:r>
      <w:r>
        <w:rPr>
          <w:rFonts w:hint="eastAsia" w:eastAsia="仿宋_GB2312"/>
          <w:sz w:val="32"/>
          <w:szCs w:val="32"/>
          <w:highlight w:val="none"/>
          <w:lang w:val="en-US" w:eastAsia="zh-CN"/>
        </w:rPr>
        <w:t>10</w:t>
      </w:r>
      <w:r>
        <w:rPr>
          <w:rFonts w:eastAsia="仿宋_GB2312"/>
          <w:sz w:val="32"/>
          <w:szCs w:val="32"/>
          <w:highlight w:val="none"/>
        </w:rPr>
        <w:t>.</w:t>
      </w:r>
      <w:r>
        <w:rPr>
          <w:rFonts w:hint="eastAsia" w:eastAsia="仿宋_GB2312"/>
          <w:sz w:val="32"/>
          <w:szCs w:val="32"/>
          <w:highlight w:val="none"/>
        </w:rPr>
        <w:t>保障少数民族的权利和尊重少数民族的风俗习惯。</w:t>
      </w:r>
    </w:p>
    <w:p>
      <w:pPr>
        <w:keepNext w:val="0"/>
        <w:keepLines w:val="0"/>
        <w:pageBreakBefore w:val="0"/>
        <w:widowControl w:val="0"/>
        <w:kinsoku/>
        <w:wordWrap/>
        <w:overflowPunct/>
        <w:topLinePunct w:val="0"/>
        <w:autoSpaceDE/>
        <w:autoSpaceDN/>
        <w:bidi w:val="0"/>
        <w:textAlignment w:val="auto"/>
        <w:rPr>
          <w:rFonts w:eastAsia="仿宋_GB2312"/>
          <w:sz w:val="32"/>
          <w:szCs w:val="32"/>
          <w:highlight w:val="none"/>
        </w:rPr>
      </w:pPr>
      <w:r>
        <w:rPr>
          <w:rFonts w:eastAsia="仿宋_GB2312"/>
          <w:sz w:val="32"/>
          <w:szCs w:val="32"/>
          <w:highlight w:val="none"/>
        </w:rPr>
        <w:t xml:space="preserve">    1</w:t>
      </w:r>
      <w:r>
        <w:rPr>
          <w:rFonts w:hint="eastAsia" w:eastAsia="仿宋_GB2312"/>
          <w:sz w:val="32"/>
          <w:szCs w:val="32"/>
          <w:highlight w:val="none"/>
          <w:lang w:val="en-US" w:eastAsia="zh-CN"/>
        </w:rPr>
        <w:t>1</w:t>
      </w:r>
      <w:r>
        <w:rPr>
          <w:rFonts w:eastAsia="仿宋_GB2312"/>
          <w:sz w:val="32"/>
          <w:szCs w:val="32"/>
          <w:highlight w:val="none"/>
        </w:rPr>
        <w:t>.</w:t>
      </w:r>
      <w:r>
        <w:rPr>
          <w:rFonts w:hint="eastAsia" w:eastAsia="仿宋_GB2312"/>
          <w:sz w:val="32"/>
          <w:szCs w:val="32"/>
          <w:highlight w:val="none"/>
        </w:rPr>
        <w:t>保障宪法和法律赋予妇女的男女平等、同工同酬和婚姻自由平等各项权利。</w:t>
      </w:r>
    </w:p>
    <w:p>
      <w:pPr>
        <w:pStyle w:val="5"/>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highlight w:val="none"/>
        </w:rPr>
      </w:pPr>
      <w:r>
        <w:rPr>
          <w:rFonts w:hint="default" w:ascii="Times New Roman" w:cs="Times New Roman"/>
          <w:sz w:val="32"/>
          <w:szCs w:val="32"/>
          <w:highlight w:val="none"/>
          <w:lang w:val="en-US"/>
        </w:rPr>
        <w:t>1</w:t>
      </w:r>
      <w:r>
        <w:rPr>
          <w:rFonts w:hint="eastAsia" w:ascii="Times New Roman" w:cs="Times New Roman"/>
          <w:sz w:val="32"/>
          <w:szCs w:val="32"/>
          <w:highlight w:val="none"/>
          <w:lang w:val="en-US" w:eastAsia="zh-CN"/>
        </w:rPr>
        <w:t>2</w:t>
      </w:r>
      <w:r>
        <w:rPr>
          <w:rFonts w:hint="default" w:ascii="Times New Roman" w:cs="Times New Roman"/>
          <w:sz w:val="32"/>
          <w:szCs w:val="32"/>
          <w:highlight w:val="none"/>
          <w:lang w:val="en-US"/>
        </w:rPr>
        <w:t>.</w:t>
      </w:r>
      <w:r>
        <w:rPr>
          <w:rFonts w:hint="default" w:ascii="Times New Roman" w:hAnsi="Times New Roman" w:eastAsia="仿宋_GB2312" w:cs="Times New Roman"/>
          <w:sz w:val="32"/>
          <w:szCs w:val="32"/>
          <w:highlight w:val="none"/>
        </w:rPr>
        <w:t>完成和办理上级人民政府交办的其他事项。</w:t>
      </w:r>
    </w:p>
    <w:bookmarkEnd w:id="16"/>
    <w:bookmarkEnd w:id="17"/>
    <w:p>
      <w:pPr>
        <w:keepNext w:val="0"/>
        <w:keepLines w:val="0"/>
        <w:pageBreakBefore w:val="0"/>
        <w:numPr>
          <w:ilvl w:val="0"/>
          <w:numId w:val="0"/>
        </w:numPr>
        <w:kinsoku/>
        <w:wordWrap/>
        <w:overflowPunct/>
        <w:topLinePunct w:val="0"/>
        <w:bidi w:val="0"/>
        <w:snapToGrid/>
        <w:spacing w:line="576" w:lineRule="exact"/>
        <w:ind w:left="0" w:leftChars="0" w:firstLine="640" w:firstLineChars="200"/>
        <w:jc w:val="both"/>
        <w:textAlignment w:val="auto"/>
        <w:outlineLvl w:val="9"/>
        <w:rPr>
          <w:rFonts w:hint="eastAsia" w:ascii="仿宋" w:hAnsi="仿宋" w:eastAsia="仿宋"/>
          <w:bCs/>
          <w:color w:val="000000"/>
          <w:sz w:val="32"/>
          <w:szCs w:val="32"/>
          <w:highlight w:val="none"/>
        </w:rPr>
      </w:pPr>
      <w:bookmarkStart w:id="18" w:name="_Toc15378446"/>
      <w:bookmarkStart w:id="19" w:name="_Toc15377199"/>
      <w:r>
        <w:rPr>
          <w:rFonts w:hint="eastAsia" w:ascii="仿宋" w:hAnsi="仿宋" w:eastAsia="仿宋"/>
          <w:bCs/>
          <w:color w:val="000000"/>
          <w:sz w:val="32"/>
          <w:szCs w:val="32"/>
          <w:highlight w:val="none"/>
        </w:rPr>
        <w:t>（二）</w:t>
      </w:r>
      <w:r>
        <w:rPr>
          <w:rFonts w:ascii="仿宋" w:hAnsi="仿宋" w:eastAsia="仿宋"/>
          <w:bCs/>
          <w:color w:val="000000"/>
          <w:sz w:val="32"/>
          <w:szCs w:val="32"/>
          <w:highlight w:val="none"/>
        </w:rPr>
        <w:t>201</w:t>
      </w:r>
      <w:r>
        <w:rPr>
          <w:rFonts w:hint="eastAsia" w:ascii="仿宋" w:hAnsi="仿宋" w:eastAsia="仿宋"/>
          <w:bCs/>
          <w:color w:val="000000"/>
          <w:sz w:val="32"/>
          <w:szCs w:val="32"/>
          <w:highlight w:val="none"/>
          <w:lang w:val="en-US" w:eastAsia="zh-CN"/>
        </w:rPr>
        <w:t>9</w:t>
      </w:r>
      <w:r>
        <w:rPr>
          <w:rFonts w:hint="eastAsia" w:ascii="仿宋" w:hAnsi="仿宋" w:eastAsia="仿宋"/>
          <w:bCs/>
          <w:color w:val="000000"/>
          <w:sz w:val="32"/>
          <w:szCs w:val="32"/>
          <w:highlight w:val="none"/>
        </w:rPr>
        <w:t>年重点工作完成情况。</w:t>
      </w:r>
      <w:bookmarkEnd w:id="18"/>
      <w:bookmarkEnd w:id="19"/>
    </w:p>
    <w:p>
      <w:pPr>
        <w:keepNext w:val="0"/>
        <w:keepLines w:val="0"/>
        <w:pageBreakBefore w:val="0"/>
        <w:numPr>
          <w:ilvl w:val="0"/>
          <w:numId w:val="0"/>
        </w:numPr>
        <w:kinsoku/>
        <w:wordWrap/>
        <w:overflowPunct/>
        <w:topLinePunct w:val="0"/>
        <w:bidi w:val="0"/>
        <w:snapToGrid/>
        <w:spacing w:line="576" w:lineRule="exact"/>
        <w:ind w:left="0" w:leftChars="0" w:firstLine="640" w:firstLineChars="200"/>
        <w:jc w:val="both"/>
        <w:textAlignment w:val="auto"/>
        <w:outlineLvl w:val="9"/>
        <w:rPr>
          <w:rFonts w:ascii="Times New Roman"/>
          <w:kern w:val="2"/>
          <w:sz w:val="32"/>
          <w:szCs w:val="32"/>
          <w:highlight w:val="none"/>
        </w:rPr>
      </w:pPr>
      <w:r>
        <w:rPr>
          <w:rFonts w:hint="eastAsia" w:ascii="楷体" w:hAnsi="楷体" w:eastAsia="楷体" w:cs="楷体"/>
          <w:b w:val="0"/>
          <w:bCs w:val="0"/>
          <w:color w:val="000000"/>
          <w:sz w:val="32"/>
          <w:szCs w:val="32"/>
          <w:highlight w:val="none"/>
          <w:lang w:val="en-US" w:eastAsia="zh-CN"/>
        </w:rPr>
        <w:t>2019年，</w:t>
      </w:r>
      <w:r>
        <w:rPr>
          <w:rFonts w:hint="eastAsia" w:ascii="楷体" w:hAnsi="楷体" w:eastAsia="楷体" w:cs="楷体"/>
          <w:b w:val="0"/>
          <w:bCs w:val="0"/>
          <w:color w:val="000000"/>
          <w:sz w:val="32"/>
          <w:szCs w:val="32"/>
          <w:highlight w:val="none"/>
          <w:lang w:eastAsia="zh-CN"/>
        </w:rPr>
        <w:t>香溪</w:t>
      </w:r>
      <w:r>
        <w:rPr>
          <w:rFonts w:hint="eastAsia" w:ascii="仿宋" w:hAnsi="仿宋" w:eastAsia="仿宋" w:cs="仿宋"/>
          <w:b w:val="0"/>
          <w:bCs w:val="0"/>
          <w:color w:val="000000"/>
          <w:sz w:val="32"/>
          <w:szCs w:val="32"/>
          <w:highlight w:val="none"/>
          <w:lang w:eastAsia="zh-CN"/>
        </w:rPr>
        <w:t>乡严格按照预算法规定的各项预算收支完成了当年的各项预算收支任务。</w:t>
      </w:r>
      <w:r>
        <w:rPr>
          <w:rFonts w:hint="eastAsia" w:ascii="Times New Roman"/>
          <w:kern w:val="2"/>
          <w:sz w:val="32"/>
          <w:szCs w:val="32"/>
          <w:highlight w:val="none"/>
        </w:rPr>
        <w:t>全</w:t>
      </w:r>
      <w:r>
        <w:rPr>
          <w:rFonts w:hint="eastAsia" w:ascii="Times New Roman"/>
          <w:kern w:val="2"/>
          <w:sz w:val="32"/>
          <w:szCs w:val="32"/>
          <w:highlight w:val="none"/>
          <w:lang w:eastAsia="zh-CN"/>
        </w:rPr>
        <w:t>乡</w:t>
      </w:r>
      <w:r>
        <w:rPr>
          <w:rFonts w:hint="eastAsia" w:ascii="Times New Roman"/>
          <w:kern w:val="2"/>
          <w:sz w:val="32"/>
          <w:szCs w:val="32"/>
          <w:highlight w:val="none"/>
        </w:rPr>
        <w:t>农民人均纯收入</w:t>
      </w:r>
      <w:r>
        <w:rPr>
          <w:rFonts w:hint="eastAsia"/>
          <w:kern w:val="2"/>
          <w:sz w:val="32"/>
          <w:szCs w:val="32"/>
          <w:highlight w:val="none"/>
          <w:lang w:eastAsia="zh-CN"/>
        </w:rPr>
        <w:t>稳中有增</w:t>
      </w:r>
      <w:r>
        <w:rPr>
          <w:rFonts w:hint="eastAsia" w:ascii="Times New Roman"/>
          <w:kern w:val="2"/>
          <w:sz w:val="32"/>
          <w:szCs w:val="32"/>
          <w:highlight w:val="none"/>
        </w:rPr>
        <w:t>。全面完成协税护税任务</w:t>
      </w:r>
      <w:r>
        <w:rPr>
          <w:rFonts w:hint="eastAsia" w:ascii="Times New Roman"/>
          <w:kern w:val="2"/>
          <w:sz w:val="32"/>
          <w:szCs w:val="32"/>
          <w:highlight w:val="none"/>
          <w:lang w:eastAsia="zh-CN"/>
        </w:rPr>
        <w:t>，</w:t>
      </w:r>
      <w:r>
        <w:rPr>
          <w:rFonts w:hint="eastAsia"/>
          <w:kern w:val="2"/>
          <w:sz w:val="32"/>
          <w:szCs w:val="32"/>
          <w:highlight w:val="none"/>
          <w:lang w:eastAsia="zh-CN"/>
        </w:rPr>
        <w:t>无新增</w:t>
      </w:r>
      <w:r>
        <w:rPr>
          <w:rFonts w:hint="eastAsia" w:ascii="Times New Roman"/>
          <w:kern w:val="2"/>
          <w:sz w:val="32"/>
          <w:szCs w:val="32"/>
          <w:highlight w:val="none"/>
          <w:lang w:eastAsia="zh-CN"/>
        </w:rPr>
        <w:t>债务</w:t>
      </w:r>
      <w:r>
        <w:rPr>
          <w:rFonts w:hint="eastAsia" w:ascii="Times New Roman"/>
          <w:kern w:val="2"/>
          <w:sz w:val="32"/>
          <w:szCs w:val="32"/>
          <w:highlight w:val="none"/>
        </w:rPr>
        <w:t>。</w:t>
      </w:r>
    </w:p>
    <w:p>
      <w:pPr>
        <w:pStyle w:val="5"/>
        <w:adjustRightInd w:val="0"/>
        <w:snapToGrid w:val="0"/>
        <w:spacing w:before="93" w:line="600" w:lineRule="exact"/>
        <w:ind w:firstLine="675" w:firstLineChars="210"/>
        <w:outlineLvl w:val="2"/>
        <w:rPr>
          <w:rFonts w:hint="eastAsia" w:ascii="Times New Roman"/>
          <w:b/>
          <w:bCs/>
          <w:kern w:val="2"/>
          <w:sz w:val="32"/>
          <w:szCs w:val="32"/>
          <w:highlight w:val="none"/>
          <w:lang w:val="en-US" w:eastAsia="zh-CN"/>
        </w:rPr>
      </w:pPr>
      <w:r>
        <w:rPr>
          <w:rFonts w:hint="eastAsia" w:ascii="Times New Roman"/>
          <w:b/>
          <w:bCs/>
          <w:kern w:val="2"/>
          <w:sz w:val="32"/>
          <w:szCs w:val="32"/>
          <w:highlight w:val="none"/>
          <w:lang w:val="en-US" w:eastAsia="zh-CN"/>
        </w:rPr>
        <w:t>1</w:t>
      </w:r>
      <w:r>
        <w:rPr>
          <w:rFonts w:hint="eastAsia" w:ascii="Times New Roman"/>
          <w:b/>
          <w:bCs/>
          <w:kern w:val="2"/>
          <w:sz w:val="32"/>
          <w:szCs w:val="32"/>
          <w:highlight w:val="none"/>
          <w:lang w:eastAsia="zh-CN"/>
        </w:rPr>
        <w:t>、</w:t>
      </w:r>
      <w:r>
        <w:rPr>
          <w:rFonts w:hint="eastAsia" w:ascii="Times New Roman"/>
          <w:b/>
          <w:bCs/>
          <w:kern w:val="2"/>
          <w:sz w:val="32"/>
          <w:szCs w:val="32"/>
          <w:highlight w:val="none"/>
        </w:rPr>
        <w:t>重点项目建设成效显著。</w:t>
      </w:r>
      <w:r>
        <w:rPr>
          <w:rFonts w:hint="eastAsia" w:ascii="Times New Roman"/>
          <w:b w:val="0"/>
          <w:bCs w:val="0"/>
          <w:kern w:val="2"/>
          <w:sz w:val="32"/>
          <w:szCs w:val="32"/>
          <w:highlight w:val="none"/>
          <w:lang w:val="en-US" w:eastAsia="zh-CN"/>
        </w:rPr>
        <w:t>2019年</w:t>
      </w:r>
      <w:r>
        <w:rPr>
          <w:rFonts w:hint="eastAsia" w:ascii="Times New Roman"/>
          <w:b/>
          <w:bCs/>
          <w:kern w:val="2"/>
          <w:sz w:val="32"/>
          <w:szCs w:val="32"/>
          <w:highlight w:val="none"/>
          <w:lang w:val="en-US" w:eastAsia="zh-CN"/>
        </w:rPr>
        <w:t>，</w:t>
      </w:r>
      <w:r>
        <w:rPr>
          <w:rFonts w:hint="eastAsia" w:ascii="楷体_GB2312" w:eastAsia="楷体_GB2312"/>
          <w:sz w:val="32"/>
          <w:szCs w:val="32"/>
          <w:highlight w:val="none"/>
          <w:lang w:eastAsia="zh-CN"/>
        </w:rPr>
        <w:t>乡人民政府</w:t>
      </w:r>
      <w:r>
        <w:rPr>
          <w:rFonts w:hint="eastAsia" w:ascii="楷体_GB2312" w:eastAsia="楷体_GB2312"/>
          <w:sz w:val="32"/>
          <w:szCs w:val="32"/>
          <w:highlight w:val="none"/>
        </w:rPr>
        <w:t>狠抓</w:t>
      </w:r>
      <w:r>
        <w:rPr>
          <w:rFonts w:hint="eastAsia" w:ascii="楷体_GB2312" w:eastAsia="楷体_GB2312"/>
          <w:sz w:val="32"/>
          <w:szCs w:val="32"/>
          <w:highlight w:val="none"/>
          <w:lang w:eastAsia="zh-CN"/>
        </w:rPr>
        <w:t>项目</w:t>
      </w:r>
      <w:r>
        <w:rPr>
          <w:rFonts w:hint="eastAsia" w:ascii="楷体_GB2312" w:eastAsia="楷体_GB2312"/>
          <w:sz w:val="32"/>
          <w:szCs w:val="32"/>
          <w:highlight w:val="none"/>
        </w:rPr>
        <w:t>资金争取工作，结合上级财政资金投向，积极申报项目，加大</w:t>
      </w:r>
      <w:r>
        <w:rPr>
          <w:rFonts w:hint="eastAsia" w:ascii="楷体_GB2312" w:eastAsia="楷体_GB2312"/>
          <w:sz w:val="32"/>
          <w:szCs w:val="32"/>
          <w:highlight w:val="none"/>
          <w:lang w:eastAsia="zh-CN"/>
        </w:rPr>
        <w:t>水利、道路等</w:t>
      </w:r>
      <w:r>
        <w:rPr>
          <w:rFonts w:hint="eastAsia" w:ascii="楷体_GB2312" w:eastAsia="楷体_GB2312"/>
          <w:sz w:val="32"/>
          <w:szCs w:val="32"/>
          <w:highlight w:val="none"/>
        </w:rPr>
        <w:t>民生项目投入；</w:t>
      </w:r>
      <w:r>
        <w:rPr>
          <w:rFonts w:hint="eastAsia" w:ascii="楷体_GB2312" w:eastAsia="楷体_GB2312"/>
          <w:sz w:val="32"/>
          <w:szCs w:val="32"/>
          <w:highlight w:val="none"/>
          <w:lang w:eastAsia="zh-CN"/>
        </w:rPr>
        <w:t>切实加强</w:t>
      </w:r>
      <w:r>
        <w:rPr>
          <w:rFonts w:hint="eastAsia" w:ascii="楷体_GB2312" w:eastAsia="楷体_GB2312"/>
          <w:sz w:val="32"/>
          <w:szCs w:val="32"/>
          <w:highlight w:val="none"/>
        </w:rPr>
        <w:t>项目监督检查，严格按工程进度付款，并跟踪问效，提高资金的使用效益。</w:t>
      </w:r>
    </w:p>
    <w:p>
      <w:pPr>
        <w:pStyle w:val="5"/>
        <w:adjustRightInd w:val="0"/>
        <w:snapToGrid w:val="0"/>
        <w:spacing w:before="93" w:line="600" w:lineRule="exact"/>
        <w:ind w:firstLine="675" w:firstLineChars="210"/>
        <w:outlineLvl w:val="2"/>
        <w:rPr>
          <w:rFonts w:ascii="Times New Roman"/>
          <w:kern w:val="2"/>
          <w:sz w:val="32"/>
          <w:szCs w:val="32"/>
          <w:highlight w:val="none"/>
        </w:rPr>
      </w:pPr>
      <w:r>
        <w:rPr>
          <w:rFonts w:hint="eastAsia" w:ascii="Times New Roman"/>
          <w:b/>
          <w:bCs/>
          <w:kern w:val="2"/>
          <w:sz w:val="32"/>
          <w:szCs w:val="32"/>
          <w:highlight w:val="none"/>
          <w:lang w:val="en-US" w:eastAsia="zh-CN"/>
        </w:rPr>
        <w:t>2、</w:t>
      </w:r>
      <w:r>
        <w:rPr>
          <w:rFonts w:hint="eastAsia" w:ascii="Times New Roman"/>
          <w:b/>
          <w:bCs/>
          <w:kern w:val="2"/>
          <w:sz w:val="32"/>
          <w:szCs w:val="32"/>
          <w:highlight w:val="none"/>
        </w:rPr>
        <w:t>脱贫攻坚</w:t>
      </w:r>
      <w:r>
        <w:rPr>
          <w:rFonts w:hint="eastAsia" w:ascii="Times New Roman"/>
          <w:b/>
          <w:bCs/>
          <w:kern w:val="2"/>
          <w:sz w:val="32"/>
          <w:szCs w:val="32"/>
          <w:highlight w:val="none"/>
          <w:lang w:eastAsia="zh-CN"/>
        </w:rPr>
        <w:t>工作全面推进</w:t>
      </w:r>
      <w:r>
        <w:rPr>
          <w:rFonts w:hint="eastAsia" w:ascii="Times New Roman"/>
          <w:b/>
          <w:bCs/>
          <w:kern w:val="2"/>
          <w:sz w:val="32"/>
          <w:szCs w:val="32"/>
          <w:highlight w:val="none"/>
        </w:rPr>
        <w:t>。</w:t>
      </w:r>
      <w:r>
        <w:rPr>
          <w:rFonts w:hint="eastAsia" w:ascii="Times New Roman"/>
          <w:kern w:val="2"/>
          <w:sz w:val="32"/>
          <w:szCs w:val="32"/>
          <w:highlight w:val="none"/>
        </w:rPr>
        <w:t>扎实开展“回头看”进一步精准识别，对全</w:t>
      </w:r>
      <w:r>
        <w:rPr>
          <w:rFonts w:hint="eastAsia" w:ascii="Times New Roman"/>
          <w:kern w:val="2"/>
          <w:sz w:val="32"/>
          <w:szCs w:val="32"/>
          <w:highlight w:val="none"/>
          <w:lang w:eastAsia="zh-CN"/>
        </w:rPr>
        <w:t>乡</w:t>
      </w:r>
      <w:r>
        <w:rPr>
          <w:rFonts w:hint="eastAsia" w:ascii="Times New Roman"/>
          <w:kern w:val="2"/>
          <w:sz w:val="32"/>
          <w:szCs w:val="32"/>
          <w:highlight w:val="none"/>
          <w:lang w:val="en-US" w:eastAsia="zh-CN"/>
        </w:rPr>
        <w:t>211</w:t>
      </w:r>
      <w:r>
        <w:rPr>
          <w:rFonts w:hint="eastAsia" w:ascii="Times New Roman"/>
          <w:kern w:val="2"/>
          <w:sz w:val="32"/>
          <w:szCs w:val="32"/>
          <w:highlight w:val="none"/>
        </w:rPr>
        <w:t>户</w:t>
      </w:r>
      <w:r>
        <w:rPr>
          <w:rFonts w:hint="eastAsia" w:ascii="Times New Roman"/>
          <w:kern w:val="2"/>
          <w:sz w:val="32"/>
          <w:szCs w:val="32"/>
          <w:highlight w:val="none"/>
          <w:lang w:val="en-US" w:eastAsia="zh-CN"/>
        </w:rPr>
        <w:t>686</w:t>
      </w:r>
      <w:r>
        <w:rPr>
          <w:rFonts w:hint="eastAsia" w:ascii="Times New Roman"/>
          <w:kern w:val="2"/>
          <w:sz w:val="32"/>
          <w:szCs w:val="32"/>
          <w:highlight w:val="none"/>
        </w:rPr>
        <w:t>人贫困人口进行全面走访，根据省市反馈的问题进行全面核实、分类处置。</w:t>
      </w:r>
    </w:p>
    <w:p>
      <w:pPr>
        <w:pStyle w:val="5"/>
        <w:adjustRightInd w:val="0"/>
        <w:snapToGrid w:val="0"/>
        <w:spacing w:before="93" w:line="600" w:lineRule="exact"/>
        <w:ind w:firstLine="675" w:firstLineChars="210"/>
        <w:outlineLvl w:val="2"/>
        <w:rPr>
          <w:rFonts w:ascii="Times New Roman"/>
          <w:kern w:val="2"/>
          <w:sz w:val="32"/>
          <w:szCs w:val="32"/>
          <w:highlight w:val="none"/>
        </w:rPr>
      </w:pPr>
      <w:r>
        <w:rPr>
          <w:rFonts w:ascii="Times New Roman"/>
          <w:b/>
          <w:bCs/>
          <w:kern w:val="2"/>
          <w:sz w:val="32"/>
          <w:szCs w:val="32"/>
          <w:highlight w:val="none"/>
        </w:rPr>
        <w:t>3</w:t>
      </w:r>
      <w:r>
        <w:rPr>
          <w:rFonts w:hint="eastAsia" w:ascii="Times New Roman"/>
          <w:b/>
          <w:bCs/>
          <w:kern w:val="2"/>
          <w:sz w:val="32"/>
          <w:szCs w:val="32"/>
          <w:highlight w:val="none"/>
          <w:lang w:eastAsia="zh-CN"/>
        </w:rPr>
        <w:t>、</w:t>
      </w:r>
      <w:r>
        <w:rPr>
          <w:rFonts w:hint="eastAsia" w:ascii="Times New Roman"/>
          <w:b/>
          <w:bCs/>
          <w:kern w:val="2"/>
          <w:sz w:val="32"/>
          <w:szCs w:val="32"/>
          <w:highlight w:val="none"/>
        </w:rPr>
        <w:t>农村</w:t>
      </w:r>
      <w:r>
        <w:rPr>
          <w:rFonts w:hint="eastAsia" w:ascii="Times New Roman"/>
          <w:b/>
          <w:bCs/>
          <w:kern w:val="2"/>
          <w:sz w:val="32"/>
          <w:szCs w:val="32"/>
          <w:highlight w:val="none"/>
          <w:lang w:eastAsia="zh-CN"/>
        </w:rPr>
        <w:t>经济</w:t>
      </w:r>
      <w:r>
        <w:rPr>
          <w:rFonts w:hint="eastAsia" w:ascii="Times New Roman"/>
          <w:b/>
          <w:bCs/>
          <w:kern w:val="2"/>
          <w:sz w:val="32"/>
          <w:szCs w:val="32"/>
          <w:highlight w:val="none"/>
        </w:rPr>
        <w:t>工作稳定有序。</w:t>
      </w:r>
      <w:r>
        <w:rPr>
          <w:rFonts w:hint="eastAsia" w:ascii="Times New Roman"/>
          <w:kern w:val="2"/>
          <w:sz w:val="32"/>
          <w:szCs w:val="32"/>
          <w:highlight w:val="none"/>
        </w:rPr>
        <w:t>全年粮</w:t>
      </w:r>
      <w:r>
        <w:rPr>
          <w:rFonts w:hint="eastAsia" w:ascii="Times New Roman"/>
          <w:kern w:val="2"/>
          <w:sz w:val="32"/>
          <w:szCs w:val="32"/>
          <w:highlight w:val="none"/>
          <w:lang w:eastAsia="zh-CN"/>
        </w:rPr>
        <w:t>油</w:t>
      </w:r>
      <w:r>
        <w:rPr>
          <w:rFonts w:hint="eastAsia" w:ascii="Times New Roman"/>
          <w:kern w:val="2"/>
          <w:sz w:val="32"/>
          <w:szCs w:val="32"/>
          <w:highlight w:val="none"/>
        </w:rPr>
        <w:t>产量与上年</w:t>
      </w:r>
      <w:r>
        <w:rPr>
          <w:rFonts w:hint="eastAsia" w:ascii="Times New Roman"/>
          <w:kern w:val="2"/>
          <w:sz w:val="32"/>
          <w:szCs w:val="32"/>
          <w:highlight w:val="none"/>
          <w:lang w:eastAsia="zh-CN"/>
        </w:rPr>
        <w:t>基本</w:t>
      </w:r>
      <w:r>
        <w:rPr>
          <w:rFonts w:hint="eastAsia" w:ascii="Times New Roman"/>
          <w:kern w:val="2"/>
          <w:sz w:val="32"/>
          <w:szCs w:val="32"/>
          <w:highlight w:val="none"/>
        </w:rPr>
        <w:t>持平。特色</w:t>
      </w:r>
      <w:r>
        <w:rPr>
          <w:rFonts w:hint="eastAsia" w:ascii="Times New Roman"/>
          <w:kern w:val="2"/>
          <w:sz w:val="32"/>
          <w:szCs w:val="32"/>
          <w:highlight w:val="none"/>
          <w:lang w:eastAsia="zh-CN"/>
        </w:rPr>
        <w:t>小水果</w:t>
      </w:r>
      <w:r>
        <w:rPr>
          <w:rFonts w:hint="eastAsia" w:ascii="Times New Roman"/>
          <w:kern w:val="2"/>
          <w:sz w:val="32"/>
          <w:szCs w:val="32"/>
          <w:highlight w:val="none"/>
        </w:rPr>
        <w:t>支柱地位得到巩固和提升。建成</w:t>
      </w:r>
      <w:r>
        <w:rPr>
          <w:rFonts w:hint="eastAsia" w:ascii="Times New Roman"/>
          <w:kern w:val="2"/>
          <w:sz w:val="32"/>
          <w:szCs w:val="32"/>
          <w:highlight w:val="none"/>
          <w:lang w:eastAsia="zh-CN"/>
        </w:rPr>
        <w:t>脆桃、耙耙柑</w:t>
      </w:r>
      <w:r>
        <w:rPr>
          <w:rFonts w:hint="eastAsia" w:ascii="Times New Roman"/>
          <w:kern w:val="2"/>
          <w:sz w:val="32"/>
          <w:szCs w:val="32"/>
          <w:highlight w:val="none"/>
        </w:rPr>
        <w:t>、</w:t>
      </w:r>
      <w:r>
        <w:rPr>
          <w:rFonts w:hint="eastAsia" w:ascii="Times New Roman"/>
          <w:kern w:val="2"/>
          <w:sz w:val="32"/>
          <w:szCs w:val="32"/>
          <w:highlight w:val="none"/>
          <w:lang w:eastAsia="zh-CN"/>
        </w:rPr>
        <w:t>桑椹等为主的产业园</w:t>
      </w:r>
      <w:r>
        <w:rPr>
          <w:rFonts w:hint="eastAsia" w:ascii="Times New Roman"/>
          <w:kern w:val="2"/>
          <w:sz w:val="32"/>
          <w:szCs w:val="32"/>
          <w:highlight w:val="none"/>
          <w:lang w:val="en-US" w:eastAsia="zh-CN"/>
        </w:rPr>
        <w:t>3个</w:t>
      </w:r>
      <w:r>
        <w:rPr>
          <w:rFonts w:hint="eastAsia" w:ascii="Times New Roman"/>
          <w:kern w:val="2"/>
          <w:sz w:val="32"/>
          <w:szCs w:val="32"/>
          <w:highlight w:val="none"/>
        </w:rPr>
        <w:t>。畜牧业</w:t>
      </w:r>
      <w:r>
        <w:rPr>
          <w:rFonts w:hint="eastAsia" w:ascii="Times New Roman"/>
          <w:kern w:val="2"/>
          <w:sz w:val="32"/>
          <w:szCs w:val="32"/>
          <w:highlight w:val="none"/>
          <w:lang w:eastAsia="zh-CN"/>
        </w:rPr>
        <w:t>受疫情影响略有下降</w:t>
      </w:r>
      <w:r>
        <w:rPr>
          <w:rFonts w:hint="eastAsia" w:ascii="Times New Roman"/>
          <w:kern w:val="2"/>
          <w:sz w:val="32"/>
          <w:szCs w:val="32"/>
          <w:highlight w:val="none"/>
        </w:rPr>
        <w:t>，积极推进农产品质量安全工作，全年无重大农（畜）产品质量安全事故发生。常年转移劳动力</w:t>
      </w:r>
      <w:r>
        <w:rPr>
          <w:rFonts w:hint="eastAsia" w:ascii="Times New Roman"/>
          <w:kern w:val="2"/>
          <w:sz w:val="32"/>
          <w:szCs w:val="32"/>
          <w:highlight w:val="none"/>
          <w:lang w:val="en-US" w:eastAsia="zh-CN"/>
        </w:rPr>
        <w:t>2020</w:t>
      </w:r>
      <w:r>
        <w:rPr>
          <w:rFonts w:hint="eastAsia" w:ascii="Times New Roman"/>
          <w:kern w:val="2"/>
          <w:sz w:val="32"/>
          <w:szCs w:val="32"/>
          <w:highlight w:val="none"/>
        </w:rPr>
        <w:t>人，实现年劳务收入</w:t>
      </w:r>
      <w:r>
        <w:rPr>
          <w:rFonts w:hint="eastAsia" w:ascii="Times New Roman"/>
          <w:kern w:val="2"/>
          <w:sz w:val="32"/>
          <w:szCs w:val="32"/>
          <w:highlight w:val="none"/>
          <w:lang w:val="en-US" w:eastAsia="zh-CN"/>
        </w:rPr>
        <w:t>4200万</w:t>
      </w:r>
      <w:r>
        <w:rPr>
          <w:rFonts w:hint="eastAsia" w:ascii="Times New Roman"/>
          <w:kern w:val="2"/>
          <w:sz w:val="32"/>
          <w:szCs w:val="32"/>
          <w:highlight w:val="none"/>
        </w:rPr>
        <w:t>元。</w:t>
      </w:r>
    </w:p>
    <w:p>
      <w:pPr>
        <w:pStyle w:val="5"/>
        <w:adjustRightInd w:val="0"/>
        <w:snapToGrid w:val="0"/>
        <w:spacing w:before="93" w:line="600" w:lineRule="exact"/>
        <w:ind w:firstLine="675" w:firstLineChars="210"/>
        <w:outlineLvl w:val="2"/>
        <w:rPr>
          <w:rFonts w:hint="eastAsia" w:ascii="Times New Roman"/>
          <w:kern w:val="2"/>
          <w:sz w:val="32"/>
          <w:szCs w:val="32"/>
          <w:highlight w:val="none"/>
        </w:rPr>
      </w:pPr>
      <w:r>
        <w:rPr>
          <w:rFonts w:ascii="Times New Roman"/>
          <w:b/>
          <w:bCs/>
          <w:kern w:val="2"/>
          <w:sz w:val="32"/>
          <w:szCs w:val="32"/>
          <w:highlight w:val="none"/>
        </w:rPr>
        <w:t>4</w:t>
      </w:r>
      <w:r>
        <w:rPr>
          <w:rFonts w:hint="eastAsia" w:ascii="Times New Roman"/>
          <w:b/>
          <w:bCs/>
          <w:kern w:val="2"/>
          <w:sz w:val="32"/>
          <w:szCs w:val="32"/>
          <w:highlight w:val="none"/>
          <w:lang w:eastAsia="zh-CN"/>
        </w:rPr>
        <w:t>、城乡</w:t>
      </w:r>
      <w:r>
        <w:rPr>
          <w:rFonts w:hint="eastAsia" w:ascii="Times New Roman"/>
          <w:b/>
          <w:bCs/>
          <w:kern w:val="2"/>
          <w:sz w:val="32"/>
          <w:szCs w:val="32"/>
          <w:highlight w:val="none"/>
        </w:rPr>
        <w:t>环境治理</w:t>
      </w:r>
      <w:r>
        <w:rPr>
          <w:rFonts w:hint="eastAsia" w:ascii="Times New Roman"/>
          <w:b/>
          <w:bCs/>
          <w:kern w:val="2"/>
          <w:sz w:val="32"/>
          <w:szCs w:val="32"/>
          <w:highlight w:val="none"/>
          <w:lang w:eastAsia="zh-CN"/>
        </w:rPr>
        <w:t>深入开展</w:t>
      </w:r>
      <w:r>
        <w:rPr>
          <w:rFonts w:hint="eastAsia" w:ascii="Times New Roman"/>
          <w:b/>
          <w:bCs/>
          <w:kern w:val="2"/>
          <w:sz w:val="32"/>
          <w:szCs w:val="32"/>
          <w:highlight w:val="none"/>
        </w:rPr>
        <w:t>。</w:t>
      </w:r>
      <w:r>
        <w:rPr>
          <w:rFonts w:hint="eastAsia" w:ascii="Times New Roman"/>
          <w:kern w:val="2"/>
          <w:sz w:val="32"/>
          <w:szCs w:val="32"/>
          <w:highlight w:val="none"/>
        </w:rPr>
        <w:t>以农村生活垃圾收集整治为突破，大力开展城乡环境综合治理工作</w:t>
      </w:r>
      <w:r>
        <w:rPr>
          <w:rFonts w:hint="eastAsia" w:ascii="Times New Roman"/>
          <w:kern w:val="2"/>
          <w:sz w:val="32"/>
          <w:szCs w:val="32"/>
          <w:highlight w:val="none"/>
          <w:lang w:eastAsia="zh-CN"/>
        </w:rPr>
        <w:t>。垃圾中转站和</w:t>
      </w:r>
      <w:r>
        <w:rPr>
          <w:rFonts w:hint="eastAsia" w:ascii="Times New Roman"/>
          <w:kern w:val="2"/>
          <w:sz w:val="32"/>
          <w:szCs w:val="32"/>
          <w:highlight w:val="none"/>
        </w:rPr>
        <w:t>垃圾收集屋</w:t>
      </w:r>
      <w:r>
        <w:rPr>
          <w:rFonts w:hint="eastAsia" w:ascii="Times New Roman"/>
          <w:kern w:val="2"/>
          <w:sz w:val="32"/>
          <w:szCs w:val="32"/>
          <w:highlight w:val="none"/>
          <w:lang w:eastAsia="zh-CN"/>
        </w:rPr>
        <w:t>运行良好</w:t>
      </w:r>
      <w:r>
        <w:rPr>
          <w:rFonts w:hint="eastAsia" w:ascii="Times New Roman"/>
          <w:kern w:val="2"/>
          <w:sz w:val="32"/>
          <w:szCs w:val="32"/>
          <w:highlight w:val="none"/>
        </w:rPr>
        <w:t>，加强了生活垃圾无害化处理知识的宣传，切实加强“五清五乱”治理，切实加强畜禽面源污染治理和集中式饮用水源地保护，辖区无重大环境污染事故发生。</w:t>
      </w:r>
    </w:p>
    <w:p>
      <w:pPr>
        <w:pStyle w:val="5"/>
        <w:adjustRightInd w:val="0"/>
        <w:snapToGrid w:val="0"/>
        <w:spacing w:before="93" w:line="600" w:lineRule="exact"/>
        <w:ind w:firstLine="675" w:firstLineChars="210"/>
        <w:outlineLvl w:val="2"/>
        <w:rPr>
          <w:rFonts w:ascii="Times New Roman"/>
          <w:kern w:val="2"/>
          <w:sz w:val="32"/>
          <w:szCs w:val="32"/>
          <w:highlight w:val="none"/>
        </w:rPr>
      </w:pPr>
      <w:r>
        <w:rPr>
          <w:rFonts w:ascii="Times New Roman"/>
          <w:b/>
          <w:bCs/>
          <w:kern w:val="2"/>
          <w:sz w:val="32"/>
          <w:szCs w:val="32"/>
          <w:highlight w:val="none"/>
        </w:rPr>
        <w:t>5</w:t>
      </w:r>
      <w:r>
        <w:rPr>
          <w:rFonts w:hint="eastAsia" w:ascii="Times New Roman"/>
          <w:b/>
          <w:bCs/>
          <w:kern w:val="2"/>
          <w:sz w:val="32"/>
          <w:szCs w:val="32"/>
          <w:highlight w:val="none"/>
          <w:lang w:eastAsia="zh-CN"/>
        </w:rPr>
        <w:t>、</w:t>
      </w:r>
      <w:r>
        <w:rPr>
          <w:rFonts w:hint="eastAsia" w:ascii="Times New Roman"/>
          <w:b/>
          <w:bCs/>
          <w:kern w:val="2"/>
          <w:sz w:val="32"/>
          <w:szCs w:val="32"/>
          <w:highlight w:val="none"/>
        </w:rPr>
        <w:t>社会事业步伐不断加快。</w:t>
      </w:r>
      <w:r>
        <w:rPr>
          <w:rFonts w:hint="eastAsia" w:ascii="Times New Roman"/>
          <w:kern w:val="2"/>
          <w:sz w:val="32"/>
          <w:szCs w:val="32"/>
          <w:highlight w:val="none"/>
        </w:rPr>
        <w:t>认真落实义务教育均衡发展县区创建工作，做好了“控辍保学”工作。计生奖扶政策全面落实，“三结合”帮扶</w:t>
      </w:r>
      <w:r>
        <w:rPr>
          <w:rFonts w:hint="eastAsia" w:ascii="Times New Roman"/>
          <w:kern w:val="2"/>
          <w:sz w:val="32"/>
          <w:szCs w:val="32"/>
          <w:highlight w:val="none"/>
          <w:lang w:eastAsia="zh-CN"/>
        </w:rPr>
        <w:t>工作深入开展</w:t>
      </w:r>
      <w:r>
        <w:rPr>
          <w:rFonts w:hint="eastAsia" w:ascii="Times New Roman"/>
          <w:kern w:val="2"/>
          <w:sz w:val="32"/>
          <w:szCs w:val="32"/>
          <w:highlight w:val="none"/>
        </w:rPr>
        <w:t>。卫生工作不断加强，无重大传染病发生，孕产妇死亡率为零；民政救助工作有序开展。、</w:t>
      </w:r>
    </w:p>
    <w:p>
      <w:pPr>
        <w:pStyle w:val="5"/>
        <w:adjustRightInd w:val="0"/>
        <w:snapToGrid w:val="0"/>
        <w:spacing w:before="93" w:line="600" w:lineRule="exact"/>
        <w:ind w:firstLine="675" w:firstLineChars="210"/>
        <w:outlineLvl w:val="2"/>
        <w:rPr>
          <w:rFonts w:ascii="Times New Roman"/>
          <w:kern w:val="2"/>
          <w:sz w:val="32"/>
          <w:szCs w:val="32"/>
          <w:highlight w:val="none"/>
        </w:rPr>
      </w:pPr>
      <w:r>
        <w:rPr>
          <w:rFonts w:ascii="Times New Roman"/>
          <w:b/>
          <w:bCs/>
          <w:kern w:val="2"/>
          <w:sz w:val="32"/>
          <w:szCs w:val="32"/>
          <w:highlight w:val="none"/>
        </w:rPr>
        <w:t>6</w:t>
      </w:r>
      <w:r>
        <w:rPr>
          <w:rFonts w:hint="eastAsia" w:ascii="Times New Roman"/>
          <w:b/>
          <w:bCs/>
          <w:kern w:val="2"/>
          <w:sz w:val="32"/>
          <w:szCs w:val="32"/>
          <w:highlight w:val="none"/>
          <w:lang w:eastAsia="zh-CN"/>
        </w:rPr>
        <w:t>、</w:t>
      </w:r>
      <w:r>
        <w:rPr>
          <w:rFonts w:hint="eastAsia" w:ascii="Times New Roman"/>
          <w:b/>
          <w:bCs/>
          <w:kern w:val="2"/>
          <w:sz w:val="32"/>
          <w:szCs w:val="32"/>
          <w:highlight w:val="none"/>
        </w:rPr>
        <w:t>政务服务工作得以加强。</w:t>
      </w:r>
      <w:r>
        <w:rPr>
          <w:rFonts w:hint="eastAsia" w:ascii="Times New Roman"/>
          <w:kern w:val="2"/>
          <w:sz w:val="32"/>
          <w:szCs w:val="32"/>
          <w:highlight w:val="none"/>
        </w:rPr>
        <w:t>扎实推进“双提双破”专项行动，不断加强“一办三中心”管理，认真执行“首问责任制”、“限时办结制”、“责任追究制”，认真接待群众咨询、受理办理行政审批及公共服务事项，力求按时办结率、群众满意率达到“双百”。</w:t>
      </w:r>
    </w:p>
    <w:p>
      <w:pPr>
        <w:pStyle w:val="5"/>
        <w:adjustRightInd w:val="0"/>
        <w:snapToGrid w:val="0"/>
        <w:spacing w:before="93" w:line="600" w:lineRule="exact"/>
        <w:ind w:firstLine="675" w:firstLineChars="210"/>
        <w:outlineLvl w:val="2"/>
        <w:rPr>
          <w:rFonts w:ascii="Times New Roman"/>
          <w:kern w:val="2"/>
          <w:sz w:val="32"/>
          <w:szCs w:val="32"/>
          <w:highlight w:val="none"/>
        </w:rPr>
      </w:pPr>
      <w:r>
        <w:rPr>
          <w:rFonts w:ascii="Times New Roman"/>
          <w:b/>
          <w:bCs/>
          <w:kern w:val="2"/>
          <w:sz w:val="32"/>
          <w:szCs w:val="32"/>
          <w:highlight w:val="none"/>
        </w:rPr>
        <w:t>7</w:t>
      </w:r>
      <w:r>
        <w:rPr>
          <w:rFonts w:hint="eastAsia" w:ascii="Times New Roman"/>
          <w:b/>
          <w:bCs/>
          <w:kern w:val="2"/>
          <w:sz w:val="32"/>
          <w:szCs w:val="32"/>
          <w:highlight w:val="none"/>
          <w:lang w:eastAsia="zh-CN"/>
        </w:rPr>
        <w:t>、</w:t>
      </w:r>
      <w:r>
        <w:rPr>
          <w:rFonts w:hint="eastAsia" w:ascii="Times New Roman"/>
          <w:b/>
          <w:bCs/>
          <w:kern w:val="2"/>
          <w:sz w:val="32"/>
          <w:szCs w:val="32"/>
          <w:highlight w:val="none"/>
        </w:rPr>
        <w:t>社会</w:t>
      </w:r>
      <w:r>
        <w:rPr>
          <w:rFonts w:hint="eastAsia" w:ascii="Times New Roman"/>
          <w:b/>
          <w:bCs/>
          <w:kern w:val="2"/>
          <w:sz w:val="32"/>
          <w:szCs w:val="32"/>
          <w:highlight w:val="none"/>
          <w:lang w:eastAsia="zh-CN"/>
        </w:rPr>
        <w:t>综合</w:t>
      </w:r>
      <w:r>
        <w:rPr>
          <w:rFonts w:hint="eastAsia" w:ascii="Times New Roman"/>
          <w:b/>
          <w:bCs/>
          <w:kern w:val="2"/>
          <w:sz w:val="32"/>
          <w:szCs w:val="32"/>
          <w:highlight w:val="none"/>
        </w:rPr>
        <w:t>治理不断加强。</w:t>
      </w:r>
      <w:r>
        <w:rPr>
          <w:rFonts w:hint="eastAsia" w:ascii="Times New Roman"/>
          <w:kern w:val="2"/>
          <w:sz w:val="32"/>
          <w:szCs w:val="32"/>
          <w:highlight w:val="none"/>
        </w:rPr>
        <w:t>制定和完善各项应急工作预案。切实加强森林防火、食品药品、道路交通、建筑施工、地质灾害防范等安全生产工作监管，组织各类安全培训，</w:t>
      </w:r>
      <w:r>
        <w:rPr>
          <w:rFonts w:hint="eastAsia" w:ascii="Times New Roman"/>
          <w:kern w:val="2"/>
          <w:sz w:val="32"/>
          <w:szCs w:val="32"/>
          <w:highlight w:val="none"/>
          <w:lang w:eastAsia="zh-CN"/>
        </w:rPr>
        <w:t>按时对</w:t>
      </w:r>
      <w:r>
        <w:rPr>
          <w:rFonts w:hint="eastAsia" w:ascii="Times New Roman"/>
          <w:kern w:val="2"/>
          <w:sz w:val="32"/>
          <w:szCs w:val="32"/>
          <w:highlight w:val="none"/>
        </w:rPr>
        <w:t>道路交通、</w:t>
      </w:r>
      <w:r>
        <w:rPr>
          <w:rFonts w:hint="eastAsia" w:ascii="Times New Roman"/>
          <w:kern w:val="2"/>
          <w:sz w:val="32"/>
          <w:szCs w:val="32"/>
          <w:highlight w:val="none"/>
          <w:lang w:eastAsia="zh-CN"/>
        </w:rPr>
        <w:t>水上安全、</w:t>
      </w:r>
      <w:r>
        <w:rPr>
          <w:rFonts w:hint="eastAsia" w:ascii="Times New Roman"/>
          <w:kern w:val="2"/>
          <w:sz w:val="32"/>
          <w:szCs w:val="32"/>
          <w:highlight w:val="none"/>
        </w:rPr>
        <w:t>消防安全和施工地段的安全隐患进行排查次，</w:t>
      </w:r>
      <w:r>
        <w:rPr>
          <w:rFonts w:hint="eastAsia" w:ascii="Times New Roman"/>
          <w:kern w:val="2"/>
          <w:sz w:val="32"/>
          <w:szCs w:val="32"/>
          <w:highlight w:val="none"/>
          <w:lang w:eastAsia="zh-CN"/>
        </w:rPr>
        <w:t>全年</w:t>
      </w:r>
      <w:r>
        <w:rPr>
          <w:rFonts w:hint="eastAsia" w:ascii="Times New Roman"/>
          <w:kern w:val="2"/>
          <w:sz w:val="32"/>
          <w:szCs w:val="32"/>
          <w:highlight w:val="none"/>
        </w:rPr>
        <w:t>无重大安全事故发生。</w:t>
      </w:r>
    </w:p>
    <w:p>
      <w:pPr>
        <w:pStyle w:val="5"/>
        <w:adjustRightInd w:val="0"/>
        <w:snapToGrid w:val="0"/>
        <w:spacing w:before="93" w:line="600" w:lineRule="exact"/>
        <w:ind w:firstLine="675" w:firstLineChars="210"/>
        <w:outlineLvl w:val="2"/>
        <w:rPr>
          <w:rFonts w:ascii="Times New Roman"/>
          <w:kern w:val="2"/>
          <w:sz w:val="32"/>
          <w:szCs w:val="32"/>
          <w:highlight w:val="none"/>
        </w:rPr>
      </w:pPr>
      <w:r>
        <w:rPr>
          <w:rFonts w:ascii="Times New Roman"/>
          <w:b/>
          <w:bCs/>
          <w:kern w:val="2"/>
          <w:sz w:val="32"/>
          <w:szCs w:val="32"/>
          <w:highlight w:val="none"/>
        </w:rPr>
        <w:t>8</w:t>
      </w:r>
      <w:r>
        <w:rPr>
          <w:rFonts w:hint="eastAsia" w:ascii="Times New Roman"/>
          <w:b/>
          <w:bCs/>
          <w:kern w:val="2"/>
          <w:sz w:val="32"/>
          <w:szCs w:val="32"/>
          <w:highlight w:val="none"/>
          <w:lang w:eastAsia="zh-CN"/>
        </w:rPr>
        <w:t>、</w:t>
      </w:r>
      <w:r>
        <w:rPr>
          <w:rFonts w:hint="eastAsia" w:ascii="Times New Roman"/>
          <w:b/>
          <w:bCs/>
          <w:kern w:val="2"/>
          <w:sz w:val="32"/>
          <w:szCs w:val="32"/>
          <w:highlight w:val="none"/>
        </w:rPr>
        <w:t>党的建设</w:t>
      </w:r>
      <w:r>
        <w:rPr>
          <w:rFonts w:hint="eastAsia" w:ascii="Times New Roman"/>
          <w:b/>
          <w:bCs/>
          <w:kern w:val="2"/>
          <w:sz w:val="32"/>
          <w:szCs w:val="32"/>
          <w:highlight w:val="none"/>
          <w:lang w:eastAsia="zh-CN"/>
        </w:rPr>
        <w:t>工作</w:t>
      </w:r>
      <w:r>
        <w:rPr>
          <w:rFonts w:hint="eastAsia" w:ascii="Times New Roman"/>
          <w:b/>
          <w:bCs/>
          <w:kern w:val="2"/>
          <w:sz w:val="32"/>
          <w:szCs w:val="32"/>
          <w:highlight w:val="none"/>
        </w:rPr>
        <w:t>不断加强</w:t>
      </w:r>
      <w:r>
        <w:rPr>
          <w:rFonts w:hint="eastAsia" w:ascii="Times New Roman"/>
          <w:b/>
          <w:bCs/>
          <w:kern w:val="2"/>
          <w:sz w:val="32"/>
          <w:szCs w:val="32"/>
          <w:highlight w:val="none"/>
          <w:lang w:eastAsia="zh-CN"/>
        </w:rPr>
        <w:t>。</w:t>
      </w:r>
      <w:r>
        <w:rPr>
          <w:rFonts w:hint="eastAsia" w:ascii="Times New Roman"/>
          <w:kern w:val="2"/>
          <w:sz w:val="32"/>
          <w:szCs w:val="32"/>
          <w:highlight w:val="none"/>
        </w:rPr>
        <w:t>党风廉政建设深入推进。强化领导，严格落实“两个责任”。着力完善制度，着力构建拒腐防变的保障机制</w:t>
      </w:r>
      <w:r>
        <w:rPr>
          <w:rFonts w:hint="eastAsia" w:ascii="Times New Roman"/>
          <w:kern w:val="2"/>
          <w:sz w:val="32"/>
          <w:szCs w:val="32"/>
          <w:highlight w:val="none"/>
          <w:lang w:eastAsia="zh-CN"/>
        </w:rPr>
        <w:t>，</w:t>
      </w:r>
      <w:r>
        <w:rPr>
          <w:rFonts w:hint="eastAsia" w:ascii="Times New Roman"/>
          <w:kern w:val="2"/>
          <w:sz w:val="32"/>
          <w:szCs w:val="32"/>
          <w:highlight w:val="none"/>
        </w:rPr>
        <w:t>持之以恒纠治“四风”，强力推进正风肃纪。</w:t>
      </w:r>
      <w:r>
        <w:rPr>
          <w:rFonts w:hint="eastAsia" w:ascii="Times New Roman"/>
          <w:kern w:val="2"/>
          <w:sz w:val="32"/>
          <w:szCs w:val="32"/>
          <w:highlight w:val="none"/>
          <w:lang w:eastAsia="zh-CN"/>
        </w:rPr>
        <w:t>武装、</w:t>
      </w:r>
      <w:r>
        <w:rPr>
          <w:rFonts w:hint="eastAsia" w:ascii="Times New Roman"/>
          <w:kern w:val="2"/>
          <w:sz w:val="32"/>
          <w:szCs w:val="32"/>
          <w:highlight w:val="none"/>
        </w:rPr>
        <w:t>统战、群团工作稳步推进。</w:t>
      </w:r>
    </w:p>
    <w:p>
      <w:pPr>
        <w:pStyle w:val="3"/>
        <w:ind w:firstLine="640" w:firstLineChars="200"/>
        <w:rPr>
          <w:rStyle w:val="26"/>
          <w:b w:val="0"/>
          <w:bCs w:val="0"/>
          <w:highlight w:val="none"/>
        </w:rPr>
      </w:pPr>
      <w:bookmarkStart w:id="20" w:name="_Toc15396601"/>
      <w:bookmarkStart w:id="21" w:name="_Toc15377200"/>
      <w:r>
        <w:rPr>
          <w:rFonts w:hint="eastAsia" w:ascii="黑体" w:eastAsia="黑体"/>
          <w:b w:val="0"/>
          <w:color w:val="000000"/>
          <w:highlight w:val="none"/>
        </w:rPr>
        <w:t>二、</w:t>
      </w:r>
      <w:r>
        <w:rPr>
          <w:rFonts w:hint="eastAsia" w:ascii="黑体" w:hAnsi="黑体" w:eastAsia="黑体"/>
          <w:b w:val="0"/>
          <w:color w:val="000000"/>
          <w:highlight w:val="none"/>
        </w:rPr>
        <w:t>机</w:t>
      </w:r>
      <w:r>
        <w:rPr>
          <w:rStyle w:val="26"/>
          <w:rFonts w:hint="eastAsia" w:ascii="黑体" w:hAnsi="黑体" w:eastAsia="黑体"/>
          <w:b w:val="0"/>
          <w:bCs w:val="0"/>
          <w:highlight w:val="none"/>
        </w:rPr>
        <w:t>构设置</w:t>
      </w:r>
      <w:bookmarkEnd w:id="20"/>
      <w:bookmarkEnd w:id="21"/>
    </w:p>
    <w:p>
      <w:pPr>
        <w:widowControl/>
        <w:ind w:firstLine="640" w:firstLineChars="200"/>
        <w:jc w:val="left"/>
        <w:rPr>
          <w:rFonts w:hint="eastAsia" w:ascii="黑体" w:hAnsi="黑体" w:eastAsia="黑体"/>
          <w:b w:val="0"/>
          <w:color w:val="000000"/>
          <w:highlight w:val="none"/>
        </w:rPr>
      </w:pPr>
      <w:r>
        <w:rPr>
          <w:rFonts w:hint="eastAsia" w:ascii="仿宋" w:hAnsi="仿宋" w:eastAsia="仿宋" w:cs="仿宋"/>
          <w:b w:val="0"/>
          <w:i w:val="0"/>
          <w:caps w:val="0"/>
          <w:color w:val="333333"/>
          <w:spacing w:val="0"/>
          <w:sz w:val="32"/>
          <w:szCs w:val="32"/>
          <w:highlight w:val="none"/>
          <w:shd w:val="clear" w:color="auto" w:fill="FFFFFF"/>
          <w:lang w:eastAsia="zh-CN"/>
        </w:rPr>
        <w:t>香溪乡</w:t>
      </w:r>
      <w:r>
        <w:rPr>
          <w:rFonts w:hint="eastAsia" w:ascii="仿宋" w:hAnsi="仿宋" w:eastAsia="仿宋" w:cs="仿宋"/>
          <w:b w:val="0"/>
          <w:i w:val="0"/>
          <w:caps w:val="0"/>
          <w:color w:val="333333"/>
          <w:spacing w:val="0"/>
          <w:sz w:val="32"/>
          <w:szCs w:val="32"/>
          <w:highlight w:val="none"/>
          <w:shd w:val="clear" w:color="auto" w:fill="FFFFFF"/>
        </w:rPr>
        <w:t>人民政府属于一级预算单位，政府单位机构数1个，其中行政单位1个，参照公务员法管理的事业单位0个，其他事业单位0个。</w:t>
      </w:r>
      <w:r>
        <w:rPr>
          <w:rFonts w:hint="eastAsia" w:eastAsia="仿宋_GB2312"/>
          <w:b w:val="0"/>
          <w:bCs w:val="0"/>
          <w:sz w:val="32"/>
          <w:szCs w:val="32"/>
          <w:highlight w:val="none"/>
        </w:rPr>
        <w:t>按照上级编办要求，结合</w:t>
      </w:r>
      <w:r>
        <w:rPr>
          <w:rFonts w:hint="eastAsia" w:eastAsia="仿宋_GB2312"/>
          <w:b w:val="0"/>
          <w:bCs w:val="0"/>
          <w:sz w:val="32"/>
          <w:szCs w:val="32"/>
          <w:highlight w:val="none"/>
          <w:lang w:eastAsia="zh-CN"/>
        </w:rPr>
        <w:t>香溪乡</w:t>
      </w:r>
      <w:r>
        <w:rPr>
          <w:rFonts w:hint="eastAsia" w:eastAsia="仿宋_GB2312"/>
          <w:b w:val="0"/>
          <w:bCs w:val="0"/>
          <w:sz w:val="32"/>
          <w:szCs w:val="32"/>
          <w:highlight w:val="none"/>
        </w:rPr>
        <w:t>实际，现设人大、政府机关、财政所、妇联、党委、安办、文化站、广播站、劳动保障所、民政所、计生办、农业服务站、畜牧兽医站、林业站等部门。</w:t>
      </w:r>
      <w:bookmarkStart w:id="22" w:name="_Toc15377204"/>
      <w:bookmarkStart w:id="23" w:name="_Toc15396602"/>
    </w:p>
    <w:p>
      <w:pPr>
        <w:rPr>
          <w:rFonts w:hint="eastAsia"/>
          <w:highlight w:val="none"/>
        </w:rPr>
      </w:pPr>
    </w:p>
    <w:p>
      <w:pPr>
        <w:pStyle w:val="2"/>
        <w:ind w:right="440"/>
        <w:jc w:val="both"/>
        <w:rPr>
          <w:rFonts w:hint="eastAsia" w:ascii="黑体" w:hAnsi="黑体" w:eastAsia="黑体"/>
          <w:b w:val="0"/>
          <w:bCs/>
          <w:color w:val="000000"/>
          <w:highlight w:val="none"/>
        </w:rPr>
      </w:pPr>
    </w:p>
    <w:p>
      <w:pPr>
        <w:rPr>
          <w:rFonts w:hint="eastAsia"/>
        </w:rPr>
      </w:pPr>
    </w:p>
    <w:p>
      <w:pPr>
        <w:pStyle w:val="2"/>
        <w:ind w:right="440" w:firstLine="440" w:firstLineChars="100"/>
        <w:jc w:val="both"/>
        <w:rPr>
          <w:highlight w:val="none"/>
        </w:rPr>
      </w:pPr>
      <w:r>
        <w:rPr>
          <w:rFonts w:hint="eastAsia" w:ascii="黑体" w:hAnsi="黑体" w:eastAsia="黑体"/>
          <w:b w:val="0"/>
          <w:bCs/>
          <w:color w:val="000000"/>
          <w:highlight w:val="none"/>
        </w:rPr>
        <w:t>第二部分</w:t>
      </w:r>
      <w:r>
        <w:rPr>
          <w:rFonts w:hint="eastAsia" w:ascii="黑体" w:hAnsi="黑体" w:eastAsia="黑体"/>
          <w:b/>
          <w:bCs w:val="0"/>
          <w:color w:val="000000"/>
          <w:highlight w:val="none"/>
        </w:rPr>
        <w:t xml:space="preserve"> </w:t>
      </w:r>
      <w:r>
        <w:rPr>
          <w:rStyle w:val="25"/>
          <w:rFonts w:hint="eastAsia" w:ascii="黑体" w:hAnsi="黑体" w:eastAsia="黑体"/>
          <w:b w:val="0"/>
          <w:bCs w:val="0"/>
          <w:highlight w:val="none"/>
          <w:lang w:eastAsia="zh-CN"/>
        </w:rPr>
        <w:t>2019</w:t>
      </w:r>
      <w:r>
        <w:rPr>
          <w:rStyle w:val="25"/>
          <w:rFonts w:hint="eastAsia" w:ascii="黑体" w:hAnsi="黑体" w:eastAsia="黑体"/>
          <w:b w:val="0"/>
          <w:bCs w:val="0"/>
          <w:highlight w:val="none"/>
        </w:rPr>
        <w:t>年度部门决算情况说明</w:t>
      </w:r>
      <w:bookmarkEnd w:id="22"/>
      <w:bookmarkEnd w:id="23"/>
    </w:p>
    <w:p>
      <w:pPr>
        <w:pStyle w:val="24"/>
        <w:numPr>
          <w:ilvl w:val="0"/>
          <w:numId w:val="2"/>
        </w:numPr>
        <w:spacing w:line="600" w:lineRule="exact"/>
        <w:ind w:firstLineChars="0"/>
        <w:outlineLvl w:val="1"/>
        <w:rPr>
          <w:rStyle w:val="26"/>
          <w:rFonts w:ascii="黑体" w:hAnsi="黑体" w:eastAsia="黑体"/>
          <w:b w:val="0"/>
          <w:highlight w:val="none"/>
        </w:rPr>
      </w:pPr>
      <w:bookmarkStart w:id="24" w:name="_Toc15396603"/>
      <w:bookmarkStart w:id="25" w:name="_Toc15377205"/>
      <w:r>
        <w:rPr>
          <w:rFonts w:hint="eastAsia" w:ascii="黑体" w:hAnsi="黑体" w:eastAsia="黑体"/>
          <w:color w:val="000000"/>
          <w:sz w:val="32"/>
          <w:szCs w:val="32"/>
          <w:highlight w:val="none"/>
        </w:rPr>
        <w:t>收</w:t>
      </w:r>
      <w:r>
        <w:rPr>
          <w:rStyle w:val="26"/>
          <w:rFonts w:hint="eastAsia" w:ascii="黑体" w:hAnsi="黑体" w:eastAsia="黑体"/>
          <w:b w:val="0"/>
          <w:highlight w:val="none"/>
        </w:rPr>
        <w:t>入支出决算总体情况说明</w:t>
      </w:r>
      <w:bookmarkEnd w:id="24"/>
      <w:bookmarkEnd w:id="25"/>
    </w:p>
    <w:p>
      <w:pPr>
        <w:spacing w:line="6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sz w:val="32"/>
          <w:szCs w:val="32"/>
          <w:highlight w:val="none"/>
          <w:lang w:eastAsia="zh-CN"/>
        </w:rPr>
        <w:t>2019</w:t>
      </w:r>
      <w:r>
        <w:rPr>
          <w:rFonts w:hint="eastAsia" w:ascii="仿宋" w:hAnsi="仿宋" w:eastAsia="仿宋"/>
          <w:color w:val="000000"/>
          <w:sz w:val="32"/>
          <w:szCs w:val="32"/>
          <w:highlight w:val="none"/>
        </w:rPr>
        <w:t>年度</w:t>
      </w:r>
      <w:r>
        <w:rPr>
          <w:rFonts w:hint="eastAsia" w:ascii="仿宋" w:hAnsi="仿宋" w:eastAsia="仿宋"/>
          <w:color w:val="000000"/>
          <w:sz w:val="32"/>
          <w:szCs w:val="32"/>
          <w:highlight w:val="none"/>
          <w:lang w:eastAsia="zh-CN"/>
        </w:rPr>
        <w:t>财政拨款</w:t>
      </w:r>
      <w:r>
        <w:rPr>
          <w:rFonts w:hint="eastAsia" w:ascii="仿宋" w:hAnsi="仿宋" w:eastAsia="仿宋"/>
          <w:color w:val="000000"/>
          <w:sz w:val="32"/>
          <w:szCs w:val="32"/>
          <w:highlight w:val="none"/>
        </w:rPr>
        <w:t>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lang w:val="en-US" w:eastAsia="zh-CN"/>
        </w:rPr>
        <w:t>416.92万元，</w:t>
      </w:r>
      <w:r>
        <w:rPr>
          <w:rFonts w:hint="eastAsia" w:ascii="仿宋_GB2312" w:hAnsi="仿宋_GB2312" w:eastAsia="仿宋_GB2312" w:cs="仿宋_GB2312"/>
          <w:sz w:val="32"/>
          <w:szCs w:val="32"/>
          <w:highlight w:val="none"/>
        </w:rPr>
        <w:t>较201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年收入</w:t>
      </w:r>
      <w:r>
        <w:rPr>
          <w:rFonts w:hint="eastAsia" w:ascii="仿宋_GB2312" w:hAnsi="仿宋_GB2312" w:eastAsia="仿宋_GB2312" w:cs="仿宋_GB2312"/>
          <w:sz w:val="32"/>
          <w:szCs w:val="32"/>
          <w:highlight w:val="none"/>
          <w:lang w:val="en-US" w:eastAsia="zh-CN"/>
        </w:rPr>
        <w:t>550.35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133.43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416.92</w:t>
      </w:r>
      <w:r>
        <w:rPr>
          <w:rFonts w:hint="eastAsia" w:ascii="仿宋_GB2312" w:hAnsi="仿宋_GB2312" w:eastAsia="仿宋_GB2312" w:cs="仿宋_GB2312"/>
          <w:sz w:val="32"/>
          <w:szCs w:val="32"/>
          <w:highlight w:val="none"/>
        </w:rPr>
        <w:t>万元，较201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年支出</w:t>
      </w:r>
      <w:r>
        <w:rPr>
          <w:rFonts w:hint="eastAsia" w:ascii="仿宋_GB2312" w:hAnsi="仿宋_GB2312" w:eastAsia="仿宋_GB2312" w:cs="仿宋_GB2312"/>
          <w:sz w:val="32"/>
          <w:szCs w:val="32"/>
          <w:highlight w:val="none"/>
          <w:lang w:val="en-US" w:eastAsia="zh-CN"/>
        </w:rPr>
        <w:t>550.35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133.43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主要变动原因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主要变动原因是</w:t>
      </w:r>
      <w:r>
        <w:rPr>
          <w:rFonts w:hint="eastAsia" w:ascii="仿宋" w:hAnsi="仿宋" w:eastAsia="仿宋"/>
          <w:color w:val="000000" w:themeColor="text1"/>
          <w:sz w:val="32"/>
          <w:szCs w:val="32"/>
          <w:highlight w:val="none"/>
          <w:lang w:eastAsia="zh-CN"/>
          <w14:textFill>
            <w14:solidFill>
              <w14:schemeClr w14:val="tx1"/>
            </w14:solidFill>
          </w14:textFill>
        </w:rPr>
        <w:t>部分支出使用存量资金支出。</w:t>
      </w:r>
    </w:p>
    <w:p>
      <w:pPr>
        <w:pStyle w:val="24"/>
        <w:numPr>
          <w:ilvl w:val="0"/>
          <w:numId w:val="2"/>
        </w:numPr>
        <w:spacing w:line="600" w:lineRule="exact"/>
        <w:ind w:firstLineChars="0"/>
        <w:outlineLvl w:val="1"/>
        <w:rPr>
          <w:rStyle w:val="26"/>
          <w:rFonts w:ascii="黑体" w:hAnsi="黑体" w:eastAsia="黑体"/>
          <w:b w:val="0"/>
          <w:highlight w:val="none"/>
        </w:rPr>
      </w:pPr>
      <w:bookmarkStart w:id="26" w:name="_Toc15377206"/>
      <w:bookmarkStart w:id="27" w:name="_Toc15396604"/>
      <w:r>
        <w:rPr>
          <w:rFonts w:hint="eastAsia" w:ascii="黑体" w:hAnsi="黑体" w:eastAsia="黑体"/>
          <w:color w:val="000000"/>
          <w:sz w:val="32"/>
          <w:szCs w:val="32"/>
          <w:highlight w:val="none"/>
        </w:rPr>
        <w:t>收</w:t>
      </w:r>
      <w:r>
        <w:rPr>
          <w:rStyle w:val="26"/>
          <w:rFonts w:hint="eastAsia" w:ascii="黑体" w:hAnsi="黑体" w:eastAsia="黑体"/>
          <w:b w:val="0"/>
          <w:highlight w:val="none"/>
        </w:rPr>
        <w:t>入决算情况说明</w:t>
      </w:r>
      <w:bookmarkEnd w:id="26"/>
      <w:bookmarkEnd w:id="27"/>
    </w:p>
    <w:p>
      <w:pPr>
        <w:spacing w:line="600" w:lineRule="exact"/>
        <w:ind w:firstLine="640"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2019</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香溪乡</w:t>
      </w:r>
      <w:r>
        <w:rPr>
          <w:rFonts w:hint="eastAsia" w:ascii="仿宋_GB2312" w:hAnsi="仿宋_GB2312" w:eastAsia="仿宋_GB2312" w:cs="仿宋_GB2312"/>
          <w:color w:val="000000" w:themeColor="text1"/>
          <w:sz w:val="32"/>
          <w:szCs w:val="32"/>
          <w:highlight w:val="none"/>
          <w14:textFill>
            <w14:solidFill>
              <w14:schemeClr w14:val="tx1"/>
            </w14:solidFill>
          </w14:textFill>
        </w:rPr>
        <w:t>人民政府</w:t>
      </w:r>
      <w:r>
        <w:rPr>
          <w:rFonts w:hint="eastAsia" w:ascii="仿宋" w:hAnsi="仿宋" w:eastAsia="仿宋"/>
          <w:color w:val="000000" w:themeColor="text1"/>
          <w:sz w:val="32"/>
          <w:szCs w:val="32"/>
          <w:highlight w:val="none"/>
          <w14:textFill>
            <w14:solidFill>
              <w14:schemeClr w14:val="tx1"/>
            </w14:solidFill>
          </w14:textFill>
        </w:rPr>
        <w:t>本年收入合计</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万元，其中：一般公共预算财政拨款收入</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；政府性基金预算财政拨款收入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；国有资本经营预算财政拨款收入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；事业收入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；经营收入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；附属单位上缴收入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；其他收入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pStyle w:val="24"/>
        <w:numPr>
          <w:ilvl w:val="0"/>
          <w:numId w:val="2"/>
        </w:numPr>
        <w:spacing w:line="600" w:lineRule="exact"/>
        <w:ind w:firstLineChars="0"/>
        <w:outlineLvl w:val="1"/>
        <w:rPr>
          <w:rStyle w:val="26"/>
          <w:rFonts w:ascii="黑体" w:hAnsi="黑体" w:eastAsia="黑体"/>
          <w:b w:val="0"/>
          <w:color w:val="000000" w:themeColor="text1"/>
          <w:highlight w:val="none"/>
          <w14:textFill>
            <w14:solidFill>
              <w14:schemeClr w14:val="tx1"/>
            </w14:solidFill>
          </w14:textFill>
        </w:rPr>
      </w:pPr>
      <w:bookmarkStart w:id="28" w:name="_Toc15396605"/>
      <w:bookmarkStart w:id="29" w:name="_Toc15377207"/>
      <w:r>
        <w:rPr>
          <w:rFonts w:hint="eastAsia" w:ascii="黑体" w:hAnsi="黑体" w:eastAsia="黑体"/>
          <w:color w:val="000000" w:themeColor="text1"/>
          <w:sz w:val="32"/>
          <w:szCs w:val="32"/>
          <w:highlight w:val="none"/>
          <w14:textFill>
            <w14:solidFill>
              <w14:schemeClr w14:val="tx1"/>
            </w14:solidFill>
          </w14:textFill>
        </w:rPr>
        <w:t>支</w:t>
      </w:r>
      <w:r>
        <w:rPr>
          <w:rStyle w:val="26"/>
          <w:rFonts w:hint="eastAsia" w:ascii="黑体" w:hAnsi="黑体" w:eastAsia="黑体"/>
          <w:b w:val="0"/>
          <w:color w:val="000000" w:themeColor="text1"/>
          <w:highlight w:val="none"/>
          <w14:textFill>
            <w14:solidFill>
              <w14:schemeClr w14:val="tx1"/>
            </w14:solidFill>
          </w14:textFill>
        </w:rPr>
        <w:t>出决算情况说明</w:t>
      </w:r>
      <w:bookmarkEnd w:id="28"/>
      <w:bookmarkEnd w:id="29"/>
    </w:p>
    <w:p>
      <w:pPr>
        <w:spacing w:line="600" w:lineRule="exact"/>
        <w:ind w:firstLine="640"/>
        <w:rPr>
          <w:rFonts w:hint="eastAsia" w:ascii="仿宋" w:hAnsi="仿宋" w:eastAsia="仿宋"/>
          <w:color w:val="FF0000"/>
          <w:sz w:val="32"/>
          <w:szCs w:val="32"/>
          <w:highlight w:val="none"/>
        </w:rPr>
      </w:pPr>
      <w:r>
        <w:rPr>
          <w:rFonts w:hint="eastAsia" w:ascii="仿宋" w:hAnsi="仿宋" w:eastAsia="仿宋"/>
          <w:color w:val="000000" w:themeColor="text1"/>
          <w:sz w:val="32"/>
          <w:szCs w:val="32"/>
          <w:highlight w:val="none"/>
          <w:lang w:eastAsia="zh-CN"/>
          <w14:textFill>
            <w14:solidFill>
              <w14:schemeClr w14:val="tx1"/>
            </w14:solidFill>
          </w14:textFill>
        </w:rPr>
        <w:t>2019</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香溪乡</w:t>
      </w:r>
      <w:r>
        <w:rPr>
          <w:rFonts w:hint="eastAsia" w:ascii="仿宋_GB2312" w:hAnsi="仿宋_GB2312" w:eastAsia="仿宋_GB2312" w:cs="仿宋_GB2312"/>
          <w:color w:val="000000" w:themeColor="text1"/>
          <w:sz w:val="32"/>
          <w:szCs w:val="32"/>
          <w:highlight w:val="none"/>
          <w14:textFill>
            <w14:solidFill>
              <w14:schemeClr w14:val="tx1"/>
            </w14:solidFill>
          </w14:textFill>
        </w:rPr>
        <w:t>人民政府</w:t>
      </w:r>
      <w:r>
        <w:rPr>
          <w:rFonts w:hint="eastAsia" w:ascii="仿宋" w:hAnsi="仿宋" w:eastAsia="仿宋"/>
          <w:color w:val="000000" w:themeColor="text1"/>
          <w:sz w:val="32"/>
          <w:szCs w:val="32"/>
          <w:highlight w:val="none"/>
          <w14:textFill>
            <w14:solidFill>
              <w14:schemeClr w14:val="tx1"/>
            </w14:solidFill>
          </w14:textFill>
        </w:rPr>
        <w:t>本年支出合计</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万元，其中：基本支出</w:t>
      </w:r>
      <w:r>
        <w:rPr>
          <w:rFonts w:hint="eastAsia" w:ascii="仿宋" w:hAnsi="仿宋" w:eastAsia="仿宋"/>
          <w:color w:val="000000" w:themeColor="text1"/>
          <w:sz w:val="32"/>
          <w:szCs w:val="32"/>
          <w:highlight w:val="none"/>
          <w:lang w:val="en-US" w:eastAsia="zh-CN"/>
          <w14:textFill>
            <w14:solidFill>
              <w14:schemeClr w14:val="tx1"/>
            </w14:solidFill>
          </w14:textFill>
        </w:rPr>
        <w:t>356.51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85.51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；项目支出</w:t>
      </w:r>
      <w:r>
        <w:rPr>
          <w:rFonts w:hint="eastAsia" w:ascii="仿宋" w:hAnsi="仿宋" w:eastAsia="仿宋"/>
          <w:color w:val="000000" w:themeColor="text1"/>
          <w:sz w:val="32"/>
          <w:szCs w:val="32"/>
          <w:highlight w:val="none"/>
          <w:lang w:val="en-US" w:eastAsia="zh-CN"/>
          <w14:textFill>
            <w14:solidFill>
              <w14:schemeClr w14:val="tx1"/>
            </w14:solidFill>
          </w14:textFill>
        </w:rPr>
        <w:t>60.41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14.49</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；上缴上级支出</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；经营支出</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；对附属单位补助支出</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ind w:firstLine="640" w:firstLineChars="200"/>
        <w:outlineLvl w:val="1"/>
        <w:rPr>
          <w:rStyle w:val="26"/>
          <w:rFonts w:ascii="黑体" w:hAnsi="黑体" w:eastAsia="黑体"/>
          <w:b w:val="0"/>
          <w:highlight w:val="none"/>
        </w:rPr>
      </w:pPr>
      <w:bookmarkStart w:id="30" w:name="_Toc15396606"/>
      <w:bookmarkStart w:id="31" w:name="_Toc15377208"/>
      <w:r>
        <w:rPr>
          <w:rFonts w:hint="eastAsia" w:ascii="黑体" w:hAnsi="黑体" w:eastAsia="黑体"/>
          <w:color w:val="000000"/>
          <w:sz w:val="32"/>
          <w:szCs w:val="32"/>
          <w:highlight w:val="none"/>
        </w:rPr>
        <w:t>四、财</w:t>
      </w:r>
      <w:r>
        <w:rPr>
          <w:rStyle w:val="26"/>
          <w:rFonts w:hint="eastAsia" w:ascii="黑体" w:hAnsi="黑体" w:eastAsia="黑体"/>
          <w:b w:val="0"/>
          <w:highlight w:val="none"/>
        </w:rPr>
        <w:t>政拨款收入支出决算总体情况说明</w:t>
      </w:r>
      <w:bookmarkEnd w:id="30"/>
      <w:bookmarkEnd w:id="31"/>
    </w:p>
    <w:p>
      <w:pPr>
        <w:spacing w:line="600" w:lineRule="exact"/>
        <w:ind w:firstLine="640" w:firstLineChars="200"/>
        <w:rPr>
          <w:rFonts w:ascii="仿宋" w:hAnsi="仿宋" w:eastAsia="仿宋"/>
          <w:b/>
          <w:color w:val="00B050"/>
          <w:sz w:val="32"/>
          <w:szCs w:val="32"/>
          <w:highlight w:val="none"/>
        </w:rPr>
      </w:pPr>
      <w:r>
        <w:rPr>
          <w:rFonts w:hint="eastAsia" w:ascii="仿宋" w:hAnsi="仿宋" w:eastAsia="仿宋"/>
          <w:color w:val="000000"/>
          <w:sz w:val="32"/>
          <w:szCs w:val="32"/>
          <w:highlight w:val="none"/>
          <w:lang w:eastAsia="zh-CN"/>
        </w:rPr>
        <w:t>2019</w:t>
      </w:r>
      <w:r>
        <w:rPr>
          <w:rFonts w:hint="eastAsia" w:ascii="仿宋" w:hAnsi="仿宋" w:eastAsia="仿宋"/>
          <w:color w:val="000000"/>
          <w:sz w:val="32"/>
          <w:szCs w:val="32"/>
          <w:highlight w:val="none"/>
        </w:rPr>
        <w:t>年度</w:t>
      </w:r>
      <w:r>
        <w:rPr>
          <w:rFonts w:hint="eastAsia" w:ascii="仿宋" w:hAnsi="仿宋" w:eastAsia="仿宋"/>
          <w:color w:val="000000"/>
          <w:sz w:val="32"/>
          <w:szCs w:val="32"/>
          <w:highlight w:val="none"/>
          <w:lang w:eastAsia="zh-CN"/>
        </w:rPr>
        <w:t>财政拨款</w:t>
      </w:r>
      <w:r>
        <w:rPr>
          <w:rFonts w:hint="eastAsia" w:ascii="仿宋" w:hAnsi="仿宋" w:eastAsia="仿宋"/>
          <w:color w:val="000000"/>
          <w:sz w:val="32"/>
          <w:szCs w:val="32"/>
          <w:highlight w:val="none"/>
        </w:rPr>
        <w:t>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lang w:val="en-US" w:eastAsia="zh-CN"/>
        </w:rPr>
        <w:t>416.92万元，</w:t>
      </w:r>
      <w:r>
        <w:rPr>
          <w:rFonts w:hint="eastAsia" w:ascii="仿宋_GB2312" w:hAnsi="仿宋_GB2312" w:eastAsia="仿宋_GB2312" w:cs="仿宋_GB2312"/>
          <w:sz w:val="32"/>
          <w:szCs w:val="32"/>
          <w:highlight w:val="none"/>
        </w:rPr>
        <w:t>较201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年收入</w:t>
      </w:r>
      <w:r>
        <w:rPr>
          <w:rFonts w:hint="eastAsia" w:ascii="仿宋_GB2312" w:hAnsi="仿宋_GB2312" w:eastAsia="仿宋_GB2312" w:cs="仿宋_GB2312"/>
          <w:sz w:val="32"/>
          <w:szCs w:val="32"/>
          <w:highlight w:val="none"/>
          <w:lang w:val="en-US" w:eastAsia="zh-CN"/>
        </w:rPr>
        <w:t>550.35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133.43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416.92</w:t>
      </w:r>
      <w:r>
        <w:rPr>
          <w:rFonts w:hint="eastAsia" w:ascii="仿宋_GB2312" w:hAnsi="仿宋_GB2312" w:eastAsia="仿宋_GB2312" w:cs="仿宋_GB2312"/>
          <w:sz w:val="32"/>
          <w:szCs w:val="32"/>
          <w:highlight w:val="none"/>
        </w:rPr>
        <w:t>万元，较201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年支出</w:t>
      </w:r>
      <w:r>
        <w:rPr>
          <w:rFonts w:hint="eastAsia" w:ascii="仿宋_GB2312" w:hAnsi="仿宋_GB2312" w:eastAsia="仿宋_GB2312" w:cs="仿宋_GB2312"/>
          <w:sz w:val="32"/>
          <w:szCs w:val="32"/>
          <w:highlight w:val="none"/>
          <w:lang w:val="en-US" w:eastAsia="zh-CN"/>
        </w:rPr>
        <w:t>550.35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133.43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w:t>
      </w:r>
    </w:p>
    <w:p>
      <w:pPr>
        <w:spacing w:line="600" w:lineRule="exact"/>
        <w:ind w:firstLine="640" w:firstLineChars="200"/>
        <w:outlineLvl w:val="1"/>
        <w:rPr>
          <w:rStyle w:val="26"/>
          <w:rFonts w:ascii="黑体" w:hAnsi="黑体" w:eastAsia="黑体"/>
          <w:b w:val="0"/>
          <w:color w:val="000000" w:themeColor="text1"/>
          <w:highlight w:val="none"/>
          <w14:textFill>
            <w14:solidFill>
              <w14:schemeClr w14:val="tx1"/>
            </w14:solidFill>
          </w14:textFill>
        </w:rPr>
      </w:pPr>
      <w:bookmarkStart w:id="32" w:name="_Toc15396607"/>
      <w:bookmarkStart w:id="33" w:name="_Toc15377209"/>
      <w:r>
        <w:rPr>
          <w:rFonts w:hint="eastAsia"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b/>
          <w:color w:val="000000" w:themeColor="text1"/>
          <w:sz w:val="32"/>
          <w:szCs w:val="32"/>
          <w:highlight w:val="none"/>
          <w14:textFill>
            <w14:solidFill>
              <w14:schemeClr w14:val="tx1"/>
            </w14:solidFill>
          </w14:textFill>
        </w:rPr>
        <w:t>一</w:t>
      </w:r>
      <w:r>
        <w:rPr>
          <w:rStyle w:val="26"/>
          <w:rFonts w:hint="eastAsia" w:ascii="黑体" w:hAnsi="黑体" w:eastAsia="黑体"/>
          <w:b w:val="0"/>
          <w:color w:val="000000" w:themeColor="text1"/>
          <w:highlight w:val="none"/>
          <w14:textFill>
            <w14:solidFill>
              <w14:schemeClr w14:val="tx1"/>
            </w14:solidFill>
          </w14:textFill>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34" w:name="_Toc15377210"/>
      <w:r>
        <w:rPr>
          <w:rFonts w:hint="eastAsia" w:ascii="仿宋" w:hAnsi="仿宋" w:eastAsia="仿宋"/>
          <w:b/>
          <w:color w:val="000000" w:themeColor="text1"/>
          <w:sz w:val="32"/>
          <w:szCs w:val="32"/>
          <w:highlight w:val="none"/>
          <w14:textFill>
            <w14:solidFill>
              <w14:schemeClr w14:val="tx1"/>
            </w14:solidFill>
          </w14:textFill>
        </w:rPr>
        <w:t>（一）一般公共预算财政拨款支出决算总体情况</w:t>
      </w:r>
      <w:bookmarkEnd w:id="34"/>
    </w:p>
    <w:p>
      <w:pPr>
        <w:spacing w:line="600"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2019</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万元，占本年支出合计的</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。与</w:t>
      </w:r>
      <w:r>
        <w:rPr>
          <w:rFonts w:ascii="仿宋" w:hAnsi="仿宋" w:eastAsia="仿宋"/>
          <w:color w:val="000000" w:themeColor="text1"/>
          <w:sz w:val="32"/>
          <w:szCs w:val="32"/>
          <w:highlight w:val="none"/>
          <w14:textFill>
            <w14:solidFill>
              <w14:schemeClr w14:val="tx1"/>
            </w14:solidFill>
          </w14:textFill>
        </w:rPr>
        <w:t>201</w:t>
      </w:r>
      <w:r>
        <w:rPr>
          <w:rFonts w:hint="eastAsia" w:ascii="仿宋" w:hAnsi="仿宋" w:eastAsia="仿宋"/>
          <w:color w:val="000000" w:themeColor="text1"/>
          <w:sz w:val="32"/>
          <w:szCs w:val="32"/>
          <w:highlight w:val="none"/>
          <w:lang w:val="en-US" w:eastAsia="zh-CN"/>
          <w14:textFill>
            <w14:solidFill>
              <w14:schemeClr w14:val="tx1"/>
            </w14:solidFill>
          </w14:textFill>
        </w:rPr>
        <w:t>8</w:t>
      </w:r>
      <w:r>
        <w:rPr>
          <w:rFonts w:hint="eastAsia" w:ascii="仿宋" w:hAnsi="仿宋" w:eastAsia="仿宋"/>
          <w:color w:val="000000" w:themeColor="text1"/>
          <w:sz w:val="32"/>
          <w:szCs w:val="32"/>
          <w:highlight w:val="none"/>
          <w14:textFill>
            <w14:solidFill>
              <w14:schemeClr w14:val="tx1"/>
            </w14:solidFill>
          </w14:textFill>
        </w:rPr>
        <w:t>年相比，一般公共预算财政拨款</w:t>
      </w:r>
      <w:r>
        <w:rPr>
          <w:rFonts w:hint="eastAsia" w:ascii="仿宋" w:hAnsi="仿宋" w:eastAsia="仿宋"/>
          <w:color w:val="000000" w:themeColor="text1"/>
          <w:sz w:val="32"/>
          <w:szCs w:val="32"/>
          <w:highlight w:val="none"/>
          <w:lang w:eastAsia="zh-CN"/>
          <w14:textFill>
            <w14:solidFill>
              <w14:schemeClr w14:val="tx1"/>
            </w14:solidFill>
          </w14:textFill>
        </w:rPr>
        <w:t>减少</w:t>
      </w:r>
      <w:r>
        <w:rPr>
          <w:rFonts w:hint="eastAsia" w:ascii="仿宋" w:hAnsi="仿宋" w:eastAsia="仿宋"/>
          <w:color w:val="000000" w:themeColor="text1"/>
          <w:sz w:val="32"/>
          <w:szCs w:val="32"/>
          <w:highlight w:val="none"/>
          <w:lang w:val="en-US" w:eastAsia="zh-CN"/>
          <w14:textFill>
            <w14:solidFill>
              <w14:schemeClr w14:val="tx1"/>
            </w14:solidFill>
          </w14:textFill>
        </w:rPr>
        <w:t>133.43</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w:t>
      </w:r>
      <w:r>
        <w:rPr>
          <w:rFonts w:hint="eastAsia" w:ascii="仿宋" w:hAnsi="仿宋" w:eastAsia="仿宋"/>
          <w:color w:val="000000" w:themeColor="text1"/>
          <w:sz w:val="32"/>
          <w:szCs w:val="32"/>
          <w:highlight w:val="none"/>
          <w:lang w:eastAsia="zh-CN"/>
          <w14:textFill>
            <w14:solidFill>
              <w14:schemeClr w14:val="tx1"/>
            </w14:solidFill>
          </w14:textFill>
        </w:rPr>
        <w:t>原因一是决算口径发生变化；二是部分支出使用存量资金支出。</w:t>
      </w:r>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35" w:name="_Toc15377211"/>
      <w:r>
        <w:rPr>
          <w:rFonts w:hint="eastAsia" w:ascii="仿宋" w:hAnsi="仿宋" w:eastAsia="仿宋"/>
          <w:b/>
          <w:color w:val="000000" w:themeColor="text1"/>
          <w:sz w:val="32"/>
          <w:szCs w:val="32"/>
          <w:highlight w:val="none"/>
          <w14:textFill>
            <w14:solidFill>
              <w14:schemeClr w14:val="tx1"/>
            </w14:solidFill>
          </w14:textFill>
        </w:rPr>
        <w:t>（二）一般公共预算财政拨款支出决算结构情况</w:t>
      </w:r>
      <w:bookmarkEnd w:id="35"/>
    </w:p>
    <w:p>
      <w:pPr>
        <w:spacing w:line="600" w:lineRule="exact"/>
        <w:ind w:firstLine="640"/>
        <w:rPr>
          <w:rFonts w:hint="eastAsia" w:ascii="仿宋" w:hAnsi="仿宋" w:eastAsia="仿宋"/>
          <w:color w:val="FF0000"/>
          <w:sz w:val="32"/>
          <w:szCs w:val="32"/>
          <w:highlight w:val="none"/>
          <w:lang w:val="en-US" w:eastAsia="zh-CN"/>
        </w:rPr>
      </w:pPr>
      <w:r>
        <w:rPr>
          <w:rFonts w:hint="eastAsia" w:ascii="仿宋" w:hAnsi="仿宋" w:eastAsia="仿宋"/>
          <w:color w:val="000000" w:themeColor="text1"/>
          <w:sz w:val="32"/>
          <w:szCs w:val="32"/>
          <w:highlight w:val="none"/>
          <w:lang w:eastAsia="zh-CN"/>
          <w14:textFill>
            <w14:solidFill>
              <w14:schemeClr w14:val="tx1"/>
            </w14:solidFill>
          </w14:textFill>
        </w:rPr>
        <w:t>2019</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134.49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32.26</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eastAsia="zh-CN"/>
          <w14:textFill>
            <w14:solidFill>
              <w14:schemeClr w14:val="tx1"/>
            </w14:solidFill>
          </w14:textFill>
        </w:rPr>
        <w:t>公共安全</w:t>
      </w:r>
      <w:r>
        <w:rPr>
          <w:rFonts w:hint="eastAsia" w:ascii="仿宋" w:hAnsi="仿宋" w:eastAsia="仿宋"/>
          <w:b/>
          <w:color w:val="000000" w:themeColor="text1"/>
          <w:sz w:val="32"/>
          <w:szCs w:val="32"/>
          <w:highlight w:val="none"/>
          <w14:textFill>
            <w14:solidFill>
              <w14:schemeClr w14:val="tx1"/>
            </w14:solidFill>
          </w14:textFill>
        </w:rPr>
        <w:t>支出（类）</w:t>
      </w:r>
      <w:r>
        <w:rPr>
          <w:rFonts w:hint="eastAsia" w:ascii="仿宋" w:hAnsi="仿宋" w:eastAsia="仿宋"/>
          <w:color w:val="000000" w:themeColor="text1"/>
          <w:sz w:val="32"/>
          <w:szCs w:val="32"/>
          <w:highlight w:val="none"/>
          <w:lang w:val="en-US" w:eastAsia="zh-CN"/>
          <w14:textFill>
            <w14:solidFill>
              <w14:schemeClr w14:val="tx1"/>
            </w14:solidFill>
          </w14:textFill>
        </w:rPr>
        <w:t>16.29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3.91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；文化旅游体育与传媒支出</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类</w:t>
      </w:r>
      <w:r>
        <w:rPr>
          <w:rFonts w:hint="eastAsia" w:ascii="仿宋" w:hAnsi="仿宋" w:eastAsia="仿宋"/>
          <w:color w:val="000000" w:themeColor="text1"/>
          <w:sz w:val="32"/>
          <w:szCs w:val="32"/>
          <w:highlight w:val="none"/>
          <w:lang w:val="en-US" w:eastAsia="zh-CN"/>
          <w14:textFill>
            <w14:solidFill>
              <w14:schemeClr w14:val="tx1"/>
            </w14:solidFill>
          </w14:textFill>
        </w:rPr>
        <w:t>)0.42万元，占0.1%；</w:t>
      </w: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38.92</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9.34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；医疗卫生</w:t>
      </w:r>
      <w:r>
        <w:rPr>
          <w:rFonts w:hint="eastAsia" w:ascii="仿宋" w:hAnsi="仿宋" w:eastAsia="仿宋"/>
          <w:color w:val="000000" w:themeColor="text1"/>
          <w:sz w:val="32"/>
          <w:szCs w:val="32"/>
          <w:highlight w:val="none"/>
          <w:lang w:eastAsia="zh-CN"/>
          <w14:textFill>
            <w14:solidFill>
              <w14:schemeClr w14:val="tx1"/>
            </w14:solidFill>
          </w14:textFill>
        </w:rPr>
        <w:t>与计划生育</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eastAsia="zh-CN"/>
          <w14:textFill>
            <w14:solidFill>
              <w14:schemeClr w14:val="tx1"/>
            </w14:solidFill>
          </w14:textFill>
        </w:rPr>
        <w:t>（类）</w:t>
      </w:r>
      <w:r>
        <w:rPr>
          <w:rFonts w:hint="eastAsia" w:ascii="仿宋" w:hAnsi="仿宋" w:eastAsia="仿宋"/>
          <w:color w:val="000000" w:themeColor="text1"/>
          <w:sz w:val="32"/>
          <w:szCs w:val="32"/>
          <w:highlight w:val="none"/>
          <w:lang w:val="en-US" w:eastAsia="zh-CN"/>
          <w14:textFill>
            <w14:solidFill>
              <w14:schemeClr w14:val="tx1"/>
            </w14:solidFill>
          </w14:textFill>
        </w:rPr>
        <w:t>16.83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4.04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农林水支出</w:t>
      </w:r>
      <w:r>
        <w:rPr>
          <w:rFonts w:hint="eastAsia" w:ascii="仿宋" w:hAnsi="仿宋" w:eastAsia="仿宋"/>
          <w:color w:val="000000" w:themeColor="text1"/>
          <w:sz w:val="32"/>
          <w:szCs w:val="32"/>
          <w:highlight w:val="none"/>
          <w:lang w:val="en-US" w:eastAsia="zh-CN"/>
          <w14:textFill>
            <w14:solidFill>
              <w14:schemeClr w14:val="tx1"/>
            </w14:solidFill>
          </w14:textFill>
        </w:rPr>
        <w:t>194.31万元，占46.60%；</w:t>
      </w:r>
      <w:r>
        <w:rPr>
          <w:rFonts w:hint="eastAsia" w:ascii="仿宋" w:hAnsi="仿宋" w:eastAsia="仿宋"/>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15.66</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3.75</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w:t>
      </w:r>
    </w:p>
    <w:p>
      <w:pPr>
        <w:spacing w:line="600" w:lineRule="exact"/>
        <w:ind w:firstLine="321" w:firstLineChars="100"/>
        <w:outlineLvl w:val="2"/>
        <w:rPr>
          <w:rFonts w:ascii="仿宋" w:hAnsi="仿宋" w:eastAsia="仿宋"/>
          <w:b/>
          <w:color w:val="000000" w:themeColor="text1"/>
          <w:sz w:val="32"/>
          <w:szCs w:val="32"/>
          <w:highlight w:val="none"/>
          <w14:textFill>
            <w14:solidFill>
              <w14:schemeClr w14:val="tx1"/>
            </w14:solidFill>
          </w14:textFill>
        </w:rPr>
      </w:pPr>
      <w:bookmarkStart w:id="36" w:name="_Toc15377212"/>
      <w:r>
        <w:rPr>
          <w:rFonts w:hint="eastAsia" w:ascii="仿宋" w:hAnsi="仿宋" w:eastAsia="仿宋"/>
          <w:b/>
          <w:color w:val="000000" w:themeColor="text1"/>
          <w:sz w:val="32"/>
          <w:szCs w:val="32"/>
          <w:highlight w:val="none"/>
          <w14:textFill>
            <w14:solidFill>
              <w14:schemeClr w14:val="tx1"/>
            </w14:solidFill>
          </w14:textFill>
        </w:rPr>
        <w:t>（三）一般公共预算财政拨款支出决算具体情况</w:t>
      </w:r>
      <w:bookmarkEnd w:id="36"/>
    </w:p>
    <w:p>
      <w:pPr>
        <w:spacing w:line="600" w:lineRule="exact"/>
        <w:ind w:firstLine="643" w:firstLineChars="200"/>
        <w:outlineLvl w:val="2"/>
        <w:rPr>
          <w:rFonts w:ascii="仿宋" w:hAnsi="仿宋" w:eastAsia="仿宋"/>
          <w:color w:val="000000" w:themeColor="text1"/>
          <w:sz w:val="32"/>
          <w:szCs w:val="32"/>
          <w:highlight w:val="none"/>
          <w14:textFill>
            <w14:solidFill>
              <w14:schemeClr w14:val="tx1"/>
            </w14:solidFill>
          </w14:textFill>
        </w:rPr>
      </w:pPr>
      <w:bookmarkStart w:id="37" w:name="_Toc15377444"/>
      <w:bookmarkStart w:id="38" w:name="_Toc15378460"/>
      <w:bookmarkStart w:id="39" w:name="_Toc15377213"/>
      <w:r>
        <w:rPr>
          <w:rFonts w:hint="eastAsia" w:ascii="仿宋" w:hAnsi="仿宋" w:eastAsia="仿宋"/>
          <w:b/>
          <w:color w:val="000000" w:themeColor="text1"/>
          <w:sz w:val="32"/>
          <w:szCs w:val="32"/>
          <w:highlight w:val="none"/>
          <w14:textFill>
            <w14:solidFill>
              <w14:schemeClr w14:val="tx1"/>
            </w14:solidFill>
          </w14:textFill>
        </w:rPr>
        <w:t>201</w:t>
      </w:r>
      <w:r>
        <w:rPr>
          <w:rFonts w:hint="eastAsia" w:ascii="仿宋" w:hAnsi="仿宋" w:eastAsia="仿宋"/>
          <w:b/>
          <w:color w:val="000000" w:themeColor="text1"/>
          <w:sz w:val="32"/>
          <w:szCs w:val="32"/>
          <w:highlight w:val="none"/>
          <w:lang w:val="en-US" w:eastAsia="zh-CN"/>
          <w14:textFill>
            <w14:solidFill>
              <w14:schemeClr w14:val="tx1"/>
            </w14:solidFill>
          </w14:textFill>
        </w:rPr>
        <w:t>9</w:t>
      </w:r>
      <w:r>
        <w:rPr>
          <w:rFonts w:hint="eastAsia" w:ascii="仿宋" w:hAnsi="仿宋" w:eastAsia="仿宋"/>
          <w:b/>
          <w:color w:val="000000" w:themeColor="text1"/>
          <w:sz w:val="32"/>
          <w:szCs w:val="32"/>
          <w:highlight w:val="none"/>
          <w14:textFill>
            <w14:solidFill>
              <w14:schemeClr w14:val="tx1"/>
            </w14:solidFill>
          </w14:textFill>
        </w:rPr>
        <w:t>年般公共预算支出决算数为</w:t>
      </w:r>
      <w:r>
        <w:rPr>
          <w:rFonts w:hint="eastAsia" w:ascii="仿宋" w:hAnsi="仿宋" w:eastAsia="仿宋"/>
          <w:b/>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w:t>
      </w:r>
      <w:r>
        <w:rPr>
          <w:rStyle w:val="15"/>
          <w:rFonts w:hint="eastAsia" w:ascii="仿宋" w:hAnsi="仿宋" w:eastAsia="仿宋"/>
          <w:bCs/>
          <w:color w:val="000000" w:themeColor="text1"/>
          <w:sz w:val="32"/>
          <w:szCs w:val="32"/>
          <w:highlight w:val="none"/>
          <w14:textFill>
            <w14:solidFill>
              <w14:schemeClr w14:val="tx1"/>
            </w14:solidFill>
          </w14:textFill>
        </w:rPr>
        <w:t>完成预算</w:t>
      </w:r>
      <w:r>
        <w:rPr>
          <w:rStyle w:val="15"/>
          <w:rFonts w:hint="eastAsia" w:ascii="仿宋" w:hAnsi="仿宋" w:eastAsia="仿宋"/>
          <w:bCs/>
          <w:color w:val="000000" w:themeColor="text1"/>
          <w:sz w:val="32"/>
          <w:szCs w:val="32"/>
          <w:highlight w:val="none"/>
          <w:lang w:val="en-US" w:eastAsia="zh-CN"/>
          <w14:textFill>
            <w14:solidFill>
              <w14:schemeClr w14:val="tx1"/>
            </w14:solidFill>
          </w14:textFill>
        </w:rPr>
        <w:t>100</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Cs/>
          <w:color w:val="000000" w:themeColor="text1"/>
          <w:sz w:val="32"/>
          <w:szCs w:val="32"/>
          <w:highlight w:val="none"/>
          <w14:textFill>
            <w14:solidFill>
              <w14:schemeClr w14:val="tx1"/>
            </w14:solidFill>
          </w14:textFill>
        </w:rPr>
        <w:t>。其中：</w:t>
      </w:r>
      <w:bookmarkEnd w:id="37"/>
      <w:bookmarkEnd w:id="38"/>
      <w:bookmarkEnd w:id="39"/>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5"/>
          <w:rFonts w:ascii="仿宋" w:hAnsi="仿宋" w:eastAsia="仿宋"/>
          <w:bCs/>
          <w:color w:val="000000" w:themeColor="text1"/>
          <w:sz w:val="32"/>
          <w:szCs w:val="32"/>
          <w:highlight w:val="none"/>
          <w14:textFill>
            <w14:solidFill>
              <w14:schemeClr w14:val="tx1"/>
            </w14:solidFill>
          </w14:textFill>
        </w:rPr>
        <w:t>1.</w:t>
      </w:r>
      <w:r>
        <w:rPr>
          <w:rStyle w:val="15"/>
          <w:rFonts w:hint="eastAsia" w:ascii="仿宋" w:hAnsi="仿宋" w:eastAsia="仿宋"/>
          <w:bCs/>
          <w:color w:val="000000" w:themeColor="text1"/>
          <w:sz w:val="32"/>
          <w:szCs w:val="32"/>
          <w:highlight w:val="none"/>
          <w14:textFill>
            <w14:solidFill>
              <w14:schemeClr w14:val="tx1"/>
            </w14:solidFill>
          </w14:textFill>
        </w:rPr>
        <w:t>一般公共服务</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ascii="仿宋" w:hAnsi="仿宋" w:eastAsia="仿宋"/>
          <w:b w:val="0"/>
          <w:bCs/>
          <w:color w:val="000000" w:themeColor="text1"/>
          <w:sz w:val="32"/>
          <w:szCs w:val="32"/>
          <w:highlight w:val="none"/>
          <w14:textFill>
            <w14:solidFill>
              <w14:schemeClr w14:val="tx1"/>
            </w14:solidFill>
          </w14:textFill>
        </w:rPr>
        <w:t xml:space="preserve"> </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134.49</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147.05万元的91.46</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3" w:firstLineChars="200"/>
        <w:rPr>
          <w:rFonts w:hint="default" w:ascii="仿宋" w:hAnsi="仿宋" w:eastAsia="仿宋"/>
          <w:b/>
          <w:color w:val="000000" w:themeColor="text1"/>
          <w:sz w:val="32"/>
          <w:szCs w:val="32"/>
          <w:highlight w:val="none"/>
          <w:lang w:val="en-US" w:eastAsia="zh-CN"/>
          <w14:textFill>
            <w14:solidFill>
              <w14:schemeClr w14:val="tx1"/>
            </w14:solidFill>
          </w14:textFill>
        </w:rPr>
      </w:pPr>
      <w:r>
        <w:rPr>
          <w:rStyle w:val="15"/>
          <w:rFonts w:ascii="仿宋" w:hAnsi="仿宋" w:eastAsia="仿宋"/>
          <w:bCs/>
          <w:color w:val="000000" w:themeColor="text1"/>
          <w:sz w:val="32"/>
          <w:szCs w:val="32"/>
          <w:highlight w:val="none"/>
          <w14:textFill>
            <w14:solidFill>
              <w14:schemeClr w14:val="tx1"/>
            </w14:solidFill>
          </w14:textFill>
        </w:rPr>
        <w:t>2.</w:t>
      </w:r>
      <w:r>
        <w:rPr>
          <w:rStyle w:val="15"/>
          <w:rFonts w:hint="eastAsia" w:ascii="仿宋" w:hAnsi="仿宋" w:eastAsia="仿宋"/>
          <w:bCs/>
          <w:color w:val="000000" w:themeColor="text1"/>
          <w:sz w:val="32"/>
          <w:szCs w:val="32"/>
          <w:highlight w:val="none"/>
          <w:lang w:eastAsia="zh-CN"/>
          <w14:textFill>
            <w14:solidFill>
              <w14:schemeClr w14:val="tx1"/>
            </w14:solidFill>
          </w14:textFill>
        </w:rPr>
        <w:t>公共安全</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ascii="仿宋" w:hAnsi="仿宋" w:eastAsia="仿宋"/>
          <w:b w:val="0"/>
          <w:bCs/>
          <w:color w:val="000000" w:themeColor="text1"/>
          <w:sz w:val="32"/>
          <w:szCs w:val="32"/>
          <w:highlight w:val="none"/>
          <w14:textFill>
            <w14:solidFill>
              <w14:schemeClr w14:val="tx1"/>
            </w14:solidFill>
          </w14:textFill>
        </w:rPr>
        <w:t xml:space="preserve"> </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16.29</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8.5万元的191.64</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lang w:eastAsia="zh-CN"/>
          <w14:textFill>
            <w14:solidFill>
              <w14:schemeClr w14:val="tx1"/>
            </w14:solidFill>
          </w14:textFill>
        </w:rPr>
        <w:t>主要原因部门人员变动；</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5"/>
          <w:rFonts w:hint="eastAsia" w:ascii="仿宋" w:hAnsi="仿宋" w:eastAsia="仿宋"/>
          <w:bCs/>
          <w:color w:val="000000" w:themeColor="text1"/>
          <w:sz w:val="32"/>
          <w:szCs w:val="32"/>
          <w:highlight w:val="none"/>
          <w:lang w:val="en-US" w:eastAsia="zh-CN"/>
          <w14:textFill>
            <w14:solidFill>
              <w14:schemeClr w14:val="tx1"/>
            </w14:solidFill>
          </w14:textFill>
        </w:rPr>
        <w:t>3</w:t>
      </w:r>
      <w:r>
        <w:rPr>
          <w:rStyle w:val="15"/>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文化旅游体育与传媒</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ascii="仿宋" w:hAnsi="仿宋" w:eastAsia="仿宋"/>
          <w:b w:val="0"/>
          <w:bCs/>
          <w:color w:val="000000" w:themeColor="text1"/>
          <w:sz w:val="32"/>
          <w:szCs w:val="32"/>
          <w:highlight w:val="none"/>
          <w14:textFill>
            <w14:solidFill>
              <w14:schemeClr w14:val="tx1"/>
            </w14:solidFill>
          </w14:textFill>
        </w:rPr>
        <w:t xml:space="preserve"> </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0.42</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11.02万元的3.81</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lang w:eastAsia="zh-CN"/>
          <w14:textFill>
            <w14:solidFill>
              <w14:schemeClr w14:val="tx1"/>
            </w14:solidFill>
          </w14:textFill>
        </w:rPr>
        <w:t>主要原因部门人员变动；</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5"/>
          <w:rFonts w:hint="eastAsia" w:ascii="仿宋" w:hAnsi="仿宋" w:eastAsia="仿宋"/>
          <w:bCs/>
          <w:color w:val="000000" w:themeColor="text1"/>
          <w:sz w:val="32"/>
          <w:szCs w:val="32"/>
          <w:highlight w:val="none"/>
          <w:lang w:val="en-US" w:eastAsia="zh-CN"/>
          <w14:textFill>
            <w14:solidFill>
              <w14:schemeClr w14:val="tx1"/>
            </w14:solidFill>
          </w14:textFill>
        </w:rPr>
        <w:t>4</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Cs/>
          <w:color w:val="000000" w:themeColor="text1"/>
          <w:sz w:val="32"/>
          <w:szCs w:val="32"/>
          <w:highlight w:val="none"/>
          <w14:textFill>
            <w14:solidFill>
              <w14:schemeClr w14:val="tx1"/>
            </w14:solidFill>
          </w14:textFill>
        </w:rPr>
        <w:t>社会保障和就业</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ascii="仿宋" w:hAnsi="仿宋" w:eastAsia="仿宋"/>
          <w:b w:val="0"/>
          <w:bCs/>
          <w:color w:val="000000" w:themeColor="text1"/>
          <w:sz w:val="32"/>
          <w:szCs w:val="32"/>
          <w:highlight w:val="none"/>
          <w14:textFill>
            <w14:solidFill>
              <w14:schemeClr w14:val="tx1"/>
            </w14:solidFill>
          </w14:textFill>
        </w:rPr>
        <w:t xml:space="preserve"> </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38.92</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48.56万元的80.14</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lang w:eastAsia="zh-CN"/>
          <w14:textFill>
            <w14:solidFill>
              <w14:schemeClr w14:val="tx1"/>
            </w14:solidFill>
          </w14:textFill>
        </w:rPr>
        <w:t>主要原因部门人员变动；</w:t>
      </w:r>
    </w:p>
    <w:p>
      <w:pPr>
        <w:spacing w:line="600" w:lineRule="exact"/>
        <w:ind w:firstLine="643" w:firstLineChars="200"/>
        <w:rPr>
          <w:rStyle w:val="15"/>
          <w:rFonts w:hint="eastAsia" w:ascii="仿宋" w:hAnsi="仿宋" w:eastAsia="仿宋"/>
          <w:b w:val="0"/>
          <w:bCs/>
          <w:color w:val="000000" w:themeColor="text1"/>
          <w:sz w:val="32"/>
          <w:szCs w:val="32"/>
          <w:highlight w:val="none"/>
          <w14:textFill>
            <w14:solidFill>
              <w14:schemeClr w14:val="tx1"/>
            </w14:solidFill>
          </w14:textFill>
        </w:rPr>
      </w:pPr>
      <w:r>
        <w:rPr>
          <w:rStyle w:val="15"/>
          <w:rFonts w:hint="eastAsia" w:ascii="仿宋" w:hAnsi="仿宋" w:eastAsia="仿宋"/>
          <w:bCs/>
          <w:color w:val="000000" w:themeColor="text1"/>
          <w:sz w:val="32"/>
          <w:szCs w:val="32"/>
          <w:highlight w:val="none"/>
          <w:lang w:val="en-US" w:eastAsia="zh-CN"/>
          <w14:textFill>
            <w14:solidFill>
              <w14:schemeClr w14:val="tx1"/>
            </w14:solidFill>
          </w14:textFill>
        </w:rPr>
        <w:t>5</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Cs/>
          <w:color w:val="000000" w:themeColor="text1"/>
          <w:sz w:val="32"/>
          <w:szCs w:val="32"/>
          <w:highlight w:val="none"/>
          <w14:textFill>
            <w14:solidFill>
              <w14:schemeClr w14:val="tx1"/>
            </w14:solidFill>
          </w14:textFill>
        </w:rPr>
        <w:t>医疗卫生与计划生育</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16.83</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23.97万元的70.21</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lang w:eastAsia="zh-CN"/>
          <w14:textFill>
            <w14:solidFill>
              <w14:schemeClr w14:val="tx1"/>
            </w14:solidFill>
          </w14:textFill>
        </w:rPr>
        <w:t>主要原因部门人员变动；</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5"/>
          <w:rFonts w:hint="eastAsia" w:ascii="仿宋" w:hAnsi="仿宋" w:eastAsia="仿宋"/>
          <w:bCs/>
          <w:color w:val="000000" w:themeColor="text1"/>
          <w:sz w:val="32"/>
          <w:szCs w:val="32"/>
          <w:highlight w:val="none"/>
          <w:lang w:val="en-US" w:eastAsia="zh-CN"/>
          <w14:textFill>
            <w14:solidFill>
              <w14:schemeClr w14:val="tx1"/>
            </w14:solidFill>
          </w14:textFill>
        </w:rPr>
        <w:t>6</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Cs/>
          <w:color w:val="000000" w:themeColor="text1"/>
          <w:sz w:val="32"/>
          <w:szCs w:val="32"/>
          <w:highlight w:val="none"/>
          <w:lang w:eastAsia="zh-CN"/>
          <w14:textFill>
            <w14:solidFill>
              <w14:schemeClr w14:val="tx1"/>
            </w14:solidFill>
          </w14:textFill>
        </w:rPr>
        <w:t>农林水</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194.31</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196.32万元的98.98</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3" w:firstLineChars="200"/>
        <w:rPr>
          <w:rStyle w:val="15"/>
          <w:rFonts w:hint="eastAsia" w:ascii="仿宋" w:hAnsi="仿宋" w:eastAsia="仿宋"/>
          <w:b w:val="0"/>
          <w:bCs/>
          <w:color w:val="000000" w:themeColor="text1"/>
          <w:sz w:val="32"/>
          <w:szCs w:val="32"/>
          <w:highlight w:val="none"/>
          <w:lang w:eastAsia="zh-CN"/>
          <w14:textFill>
            <w14:solidFill>
              <w14:schemeClr w14:val="tx1"/>
            </w14:solidFill>
          </w14:textFill>
        </w:rPr>
      </w:pPr>
      <w:r>
        <w:rPr>
          <w:rStyle w:val="15"/>
          <w:rFonts w:hint="eastAsia" w:ascii="仿宋" w:hAnsi="仿宋" w:eastAsia="仿宋"/>
          <w:bCs/>
          <w:color w:val="000000" w:themeColor="text1"/>
          <w:sz w:val="32"/>
          <w:szCs w:val="32"/>
          <w:highlight w:val="none"/>
          <w:lang w:val="en-US" w:eastAsia="zh-CN"/>
          <w14:textFill>
            <w14:solidFill>
              <w14:schemeClr w14:val="tx1"/>
            </w14:solidFill>
          </w14:textFill>
        </w:rPr>
        <w:t>7</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Cs/>
          <w:color w:val="000000" w:themeColor="text1"/>
          <w:sz w:val="32"/>
          <w:szCs w:val="32"/>
          <w:highlight w:val="none"/>
          <w:lang w:eastAsia="zh-CN"/>
          <w14:textFill>
            <w14:solidFill>
              <w14:schemeClr w14:val="tx1"/>
            </w14:solidFill>
          </w14:textFill>
        </w:rPr>
        <w:t>住房保障</w:t>
      </w:r>
      <w:r>
        <w:rPr>
          <w:rStyle w:val="15"/>
          <w:rFonts w:ascii="仿宋" w:hAnsi="仿宋" w:eastAsia="仿宋"/>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15.66</w:t>
      </w:r>
      <w:r>
        <w:rPr>
          <w:rStyle w:val="15"/>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5"/>
          <w:rFonts w:hint="eastAsia" w:ascii="仿宋" w:hAnsi="仿宋" w:eastAsia="仿宋"/>
          <w:b w:val="0"/>
          <w:bCs/>
          <w:color w:val="000000" w:themeColor="text1"/>
          <w:sz w:val="32"/>
          <w:szCs w:val="32"/>
          <w:highlight w:val="none"/>
          <w:lang w:val="en-US" w:eastAsia="zh-CN"/>
          <w14:textFill>
            <w14:solidFill>
              <w14:schemeClr w14:val="tx1"/>
            </w14:solidFill>
          </w14:textFill>
        </w:rPr>
        <w:t>17.21万元的91</w:t>
      </w:r>
      <w:r>
        <w:rPr>
          <w:rStyle w:val="15"/>
          <w:rFonts w:ascii="仿宋" w:hAnsi="仿宋" w:eastAsia="仿宋"/>
          <w:b w:val="0"/>
          <w:bCs/>
          <w:color w:val="000000" w:themeColor="text1"/>
          <w:sz w:val="32"/>
          <w:szCs w:val="32"/>
          <w:highlight w:val="none"/>
          <w14:textFill>
            <w14:solidFill>
              <w14:schemeClr w14:val="tx1"/>
            </w14:solidFill>
          </w14:textFill>
        </w:rPr>
        <w:t>%</w:t>
      </w:r>
      <w:r>
        <w:rPr>
          <w:rStyle w:val="15"/>
          <w:rFonts w:hint="eastAsia" w:ascii="仿宋" w:hAnsi="仿宋" w:eastAsia="仿宋"/>
          <w:b w:val="0"/>
          <w:bCs/>
          <w:color w:val="000000" w:themeColor="text1"/>
          <w:sz w:val="32"/>
          <w:szCs w:val="32"/>
          <w:highlight w:val="none"/>
          <w:lang w:eastAsia="zh-CN"/>
          <w14:textFill>
            <w14:solidFill>
              <w14:schemeClr w14:val="tx1"/>
            </w14:solidFill>
          </w14:textFill>
        </w:rPr>
        <w:t>。</w:t>
      </w:r>
    </w:p>
    <w:p>
      <w:pPr>
        <w:tabs>
          <w:tab w:val="right" w:pos="8306"/>
        </w:tabs>
        <w:spacing w:line="600" w:lineRule="exact"/>
        <w:ind w:firstLine="640"/>
        <w:outlineLvl w:val="1"/>
        <w:rPr>
          <w:rStyle w:val="26"/>
          <w:color w:val="000000" w:themeColor="text1"/>
          <w:highlight w:val="none"/>
          <w14:textFill>
            <w14:solidFill>
              <w14:schemeClr w14:val="tx1"/>
            </w14:solidFill>
          </w14:textFill>
        </w:rPr>
      </w:pPr>
      <w:bookmarkStart w:id="40" w:name="_Toc15396608"/>
      <w:bookmarkStart w:id="41" w:name="_Toc15377214"/>
      <w:r>
        <w:rPr>
          <w:rFonts w:hint="eastAsia" w:ascii="黑体" w:eastAsia="黑体"/>
          <w:color w:val="000000" w:themeColor="text1"/>
          <w:sz w:val="32"/>
          <w:szCs w:val="32"/>
          <w:highlight w:val="none"/>
          <w14:textFill>
            <w14:solidFill>
              <w14:schemeClr w14:val="tx1"/>
            </w14:solidFill>
          </w14:textFill>
        </w:rPr>
        <w:t>六</w:t>
      </w:r>
      <w:r>
        <w:rPr>
          <w:rFonts w:hint="eastAsia" w:ascii="黑体" w:eastAsia="黑体"/>
          <w:b/>
          <w:color w:val="000000" w:themeColor="text1"/>
          <w:sz w:val="32"/>
          <w:szCs w:val="32"/>
          <w:highlight w:val="none"/>
          <w14:textFill>
            <w14:solidFill>
              <w14:schemeClr w14:val="tx1"/>
            </w14:solidFill>
          </w14:textFill>
        </w:rPr>
        <w:t>、</w:t>
      </w:r>
      <w:r>
        <w:rPr>
          <w:rFonts w:hint="eastAsia" w:ascii="黑体" w:hAnsi="黑体" w:eastAsia="黑体"/>
          <w:b/>
          <w:color w:val="000000" w:themeColor="text1"/>
          <w:sz w:val="32"/>
          <w:szCs w:val="32"/>
          <w:highlight w:val="none"/>
          <w14:textFill>
            <w14:solidFill>
              <w14:schemeClr w14:val="tx1"/>
            </w14:solidFill>
          </w14:textFill>
        </w:rPr>
        <w:t>一</w:t>
      </w:r>
      <w:r>
        <w:rPr>
          <w:rStyle w:val="26"/>
          <w:rFonts w:hint="eastAsia" w:ascii="黑体" w:hAnsi="黑体" w:eastAsia="黑体"/>
          <w:b w:val="0"/>
          <w:color w:val="000000" w:themeColor="text1"/>
          <w:highlight w:val="none"/>
          <w14:textFill>
            <w14:solidFill>
              <w14:schemeClr w14:val="tx1"/>
            </w14:solidFill>
          </w14:textFill>
        </w:rPr>
        <w:t>般公共预算财政拨款基本支出决算情况说明</w:t>
      </w:r>
      <w:bookmarkEnd w:id="40"/>
      <w:bookmarkEnd w:id="41"/>
      <w:r>
        <w:rPr>
          <w:rStyle w:val="26"/>
          <w:rFonts w:ascii="黑体" w:hAnsi="黑体" w:eastAsia="黑体"/>
          <w:b w:val="0"/>
          <w:color w:val="000000" w:themeColor="text1"/>
          <w:highlight w:val="none"/>
          <w14:textFill>
            <w14:solidFill>
              <w14:schemeClr w14:val="tx1"/>
            </w14:solidFill>
          </w14:textFill>
        </w:rPr>
        <w:tab/>
      </w:r>
    </w:p>
    <w:p>
      <w:pPr>
        <w:spacing w:line="600" w:lineRule="exact"/>
        <w:ind w:firstLine="645"/>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201</w:t>
      </w:r>
      <w:r>
        <w:rPr>
          <w:rFonts w:hint="eastAsia" w:ascii="仿宋" w:hAnsi="仿宋" w:eastAsia="仿宋"/>
          <w:color w:val="000000" w:themeColor="text1"/>
          <w:sz w:val="32"/>
          <w:szCs w:val="32"/>
          <w:highlight w:val="none"/>
          <w:lang w:val="en-US" w:eastAsia="zh-CN"/>
          <w14:textFill>
            <w14:solidFill>
              <w14:schemeClr w14:val="tx1"/>
            </w14:solidFill>
          </w14:textFill>
        </w:rPr>
        <w:t>9</w:t>
      </w:r>
      <w:r>
        <w:rPr>
          <w:rFonts w:hint="eastAsia" w:ascii="仿宋" w:hAnsi="仿宋" w:eastAsia="仿宋"/>
          <w:color w:val="000000" w:themeColor="text1"/>
          <w:sz w:val="32"/>
          <w:szCs w:val="32"/>
          <w:highlight w:val="none"/>
          <w14:textFill>
            <w14:solidFill>
              <w14:schemeClr w14:val="tx1"/>
            </w14:solidFill>
          </w14:textFill>
        </w:rPr>
        <w:t>年一般公共预算财政拨款基本支出</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万元，其中：</w:t>
      </w:r>
    </w:p>
    <w:p>
      <w:pPr>
        <w:spacing w:line="600" w:lineRule="exact"/>
        <w:ind w:firstLine="645"/>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人员经费</w:t>
      </w:r>
      <w:r>
        <w:rPr>
          <w:rFonts w:hint="eastAsia" w:ascii="仿宋" w:hAnsi="仿宋" w:eastAsia="仿宋"/>
          <w:color w:val="000000" w:themeColor="text1"/>
          <w:sz w:val="32"/>
          <w:szCs w:val="32"/>
          <w:highlight w:val="none"/>
          <w:lang w:val="en-US" w:eastAsia="zh-CN"/>
          <w14:textFill>
            <w14:solidFill>
              <w14:schemeClr w14:val="tx1"/>
            </w14:solidFill>
          </w14:textFill>
        </w:rPr>
        <w:t>272.60</w:t>
      </w:r>
      <w:r>
        <w:rPr>
          <w:rFonts w:hint="eastAsia" w:ascii="仿宋" w:hAnsi="仿宋" w:eastAsia="仿宋"/>
          <w:color w:val="000000" w:themeColor="text1"/>
          <w:sz w:val="32"/>
          <w:szCs w:val="32"/>
          <w:highlight w:val="none"/>
          <w14:textFill>
            <w14:solidFill>
              <w14:schemeClr w14:val="tx1"/>
            </w14:solidFill>
          </w14:textFill>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themeColor="text1"/>
          <w:sz w:val="32"/>
          <w:szCs w:val="32"/>
          <w:highlight w:val="none"/>
          <w14:textFill>
            <w14:solidFill>
              <w14:schemeClr w14:val="tx1"/>
            </w14:solidFill>
          </w14:textFill>
        </w:rPr>
        <w:br w:type="textWrapping"/>
      </w:r>
      <w:r>
        <w:rPr>
          <w:rFonts w:hint="eastAsia" w:ascii="仿宋" w:hAnsi="仿宋" w:eastAsia="仿宋"/>
          <w:color w:val="000000" w:themeColor="text1"/>
          <w:sz w:val="32"/>
          <w:szCs w:val="32"/>
          <w:highlight w:val="none"/>
          <w14:textFill>
            <w14:solidFill>
              <w14:schemeClr w14:val="tx1"/>
            </w14:solidFill>
          </w14:textFill>
        </w:rPr>
        <w:t>　　公用经费</w:t>
      </w:r>
      <w:r>
        <w:rPr>
          <w:rFonts w:hint="eastAsia" w:ascii="仿宋" w:hAnsi="仿宋" w:eastAsia="仿宋"/>
          <w:color w:val="auto"/>
          <w:sz w:val="32"/>
          <w:szCs w:val="32"/>
          <w:highlight w:val="none"/>
          <w:lang w:val="en-US" w:eastAsia="zh-CN"/>
        </w:rPr>
        <w:t>144.32</w:t>
      </w:r>
      <w:r>
        <w:rPr>
          <w:rFonts w:hint="eastAsia" w:ascii="仿宋" w:hAnsi="仿宋" w:eastAsia="仿宋"/>
          <w:color w:val="000000" w:themeColor="text1"/>
          <w:sz w:val="32"/>
          <w:szCs w:val="32"/>
          <w:highlight w:val="none"/>
          <w14:textFill>
            <w14:solidFill>
              <w14:schemeClr w14:val="tx1"/>
            </w14:solidFill>
          </w14:textFill>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color w:val="auto"/>
          <w:highlight w:val="none"/>
        </w:rPr>
      </w:pPr>
      <w:bookmarkStart w:id="42" w:name="_Toc15377215"/>
      <w:bookmarkStart w:id="43"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2019</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2.94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2019</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%。全年安排因公出国（境）团组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次，出国（境）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人。因公出国（境）支出决算比201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年增加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2.公务用车购置及运行维护费支出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%。公务用车购置及运行维护费支出决算比</w:t>
      </w:r>
      <w:r>
        <w:rPr>
          <w:rFonts w:hint="eastAsia" w:ascii="仿宋" w:hAnsi="仿宋" w:eastAsia="仿宋"/>
          <w:color w:val="auto"/>
          <w:sz w:val="32"/>
          <w:szCs w:val="32"/>
          <w:highlight w:val="none"/>
          <w:lang w:eastAsia="zh-CN"/>
        </w:rPr>
        <w:t>2019</w:t>
      </w:r>
      <w:r>
        <w:rPr>
          <w:rFonts w:hint="eastAsia" w:ascii="仿宋" w:hAnsi="仿宋" w:eastAsia="仿宋"/>
          <w:color w:val="auto"/>
          <w:sz w:val="32"/>
          <w:szCs w:val="32"/>
          <w:highlight w:val="none"/>
        </w:rPr>
        <w:t>年增加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其中：公务用车购置支出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万元。全年按规定更新购置公务用车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辆，公务用车运行维护费支出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3.公务接待费支出</w:t>
      </w:r>
      <w:r>
        <w:rPr>
          <w:rFonts w:hint="eastAsia" w:ascii="仿宋" w:hAnsi="仿宋" w:eastAsia="仿宋"/>
          <w:color w:val="auto"/>
          <w:sz w:val="32"/>
          <w:szCs w:val="32"/>
          <w:highlight w:val="none"/>
          <w:lang w:val="en-US" w:eastAsia="zh-CN"/>
        </w:rPr>
        <w:t>2.94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%。公务接待费较201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年预算持平。主要原因是按照党中央、国务院关于过“紧日子”和坚持厉行节约反对浪</w:t>
      </w:r>
      <w:r>
        <w:rPr>
          <w:rFonts w:ascii="宋体" w:hAnsi="宋体" w:eastAsia="宋体" w:cs="宋体"/>
          <w:i w:val="0"/>
          <w:iCs w:val="0"/>
          <w:caps w:val="0"/>
          <w:color w:val="000000"/>
          <w:spacing w:val="0"/>
          <w:sz w:val="30"/>
          <w:szCs w:val="30"/>
        </w:rPr>
        <w:t>费的要求，进一步减少公务接待费支出。</w:t>
      </w:r>
      <w:r>
        <w:rPr>
          <w:rFonts w:hint="eastAsia" w:ascii="仿宋_GB2312" w:eastAsia="仿宋_GB2312"/>
          <w:color w:val="auto"/>
          <w:sz w:val="32"/>
          <w:szCs w:val="32"/>
          <w:highlight w:val="none"/>
        </w:rPr>
        <w:t>主要用于执行公务、开展业务活动开支的住宿费、用餐费等。国内公务接待</w:t>
      </w:r>
      <w:r>
        <w:rPr>
          <w:rFonts w:hint="eastAsia" w:ascii="仿宋_GB2312" w:eastAsia="仿宋_GB2312"/>
          <w:color w:val="auto"/>
          <w:sz w:val="32"/>
          <w:szCs w:val="32"/>
          <w:highlight w:val="none"/>
          <w:lang w:val="en-US" w:eastAsia="zh-CN"/>
        </w:rPr>
        <w:t>185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约</w:t>
      </w:r>
      <w:r>
        <w:rPr>
          <w:rFonts w:hint="eastAsia" w:ascii="仿宋_GB2312" w:eastAsia="仿宋_GB2312"/>
          <w:color w:val="auto"/>
          <w:sz w:val="32"/>
          <w:szCs w:val="32"/>
          <w:highlight w:val="none"/>
          <w:lang w:val="en-US" w:eastAsia="zh-CN"/>
        </w:rPr>
        <w:t>952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2.94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具体内容包括：</w:t>
      </w:r>
      <w:r>
        <w:rPr>
          <w:rFonts w:hint="eastAsia" w:ascii="仿宋_GB2312" w:eastAsia="仿宋_GB2312"/>
          <w:color w:val="auto"/>
          <w:sz w:val="32"/>
          <w:szCs w:val="32"/>
          <w:highlight w:val="none"/>
          <w:lang w:eastAsia="zh-CN"/>
        </w:rPr>
        <w:t>上级部门到乡检查指导工作、脱贫攻坚迎检等。</w:t>
      </w:r>
      <w:r>
        <w:rPr>
          <w:rFonts w:hint="eastAsia" w:ascii="仿宋_GB2312" w:eastAsia="仿宋_GB2312"/>
          <w:color w:val="auto"/>
          <w:sz w:val="32"/>
          <w:szCs w:val="32"/>
          <w:highlight w:val="none"/>
        </w:rPr>
        <w:t>其中：外事接待支出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万元。其他国内公务接待支出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2019</w:t>
      </w:r>
      <w:r>
        <w:rPr>
          <w:rFonts w:hint="eastAsia" w:ascii="仿宋_GB2312" w:eastAsia="仿宋_GB2312"/>
          <w:color w:val="auto"/>
          <w:sz w:val="32"/>
          <w:szCs w:val="32"/>
          <w:highlight w:val="none"/>
        </w:rPr>
        <w:t>年政府性基金预算拨款支出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r>
        <w:rPr>
          <w:rStyle w:val="26"/>
          <w:rFonts w:hint="eastAsia" w:ascii="黑体" w:hAnsi="黑体" w:eastAsia="黑体"/>
          <w:b w:val="0"/>
          <w:color w:val="auto"/>
          <w:highlight w:val="none"/>
        </w:rPr>
        <w:t>国有资本经营预算支出决算情况说明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2019</w:t>
      </w:r>
      <w:r>
        <w:rPr>
          <w:rFonts w:hint="eastAsia" w:ascii="仿宋_GB2312" w:eastAsia="仿宋_GB2312"/>
          <w:color w:val="auto"/>
          <w:sz w:val="32"/>
          <w:szCs w:val="32"/>
          <w:highlight w:val="none"/>
        </w:rPr>
        <w:t>年国有资本经营预算拨款支出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24"/>
        <w:numPr>
          <w:ilvl w:val="0"/>
          <w:numId w:val="0"/>
        </w:numPr>
        <w:spacing w:line="580" w:lineRule="exact"/>
        <w:ind w:firstLine="640" w:firstLineChars="200"/>
        <w:rPr>
          <w:rStyle w:val="26"/>
          <w:rFonts w:ascii="黑体" w:hAnsi="黑体" w:eastAsia="黑体"/>
          <w:b w:val="0"/>
          <w:color w:val="auto"/>
          <w:highlight w:val="none"/>
        </w:rPr>
      </w:pPr>
      <w:r>
        <w:rPr>
          <w:rStyle w:val="26"/>
          <w:rFonts w:hint="eastAsia" w:ascii="黑体" w:hAnsi="黑体" w:eastAsia="黑体"/>
          <w:b w:val="0"/>
          <w:color w:val="auto"/>
          <w:highlight w:val="none"/>
          <w:lang w:eastAsia="zh-CN"/>
        </w:rPr>
        <w:t>十、</w:t>
      </w:r>
      <w:r>
        <w:rPr>
          <w:rStyle w:val="26"/>
          <w:rFonts w:hint="eastAsia" w:ascii="黑体" w:hAnsi="黑体" w:eastAsia="黑体"/>
          <w:b w:val="0"/>
          <w:color w:val="auto"/>
          <w:highlight w:val="none"/>
        </w:rPr>
        <w:t>预算绩效情况说明</w:t>
      </w:r>
    </w:p>
    <w:p>
      <w:pPr>
        <w:numPr>
          <w:ilvl w:val="0"/>
          <w:numId w:val="4"/>
        </w:numPr>
        <w:spacing w:line="580" w:lineRule="exact"/>
        <w:ind w:firstLine="643" w:firstLineChars="200"/>
        <w:rPr>
          <w:rFonts w:ascii="仿宋" w:hAnsi="仿宋" w:eastAsia="仿宋" w:cs="楷体_GB2312"/>
          <w:b/>
          <w:bCs/>
          <w:color w:val="auto"/>
          <w:sz w:val="32"/>
          <w:szCs w:val="32"/>
          <w:highlight w:val="none"/>
        </w:rPr>
      </w:pPr>
      <w:r>
        <w:rPr>
          <w:rFonts w:hint="eastAsia" w:ascii="仿宋" w:hAnsi="仿宋" w:eastAsia="仿宋" w:cs="楷体_GB2312"/>
          <w:b/>
          <w:bCs/>
          <w:color w:val="auto"/>
          <w:sz w:val="32"/>
          <w:szCs w:val="32"/>
          <w:highlight w:val="none"/>
        </w:rPr>
        <w:t>预算绩效管理工作开展情况。</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根据预算绩效管理要求，本部门（单位）在年初预算编制阶段，组织对</w:t>
      </w:r>
      <w:r>
        <w:rPr>
          <w:rFonts w:hint="eastAsia" w:ascii="仿宋_GB2312" w:eastAsia="仿宋_GB2312"/>
          <w:color w:val="auto"/>
          <w:sz w:val="32"/>
          <w:szCs w:val="32"/>
          <w:highlight w:val="none"/>
          <w:lang w:val="en-US" w:eastAsia="zh-CN"/>
        </w:rPr>
        <w:t>2019年农村公共运行维护资金</w:t>
      </w:r>
      <w:r>
        <w:rPr>
          <w:rFonts w:hint="eastAsia" w:ascii="仿宋_GB2312" w:eastAsia="仿宋_GB2312"/>
          <w:color w:val="auto"/>
          <w:sz w:val="32"/>
          <w:szCs w:val="32"/>
          <w:highlight w:val="none"/>
          <w:lang w:eastAsia="zh-CN"/>
        </w:rPr>
        <w:t>项目开展了预算事前绩效评估，对</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个项目编制了绩效目标，预算执行过程中，选取</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个项目开展绩效监控，年终执行完毕后，对</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个项目开展了绩效目标完成情况梳理填报。</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本部门按要求对2019年部门整体支出开展绩效自评，从评价情况来看香溪乡2019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2019年基本完成，在保障机关运转、履行职能职责上整体情况良好。通过对香溪乡2019年部门财务管理三级指标的分析考评，香溪乡2019年部门财务管理绩效评价得分为</w:t>
      </w:r>
      <w:r>
        <w:rPr>
          <w:rFonts w:hint="eastAsia" w:ascii="仿宋_GB2312" w:eastAsia="仿宋_GB2312"/>
          <w:color w:val="auto"/>
          <w:sz w:val="32"/>
          <w:szCs w:val="32"/>
          <w:highlight w:val="none"/>
          <w:lang w:val="en-US" w:eastAsia="zh-CN"/>
        </w:rPr>
        <w:t>92</w:t>
      </w:r>
      <w:r>
        <w:rPr>
          <w:rFonts w:hint="eastAsia" w:ascii="仿宋_GB2312" w:eastAsia="仿宋_GB2312"/>
          <w:color w:val="auto"/>
          <w:sz w:val="32"/>
          <w:szCs w:val="32"/>
          <w:highlight w:val="none"/>
          <w:lang w:eastAsia="zh-CN"/>
        </w:rPr>
        <w:t>分，综合评价结果为良级。本部门还自行组织了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个项目绩效评价，从评价情况来看基层组织活动和公共运行维护资金的实施，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基层组织活动和公共运行维护资金三级指标的分析考评，该项目的绩效评价得分为</w:t>
      </w:r>
      <w:r>
        <w:rPr>
          <w:rFonts w:hint="eastAsia" w:ascii="仿宋_GB2312" w:eastAsia="仿宋_GB2312"/>
          <w:color w:val="auto"/>
          <w:sz w:val="32"/>
          <w:szCs w:val="32"/>
          <w:highlight w:val="none"/>
          <w:lang w:val="en-US" w:eastAsia="zh-CN"/>
        </w:rPr>
        <w:t>91</w:t>
      </w:r>
      <w:r>
        <w:rPr>
          <w:rFonts w:hint="eastAsia" w:ascii="仿宋_GB2312" w:eastAsia="仿宋_GB2312"/>
          <w:color w:val="auto"/>
          <w:sz w:val="32"/>
          <w:szCs w:val="32"/>
          <w:highlight w:val="none"/>
          <w:lang w:eastAsia="zh-CN"/>
        </w:rPr>
        <w:t>分(具体指标分值见附件)，综合评价结果为优级。</w:t>
      </w:r>
    </w:p>
    <w:p>
      <w:pPr>
        <w:numPr>
          <w:ilvl w:val="0"/>
          <w:numId w:val="4"/>
        </w:numPr>
        <w:spacing w:line="580" w:lineRule="exact"/>
        <w:ind w:firstLine="643" w:firstLineChars="200"/>
        <w:rPr>
          <w:rFonts w:ascii="仿宋_GB2312" w:hAnsi="仿宋_GB2312" w:eastAsia="仿宋_GB2312" w:cs="仿宋_GB2312"/>
          <w:color w:val="auto"/>
          <w:sz w:val="32"/>
          <w:szCs w:val="32"/>
          <w:highlight w:val="none"/>
        </w:rPr>
      </w:pPr>
      <w:r>
        <w:rPr>
          <w:rFonts w:hint="eastAsia" w:ascii="仿宋" w:hAnsi="仿宋" w:eastAsia="仿宋" w:cs="楷体_GB2312"/>
          <w:b/>
          <w:bCs/>
          <w:color w:val="auto"/>
          <w:sz w:val="32"/>
          <w:szCs w:val="32"/>
          <w:highlight w:val="none"/>
        </w:rPr>
        <w:t>项目绩效目标完成情况。</w:t>
      </w:r>
      <w:r>
        <w:rPr>
          <w:rFonts w:hint="eastAsia" w:ascii="楷体_GB2312" w:hAnsi="楷体_GB2312" w:eastAsia="楷体_GB2312" w:cs="楷体_GB2312"/>
          <w:b/>
          <w:bCs/>
          <w:color w:val="auto"/>
          <w:sz w:val="32"/>
          <w:szCs w:val="32"/>
          <w:highlight w:val="none"/>
        </w:rPr>
        <w:br w:type="textWrapping"/>
      </w:r>
      <w:r>
        <w:rPr>
          <w:rFonts w:hint="eastAsia" w:ascii="仿宋_GB2312" w:hAnsi="仿宋_GB2312" w:eastAsia="仿宋_GB2312" w:cs="仿宋_GB2312"/>
          <w:color w:val="auto"/>
          <w:sz w:val="32"/>
          <w:szCs w:val="32"/>
          <w:highlight w:val="none"/>
        </w:rPr>
        <w:t xml:space="preserve">    本部门在</w:t>
      </w:r>
      <w:r>
        <w:rPr>
          <w:rFonts w:hint="eastAsia" w:ascii="仿宋_GB2312" w:hAnsi="仿宋_GB2312" w:eastAsia="仿宋_GB2312" w:cs="仿宋_GB2312"/>
          <w:color w:val="auto"/>
          <w:sz w:val="32"/>
          <w:szCs w:val="32"/>
          <w:highlight w:val="none"/>
          <w:lang w:eastAsia="zh-CN"/>
        </w:rPr>
        <w:t>2019</w:t>
      </w:r>
      <w:r>
        <w:rPr>
          <w:rFonts w:hint="eastAsia" w:ascii="仿宋_GB2312" w:hAnsi="仿宋_GB2312" w:eastAsia="仿宋_GB2312" w:cs="仿宋_GB2312"/>
          <w:color w:val="auto"/>
          <w:sz w:val="32"/>
          <w:szCs w:val="32"/>
          <w:highlight w:val="none"/>
        </w:rPr>
        <w:t>年度部门决算中反映</w:t>
      </w:r>
      <w:r>
        <w:rPr>
          <w:rFonts w:hint="eastAsia" w:ascii="仿宋_GB2312" w:hAnsi="仿宋_GB2312" w:eastAsia="仿宋_GB2312" w:cs="仿宋_GB2312"/>
          <w:color w:val="auto"/>
          <w:sz w:val="32"/>
          <w:szCs w:val="32"/>
          <w:highlight w:val="none"/>
          <w:lang w:eastAsia="zh-CN"/>
        </w:rPr>
        <w:t>农村公共运行维护资金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个项目绩效目标实际完成情况。</w:t>
      </w:r>
    </w:p>
    <w:p>
      <w:pPr>
        <w:ind w:firstLine="640"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lang w:eastAsia="zh-CN"/>
        </w:rPr>
        <w:t>广元市昭化区香溪乡人民政府农村公共运行维护资金</w:t>
      </w:r>
      <w:r>
        <w:rPr>
          <w:rFonts w:hint="eastAsia" w:ascii="仿宋_GB2312" w:hAnsi="仿宋_GB2312" w:eastAsia="仿宋_GB2312" w:cs="仿宋_GB2312"/>
          <w:color w:val="auto"/>
          <w:sz w:val="32"/>
          <w:szCs w:val="32"/>
          <w:highlight w:val="none"/>
        </w:rPr>
        <w:t>项目绩效目标完成情况综述。项目全年预算数</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万元，执行数为</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%。通过项目实施，保障了加强基层组织建设，提高基层公共服务保障水平和社会治理能力，完成</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村</w:t>
      </w:r>
      <w:r>
        <w:rPr>
          <w:rFonts w:hint="eastAsia" w:ascii="仿宋_GB2312" w:hAnsi="仿宋_GB2312" w:eastAsia="仿宋_GB2312" w:cs="仿宋_GB2312"/>
          <w:color w:val="auto"/>
          <w:sz w:val="32"/>
          <w:szCs w:val="32"/>
          <w:highlight w:val="none"/>
          <w:lang w:eastAsia="zh-CN"/>
        </w:rPr>
        <w:t>（社区）</w:t>
      </w:r>
      <w:r>
        <w:rPr>
          <w:rFonts w:hint="eastAsia" w:ascii="仿宋_GB2312" w:hAnsi="仿宋_GB2312" w:eastAsia="仿宋_GB2312" w:cs="仿宋_GB2312"/>
          <w:color w:val="auto"/>
          <w:sz w:val="32"/>
          <w:szCs w:val="32"/>
          <w:highlight w:val="none"/>
        </w:rPr>
        <w:t>基础设施维护，维持</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村（社区）正常运行等。发现的主要问题：</w:t>
      </w:r>
      <w:r>
        <w:rPr>
          <w:rFonts w:hint="eastAsia" w:ascii="仿宋" w:hAnsi="仿宋" w:eastAsia="仿宋" w:cs="仿宋"/>
          <w:color w:val="auto"/>
          <w:sz w:val="32"/>
          <w:szCs w:val="32"/>
          <w:highlight w:val="none"/>
          <w:lang w:eastAsia="zh-CN"/>
        </w:rPr>
        <w:t>一是</w:t>
      </w:r>
      <w:r>
        <w:rPr>
          <w:rFonts w:hint="eastAsia" w:ascii="仿宋" w:hAnsi="仿宋" w:eastAsia="仿宋" w:cs="仿宋"/>
          <w:color w:val="auto"/>
          <w:sz w:val="32"/>
          <w:szCs w:val="32"/>
          <w:highlight w:val="none"/>
        </w:rPr>
        <w:t>村社干部及农户对农村公共服务运行维护机制建设认识尚不到位，存在重建设、轻管理消极思想，对既有的建设成果不珍惜，不能长时间保持与维护。</w:t>
      </w:r>
      <w:r>
        <w:rPr>
          <w:rFonts w:hint="eastAsia" w:ascii="仿宋" w:hAnsi="仿宋" w:eastAsia="仿宋" w:cs="仿宋"/>
          <w:color w:val="auto"/>
          <w:sz w:val="32"/>
          <w:szCs w:val="32"/>
          <w:highlight w:val="none"/>
          <w:lang w:eastAsia="zh-CN"/>
        </w:rPr>
        <w:t>二是</w:t>
      </w:r>
      <w:r>
        <w:rPr>
          <w:rFonts w:hint="eastAsia" w:ascii="仿宋" w:hAnsi="仿宋" w:eastAsia="仿宋" w:cs="仿宋"/>
          <w:color w:val="auto"/>
          <w:sz w:val="32"/>
          <w:szCs w:val="32"/>
          <w:highlight w:val="none"/>
        </w:rPr>
        <w:t>项目申报、实施、管理等系列程序尚缺乏一套完整、详细、有效的制度和奖惩措施，导致在项目实施过程中，存在有些具体细节不好把握的问题，如有待规范规定维护项目应有保质期标准等。</w:t>
      </w:r>
      <w:r>
        <w:rPr>
          <w:rFonts w:hint="eastAsia" w:ascii="仿宋" w:hAnsi="仿宋" w:eastAsia="仿宋" w:cs="仿宋"/>
          <w:color w:val="auto"/>
          <w:sz w:val="32"/>
          <w:szCs w:val="32"/>
          <w:highlight w:val="none"/>
          <w:lang w:eastAsia="zh-CN"/>
        </w:rPr>
        <w:t>三是</w:t>
      </w:r>
      <w:r>
        <w:rPr>
          <w:rFonts w:hint="eastAsia" w:ascii="仿宋" w:hAnsi="仿宋" w:eastAsia="仿宋" w:cs="仿宋"/>
          <w:color w:val="auto"/>
          <w:sz w:val="32"/>
          <w:szCs w:val="32"/>
          <w:highlight w:val="none"/>
        </w:rPr>
        <w:t>资金存在严重不足，如有些村有道路由于遭受过暴雨毁损，没有足够的资金进行维护，个别山坪塘漏水无资金维修，日常道路保洁因为资金受限，工资太低，无人愿意清扫等问题。</w:t>
      </w:r>
      <w:r>
        <w:rPr>
          <w:rFonts w:hint="eastAsia" w:ascii="仿宋_GB2312" w:hAnsi="仿宋_GB2312" w:eastAsia="仿宋_GB2312" w:cs="仿宋_GB2312"/>
          <w:color w:val="auto"/>
          <w:sz w:val="32"/>
          <w:szCs w:val="32"/>
          <w:highlight w:val="none"/>
        </w:rPr>
        <w:t>下一步改进措施：</w:t>
      </w:r>
      <w:r>
        <w:rPr>
          <w:rFonts w:hint="eastAsia" w:ascii="仿宋_GB2312" w:hAnsi="仿宋_GB2312" w:eastAsia="仿宋_GB2312" w:cs="仿宋_GB2312"/>
          <w:color w:val="auto"/>
          <w:sz w:val="32"/>
          <w:szCs w:val="32"/>
          <w:highlight w:val="none"/>
          <w:lang w:eastAsia="zh-CN"/>
        </w:rPr>
        <w:t>一是</w:t>
      </w:r>
      <w:r>
        <w:rPr>
          <w:rFonts w:hint="eastAsia" w:ascii="仿宋" w:hAnsi="仿宋" w:eastAsia="仿宋" w:cs="仿宋"/>
          <w:color w:val="auto"/>
          <w:sz w:val="32"/>
          <w:szCs w:val="32"/>
          <w:highlight w:val="none"/>
        </w:rPr>
        <w:t>规范性出台一套项目管理的奖惩制度，促进村社及农户对维护项目成果的珍惜和保持。</w:t>
      </w:r>
      <w:r>
        <w:rPr>
          <w:rFonts w:hint="eastAsia" w:ascii="仿宋" w:hAnsi="仿宋" w:eastAsia="仿宋" w:cs="仿宋"/>
          <w:color w:val="auto"/>
          <w:sz w:val="32"/>
          <w:szCs w:val="32"/>
          <w:highlight w:val="none"/>
          <w:lang w:eastAsia="zh-CN"/>
        </w:rPr>
        <w:t>二是</w:t>
      </w:r>
      <w:r>
        <w:rPr>
          <w:rFonts w:hint="eastAsia" w:ascii="仿宋" w:hAnsi="仿宋" w:eastAsia="仿宋" w:cs="仿宋"/>
          <w:color w:val="auto"/>
          <w:sz w:val="32"/>
          <w:szCs w:val="32"/>
          <w:highlight w:val="none"/>
        </w:rPr>
        <w:t>进一步完善法规程序，加强公开透明，避免民主参与流于形式。</w:t>
      </w:r>
      <w:r>
        <w:rPr>
          <w:rFonts w:hint="eastAsia" w:ascii="仿宋" w:hAnsi="仿宋" w:eastAsia="仿宋" w:cs="仿宋"/>
          <w:color w:val="auto"/>
          <w:sz w:val="32"/>
          <w:szCs w:val="32"/>
          <w:highlight w:val="none"/>
          <w:lang w:eastAsia="zh-CN"/>
        </w:rPr>
        <w:t>三是</w:t>
      </w:r>
      <w:r>
        <w:rPr>
          <w:rFonts w:hint="eastAsia" w:ascii="仿宋" w:hAnsi="仿宋" w:eastAsia="仿宋" w:cs="仿宋"/>
          <w:color w:val="auto"/>
          <w:sz w:val="32"/>
          <w:szCs w:val="32"/>
          <w:highlight w:val="none"/>
        </w:rPr>
        <w:t>加大项目资金整合力度，促进到村项目由分散使用向综合投入转变。</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auto"/>
                <w:sz w:val="36"/>
                <w:szCs w:val="36"/>
                <w:highlight w:val="none"/>
              </w:rPr>
            </w:pPr>
            <w:r>
              <w:rPr>
                <w:rFonts w:hint="eastAsia" w:ascii="黑体" w:hAnsi="黑体" w:eastAsia="黑体" w:cs="宋体"/>
                <w:bCs/>
                <w:color w:val="auto"/>
                <w:kern w:val="0"/>
                <w:sz w:val="36"/>
                <w:szCs w:val="36"/>
                <w:highlight w:val="none"/>
                <w:lang w:bidi="ar"/>
              </w:rPr>
              <w:t>项目支出绩效目标完成情况表</w:t>
            </w:r>
            <w:r>
              <w:rPr>
                <w:rFonts w:hint="eastAsia" w:ascii="宋体" w:hAnsi="宋体" w:cs="宋体"/>
                <w:b/>
                <w:bCs/>
                <w:color w:val="auto"/>
                <w:kern w:val="0"/>
                <w:sz w:val="36"/>
                <w:szCs w:val="36"/>
                <w:highlight w:val="none"/>
                <w:lang w:bidi="ar"/>
              </w:rPr>
              <w:br w:type="textWrapping"/>
            </w:r>
            <w:r>
              <w:rPr>
                <w:rFonts w:hint="eastAsia" w:ascii="宋体" w:hAnsi="宋体" w:cs="宋体"/>
                <w:color w:val="auto"/>
                <w:kern w:val="0"/>
                <w:sz w:val="36"/>
                <w:szCs w:val="36"/>
                <w:highlight w:val="none"/>
                <w:lang w:bidi="ar"/>
              </w:rPr>
              <w:t>(</w:t>
            </w:r>
            <w:r>
              <w:rPr>
                <w:rFonts w:hint="eastAsia" w:ascii="宋体" w:hAnsi="宋体" w:cs="宋体"/>
                <w:color w:val="auto"/>
                <w:kern w:val="0"/>
                <w:sz w:val="36"/>
                <w:szCs w:val="36"/>
                <w:highlight w:val="none"/>
                <w:lang w:eastAsia="zh-CN" w:bidi="ar"/>
              </w:rPr>
              <w:t>2019</w:t>
            </w:r>
            <w:r>
              <w:rPr>
                <w:rFonts w:hint="eastAsia" w:ascii="宋体" w:hAnsi="宋体" w:cs="宋体"/>
                <w:color w:val="auto"/>
                <w:kern w:val="0"/>
                <w:sz w:val="36"/>
                <w:szCs w:val="36"/>
                <w:highlight w:val="none"/>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eastAsia="宋体" w:cs="宋体"/>
                <w:color w:val="auto"/>
                <w:sz w:val="24"/>
                <w:highlight w:val="none"/>
                <w:lang w:eastAsia="zh-CN"/>
              </w:rPr>
              <w:t>基层活动和公共服务运行经费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广元市昭化区香溪乡人民政府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2019</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月底前全面完成</w:t>
            </w:r>
            <w:r>
              <w:rPr>
                <w:rFonts w:hint="eastAsia" w:ascii="宋体" w:hAnsi="宋体" w:cs="宋体"/>
                <w:color w:val="auto"/>
                <w:sz w:val="24"/>
                <w:highlight w:val="none"/>
                <w:lang w:val="en-US" w:eastAsia="zh-CN"/>
              </w:rPr>
              <w:t>各</w:t>
            </w:r>
            <w:r>
              <w:rPr>
                <w:rFonts w:hint="eastAsia" w:ascii="宋体" w:hAnsi="宋体" w:cs="宋体"/>
                <w:color w:val="auto"/>
                <w:sz w:val="24"/>
                <w:highlight w:val="none"/>
              </w:rPr>
              <w:t>个村（社区）组织活动场所维护，“八有”设施配备齐全，涉及</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个村</w:t>
            </w:r>
            <w:r>
              <w:rPr>
                <w:rFonts w:hint="eastAsia" w:ascii="宋体" w:hAnsi="宋体" w:cs="宋体"/>
                <w:color w:val="auto"/>
                <w:sz w:val="24"/>
                <w:highlight w:val="none"/>
                <w:lang w:eastAsia="zh-CN"/>
              </w:rPr>
              <w:t>（社区）</w:t>
            </w:r>
            <w:r>
              <w:rPr>
                <w:rFonts w:hint="eastAsia" w:ascii="宋体" w:hAnsi="宋体" w:cs="宋体"/>
                <w:color w:val="auto"/>
                <w:sz w:val="24"/>
                <w:highlight w:val="none"/>
              </w:rPr>
              <w:t>、覆盖</w:t>
            </w:r>
            <w:r>
              <w:rPr>
                <w:rFonts w:hint="eastAsia" w:ascii="宋体" w:hAnsi="宋体" w:cs="宋体"/>
                <w:color w:val="auto"/>
                <w:sz w:val="24"/>
                <w:highlight w:val="none"/>
                <w:lang w:val="en-US" w:eastAsia="zh-CN"/>
              </w:rPr>
              <w:t>32</w:t>
            </w:r>
            <w:r>
              <w:rPr>
                <w:rFonts w:hint="eastAsia" w:ascii="宋体" w:hAnsi="宋体" w:cs="宋体"/>
                <w:color w:val="auto"/>
                <w:sz w:val="24"/>
                <w:highlight w:val="none"/>
              </w:rPr>
              <w:t>个村民小组、群众</w:t>
            </w:r>
            <w:r>
              <w:rPr>
                <w:rFonts w:hint="eastAsia" w:ascii="宋体" w:hAnsi="宋体" w:cs="宋体"/>
                <w:color w:val="auto"/>
                <w:sz w:val="24"/>
                <w:highlight w:val="none"/>
                <w:lang w:val="en-US" w:eastAsia="zh-CN"/>
              </w:rPr>
              <w:t>4000</w:t>
            </w:r>
            <w:r>
              <w:rPr>
                <w:rFonts w:hint="eastAsia" w:ascii="宋体" w:hAnsi="宋体" w:cs="宋体"/>
                <w:color w:val="auto"/>
                <w:sz w:val="24"/>
                <w:highlight w:val="none"/>
              </w:rPr>
              <w:t>人。完成</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村环境卫生整治等。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2019</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月底前全面完成</w:t>
            </w:r>
            <w:r>
              <w:rPr>
                <w:rFonts w:hint="eastAsia" w:ascii="宋体" w:hAnsi="宋体" w:cs="宋体"/>
                <w:color w:val="auto"/>
                <w:sz w:val="24"/>
                <w:highlight w:val="none"/>
                <w:lang w:val="en-US" w:eastAsia="zh-CN"/>
              </w:rPr>
              <w:t>各</w:t>
            </w:r>
            <w:r>
              <w:rPr>
                <w:rFonts w:hint="eastAsia" w:ascii="宋体" w:hAnsi="宋体" w:cs="宋体"/>
                <w:color w:val="auto"/>
                <w:sz w:val="24"/>
                <w:highlight w:val="none"/>
              </w:rPr>
              <w:t>个村（社区）组织活动场所维护，“八有”设施配备齐全，涉及</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个村</w:t>
            </w:r>
            <w:r>
              <w:rPr>
                <w:rFonts w:hint="eastAsia" w:ascii="宋体" w:hAnsi="宋体" w:cs="宋体"/>
                <w:color w:val="auto"/>
                <w:sz w:val="24"/>
                <w:highlight w:val="none"/>
                <w:lang w:eastAsia="zh-CN"/>
              </w:rPr>
              <w:t>（社区）</w:t>
            </w:r>
            <w:r>
              <w:rPr>
                <w:rFonts w:hint="eastAsia" w:ascii="宋体" w:hAnsi="宋体" w:cs="宋体"/>
                <w:color w:val="auto"/>
                <w:sz w:val="24"/>
                <w:highlight w:val="none"/>
              </w:rPr>
              <w:t>、覆盖</w:t>
            </w:r>
            <w:r>
              <w:rPr>
                <w:rFonts w:hint="eastAsia" w:ascii="宋体" w:hAnsi="宋体" w:cs="宋体"/>
                <w:color w:val="auto"/>
                <w:sz w:val="24"/>
                <w:highlight w:val="none"/>
                <w:lang w:val="en-US" w:eastAsia="zh-CN"/>
              </w:rPr>
              <w:t>32</w:t>
            </w:r>
            <w:r>
              <w:rPr>
                <w:rFonts w:hint="eastAsia" w:ascii="宋体" w:hAnsi="宋体" w:cs="宋体"/>
                <w:color w:val="auto"/>
                <w:sz w:val="24"/>
                <w:highlight w:val="none"/>
              </w:rPr>
              <w:t>个村民小组、群众</w:t>
            </w:r>
            <w:r>
              <w:rPr>
                <w:rFonts w:hint="eastAsia" w:ascii="宋体" w:hAnsi="宋体" w:cs="宋体"/>
                <w:color w:val="auto"/>
                <w:sz w:val="24"/>
                <w:highlight w:val="none"/>
                <w:lang w:val="en-US" w:eastAsia="zh-CN"/>
              </w:rPr>
              <w:t>4000</w:t>
            </w:r>
            <w:r>
              <w:rPr>
                <w:rFonts w:hint="eastAsia" w:ascii="宋体" w:hAnsi="宋体" w:cs="宋体"/>
                <w:color w:val="auto"/>
                <w:sz w:val="24"/>
                <w:highlight w:val="none"/>
              </w:rPr>
              <w:t>人。完成</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村环境卫生整治等。</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村组织活动场所维护个数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6个</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村组织活动开展次数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垃圾清运次数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村容村貌、基础设施配备率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资金使用合理合规率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绩效评价得分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每个村活动场所维护资金概算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其他（文化活动）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0.5</w:t>
            </w:r>
            <w:r>
              <w:rPr>
                <w:rFonts w:hint="eastAsia" w:ascii="宋体" w:hAnsi="宋体" w:cs="宋体"/>
                <w:color w:val="auto"/>
                <w:sz w:val="24"/>
                <w:highlight w:val="none"/>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0.5</w:t>
            </w:r>
            <w:r>
              <w:rPr>
                <w:rFonts w:hint="eastAsia" w:ascii="宋体" w:hAnsi="宋体" w:cs="宋体"/>
                <w:color w:val="auto"/>
                <w:sz w:val="24"/>
                <w:highlight w:val="none"/>
              </w:rPr>
              <w:t>万元</w:t>
            </w:r>
          </w:p>
        </w:tc>
      </w:tr>
      <w:tr>
        <w:tblPrEx>
          <w:tblCellMar>
            <w:top w:w="0" w:type="dxa"/>
            <w:left w:w="0" w:type="dxa"/>
            <w:bottom w:w="0" w:type="dxa"/>
            <w:right w:w="0" w:type="dxa"/>
          </w:tblCellMar>
        </w:tblPrEx>
        <w:trPr>
          <w:trHeight w:val="1070"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覆盖村小组数</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个</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个</w:t>
            </w:r>
          </w:p>
        </w:tc>
      </w:tr>
      <w:tr>
        <w:tblPrEx>
          <w:tblCellMar>
            <w:top w:w="0" w:type="dxa"/>
            <w:left w:w="0" w:type="dxa"/>
            <w:bottom w:w="0" w:type="dxa"/>
            <w:right w:w="0" w:type="dxa"/>
          </w:tblCellMar>
        </w:tblPrEx>
        <w:trPr>
          <w:trHeight w:val="1050" w:hRule="atLeast"/>
        </w:trPr>
        <w:tc>
          <w:tcPr>
            <w:tcW w:w="390" w:type="dxa"/>
            <w:vMerge w:val="restart"/>
            <w:tcBorders>
              <w:top w:val="single" w:color="auto" w:sz="4" w:space="0"/>
              <w:left w:val="single" w:color="auto" w:sz="4" w:space="0"/>
              <w:right w:val="single" w:color="auto" w:sz="4" w:space="0"/>
            </w:tcBorders>
          </w:tcPr>
          <w:p>
            <w:pPr>
              <w:widowControl/>
              <w:jc w:val="left"/>
              <w:rPr>
                <w:rFonts w:hint="eastAsia" w:ascii="宋体" w:hAnsi="宋体" w:cs="宋体"/>
                <w:color w:val="auto"/>
                <w:sz w:val="24"/>
                <w:highlight w:val="none"/>
              </w:rPr>
            </w:pPr>
            <w:r>
              <w:rPr>
                <w:rFonts w:hint="eastAsia" w:ascii="宋体" w:hAnsi="宋体" w:cs="宋体"/>
                <w:color w:val="auto"/>
                <w:sz w:val="24"/>
                <w:highlight w:val="none"/>
              </w:rPr>
              <w:t>绩效指标完成情</w:t>
            </w:r>
          </w:p>
          <w:p>
            <w:pPr>
              <w:widowControl/>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况</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覆盖党员数</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210</w:t>
            </w:r>
            <w:r>
              <w:rPr>
                <w:rFonts w:hint="eastAsia" w:ascii="宋体" w:hAnsi="宋体" w:cs="宋体"/>
                <w:color w:val="auto"/>
                <w:sz w:val="24"/>
                <w:highlight w:val="none"/>
              </w:rPr>
              <w:t>人</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人</w:t>
            </w:r>
          </w:p>
        </w:tc>
      </w:tr>
      <w:tr>
        <w:tblPrEx>
          <w:tblCellMar>
            <w:top w:w="0" w:type="dxa"/>
            <w:left w:w="0" w:type="dxa"/>
            <w:bottom w:w="0" w:type="dxa"/>
            <w:right w:w="0" w:type="dxa"/>
          </w:tblCellMar>
        </w:tblPrEx>
        <w:trPr>
          <w:trHeight w:val="1050" w:hRule="atLeast"/>
        </w:trPr>
        <w:tc>
          <w:tcPr>
            <w:tcW w:w="390" w:type="dxa"/>
            <w:vMerge w:val="continue"/>
            <w:tcBorders>
              <w:left w:val="single" w:color="auto" w:sz="4" w:space="0"/>
              <w:right w:val="single" w:color="auto" w:sz="4" w:space="0"/>
            </w:tcBorders>
          </w:tcPr>
          <w:p>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覆盖村民数</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410</w:t>
            </w:r>
            <w:r>
              <w:rPr>
                <w:rFonts w:hint="eastAsia" w:ascii="宋体" w:hAnsi="宋体" w:cs="宋体"/>
                <w:color w:val="auto"/>
                <w:sz w:val="24"/>
                <w:highlight w:val="none"/>
              </w:rPr>
              <w:t>人</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4100</w:t>
            </w:r>
            <w:r>
              <w:rPr>
                <w:rFonts w:hint="eastAsia" w:ascii="宋体" w:hAnsi="宋体" w:cs="宋体"/>
                <w:color w:val="auto"/>
                <w:sz w:val="24"/>
                <w:highlight w:val="none"/>
              </w:rPr>
              <w:t>人</w:t>
            </w:r>
          </w:p>
        </w:tc>
      </w:tr>
      <w:tr>
        <w:tblPrEx>
          <w:tblCellMar>
            <w:top w:w="0" w:type="dxa"/>
            <w:left w:w="0" w:type="dxa"/>
            <w:bottom w:w="0" w:type="dxa"/>
            <w:right w:w="0" w:type="dxa"/>
          </w:tblCellMar>
        </w:tblPrEx>
        <w:trPr>
          <w:trHeight w:val="1050" w:hRule="atLeast"/>
        </w:trPr>
        <w:tc>
          <w:tcPr>
            <w:tcW w:w="390" w:type="dxa"/>
            <w:vMerge w:val="continue"/>
            <w:tcBorders>
              <w:left w:val="single" w:color="auto" w:sz="4" w:space="0"/>
              <w:right w:val="single" w:color="auto" w:sz="4" w:space="0"/>
            </w:tcBorders>
          </w:tcPr>
          <w:p>
            <w:pPr>
              <w:widowControl/>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党组织的战斗堡垒作用</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明显发挥</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明显发挥</w:t>
            </w:r>
          </w:p>
        </w:tc>
      </w:tr>
      <w:tr>
        <w:tblPrEx>
          <w:tblCellMar>
            <w:top w:w="0" w:type="dxa"/>
            <w:left w:w="0" w:type="dxa"/>
            <w:bottom w:w="0" w:type="dxa"/>
            <w:right w:w="0" w:type="dxa"/>
          </w:tblCellMar>
        </w:tblPrEx>
        <w:trPr>
          <w:trHeight w:val="1050" w:hRule="atLeast"/>
        </w:trPr>
        <w:tc>
          <w:tcPr>
            <w:tcW w:w="390" w:type="dxa"/>
            <w:vMerge w:val="continue"/>
            <w:tcBorders>
              <w:left w:val="single" w:color="auto" w:sz="4" w:space="0"/>
              <w:bottom w:val="single" w:color="auto" w:sz="4" w:space="0"/>
              <w:right w:val="single" w:color="auto" w:sz="4" w:space="0"/>
            </w:tcBorders>
          </w:tcPr>
          <w:p>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可持续影响指标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项目使用年限标</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≥5年</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≥5年</w:t>
            </w:r>
          </w:p>
        </w:tc>
      </w:tr>
      <w:tr>
        <w:tblPrEx>
          <w:tblCellMar>
            <w:top w:w="0" w:type="dxa"/>
            <w:left w:w="0" w:type="dxa"/>
            <w:bottom w:w="0" w:type="dxa"/>
            <w:right w:w="0" w:type="dxa"/>
          </w:tblCellMar>
        </w:tblPrEx>
        <w:trPr>
          <w:trHeight w:val="1050" w:hRule="atLeast"/>
        </w:trPr>
        <w:tc>
          <w:tcPr>
            <w:tcW w:w="390" w:type="dxa"/>
            <w:vMerge w:val="restart"/>
            <w:tcBorders>
              <w:top w:val="single" w:color="auto" w:sz="4" w:space="0"/>
              <w:left w:val="single" w:color="auto" w:sz="4" w:space="0"/>
              <w:right w:val="single" w:color="auto" w:sz="4" w:space="0"/>
            </w:tcBorders>
          </w:tcPr>
          <w:p>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服务对象满意度指标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群众满意度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r>
      <w:tr>
        <w:tblPrEx>
          <w:tblCellMar>
            <w:top w:w="0" w:type="dxa"/>
            <w:left w:w="0" w:type="dxa"/>
            <w:bottom w:w="0" w:type="dxa"/>
            <w:right w:w="0" w:type="dxa"/>
          </w:tblCellMar>
        </w:tblPrEx>
        <w:trPr>
          <w:trHeight w:val="1050" w:hRule="atLeast"/>
        </w:trPr>
        <w:tc>
          <w:tcPr>
            <w:tcW w:w="390" w:type="dxa"/>
            <w:vMerge w:val="continue"/>
            <w:tcBorders>
              <w:left w:val="single" w:color="auto" w:sz="4" w:space="0"/>
              <w:right w:val="single" w:color="auto" w:sz="4" w:space="0"/>
            </w:tcBorders>
          </w:tcPr>
          <w:p>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服务对象满意度指标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党员满意度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r>
      <w:tr>
        <w:tblPrEx>
          <w:tblCellMar>
            <w:top w:w="0" w:type="dxa"/>
            <w:left w:w="0" w:type="dxa"/>
            <w:bottom w:w="0" w:type="dxa"/>
            <w:right w:w="0" w:type="dxa"/>
          </w:tblCellMar>
        </w:tblPrEx>
        <w:trPr>
          <w:trHeight w:val="1050" w:hRule="atLeast"/>
        </w:trPr>
        <w:tc>
          <w:tcPr>
            <w:tcW w:w="390" w:type="dxa"/>
            <w:vMerge w:val="continue"/>
            <w:tcBorders>
              <w:left w:val="single" w:color="auto" w:sz="4" w:space="0"/>
              <w:bottom w:val="single" w:color="auto" w:sz="4" w:space="0"/>
              <w:right w:val="single" w:color="auto" w:sz="4" w:space="0"/>
            </w:tcBorders>
          </w:tcPr>
          <w:p>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服务对象满意度指标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受益贫困人口满意度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r>
    </w:tbl>
    <w:p>
      <w:pPr>
        <w:spacing w:line="580" w:lineRule="exact"/>
        <w:rPr>
          <w:rFonts w:ascii="仿宋_GB2312" w:hAnsi="仿宋_GB2312" w:eastAsia="仿宋_GB2312" w:cs="仿宋_GB2312"/>
          <w:color w:val="auto"/>
          <w:sz w:val="32"/>
          <w:szCs w:val="32"/>
          <w:highlight w:val="none"/>
        </w:rPr>
      </w:pPr>
    </w:p>
    <w:p>
      <w:pPr>
        <w:numPr>
          <w:ilvl w:val="0"/>
          <w:numId w:val="4"/>
        </w:numPr>
        <w:spacing w:line="580" w:lineRule="exact"/>
        <w:ind w:firstLine="643" w:firstLineChars="200"/>
        <w:rPr>
          <w:rFonts w:ascii="仿宋" w:hAnsi="仿宋" w:eastAsia="仿宋" w:cs="仿宋_GB2312"/>
          <w:color w:val="auto"/>
          <w:sz w:val="32"/>
          <w:szCs w:val="32"/>
          <w:highlight w:val="none"/>
        </w:rPr>
      </w:pPr>
      <w:r>
        <w:rPr>
          <w:rFonts w:hint="eastAsia" w:ascii="仿宋" w:hAnsi="仿宋" w:eastAsia="仿宋" w:cs="楷体_GB2312"/>
          <w:b/>
          <w:bCs/>
          <w:color w:val="auto"/>
          <w:sz w:val="32"/>
          <w:szCs w:val="32"/>
          <w:highlight w:val="none"/>
        </w:rPr>
        <w:t>部门开展绩效评价结果。</w:t>
      </w:r>
    </w:p>
    <w:p>
      <w:pPr>
        <w:pStyle w:val="4"/>
        <w:pageBreakBefore w:val="0"/>
        <w:kinsoku/>
        <w:wordWrap/>
        <w:overflowPunct/>
        <w:topLinePunct w:val="0"/>
        <w:bidi w:val="0"/>
        <w:spacing w:before="0" w:after="0" w:line="600" w:lineRule="exact"/>
        <w:ind w:firstLine="641" w:firstLineChars="200"/>
        <w:textAlignment w:val="auto"/>
        <w:rPr>
          <w:rFonts w:ascii="仿宋" w:hAnsi="仿宋" w:eastAsia="仿宋" w:cs="仿宋_GB2312"/>
          <w:color w:val="auto"/>
          <w:sz w:val="32"/>
          <w:szCs w:val="32"/>
          <w:highlight w:val="none"/>
        </w:rPr>
      </w:pPr>
      <w:r>
        <w:rPr>
          <w:rFonts w:hint="eastAsia" w:ascii="华文仿宋" w:hAnsi="华文仿宋" w:eastAsia="华文仿宋" w:cs="华文仿宋"/>
          <w:b/>
          <w:bCs w:val="0"/>
          <w:color w:val="auto"/>
          <w:sz w:val="32"/>
          <w:szCs w:val="32"/>
          <w:highlight w:val="none"/>
        </w:rPr>
        <w:t>1、财务管理绩效总评价结果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color w:val="auto"/>
          <w:sz w:val="32"/>
          <w:szCs w:val="32"/>
          <w:highlight w:val="none"/>
          <w:lang w:eastAsia="zh-CN"/>
        </w:rPr>
      </w:pPr>
      <w:r>
        <w:rPr>
          <w:rFonts w:hint="eastAsia" w:ascii="华文仿宋" w:hAnsi="华文仿宋" w:eastAsia="华文仿宋" w:cs="华文仿宋"/>
          <w:color w:val="auto"/>
          <w:sz w:val="32"/>
          <w:szCs w:val="32"/>
          <w:highlight w:val="none"/>
          <w:lang w:eastAsia="zh-CN"/>
        </w:rPr>
        <w:t>2019</w:t>
      </w:r>
      <w:r>
        <w:rPr>
          <w:rFonts w:hint="eastAsia" w:ascii="华文仿宋" w:hAnsi="华文仿宋" w:eastAsia="华文仿宋" w:cs="华文仿宋"/>
          <w:color w:val="auto"/>
          <w:sz w:val="32"/>
          <w:szCs w:val="32"/>
          <w:highlight w:val="none"/>
        </w:rPr>
        <w:t>年</w:t>
      </w:r>
      <w:r>
        <w:rPr>
          <w:rFonts w:hint="eastAsia" w:ascii="华文仿宋" w:hAnsi="华文仿宋" w:eastAsia="华文仿宋" w:cs="华文仿宋"/>
          <w:color w:val="auto"/>
          <w:sz w:val="32"/>
          <w:szCs w:val="32"/>
          <w:highlight w:val="none"/>
          <w:lang w:eastAsia="zh-CN"/>
        </w:rPr>
        <w:t>香溪乡</w:t>
      </w:r>
      <w:r>
        <w:rPr>
          <w:rFonts w:hint="eastAsia" w:ascii="华文仿宋" w:hAnsi="华文仿宋" w:eastAsia="华文仿宋" w:cs="华文仿宋"/>
          <w:color w:val="auto"/>
          <w:sz w:val="32"/>
          <w:szCs w:val="32"/>
          <w:highlight w:val="none"/>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color w:val="auto"/>
          <w:sz w:val="32"/>
          <w:szCs w:val="32"/>
          <w:highlight w:val="none"/>
          <w:lang w:eastAsia="zh-CN"/>
        </w:rPr>
        <w:t>2019</w:t>
      </w:r>
      <w:r>
        <w:rPr>
          <w:rFonts w:hint="eastAsia" w:ascii="华文仿宋" w:hAnsi="华文仿宋" w:eastAsia="华文仿宋" w:cs="华文仿宋"/>
          <w:color w:val="auto"/>
          <w:sz w:val="32"/>
          <w:szCs w:val="32"/>
          <w:highlight w:val="none"/>
        </w:rPr>
        <w:t>年基本完成，在保障机关运转、履行职能职责上整体情况良好。综合评价结果为优级</w:t>
      </w:r>
      <w:r>
        <w:rPr>
          <w:rFonts w:hint="eastAsia" w:ascii="华文仿宋" w:hAnsi="华文仿宋" w:eastAsia="华文仿宋" w:cs="华文仿宋"/>
          <w:color w:val="auto"/>
          <w:sz w:val="32"/>
          <w:szCs w:val="32"/>
          <w:highlight w:val="none"/>
          <w:lang w:eastAsia="zh-CN"/>
        </w:rPr>
        <w:t>。</w:t>
      </w:r>
    </w:p>
    <w:p>
      <w:pPr>
        <w:pageBreakBefore w:val="0"/>
        <w:kinsoku/>
        <w:wordWrap/>
        <w:overflowPunct/>
        <w:topLinePunct w:val="0"/>
        <w:bidi w:val="0"/>
        <w:snapToGrid w:val="0"/>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2、项目绩效总评价结果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eastAsia="zh-CN"/>
        </w:rPr>
        <w:t>2019</w:t>
      </w:r>
      <w:r>
        <w:rPr>
          <w:rFonts w:hint="eastAsia" w:ascii="华文仿宋" w:hAnsi="华文仿宋" w:eastAsia="华文仿宋" w:cs="华文仿宋"/>
          <w:color w:val="auto"/>
          <w:sz w:val="32"/>
          <w:szCs w:val="32"/>
          <w:highlight w:val="none"/>
        </w:rPr>
        <w:t>年</w:t>
      </w:r>
      <w:r>
        <w:rPr>
          <w:rFonts w:hint="eastAsia" w:ascii="华文仿宋" w:hAnsi="华文仿宋" w:eastAsia="华文仿宋" w:cs="华文仿宋"/>
          <w:color w:val="auto"/>
          <w:sz w:val="32"/>
          <w:szCs w:val="32"/>
          <w:highlight w:val="none"/>
          <w:lang w:eastAsia="zh-CN"/>
        </w:rPr>
        <w:t>香溪乡</w:t>
      </w:r>
      <w:r>
        <w:rPr>
          <w:rFonts w:hint="eastAsia" w:ascii="华文仿宋" w:hAnsi="华文仿宋" w:eastAsia="华文仿宋" w:cs="华文仿宋"/>
          <w:color w:val="auto"/>
          <w:sz w:val="32"/>
          <w:szCs w:val="32"/>
          <w:highlight w:val="none"/>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pageBreakBefore w:val="0"/>
        <w:kinsoku/>
        <w:wordWrap/>
        <w:overflowPunct/>
        <w:topLinePunct w:val="0"/>
        <w:bidi w:val="0"/>
        <w:snapToGrid w:val="0"/>
        <w:spacing w:line="600" w:lineRule="exact"/>
        <w:ind w:firstLine="640" w:firstLineChars="200"/>
        <w:textAlignment w:val="auto"/>
        <w:rPr>
          <w:rFonts w:ascii="方正小标宋简体" w:hAnsi="方正小标宋简体" w:eastAsia="方正小标宋简体" w:cs="方正小标宋简体"/>
          <w:color w:val="auto"/>
          <w:sz w:val="44"/>
          <w:szCs w:val="44"/>
          <w:highlight w:val="none"/>
        </w:rPr>
      </w:pPr>
      <w:r>
        <w:rPr>
          <w:rFonts w:hint="eastAsia" w:ascii="华文仿宋" w:hAnsi="华文仿宋" w:eastAsia="华文仿宋" w:cs="华文仿宋"/>
          <w:color w:val="auto"/>
          <w:sz w:val="32"/>
          <w:szCs w:val="32"/>
          <w:highlight w:val="none"/>
        </w:rPr>
        <w:t>通过对基层组织活动和公共运行维护资金专项资金项目三级指标的分析考评，(具体指标分值见附件)，综合评价结果为优级。</w:t>
      </w:r>
    </w:p>
    <w:p>
      <w:pPr>
        <w:spacing w:line="600" w:lineRule="exact"/>
        <w:ind w:firstLine="800" w:firstLineChars="250"/>
        <w:outlineLvl w:val="1"/>
        <w:rPr>
          <w:rStyle w:val="26"/>
          <w:rFonts w:ascii="黑体" w:hAnsi="黑体" w:eastAsia="黑体"/>
          <w:color w:val="auto"/>
          <w:highlight w:val="none"/>
        </w:rPr>
      </w:pPr>
      <w:bookmarkStart w:id="46" w:name="_Toc15377221"/>
      <w:bookmarkStart w:id="47" w:name="_Toc15396612"/>
      <w:r>
        <w:rPr>
          <w:rFonts w:hint="eastAsia" w:ascii="黑体" w:hAnsi="黑体" w:eastAsia="黑体"/>
          <w:color w:val="auto"/>
          <w:sz w:val="32"/>
          <w:szCs w:val="32"/>
          <w:highlight w:val="none"/>
        </w:rPr>
        <w:t>十</w:t>
      </w:r>
      <w:r>
        <w:rPr>
          <w:rStyle w:val="26"/>
          <w:rFonts w:hint="eastAsia" w:ascii="黑体" w:hAnsi="黑体" w:eastAsia="黑体"/>
          <w:color w:val="auto"/>
          <w:highlight w:val="none"/>
        </w:rPr>
        <w:t>一、</w:t>
      </w:r>
      <w:r>
        <w:rPr>
          <w:rStyle w:val="26"/>
          <w:rFonts w:hint="eastAsia" w:ascii="黑体" w:hAnsi="黑体" w:eastAsia="黑体"/>
          <w:b w:val="0"/>
          <w:color w:val="auto"/>
          <w:highlight w:val="none"/>
        </w:rPr>
        <w:t>其他重要事项的情况说明</w:t>
      </w:r>
      <w:bookmarkEnd w:id="46"/>
      <w:bookmarkEnd w:id="47"/>
    </w:p>
    <w:p>
      <w:pPr>
        <w:spacing w:line="600" w:lineRule="exact"/>
        <w:ind w:firstLine="643" w:firstLineChars="200"/>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rPr>
        <w:t>（一）机关运行经费支出情况</w:t>
      </w:r>
      <w:bookmarkEnd w:id="48"/>
    </w:p>
    <w:p>
      <w:pPr>
        <w:spacing w:line="600" w:lineRule="exact"/>
        <w:ind w:firstLine="640"/>
        <w:rPr>
          <w:rFonts w:hint="eastAsia" w:ascii="仿宋_GB2312" w:eastAsia="仿宋_GB2312"/>
          <w:color w:val="FF0000"/>
          <w:sz w:val="32"/>
          <w:szCs w:val="32"/>
          <w:highlight w:val="none"/>
          <w:lang w:val="en-US" w:eastAsia="zh-CN"/>
        </w:rPr>
      </w:pPr>
      <w:r>
        <w:rPr>
          <w:rFonts w:hint="eastAsia" w:ascii="仿宋_GB2312" w:eastAsia="仿宋_GB2312"/>
          <w:color w:val="auto"/>
          <w:sz w:val="32"/>
          <w:szCs w:val="32"/>
          <w:highlight w:val="none"/>
          <w:lang w:eastAsia="zh-CN"/>
        </w:rPr>
        <w:t>2019</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广元市昭化区香溪乡人民政府</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144.32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85.69万元，</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58.63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48.42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是</w:t>
      </w:r>
      <w:r>
        <w:rPr>
          <w:rFonts w:hint="eastAsia" w:ascii="仿宋_GB2312" w:eastAsia="仿宋_GB2312"/>
          <w:color w:val="auto"/>
          <w:sz w:val="32"/>
          <w:szCs w:val="32"/>
          <w:highlight w:val="none"/>
          <w:lang w:val="en-US" w:eastAsia="zh-CN"/>
        </w:rPr>
        <w:t>2019年决算</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eastAsia="zh-CN"/>
        </w:rPr>
        <w:t>包含</w:t>
      </w:r>
      <w:r>
        <w:rPr>
          <w:rFonts w:hint="eastAsia" w:ascii="仿宋_GB2312" w:eastAsia="仿宋_GB2312"/>
          <w:color w:val="auto"/>
          <w:sz w:val="32"/>
          <w:szCs w:val="32"/>
          <w:highlight w:val="none"/>
          <w:lang w:val="en-US" w:eastAsia="zh-CN"/>
        </w:rPr>
        <w:t>其他资本性支出；二是迎接脱贫攻坚检查。</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49" w:name="_Toc15377223"/>
      <w:r>
        <w:rPr>
          <w:rFonts w:hint="eastAsia" w:ascii="仿宋" w:hAnsi="仿宋" w:eastAsia="仿宋"/>
          <w:b/>
          <w:color w:val="000000"/>
          <w:sz w:val="32"/>
          <w:szCs w:val="32"/>
          <w:highlight w:val="none"/>
        </w:rPr>
        <w:t>（二）政府采购支出情况</w:t>
      </w:r>
      <w:bookmarkEnd w:id="49"/>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广元市昭化区香溪乡人民政府</w:t>
      </w:r>
      <w:r>
        <w:rPr>
          <w:rFonts w:hint="eastAsia" w:ascii="仿宋_GB2312" w:eastAsia="仿宋_GB2312"/>
          <w:color w:val="000000"/>
          <w:sz w:val="32"/>
          <w:szCs w:val="32"/>
          <w:highlight w:val="none"/>
        </w:rPr>
        <w:t>政府采购支出总额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万元，其中：政府采购货物支出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万元、政府采购工程支出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万元、政府采购服务支出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万元。授予中小企业合同金额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，其中：授予小微企业合同金额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50" w:name="_Toc15377224"/>
      <w:r>
        <w:rPr>
          <w:rFonts w:hint="eastAsia" w:ascii="仿宋" w:hAnsi="仿宋" w:eastAsia="仿宋"/>
          <w:b/>
          <w:color w:val="000000"/>
          <w:sz w:val="32"/>
          <w:szCs w:val="32"/>
          <w:highlight w:val="none"/>
        </w:rPr>
        <w:t>（三）国有资产占有使用情况</w:t>
      </w:r>
      <w:bookmarkEnd w:id="50"/>
    </w:p>
    <w:p>
      <w:pPr>
        <w:autoSpaceDE w:val="0"/>
        <w:autoSpaceDN w:val="0"/>
        <w:adjustRightInd w:val="0"/>
        <w:spacing w:line="600" w:lineRule="exact"/>
        <w:ind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highlight w:val="none"/>
        </w:rPr>
        <w:t>截至</w:t>
      </w: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广元市昭化区香溪乡人民政府</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辆，其中：部级领导干部用车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辆、一般公务用车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辆、一般执法执勤用车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辆、特种专业技术用车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辆、其他用车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w:t>
      </w:r>
    </w:p>
    <w:p>
      <w:pPr>
        <w:widowControl/>
        <w:jc w:val="left"/>
        <w:rPr>
          <w:rFonts w:ascii="仿宋_GB2312" w:eastAsia="仿宋_GB2312"/>
          <w:b/>
          <w:color w:val="000000"/>
          <w:sz w:val="32"/>
          <w:szCs w:val="32"/>
          <w:highlight w:val="none"/>
        </w:rPr>
      </w:pPr>
      <w:r>
        <w:rPr>
          <w:rFonts w:ascii="仿宋_GB2312" w:eastAsia="仿宋_GB2312"/>
          <w:b/>
          <w:color w:val="000000"/>
          <w:sz w:val="32"/>
          <w:szCs w:val="32"/>
          <w:highlight w:val="none"/>
        </w:rPr>
        <w:br w:type="page"/>
      </w:r>
    </w:p>
    <w:p>
      <w:pPr>
        <w:numPr>
          <w:ilvl w:val="0"/>
          <w:numId w:val="5"/>
        </w:numPr>
        <w:spacing w:line="600" w:lineRule="exact"/>
        <w:ind w:firstLine="663" w:firstLineChars="150"/>
        <w:jc w:val="center"/>
        <w:outlineLvl w:val="0"/>
        <w:rPr>
          <w:rStyle w:val="25"/>
          <w:rFonts w:ascii="黑体" w:hAnsi="黑体" w:eastAsia="黑体"/>
          <w:b w:val="0"/>
        </w:rPr>
      </w:pPr>
      <w:bookmarkStart w:id="51" w:name="_Toc15396613"/>
      <w:bookmarkStart w:id="52"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1"/>
      <w:bookmarkEnd w:id="52"/>
    </w:p>
    <w:p>
      <w:pPr>
        <w:spacing w:line="600" w:lineRule="exact"/>
        <w:jc w:val="left"/>
        <w:rPr>
          <w:rFonts w:ascii="宋体"/>
          <w:b/>
          <w:color w:val="000000"/>
          <w:sz w:val="44"/>
          <w:szCs w:val="44"/>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（一）一般公共预算拨款收入：指区级财政当年拨付的资金。</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（二）上年结转：指以前年度尚未完成，结转到本年仍按原规定用途继续使用的资金。</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（三）一般公共服务（类） 人大事务、政府办公厅（室）及相关机构事务、财政事务、纪检监察单位办公厅（室）及相关机构事务（款）行政运行（项）：指政府机关及单位用于保障机构正常运行、开展日常工作的基本支出。</w:t>
      </w:r>
      <w:r>
        <w:rPr>
          <w:rFonts w:hint="eastAsia" w:ascii="仿宋" w:hAnsi="仿宋" w:eastAsia="仿宋"/>
          <w:b/>
          <w:color w:val="000000"/>
          <w:sz w:val="32"/>
          <w:szCs w:val="32"/>
          <w:highlight w:val="none"/>
        </w:rPr>
        <w:br w:type="textWrapping"/>
      </w:r>
      <w:r>
        <w:rPr>
          <w:rFonts w:hint="eastAsia" w:ascii="仿宋" w:hAnsi="仿宋" w:eastAsia="仿宋"/>
          <w:b/>
          <w:color w:val="000000"/>
          <w:sz w:val="32"/>
          <w:szCs w:val="32"/>
          <w:highlight w:val="none"/>
        </w:rPr>
        <w:t>  （四）国防支出（类）其他国防支出（款）其他国防支出（项），主要用于开展征兵工作。</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（五）公共安全支出（类）其他公共安全（款）其他公共安全（项），主要用于开展安全管理工作。</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（六）文化旅游体育与传媒支出（类）文化和旅游（款）群众文化（项），主要用于开展群众文化工作。</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七）社会保障和就业（类）人力保障和就业支出（款）人力资源和社会保障管理事务（项）主要用于：社保机构正常运行、开展日常工作的基本支出，包括基本工资、津贴补贴等人员经费以及办公费、印刷费、水电费等日常公用经费,保障部门正常运转。</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（八）社会保障和就业（类）行政事业单位养老支出（款）事业单位离退休（项）：政府机关的离退休人员的支出。</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（九）社会保障和就业（类）行政事业单位养老支出（款）行政单位离退休（项）：政府机关离退休人员的支出。</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（十）社会保障和就业（类）行政事业单位养老支出（款）机关事业单位基本养老保险缴费支出（项）：指部门实施养老保险制度由单位缴纳的养老保险费的支出。</w:t>
      </w:r>
    </w:p>
    <w:p>
      <w:pPr>
        <w:autoSpaceDE w:val="0"/>
        <w:autoSpaceDN w:val="0"/>
        <w:adjustRightInd w:val="0"/>
        <w:spacing w:line="600" w:lineRule="exact"/>
        <w:ind w:firstLine="643" w:firstLineChars="200"/>
        <w:jc w:val="left"/>
        <w:outlineLvl w:val="2"/>
        <w:rPr>
          <w:rFonts w:hint="eastAsia" w:ascii="仿宋" w:hAnsi="仿宋" w:eastAsia="仿宋"/>
          <w:b w:val="0"/>
          <w:bCs/>
          <w:color w:val="000000"/>
          <w:sz w:val="32"/>
          <w:szCs w:val="32"/>
          <w:highlight w:val="none"/>
        </w:rPr>
      </w:pPr>
      <w:r>
        <w:rPr>
          <w:rFonts w:hint="eastAsia" w:ascii="仿宋" w:hAnsi="仿宋" w:eastAsia="仿宋"/>
          <w:b/>
          <w:color w:val="000000"/>
          <w:sz w:val="32"/>
          <w:szCs w:val="32"/>
          <w:highlight w:val="none"/>
        </w:rPr>
        <w:t>（十一）卫生健康（类）行政事业单位医疗（款）行政单位医疗（项）：指政府机关单位用于单位应缴纳基本医疗保险支出。</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（十二）卫生健康（类）行政事业单位医疗（款）事业单位医疗（项）：指事业单位用于单位应缴纳基本医疗保险支出.</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（十三）城乡社区支出（类）城乡社区环境卫生（款）城乡社区环境卫生（项），主要用于：城乡社区环境卫生综合整治</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（十四）农林水支出（类）农业农村（款）事业运行（项），镇农业服务机构正常运转的基本支出，包括基本工资、津贴补贴等人员经费以及办公费、印刷费、水电费等日常公用经费,保障部门正常运转。</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（十五）农林水支出（类）农业农村（款）农村道路建设（项），农村道路日常维护工作经费。</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（十六）农林水支出（类）林业和草原（款）事业机构（项）主要用于镇林业工作站正常运转的基本支出，包括基本工资、津贴补贴等人员经费以及办公费、印刷费、水电费等日常公用经费,保障部门正常运转。</w:t>
      </w:r>
      <w:r>
        <w:rPr>
          <w:rFonts w:hint="eastAsia" w:ascii="仿宋" w:hAnsi="仿宋" w:eastAsia="仿宋"/>
          <w:b/>
          <w:color w:val="000000"/>
          <w:sz w:val="32"/>
          <w:szCs w:val="32"/>
          <w:highlight w:val="none"/>
        </w:rPr>
        <w:br w:type="textWrapping"/>
      </w:r>
      <w:r>
        <w:rPr>
          <w:rFonts w:hint="eastAsia" w:ascii="仿宋" w:hAnsi="仿宋" w:eastAsia="仿宋"/>
          <w:b/>
          <w:color w:val="000000"/>
          <w:sz w:val="32"/>
          <w:szCs w:val="32"/>
          <w:highlight w:val="none"/>
        </w:rPr>
        <w:t>（十七）农林水支出（类）农村综合改革（款）对村民委员会和村支部的补助（项）主要用于辖区内各村民委员会和村支部正常运转的基本支出，包括村社干部生活补助、离职补贴等人员经费以及办公费、印刷费、水电费等日常公用经费,保障个村民委员会正常运转及基层组织活动和公共运行服务运行经费。</w:t>
      </w:r>
      <w:r>
        <w:rPr>
          <w:rFonts w:hint="eastAsia" w:ascii="仿宋" w:hAnsi="仿宋" w:eastAsia="仿宋"/>
          <w:b/>
          <w:color w:val="000000"/>
          <w:sz w:val="32"/>
          <w:szCs w:val="32"/>
          <w:highlight w:val="none"/>
        </w:rPr>
        <w:br w:type="textWrapping"/>
      </w:r>
      <w:r>
        <w:rPr>
          <w:rFonts w:hint="eastAsia" w:ascii="仿宋" w:hAnsi="仿宋" w:eastAsia="仿宋"/>
          <w:b/>
          <w:color w:val="000000"/>
          <w:sz w:val="32"/>
          <w:szCs w:val="32"/>
          <w:highlight w:val="none"/>
        </w:rPr>
        <w:t>  （十八）住房保障（类）住房改革支出（款）住房公积金（项）：指按照《住房公积金管理条例》的规定，由单位及其在职职工缴存的长期住房储金。</w:t>
      </w:r>
      <w:r>
        <w:rPr>
          <w:rFonts w:hint="eastAsia" w:ascii="仿宋" w:hAnsi="仿宋" w:eastAsia="仿宋"/>
          <w:b/>
          <w:color w:val="000000"/>
          <w:sz w:val="32"/>
          <w:szCs w:val="32"/>
          <w:highlight w:val="none"/>
        </w:rPr>
        <w:br w:type="textWrapping"/>
      </w:r>
      <w:r>
        <w:rPr>
          <w:rFonts w:hint="eastAsia" w:ascii="仿宋" w:hAnsi="仿宋" w:eastAsia="仿宋"/>
          <w:b/>
          <w:color w:val="000000"/>
          <w:sz w:val="32"/>
          <w:szCs w:val="32"/>
          <w:highlight w:val="none"/>
        </w:rPr>
        <w:t>  （十九）基本支出：指为保证机构正常运转，完成日常工作任务而发生的人员支出和公用支出。</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（二十）项目支出：指在基本支出之外为完成特定行政任务和事业发展目标所发生的支出。</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rPr>
        <w:t>（二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b/>
          <w:color w:val="000000"/>
          <w:sz w:val="32"/>
          <w:szCs w:val="32"/>
          <w:highlight w:val="none"/>
        </w:rPr>
        <w:br w:type="textWrapping"/>
      </w:r>
      <w:r>
        <w:rPr>
          <w:rFonts w:hint="eastAsia" w:ascii="仿宋" w:hAnsi="仿宋" w:eastAsia="仿宋"/>
          <w:b/>
          <w:color w:val="000000"/>
          <w:sz w:val="32"/>
          <w:szCs w:val="32"/>
          <w:highlight w:val="none"/>
        </w:rPr>
        <w:t>  （二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bookmarkStart w:id="53" w:name="_Toc15377226"/>
      <w:r>
        <w:rPr>
          <w:rFonts w:hint="eastAsia" w:ascii="仿宋" w:hAnsi="仿宋" w:eastAsia="仿宋"/>
          <w:b/>
          <w:color w:val="000000"/>
          <w:sz w:val="32"/>
          <w:szCs w:val="32"/>
          <w:highlight w:val="none"/>
        </w:rPr>
        <w:br w:type="page"/>
      </w:r>
      <w:bookmarkStart w:id="54" w:name="_Toc15396614"/>
      <w:r>
        <w:rPr>
          <w:rFonts w:hint="eastAsia" w:ascii="仿宋" w:hAnsi="仿宋" w:eastAsia="仿宋"/>
          <w:b/>
          <w:color w:val="000000"/>
          <w:sz w:val="32"/>
          <w:szCs w:val="32"/>
          <w:highlight w:val="none"/>
        </w:rPr>
        <w:t>第四部分 附件</w:t>
      </w:r>
      <w:bookmarkEnd w:id="54"/>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bookmarkStart w:id="55" w:name="_Toc15396615"/>
      <w:r>
        <w:rPr>
          <w:rFonts w:hint="eastAsia" w:ascii="仿宋" w:hAnsi="仿宋" w:eastAsia="仿宋"/>
          <w:b/>
          <w:color w:val="000000"/>
          <w:sz w:val="32"/>
          <w:szCs w:val="32"/>
          <w:highlight w:val="none"/>
        </w:rPr>
        <w:t>附件1</w:t>
      </w:r>
      <w:bookmarkEnd w:id="55"/>
    </w:p>
    <w:p>
      <w:pPr>
        <w:autoSpaceDE w:val="0"/>
        <w:autoSpaceDN w:val="0"/>
        <w:adjustRightInd w:val="0"/>
        <w:spacing w:line="600" w:lineRule="exact"/>
        <w:ind w:firstLine="1606" w:firstLineChars="500"/>
        <w:jc w:val="left"/>
        <w:outlineLvl w:val="2"/>
        <w:rPr>
          <w:rFonts w:hint="eastAsia" w:ascii="仿宋" w:hAnsi="仿宋" w:eastAsia="仿宋"/>
          <w:b/>
          <w:color w:val="000000"/>
          <w:sz w:val="32"/>
          <w:szCs w:val="32"/>
          <w:highlight w:val="none"/>
        </w:rPr>
      </w:pPr>
      <w:bookmarkStart w:id="56" w:name="_Toc15396616"/>
      <w:r>
        <w:rPr>
          <w:rFonts w:hint="eastAsia" w:ascii="仿宋" w:hAnsi="仿宋" w:eastAsia="仿宋"/>
          <w:b/>
          <w:color w:val="000000"/>
          <w:sz w:val="32"/>
          <w:szCs w:val="32"/>
          <w:highlight w:val="none"/>
          <w:lang w:eastAsia="zh-CN"/>
        </w:rPr>
        <w:t>香溪乡2019</w:t>
      </w:r>
      <w:r>
        <w:rPr>
          <w:rFonts w:hint="eastAsia" w:ascii="仿宋" w:hAnsi="仿宋" w:eastAsia="仿宋"/>
          <w:b/>
          <w:color w:val="000000"/>
          <w:sz w:val="32"/>
          <w:szCs w:val="32"/>
          <w:highlight w:val="none"/>
        </w:rPr>
        <w:t>年部门整体支出绩效评价报告</w:t>
      </w:r>
      <w:bookmarkEnd w:id="56"/>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highlight w:val="none"/>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（一）机构组成。</w:t>
      </w:r>
    </w:p>
    <w:p>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eastAsia="仿宋_GB2312" w:cs="Times New Roman"/>
          <w:sz w:val="32"/>
          <w:szCs w:val="32"/>
          <w:lang w:eastAsia="zh-CN"/>
        </w:rPr>
        <w:t>香溪乡2019</w:t>
      </w:r>
      <w:r>
        <w:rPr>
          <w:rFonts w:hint="default" w:ascii="Times New Roman" w:hAnsi="Times New Roman" w:eastAsia="仿宋_GB2312" w:cs="Times New Roman"/>
          <w:sz w:val="32"/>
          <w:szCs w:val="32"/>
        </w:rPr>
        <w:t>年末机构数为</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个，其中行政机关1个即</w:t>
      </w:r>
      <w:r>
        <w:rPr>
          <w:rFonts w:hint="eastAsia" w:eastAsia="仿宋_GB2312" w:cs="Times New Roman"/>
          <w:sz w:val="32"/>
          <w:szCs w:val="32"/>
          <w:lang w:eastAsia="zh-CN"/>
        </w:rPr>
        <w:t>香溪乡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；事业机构</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个，分别是</w:t>
      </w:r>
      <w:r>
        <w:rPr>
          <w:rFonts w:hint="default" w:ascii="Times New Roman" w:hAnsi="Times New Roman" w:eastAsia="仿宋_GB2312" w:cs="Times New Roman"/>
          <w:sz w:val="32"/>
          <w:szCs w:val="32"/>
          <w:lang w:eastAsia="zh-CN"/>
        </w:rPr>
        <w:t>党政</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公室、</w:t>
      </w:r>
      <w:r>
        <w:rPr>
          <w:rFonts w:hint="default" w:ascii="Times New Roman" w:hAnsi="Times New Roman" w:eastAsia="仿宋_GB2312" w:cs="Times New Roman"/>
          <w:sz w:val="32"/>
          <w:szCs w:val="32"/>
          <w:lang w:eastAsia="zh-CN"/>
        </w:rPr>
        <w:t>产业</w:t>
      </w:r>
      <w:r>
        <w:rPr>
          <w:rFonts w:hint="eastAsia" w:eastAsia="仿宋_GB2312" w:cs="Times New Roman"/>
          <w:sz w:val="32"/>
          <w:szCs w:val="32"/>
          <w:lang w:eastAsia="zh-CN"/>
        </w:rPr>
        <w:t>办</w:t>
      </w:r>
      <w:r>
        <w:rPr>
          <w:rFonts w:hint="default" w:ascii="Times New Roman" w:hAnsi="Times New Roman" w:eastAsia="仿宋_GB2312" w:cs="Times New Roman"/>
          <w:sz w:val="32"/>
          <w:szCs w:val="32"/>
          <w:lang w:eastAsia="zh-CN"/>
        </w:rPr>
        <w:t>公室、综治中心</w:t>
      </w:r>
      <w:r>
        <w:rPr>
          <w:rFonts w:hint="default" w:ascii="Times New Roman" w:hAnsi="Times New Roman" w:eastAsia="仿宋_GB2312" w:cs="Times New Roman"/>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ascii="仿宋" w:hAnsi="仿宋" w:eastAsia="仿宋" w:cs="仿宋_GB2312"/>
          <w:sz w:val="32"/>
          <w:szCs w:val="32"/>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1.政府职能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落实国家政策，严格依法行政，发挥经济管理职能，加强政策引导，制定发展规划，服务市场主体和营造发展环境，搞好市场监管，大力促进社会事业发展，发展</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理上级人民政府交</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2.社会事务服务中心职能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理就业失业登记证、落实村干部养老金政策、开展城</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居民社会养老保险工作、开展城</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居民养老保险；开展技能培训职业介绍和就业指导；大力开发农村劳动力资源；开展退休人员社会化管理等工作。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3.农村经济技术服务中心职能</w:t>
      </w:r>
    </w:p>
    <w:p>
      <w:pPr>
        <w:pStyle w:val="24"/>
        <w:pageBreakBefore w:val="0"/>
        <w:tabs>
          <w:tab w:val="left" w:pos="993"/>
        </w:tabs>
        <w:kinsoku/>
        <w:wordWrap/>
        <w:overflowPunct/>
        <w:topLinePunct w:val="0"/>
        <w:bidi w:val="0"/>
        <w:snapToGrid w:val="0"/>
        <w:spacing w:line="600" w:lineRule="exact"/>
        <w:ind w:firstLine="560"/>
        <w:textAlignment w:val="auto"/>
        <w:rPr>
          <w:rFonts w:ascii="仿宋" w:hAnsi="仿宋" w:eastAsia="仿宋" w:cs="仿宋_GB2312"/>
          <w:sz w:val="32"/>
          <w:szCs w:val="32"/>
        </w:rPr>
      </w:pPr>
      <w:r>
        <w:rPr>
          <w:rFonts w:hint="default" w:ascii="Times New Roman" w:hAnsi="Times New Roman" w:eastAsia="仿宋_GB2312" w:cs="Times New Roman"/>
          <w:sz w:val="32"/>
          <w:szCs w:val="32"/>
        </w:rPr>
        <w:t>主要从事农业技术服务，解决“三农”工作的难题，为广大农村农民群众排忧解难，宣传和落实好党在农村工作的惠农政策。</w:t>
      </w:r>
    </w:p>
    <w:p>
      <w:pPr>
        <w:numPr>
          <w:ilvl w:val="0"/>
          <w:numId w:val="6"/>
        </w:numPr>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pPr>
        <w:numPr>
          <w:ilvl w:val="0"/>
          <w:numId w:val="0"/>
        </w:numPr>
        <w:ind w:firstLine="640" w:firstLineChars="200"/>
        <w:rPr>
          <w:rFonts w:hint="eastAsia" w:ascii="仿宋_GB2312" w:eastAsia="仿宋_GB2312"/>
          <w:color w:val="FF0000"/>
          <w:sz w:val="32"/>
          <w:szCs w:val="32"/>
          <w:highlight w:val="none"/>
        </w:rPr>
      </w:pPr>
      <w:r>
        <w:rPr>
          <w:rFonts w:hint="eastAsia" w:ascii="仿宋" w:hAnsi="仿宋" w:eastAsia="仿宋" w:cs="仿宋"/>
          <w:b w:val="0"/>
          <w:bCs/>
          <w:color w:val="auto"/>
          <w:sz w:val="32"/>
          <w:szCs w:val="32"/>
          <w:highlight w:val="none"/>
          <w:lang w:val="en-US" w:eastAsia="zh-CN"/>
        </w:rPr>
        <w:t>2019年初，香溪乡共有编制23人。其中：行政编制10人，事业编制11人，工勤编制2人。2019年末预算实有人员22人，其中：行政人员9人，其他事业人员11人，工勤2人。按财政供给率分，财政全额供给22人。本单位退休8人，其中：行政人员4人，事业人员4人。其他人员6人，其中：交通协管员1人，遗嘱4人，临时炊事人员1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（一）部门财政资金收入情况。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
          <w:color w:val="auto"/>
          <w:sz w:val="32"/>
          <w:szCs w:val="32"/>
          <w:lang w:val="en-US" w:eastAsia="zh-CN"/>
        </w:rPr>
        <w:t>2019年我乡</w:t>
      </w:r>
      <w:r>
        <w:rPr>
          <w:rFonts w:hint="eastAsia" w:ascii="仿宋" w:hAnsi="仿宋" w:eastAsia="仿宋" w:cs="仿宋"/>
          <w:color w:val="auto"/>
          <w:sz w:val="32"/>
          <w:szCs w:val="32"/>
        </w:rPr>
        <w:t>本年总收</w:t>
      </w:r>
      <w:r>
        <w:rPr>
          <w:rFonts w:hint="eastAsia" w:ascii="仿宋" w:hAnsi="仿宋" w:eastAsia="仿宋" w:cs="仿宋"/>
          <w:color w:val="auto"/>
          <w:sz w:val="32"/>
          <w:szCs w:val="32"/>
          <w:lang w:val="en-US" w:eastAsia="zh-CN"/>
        </w:rPr>
        <w:t>416.92万</w:t>
      </w:r>
      <w:r>
        <w:rPr>
          <w:rFonts w:hint="eastAsia" w:ascii="仿宋" w:hAnsi="仿宋" w:eastAsia="仿宋" w:cs="仿宋"/>
          <w:color w:val="auto"/>
          <w:sz w:val="32"/>
          <w:szCs w:val="32"/>
        </w:rPr>
        <w:t>元，其中：一般财政拨款收入为</w:t>
      </w:r>
      <w:r>
        <w:rPr>
          <w:rFonts w:hint="eastAsia" w:ascii="仿宋" w:hAnsi="仿宋" w:eastAsia="仿宋" w:cs="仿宋"/>
          <w:color w:val="auto"/>
          <w:sz w:val="32"/>
          <w:szCs w:val="32"/>
          <w:lang w:val="en-US" w:eastAsia="zh-CN"/>
        </w:rPr>
        <w:t>413.84万</w:t>
      </w:r>
      <w:r>
        <w:rPr>
          <w:rFonts w:hint="eastAsia" w:ascii="仿宋" w:hAnsi="仿宋" w:eastAsia="仿宋" w:cs="仿宋"/>
          <w:color w:val="auto"/>
          <w:sz w:val="32"/>
          <w:szCs w:val="32"/>
        </w:rPr>
        <w:t>元，年初结转和结余收入为</w:t>
      </w:r>
      <w:r>
        <w:rPr>
          <w:rFonts w:hint="eastAsia" w:ascii="仿宋" w:hAnsi="仿宋" w:eastAsia="仿宋" w:cs="仿宋"/>
          <w:color w:val="auto"/>
          <w:sz w:val="32"/>
          <w:szCs w:val="32"/>
          <w:lang w:val="en-US" w:eastAsia="zh-CN"/>
        </w:rPr>
        <w:t>3.08万</w:t>
      </w:r>
      <w:r>
        <w:rPr>
          <w:rFonts w:hint="eastAsia" w:ascii="仿宋" w:hAnsi="仿宋" w:eastAsia="仿宋" w:cs="仿宋"/>
          <w:color w:val="auto"/>
          <w:sz w:val="32"/>
          <w:szCs w:val="32"/>
        </w:rPr>
        <w:t>元。</w:t>
      </w:r>
    </w:p>
    <w:p>
      <w:pPr>
        <w:keepNext w:val="0"/>
        <w:keepLines w:val="0"/>
        <w:pageBreakBefore w:val="0"/>
        <w:numPr>
          <w:ilvl w:val="0"/>
          <w:numId w:val="7"/>
        </w:numPr>
        <w:kinsoku/>
        <w:wordWrap/>
        <w:overflowPunct/>
        <w:topLinePunct w:val="0"/>
        <w:autoSpaceDE/>
        <w:autoSpaceDN/>
        <w:bidi w:val="0"/>
        <w:adjustRightInd/>
        <w:snapToGrid/>
        <w:spacing w:line="600" w:lineRule="exact"/>
        <w:ind w:right="0" w:rightChars="0" w:firstLine="640" w:firstLineChars="200"/>
        <w:textAlignment w:val="auto"/>
        <w:outlineLvl w:val="9"/>
        <w:rPr>
          <w:rFonts w:ascii="仿宋" w:hAnsi="仿宋" w:eastAsia="仿宋" w:cs="仿宋_GB2312"/>
          <w:sz w:val="32"/>
          <w:szCs w:val="32"/>
        </w:rPr>
      </w:pPr>
      <w:r>
        <w:rPr>
          <w:rFonts w:ascii="仿宋" w:hAnsi="仿宋" w:eastAsia="仿宋" w:cs="仿宋_GB2312"/>
          <w:sz w:val="32"/>
          <w:szCs w:val="32"/>
        </w:rPr>
        <w:t>部门财政资金支出情况。</w:t>
      </w:r>
    </w:p>
    <w:p>
      <w:pPr>
        <w:spacing w:line="600" w:lineRule="exact"/>
        <w:ind w:firstLine="640"/>
        <w:rPr>
          <w:rFonts w:hint="eastAsia" w:ascii="仿宋" w:hAnsi="仿宋" w:eastAsia="仿宋"/>
          <w:color w:val="FF0000"/>
          <w:sz w:val="32"/>
          <w:szCs w:val="32"/>
          <w:highlight w:val="none"/>
          <w:lang w:val="en-US" w:eastAsia="zh-CN"/>
        </w:rPr>
      </w:pPr>
      <w:r>
        <w:rPr>
          <w:rFonts w:ascii="仿宋" w:hAnsi="仿宋" w:eastAsia="仿宋" w:cs="仿宋_GB2312"/>
          <w:sz w:val="32"/>
          <w:szCs w:val="32"/>
        </w:rPr>
        <w:t>部门财政资金支出情况。</w:t>
      </w:r>
      <w:r>
        <w:rPr>
          <w:rFonts w:hint="eastAsia" w:ascii="仿宋" w:hAnsi="仿宋" w:eastAsia="仿宋"/>
          <w:color w:val="000000" w:themeColor="text1"/>
          <w:sz w:val="32"/>
          <w:szCs w:val="32"/>
          <w:highlight w:val="none"/>
          <w:lang w:eastAsia="zh-CN"/>
          <w14:textFill>
            <w14:solidFill>
              <w14:schemeClr w14:val="tx1"/>
            </w14:solidFill>
          </w14:textFill>
        </w:rPr>
        <w:t>2019</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416.92</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134.49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32.26</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eastAsia="zh-CN"/>
          <w14:textFill>
            <w14:solidFill>
              <w14:schemeClr w14:val="tx1"/>
            </w14:solidFill>
          </w14:textFill>
        </w:rPr>
        <w:t>公共安全</w:t>
      </w:r>
      <w:r>
        <w:rPr>
          <w:rFonts w:hint="eastAsia" w:ascii="仿宋" w:hAnsi="仿宋" w:eastAsia="仿宋"/>
          <w:b/>
          <w:color w:val="000000" w:themeColor="text1"/>
          <w:sz w:val="32"/>
          <w:szCs w:val="32"/>
          <w:highlight w:val="none"/>
          <w14:textFill>
            <w14:solidFill>
              <w14:schemeClr w14:val="tx1"/>
            </w14:solidFill>
          </w14:textFill>
        </w:rPr>
        <w:t>支出（类）</w:t>
      </w:r>
      <w:r>
        <w:rPr>
          <w:rFonts w:hint="eastAsia" w:ascii="仿宋" w:hAnsi="仿宋" w:eastAsia="仿宋"/>
          <w:color w:val="000000" w:themeColor="text1"/>
          <w:sz w:val="32"/>
          <w:szCs w:val="32"/>
          <w:highlight w:val="none"/>
          <w:lang w:val="en-US" w:eastAsia="zh-CN"/>
          <w14:textFill>
            <w14:solidFill>
              <w14:schemeClr w14:val="tx1"/>
            </w14:solidFill>
          </w14:textFill>
        </w:rPr>
        <w:t>16.29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3.91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；文化旅游体育与传媒支出</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类</w:t>
      </w:r>
      <w:r>
        <w:rPr>
          <w:rFonts w:hint="eastAsia" w:ascii="仿宋" w:hAnsi="仿宋" w:eastAsia="仿宋"/>
          <w:color w:val="000000" w:themeColor="text1"/>
          <w:sz w:val="32"/>
          <w:szCs w:val="32"/>
          <w:highlight w:val="none"/>
          <w:lang w:val="en-US" w:eastAsia="zh-CN"/>
          <w14:textFill>
            <w14:solidFill>
              <w14:schemeClr w14:val="tx1"/>
            </w14:solidFill>
          </w14:textFill>
        </w:rPr>
        <w:t>)0.42万元，占0.1%；</w:t>
      </w: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38.92</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9.34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；医疗卫生</w:t>
      </w:r>
      <w:r>
        <w:rPr>
          <w:rFonts w:hint="eastAsia" w:ascii="仿宋" w:hAnsi="仿宋" w:eastAsia="仿宋"/>
          <w:color w:val="000000" w:themeColor="text1"/>
          <w:sz w:val="32"/>
          <w:szCs w:val="32"/>
          <w:highlight w:val="none"/>
          <w:lang w:eastAsia="zh-CN"/>
          <w14:textFill>
            <w14:solidFill>
              <w14:schemeClr w14:val="tx1"/>
            </w14:solidFill>
          </w14:textFill>
        </w:rPr>
        <w:t>与计划生育</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eastAsia="zh-CN"/>
          <w14:textFill>
            <w14:solidFill>
              <w14:schemeClr w14:val="tx1"/>
            </w14:solidFill>
          </w14:textFill>
        </w:rPr>
        <w:t>（类）</w:t>
      </w:r>
      <w:r>
        <w:rPr>
          <w:rFonts w:hint="eastAsia" w:ascii="仿宋" w:hAnsi="仿宋" w:eastAsia="仿宋"/>
          <w:color w:val="000000" w:themeColor="text1"/>
          <w:sz w:val="32"/>
          <w:szCs w:val="32"/>
          <w:highlight w:val="none"/>
          <w:lang w:val="en-US" w:eastAsia="zh-CN"/>
          <w14:textFill>
            <w14:solidFill>
              <w14:schemeClr w14:val="tx1"/>
            </w14:solidFill>
          </w14:textFill>
        </w:rPr>
        <w:t>16.83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4.04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农林水支出</w:t>
      </w:r>
      <w:r>
        <w:rPr>
          <w:rFonts w:hint="eastAsia" w:ascii="仿宋" w:hAnsi="仿宋" w:eastAsia="仿宋"/>
          <w:color w:val="000000" w:themeColor="text1"/>
          <w:sz w:val="32"/>
          <w:szCs w:val="32"/>
          <w:highlight w:val="none"/>
          <w:lang w:val="en-US" w:eastAsia="zh-CN"/>
          <w14:textFill>
            <w14:solidFill>
              <w14:schemeClr w14:val="tx1"/>
            </w14:solidFill>
          </w14:textFill>
        </w:rPr>
        <w:t>194.31万元，占46.60%；</w:t>
      </w:r>
      <w:r>
        <w:rPr>
          <w:rFonts w:hint="eastAsia" w:ascii="仿宋" w:hAnsi="仿宋" w:eastAsia="仿宋"/>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15.66</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3.75</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香溪乡</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年基本完成，在保障机关运转、履行职能职责上整体情况良好。</w:t>
      </w:r>
    </w:p>
    <w:p>
      <w:pPr>
        <w:pageBreakBefore w:val="0"/>
        <w:kinsoku/>
        <w:wordWrap/>
        <w:overflowPunct/>
        <w:topLinePunct w:val="0"/>
        <w:bidi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（二）专项预算管理。</w:t>
      </w:r>
    </w:p>
    <w:p>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（三）结果应用情况。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1.部门职责履行结果。我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大力加强财政收支管理，使部门整体支出管理情况得到了提升，保障了各项工作的有序高效运转，较好地履行了各项职能，并完成了上级交</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的各项任务。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2.重点项目绩效评价结果。</w:t>
      </w:r>
      <w:r>
        <w:rPr>
          <w:rFonts w:hint="eastAsia" w:eastAsia="仿宋_GB2312" w:cs="Times New Roman"/>
          <w:sz w:val="32"/>
          <w:szCs w:val="32"/>
          <w:lang w:eastAsia="zh-CN"/>
        </w:rPr>
        <w:t>2019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3.服务对象满意度。积极认真</w:t>
      </w:r>
      <w:r>
        <w:rPr>
          <w:rFonts w:hint="eastAsia" w:eastAsia="仿宋_GB2312" w:cs="Times New Roman"/>
          <w:sz w:val="32"/>
          <w:szCs w:val="32"/>
          <w:lang w:eastAsia="zh-CN"/>
        </w:rPr>
        <w:t>乡梳</w:t>
      </w:r>
      <w:r>
        <w:rPr>
          <w:rFonts w:hint="default" w:ascii="Times New Roman" w:hAnsi="Times New Roman" w:eastAsia="仿宋_GB2312" w:cs="Times New Roman"/>
          <w:sz w:val="32"/>
          <w:szCs w:val="32"/>
        </w:rPr>
        <w:t>理人大代表建议、妥善处理群众来信来访、化解社会矛盾情况，加强政风行风建设、解决损害群众利益的情况，人民群众满意度较好。</w:t>
      </w: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hint="eastAsia" w:eastAsia="仿宋_GB2312" w:cs="Times New Roman"/>
          <w:sz w:val="32"/>
          <w:szCs w:val="32"/>
          <w:lang w:eastAsia="zh-CN"/>
        </w:rPr>
        <w:t>2019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1.面对复杂的经济环境，财政增收的压力进一步加大，财政收入结构性矛盾突出。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2.财政科学化、精细化管理水平有待进一步提高等。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3.财政资源配置作用有待进一步加强。</w:t>
      </w:r>
    </w:p>
    <w:p>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（三）改进建议。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1.抓好税收征管工作，坚持依法征税,做好企业服务工作，稳固主体税源；加强财政非税收入征缴，努力做到应收尽收，确保财政收入稳定增长。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2.不断完善部门预算编制工作，在规范制度、细化编制、严肃执行等方面下功夫，切实提高预算管理全过程的科学化和精细化水平。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3.优化支出结构，统筹运用财力，合理调度财政资金，确保正常运转和社会稳定。加强财政监督，完善监督制约机制，特别是加强项目资金管理，做到专款专用，不断提高财政资金的使用效益。</w:t>
      </w:r>
      <w:bookmarkStart w:id="57" w:name="_Toc153966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p>
    <w:p>
      <w:pPr>
        <w:pStyle w:val="3"/>
        <w:rPr>
          <w:rStyle w:val="25"/>
          <w:rFonts w:hint="eastAsia" w:ascii="仿宋" w:hAnsi="仿宋" w:eastAsia="仿宋"/>
          <w:b w:val="0"/>
          <w:bCs w:val="0"/>
          <w:sz w:val="32"/>
          <w:szCs w:val="32"/>
        </w:rPr>
      </w:pPr>
    </w:p>
    <w:p>
      <w:pPr>
        <w:rPr>
          <w:rStyle w:val="25"/>
          <w:rFonts w:hint="eastAsia" w:ascii="仿宋" w:hAnsi="仿宋" w:eastAsia="仿宋"/>
          <w:b w:val="0"/>
          <w:bCs w:val="0"/>
          <w:sz w:val="32"/>
          <w:szCs w:val="32"/>
        </w:rPr>
      </w:pPr>
    </w:p>
    <w:p>
      <w:pPr>
        <w:rPr>
          <w:rStyle w:val="25"/>
          <w:rFonts w:hint="eastAsia" w:ascii="仿宋" w:hAnsi="仿宋" w:eastAsia="仿宋"/>
          <w:b w:val="0"/>
          <w:bCs w:val="0"/>
          <w:sz w:val="32"/>
          <w:szCs w:val="32"/>
        </w:r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附件2</w:t>
      </w:r>
      <w:bookmarkEnd w:id="57"/>
    </w:p>
    <w:p>
      <w:pPr>
        <w:pageBreakBefore w:val="0"/>
        <w:kinsoku/>
        <w:wordWrap/>
        <w:overflowPunct/>
        <w:topLinePunct w:val="0"/>
        <w:bidi w:val="0"/>
        <w:spacing w:line="600" w:lineRule="exact"/>
        <w:jc w:val="center"/>
        <w:textAlignment w:val="auto"/>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eastAsia="zh-CN"/>
        </w:rPr>
        <w:t>广元市昭化区香溪乡人民政府</w:t>
      </w:r>
    </w:p>
    <w:p>
      <w:pPr>
        <w:pageBreakBefore w:val="0"/>
        <w:kinsoku/>
        <w:wordWrap/>
        <w:overflowPunct/>
        <w:topLinePunct w:val="0"/>
        <w:bidi w:val="0"/>
        <w:spacing w:line="600" w:lineRule="exact"/>
        <w:jc w:val="center"/>
        <w:textAlignment w:val="auto"/>
        <w:rPr>
          <w:rFonts w:hint="eastAsia" w:ascii="黑体" w:hAnsi="黑体" w:eastAsia="黑体" w:cs="方正小标宋简体"/>
          <w:sz w:val="44"/>
          <w:szCs w:val="44"/>
        </w:rPr>
      </w:pPr>
      <w:r>
        <w:rPr>
          <w:rFonts w:hint="eastAsia" w:ascii="黑体" w:hAnsi="黑体" w:eastAsia="黑体" w:cs="方正小标宋简体"/>
          <w:sz w:val="44"/>
          <w:szCs w:val="44"/>
          <w:lang w:eastAsia="zh-CN"/>
        </w:rPr>
        <w:t>2019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w:t>
      </w:r>
      <w:r>
        <w:rPr>
          <w:rFonts w:hint="eastAsia" w:ascii="仿宋_GB2312" w:hAnsi="华文中宋"/>
          <w:b/>
          <w:bCs/>
          <w:sz w:val="44"/>
          <w:szCs w:val="44"/>
        </w:rPr>
        <w:t>公共运行维护</w:t>
      </w:r>
      <w:r>
        <w:rPr>
          <w:rFonts w:hint="eastAsia" w:ascii="黑体" w:hAnsi="黑体" w:eastAsia="黑体" w:cs="方正小标宋简体"/>
          <w:sz w:val="44"/>
          <w:szCs w:val="44"/>
        </w:rPr>
        <w:t>项目支出绩效</w:t>
      </w:r>
    </w:p>
    <w:p>
      <w:pPr>
        <w:pageBreakBefore w:val="0"/>
        <w:kinsoku/>
        <w:wordWrap/>
        <w:overflowPunct/>
        <w:topLinePunct w:val="0"/>
        <w:bidi w:val="0"/>
        <w:spacing w:line="60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rPr>
        <w:t>评价报告</w:t>
      </w:r>
    </w:p>
    <w:p>
      <w:pPr>
        <w:spacing w:line="580" w:lineRule="exact"/>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sz w:val="32"/>
          <w:szCs w:val="32"/>
        </w:rPr>
      </w:pPr>
      <w:bookmarkStart w:id="58" w:name="_Toc15396618"/>
      <w:r>
        <w:rPr>
          <w:rFonts w:hint="eastAsia" w:ascii="华文中宋" w:hAnsi="华文中宋" w:eastAsia="华文中宋" w:cs="华文中宋"/>
          <w:sz w:val="32"/>
          <w:szCs w:val="32"/>
        </w:rPr>
        <w:t>一、评价工作开展及项目情况</w:t>
      </w:r>
    </w:p>
    <w:p>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（一）项目基本情况</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年，区财政局下达农公运资金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我乡</w:t>
      </w:r>
      <w:r>
        <w:rPr>
          <w:rFonts w:hint="eastAsia" w:ascii="华文仿宋" w:hAnsi="华文仿宋" w:eastAsia="华文仿宋" w:cs="华文仿宋"/>
          <w:sz w:val="32"/>
          <w:szCs w:val="32"/>
        </w:rPr>
        <w:t>根据相关规定</w:t>
      </w:r>
      <w:r>
        <w:rPr>
          <w:rFonts w:hint="eastAsia" w:ascii="华文仿宋" w:hAnsi="华文仿宋" w:eastAsia="华文仿宋" w:cs="华文仿宋"/>
          <w:sz w:val="32"/>
          <w:szCs w:val="32"/>
          <w:lang w:eastAsia="zh-CN"/>
        </w:rPr>
        <w:t>均</w:t>
      </w:r>
      <w:r>
        <w:rPr>
          <w:rFonts w:hint="eastAsia" w:ascii="华文仿宋" w:hAnsi="华文仿宋" w:eastAsia="华文仿宋" w:cs="华文仿宋"/>
          <w:sz w:val="32"/>
          <w:szCs w:val="32"/>
        </w:rPr>
        <w:t>按</w:t>
      </w:r>
      <w:r>
        <w:rPr>
          <w:rFonts w:hint="eastAsia" w:ascii="华文仿宋" w:hAnsi="华文仿宋" w:eastAsia="华文仿宋" w:cs="华文仿宋"/>
          <w:sz w:val="32"/>
          <w:szCs w:val="32"/>
          <w:lang w:val="en-US" w:eastAsia="zh-CN"/>
        </w:rPr>
        <w:t>5万元</w:t>
      </w:r>
      <w:r>
        <w:rPr>
          <w:rFonts w:hint="eastAsia" w:ascii="华文仿宋" w:hAnsi="华文仿宋" w:eastAsia="华文仿宋" w:cs="华文仿宋"/>
          <w:sz w:val="32"/>
          <w:szCs w:val="32"/>
        </w:rPr>
        <w:t>进行分配，各村（社区）</w:t>
      </w:r>
      <w:r>
        <w:rPr>
          <w:rFonts w:hint="eastAsia" w:ascii="华文仿宋" w:hAnsi="华文仿宋" w:eastAsia="华文仿宋" w:cs="华文仿宋"/>
          <w:sz w:val="32"/>
          <w:szCs w:val="32"/>
          <w:lang w:eastAsia="zh-CN"/>
        </w:rPr>
        <w:t>广泛宣传政策，征求</w:t>
      </w:r>
      <w:r>
        <w:rPr>
          <w:rFonts w:hint="eastAsia" w:ascii="华文仿宋" w:hAnsi="华文仿宋" w:eastAsia="华文仿宋" w:cs="华文仿宋"/>
          <w:sz w:val="32"/>
          <w:szCs w:val="32"/>
        </w:rPr>
        <w:t>村民意见，并将调查结果汇总后公示。经村（社区）“三委”审议初步方案，确定实施项目后在村民代表会议表决后实施。各村项目均先由实施方实施，待项目完成后，由</w:t>
      </w:r>
      <w:r>
        <w:rPr>
          <w:rFonts w:hint="eastAsia" w:ascii="华文仿宋" w:hAnsi="华文仿宋" w:eastAsia="华文仿宋" w:cs="华文仿宋"/>
          <w:sz w:val="32"/>
          <w:szCs w:val="32"/>
          <w:lang w:eastAsia="zh-CN"/>
        </w:rPr>
        <w:t>乡</w:t>
      </w:r>
      <w:r>
        <w:rPr>
          <w:rFonts w:hint="eastAsia" w:ascii="华文仿宋" w:hAnsi="华文仿宋" w:eastAsia="华文仿宋" w:cs="华文仿宋"/>
          <w:sz w:val="32"/>
          <w:szCs w:val="32"/>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绩效评价总目标及阶段性目标</w:t>
      </w:r>
    </w:p>
    <w:p>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lang w:val="en-US" w:eastAsia="zh-CN"/>
        </w:rPr>
        <w:t>1</w:t>
      </w:r>
      <w:r>
        <w:rPr>
          <w:rFonts w:hint="eastAsia" w:ascii="华文仿宋" w:hAnsi="华文仿宋" w:eastAsia="华文仿宋" w:cs="华文仿宋"/>
          <w:b w:val="0"/>
          <w:sz w:val="32"/>
          <w:szCs w:val="32"/>
        </w:rPr>
        <w:t>、项目支出绩效评价总目标</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维护村（社区）卫生环境，保证村（社区）各项基础设施的正常运行，为村（社区）群众提供优良生产生活环境。</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项目绩效评价阶段性目标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高质量完成每年经村（社区）民审定项目，不断提升村（社区）管理水平。</w:t>
      </w:r>
    </w:p>
    <w:p>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绩效评价工作开展情况</w:t>
      </w:r>
    </w:p>
    <w:p>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绩效评价目的</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通过对</w:t>
      </w:r>
      <w:r>
        <w:rPr>
          <w:rFonts w:hint="eastAsia" w:ascii="华文仿宋" w:hAnsi="华文仿宋" w:eastAsia="华文仿宋" w:cs="华文仿宋"/>
          <w:color w:val="000000"/>
          <w:sz w:val="32"/>
          <w:szCs w:val="32"/>
          <w:lang w:eastAsia="zh-CN"/>
        </w:rPr>
        <w:t>2019</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rPr>
        <w:t>公共运行维护资金项目</w:t>
      </w:r>
      <w:r>
        <w:rPr>
          <w:rFonts w:hint="eastAsia" w:ascii="华文仿宋" w:hAnsi="华文仿宋" w:eastAsia="华文仿宋" w:cs="华文仿宋"/>
          <w:color w:val="000000"/>
          <w:sz w:val="32"/>
          <w:szCs w:val="32"/>
        </w:rPr>
        <w:t>支出绩效的综合评价，实现财政资源的合理配置，提高财政性资金使用的经济性、效益性和效率性。通过了解</w:t>
      </w:r>
      <w:r>
        <w:rPr>
          <w:rFonts w:hint="eastAsia" w:ascii="华文仿宋" w:hAnsi="华文仿宋" w:eastAsia="华文仿宋" w:cs="华文仿宋"/>
          <w:sz w:val="32"/>
          <w:szCs w:val="32"/>
        </w:rPr>
        <w:t>项目资金</w:t>
      </w:r>
      <w:r>
        <w:rPr>
          <w:rFonts w:hint="eastAsia" w:ascii="华文仿宋" w:hAnsi="华文仿宋" w:eastAsia="华文仿宋" w:cs="华文仿宋"/>
          <w:color w:val="000000"/>
          <w:sz w:val="32"/>
          <w:szCs w:val="32"/>
        </w:rPr>
        <w:t>使用情况和取得的效果，总结</w:t>
      </w:r>
      <w:r>
        <w:rPr>
          <w:rFonts w:hint="eastAsia" w:ascii="华文仿宋" w:hAnsi="华文仿宋" w:eastAsia="华文仿宋" w:cs="华文仿宋"/>
          <w:sz w:val="32"/>
          <w:szCs w:val="32"/>
        </w:rPr>
        <w:t>项目专项资金支出及</w:t>
      </w:r>
      <w:r>
        <w:rPr>
          <w:rFonts w:hint="eastAsia" w:ascii="华文仿宋" w:hAnsi="华文仿宋" w:eastAsia="华文仿宋" w:cs="华文仿宋"/>
          <w:color w:val="000000"/>
          <w:sz w:val="32"/>
          <w:szCs w:val="32"/>
        </w:rPr>
        <w:t>项目管理经验，发现</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存在的问题，进一步加强和规范资金管理，完善资金管理制度，提高</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的管理水平，为申报绩效目标、优化财政支出结构提供决策参考和依据。</w:t>
      </w:r>
    </w:p>
    <w:p>
      <w:pPr>
        <w:pStyle w:val="3"/>
        <w:pageBreakBefore w:val="0"/>
        <w:widowControl w:val="0"/>
        <w:kinsoku/>
        <w:wordWrap/>
        <w:overflowPunct/>
        <w:topLinePunct w:val="0"/>
        <w:autoSpaceDE/>
        <w:autoSpaceDN/>
        <w:bidi w:val="0"/>
        <w:adjustRightInd/>
        <w:spacing w:before="0" w:after="0"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绩效评价原则、评价指标体系、评价方法</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1、绩效评价原则</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（1）相关性原则。选定的绩效评价指标与其所做的工作和完成的任务有直接的联系。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（2）重要性原则。对绩效评价指标在整个评价过程中的地位和作用进行筛选，选择最具有代表性、最能反映评价要求的绩效评价指标。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（3）可比性原则。对具有相似目标的工作选定共同的绩效目标，保证绩效结果可以相互比较。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（4）经济性原则。绩效评价指标要考虑现实条件和可操作性，能在合理的成本基础上取得绩效目标数据并进行评价。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（5）动态性原则。项目绩效评价是一个动态过程，反映专项资金项目绩效的指标体系同样不能一成不变，而应是动态性的、可补充的，可根据绩效评价工作的开展情况，不断调整、完善基本指标。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（6）系统性原则。应当将定量指标与定性指标相结合，系统反映预算支出所产生的效益。</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2、评价指标体系</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项目支出绩效评价指标体系</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基层组织活动和公共运行维护资金项目支出绩效评价指标体系原则上按照《</w:t>
      </w: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 xml:space="preserve">年广元市昭化区项目支出绩效评价指标体系》设置，整个评价指标体系包括3个一级指标、10个二级指标和若干个三级指标。 </w:t>
      </w:r>
    </w:p>
    <w:p>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(1)项目决策指标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tbl>
      <w:tblPr>
        <w:tblStyle w:val="13"/>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指标评价内容</w:t>
            </w:r>
          </w:p>
        </w:tc>
      </w:tr>
      <w:tr>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项目决策（20分）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绩效目标 </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（6分）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绩效目标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项目预期提供的产品、服务、效益或其他目标明确、是否细化、量化</w:t>
            </w:r>
          </w:p>
        </w:tc>
      </w:tr>
      <w:tr>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进度计划</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项目计划实施进度明确</w:t>
            </w:r>
          </w:p>
        </w:tc>
      </w:tr>
      <w:tr>
        <w:tblPrEx>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目标需求</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目标设定符合实际需求的抽样项目点个数/抽样项目点总数×100%</w:t>
            </w:r>
          </w:p>
        </w:tc>
      </w:tr>
      <w:tr>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决策依据</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（7分）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政策依据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项目符合党中央、国务院和省、市、区决策部署；符合当前经济社会发展需要</w:t>
            </w:r>
          </w:p>
        </w:tc>
      </w:tr>
      <w:tr>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实施方案</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制订实施方案，内容完整，并获得批准</w:t>
            </w:r>
          </w:p>
        </w:tc>
      </w:tr>
      <w:tr>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实施规划符合实际，并根据情况变化适时调整</w:t>
            </w:r>
          </w:p>
        </w:tc>
      </w:tr>
      <w:tr>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管理制度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项目资金管理制度、决策程序明确</w:t>
            </w:r>
          </w:p>
        </w:tc>
      </w:tr>
      <w:tr>
        <w:tblPrEx>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资金分配</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（4分）</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分配过程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分配过程符合相关规定</w:t>
            </w:r>
          </w:p>
        </w:tc>
      </w:tr>
      <w:tr>
        <w:tblPrEx>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分配时效</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主管部门按规定及时分配资金</w:t>
            </w:r>
          </w:p>
        </w:tc>
      </w:tr>
      <w:tr>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分配结果</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（3分）</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审核把关</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项目符合申报条件，并经过审核</w:t>
            </w:r>
          </w:p>
        </w:tc>
      </w:tr>
    </w:tbl>
    <w:p>
      <w:pPr>
        <w:snapToGrid w:val="0"/>
        <w:spacing w:line="360" w:lineRule="auto"/>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②项目管理指标</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tbl>
      <w:tblPr>
        <w:tblStyle w:val="13"/>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指标评价内容</w:t>
            </w:r>
          </w:p>
        </w:tc>
      </w:tr>
      <w:tr>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资金到位 </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（7分）    </w:t>
            </w:r>
          </w:p>
        </w:tc>
        <w:tc>
          <w:tcPr>
            <w:tcW w:w="1140" w:type="dxa"/>
            <w:tcBorders>
              <w:top w:val="nil"/>
              <w:left w:val="nil"/>
              <w:bottom w:val="nil"/>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资金到位率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资金到位率=实际到位资金/计划投入资金×100%</w:t>
            </w:r>
          </w:p>
        </w:tc>
      </w:tr>
      <w:tr>
        <w:tblPrEx>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资金拨付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按规定及时拨付资金</w:t>
            </w:r>
          </w:p>
        </w:tc>
      </w:tr>
      <w:tr>
        <w:tblPrEx>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资金管理 </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（10分）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使用范围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专款专用</w:t>
            </w:r>
          </w:p>
        </w:tc>
      </w:tr>
      <w:tr>
        <w:tblPrEx>
          <w:tblCellMar>
            <w:top w:w="0" w:type="dxa"/>
            <w:left w:w="108" w:type="dxa"/>
            <w:bottom w:w="0" w:type="dxa"/>
            <w:right w:w="108" w:type="dxa"/>
          </w:tblCellMar>
        </w:tblPrEx>
        <w:trPr>
          <w:trHeight w:val="88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支付依据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资金支付依据符合规定</w:t>
            </w:r>
          </w:p>
        </w:tc>
      </w:tr>
      <w:tr>
        <w:tblPrEx>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财务管理</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（2分）</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财务制度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财务制度健全，管理规范</w:t>
            </w:r>
          </w:p>
        </w:tc>
      </w:tr>
      <w:tr>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会计核算</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会计核算规范</w:t>
            </w:r>
          </w:p>
        </w:tc>
      </w:tr>
      <w:tr>
        <w:tblPrEx>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组织实施</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（6分）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项目实施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项目按实施方案实施，如有调整，调整严格履行相关手续</w:t>
            </w:r>
          </w:p>
        </w:tc>
      </w:tr>
      <w:tr>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投资变更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项目投资变更额/项目总投入×100%</w:t>
            </w:r>
          </w:p>
        </w:tc>
      </w:tr>
      <w:tr>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制度执行</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严格执行项目有关制度规定</w:t>
            </w:r>
          </w:p>
        </w:tc>
      </w:tr>
    </w:tbl>
    <w:p>
      <w:pPr>
        <w:snapToGrid w:val="0"/>
        <w:spacing w:line="360" w:lineRule="auto"/>
        <w:rPr>
          <w:rFonts w:hint="eastAsia" w:ascii="仿宋_GB2312" w:hAnsi="仿宋_GB2312" w:eastAsia="仿宋_GB2312" w:cs="仿宋_GB2312"/>
          <w:sz w:val="32"/>
          <w:szCs w:val="32"/>
        </w:rPr>
      </w:pPr>
    </w:p>
    <w:p>
      <w:pPr>
        <w:snapToGrid w:val="0"/>
        <w:spacing w:line="360" w:lineRule="auto"/>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③项目绩效指标</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该类一级指标包含2个二级指标，7个三级指标，总分值55分。主要评价项目产出情况、社会效果、受益群众满意度。</w:t>
      </w:r>
    </w:p>
    <w:tbl>
      <w:tblPr>
        <w:tblStyle w:val="13"/>
        <w:tblW w:w="8380" w:type="dxa"/>
        <w:tblInd w:w="93" w:type="dxa"/>
        <w:tblLayout w:type="fixed"/>
        <w:tblCellMar>
          <w:top w:w="0" w:type="dxa"/>
          <w:left w:w="108" w:type="dxa"/>
          <w:bottom w:w="0" w:type="dxa"/>
          <w:right w:w="108" w:type="dxa"/>
        </w:tblCellMar>
      </w:tblPr>
      <w:tblGrid>
        <w:gridCol w:w="1060"/>
        <w:gridCol w:w="1180"/>
        <w:gridCol w:w="1140"/>
        <w:gridCol w:w="580"/>
        <w:gridCol w:w="4420"/>
      </w:tblGrid>
      <w:tr>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一级指标</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指标评价内容</w:t>
            </w:r>
          </w:p>
        </w:tc>
      </w:tr>
      <w:tr>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0" w:type="dxa"/>
            <w:left w:w="108" w:type="dxa"/>
            <w:bottom w:w="0" w:type="dxa"/>
            <w:right w:w="108" w:type="dxa"/>
          </w:tblCellMar>
        </w:tblPrEx>
        <w:trPr>
          <w:trHeight w:val="99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项目绩效 （55分） </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产出数量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实际完成农村公共服务运行维护资金项目数量/计划完成农村公共服务运行维护资金项目数量x100%</w:t>
            </w:r>
          </w:p>
        </w:tc>
      </w:tr>
      <w:tr>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产出质量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质量达标率＝（质量达标产出数/实际产出数）/100%</w:t>
            </w:r>
          </w:p>
        </w:tc>
      </w:tr>
      <w:tr>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产出时效</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（实际完成时间-目标设定完成时间）/目标设定完成时间×100%</w:t>
            </w:r>
          </w:p>
        </w:tc>
      </w:tr>
      <w:tr>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项目效果（40分）</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社会效益</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w:t>
            </w:r>
          </w:p>
        </w:tc>
        <w:tc>
          <w:tcPr>
            <w:tcW w:w="4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项目实施对社会发展所带来的直接或间接影响情况</w:t>
            </w:r>
          </w:p>
        </w:tc>
      </w:tr>
      <w:tr>
        <w:tblPrEx>
          <w:tblCellMar>
            <w:top w:w="0" w:type="dxa"/>
            <w:left w:w="108" w:type="dxa"/>
            <w:bottom w:w="0" w:type="dxa"/>
            <w:right w:w="108" w:type="dxa"/>
          </w:tblCellMar>
        </w:tblPrEx>
        <w:trPr>
          <w:trHeight w:val="57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环境效益</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村内垃圾清运及时，道路、河道、绿化、公共服务设施等运行维护标准执行到位，村容村貌卫生整洁</w:t>
            </w:r>
          </w:p>
        </w:tc>
      </w:tr>
      <w:tr>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可持续影响</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w:t>
            </w:r>
          </w:p>
        </w:tc>
        <w:tc>
          <w:tcPr>
            <w:tcW w:w="4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项目后续运行及成效发挥的可持续影响情况</w:t>
            </w:r>
          </w:p>
        </w:tc>
      </w:tr>
      <w:tr>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 w:val="32"/>
                <w:szCs w:val="32"/>
              </w:rPr>
            </w:pP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受益群体满意度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w:t>
            </w:r>
          </w:p>
        </w:tc>
        <w:tc>
          <w:tcPr>
            <w:tcW w:w="4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受益群体对项目实施效策、实施效果的满意程度</w:t>
            </w:r>
          </w:p>
        </w:tc>
      </w:tr>
    </w:tbl>
    <w:p>
      <w:pPr>
        <w:snapToGrid w:val="0"/>
        <w:spacing w:line="360" w:lineRule="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仿宋_GB2312" w:hAnsi="仿宋_GB2312" w:eastAsia="仿宋_GB2312" w:cs="仿宋_GB2312"/>
          <w:sz w:val="32"/>
          <w:szCs w:val="32"/>
        </w:rPr>
        <w:t>绩效评价结果考核分为优、良、中、差四个等级。考核得分在90分至100分的为优，得分在80分至89分的为良，得分在70分至79分的为中，得分在70分以下的为差。</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3、绩效评价方法</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我们在资金支出绩效评工作中，综合运用以下方法：</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（1）成本效益分析法。是指将一定时期内的支出与效益进行对比分析，以评价绩效目标实现程度。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（2）比较法。是指通过对绩效目标与实施效果、历史与当期情况、不同部门和地区同类支出的比较，综合分析绩效目标实现程度。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（3）因素分析法。是指通过综合分析影响绩效目标实现、实施效果的内外因素，评价绩效目标实现程度。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（4）最低成本法。是指对效益确定却不易计量的多个同类对象的实施成本进行比较，评价绩效目标实现程度。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（5）公众评判法。是指通过专家评估、公众问卷及抽样调查等对支出效果和服务对象满意度进行评判，从社会角度评价绩效目标实现程度。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（6）其他评价方法。</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其他方法包括抽样调查、调阅资料、实地调查等方法，绩效评价和政策评估方法的选用应当坚持简便有效的原则。根据评价对象的具体情况，采用一种或多种方法开展评价。</w:t>
      </w:r>
    </w:p>
    <w:p>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（三）绩效评价工作过程</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1、前期准备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 收集项目相关文件资料，掌握项目特点，分析评价对象的重点和难点，结合《</w:t>
      </w: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2、组织实施</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3、分析评价、评估</w:t>
      </w: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对现场评价中发现的重大问题，组织力量进行深入评价，并召开专题讨论会审，提出处理方案。评价工作组将取得的现场评价成果进行讨论分析，汇总评价结果后形成初步意见。</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二、评价结论及绩效分析</w:t>
      </w:r>
    </w:p>
    <w:p>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香溪乡</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sz w:val="28"/>
          <w:szCs w:val="28"/>
        </w:rPr>
      </w:pPr>
      <w:r>
        <w:rPr>
          <w:rFonts w:hint="eastAsia" w:ascii="华文仿宋" w:hAnsi="华文仿宋" w:eastAsia="华文仿宋" w:cs="华文仿宋"/>
          <w:sz w:val="32"/>
          <w:szCs w:val="32"/>
        </w:rPr>
        <w:t>通过对基层组织活动和公共运行维护资金专项资金项目三级指标的分析考评，综合评价结果为优级</w:t>
      </w:r>
      <w:r>
        <w:rPr>
          <w:rFonts w:hint="eastAsia" w:ascii="仿宋_GB2312" w:hAnsi="仿宋"/>
          <w:sz w:val="28"/>
          <w:szCs w:val="28"/>
        </w:rPr>
        <w:t>。</w:t>
      </w:r>
    </w:p>
    <w:p>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（二）绩效分析</w:t>
      </w:r>
    </w:p>
    <w:p>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1、项目决策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年昭化区财政局预算指标基层组织活动和公共运行维护资金项目资金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 xml:space="preserve">万元，资金到位率100%。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年项目资金到位</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万元，截止</w:t>
      </w: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年1</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月31日，支付项目资金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万元，与财政预算基本平衡，无超预算支出发生。</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该项目根据专项资金文件规定的申报、审核、支付、管理流程，基本能按照相关规定审核支付资金，资金的支付范围、支付标准基本合规合法，支付依据充分，基本做到了专款专用。</w:t>
      </w:r>
    </w:p>
    <w:p>
      <w:pPr>
        <w:keepNext w:val="0"/>
        <w:keepLines w:val="0"/>
        <w:pageBreakBefore w:val="0"/>
        <w:widowControl w:val="0"/>
        <w:numPr>
          <w:ilvl w:val="0"/>
          <w:numId w:val="9"/>
        </w:numPr>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项目管理</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（1）项目组织情况</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基层组织活动和公共运行维护项目建设是一项政策性强、要求规格高、促进农村发展力强的工作，</w:t>
      </w:r>
      <w:r>
        <w:rPr>
          <w:rFonts w:hint="eastAsia" w:ascii="仿宋_GB2312" w:hAnsi="仿宋_GB2312" w:cs="仿宋_GB2312"/>
          <w:sz w:val="32"/>
          <w:szCs w:val="32"/>
          <w:lang w:eastAsia="zh-CN"/>
        </w:rPr>
        <w:t>香溪乡</w:t>
      </w:r>
      <w:r>
        <w:rPr>
          <w:rFonts w:hint="eastAsia" w:ascii="仿宋_GB2312" w:hAnsi="仿宋_GB2312" w:eastAsia="仿宋_GB2312" w:cs="仿宋_GB2312"/>
          <w:sz w:val="32"/>
          <w:szCs w:val="32"/>
        </w:rPr>
        <w:t>成立了以</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长为组长、分管副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长为副组长、相关部门负责人及所有村主任为成员的领导小组，按照上级文件相关要求，着力于民主议事、合同约束、村财</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管等程序执行。在项目申报确定前按要求召开村民代表大会，广泛征求村民的意见，根据村民意愿等实际情况申报计划。确定实施项目的地点。并按要求对项目实施情况等进行公示，广泛征求村民意见，按招投标法、政府采购等法律法规落实施工队伍和进行设备维护采购等，并按照项目申报、确定、施工、监管、验收、结算等阶段程序整理相关资料。</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（2）项目财务管理情况</w:t>
      </w:r>
    </w:p>
    <w:p>
      <w:pPr>
        <w:snapToGrid w:val="0"/>
        <w:spacing w:line="360" w:lineRule="auto"/>
        <w:ind w:firstLine="640" w:firstLineChars="200"/>
        <w:rPr>
          <w:rFonts w:hint="eastAsia" w:ascii="华文仿宋" w:hAnsi="华文仿宋" w:eastAsia="华文仿宋" w:cs="华文仿宋"/>
          <w:b/>
          <w:bCs/>
          <w:sz w:val="32"/>
          <w:szCs w:val="32"/>
        </w:rPr>
      </w:pPr>
      <w:r>
        <w:rPr>
          <w:rFonts w:hint="eastAsia" w:ascii="仿宋_GB2312" w:hAnsi="仿宋_GB2312" w:cs="仿宋_GB2312"/>
          <w:sz w:val="32"/>
          <w:szCs w:val="32"/>
          <w:lang w:eastAsia="zh-CN"/>
        </w:rPr>
        <w:t>香溪乡</w:t>
      </w:r>
      <w:r>
        <w:rPr>
          <w:rFonts w:hint="eastAsia" w:ascii="仿宋_GB2312" w:hAnsi="仿宋_GB2312" w:eastAsia="仿宋_GB2312" w:cs="仿宋_GB2312"/>
          <w:sz w:val="32"/>
          <w:szCs w:val="32"/>
        </w:rPr>
        <w:t>建立了基本健全的内部控制制度，内部控制管理运行有效。同时制定相关专项资金的财务管理制度，设置项目管理机构，会计核算及账务处理，专款专用。按照项目资金管理办法，项目执行了财务管理制度，财务处理及时，会计核算基本规范。</w:t>
      </w:r>
    </w:p>
    <w:p>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3、项目绩效</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（1）项目的完成数量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2019</w:t>
      </w:r>
      <w:r>
        <w:rPr>
          <w:rFonts w:hint="eastAsia" w:ascii="华文仿宋" w:hAnsi="华文仿宋" w:eastAsia="华文仿宋" w:cs="华文仿宋"/>
          <w:sz w:val="32"/>
          <w:szCs w:val="32"/>
        </w:rPr>
        <w:t>年，各村（社区）均已按实施方案完成。</w:t>
      </w:r>
    </w:p>
    <w:p>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（2）项目完成质量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w:t>
      </w:r>
      <w:r>
        <w:rPr>
          <w:rFonts w:hint="eastAsia" w:ascii="华文仿宋" w:hAnsi="华文仿宋" w:eastAsia="华文仿宋" w:cs="华文仿宋"/>
          <w:sz w:val="32"/>
          <w:szCs w:val="32"/>
          <w:lang w:eastAsia="zh-CN"/>
        </w:rPr>
        <w:t>乡</w:t>
      </w:r>
      <w:r>
        <w:rPr>
          <w:rFonts w:hint="eastAsia" w:ascii="华文仿宋" w:hAnsi="华文仿宋" w:eastAsia="华文仿宋" w:cs="华文仿宋"/>
          <w:sz w:val="32"/>
          <w:szCs w:val="32"/>
        </w:rPr>
        <w:t>财政所、联村干部、监督委员会、村民委员会共同验收合格。</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（3）项目的效益性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pPr>
        <w:pageBreakBefore w:val="0"/>
        <w:widowControl w:val="0"/>
        <w:numPr>
          <w:ilvl w:val="0"/>
          <w:numId w:val="2"/>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存在主要问题</w:t>
      </w: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未编制该项目各村汇总实施方案，实施总结、绩效目标未细化、未量化。</w:t>
      </w:r>
    </w:p>
    <w:p>
      <w:pPr>
        <w:pageBreakBefore w:val="0"/>
        <w:widowControl w:val="0"/>
        <w:numPr>
          <w:ilvl w:val="0"/>
          <w:numId w:val="2"/>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相关措施建议</w:t>
      </w:r>
    </w:p>
    <w:p>
      <w:pPr>
        <w:pageBreakBefore w:val="0"/>
        <w:widowControl w:val="0"/>
        <w:numPr>
          <w:ilvl w:val="0"/>
          <w:numId w:val="10"/>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根据各村农公运使用实际，合理编制实施方案；</w:t>
      </w: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2、依据</w:t>
      </w:r>
      <w:r>
        <w:rPr>
          <w:rFonts w:hint="eastAsia" w:ascii="华文仿宋" w:hAnsi="华文仿宋" w:eastAsia="华文仿宋" w:cs="华文仿宋"/>
          <w:sz w:val="32"/>
          <w:szCs w:val="32"/>
        </w:rPr>
        <w:t>项目决策、项目管理、项目完成、项目效果等情况</w:t>
      </w:r>
      <w:r>
        <w:rPr>
          <w:rFonts w:hint="eastAsia" w:ascii="华文仿宋" w:hAnsi="华文仿宋" w:eastAsia="华文仿宋" w:cs="华文仿宋"/>
          <w:sz w:val="32"/>
          <w:szCs w:val="32"/>
          <w:lang w:eastAsia="zh-CN"/>
        </w:rPr>
        <w:t>实施总结，并对项目绩效目标进行细化、量化等进行自评。</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bookmarkStart w:id="72" w:name="_GoBack"/>
      <w:bookmarkEnd w:id="72"/>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3"/>
      <w:bookmarkEnd w:id="5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9"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0"/>
    </w:p>
    <w:p>
      <w:pPr>
        <w:pStyle w:val="3"/>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1"/>
    </w:p>
    <w:p>
      <w:pPr>
        <w:pStyle w:val="3"/>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pPr>
        <w:pStyle w:val="3"/>
        <w:rPr>
          <w:rFonts w:ascii="仿宋" w:hAnsi="仿宋" w:eastAsia="仿宋"/>
          <w:color w:val="00000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3"/>
    </w:p>
    <w:p>
      <w:pPr>
        <w:pStyle w:val="3"/>
        <w:rPr>
          <w:rFonts w:ascii="仿宋" w:hAnsi="仿宋" w:eastAsia="仿宋"/>
          <w:color w:val="000000"/>
        </w:rPr>
      </w:pPr>
      <w:bookmarkStart w:id="64"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pPr>
        <w:pStyle w:val="3"/>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pPr>
        <w:pStyle w:val="3"/>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pPr>
        <w:pStyle w:val="3"/>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pPr>
        <w:pStyle w:val="3"/>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pPr>
        <w:pStyle w:val="3"/>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pPr>
        <w:pStyle w:val="3"/>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p>
    <w:p>
      <w:pPr>
        <w:pStyle w:val="3"/>
        <w:rPr>
          <w:rFonts w:ascii="仿宋" w:hAnsi="仿宋" w:eastAsia="仿宋"/>
          <w:color w:val="000000" w:themeColor="text1"/>
          <w14:textFill>
            <w14:solidFill>
              <w14:schemeClr w14:val="tx1"/>
            </w14:solidFill>
          </w14:textFill>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94AF"/>
    <w:multiLevelType w:val="singleLevel"/>
    <w:tmpl w:val="959594AF"/>
    <w:lvl w:ilvl="0" w:tentative="0">
      <w:start w:val="2"/>
      <w:numFmt w:val="decimal"/>
      <w:suff w:val="nothing"/>
      <w:lvlText w:val="%1、"/>
      <w:lvlJc w:val="left"/>
    </w:lvl>
  </w:abstractNum>
  <w:abstractNum w:abstractNumId="1">
    <w:nsid w:val="BF659AC4"/>
    <w:multiLevelType w:val="singleLevel"/>
    <w:tmpl w:val="BF659AC4"/>
    <w:lvl w:ilvl="0" w:tentative="0">
      <w:start w:val="1"/>
      <w:numFmt w:val="chineseCounting"/>
      <w:suff w:val="nothing"/>
      <w:lvlText w:val="%1、"/>
      <w:lvlJc w:val="left"/>
      <w:rPr>
        <w:rFonts w:hint="eastAsia"/>
      </w:rPr>
    </w:lvl>
  </w:abstractNum>
  <w:abstractNum w:abstractNumId="2">
    <w:nsid w:val="CDFA7A64"/>
    <w:multiLevelType w:val="singleLevel"/>
    <w:tmpl w:val="CDFA7A64"/>
    <w:lvl w:ilvl="0" w:tentative="0">
      <w:start w:val="3"/>
      <w:numFmt w:val="decimal"/>
      <w:suff w:val="nothing"/>
      <w:lvlText w:val="%1、"/>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A1C92EC"/>
    <w:multiLevelType w:val="singleLevel"/>
    <w:tmpl w:val="4A1C92EC"/>
    <w:lvl w:ilvl="0" w:tentative="0">
      <w:start w:val="1"/>
      <w:numFmt w:val="decimal"/>
      <w:suff w:val="nothing"/>
      <w:lvlText w:val="%1、"/>
      <w:lvlJc w:val="left"/>
    </w:lvl>
  </w:abstractNum>
  <w:abstractNum w:abstractNumId="8">
    <w:nsid w:val="6F1C6661"/>
    <w:multiLevelType w:val="singleLevel"/>
    <w:tmpl w:val="6F1C6661"/>
    <w:lvl w:ilvl="0" w:tentative="0">
      <w:start w:val="2"/>
      <w:numFmt w:val="chineseCounting"/>
      <w:suff w:val="nothing"/>
      <w:lvlText w:val="（%1）"/>
      <w:lvlJc w:val="left"/>
      <w:rPr>
        <w:rFonts w:hint="eastAsia"/>
      </w:rPr>
    </w:lvl>
  </w:abstractNum>
  <w:abstractNum w:abstractNumId="9">
    <w:nsid w:val="779DA9C6"/>
    <w:multiLevelType w:val="singleLevel"/>
    <w:tmpl w:val="779DA9C6"/>
    <w:lvl w:ilvl="0" w:tentative="0">
      <w:start w:val="2"/>
      <w:numFmt w:val="chineseCounting"/>
      <w:suff w:val="nothing"/>
      <w:lvlText w:val="（%1）"/>
      <w:lvlJc w:val="left"/>
      <w:rPr>
        <w:rFonts w:hint="eastAsia"/>
      </w:rPr>
    </w:lvl>
  </w:abstractNum>
  <w:num w:numId="1">
    <w:abstractNumId w:val="1"/>
  </w:num>
  <w:num w:numId="2">
    <w:abstractNumId w:val="6"/>
  </w:num>
  <w:num w:numId="3">
    <w:abstractNumId w:val="3"/>
  </w:num>
  <w:num w:numId="4">
    <w:abstractNumId w:val="5"/>
  </w:num>
  <w:num w:numId="5">
    <w:abstractNumId w:val="4"/>
  </w:num>
  <w:num w:numId="6">
    <w:abstractNumId w:val="9"/>
  </w:num>
  <w:num w:numId="7">
    <w:abstractNumId w:val="8"/>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59141CF"/>
    <w:rsid w:val="08536403"/>
    <w:rsid w:val="09FD4B61"/>
    <w:rsid w:val="0A624EF0"/>
    <w:rsid w:val="0C707B51"/>
    <w:rsid w:val="0D166802"/>
    <w:rsid w:val="0D482827"/>
    <w:rsid w:val="10572181"/>
    <w:rsid w:val="10676A63"/>
    <w:rsid w:val="10C055FF"/>
    <w:rsid w:val="16BB723D"/>
    <w:rsid w:val="197E1BD5"/>
    <w:rsid w:val="1B122BD3"/>
    <w:rsid w:val="1BF6448A"/>
    <w:rsid w:val="240371BF"/>
    <w:rsid w:val="29FD04D3"/>
    <w:rsid w:val="2B874B67"/>
    <w:rsid w:val="2C834C6C"/>
    <w:rsid w:val="319F7F4E"/>
    <w:rsid w:val="349C2FA4"/>
    <w:rsid w:val="3B1A3AFC"/>
    <w:rsid w:val="3E967C84"/>
    <w:rsid w:val="40532219"/>
    <w:rsid w:val="42F31C24"/>
    <w:rsid w:val="4CFE7F0D"/>
    <w:rsid w:val="515C6F3A"/>
    <w:rsid w:val="59730C8F"/>
    <w:rsid w:val="5A901D9E"/>
    <w:rsid w:val="5EAC3518"/>
    <w:rsid w:val="625F4EE9"/>
    <w:rsid w:val="6DCB6710"/>
    <w:rsid w:val="710D0063"/>
    <w:rsid w:val="72A32493"/>
    <w:rsid w:val="74DF6FC9"/>
    <w:rsid w:val="75334FD1"/>
    <w:rsid w:val="768478D6"/>
    <w:rsid w:val="7E4E23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4</TotalTime>
  <ScaleCrop>false</ScaleCrop>
  <LinksUpToDate>false</LinksUpToDate>
  <CharactersWithSpaces>9641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dell</cp:lastModifiedBy>
  <cp:lastPrinted>2019-08-01T00:48:00Z</cp:lastPrinted>
  <dcterms:modified xsi:type="dcterms:W3CDTF">2021-05-23T08:00:20Z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F164BDB6DEAB4772A95E2E4105B751E1</vt:lpwstr>
  </property>
</Properties>
</file>