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498438">
      <w:pPr>
        <w:keepNext w:val="0"/>
        <w:keepLines w:val="0"/>
        <w:pageBreakBefore w:val="0"/>
        <w:widowControl w:val="0"/>
        <w:kinsoku/>
        <w:wordWrap/>
        <w:overflowPunct/>
        <w:topLinePunct w:val="0"/>
        <w:autoSpaceDE w:val="0"/>
        <w:autoSpaceDN w:val="0"/>
        <w:bidi w:val="0"/>
        <w:adjustRightInd w:val="0"/>
        <w:snapToGrid w:val="0"/>
        <w:spacing w:beforeLines="0" w:afterLines="0" w:line="1100" w:lineRule="exact"/>
        <w:ind w:firstLine="0" w:firstLineChars="0"/>
        <w:jc w:val="center"/>
        <w:textAlignment w:val="auto"/>
        <w:outlineLvl w:val="0"/>
        <w:rPr>
          <w:rFonts w:hint="eastAsia" w:ascii="Times New Roman" w:eastAsia="楷体_GB2312" w:cs="楷体_GB2312"/>
          <w:sz w:val="72"/>
          <w:szCs w:val="72"/>
        </w:rPr>
      </w:pPr>
      <w:bookmarkStart w:id="41" w:name="_GoBack"/>
      <w:bookmarkEnd w:id="41"/>
    </w:p>
    <w:p w14:paraId="5215EA95">
      <w:pPr>
        <w:keepNext w:val="0"/>
        <w:keepLines w:val="0"/>
        <w:pageBreakBefore w:val="0"/>
        <w:widowControl w:val="0"/>
        <w:kinsoku/>
        <w:wordWrap/>
        <w:overflowPunct/>
        <w:topLinePunct w:val="0"/>
        <w:autoSpaceDE w:val="0"/>
        <w:autoSpaceDN w:val="0"/>
        <w:bidi w:val="0"/>
        <w:adjustRightInd w:val="0"/>
        <w:snapToGrid w:val="0"/>
        <w:spacing w:beforeLines="0" w:afterLines="0" w:line="1100" w:lineRule="exact"/>
        <w:ind w:firstLine="0" w:firstLineChars="0"/>
        <w:jc w:val="center"/>
        <w:textAlignment w:val="auto"/>
        <w:outlineLvl w:val="0"/>
        <w:rPr>
          <w:rFonts w:hint="eastAsia" w:ascii="Times New Roman" w:eastAsia="楷体_GB2312" w:cs="楷体_GB2312"/>
          <w:sz w:val="72"/>
          <w:szCs w:val="72"/>
        </w:rPr>
      </w:pPr>
    </w:p>
    <w:p w14:paraId="6DB5655F">
      <w:pPr>
        <w:keepNext w:val="0"/>
        <w:keepLines w:val="0"/>
        <w:pageBreakBefore w:val="0"/>
        <w:widowControl w:val="0"/>
        <w:kinsoku/>
        <w:wordWrap/>
        <w:overflowPunct/>
        <w:topLinePunct w:val="0"/>
        <w:autoSpaceDE w:val="0"/>
        <w:autoSpaceDN w:val="0"/>
        <w:bidi w:val="0"/>
        <w:adjustRightInd w:val="0"/>
        <w:snapToGrid w:val="0"/>
        <w:spacing w:beforeLines="0" w:afterLines="0" w:line="1100" w:lineRule="exact"/>
        <w:ind w:firstLine="0" w:firstLineChars="0"/>
        <w:jc w:val="center"/>
        <w:textAlignment w:val="auto"/>
        <w:outlineLvl w:val="0"/>
        <w:rPr>
          <w:rFonts w:hint="eastAsia" w:ascii="Times New Roman" w:eastAsia="楷体_GB2312" w:cs="楷体_GB2312"/>
          <w:sz w:val="72"/>
          <w:szCs w:val="72"/>
        </w:rPr>
      </w:pPr>
    </w:p>
    <w:p w14:paraId="0B336615">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2024年度</w:t>
      </w:r>
    </w:p>
    <w:p w14:paraId="499AA6C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rPr>
      </w:pPr>
      <w:bookmarkStart w:id="0" w:name="_Toc23880"/>
      <w:bookmarkStart w:id="1" w:name="_Toc15378442"/>
      <w:bookmarkStart w:id="2" w:name="_Toc15396598"/>
      <w:bookmarkStart w:id="3" w:name="_Toc15377426"/>
      <w:bookmarkStart w:id="4" w:name="_Toc15377194"/>
      <w:bookmarkStart w:id="5" w:name="_Toc15396476"/>
      <w:r>
        <w:rPr>
          <w:rFonts w:hint="eastAsia" w:ascii="方正小标宋简体" w:hAnsi="方正小标宋简体" w:eastAsia="方正小标宋简体" w:cs="方正小标宋简体"/>
          <w:sz w:val="72"/>
          <w:szCs w:val="72"/>
        </w:rPr>
        <w:t>四川省</w:t>
      </w:r>
      <w:bookmarkStart w:id="6" w:name="_Toc15306268"/>
      <w:r>
        <w:rPr>
          <w:rFonts w:hint="eastAsia" w:ascii="方正小标宋简体" w:hAnsi="方正小标宋简体" w:eastAsia="方正小标宋简体" w:cs="方正小标宋简体"/>
          <w:sz w:val="72"/>
          <w:szCs w:val="72"/>
        </w:rPr>
        <w:t>广元市昭化区</w:t>
      </w:r>
    </w:p>
    <w:p w14:paraId="506B3B2F">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卫子镇</w:t>
      </w:r>
      <w:bookmarkEnd w:id="0"/>
      <w:bookmarkStart w:id="7" w:name="_Toc13395"/>
      <w:r>
        <w:rPr>
          <w:rFonts w:hint="eastAsia" w:ascii="方正小标宋简体" w:hAnsi="方正小标宋简体" w:eastAsia="方正小标宋简体" w:cs="方正小标宋简体"/>
          <w:sz w:val="72"/>
          <w:szCs w:val="72"/>
        </w:rPr>
        <w:t>人民政府单位决算</w:t>
      </w:r>
      <w:bookmarkEnd w:id="1"/>
      <w:bookmarkEnd w:id="2"/>
      <w:bookmarkEnd w:id="3"/>
      <w:bookmarkEnd w:id="4"/>
      <w:bookmarkEnd w:id="5"/>
      <w:bookmarkEnd w:id="6"/>
      <w:bookmarkEnd w:id="7"/>
    </w:p>
    <w:p w14:paraId="48137F9B">
      <w:pPr>
        <w:keepNext w:val="0"/>
        <w:keepLines w:val="0"/>
        <w:pageBreakBefore w:val="0"/>
        <w:widowControl w:val="0"/>
        <w:kinsoku/>
        <w:wordWrap/>
        <w:overflowPunct/>
        <w:topLinePunct w:val="0"/>
        <w:autoSpaceDE w:val="0"/>
        <w:autoSpaceDN w:val="0"/>
        <w:bidi w:val="0"/>
        <w:adjustRightInd w:val="0"/>
        <w:spacing w:beforeLines="0" w:afterLines="0" w:line="360" w:lineRule="auto"/>
        <w:ind w:firstLine="0" w:firstLineChars="0"/>
        <w:jc w:val="center"/>
        <w:textAlignment w:val="auto"/>
        <w:rPr>
          <w:rFonts w:hint="eastAsia" w:ascii="Times New Roman" w:eastAsia="楷体_GB2312" w:cs="楷体_GB2312"/>
          <w:color w:val="000000"/>
          <w:kern w:val="2"/>
          <w:sz w:val="72"/>
          <w:szCs w:val="24"/>
          <w:lang w:val="zh-CN"/>
        </w:rPr>
        <w:sectPr>
          <w:pgSz w:w="11906" w:h="16838"/>
          <w:pgMar w:top="2098" w:right="1474" w:bottom="1984" w:left="1587" w:header="851" w:footer="992" w:gutter="0"/>
          <w:lnNumType w:countBy="0" w:distance="360"/>
          <w:pgNumType w:fmt="decimal"/>
          <w:cols w:space="720" w:num="1"/>
          <w:docGrid w:type="lines" w:linePitch="312" w:charSpace="0"/>
        </w:sectPr>
      </w:pPr>
    </w:p>
    <w:p w14:paraId="288B8F3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ascii="方正小标宋简体" w:hAnsi="方正小标宋简体" w:eastAsia="方正小标宋简体" w:cs="方正小标宋简体"/>
          <w:sz w:val="44"/>
          <w:szCs w:val="44"/>
          <w:lang w:val="zh-CN"/>
        </w:rPr>
      </w:pPr>
      <w:r>
        <w:rPr>
          <w:rFonts w:hint="eastAsia" w:ascii="方正小标宋简体" w:hAnsi="方正小标宋简体" w:eastAsia="方正小标宋简体" w:cs="方正小标宋简体"/>
          <w:sz w:val="44"/>
          <w:szCs w:val="44"/>
          <w:lang w:val="zh-CN"/>
        </w:rPr>
        <w:t>目录</w:t>
      </w:r>
    </w:p>
    <w:sdt>
      <w:sdtPr>
        <w:rPr>
          <w:rFonts w:hint="default" w:ascii="宋体" w:hAnsi="宋体" w:eastAsia="宋体" w:cs="Times New Roman"/>
          <w:sz w:val="21"/>
          <w:szCs w:val="24"/>
          <w:lang w:val="en-US" w:eastAsia="zh-CN" w:bidi="ar-SA"/>
        </w:rPr>
        <w:id w:val="147470245"/>
        <w15:color w:val="DBDBDB"/>
        <w:docPartObj>
          <w:docPartGallery w:val="Table of Contents"/>
          <w:docPartUnique/>
        </w:docPartObj>
      </w:sdtPr>
      <w:sdtEndPr>
        <w:rPr>
          <w:rFonts w:hint="eastAsia" w:ascii="Times New Roman" w:hAnsi="Times New Roman" w:eastAsia="楷体_GB2312" w:cs="楷体_GB2312"/>
          <w:color w:val="FF0000"/>
          <w:sz w:val="32"/>
          <w:szCs w:val="32"/>
          <w:lang w:val="en-US" w:eastAsia="zh-CN" w:bidi="ar-SA"/>
        </w:rPr>
      </w:sdtEndPr>
      <w:sdtContent>
        <w:p w14:paraId="493B56FA">
          <w:pPr>
            <w:spacing w:before="0" w:beforeLines="0" w:after="0" w:afterLines="0" w:line="240" w:lineRule="auto"/>
            <w:ind w:left="0" w:leftChars="0" w:right="0" w:rightChars="0" w:firstLine="0" w:firstLineChars="0"/>
            <w:jc w:val="center"/>
          </w:pPr>
          <w:r>
            <w:rPr>
              <w:rFonts w:hint="eastAsia" w:ascii="Times New Roman" w:hAnsi="Times New Roman" w:eastAsia="楷体_GB2312" w:cs="楷体_GB2312"/>
              <w:sz w:val="32"/>
              <w:szCs w:val="32"/>
            </w:rPr>
            <w:t>公开时间：2024年9月26日</w:t>
          </w:r>
        </w:p>
        <w:p w14:paraId="0D47CCB4">
          <w:pPr>
            <w:pStyle w:val="8"/>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Times New Roman" w:eastAsia="楷体_GB2312" w:cs="楷体_GB2312"/>
              <w:color w:val="FF0000"/>
              <w:sz w:val="32"/>
              <w:szCs w:val="32"/>
            </w:rPr>
            <w:fldChar w:fldCharType="begin"/>
          </w:r>
          <w:r>
            <w:rPr>
              <w:rFonts w:hint="eastAsia" w:ascii="Times New Roman" w:eastAsia="楷体_GB2312" w:cs="楷体_GB2312"/>
              <w:color w:val="FF0000"/>
              <w:sz w:val="32"/>
              <w:szCs w:val="32"/>
            </w:rPr>
            <w:instrText xml:space="preserve">TOC \o "1-2" \h \u </w:instrText>
          </w:r>
          <w:r>
            <w:rPr>
              <w:rFonts w:hint="eastAsia" w:ascii="Times New Roman" w:eastAsia="楷体_GB2312" w:cs="楷体_GB2312"/>
              <w:color w:val="FF0000"/>
              <w:sz w:val="32"/>
              <w:szCs w:val="32"/>
            </w:rPr>
            <w:fldChar w:fldCharType="separate"/>
          </w: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_Toc25840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第一部分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部门概况</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_Toc25840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74C4F072">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_Toc7082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一、</w:t>
          </w:r>
          <w:r>
            <w:rPr>
              <w:rFonts w:hint="eastAsia" w:ascii="楷体_GB2312" w:hAnsi="楷体_GB2312" w:eastAsia="楷体_GB2312" w:cs="楷体_GB2312"/>
              <w:sz w:val="32"/>
              <w:lang w:eastAsia="zh-CN"/>
            </w:rPr>
            <w:t>主要</w:t>
          </w:r>
          <w:r>
            <w:rPr>
              <w:rFonts w:hint="eastAsia" w:ascii="楷体_GB2312" w:hAnsi="楷体_GB2312" w:eastAsia="楷体_GB2312" w:cs="楷体_GB2312"/>
              <w:sz w:val="32"/>
            </w:rPr>
            <w:t>职责</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_Toc7082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5D15D7F">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_Toc18891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二、机构设置</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_Toc18891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10</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97CE065">
          <w:pPr>
            <w:pStyle w:val="8"/>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_Toc32235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第二部分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202</w:t>
          </w:r>
          <w:r>
            <w:rPr>
              <w:rFonts w:hint="eastAsia" w:ascii="楷体_GB2312" w:hAnsi="楷体_GB2312" w:eastAsia="楷体_GB2312" w:cs="楷体_GB2312"/>
              <w:sz w:val="32"/>
              <w:lang w:val="en-US" w:eastAsia="zh-CN"/>
            </w:rPr>
            <w:t>4</w:t>
          </w:r>
          <w:r>
            <w:rPr>
              <w:rFonts w:hint="eastAsia" w:ascii="楷体_GB2312" w:hAnsi="楷体_GB2312" w:eastAsia="楷体_GB2312" w:cs="楷体_GB2312"/>
              <w:sz w:val="32"/>
            </w:rPr>
            <w:t>年度部门决算情况说明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_Toc32235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11</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40F236D">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_Toc17840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一、收入支出决算总体情况说明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_Toc17840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11</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70E8E78">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_Toc8933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二、收入决算情况说明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_Toc8933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11</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5CE20A7E">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_Toc2789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三、支出决算情况说明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_Toc2789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12</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2CED0FD">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_Toc15480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四、财政拨款收入支出决算总体情况说明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_Toc15480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12</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73A10B47">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_Toc29112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五、一般公共预算财政拨款支出决算情况说明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_Toc29112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13</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3309E79">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_Toc8185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六、一般公共预算财政拨款基本支出决算情况说明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_Toc8185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17</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2B973EB">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_Toc26467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七、财政拨款“三公”经费支出决算情况说明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_Toc26467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18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8D9DDF8">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_Toc9747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八、政府性基金预算支出决算情况说明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_Toc9747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20</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15614FE0">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_Toc18671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九、国有资本经营预算支出决算情况说明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_Toc18671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20</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9D9F175">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_Toc10885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十、其他重要事项的情况说明</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_Toc10885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20</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4193172">
          <w:pPr>
            <w:pStyle w:val="8"/>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_Toc12918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第三部分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名词解释</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_Toc12918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23</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0DED9E4">
          <w:pPr>
            <w:pStyle w:val="8"/>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_Toc13044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第四部分</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_Toc13044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941727D">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_Toc19766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附件1</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_Toc19766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28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EC5BC77">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_Toc15661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附件2</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_Toc15661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30</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6BA246AE">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_Toc15171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附件3</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_Toc15171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33</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6D20CAC4">
          <w:pPr>
            <w:pStyle w:val="8"/>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_Toc30852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第五部分</w:t>
          </w:r>
          <w:r>
            <w:rPr>
              <w:rFonts w:hint="eastAsia" w:ascii="楷体_GB2312" w:hAnsi="楷体_GB2312" w:eastAsia="楷体_GB2312" w:cs="楷体_GB2312"/>
              <w:sz w:val="32"/>
              <w:lang w:val="en-US" w:eastAsia="zh-CN"/>
            </w:rPr>
            <w:t xml:space="preserve">  </w:t>
          </w:r>
          <w:r>
            <w:rPr>
              <w:rFonts w:hint="eastAsia" w:ascii="楷体_GB2312" w:hAnsi="楷体_GB2312" w:eastAsia="楷体_GB2312" w:cs="楷体_GB2312"/>
              <w:sz w:val="32"/>
            </w:rPr>
            <w:t>附表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_Toc30852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1E79F38">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_Toc30182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一、收入支出决算总表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_Toc30182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AF859D3">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_Toc2878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二、收入决算表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_Toc2878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69C9D386">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_Toc23534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三、支出决算表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_Toc23534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057BFBE1">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_Toc19488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四、财政拨款收入支出决算总表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_Toc19488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212735FD">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_Toc22393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五、财政拨款支出决算明细表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_Toc22393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764E1556">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_Toc22933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六、一般公共预算财政拨款支出决算表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_Toc22933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30B930BD">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_Toc32504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七、一般公共预算财政拨款支出决算明细表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_Toc32504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0CB93038">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_Toc793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八、一般公共预算财政拨款基本支出决算表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_Toc793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46AD064">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_Toc29575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九、一般公共预算财政拨款项目支出决算表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_Toc29575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85D1BF2">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_Toc24253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十、政府性基金预算财政拨款收入支出决算表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_Toc24253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1C29A214">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_Toc3788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十一、国有资本经营预算财政拨款收入支出决算表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_Toc3788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4B5B8FD6">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rPr>
              <w:rFonts w:hint="eastAsia" w:ascii="楷体_GB2312" w:hAnsi="楷体_GB2312" w:eastAsia="楷体_GB2312" w:cs="楷体_GB2312"/>
              <w:sz w:val="32"/>
            </w:rPr>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_Toc29695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十二、国有资本经营预算财政拨款支出决算表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_Toc29695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7204975A">
          <w:pPr>
            <w:pStyle w:val="9"/>
            <w:keepNext w:val="0"/>
            <w:keepLines w:val="0"/>
            <w:pageBreakBefore w:val="0"/>
            <w:widowControl w:val="0"/>
            <w:tabs>
              <w:tab w:val="right" w:leader="dot" w:pos="8845"/>
            </w:tabs>
            <w:kinsoku/>
            <w:wordWrap/>
            <w:overflowPunct/>
            <w:topLinePunct w:val="0"/>
            <w:autoSpaceDE w:val="0"/>
            <w:autoSpaceDN w:val="0"/>
            <w:bidi w:val="0"/>
            <w:adjustRightInd w:val="0"/>
            <w:snapToGrid/>
            <w:ind w:left="0" w:leftChars="0" w:firstLine="0" w:firstLineChars="0"/>
            <w:textAlignment w:val="auto"/>
          </w:pPr>
          <w:r>
            <w:rPr>
              <w:rFonts w:hint="eastAsia" w:ascii="楷体_GB2312" w:hAnsi="楷体_GB2312" w:eastAsia="楷体_GB2312" w:cs="楷体_GB2312"/>
              <w:color w:val="FF0000"/>
              <w:sz w:val="32"/>
              <w:szCs w:val="32"/>
            </w:rPr>
            <w:fldChar w:fldCharType="begin"/>
          </w:r>
          <w:r>
            <w:rPr>
              <w:rFonts w:hint="eastAsia" w:ascii="楷体_GB2312" w:hAnsi="楷体_GB2312" w:eastAsia="楷体_GB2312" w:cs="楷体_GB2312"/>
              <w:sz w:val="32"/>
              <w:szCs w:val="32"/>
            </w:rPr>
            <w:instrText xml:space="preserve"> HYPERLINK \l _Toc17653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rPr>
            <w:t>十三、财政拨款“三公”经费支出决算表</w:t>
          </w:r>
          <w:r>
            <w:rPr>
              <w:rFonts w:hint="eastAsia" w:ascii="楷体_GB2312" w:hAnsi="楷体_GB2312" w:eastAsia="楷体_GB2312" w:cs="楷体_GB2312"/>
              <w:sz w:val="32"/>
            </w:rPr>
            <w:tab/>
          </w:r>
          <w:r>
            <w:rPr>
              <w:rFonts w:hint="eastAsia" w:ascii="楷体_GB2312" w:hAnsi="楷体_GB2312" w:eastAsia="楷体_GB2312" w:cs="楷体_GB2312"/>
              <w:sz w:val="32"/>
            </w:rPr>
            <w:fldChar w:fldCharType="begin"/>
          </w:r>
          <w:r>
            <w:rPr>
              <w:rFonts w:hint="eastAsia" w:ascii="楷体_GB2312" w:hAnsi="楷体_GB2312" w:eastAsia="楷体_GB2312" w:cs="楷体_GB2312"/>
              <w:sz w:val="32"/>
            </w:rPr>
            <w:instrText xml:space="preserve"> PAGEREF _Toc17653 \h </w:instrText>
          </w:r>
          <w:r>
            <w:rPr>
              <w:rFonts w:hint="eastAsia" w:ascii="楷体_GB2312" w:hAnsi="楷体_GB2312" w:eastAsia="楷体_GB2312" w:cs="楷体_GB2312"/>
              <w:sz w:val="32"/>
            </w:rPr>
            <w:fldChar w:fldCharType="separate"/>
          </w:r>
          <w:r>
            <w:rPr>
              <w:rFonts w:hint="eastAsia" w:ascii="楷体_GB2312" w:hAnsi="楷体_GB2312" w:eastAsia="楷体_GB2312" w:cs="楷体_GB2312"/>
              <w:sz w:val="32"/>
            </w:rPr>
            <w:t>78</w:t>
          </w:r>
          <w:r>
            <w:rPr>
              <w:rFonts w:hint="eastAsia" w:ascii="楷体_GB2312" w:hAnsi="楷体_GB2312" w:eastAsia="楷体_GB2312" w:cs="楷体_GB2312"/>
              <w:sz w:val="32"/>
            </w:rPr>
            <w:fldChar w:fldCharType="end"/>
          </w:r>
          <w:r>
            <w:rPr>
              <w:rFonts w:hint="eastAsia" w:ascii="楷体_GB2312" w:hAnsi="楷体_GB2312" w:eastAsia="楷体_GB2312" w:cs="楷体_GB2312"/>
              <w:color w:val="FF0000"/>
              <w:sz w:val="32"/>
              <w:szCs w:val="32"/>
            </w:rPr>
            <w:fldChar w:fldCharType="end"/>
          </w:r>
        </w:p>
        <w:p w14:paraId="02524482">
          <w:pPr>
            <w:keepNext w:val="0"/>
            <w:keepLines w:val="0"/>
            <w:pageBreakBefore w:val="0"/>
            <w:widowControl w:val="0"/>
            <w:kinsoku/>
            <w:wordWrap/>
            <w:overflowPunct/>
            <w:topLinePunct w:val="0"/>
            <w:autoSpaceDE w:val="0"/>
            <w:autoSpaceDN w:val="0"/>
            <w:bidi w:val="0"/>
            <w:adjustRightInd w:val="0"/>
            <w:snapToGrid/>
            <w:spacing w:beforeLines="0" w:afterLines="0" w:line="240" w:lineRule="exact"/>
            <w:ind w:left="0" w:leftChars="0" w:firstLine="0" w:firstLineChars="0"/>
            <w:textAlignment w:val="auto"/>
            <w:rPr>
              <w:rFonts w:hint="eastAsia" w:ascii="Times New Roman" w:eastAsia="楷体_GB2312" w:cs="楷体_GB2312"/>
              <w:color w:val="FF0000"/>
              <w:sz w:val="32"/>
              <w:szCs w:val="32"/>
            </w:rPr>
          </w:pPr>
          <w:r>
            <w:rPr>
              <w:rFonts w:hint="eastAsia" w:ascii="Times New Roman" w:eastAsia="楷体_GB2312" w:cs="楷体_GB2312"/>
              <w:color w:val="FF0000"/>
              <w:szCs w:val="32"/>
            </w:rPr>
            <w:fldChar w:fldCharType="end"/>
          </w:r>
        </w:p>
      </w:sdtContent>
    </w:sdt>
    <w:p w14:paraId="5A01C51A">
      <w:pPr>
        <w:spacing w:beforeLines="0" w:afterLines="0"/>
        <w:rPr>
          <w:rFonts w:hint="eastAsia" w:ascii="Times New Roman" w:eastAsia="楷体_GB2312" w:cs="楷体_GB2312"/>
          <w:color w:val="FF0000"/>
          <w:sz w:val="32"/>
          <w:szCs w:val="32"/>
        </w:rPr>
        <w:sectPr>
          <w:footerReference r:id="rId5" w:type="default"/>
          <w:pgSz w:w="11906" w:h="16838"/>
          <w:pgMar w:top="2098" w:right="1474" w:bottom="1984" w:left="1587" w:header="851" w:footer="992" w:gutter="0"/>
          <w:lnNumType w:countBy="0" w:distance="360"/>
          <w:pgNumType w:fmt="decimal"/>
          <w:cols w:space="720" w:num="1"/>
          <w:docGrid w:type="lines" w:linePitch="312" w:charSpace="0"/>
        </w:sectPr>
      </w:pPr>
    </w:p>
    <w:p w14:paraId="4161DAF8">
      <w:pPr>
        <w:pStyle w:val="2"/>
        <w:bidi w:val="0"/>
        <w:rPr>
          <w:rFonts w:hint="eastAsia"/>
        </w:rPr>
      </w:pPr>
      <w:bookmarkStart w:id="8" w:name="_Toc25840"/>
      <w:r>
        <w:rPr>
          <w:rFonts w:hint="eastAsia"/>
        </w:rPr>
        <w:t>第一部分</w:t>
      </w:r>
      <w:r>
        <w:rPr>
          <w:rFonts w:hint="eastAsia"/>
          <w:lang w:val="en-US" w:eastAsia="zh-CN"/>
        </w:rPr>
        <w:t xml:space="preserve">  </w:t>
      </w:r>
      <w:r>
        <w:rPr>
          <w:rFonts w:hint="eastAsia"/>
        </w:rPr>
        <w:t>部门概况</w:t>
      </w:r>
      <w:bookmarkEnd w:id="8"/>
    </w:p>
    <w:p w14:paraId="4959933F">
      <w:pPr>
        <w:pStyle w:val="3"/>
        <w:bidi w:val="0"/>
        <w:rPr>
          <w:rFonts w:hint="eastAsia"/>
        </w:rPr>
      </w:pPr>
      <w:bookmarkStart w:id="9" w:name="_Toc7082"/>
      <w:r>
        <w:rPr>
          <w:rFonts w:hint="eastAsia"/>
        </w:rPr>
        <w:t>一、</w:t>
      </w:r>
      <w:r>
        <w:rPr>
          <w:rFonts w:hint="eastAsia"/>
          <w:lang w:eastAsia="zh-CN"/>
        </w:rPr>
        <w:t>主要</w:t>
      </w:r>
      <w:r>
        <w:rPr>
          <w:rFonts w:hint="eastAsia"/>
        </w:rPr>
        <w:t>职责</w:t>
      </w:r>
      <w:bookmarkEnd w:id="9"/>
    </w:p>
    <w:p w14:paraId="2687EEB3">
      <w:pPr>
        <w:pStyle w:val="4"/>
        <w:bidi w:val="0"/>
        <w:rPr>
          <w:rFonts w:hint="eastAsia"/>
        </w:rPr>
      </w:pPr>
      <w:r>
        <w:rPr>
          <w:rFonts w:hint="eastAsia"/>
        </w:rPr>
        <w:t>（一）主要职能</w:t>
      </w:r>
    </w:p>
    <w:p w14:paraId="4F80AA04">
      <w:pPr>
        <w:snapToGrid w:val="0"/>
        <w:spacing w:beforeLines="0" w:afterLines="0" w:line="576" w:lineRule="exact"/>
        <w:ind w:firstLine="640" w:firstLineChars="200"/>
        <w:rPr>
          <w:rFonts w:hint="eastAsia" w:ascii="Times New Roman" w:eastAsia="Times New Roman" w:cs="仿宋_GB2312"/>
          <w:sz w:val="32"/>
          <w:szCs w:val="32"/>
        </w:rPr>
      </w:pPr>
      <w:r>
        <w:rPr>
          <w:rFonts w:hint="eastAsia" w:ascii="Times New Roman" w:eastAsia="仿宋_GB2312" w:cs="仿宋_GB2312"/>
          <w:sz w:val="32"/>
          <w:szCs w:val="32"/>
        </w:rPr>
        <w:t>贯彻执行国家有关财政管理等方面的法律、法规和规定，拟定和执行我镇财政发展规划及其他有关政策。编制年度财政决算草案并组织执行，向人大报告财政决算，管理和监督各项财政收支。管理各类政策性补贴等资金，建立惠农资金补助对象管理新机制，进一步完善财政补贴</w:t>
      </w:r>
      <w:r>
        <w:rPr>
          <w:rFonts w:hint="eastAsia" w:cs="仿宋_GB2312"/>
          <w:sz w:val="32"/>
          <w:szCs w:val="32"/>
          <w:lang w:eastAsia="zh-CN"/>
        </w:rPr>
        <w:t>惠民</w:t>
      </w:r>
      <w:r>
        <w:rPr>
          <w:rFonts w:hint="eastAsia" w:ascii="Times New Roman" w:eastAsia="仿宋_GB2312" w:cs="仿宋_GB2312"/>
          <w:sz w:val="32"/>
          <w:szCs w:val="32"/>
        </w:rPr>
        <w:t>资金“一卡</w:t>
      </w:r>
      <w:r>
        <w:rPr>
          <w:rFonts w:hint="eastAsia" w:ascii="Times New Roman" w:cs="仿宋_GB2312"/>
          <w:sz w:val="32"/>
          <w:szCs w:val="32"/>
          <w:lang w:eastAsia="zh-CN"/>
        </w:rPr>
        <w:t>（</w:t>
      </w:r>
      <w:r>
        <w:rPr>
          <w:rFonts w:hint="eastAsia" w:ascii="Times New Roman" w:eastAsia="仿宋_GB2312" w:cs="仿宋_GB2312"/>
          <w:sz w:val="32"/>
          <w:szCs w:val="32"/>
        </w:rPr>
        <w:t>折</w:t>
      </w:r>
      <w:r>
        <w:rPr>
          <w:rFonts w:hint="eastAsia" w:ascii="Times New Roman" w:cs="仿宋_GB2312"/>
          <w:sz w:val="32"/>
          <w:szCs w:val="32"/>
          <w:lang w:eastAsia="zh-CN"/>
        </w:rPr>
        <w:t>）</w:t>
      </w:r>
      <w:r>
        <w:rPr>
          <w:rFonts w:hint="eastAsia" w:ascii="Times New Roman" w:eastAsia="仿宋_GB2312" w:cs="仿宋_GB2312"/>
          <w:sz w:val="32"/>
          <w:szCs w:val="32"/>
        </w:rPr>
        <w:t>通”发放机制。负责对各类专项资金的监管，提高财政资金使用效率。负责非税收入。提出加强财政管理的政策建议，负责财政、税收政策法规</w:t>
      </w:r>
      <w:r>
        <w:rPr>
          <w:rFonts w:hint="eastAsia" w:cs="仿宋_GB2312"/>
          <w:sz w:val="32"/>
          <w:szCs w:val="32"/>
          <w:lang w:eastAsia="zh-CN"/>
        </w:rPr>
        <w:t>等</w:t>
      </w:r>
      <w:r>
        <w:rPr>
          <w:rFonts w:hint="eastAsia" w:ascii="Times New Roman" w:eastAsia="仿宋_GB2312" w:cs="仿宋_GB2312"/>
          <w:sz w:val="32"/>
          <w:szCs w:val="32"/>
        </w:rPr>
        <w:t>的宣传工作。执行会计集中核算，落实“乡财县管、村帐乡监”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6A36EAA1">
      <w:pPr>
        <w:pStyle w:val="4"/>
        <w:bidi w:val="0"/>
        <w:rPr>
          <w:rFonts w:hint="eastAsia"/>
        </w:rPr>
      </w:pPr>
      <w:r>
        <w:rPr>
          <w:rFonts w:hint="eastAsia"/>
        </w:rPr>
        <w:t>（二）202</w:t>
      </w:r>
      <w:r>
        <w:rPr>
          <w:rFonts w:hint="eastAsia"/>
          <w:lang w:val="en-US" w:eastAsia="zh-CN"/>
        </w:rPr>
        <w:t>4</w:t>
      </w:r>
      <w:r>
        <w:rPr>
          <w:rFonts w:hint="eastAsia"/>
        </w:rPr>
        <w:t>年重点工作完成情况</w:t>
      </w:r>
    </w:p>
    <w:p w14:paraId="2FC083EF">
      <w:pPr>
        <w:bidi w:val="0"/>
        <w:rPr>
          <w:rFonts w:hint="eastAsia" w:ascii="仿宋_GB2312" w:hAnsi="仿宋_GB2312" w:eastAsia="仿宋_GB2312" w:cs="仿宋_GB2312"/>
          <w:color w:val="auto"/>
          <w:szCs w:val="32"/>
        </w:rPr>
      </w:pPr>
      <w:r>
        <w:rPr>
          <w:rFonts w:hint="eastAsia"/>
          <w:b/>
          <w:bCs/>
        </w:rPr>
        <w:t>1.强化党建引领，执政根基坚实稳固。一是</w:t>
      </w:r>
      <w:r>
        <w:rPr>
          <w:rFonts w:hint="eastAsia"/>
        </w:rPr>
        <w:t>政治建设不断深化。深入学习党的二十大、二十届三中全会、习近平总书记来川来广视察重要指示精神和省市区委全会精神，组织召开党委会专题学习13次、理论学习中心组学习12次。精心组织开展</w:t>
      </w:r>
      <w:r>
        <w:rPr>
          <w:rFonts w:hint="eastAsia"/>
          <w:lang w:eastAsia="zh-CN"/>
        </w:rPr>
        <w:t>党纪学习教育</w:t>
      </w:r>
      <w:r>
        <w:rPr>
          <w:rFonts w:hint="eastAsia"/>
        </w:rPr>
        <w:t>，全镇开展“周三学堂”读书班12期、集中学习54次。常态化通过微信群实时推送学习链接、解读文章，通过“三会一课”、主题党日等多种形式围绕《条例》新旧对照、“六项纪律”开展研讨57次。</w:t>
      </w:r>
      <w:r>
        <w:rPr>
          <w:rFonts w:hint="eastAsia"/>
          <w:b/>
          <w:bCs/>
        </w:rPr>
        <w:t>二是</w:t>
      </w:r>
      <w:r>
        <w:rPr>
          <w:rFonts w:hint="eastAsia"/>
        </w:rPr>
        <w:t>组织建设全面夯实。优化办（中心）人员配置，率先完成七办四中心机构调整改革。优选3名退职领导干部负责镇督查督办工作，让退休领导干部履“新”职。推荐提拔干部3名，镇领导班子被区委表彰为“好班子”。加强基层干部队伍建设，全覆盖完成17个村（社区）两委班子综合分析研判工作。整合资金，荣誉室、便民服务中心、综治中心提档升级，新建改造中山村、卫子村、肖家寨村党群服务中心。高质量开展党员全覆盖兜底培训10期，参训党员达1061人。全年新发展党员10名，培育入党积极分子14名。积极开展迎新春、庆七一、国庆系列活动，走访慰问困难党员、离退休干部200余名。梅树村和卫子农贸市场党支部荣获昭化区先进基层党组织称号。陈定全荣获全国离退休干部先进个人、全省优秀共产党员和敬业奉献道德模范称号；肖华、谭林、张军等5人荣获市、区优秀共产党员称号。</w:t>
      </w:r>
      <w:r>
        <w:rPr>
          <w:rFonts w:hint="eastAsia"/>
          <w:b/>
          <w:bCs/>
        </w:rPr>
        <w:t>三是</w:t>
      </w:r>
      <w:r>
        <w:rPr>
          <w:rFonts w:hint="eastAsia"/>
        </w:rPr>
        <w:t>党风廉政持续巩固。抓实政治生态监测预警评估，实施“清风护航”行动，制定《卫子镇2024年全面从严治党“三张清单”》，压实管党治党政治责任。召开镇村组廉政谈话暨警示教育大会，讲廉政党课18场次，组织全体机关干部到广元监狱开展廉政教育，警醒党员干部以案为鉴、警钟长鸣。把群众身边不正之风和腐败问题集中整治工作作为重中之重，紧盯“八大领域”和“2+3+2”整治重点，党委会专题研究8次，召开农村集体“三资”、高标准农田等推进会9次。结合中省督导反馈问题，以小切口入手，加强问题线索摸排、梳理、整改，全年推动解决群众急难愁盼问题263个，立案8件，党纪政务处分9人，批评教育和提醒谈话17人次。</w:t>
      </w:r>
    </w:p>
    <w:p w14:paraId="40298D20">
      <w:pPr>
        <w:bidi w:val="0"/>
        <w:rPr>
          <w:rFonts w:hint="eastAsia" w:ascii="Times New Roman" w:eastAsia="Times New Roman"/>
          <w:color w:val="auto"/>
          <w:szCs w:val="32"/>
          <w:highlight w:val="yellow"/>
        </w:rPr>
      </w:pPr>
      <w:r>
        <w:rPr>
          <w:rFonts w:hint="eastAsia"/>
          <w:b/>
          <w:bCs/>
        </w:rPr>
        <w:t>2.集聚发展动能，综合实力显著提升。一是</w:t>
      </w:r>
      <w:r>
        <w:rPr>
          <w:rFonts w:hint="eastAsia"/>
        </w:rPr>
        <w:t>经济发展稳中向好。卫子镇将经济高质量发展作为首要任务，全力以赴拼经济、比发展，抓统筹、强调度，充分挖潜培源，推动经济整体运行良好。预计全年地区生产总值达到8.04亿元，年均增长6.5%以上；城乡居民人均可支配收入预计分别达到39901元、19931元，同比增长7%、7.5%；社会销售品零售总额增长超7%。高质量完成第五次全国经济普查工作。统计记账户占全区23%，金印社区住户调查点通过五星级记账网点复查。</w:t>
      </w:r>
      <w:r>
        <w:rPr>
          <w:rFonts w:hint="eastAsia"/>
          <w:b/>
          <w:bCs/>
        </w:rPr>
        <w:t>二是</w:t>
      </w:r>
      <w:r>
        <w:rPr>
          <w:rFonts w:hint="eastAsia"/>
        </w:rPr>
        <w:t>项目投资提质增速。推行党政领导联系项目和重点项目月调度机制，推进建成项目60个实现投资1.2亿元，新增固定资产投资超5200万元；储备建设800亩食用菌产业园、卫子镇牛羊代养场等项目5个，总投资超6亿元；成功招引华西牛核心育种基地综合建设、300亩茯苓初加工生产线项目等优质项目4个，签约金额达1.62亿元，到位资金6400万元。借助省财政厅等省直部门定点帮扶有利时机，争取资金2500余万元，实施高标准农田、水利基础设施建设等项目12个。</w:t>
      </w:r>
      <w:r>
        <w:rPr>
          <w:rFonts w:hint="eastAsia"/>
          <w:b/>
          <w:bCs/>
        </w:rPr>
        <w:t>三是</w:t>
      </w:r>
      <w:r>
        <w:rPr>
          <w:rFonts w:hint="eastAsia"/>
        </w:rPr>
        <w:t>营商环境持续优化。建立“五个一”护航项目建设全生命周期服务工作机制，累计召开项目建设协调会、企业家恳谈会16次，解决广元交通建设、机械工业勘察设计院等企业项目用地审批、群众协调等问题73个，办理12345亲商助企热线反映问题26个。持续优化国土空间规划、调整城镇开发边界以及完善村庄规划布局，提升中心镇吸附能力。吸引区域标杆企业福惠商贸有限公司等更多的优质项目落户卫子，投入140万元建成卫子商品最全、面积最大的便民超市。</w:t>
      </w:r>
    </w:p>
    <w:p w14:paraId="19E7FEC0">
      <w:pPr>
        <w:bidi w:val="0"/>
        <w:rPr>
          <w:rFonts w:hint="eastAsia"/>
        </w:rPr>
      </w:pPr>
      <w:r>
        <w:rPr>
          <w:rFonts w:hint="eastAsia"/>
          <w:b/>
          <w:bCs/>
        </w:rPr>
        <w:t>3.做强优势产业，现代化体系全面构建。一是</w:t>
      </w:r>
      <w:r>
        <w:rPr>
          <w:rFonts w:hint="eastAsia"/>
        </w:rPr>
        <w:t>农业种植跨越提升。坚决扛牢粮食安全政治责任，完成高标准农田建设2800亩，粮油总播面达12.5万亩，总产量超3.7万吨，“王家贡米”扩面提质6000亩。实行稻油轮作、绿色种养循环等方式，与中粮油脂（广元）有限公司签订合作协议，建成万亩油菜基地，种植各类油菜3.87万亩，年产油菜籽6600吨。大力推广大豆玉米带状复合种植模式，实现大豆、玉米净播面分别达1.6万亩、2.4万亩。改造提升猕猴桃、脆桃等特色产业园2000亩，发展蔬菜产业1.4万亩。种植林下中药材2000亩、油茶和花椒等经济作物2300亩。</w:t>
      </w:r>
      <w:r>
        <w:rPr>
          <w:rFonts w:hint="eastAsia"/>
          <w:b/>
          <w:bCs/>
        </w:rPr>
        <w:t>二是</w:t>
      </w:r>
      <w:r>
        <w:rPr>
          <w:rFonts w:hint="eastAsia"/>
        </w:rPr>
        <w:t>畜禽养殖扩面增效。坚定肉牛养殖发展信心，针对饲养品种、养殖规模和成本控制等方面提出合理化建议，统筹资金43万元对亏损养殖户进行补助，探索“以牛换牛+农户代养+集体养殖”等方式破解肉牛羊养殖困境，肉牛存栏超3500头。持续巩固养殖产业优势地位，全镇生猪、肉羊、剑门关土鸡存栏量为7.4万头、4500余只、77.8万羽，出栏量为12.5万头、9000只、89.6万羽。</w:t>
      </w:r>
      <w:r>
        <w:rPr>
          <w:rFonts w:hint="eastAsia"/>
          <w:b/>
          <w:bCs/>
        </w:rPr>
        <w:t>三是</w:t>
      </w:r>
      <w:r>
        <w:rPr>
          <w:rFonts w:hint="eastAsia"/>
        </w:rPr>
        <w:t>产业链条补强固延。按照产业质的有效提升和量的合理突破这个总要求，聚力实施产业强链补链工程。王家贡米精加工厂年加工产出超3000吨，争取社会资本500万元，王家贡米研学展示功能厅基本建成。建成元柏树村林下剑门关土鸡养殖园。1.5万吨牛羊饲草加工厂建成投运，饲草成本每吨降低100元。自主设计金印山礼等农特产品远销浙江，年销售额达50万元。</w:t>
      </w:r>
    </w:p>
    <w:p w14:paraId="459D1364">
      <w:pPr>
        <w:bidi w:val="0"/>
        <w:rPr>
          <w:rFonts w:hint="eastAsia"/>
        </w:rPr>
      </w:pPr>
      <w:r>
        <w:rPr>
          <w:rFonts w:hint="eastAsia"/>
          <w:b/>
          <w:bCs/>
        </w:rPr>
        <w:t>4.运用“千万工程”，乡村振兴全面实施。一是</w:t>
      </w:r>
      <w:r>
        <w:rPr>
          <w:rFonts w:hint="eastAsia"/>
        </w:rPr>
        <w:t>有效衔接持续巩固。坚决守住不发生规模性返贫底线，严格落实防返贫动态监测帮扶机制，对五类人群重点排查，确保不漏一户、一人。排查风险线索742条，新增监测户7户14人，“两不愁三保障”成效全面巩固，“漏测失帮”和“体外循环”零发生。卫子镇被评为2023年度广元市乡村振兴考核考评成绩突出集体，新荣村被命名为四川省乡村振兴示范村。</w:t>
      </w:r>
      <w:r>
        <w:rPr>
          <w:rFonts w:hint="eastAsia"/>
          <w:b/>
          <w:bCs/>
        </w:rPr>
        <w:t>二是</w:t>
      </w:r>
      <w:r>
        <w:rPr>
          <w:rFonts w:hint="eastAsia"/>
        </w:rPr>
        <w:t>基础设施日臻完善。争取资金1300万元实施场镇改造提升，先后完成人行道铺装8500平方米、整治修建停车场3个、强弱电入地1500米、铺设污水管网2公里、场镇绿化整治1.6万平方米。高标准实施有效衔接项目25个，完成硬化通村道路3.32公里，道路加宽5.1公里。严格落实“田长制”，完成耕地复垦图斑1487亩。新建森林防火应急道路7条，总长17.53公里。持续推进农村生活垃圾和行政村生活污水有效治理，开展“厕所革命”回头看，全覆盖排查三格化粪池987口，排查问题已全部整改到位。新增保民村新力水库一体化净化设备，新建肖家寨村、卫子村小型集中供水工程2处，完成山坪塘整治32口，增加蓄水10万立方。全年新建、整治渠系7.6公里，累计改善有效灌溉面积2683亩。</w:t>
      </w:r>
      <w:r>
        <w:rPr>
          <w:rFonts w:hint="eastAsia"/>
          <w:b/>
          <w:bCs/>
        </w:rPr>
        <w:t>三是</w:t>
      </w:r>
      <w:r>
        <w:rPr>
          <w:rFonts w:hint="eastAsia"/>
        </w:rPr>
        <w:t>集体经济发展壮大。因村制宜发展优势特色产业，15个村集体经济经营性总收入突破170万元，其中新场、保民等9个村集体经济经营性收入超10万元。广元市强村富民农业发展公司实现科学化、规范化运营，健全“三资”、薪酬等5项管理制度，经营性净利润达100万元。推行“集体经济带头种+农户分散种”模式，冯家岭村盘活撂荒地种植猕猴桃、辣椒、小麦等作物1000余亩，集体经济创收达10万元，带动700余人次就近就业，实现户均增收超5000元。</w:t>
      </w:r>
    </w:p>
    <w:p w14:paraId="4715D9D0">
      <w:pPr>
        <w:bidi w:val="0"/>
        <w:rPr>
          <w:rFonts w:hint="eastAsia"/>
        </w:rPr>
      </w:pPr>
      <w:r>
        <w:rPr>
          <w:rFonts w:hint="eastAsia"/>
          <w:b/>
          <w:bCs/>
        </w:rPr>
        <w:t>5.加强产业培育，园区经济持续向好。一是</w:t>
      </w:r>
      <w:r>
        <w:rPr>
          <w:rFonts w:hint="eastAsia"/>
        </w:rPr>
        <w:t>坚持项目立园。聚焦基础设施改造提升，争取东西部协作资金180万元升级育秧中心，投资30万元建设品牌文化墙，完成房屋风貌塑造106户，建成园区道路4.9公里，完成“王家贡米”新品种选育试验示范田改造提升。充分利用农户房前屋后闲置土地发展庭院经济665户，打造新荣村、中山村美丽庭院示范片2个，示范户146户，户均增收600元以上，探索出庭院建设新经验，《卫子乡村庭院富而美》被中国县域经济报专题报道。</w:t>
      </w:r>
      <w:r>
        <w:rPr>
          <w:rFonts w:hint="eastAsia"/>
          <w:b/>
          <w:bCs/>
        </w:rPr>
        <w:t>二是</w:t>
      </w:r>
      <w:r>
        <w:rPr>
          <w:rFonts w:hint="eastAsia"/>
        </w:rPr>
        <w:t>坚持业态富园。持续丰富新荣、中山三星级粮油现代农业园区业态，构建“一心四基地”农文旅融合发展布局，即王家贡米研发中心、农耕文化体验基地、水产养殖示范基地、亲子拓展露营基地、畜禽科普示范基地，园区承载能力显著提升，昭化区第四届油菜花节、第七届中国农民丰收节昭化区庆丰收活动均在园区举行，带动全域旅游综合收入超1500万元。</w:t>
      </w:r>
      <w:r>
        <w:rPr>
          <w:rFonts w:hint="eastAsia"/>
          <w:b/>
          <w:bCs/>
        </w:rPr>
        <w:t>三是</w:t>
      </w:r>
      <w:r>
        <w:rPr>
          <w:rFonts w:hint="eastAsia"/>
        </w:rPr>
        <w:t>坚持品牌强园。做大做强“王家贡米”金字招牌，上榜首批《中国农产品品牌索引名录》，获得“中国农业百强标志性品牌”“第九届四川农业博览会十大最受欢迎农产品”等多项殊荣。实施“强村富民”园区营运品牌培育计划，盘活闲置土地和固定资产，引进广椒公司种植辣椒600亩，每亩收益超3000元；积极发展订单农业，全面推行“1+5+N”社会化服务体系，实现“耕种防收”为一体的现代化农业服务，全年托管面积超6万亩，公司营收300万元。先后承办全市农机安全生产现场会、全市农业项目大比武现场会。</w:t>
      </w:r>
    </w:p>
    <w:p w14:paraId="588A3617">
      <w:pPr>
        <w:bidi w:val="0"/>
        <w:rPr>
          <w:rFonts w:hint="eastAsia"/>
        </w:rPr>
      </w:pPr>
      <w:r>
        <w:rPr>
          <w:rFonts w:hint="eastAsia"/>
          <w:b/>
          <w:bCs/>
        </w:rPr>
        <w:t>6.聚力民生保障，人民福祉持续增进。一是</w:t>
      </w:r>
      <w:r>
        <w:rPr>
          <w:rFonts w:hint="eastAsia"/>
        </w:rPr>
        <w:t>社会事业稳步发展。实现全镇适龄儿童义务教育全覆盖，对280名留守儿童和29名困境儿童建档立卡，开展“1+1”定期走访和实施爱心妈妈“一对一”全覆盖结对帮扶。卫子镇“三心”服务推进爱心妈妈关爱服务工作走深走实在全区作交流发言。山东纳澳集团向卫子中学捐赠210套午休课桌椅，该学校成为全区首个“躺平午休”的学校。县域医养综合体基本建成，运营仅半年，入住率超50%。卫子镇中心卫生院被国家卫生健康委、国家中医药局通报表扬为“优质服务基层行”活动表现突出服务优质机构。积极探索志愿服务、群团组织与社会治理融合发展新路径，支持参与交通疏导、应急抢险、关爱老人儿童等各个领域，金印社区被评为全市2023年度志愿服务先进社区，卫子镇团委被评为“广元市五四红旗团委”。</w:t>
      </w:r>
      <w:r>
        <w:rPr>
          <w:rFonts w:hint="eastAsia"/>
          <w:b/>
          <w:bCs/>
        </w:rPr>
        <w:t>二是</w:t>
      </w:r>
      <w:r>
        <w:rPr>
          <w:rFonts w:hint="eastAsia"/>
        </w:rPr>
        <w:t>社会保障坚强有力。城乡医保、养老工作有序推进，全年支出各类补助、民政救助、临时关爱等资金1352余万元，兑现各类惠农惠民资金补贴520余万元。全镇“村能办”累计办理各项业务1.9万余件，群众满意率达100%。实施狮子村2024中央财政以工代赈项目，提供就业岗位120个。宏曌劳务专合社全年派工10195人次，人均增收1.6万元。精准开发公益性岗位259个，实现农民增收157万元。“归雁工程”来料加工车间新增手工塞棉点位1个，带动稳定就业110人，人均增收2500元以上，入选四川省“十大巾帼增收好项目”案例。</w:t>
      </w:r>
      <w:r>
        <w:rPr>
          <w:rFonts w:hint="eastAsia"/>
          <w:b/>
          <w:bCs/>
        </w:rPr>
        <w:t>三是</w:t>
      </w:r>
      <w:r>
        <w:rPr>
          <w:rFonts w:hint="eastAsia"/>
        </w:rPr>
        <w:t>基层治理纵深推进。建立“1+1+N”街长制长效治理机制，由主要领导任总街长、各分管领导任支街长、其他干部为成员的整治攻坚专班。每日对责任区域内的占道经营、环境卫生、停车秩序、违章搭建等巡查整治，场镇面貌焕然一新。《深化新时代党建引领打造基层治理共同体》卫子经验在全市推广。巩固拓展全面依法治区示范试点和省级法治政府建设示范区创建成果，大力开展“法律七进”等活动，组织村民法治宣传教育180余次。打造“1+17+N”信访调处队伍，全年排查化解矛盾纠纷287起，化解成功率达98%，回访满意率100%。深入推进平安建设，持续巩固扫黑除恶、防邪、禁毒成果，新荣村被命名为四川省“六无”平安村。坚决抓好安全生产、防灾减灾、森林防灭火、食品安全、生态环保等底线工作，努力提升群众安全感满意度。</w:t>
      </w:r>
    </w:p>
    <w:p w14:paraId="7FE76A87">
      <w:pPr>
        <w:bidi w:val="0"/>
        <w:rPr>
          <w:rFonts w:hint="eastAsia"/>
        </w:rPr>
      </w:pPr>
      <w:r>
        <w:rPr>
          <w:rFonts w:hint="eastAsia"/>
          <w:b/>
          <w:bCs/>
        </w:rPr>
        <w:t>7.强化统筹发展，内生动力不断增强。一是</w:t>
      </w:r>
      <w:r>
        <w:rPr>
          <w:rFonts w:hint="eastAsia"/>
        </w:rPr>
        <w:t>全过程人民民主行稳致远。加强党对人大工作的全面领导，全方位支持人大依法履职行权，《加强党的全面领导践行全过程人民民主》的经验做法在全区作交流发言。持续深化全省民生实事项目人大代表票决制试点工作，“12345”工作法持续深化，“5432”人大代表之家模式入选全省100个人大代表工作典型案例。区人大协调浙江对口帮扶资金10万元，安装石井老街路灯60余盏。切实推动“有事来协商”工作创新提升，召开水毁道路维修整治等协商会议4次。高水平承接全市政协委员到新荣村现场观摩，绵阳市政协前来交流考察。积极支持引导各民主党派、无党派人士和非公经济人士开展重点领域工作调查研究，高标准承接巴中市、广元市委统战部、市民宗局视察调研。新荣村党支部书记王声文获评创建第十一批全国民族团结进步示范市作出突出贡献个人荣誉称号。</w:t>
      </w:r>
      <w:r>
        <w:rPr>
          <w:rFonts w:hint="eastAsia"/>
          <w:b/>
          <w:bCs/>
        </w:rPr>
        <w:t>二是</w:t>
      </w:r>
      <w:r>
        <w:rPr>
          <w:rFonts w:hint="eastAsia"/>
        </w:rPr>
        <w:t>精神文明建设深入推进。充分发挥新媒体宣传推介作用，在区级以上平台发布新闻80余条，在四川新闻网、四川观察等主流媒体发布《四川广元：航天育种水稻开镰收割》《探索“美丽庭院”奏响乡村振兴“最美”乐章》等高质量稿件、视频30余篇。和美卫子视频号全年刊发视频52条，累计播放量达42万人次，单条点击量突破3.9万人次。依托镇（村）新时代文明实践所（站），扎实开展宣传宣讲活动，组织17支志愿服务队开展春季助农、抗洪抢险、清杂理乱等志愿活动30余次。举办2025年迎新晚会，凝聚发展共识。金印社区在全省家风家教巡讲巡展活动暨全市清廉家庭建设工作推进会上作交流发言。陈定全被评为第五届四川“最美科技工作者”。</w:t>
      </w:r>
      <w:r>
        <w:rPr>
          <w:rFonts w:hint="eastAsia"/>
          <w:b/>
          <w:bCs/>
        </w:rPr>
        <w:t>三是</w:t>
      </w:r>
      <w:r>
        <w:rPr>
          <w:rFonts w:hint="eastAsia"/>
        </w:rPr>
        <w:t>生态环境质量持续向好。筑牢生态安全屏障，强化源头治理管控，持续打好大气污染防治、小流域水环境治理、环保基础设施提升、畜禽水产养殖等污染防治攻坚战。抓好中央、省级生态环境保护督察反馈问题整改。常态化开展污水处理厂及污水收集管网巡护检查，及时修复破损管道，完善入户支管，确保全镇14个污水处理设施正常运行，全镇畜禽粪污资源化利用率达90%以上。贯彻执行河长制“1+N”模式，深入开展河湖“清四乱”、十年禁渔、河道整治等巡河重点工作，对违法垂钓立案2起。</w:t>
      </w:r>
    </w:p>
    <w:p w14:paraId="09F121AE">
      <w:pPr>
        <w:bidi w:val="0"/>
        <w:rPr>
          <w:rFonts w:hint="eastAsia"/>
        </w:rPr>
      </w:pPr>
      <w:r>
        <w:rPr>
          <w:rFonts w:hint="eastAsia"/>
        </w:rPr>
        <w:t>国家安全、财经、审计、保密、红十字会、工青妇等各项工作取得明显进步，全面完成目标任务。</w:t>
      </w:r>
    </w:p>
    <w:p w14:paraId="38E6D7E8">
      <w:pPr>
        <w:pStyle w:val="3"/>
        <w:bidi w:val="0"/>
        <w:rPr>
          <w:rFonts w:hint="eastAsia"/>
        </w:rPr>
      </w:pPr>
      <w:bookmarkStart w:id="10" w:name="_Toc18891"/>
      <w:r>
        <w:rPr>
          <w:rFonts w:hint="eastAsia"/>
        </w:rPr>
        <w:t>二、机构设置</w:t>
      </w:r>
      <w:bookmarkEnd w:id="10"/>
    </w:p>
    <w:p w14:paraId="2E4AB7E6">
      <w:pPr>
        <w:bidi w:val="0"/>
        <w:rPr>
          <w:rFonts w:hint="eastAsia"/>
          <w:lang w:eastAsia="zh-CN"/>
        </w:rPr>
      </w:pPr>
      <w:r>
        <w:rPr>
          <w:rFonts w:hint="eastAsia"/>
        </w:rPr>
        <w:t>卫子镇人民政府属于一级预算单位，下属二级预算单位0个，其中行政单位0个，参照公务员法管理的事业单位0个，其他事业单位0个</w:t>
      </w:r>
      <w:r>
        <w:rPr>
          <w:rFonts w:hint="eastAsia"/>
          <w:lang w:eastAsia="zh-CN"/>
        </w:rPr>
        <w:t>。</w:t>
      </w:r>
    </w:p>
    <w:p w14:paraId="508EDD3E">
      <w:pPr>
        <w:bidi w:val="0"/>
        <w:rPr>
          <w:rFonts w:hint="eastAsia"/>
          <w:lang w:eastAsia="zh-CN"/>
        </w:rPr>
      </w:pPr>
    </w:p>
    <w:p w14:paraId="2A24EF01">
      <w:pPr>
        <w:bidi w:val="0"/>
        <w:rPr>
          <w:rFonts w:hint="eastAsia"/>
          <w:lang w:eastAsia="zh-CN"/>
        </w:rPr>
        <w:sectPr>
          <w:footerReference r:id="rId6" w:type="default"/>
          <w:pgSz w:w="11906" w:h="16838"/>
          <w:pgMar w:top="2098" w:right="1474" w:bottom="1984" w:left="1587" w:header="720" w:footer="720" w:gutter="0"/>
          <w:lnNumType w:countBy="0" w:distance="360"/>
          <w:pgNumType w:fmt="decimal" w:start="1"/>
          <w:cols w:space="720" w:num="1"/>
        </w:sectPr>
      </w:pPr>
    </w:p>
    <w:p w14:paraId="38BACC1F">
      <w:pPr>
        <w:pStyle w:val="2"/>
        <w:keepNext/>
        <w:keepLines/>
        <w:pageBreakBefore w:val="0"/>
        <w:widowControl w:val="0"/>
        <w:kinsoku/>
        <w:wordWrap/>
        <w:overflowPunct/>
        <w:topLinePunct w:val="0"/>
        <w:autoSpaceDE w:val="0"/>
        <w:autoSpaceDN w:val="0"/>
        <w:bidi w:val="0"/>
        <w:adjustRightInd w:val="0"/>
        <w:snapToGrid/>
        <w:ind w:firstLine="0" w:firstLineChars="0"/>
        <w:textAlignment w:val="auto"/>
        <w:rPr>
          <w:rFonts w:hint="eastAsia"/>
        </w:rPr>
      </w:pPr>
      <w:bookmarkStart w:id="11" w:name="_Toc32235"/>
      <w:r>
        <w:rPr>
          <w:rFonts w:hint="eastAsia"/>
        </w:rPr>
        <w:t>第二部分</w:t>
      </w:r>
      <w:r>
        <w:rPr>
          <w:rFonts w:hint="eastAsia"/>
          <w:lang w:val="en-US" w:eastAsia="zh-CN"/>
        </w:rPr>
        <w:t xml:space="preserve">  </w:t>
      </w:r>
      <w:r>
        <w:rPr>
          <w:rFonts w:hint="eastAsia"/>
        </w:rPr>
        <w:t>202</w:t>
      </w:r>
      <w:r>
        <w:rPr>
          <w:rFonts w:hint="eastAsia"/>
          <w:lang w:val="en-US" w:eastAsia="zh-CN"/>
        </w:rPr>
        <w:t>4</w:t>
      </w:r>
      <w:r>
        <w:rPr>
          <w:rFonts w:hint="eastAsia"/>
        </w:rPr>
        <w:t>年度部门决算情况说明</w:t>
      </w:r>
      <w:bookmarkEnd w:id="11"/>
    </w:p>
    <w:p w14:paraId="513C9DDB">
      <w:pPr>
        <w:pStyle w:val="3"/>
        <w:bidi w:val="0"/>
        <w:rPr>
          <w:rFonts w:hint="eastAsia"/>
        </w:rPr>
      </w:pPr>
      <w:bookmarkStart w:id="12" w:name="_Toc17840"/>
      <w:r>
        <w:rPr>
          <w:rFonts w:hint="eastAsia"/>
        </w:rPr>
        <w:t>一、收入支出决算总体情况说明</w:t>
      </w:r>
      <w:bookmarkEnd w:id="12"/>
    </w:p>
    <w:p w14:paraId="3BF5FF87">
      <w:pPr>
        <w:bidi w:val="0"/>
        <w:rPr>
          <w:rFonts w:hint="eastAsia"/>
        </w:rPr>
      </w:pPr>
      <w:r>
        <w:rPr>
          <w:rFonts w:hint="eastAsia"/>
        </w:rPr>
        <w:t>2024年度收、支总计均为2280.06万元。与2023年度相比，收、支总计各增加79.82万元，3.6%。主要变动原因是2024年项目增加。</w:t>
      </w:r>
    </w:p>
    <w:p w14:paraId="27BAA050">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0" w:firstLineChars="0"/>
        <w:jc w:val="center"/>
        <w:textAlignment w:val="auto"/>
        <w:rPr>
          <w:rFonts w:hint="default" w:ascii="Times New Roman" w:eastAsia="仿宋"/>
          <w:color w:val="000000"/>
          <w:sz w:val="32"/>
          <w:szCs w:val="32"/>
        </w:rPr>
      </w:pPr>
      <w:r>
        <w:rPr>
          <w:rFonts w:hint="default" w:ascii="Times New Roman" w:eastAsia="仿宋"/>
          <w:color w:val="000000"/>
          <w:sz w:val="32"/>
          <w:szCs w:val="32"/>
        </w:rPr>
        <w:object>
          <v:shape id="_x0000_i1025" o:spt="75" type="#_x0000_t75" style="height:195.1pt;width:340.15pt;" o:ole="t" filled="f" o:preferrelative="t" stroked="f" coordsize="21600,21600">
            <v:path/>
            <v:fill on="f" focussize="0,0"/>
            <v:stroke on="f"/>
            <v:imagedata r:id="rId9" o:title=""/>
            <o:lock v:ext="edit" aspectratio="t"/>
            <w10:wrap type="none"/>
            <w10:anchorlock/>
          </v:shape>
          <o:OLEObject Type="Embed" ProgID="" ShapeID="_x0000_i1025" DrawAspect="Content" ObjectID="_1468075725" r:id="rId8">
            <o:LockedField>false</o:LockedField>
          </o:OLEObject>
        </w:object>
      </w:r>
    </w:p>
    <w:p w14:paraId="3CCE3153">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图1：收、支决算总计变动情况图</w:t>
      </w:r>
    </w:p>
    <w:p w14:paraId="08896C73">
      <w:pPr>
        <w:pStyle w:val="3"/>
        <w:bidi w:val="0"/>
        <w:rPr>
          <w:rFonts w:hint="eastAsia"/>
        </w:rPr>
      </w:pPr>
      <w:bookmarkStart w:id="13" w:name="_Toc8933"/>
      <w:r>
        <w:rPr>
          <w:rFonts w:hint="eastAsia"/>
        </w:rPr>
        <w:t>二、收入决算情况说明</w:t>
      </w:r>
      <w:bookmarkEnd w:id="13"/>
    </w:p>
    <w:p w14:paraId="5EB2CA42">
      <w:pPr>
        <w:bidi w:val="0"/>
        <w:rPr>
          <w:rFonts w:hint="eastAsia"/>
        </w:rPr>
      </w:pPr>
      <w:r>
        <w:rPr>
          <w:rFonts w:hint="eastAsia"/>
        </w:rPr>
        <w:t>2024年本年收入合计2280.06万元，其中：一般公共预算财政拨款收入2280.06万元，占100%；政府性基金预算财政拨款收入0万元，占0%；国有资本经营预算财政拨款收入0万元，占0%；上级补助收入0万0元，占0%；事业收入0万元，占0%；经营收入0万元，占0%；附属单位上缴收入0万元，占0%；其他收入0万元，占0%。</w:t>
      </w:r>
    </w:p>
    <w:p w14:paraId="7DC32D6E">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0" w:firstLineChars="0"/>
        <w:jc w:val="center"/>
        <w:textAlignment w:val="auto"/>
        <w:rPr>
          <w:rFonts w:hint="eastAsia" w:ascii="Times New Roman" w:eastAsia="仿宋_GB2312"/>
          <w:color w:val="000000"/>
          <w:kern w:val="2"/>
          <w:sz w:val="32"/>
          <w:szCs w:val="24"/>
        </w:rPr>
      </w:pPr>
      <w:r>
        <w:rPr>
          <w:rFonts w:hint="default" w:ascii="Times New Roman" w:eastAsia="仿宋"/>
          <w:color w:val="000000"/>
          <w:sz w:val="32"/>
          <w:szCs w:val="32"/>
        </w:rPr>
        <w:object>
          <v:shape id="_x0000_i1026" o:spt="75" type="#_x0000_t75" style="height:188.85pt;width:340.15pt;" o:ole="t" filled="f" o:preferrelative="t" stroked="f" coordsize="21600,21600">
            <v:path/>
            <v:fill on="f" focussize="0,0"/>
            <v:stroke on="f"/>
            <v:imagedata r:id="rId11" o:title=""/>
            <o:lock v:ext="edit" aspectratio="t"/>
            <w10:wrap type="none"/>
            <w10:anchorlock/>
          </v:shape>
          <o:OLEObject Type="Embed" ProgID="" ShapeID="_x0000_i1026" DrawAspect="Content" ObjectID="_1468075726" r:id="rId10">
            <o:LockedField>false</o:LockedField>
          </o:OLEObject>
        </w:object>
      </w:r>
    </w:p>
    <w:p w14:paraId="7607B68C">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图2：收入决算结构图</w:t>
      </w:r>
    </w:p>
    <w:p w14:paraId="5E4B5DF5">
      <w:pPr>
        <w:pStyle w:val="3"/>
        <w:bidi w:val="0"/>
        <w:rPr>
          <w:rFonts w:hint="eastAsia"/>
        </w:rPr>
      </w:pPr>
      <w:bookmarkStart w:id="14" w:name="_Toc2789"/>
      <w:r>
        <w:rPr>
          <w:rFonts w:hint="eastAsia"/>
        </w:rPr>
        <w:t>三、支出决算情况说明</w:t>
      </w:r>
      <w:bookmarkEnd w:id="14"/>
    </w:p>
    <w:p w14:paraId="172A2B71">
      <w:pPr>
        <w:bidi w:val="0"/>
        <w:jc w:val="both"/>
        <w:rPr>
          <w:rFonts w:hint="eastAsia"/>
          <w:highlight w:val="none"/>
        </w:rPr>
      </w:pPr>
      <w:r>
        <w:rPr>
          <w:rFonts w:hint="eastAsia"/>
          <w:highlight w:val="none"/>
        </w:rPr>
        <w:t>2024年本年支出合计2280.06万元，其中：基本支出1415.06万元，占62</w:t>
      </w:r>
      <w:r>
        <w:rPr>
          <w:rFonts w:hint="eastAsia"/>
          <w:highlight w:val="none"/>
          <w:lang w:val="en-US" w:eastAsia="zh-CN"/>
        </w:rPr>
        <w:t>.1</w:t>
      </w:r>
      <w:r>
        <w:rPr>
          <w:rFonts w:hint="eastAsia"/>
          <w:highlight w:val="none"/>
        </w:rPr>
        <w:t>%；项目支出865万元，占3</w:t>
      </w:r>
      <w:r>
        <w:rPr>
          <w:rFonts w:hint="eastAsia"/>
          <w:highlight w:val="none"/>
          <w:lang w:val="en-US" w:eastAsia="zh-CN"/>
        </w:rPr>
        <w:t>7.9</w:t>
      </w:r>
      <w:r>
        <w:rPr>
          <w:rFonts w:hint="eastAsia"/>
          <w:highlight w:val="none"/>
        </w:rPr>
        <w:t>%；上缴上级支出0万元，占0%；经营支出0万元，占0%；对附属单位补助支出0万元，占0%。</w:t>
      </w:r>
    </w:p>
    <w:p w14:paraId="38FFBC5B">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0" w:firstLineChars="0"/>
        <w:jc w:val="center"/>
        <w:textAlignment w:val="auto"/>
        <w:rPr>
          <w:rFonts w:hint="eastAsia" w:ascii="Times New Roman" w:eastAsia="仿宋_GB2312"/>
          <w:color w:val="000000"/>
          <w:kern w:val="2"/>
          <w:sz w:val="32"/>
          <w:szCs w:val="24"/>
        </w:rPr>
      </w:pPr>
      <w:r>
        <w:rPr>
          <w:rFonts w:hint="default" w:ascii="Times New Roman" w:eastAsia="仿宋"/>
          <w:color w:val="000000"/>
          <w:sz w:val="32"/>
          <w:szCs w:val="32"/>
          <w:shd w:val="pct10" w:color="auto" w:fill="FFFFFF"/>
        </w:rPr>
        <w:object>
          <v:shape id="_x0000_i1027" o:spt="75" type="#_x0000_t75" style="height:206.05pt;width:340.15pt;" o:ole="t" filled="f" o:preferrelative="t" stroked="f" coordsize="21600,21600">
            <v:path/>
            <v:fill on="f" focussize="0,0"/>
            <v:stroke on="f"/>
            <v:imagedata r:id="rId13" o:title=""/>
            <o:lock v:ext="edit" aspectratio="t"/>
            <w10:wrap type="none"/>
            <w10:anchorlock/>
          </v:shape>
          <o:OLEObject Type="Embed" ProgID="" ShapeID="_x0000_i1027" DrawAspect="Content" ObjectID="_1468075727" r:id="rId12">
            <o:LockedField>false</o:LockedField>
          </o:OLEObject>
        </w:object>
      </w:r>
    </w:p>
    <w:p w14:paraId="5A7D332F">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图3：支出决算结构图</w:t>
      </w:r>
    </w:p>
    <w:p w14:paraId="61C3C171">
      <w:pPr>
        <w:pStyle w:val="3"/>
        <w:bidi w:val="0"/>
        <w:rPr>
          <w:rFonts w:hint="eastAsia"/>
        </w:rPr>
      </w:pPr>
      <w:bookmarkStart w:id="15" w:name="_Toc15480"/>
      <w:r>
        <w:rPr>
          <w:rFonts w:hint="eastAsia"/>
        </w:rPr>
        <w:t>四、财政拨款收入支出决算总体情况说明</w:t>
      </w:r>
      <w:bookmarkEnd w:id="15"/>
    </w:p>
    <w:p w14:paraId="18E4C267">
      <w:pPr>
        <w:bidi w:val="0"/>
        <w:rPr>
          <w:rFonts w:hint="eastAsia"/>
        </w:rPr>
      </w:pPr>
      <w:r>
        <w:rPr>
          <w:rFonts w:hint="eastAsia"/>
        </w:rPr>
        <w:t>2024年度财政拨款收、支总计均为2280.06万元。与2023年度相比，收、支总计各增加79.82万元，增长3.6%。主要变动原因是2024年项目增加。</w:t>
      </w:r>
    </w:p>
    <w:p w14:paraId="7817AFEE">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0" w:firstLineChars="0"/>
        <w:jc w:val="center"/>
        <w:textAlignment w:val="auto"/>
        <w:rPr>
          <w:rFonts w:hint="eastAsia" w:ascii="Times New Roman" w:eastAsia="仿宋_GB2312"/>
          <w:color w:val="000000"/>
          <w:kern w:val="2"/>
          <w:sz w:val="32"/>
          <w:szCs w:val="24"/>
        </w:rPr>
      </w:pPr>
      <w:r>
        <w:rPr>
          <w:rFonts w:hint="default" w:ascii="Times New Roman" w:eastAsia="仿宋"/>
          <w:color w:val="000000"/>
          <w:sz w:val="32"/>
          <w:szCs w:val="32"/>
        </w:rPr>
        <w:object>
          <v:shape id="_x0000_i1028" o:spt="75" type="#_x0000_t75" style="height:196.9pt;width:340.15pt;" o:ole="t" filled="f" o:preferrelative="t" stroked="f" coordsize="21600,21600">
            <v:path/>
            <v:fill on="f" focussize="0,0"/>
            <v:stroke on="f"/>
            <v:imagedata r:id="rId15" o:title=""/>
            <o:lock v:ext="edit" aspectratio="t"/>
            <w10:wrap type="none"/>
            <w10:anchorlock/>
          </v:shape>
          <o:OLEObject Type="Embed" ProgID="" ShapeID="_x0000_i1028" DrawAspect="Content" ObjectID="_1468075728" r:id="rId14">
            <o:LockedField>false</o:LockedField>
          </o:OLEObject>
        </w:object>
      </w:r>
    </w:p>
    <w:p w14:paraId="32943C31">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图4：财政拨款收、支决算总计变动情况</w:t>
      </w:r>
    </w:p>
    <w:p w14:paraId="2C855E4D">
      <w:pPr>
        <w:pStyle w:val="3"/>
        <w:bidi w:val="0"/>
        <w:rPr>
          <w:rFonts w:hint="eastAsia"/>
        </w:rPr>
      </w:pPr>
      <w:bookmarkStart w:id="16" w:name="_Toc29112"/>
      <w:r>
        <w:rPr>
          <w:rFonts w:hint="eastAsia"/>
        </w:rPr>
        <w:t>五、一般公共预算财政拨款支出决算情况说明</w:t>
      </w:r>
      <w:bookmarkEnd w:id="16"/>
    </w:p>
    <w:p w14:paraId="6B476E45">
      <w:pPr>
        <w:pStyle w:val="4"/>
        <w:bidi w:val="0"/>
        <w:rPr>
          <w:rFonts w:hint="eastAsia"/>
        </w:rPr>
      </w:pPr>
      <w:r>
        <w:rPr>
          <w:rFonts w:hint="eastAsia"/>
        </w:rPr>
        <w:t>（一）一般公共预算财政拨款支出决算总体情况</w:t>
      </w:r>
    </w:p>
    <w:p w14:paraId="4A20E85E">
      <w:pPr>
        <w:bidi w:val="0"/>
        <w:rPr>
          <w:rFonts w:hint="eastAsia"/>
        </w:rPr>
      </w:pPr>
      <w:r>
        <w:rPr>
          <w:rFonts w:hint="eastAsia"/>
        </w:rPr>
        <w:t>2024年度一般公共预算财政拨款支出2280.06万元。占本年支出合计的100%。与2023年度相比，一般公共预算财政拨款支出增加79.82万元，增长3.63%。主要变动原因是项目增加。</w:t>
      </w:r>
    </w:p>
    <w:p w14:paraId="6977A8F1">
      <w:pPr>
        <w:keepNext w:val="0"/>
        <w:keepLines w:val="0"/>
        <w:pageBreakBefore w:val="0"/>
        <w:widowControl w:val="0"/>
        <w:kinsoku/>
        <w:wordWrap/>
        <w:overflowPunct w:val="0"/>
        <w:topLinePunct/>
        <w:autoSpaceDE w:val="0"/>
        <w:autoSpaceDN w:val="0"/>
        <w:bidi w:val="0"/>
        <w:adjustRightInd w:val="0"/>
        <w:snapToGrid/>
        <w:spacing w:beforeLines="0" w:afterLines="0" w:line="240" w:lineRule="auto"/>
        <w:ind w:firstLine="0" w:firstLineChars="0"/>
        <w:jc w:val="center"/>
        <w:textAlignment w:val="auto"/>
        <w:rPr>
          <w:rFonts w:hint="eastAsia" w:ascii="Times New Roman" w:eastAsia="仿宋_GB2312"/>
          <w:color w:val="000000"/>
          <w:kern w:val="2"/>
          <w:sz w:val="32"/>
          <w:szCs w:val="24"/>
        </w:rPr>
      </w:pPr>
      <w:r>
        <w:rPr>
          <w:rFonts w:hint="default" w:ascii="Times New Roman" w:eastAsia="仿宋"/>
          <w:color w:val="000000"/>
          <w:sz w:val="32"/>
          <w:szCs w:val="32"/>
        </w:rPr>
        <w:object>
          <v:shape id="_x0000_i1029" o:spt="75" type="#_x0000_t75" style="height:206.25pt;width:340.15pt;" o:ole="t" filled="f" o:preferrelative="t" stroked="f" coordsize="21600,21600">
            <v:path/>
            <v:fill on="f" focussize="0,0"/>
            <v:stroke on="f"/>
            <v:imagedata r:id="rId17" o:title=""/>
            <o:lock v:ext="edit" aspectratio="t"/>
            <w10:wrap type="none"/>
            <w10:anchorlock/>
          </v:shape>
          <o:OLEObject Type="Embed" ProgID="" ShapeID="_x0000_i1029" DrawAspect="Content" ObjectID="_1468075729" r:id="rId16">
            <o:LockedField>false</o:LockedField>
          </o:OLEObject>
        </w:object>
      </w:r>
    </w:p>
    <w:p w14:paraId="28B6B890">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图5：一般公共预算财政拨款支出决算变动情况</w:t>
      </w:r>
    </w:p>
    <w:p w14:paraId="715F8E4A">
      <w:pPr>
        <w:pStyle w:val="4"/>
        <w:bidi w:val="0"/>
        <w:rPr>
          <w:rFonts w:hint="eastAsia"/>
        </w:rPr>
      </w:pPr>
      <w:r>
        <w:rPr>
          <w:rFonts w:hint="eastAsia"/>
        </w:rPr>
        <w:t>（二）一般公共预算财政拨款支出决算结构情况</w:t>
      </w:r>
    </w:p>
    <w:p w14:paraId="16E3326E">
      <w:pPr>
        <w:bidi w:val="0"/>
        <w:rPr>
          <w:rFonts w:hint="eastAsia"/>
          <w:highlight w:val="none"/>
        </w:rPr>
      </w:pPr>
      <w:r>
        <w:rPr>
          <w:rFonts w:hint="eastAsia"/>
        </w:rPr>
        <w:t>2024年度一般公共预算财政拨款支出2280.06万元，主要用于以下方面</w:t>
      </w:r>
      <w:r>
        <w:rPr>
          <w:rFonts w:hint="eastAsia"/>
          <w:lang w:eastAsia="zh-CN"/>
        </w:rPr>
        <w:t>：</w:t>
      </w:r>
      <w:r>
        <w:rPr>
          <w:rFonts w:hint="eastAsia"/>
          <w:highlight w:val="none"/>
        </w:rPr>
        <w:t>一般公共服务支出958.05万元，占42%；住房保障支出84.55万元，占3.7%；国防支出5万元，占0.2%</w:t>
      </w:r>
      <w:r>
        <w:rPr>
          <w:rFonts w:hint="eastAsia"/>
          <w:highlight w:val="none"/>
          <w:lang w:eastAsia="zh-CN"/>
        </w:rPr>
        <w:t>；</w:t>
      </w:r>
      <w:r>
        <w:rPr>
          <w:rFonts w:hint="eastAsia"/>
          <w:highlight w:val="none"/>
        </w:rPr>
        <w:t>社会保障和就业支出234.07万元，占10.</w:t>
      </w:r>
      <w:r>
        <w:rPr>
          <w:rFonts w:hint="eastAsia"/>
          <w:highlight w:val="none"/>
          <w:lang w:val="en-US" w:eastAsia="zh-CN"/>
        </w:rPr>
        <w:t>3</w:t>
      </w:r>
      <w:r>
        <w:rPr>
          <w:rFonts w:hint="eastAsia"/>
          <w:highlight w:val="none"/>
        </w:rPr>
        <w:t>%；卫生健康支出39.76万元，占1.7%；城乡社区支出79.2万元，占3.</w:t>
      </w:r>
      <w:r>
        <w:rPr>
          <w:rFonts w:hint="eastAsia"/>
          <w:highlight w:val="none"/>
          <w:lang w:val="en-US" w:eastAsia="zh-CN"/>
        </w:rPr>
        <w:t>5</w:t>
      </w:r>
      <w:r>
        <w:rPr>
          <w:rFonts w:hint="eastAsia"/>
          <w:highlight w:val="none"/>
        </w:rPr>
        <w:t>%；农林水支出879.43万元，占38.</w:t>
      </w:r>
      <w:r>
        <w:rPr>
          <w:rFonts w:hint="eastAsia"/>
          <w:highlight w:val="none"/>
          <w:lang w:val="en-US" w:eastAsia="zh-CN"/>
        </w:rPr>
        <w:t>6</w:t>
      </w:r>
      <w:r>
        <w:rPr>
          <w:rFonts w:hint="eastAsia"/>
          <w:highlight w:val="none"/>
        </w:rPr>
        <w:t>%。</w:t>
      </w:r>
    </w:p>
    <w:p w14:paraId="08E6A42E">
      <w:pPr>
        <w:keepNext w:val="0"/>
        <w:keepLines w:val="0"/>
        <w:pageBreakBefore w:val="0"/>
        <w:widowControl w:val="0"/>
        <w:kinsoku/>
        <w:wordWrap/>
        <w:overflowPunct/>
        <w:topLinePunct w:val="0"/>
        <w:autoSpaceDE w:val="0"/>
        <w:autoSpaceDN w:val="0"/>
        <w:bidi w:val="0"/>
        <w:adjustRightInd w:val="0"/>
        <w:snapToGrid/>
        <w:spacing w:line="240" w:lineRule="auto"/>
        <w:ind w:firstLine="0" w:firstLineChars="0"/>
        <w:jc w:val="center"/>
        <w:textAlignment w:val="auto"/>
        <w:rPr>
          <w:rFonts w:hint="eastAsia"/>
          <w:highlight w:val="red"/>
        </w:rPr>
      </w:pPr>
      <w:r>
        <w:rPr>
          <w:rFonts w:hint="default" w:ascii="Times New Roman" w:eastAsia="仿宋"/>
          <w:color w:val="000000"/>
          <w:sz w:val="32"/>
          <w:szCs w:val="32"/>
        </w:rPr>
        <w:object>
          <v:shape id="_x0000_i1030" o:spt="75" type="#_x0000_t75" style="height:148.75pt;width:340.15pt;" o:ole="t" filled="f" o:preferrelative="t" stroked="f" coordsize="21600,21600">
            <v:path/>
            <v:fill on="f" focussize="0,0"/>
            <v:stroke on="f"/>
            <v:imagedata r:id="rId19" o:title=""/>
            <o:lock v:ext="edit" aspectratio="t"/>
            <w10:wrap type="none"/>
            <w10:anchorlock/>
          </v:shape>
          <o:OLEObject Type="Embed" ProgID="" ShapeID="_x0000_i1030" DrawAspect="Content" ObjectID="_1468075730" r:id="rId18">
            <o:LockedField>false</o:LockedField>
          </o:OLEObject>
        </w:object>
      </w:r>
    </w:p>
    <w:p w14:paraId="7D3BF281">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eastAsia"/>
        </w:rPr>
      </w:pPr>
      <w:r>
        <w:rPr>
          <w:rFonts w:hint="eastAsia"/>
        </w:rPr>
        <w:t>图6：一般公共预算财政拨款支出决算结构</w:t>
      </w:r>
    </w:p>
    <w:p w14:paraId="3F14B3A4">
      <w:pPr>
        <w:pStyle w:val="4"/>
        <w:bidi w:val="0"/>
        <w:rPr>
          <w:rFonts w:hint="eastAsia"/>
        </w:rPr>
      </w:pPr>
      <w:r>
        <w:rPr>
          <w:rFonts w:hint="eastAsia"/>
        </w:rPr>
        <w:t>（三）一般公共预算财政拨款支出决算具体情况</w:t>
      </w:r>
    </w:p>
    <w:p w14:paraId="0EB0F868">
      <w:pPr>
        <w:bidi w:val="0"/>
        <w:rPr>
          <w:rFonts w:hint="eastAsia"/>
        </w:rPr>
      </w:pPr>
      <w:r>
        <w:rPr>
          <w:rFonts w:hint="eastAsia"/>
        </w:rPr>
        <w:t>2024年度一般公共预算支出全年预算数为2280.06万元，支出决算数为2280.06万元，完成全年预算数的100%。其中：</w:t>
      </w:r>
    </w:p>
    <w:p w14:paraId="551B859E">
      <w:pPr>
        <w:bidi w:val="0"/>
        <w:rPr>
          <w:rFonts w:hint="eastAsia"/>
        </w:rPr>
      </w:pPr>
      <w:r>
        <w:rPr>
          <w:rFonts w:hint="eastAsia"/>
          <w:b/>
          <w:bCs/>
        </w:rPr>
        <w:t>1.一般公共服务支出（类）人大事务（款）代表工作（项）</w:t>
      </w:r>
      <w:r>
        <w:rPr>
          <w:rFonts w:hint="eastAsia"/>
          <w:b/>
          <w:bCs/>
          <w:lang w:eastAsia="zh-CN"/>
        </w:rPr>
        <w:t>：</w:t>
      </w:r>
      <w:r>
        <w:rPr>
          <w:rFonts w:hint="eastAsia"/>
        </w:rPr>
        <w:t>全年预算为3.74万元，支出决算为3.74万元，完成全年预算的100%。决算数等于全年预算数。</w:t>
      </w:r>
    </w:p>
    <w:p w14:paraId="1519C921">
      <w:pPr>
        <w:bidi w:val="0"/>
        <w:rPr>
          <w:rFonts w:hint="eastAsia"/>
        </w:rPr>
      </w:pPr>
      <w:r>
        <w:rPr>
          <w:rFonts w:hint="eastAsia"/>
          <w:b/>
          <w:bCs/>
        </w:rPr>
        <w:t>2.一般公共服务支出（类）政府办公厅（室）及相关机构事务（款）行政运行（项）</w:t>
      </w:r>
      <w:r>
        <w:rPr>
          <w:rFonts w:hint="eastAsia"/>
          <w:b/>
          <w:bCs/>
          <w:lang w:eastAsia="zh-CN"/>
        </w:rPr>
        <w:t>：</w:t>
      </w:r>
      <w:r>
        <w:rPr>
          <w:rFonts w:hint="eastAsia"/>
        </w:rPr>
        <w:t>全年预算为649.95万元，支出决算为649.95万元，完成全年预算的100%。决算数等于全年预算数。</w:t>
      </w:r>
    </w:p>
    <w:p w14:paraId="3428C1FA">
      <w:pPr>
        <w:bidi w:val="0"/>
        <w:rPr>
          <w:rFonts w:hint="eastAsia"/>
        </w:rPr>
      </w:pPr>
      <w:r>
        <w:rPr>
          <w:rFonts w:hint="eastAsia"/>
          <w:b/>
          <w:bCs/>
        </w:rPr>
        <w:t>3.一般公共服务支出（类）政府办公厅（室）及相关机构事务（款）事业运行（项）</w:t>
      </w:r>
      <w:r>
        <w:rPr>
          <w:rFonts w:hint="eastAsia"/>
          <w:b/>
          <w:bCs/>
          <w:lang w:eastAsia="zh-CN"/>
        </w:rPr>
        <w:t>：</w:t>
      </w:r>
      <w:r>
        <w:rPr>
          <w:rFonts w:hint="eastAsia"/>
        </w:rPr>
        <w:t>全年预算为269万元，支出决算为269万元，完成全年预算的100%。决算数等于全年预算数。</w:t>
      </w:r>
    </w:p>
    <w:p w14:paraId="762A0791">
      <w:pPr>
        <w:bidi w:val="0"/>
        <w:rPr>
          <w:rFonts w:hint="eastAsia"/>
        </w:rPr>
      </w:pPr>
      <w:r>
        <w:rPr>
          <w:rFonts w:hint="eastAsia"/>
          <w:b/>
          <w:bCs/>
        </w:rPr>
        <w:t>4.一般公共服务支出（类）政府办公厅（室）及相关机构事务（款）其他政府办公厅（室）及相关机构事务（项）</w:t>
      </w:r>
      <w:r>
        <w:rPr>
          <w:rFonts w:hint="eastAsia"/>
          <w:b/>
          <w:bCs/>
          <w:lang w:eastAsia="zh-CN"/>
        </w:rPr>
        <w:t>：</w:t>
      </w:r>
      <w:r>
        <w:rPr>
          <w:rFonts w:hint="eastAsia"/>
        </w:rPr>
        <w:t>全年预算为35.36万元，支出决算为35.36万元，完成全年预算的100%。决算数等于全年预算数。</w:t>
      </w:r>
    </w:p>
    <w:p w14:paraId="620AE0DC">
      <w:pPr>
        <w:bidi w:val="0"/>
        <w:rPr>
          <w:rFonts w:hint="eastAsia"/>
        </w:rPr>
      </w:pPr>
      <w:r>
        <w:rPr>
          <w:rFonts w:hint="eastAsia"/>
          <w:b/>
          <w:bCs/>
        </w:rPr>
        <w:t>5.国防支出（类）其他国防支出（款）其他国防支出（项）</w:t>
      </w:r>
      <w:r>
        <w:rPr>
          <w:rFonts w:hint="eastAsia"/>
          <w:b/>
          <w:bCs/>
          <w:lang w:eastAsia="zh-CN"/>
        </w:rPr>
        <w:t>：</w:t>
      </w:r>
      <w:r>
        <w:rPr>
          <w:rFonts w:hint="eastAsia"/>
        </w:rPr>
        <w:t>全年预算为5万元，支出决算为5万元，完成全年预算的100%。决算数等于全年预算数。</w:t>
      </w:r>
    </w:p>
    <w:p w14:paraId="7AA8D725">
      <w:pPr>
        <w:bidi w:val="0"/>
        <w:rPr>
          <w:rFonts w:hint="eastAsia"/>
        </w:rPr>
      </w:pPr>
      <w:r>
        <w:rPr>
          <w:rFonts w:hint="eastAsia"/>
          <w:b/>
          <w:bCs/>
        </w:rPr>
        <w:t>6.社会保障和就业支出（类）行政事业单位养老支出（款）行政单位离退休（项）</w:t>
      </w:r>
      <w:r>
        <w:rPr>
          <w:rFonts w:hint="eastAsia"/>
          <w:b/>
          <w:bCs/>
          <w:lang w:eastAsia="zh-CN"/>
        </w:rPr>
        <w:t>：</w:t>
      </w:r>
      <w:r>
        <w:rPr>
          <w:rFonts w:hint="eastAsia"/>
        </w:rPr>
        <w:t>全年预算为102万元，支出决算为102万元，完成全年预算的100%。决算数等于全年预算数。</w:t>
      </w:r>
    </w:p>
    <w:p w14:paraId="2370F13D">
      <w:pPr>
        <w:bidi w:val="0"/>
        <w:rPr>
          <w:rFonts w:hint="eastAsia"/>
        </w:rPr>
      </w:pPr>
      <w:r>
        <w:rPr>
          <w:rFonts w:hint="eastAsia"/>
          <w:b/>
          <w:bCs/>
        </w:rPr>
        <w:t>7.社会保障和就业支出（类）行政事业单位养老支出（款）机关事业单位基本养老保险缴费支出（项）</w:t>
      </w:r>
      <w:r>
        <w:rPr>
          <w:rFonts w:hint="eastAsia"/>
          <w:b/>
          <w:bCs/>
          <w:lang w:eastAsia="zh-CN"/>
        </w:rPr>
        <w:t>：</w:t>
      </w:r>
      <w:r>
        <w:rPr>
          <w:rFonts w:hint="eastAsia"/>
        </w:rPr>
        <w:t>全年预算为112.73万元，支出决算为112.73万元，完成全年预算的100%。决算数等于全年预算数。</w:t>
      </w:r>
    </w:p>
    <w:p w14:paraId="09934FF2">
      <w:pPr>
        <w:bidi w:val="0"/>
        <w:rPr>
          <w:rFonts w:hint="default"/>
        </w:rPr>
      </w:pPr>
      <w:r>
        <w:rPr>
          <w:rFonts w:hint="eastAsia"/>
          <w:b/>
          <w:bCs/>
        </w:rPr>
        <w:t>8.社会保障和就业支出（类）行政事业单位养老支出（款）机关事业单位职业年金缴费支出（项）</w:t>
      </w:r>
      <w:r>
        <w:rPr>
          <w:rFonts w:hint="eastAsia"/>
          <w:b/>
          <w:bCs/>
          <w:lang w:eastAsia="zh-CN"/>
        </w:rPr>
        <w:t>：</w:t>
      </w:r>
      <w:r>
        <w:rPr>
          <w:rFonts w:hint="eastAsia"/>
        </w:rPr>
        <w:t>全年预算为16.55万元，支出决算为16.55万元，完成全年预算的100%。决算数等于全年预算数。</w:t>
      </w:r>
    </w:p>
    <w:p w14:paraId="0CAC428F">
      <w:pPr>
        <w:bidi w:val="0"/>
        <w:rPr>
          <w:rFonts w:hint="default"/>
        </w:rPr>
      </w:pPr>
      <w:r>
        <w:rPr>
          <w:rFonts w:hint="eastAsia"/>
          <w:b/>
          <w:bCs/>
        </w:rPr>
        <w:t>9.社会保障和就业支出（类）其他社会保障和就业支出（款）其他社会保障和就业支出（项）</w:t>
      </w:r>
      <w:r>
        <w:rPr>
          <w:rFonts w:hint="eastAsia"/>
          <w:b/>
          <w:bCs/>
          <w:lang w:eastAsia="zh-CN"/>
        </w:rPr>
        <w:t>：</w:t>
      </w:r>
      <w:r>
        <w:rPr>
          <w:rFonts w:hint="eastAsia"/>
        </w:rPr>
        <w:t>全年预算为2.79万元，支出决算为2.79万元，完成全年预算的100%。决算数等于全年预算数。</w:t>
      </w:r>
    </w:p>
    <w:p w14:paraId="5403394B">
      <w:pPr>
        <w:bidi w:val="0"/>
        <w:rPr>
          <w:rFonts w:hint="eastAsia"/>
        </w:rPr>
      </w:pPr>
      <w:r>
        <w:rPr>
          <w:rFonts w:hint="eastAsia"/>
          <w:b/>
          <w:bCs/>
        </w:rPr>
        <w:t>10.卫生健康支出（类）行政事业单位医疗（款）行政单位医疗（项）</w:t>
      </w:r>
      <w:r>
        <w:rPr>
          <w:rFonts w:hint="eastAsia"/>
          <w:b/>
          <w:bCs/>
          <w:lang w:eastAsia="zh-CN"/>
        </w:rPr>
        <w:t>：</w:t>
      </w:r>
      <w:r>
        <w:rPr>
          <w:rFonts w:hint="eastAsia"/>
        </w:rPr>
        <w:t>全年预算为17.12万元，支出决算为17.12万元，完成全年预算的100%。决算数等于全年预算数。</w:t>
      </w:r>
    </w:p>
    <w:p w14:paraId="3C585D3C">
      <w:pPr>
        <w:bidi w:val="0"/>
        <w:rPr>
          <w:rFonts w:hint="eastAsia"/>
        </w:rPr>
      </w:pPr>
      <w:r>
        <w:rPr>
          <w:rFonts w:hint="eastAsia"/>
          <w:b/>
          <w:bCs/>
        </w:rPr>
        <w:t>11.卫生健康支出（类）行政事业单位医疗（款）事业单位医疗（项）</w:t>
      </w:r>
      <w:r>
        <w:rPr>
          <w:rFonts w:hint="eastAsia"/>
          <w:lang w:eastAsia="zh-CN"/>
        </w:rPr>
        <w:t>：</w:t>
      </w:r>
      <w:r>
        <w:rPr>
          <w:rFonts w:hint="eastAsia"/>
        </w:rPr>
        <w:t>全年预算为22.64万元，支出决算为22.64万元，完成全年预算的100%。决算数等于全年预算数。</w:t>
      </w:r>
    </w:p>
    <w:p w14:paraId="01F371D8">
      <w:pPr>
        <w:bidi w:val="0"/>
        <w:rPr>
          <w:rFonts w:hint="eastAsia"/>
        </w:rPr>
      </w:pPr>
      <w:r>
        <w:rPr>
          <w:rFonts w:hint="eastAsia"/>
          <w:b/>
          <w:bCs/>
        </w:rPr>
        <w:t>12.城乡社区支出（类）城乡社区管理事务（款）一般行政管理事务（项）</w:t>
      </w:r>
      <w:r>
        <w:rPr>
          <w:rFonts w:hint="eastAsia"/>
          <w:b/>
          <w:bCs/>
          <w:lang w:eastAsia="zh-CN"/>
        </w:rPr>
        <w:t>：</w:t>
      </w:r>
      <w:r>
        <w:rPr>
          <w:rFonts w:hint="eastAsia"/>
        </w:rPr>
        <w:t>全年预算为21万元，支出决算为21万元，完成全年预算的100%。决算数等于全年预算数。</w:t>
      </w:r>
    </w:p>
    <w:p w14:paraId="0DA4420F">
      <w:pPr>
        <w:bidi w:val="0"/>
        <w:rPr>
          <w:rFonts w:hint="default"/>
        </w:rPr>
      </w:pPr>
      <w:r>
        <w:rPr>
          <w:rFonts w:hint="eastAsia"/>
          <w:b/>
          <w:bCs/>
        </w:rPr>
        <w:t>13.城乡社区支出（类）其他城乡社区支出（款）其他城乡社区支出（项）</w:t>
      </w:r>
      <w:r>
        <w:rPr>
          <w:rFonts w:hint="eastAsia"/>
          <w:b/>
          <w:bCs/>
          <w:lang w:eastAsia="zh-CN"/>
        </w:rPr>
        <w:t>：</w:t>
      </w:r>
      <w:r>
        <w:rPr>
          <w:rFonts w:hint="eastAsia"/>
        </w:rPr>
        <w:t>全年预算为58.2万元，支出决算为58.2万元，完成全年预算的100%。决算数等于全年预算数。</w:t>
      </w:r>
    </w:p>
    <w:p w14:paraId="7AFA06E7">
      <w:pPr>
        <w:bidi w:val="0"/>
        <w:rPr>
          <w:rFonts w:hint="eastAsia"/>
        </w:rPr>
      </w:pPr>
      <w:r>
        <w:rPr>
          <w:rFonts w:hint="eastAsia"/>
          <w:b/>
          <w:bCs/>
        </w:rPr>
        <w:t>14.农林水支出（类）农业农村（款）行政运行（项）</w:t>
      </w:r>
      <w:r>
        <w:rPr>
          <w:rFonts w:hint="eastAsia"/>
          <w:b/>
          <w:bCs/>
          <w:lang w:eastAsia="zh-CN"/>
        </w:rPr>
        <w:t>：</w:t>
      </w:r>
      <w:r>
        <w:rPr>
          <w:rFonts w:hint="eastAsia"/>
        </w:rPr>
        <w:t>全年预算为137.72万元，支出决算为137.72万元，完成全年预算的100%。决算数等于全年预算数。</w:t>
      </w:r>
    </w:p>
    <w:p w14:paraId="6C046B6A">
      <w:pPr>
        <w:bidi w:val="0"/>
        <w:rPr>
          <w:rFonts w:hint="eastAsia"/>
        </w:rPr>
      </w:pPr>
      <w:r>
        <w:rPr>
          <w:rFonts w:hint="eastAsia"/>
          <w:b/>
          <w:bCs/>
        </w:rPr>
        <w:t>15.农林水支出（类）农业农村（款）农业生产发展（项）</w:t>
      </w:r>
      <w:r>
        <w:rPr>
          <w:rFonts w:hint="eastAsia"/>
          <w:b/>
          <w:bCs/>
          <w:lang w:eastAsia="zh-CN"/>
        </w:rPr>
        <w:t>：</w:t>
      </w:r>
      <w:r>
        <w:rPr>
          <w:rFonts w:hint="eastAsia"/>
        </w:rPr>
        <w:t>全年预算为10万元，支出决算为10万元，完成全年预算的100%。决算数等于全年预算数。</w:t>
      </w:r>
    </w:p>
    <w:p w14:paraId="2CA4098D">
      <w:pPr>
        <w:bidi w:val="0"/>
        <w:rPr>
          <w:rFonts w:hint="eastAsia"/>
        </w:rPr>
      </w:pPr>
      <w:r>
        <w:rPr>
          <w:rFonts w:hint="eastAsia"/>
          <w:b/>
          <w:bCs/>
        </w:rPr>
        <w:t>16.农林水支出（类）农村综合改革（款）对村民委员会和村党支部的补助（项）</w:t>
      </w:r>
      <w:r>
        <w:rPr>
          <w:rFonts w:hint="eastAsia"/>
          <w:b/>
          <w:bCs/>
          <w:lang w:eastAsia="zh-CN"/>
        </w:rPr>
        <w:t>：</w:t>
      </w:r>
      <w:r>
        <w:rPr>
          <w:rFonts w:hint="eastAsia"/>
        </w:rPr>
        <w:t>全年预算为681.2万元，支出决算为681.2万元，完成全年预算的100%。决算数等于全年预算数。</w:t>
      </w:r>
    </w:p>
    <w:p w14:paraId="6C33636B">
      <w:pPr>
        <w:bidi w:val="0"/>
        <w:rPr>
          <w:rFonts w:hint="eastAsia"/>
        </w:rPr>
      </w:pPr>
      <w:r>
        <w:rPr>
          <w:rFonts w:hint="eastAsia"/>
          <w:b/>
          <w:bCs/>
        </w:rPr>
        <w:t>17.农林水支出（类）农村综合改革（款）其他农村综合改革支出（项）</w:t>
      </w:r>
      <w:r>
        <w:rPr>
          <w:rFonts w:hint="eastAsia"/>
          <w:b/>
          <w:bCs/>
          <w:lang w:eastAsia="zh-CN"/>
        </w:rPr>
        <w:t>：</w:t>
      </w:r>
      <w:r>
        <w:rPr>
          <w:rFonts w:hint="eastAsia"/>
        </w:rPr>
        <w:t>全年预算为50.5万元，支出决算为50.5万元，完成全年预算的100%。决算数等于全年预算数。</w:t>
      </w:r>
    </w:p>
    <w:p w14:paraId="2035024A">
      <w:pPr>
        <w:bidi w:val="0"/>
        <w:rPr>
          <w:rFonts w:hint="eastAsia"/>
        </w:rPr>
      </w:pPr>
      <w:r>
        <w:rPr>
          <w:rFonts w:hint="eastAsia"/>
          <w:b/>
          <w:bCs/>
        </w:rPr>
        <w:t>18.住房保障支出（类）住房改革支出（款）住房公积金（项）</w:t>
      </w:r>
      <w:r>
        <w:rPr>
          <w:rFonts w:hint="eastAsia"/>
          <w:b/>
          <w:bCs/>
          <w:lang w:eastAsia="zh-CN"/>
        </w:rPr>
        <w:t>：</w:t>
      </w:r>
      <w:r>
        <w:rPr>
          <w:rFonts w:hint="eastAsia"/>
        </w:rPr>
        <w:t>全年预算为84.55万元，支出决算为84.55万元，完成全年预算的100%。决算数等于全年预算数。</w:t>
      </w:r>
    </w:p>
    <w:p w14:paraId="4C779774">
      <w:pPr>
        <w:pStyle w:val="3"/>
        <w:bidi w:val="0"/>
        <w:rPr>
          <w:rFonts w:hint="eastAsia"/>
        </w:rPr>
      </w:pPr>
      <w:bookmarkStart w:id="17" w:name="_Toc8185"/>
      <w:r>
        <w:rPr>
          <w:rFonts w:hint="eastAsia"/>
        </w:rPr>
        <w:t>六、一般公共预算财政拨款基本支出决算情况说明</w:t>
      </w:r>
      <w:bookmarkEnd w:id="17"/>
    </w:p>
    <w:p w14:paraId="0EEE505D">
      <w:pPr>
        <w:bidi w:val="0"/>
        <w:rPr>
          <w:rFonts w:hint="eastAsia"/>
        </w:rPr>
      </w:pPr>
      <w:r>
        <w:rPr>
          <w:rFonts w:hint="eastAsia"/>
        </w:rPr>
        <w:t>2024年度一般公共预算财政拨款基本支出1415.06万元，其中：</w:t>
      </w:r>
    </w:p>
    <w:p w14:paraId="0CD8942C">
      <w:pPr>
        <w:bidi w:val="0"/>
        <w:rPr>
          <w:rFonts w:hint="eastAsia"/>
        </w:rPr>
      </w:pPr>
      <w:r>
        <w:rPr>
          <w:rFonts w:hint="eastAsia"/>
          <w:b/>
          <w:bCs/>
        </w:rPr>
        <w:t>人员经费1255.41万元，</w:t>
      </w:r>
      <w:r>
        <w:rPr>
          <w:rFonts w:hint="eastAsia"/>
        </w:rPr>
        <w:t>主要包括：基本工资436.24万元、津贴补贴142.28万元、奖金281.99万元、伙食补助费8万元、机关事业单位基本养老保险缴费112.74万元、职业年金缴费16.55万元、职工基本医疗保险缴费39.76万元、其他社会保障缴费2.79万元、住房公积金84.55万元、对个人和家庭的生活补助130.35万元、其他对个人和家庭的补助0.16万元。</w:t>
      </w:r>
    </w:p>
    <w:p w14:paraId="63395044">
      <w:pPr>
        <w:bidi w:val="0"/>
        <w:rPr>
          <w:rFonts w:hint="eastAsia"/>
        </w:rPr>
      </w:pPr>
      <w:r>
        <w:rPr>
          <w:rFonts w:hint="eastAsia"/>
          <w:b/>
          <w:bCs/>
        </w:rPr>
        <w:t>公用经费159.65万元，</w:t>
      </w:r>
      <w:r>
        <w:rPr>
          <w:rFonts w:hint="eastAsia"/>
        </w:rPr>
        <w:t>主要包括：办公费12.63万元、印刷费5.2万元、水费1.5万元、电费7万元、邮电费8.58万元、差旅费45.02万元、会议费2.4万元、培训费1.9万元、公务接待费15.85万元、工会经费18万元、其他交通费32.52万元、其他商品和服务支出9.05万元。</w:t>
      </w:r>
    </w:p>
    <w:p w14:paraId="5CBDA514">
      <w:pPr>
        <w:pStyle w:val="3"/>
        <w:bidi w:val="0"/>
        <w:rPr>
          <w:rFonts w:hint="eastAsia"/>
        </w:rPr>
      </w:pPr>
      <w:bookmarkStart w:id="18" w:name="_Toc26467"/>
      <w:r>
        <w:rPr>
          <w:rFonts w:hint="eastAsia"/>
        </w:rPr>
        <w:t>七、财政拨款“三公”经费支出决算情况说明</w:t>
      </w:r>
      <w:bookmarkEnd w:id="18"/>
    </w:p>
    <w:p w14:paraId="7BD4C601">
      <w:pPr>
        <w:pStyle w:val="4"/>
        <w:bidi w:val="0"/>
        <w:rPr>
          <w:rFonts w:hint="eastAsia"/>
        </w:rPr>
      </w:pPr>
      <w:r>
        <w:rPr>
          <w:rFonts w:hint="eastAsia"/>
        </w:rPr>
        <w:t>（一）“三公”经费财政拨款支出决算总体情况说明</w:t>
      </w:r>
    </w:p>
    <w:p w14:paraId="671C0B5E">
      <w:pPr>
        <w:bidi w:val="0"/>
        <w:rPr>
          <w:rFonts w:hint="eastAsia"/>
        </w:rPr>
      </w:pPr>
      <w:r>
        <w:rPr>
          <w:rFonts w:hint="eastAsia"/>
        </w:rPr>
        <w:t>2024年度“三公”经费财政拨款支出预算为15.85万元，支出决算为15.85万元，完成预算的100%；决算数与预算数持平。决算数较上年减少0.01万元，下降0.</w:t>
      </w:r>
      <w:r>
        <w:rPr>
          <w:rFonts w:hint="eastAsia"/>
          <w:lang w:val="en-US" w:eastAsia="zh-CN"/>
        </w:rPr>
        <w:t>1</w:t>
      </w:r>
      <w:r>
        <w:rPr>
          <w:rFonts w:hint="eastAsia"/>
        </w:rPr>
        <w:t>%，主要原因是接待人次减少、接待标准降低。</w:t>
      </w:r>
    </w:p>
    <w:p w14:paraId="5631DAB7">
      <w:pPr>
        <w:pStyle w:val="4"/>
        <w:bidi w:val="0"/>
        <w:rPr>
          <w:rFonts w:hint="eastAsia"/>
        </w:rPr>
      </w:pPr>
      <w:r>
        <w:rPr>
          <w:rFonts w:hint="eastAsia"/>
        </w:rPr>
        <w:t>（二）“三公”经费财政拨款支出决算具体情况说明</w:t>
      </w:r>
    </w:p>
    <w:p w14:paraId="7BE61306">
      <w:pPr>
        <w:bidi w:val="0"/>
        <w:rPr>
          <w:rFonts w:hint="eastAsia"/>
        </w:rPr>
      </w:pPr>
      <w:r>
        <w:rPr>
          <w:rFonts w:hint="eastAsia"/>
        </w:rPr>
        <w:t>2024年度“三公”经费财政拨款支出决算中，因公出国（境）费支出决算0万元，占0%；公务用车购置及运行维护费支出决算0万元，占0%；公务接待费支出决算15.85万元，占100%。具体情况如下：</w:t>
      </w:r>
    </w:p>
    <w:p w14:paraId="693D8BF0">
      <w:pPr>
        <w:pStyle w:val="12"/>
        <w:keepNext w:val="0"/>
        <w:keepLines w:val="0"/>
        <w:pageBreakBefore w:val="0"/>
        <w:widowControl w:val="0"/>
        <w:kinsoku/>
        <w:wordWrap/>
        <w:overflowPunct/>
        <w:topLinePunct w:val="0"/>
        <w:autoSpaceDE w:val="0"/>
        <w:autoSpaceDN w:val="0"/>
        <w:bidi w:val="0"/>
        <w:adjustRightInd w:val="0"/>
        <w:snapToGrid/>
        <w:spacing w:beforeLines="0" w:afterLines="0" w:line="240" w:lineRule="auto"/>
        <w:ind w:left="0" w:leftChars="0" w:firstLine="0" w:firstLineChars="0"/>
        <w:jc w:val="center"/>
        <w:textAlignment w:val="auto"/>
        <w:rPr>
          <w:rFonts w:hint="default" w:ascii="Times New Roman" w:eastAsia="仿宋"/>
          <w:color w:val="000000"/>
          <w:sz w:val="32"/>
          <w:szCs w:val="32"/>
        </w:rPr>
      </w:pPr>
      <w:r>
        <w:rPr>
          <w:rFonts w:hint="default" w:ascii="Times New Roman" w:eastAsia="仿宋"/>
          <w:color w:val="000000"/>
          <w:sz w:val="32"/>
          <w:szCs w:val="32"/>
        </w:rPr>
        <w:object>
          <v:shape id="_x0000_i1031" o:spt="75" type="#_x0000_t75" style="height:185.75pt;width:340.15pt;" o:ole="t" filled="f" o:preferrelative="t" stroked="f" coordsize="21600,21600">
            <v:path/>
            <v:fill on="f" focussize="0,0"/>
            <v:stroke on="f"/>
            <v:imagedata r:id="rId21" o:title=""/>
            <o:lock v:ext="edit" aspectratio="t"/>
            <w10:wrap type="none"/>
            <w10:anchorlock/>
          </v:shape>
          <o:OLEObject Type="Embed" ProgID="" ShapeID="_x0000_i1031" DrawAspect="Content" ObjectID="_1468075731" r:id="rId20">
            <o:LockedField>false</o:LockedField>
          </o:OLEObject>
        </w:object>
      </w:r>
    </w:p>
    <w:p w14:paraId="6B7A7104">
      <w:pPr>
        <w:keepNext w:val="0"/>
        <w:keepLines w:val="0"/>
        <w:pageBreakBefore w:val="0"/>
        <w:widowControl w:val="0"/>
        <w:kinsoku/>
        <w:wordWrap/>
        <w:overflowPunct/>
        <w:topLinePunct w:val="0"/>
        <w:autoSpaceDE w:val="0"/>
        <w:autoSpaceDN w:val="0"/>
        <w:bidi w:val="0"/>
        <w:adjustRightInd w:val="0"/>
        <w:snapToGrid/>
        <w:ind w:firstLine="0" w:firstLineChars="0"/>
        <w:jc w:val="center"/>
        <w:textAlignment w:val="auto"/>
        <w:rPr>
          <w:rFonts w:hint="default"/>
        </w:rPr>
      </w:pPr>
      <w:r>
        <w:rPr>
          <w:rFonts w:hint="eastAsia"/>
        </w:rPr>
        <w:t>图7：“三公”经费财政拨款支出结构</w:t>
      </w:r>
    </w:p>
    <w:p w14:paraId="213A95BB">
      <w:pPr>
        <w:bidi w:val="0"/>
        <w:rPr>
          <w:rFonts w:hint="eastAsia"/>
        </w:rPr>
      </w:pPr>
      <w:r>
        <w:rPr>
          <w:rFonts w:hint="eastAsia"/>
          <w:b/>
          <w:bCs/>
        </w:rPr>
        <w:t>1.因公出国（境）经费预算</w:t>
      </w:r>
      <w:r>
        <w:rPr>
          <w:rFonts w:hint="eastAsia"/>
        </w:rPr>
        <w:t>为0万元，支出决算为</w:t>
      </w:r>
      <w:r>
        <w:rPr>
          <w:rFonts w:hint="eastAsia"/>
          <w:lang w:val="zh-CN"/>
        </w:rPr>
        <w:t>0</w:t>
      </w:r>
      <w:r>
        <w:rPr>
          <w:rFonts w:hint="eastAsia"/>
        </w:rPr>
        <w:t>万元。全年安排因公出国（境）团组0个，出国（境）0人。因公出国（境）支出决算与2023年度持平。</w:t>
      </w:r>
    </w:p>
    <w:p w14:paraId="7E84120A">
      <w:pPr>
        <w:bidi w:val="0"/>
        <w:rPr>
          <w:rFonts w:hint="eastAsia"/>
        </w:rPr>
      </w:pPr>
      <w:r>
        <w:rPr>
          <w:rFonts w:hint="eastAsia"/>
          <w:b/>
          <w:bCs/>
        </w:rPr>
        <w:t>2.公务用车购置及运行维护费预算</w:t>
      </w:r>
      <w:r>
        <w:rPr>
          <w:rFonts w:hint="eastAsia"/>
        </w:rPr>
        <w:t>为0万元</w:t>
      </w:r>
      <w:r>
        <w:rPr>
          <w:rFonts w:hint="eastAsia"/>
          <w:lang w:eastAsia="zh-CN"/>
        </w:rPr>
        <w:t>，</w:t>
      </w:r>
      <w:r>
        <w:rPr>
          <w:rFonts w:hint="eastAsia"/>
        </w:rPr>
        <w:t>支出决算为0万元。公务用车购置及运行维护费支出决算与2023年度持平。</w:t>
      </w:r>
    </w:p>
    <w:p w14:paraId="70032285">
      <w:pPr>
        <w:bidi w:val="0"/>
        <w:rPr>
          <w:rFonts w:hint="eastAsia"/>
        </w:rPr>
      </w:pPr>
      <w:r>
        <w:rPr>
          <w:rFonts w:hint="eastAsia"/>
        </w:rPr>
        <w:t>其中：</w:t>
      </w:r>
      <w:r>
        <w:rPr>
          <w:rFonts w:hint="eastAsia"/>
          <w:b/>
          <w:bCs/>
        </w:rPr>
        <w:t>公务用车购置费</w:t>
      </w:r>
      <w:r>
        <w:rPr>
          <w:rFonts w:hint="eastAsia"/>
        </w:rPr>
        <w:t>支出0万元。全年按规定更新购置公务用车0辆，其中：轿车0辆、金额0万元，越野车0辆、金额0万元，小型客车0辆、金额0万元，中型客车和大型客车0辆、金额0万元，其他车型0辆、金额0万元。截至2024年12月31日，本部门共有公务用车0辆，其中：轿车0辆、越野车0辆、小型客车0辆、中型客车和大型客车0辆、其他车型0辆。</w:t>
      </w:r>
    </w:p>
    <w:p w14:paraId="3FFAE63C">
      <w:pPr>
        <w:bidi w:val="0"/>
        <w:rPr>
          <w:rFonts w:hint="eastAsia"/>
        </w:rPr>
      </w:pPr>
      <w:r>
        <w:rPr>
          <w:rFonts w:hint="eastAsia"/>
          <w:b/>
          <w:bCs/>
        </w:rPr>
        <w:t>公务用车运行维护费</w:t>
      </w:r>
      <w:r>
        <w:rPr>
          <w:rFonts w:hint="eastAsia"/>
        </w:rPr>
        <w:t>支出0万元。</w:t>
      </w:r>
    </w:p>
    <w:p w14:paraId="12D6F408">
      <w:pPr>
        <w:bidi w:val="0"/>
        <w:rPr>
          <w:rFonts w:hint="eastAsia"/>
        </w:rPr>
      </w:pPr>
      <w:r>
        <w:rPr>
          <w:rFonts w:hint="eastAsia"/>
          <w:b/>
          <w:bCs/>
        </w:rPr>
        <w:t>3.公务接待费预算</w:t>
      </w:r>
      <w:r>
        <w:rPr>
          <w:rFonts w:hint="eastAsia"/>
        </w:rPr>
        <w:t>为15.85万元，支出决算为15.85万元，完成预算的100%。公务接待费支出决算比2023年度减少0.01万元，下降0.</w:t>
      </w:r>
      <w:r>
        <w:rPr>
          <w:rFonts w:hint="eastAsia"/>
          <w:lang w:val="en-US" w:eastAsia="zh-CN"/>
        </w:rPr>
        <w:t>1</w:t>
      </w:r>
      <w:r>
        <w:rPr>
          <w:rFonts w:hint="eastAsia"/>
        </w:rPr>
        <w:t>%。主要原因是接待人次减少、接待标准降低。其中：</w:t>
      </w:r>
    </w:p>
    <w:p w14:paraId="3241EA4B">
      <w:pPr>
        <w:bidi w:val="0"/>
        <w:rPr>
          <w:rFonts w:hint="eastAsia"/>
        </w:rPr>
      </w:pPr>
      <w:r>
        <w:rPr>
          <w:rFonts w:hint="eastAsia"/>
          <w:b/>
          <w:bCs/>
        </w:rPr>
        <w:t>国内公务接待</w:t>
      </w:r>
      <w:r>
        <w:rPr>
          <w:rFonts w:hint="eastAsia"/>
        </w:rPr>
        <w:t>支出15.85万元。</w:t>
      </w:r>
      <w:r>
        <w:rPr>
          <w:rFonts w:hint="eastAsia"/>
          <w:lang w:eastAsia="zh-CN"/>
        </w:rPr>
        <w:t>主要用于</w:t>
      </w:r>
      <w:r>
        <w:rPr>
          <w:rFonts w:hint="eastAsia"/>
        </w:rPr>
        <w:t>执行公务、开展业务活动开支的交通费、住宿费、用餐费等。国内公务接待297批次2650余人次，共计支出15.85万元，具体内容包括：生活费15.85万元，住宿费0万元。</w:t>
      </w:r>
    </w:p>
    <w:p w14:paraId="3197F9D9">
      <w:pPr>
        <w:bidi w:val="0"/>
        <w:rPr>
          <w:rFonts w:hint="eastAsia"/>
        </w:rPr>
      </w:pPr>
      <w:r>
        <w:rPr>
          <w:rFonts w:hint="eastAsia"/>
          <w:b/>
          <w:bCs/>
        </w:rPr>
        <w:t>外事接待</w:t>
      </w:r>
      <w:r>
        <w:rPr>
          <w:rFonts w:hint="eastAsia"/>
        </w:rPr>
        <w:t>支出0万元，外事接待0批次0人，共计支出0万元。</w:t>
      </w:r>
    </w:p>
    <w:p w14:paraId="07BB0DA5">
      <w:pPr>
        <w:pStyle w:val="3"/>
        <w:bidi w:val="0"/>
        <w:rPr>
          <w:rFonts w:hint="eastAsia"/>
        </w:rPr>
      </w:pPr>
      <w:bookmarkStart w:id="19" w:name="_Toc9747"/>
      <w:r>
        <w:rPr>
          <w:rFonts w:hint="eastAsia"/>
        </w:rPr>
        <w:t>八、政府性基金预算支出决算情况说明</w:t>
      </w:r>
      <w:bookmarkEnd w:id="19"/>
    </w:p>
    <w:p w14:paraId="49EFD1FC">
      <w:pPr>
        <w:bidi w:val="0"/>
        <w:rPr>
          <w:rFonts w:hint="eastAsia"/>
        </w:rPr>
      </w:pPr>
      <w:r>
        <w:rPr>
          <w:rFonts w:hint="eastAsia"/>
        </w:rPr>
        <w:t>202</w:t>
      </w:r>
      <w:r>
        <w:rPr>
          <w:rFonts w:hint="eastAsia"/>
          <w:lang w:val="en-US" w:eastAsia="zh-CN"/>
        </w:rPr>
        <w:t>4</w:t>
      </w:r>
      <w:r>
        <w:rPr>
          <w:rFonts w:hint="eastAsia"/>
        </w:rPr>
        <w:t>年度政府性基金预算拨款支出0万元。</w:t>
      </w:r>
    </w:p>
    <w:p w14:paraId="3BE65D59">
      <w:pPr>
        <w:pStyle w:val="3"/>
        <w:bidi w:val="0"/>
        <w:rPr>
          <w:rFonts w:hint="eastAsia"/>
        </w:rPr>
      </w:pPr>
      <w:bookmarkStart w:id="20" w:name="_Toc18671"/>
      <w:r>
        <w:rPr>
          <w:rFonts w:hint="eastAsia"/>
        </w:rPr>
        <w:t>九、国有资本经营预算支出决算情况说明</w:t>
      </w:r>
      <w:bookmarkEnd w:id="20"/>
    </w:p>
    <w:p w14:paraId="07DF3AD8">
      <w:pPr>
        <w:bidi w:val="0"/>
        <w:rPr>
          <w:rFonts w:hint="eastAsia"/>
        </w:rPr>
      </w:pPr>
      <w:r>
        <w:rPr>
          <w:rFonts w:hint="eastAsia"/>
        </w:rPr>
        <w:t>2024年度国有资本经营预算拨款支出0万元。</w:t>
      </w:r>
    </w:p>
    <w:p w14:paraId="4FFE1C2E">
      <w:pPr>
        <w:pStyle w:val="3"/>
        <w:bidi w:val="0"/>
        <w:rPr>
          <w:rFonts w:hint="eastAsia"/>
        </w:rPr>
      </w:pPr>
      <w:bookmarkStart w:id="21" w:name="_Toc10885"/>
      <w:r>
        <w:rPr>
          <w:rFonts w:hint="eastAsia"/>
        </w:rPr>
        <w:t>十、其他重要事项的情况说明</w:t>
      </w:r>
      <w:bookmarkEnd w:id="21"/>
    </w:p>
    <w:p w14:paraId="5CFE4C92">
      <w:pPr>
        <w:pStyle w:val="4"/>
        <w:bidi w:val="0"/>
        <w:rPr>
          <w:rFonts w:hint="eastAsia"/>
        </w:rPr>
      </w:pPr>
      <w:r>
        <w:rPr>
          <w:rFonts w:hint="eastAsia"/>
        </w:rPr>
        <w:t>（一）机关运行经费支出情况</w:t>
      </w:r>
    </w:p>
    <w:p w14:paraId="207C791F">
      <w:pPr>
        <w:bidi w:val="0"/>
        <w:rPr>
          <w:rFonts w:hint="eastAsia"/>
        </w:rPr>
      </w:pPr>
      <w:r>
        <w:rPr>
          <w:rFonts w:hint="eastAsia"/>
        </w:rPr>
        <w:t>2024年，卫子镇人民政府机关运行经费支出159.65万元，比2023年度增加减少146.78万元，减少48.21%。主要原因是人员减少、支出下降等。</w:t>
      </w:r>
    </w:p>
    <w:p w14:paraId="612DA1E9">
      <w:pPr>
        <w:pStyle w:val="4"/>
        <w:bidi w:val="0"/>
        <w:rPr>
          <w:rFonts w:hint="eastAsia"/>
        </w:rPr>
      </w:pPr>
      <w:r>
        <w:rPr>
          <w:rFonts w:hint="eastAsia"/>
        </w:rPr>
        <w:t>（二）政府采购支出情况</w:t>
      </w:r>
    </w:p>
    <w:p w14:paraId="47B10873">
      <w:pPr>
        <w:bidi w:val="0"/>
        <w:rPr>
          <w:rFonts w:hint="eastAsia"/>
        </w:rPr>
      </w:pPr>
      <w:r>
        <w:rPr>
          <w:rFonts w:hint="eastAsia"/>
        </w:rPr>
        <w:t>2024年，卫子镇人民政府未发生政府采购支出。</w:t>
      </w:r>
    </w:p>
    <w:p w14:paraId="1E38CE58">
      <w:pPr>
        <w:pStyle w:val="4"/>
        <w:bidi w:val="0"/>
        <w:rPr>
          <w:rFonts w:hint="eastAsia"/>
        </w:rPr>
      </w:pPr>
      <w:r>
        <w:rPr>
          <w:rFonts w:hint="eastAsia"/>
        </w:rPr>
        <w:t>（三）国有资产占有使用情况</w:t>
      </w:r>
    </w:p>
    <w:p w14:paraId="4DA59AF9">
      <w:pPr>
        <w:bidi w:val="0"/>
        <w:rPr>
          <w:rFonts w:hint="eastAsia"/>
        </w:rPr>
      </w:pPr>
      <w:r>
        <w:rPr>
          <w:rFonts w:hint="eastAsia"/>
        </w:rPr>
        <w:t>截至2024年12月31日，本单位无公务用车。单价100万元（含）以上设备0台（套）。</w:t>
      </w:r>
    </w:p>
    <w:p w14:paraId="17FAC426">
      <w:pPr>
        <w:pStyle w:val="4"/>
        <w:bidi w:val="0"/>
        <w:rPr>
          <w:rFonts w:hint="eastAsia"/>
        </w:rPr>
      </w:pPr>
      <w:r>
        <w:rPr>
          <w:rFonts w:hint="eastAsia"/>
        </w:rPr>
        <w:t>（四）预算绩效管理情况</w:t>
      </w:r>
    </w:p>
    <w:p w14:paraId="0BA01218">
      <w:pPr>
        <w:bidi w:val="0"/>
        <w:rPr>
          <w:rFonts w:hint="eastAsia"/>
        </w:rPr>
      </w:pPr>
      <w:r>
        <w:rPr>
          <w:rFonts w:hint="eastAsia"/>
        </w:rPr>
        <w:t>根据预算绩效管理要求，本部门在2024年度预算编制阶段，组织对基层组织活动和公共服务运行项目等25个项目开展了预算事前绩效评估，对25个项目编制了绩效目标，预算执行过程中，选取25个项目开展绩效监控。</w:t>
      </w:r>
    </w:p>
    <w:p w14:paraId="53A33136">
      <w:pPr>
        <w:bidi w:val="0"/>
        <w:rPr>
          <w:rFonts w:hint="eastAsia"/>
        </w:rPr>
      </w:pPr>
      <w:r>
        <w:rPr>
          <w:rFonts w:hint="eastAsia"/>
        </w:rPr>
        <w:t>2024年度组织对一般公共预算</w:t>
      </w:r>
      <w:r>
        <w:rPr>
          <w:rFonts w:hint="eastAsia"/>
          <w:lang w:eastAsia="zh-CN"/>
        </w:rPr>
        <w:t>全面开展绩效自评</w:t>
      </w:r>
      <w:r>
        <w:rPr>
          <w:rFonts w:hint="eastAsia"/>
        </w:rPr>
        <w:t>，形成2024年卫子镇人民政府部门整体支出绩效自评报告</w:t>
      </w:r>
      <w:r>
        <w:rPr>
          <w:rFonts w:hint="eastAsia"/>
          <w:lang w:eastAsia="zh-CN"/>
        </w:rPr>
        <w:t>、</w:t>
      </w:r>
      <w:r>
        <w:rPr>
          <w:rFonts w:hint="eastAsia" w:ascii="Times New Roman" w:hAnsi="Times New Roman" w:eastAsia="仿宋_GB2312" w:cs="仿宋_GB2312"/>
          <w:spacing w:val="0"/>
          <w:sz w:val="32"/>
          <w:szCs w:val="32"/>
          <w:lang w:val="zh-CN" w:eastAsia="zh-CN"/>
        </w:rPr>
        <w:t>202</w:t>
      </w:r>
      <w:r>
        <w:rPr>
          <w:rFonts w:hint="eastAsia" w:eastAsia="仿宋_GB2312" w:cs="仿宋_GB2312"/>
          <w:spacing w:val="0"/>
          <w:sz w:val="32"/>
          <w:szCs w:val="32"/>
          <w:lang w:val="en-US" w:eastAsia="zh-CN"/>
        </w:rPr>
        <w:t>4</w:t>
      </w:r>
      <w:r>
        <w:rPr>
          <w:rFonts w:hint="eastAsia" w:ascii="Times New Roman" w:hAnsi="Times New Roman" w:eastAsia="仿宋_GB2312" w:cs="仿宋_GB2312"/>
          <w:spacing w:val="0"/>
          <w:sz w:val="32"/>
          <w:szCs w:val="32"/>
          <w:lang w:val="zh-CN" w:eastAsia="zh-CN"/>
        </w:rPr>
        <w:t>年基层组织活动和公共服务运行项目</w:t>
      </w:r>
      <w:r>
        <w:rPr>
          <w:rFonts w:hint="eastAsia" w:ascii="Times New Roman" w:hAnsi="Times New Roman" w:cs="仿宋_GB2312"/>
          <w:spacing w:val="0"/>
          <w:sz w:val="32"/>
          <w:szCs w:val="32"/>
          <w:lang w:val="zh-CN" w:eastAsia="zh-CN"/>
        </w:rPr>
        <w:t>、</w:t>
      </w:r>
      <w:r>
        <w:rPr>
          <w:rFonts w:hint="eastAsia" w:ascii="Times New Roman" w:hAnsi="Times New Roman" w:eastAsia="仿宋_GB2312" w:cs="仿宋_GB2312"/>
          <w:color w:val="000000" w:themeColor="text1"/>
          <w:spacing w:val="0"/>
          <w:kern w:val="21"/>
          <w:sz w:val="32"/>
          <w:szCs w:val="32"/>
          <w14:textFill>
            <w14:solidFill>
              <w14:schemeClr w14:val="tx1"/>
            </w14:solidFill>
          </w14:textFill>
        </w:rPr>
        <w:t>烟叶产业发展</w:t>
      </w:r>
      <w:r>
        <w:rPr>
          <w:rFonts w:hint="eastAsia" w:ascii="Times New Roman" w:hAnsi="Times New Roman" w:eastAsia="仿宋_GB2312" w:cs="仿宋_GB2312"/>
          <w:spacing w:val="0"/>
          <w:kern w:val="21"/>
          <w:sz w:val="32"/>
          <w:szCs w:val="32"/>
          <w:lang w:val="zh-CN" w:eastAsia="zh-CN"/>
        </w:rPr>
        <w:t>项目</w:t>
      </w:r>
      <w:r>
        <w:rPr>
          <w:rFonts w:hint="eastAsia" w:ascii="Times New Roman" w:hAnsi="Times New Roman" w:cs="仿宋_GB2312"/>
          <w:spacing w:val="0"/>
          <w:kern w:val="21"/>
          <w:sz w:val="32"/>
          <w:szCs w:val="32"/>
          <w:lang w:val="zh-CN" w:eastAsia="zh-CN"/>
        </w:rPr>
        <w:t>及</w:t>
      </w:r>
      <w:r>
        <w:rPr>
          <w:rFonts w:hint="default" w:ascii="Times New Roman" w:hAnsi="Times New Roman" w:eastAsia="仿宋_GB2312" w:cs="仿宋_GB2312"/>
          <w:spacing w:val="0"/>
          <w:sz w:val="32"/>
          <w:szCs w:val="32"/>
          <w:lang w:val="en-US" w:eastAsia="zh-CN"/>
        </w:rPr>
        <w:t>202</w:t>
      </w:r>
      <w:r>
        <w:rPr>
          <w:rFonts w:hint="eastAsia" w:ascii="Times New Roman" w:hAnsi="Times New Roman" w:eastAsia="仿宋_GB2312" w:cs="仿宋_GB2312"/>
          <w:spacing w:val="0"/>
          <w:sz w:val="32"/>
          <w:szCs w:val="32"/>
          <w:lang w:val="en-US" w:eastAsia="zh-CN"/>
        </w:rPr>
        <w:t>4</w:t>
      </w:r>
      <w:r>
        <w:rPr>
          <w:rFonts w:hint="default" w:ascii="Times New Roman" w:hAnsi="Times New Roman" w:eastAsia="仿宋_GB2312" w:cs="仿宋_GB2312"/>
          <w:spacing w:val="0"/>
          <w:sz w:val="32"/>
          <w:szCs w:val="32"/>
          <w:lang w:val="en-US" w:eastAsia="zh-CN"/>
        </w:rPr>
        <w:t>年度行政事业性国有资产</w:t>
      </w:r>
      <w:r>
        <w:rPr>
          <w:rFonts w:hint="eastAsia" w:ascii="Times New Roman" w:hAnsi="Times New Roman" w:cs="仿宋_GB2312"/>
          <w:spacing w:val="0"/>
          <w:kern w:val="21"/>
          <w:sz w:val="32"/>
          <w:szCs w:val="32"/>
          <w:lang w:val="zh-CN" w:eastAsia="zh-CN"/>
        </w:rPr>
        <w:t>等</w:t>
      </w:r>
      <w:r>
        <w:rPr>
          <w:rFonts w:hint="eastAsia" w:ascii="Times New Roman" w:hAnsi="Times New Roman" w:eastAsia="仿宋_GB2312" w:cs="仿宋_GB2312"/>
          <w:spacing w:val="0"/>
          <w:sz w:val="32"/>
          <w:szCs w:val="32"/>
          <w:lang w:val="en-US" w:eastAsia="zh-CN"/>
        </w:rPr>
        <w:t>专</w:t>
      </w:r>
      <w:r>
        <w:rPr>
          <w:rFonts w:hint="eastAsia" w:ascii="仿宋_GB2312" w:hAnsi="仿宋_GB2312" w:eastAsia="仿宋_GB2312"/>
          <w:color w:val="auto"/>
          <w:kern w:val="2"/>
          <w:sz w:val="32"/>
          <w:szCs w:val="24"/>
          <w:lang w:val="en-US" w:eastAsia="zh-CN"/>
        </w:rPr>
        <w:t>项预算项目绩效自评报告</w:t>
      </w:r>
      <w:r>
        <w:rPr>
          <w:rFonts w:hint="eastAsia" w:ascii="Times New Roman" w:hAnsi="Times New Roman" w:cs="仿宋_GB2312"/>
          <w:spacing w:val="0"/>
          <w:sz w:val="32"/>
          <w:szCs w:val="32"/>
          <w:lang w:val="zh-CN" w:eastAsia="zh-CN"/>
        </w:rPr>
        <w:t>。其中</w:t>
      </w:r>
      <w:r>
        <w:rPr>
          <w:rFonts w:hint="eastAsia"/>
        </w:rPr>
        <w:t>2024年卫子镇人民政府部门整体支出绩效自评</w:t>
      </w:r>
      <w:r>
        <w:rPr>
          <w:rFonts w:hint="eastAsia"/>
          <w:lang w:val="zh-CN"/>
        </w:rPr>
        <w:t>得分为</w:t>
      </w:r>
      <w:r>
        <w:rPr>
          <w:rFonts w:hint="eastAsia"/>
        </w:rPr>
        <w:t>100</w:t>
      </w:r>
      <w:r>
        <w:rPr>
          <w:rFonts w:hint="eastAsia"/>
          <w:lang w:val="zh-CN"/>
        </w:rPr>
        <w:t>分，绩效自评综述：</w:t>
      </w:r>
      <w:r>
        <w:rPr>
          <w:rFonts w:hint="eastAsia"/>
        </w:rPr>
        <w:t>2024年</w:t>
      </w:r>
      <w:r>
        <w:rPr>
          <w:rFonts w:hint="eastAsia"/>
          <w:lang w:val="zh-CN"/>
        </w:rPr>
        <w:t>卫子镇部门整体支出符合国家财经法规和财务管理制度规定以及有关专项资金管理办法的规定，资金的拨付有完整的审批过程和手续，支出符合部门预算批复的用途，资金使用无截留、挤占、挪用、虚列支出等情况。根据区政府绩效考核文件精神，绩效目标在</w:t>
      </w:r>
      <w:r>
        <w:rPr>
          <w:rFonts w:hint="eastAsia"/>
        </w:rPr>
        <w:t>2024年</w:t>
      </w:r>
      <w:r>
        <w:rPr>
          <w:rFonts w:hint="eastAsia"/>
          <w:lang w:val="zh-CN"/>
        </w:rPr>
        <w:t>基本完成，在保障机关运转、履行职能职责上整体情况良好</w:t>
      </w:r>
      <w:r>
        <w:rPr>
          <w:rFonts w:hint="eastAsia"/>
          <w:lang w:eastAsia="zh-CN"/>
        </w:rPr>
        <w:t>；</w:t>
      </w:r>
      <w:r>
        <w:rPr>
          <w:rFonts w:hint="eastAsia" w:ascii="Times New Roman" w:hAnsi="Times New Roman" w:eastAsia="仿宋_GB2312" w:cs="仿宋_GB2312"/>
          <w:spacing w:val="0"/>
          <w:sz w:val="32"/>
          <w:szCs w:val="32"/>
          <w:lang w:val="zh-CN" w:eastAsia="zh-CN"/>
        </w:rPr>
        <w:t>202</w:t>
      </w:r>
      <w:r>
        <w:rPr>
          <w:rFonts w:hint="eastAsia" w:eastAsia="仿宋_GB2312" w:cs="仿宋_GB2312"/>
          <w:spacing w:val="0"/>
          <w:sz w:val="32"/>
          <w:szCs w:val="32"/>
          <w:lang w:val="en-US" w:eastAsia="zh-CN"/>
        </w:rPr>
        <w:t>4</w:t>
      </w:r>
      <w:r>
        <w:rPr>
          <w:rFonts w:hint="eastAsia" w:ascii="Times New Roman" w:hAnsi="Times New Roman" w:eastAsia="仿宋_GB2312" w:cs="仿宋_GB2312"/>
          <w:spacing w:val="0"/>
          <w:sz w:val="32"/>
          <w:szCs w:val="32"/>
          <w:lang w:val="zh-CN" w:eastAsia="zh-CN"/>
        </w:rPr>
        <w:t>年基层组织活动和公共服务运行项目</w:t>
      </w:r>
      <w:r>
        <w:rPr>
          <w:rFonts w:hint="eastAsia" w:ascii="Times New Roman" w:hAnsi="Times New Roman" w:eastAsia="仿宋_GB2312" w:cs="仿宋_GB2312"/>
          <w:spacing w:val="0"/>
          <w:sz w:val="32"/>
          <w:szCs w:val="32"/>
          <w:lang w:val="en-US" w:eastAsia="zh-CN"/>
        </w:rPr>
        <w:t>专</w:t>
      </w:r>
      <w:r>
        <w:rPr>
          <w:rFonts w:hint="eastAsia" w:ascii="仿宋_GB2312" w:hAnsi="仿宋_GB2312" w:eastAsia="仿宋_GB2312"/>
          <w:color w:val="auto"/>
          <w:kern w:val="2"/>
          <w:sz w:val="32"/>
          <w:szCs w:val="24"/>
          <w:lang w:val="en-US" w:eastAsia="zh-CN"/>
        </w:rPr>
        <w:t>项预算项目绩效自评</w:t>
      </w:r>
      <w:r>
        <w:rPr>
          <w:rFonts w:hint="eastAsia"/>
          <w:lang w:val="zh-CN"/>
        </w:rPr>
        <w:t>得分为</w:t>
      </w:r>
      <w:r>
        <w:rPr>
          <w:rFonts w:hint="eastAsia"/>
          <w:lang w:val="en-US" w:eastAsia="zh-CN"/>
        </w:rPr>
        <w:t>98</w:t>
      </w:r>
      <w:r>
        <w:rPr>
          <w:rFonts w:hint="eastAsia"/>
          <w:lang w:val="zh-CN"/>
        </w:rPr>
        <w:t>分，绩效自评综述：</w:t>
      </w:r>
      <w:r>
        <w:rPr>
          <w:rFonts w:hint="eastAsia" w:ascii="Times New Roman" w:hAnsi="Times New Roman" w:eastAsia="仿宋_GB2312" w:cs="仿宋_GB2312"/>
          <w:color w:val="auto"/>
          <w:spacing w:val="0"/>
          <w:kern w:val="2"/>
          <w:sz w:val="32"/>
          <w:szCs w:val="32"/>
          <w:lang w:val="zh-CN" w:eastAsia="zh-CN" w:bidi="ar-SA"/>
        </w:rPr>
        <w:t>该项目设立经过严格评估论证，与部门职责相符，属于公共财政支持范围，符合地方事权支出责任划分原则，与相关部门同类项目或部门内无相关项目重复。项目规划符合省委、市委、区委和省政府、市政府、区政府重大决策部署，项目绩效目标合理、明确，与项目年度目标一致</w:t>
      </w:r>
      <w:r>
        <w:rPr>
          <w:rFonts w:hint="eastAsia" w:ascii="Times New Roman" w:hAnsi="Times New Roman" w:cs="仿宋_GB2312"/>
          <w:color w:val="auto"/>
          <w:spacing w:val="0"/>
          <w:kern w:val="2"/>
          <w:sz w:val="32"/>
          <w:szCs w:val="32"/>
          <w:lang w:val="zh-CN" w:eastAsia="zh-CN" w:bidi="ar-SA"/>
        </w:rPr>
        <w:t>；</w:t>
      </w:r>
      <w:r>
        <w:rPr>
          <w:rFonts w:hint="eastAsia" w:ascii="Times New Roman" w:hAnsi="Times New Roman" w:cs="仿宋_GB2312"/>
          <w:color w:val="auto"/>
          <w:spacing w:val="0"/>
          <w:kern w:val="2"/>
          <w:sz w:val="32"/>
          <w:szCs w:val="32"/>
          <w:lang w:val="en-US" w:eastAsia="zh-CN" w:bidi="ar-SA"/>
        </w:rPr>
        <w:t>2024年</w:t>
      </w:r>
      <w:r>
        <w:rPr>
          <w:rFonts w:hint="eastAsia" w:ascii="Times New Roman" w:hAnsi="Times New Roman" w:eastAsia="仿宋_GB2312" w:cs="仿宋_GB2312"/>
          <w:color w:val="000000" w:themeColor="text1"/>
          <w:spacing w:val="0"/>
          <w:kern w:val="21"/>
          <w:sz w:val="32"/>
          <w:szCs w:val="32"/>
          <w14:textFill>
            <w14:solidFill>
              <w14:schemeClr w14:val="tx1"/>
            </w14:solidFill>
          </w14:textFill>
        </w:rPr>
        <w:t>烟叶产业发展</w:t>
      </w:r>
      <w:r>
        <w:rPr>
          <w:rFonts w:hint="eastAsia" w:ascii="Times New Roman" w:hAnsi="Times New Roman" w:eastAsia="仿宋_GB2312" w:cs="仿宋_GB2312"/>
          <w:spacing w:val="0"/>
          <w:kern w:val="21"/>
          <w:sz w:val="32"/>
          <w:szCs w:val="32"/>
          <w:lang w:val="zh-CN" w:eastAsia="zh-CN"/>
        </w:rPr>
        <w:t>项目</w:t>
      </w:r>
      <w:r>
        <w:rPr>
          <w:rFonts w:hint="eastAsia" w:ascii="Times New Roman" w:hAnsi="Times New Roman" w:eastAsia="仿宋_GB2312" w:cs="仿宋_GB2312"/>
          <w:spacing w:val="0"/>
          <w:sz w:val="32"/>
          <w:szCs w:val="32"/>
          <w:lang w:val="en-US" w:eastAsia="zh-CN"/>
        </w:rPr>
        <w:t>专</w:t>
      </w:r>
      <w:r>
        <w:rPr>
          <w:rFonts w:hint="eastAsia" w:ascii="仿宋_GB2312" w:hAnsi="仿宋_GB2312" w:eastAsia="仿宋_GB2312"/>
          <w:color w:val="auto"/>
          <w:kern w:val="2"/>
          <w:sz w:val="32"/>
          <w:szCs w:val="24"/>
          <w:lang w:val="en-US" w:eastAsia="zh-CN"/>
        </w:rPr>
        <w:t>项预算项目绩效自评</w:t>
      </w:r>
      <w:r>
        <w:rPr>
          <w:rFonts w:hint="eastAsia"/>
          <w:lang w:val="zh-CN"/>
        </w:rPr>
        <w:t>得分为</w:t>
      </w:r>
      <w:r>
        <w:rPr>
          <w:rFonts w:hint="eastAsia"/>
          <w:lang w:val="en-US" w:eastAsia="zh-CN"/>
        </w:rPr>
        <w:t>97</w:t>
      </w:r>
      <w:r>
        <w:rPr>
          <w:rFonts w:hint="eastAsia"/>
          <w:lang w:val="zh-CN"/>
        </w:rPr>
        <w:t>分，绩效自评综述：</w:t>
      </w:r>
      <w:r>
        <w:rPr>
          <w:rFonts w:hint="eastAsia" w:ascii="Times New Roman" w:hAnsi="Times New Roman" w:eastAsia="仿宋_GB2312" w:cs="仿宋_GB2312"/>
          <w:color w:val="000000" w:themeColor="text1"/>
          <w:spacing w:val="0"/>
          <w:kern w:val="21"/>
          <w:sz w:val="32"/>
          <w:szCs w:val="32"/>
          <w:shd w:val="clear" w:color="auto" w:fill="FFFFFF"/>
          <w14:textFill>
            <w14:solidFill>
              <w14:schemeClr w14:val="tx1"/>
            </w14:solidFill>
          </w14:textFill>
        </w:rPr>
        <w:t>项目建设紧抓以促进烤烟产业持续稳定发展和让烟农</w:t>
      </w:r>
      <w:r>
        <w:rPr>
          <w:rFonts w:hint="eastAsia" w:ascii="Times New Roman" w:hAnsi="Times New Roman" w:eastAsia="仿宋_GB2312" w:cs="仿宋_GB2312"/>
          <w:color w:val="000000" w:themeColor="text1"/>
          <w:spacing w:val="0"/>
          <w:kern w:val="21"/>
          <w:sz w:val="32"/>
          <w:szCs w:val="32"/>
          <w:shd w:val="clear" w:color="auto" w:fill="FFFFFF"/>
          <w:lang w:eastAsia="zh-CN"/>
          <w14:textFill>
            <w14:solidFill>
              <w14:schemeClr w14:val="tx1"/>
            </w14:solidFill>
          </w14:textFill>
        </w:rPr>
        <w:t>得到</w:t>
      </w:r>
      <w:r>
        <w:rPr>
          <w:rFonts w:hint="eastAsia" w:ascii="Times New Roman" w:hAnsi="Times New Roman" w:eastAsia="仿宋_GB2312" w:cs="仿宋_GB2312"/>
          <w:color w:val="000000" w:themeColor="text1"/>
          <w:spacing w:val="0"/>
          <w:kern w:val="21"/>
          <w:sz w:val="32"/>
          <w:szCs w:val="32"/>
          <w:shd w:val="clear" w:color="auto" w:fill="FFFFFF"/>
          <w14:textFill>
            <w14:solidFill>
              <w14:schemeClr w14:val="tx1"/>
            </w14:solidFill>
          </w14:textFill>
        </w:rPr>
        <w:t>实惠为出发点；以提升烟叶质量和市场竞争力为关键点；以完善基础设施</w:t>
      </w:r>
      <w:r>
        <w:rPr>
          <w:rFonts w:hint="eastAsia" w:ascii="Times New Roman" w:hAnsi="Times New Roman" w:eastAsia="仿宋_GB2312" w:cs="仿宋_GB2312"/>
          <w:color w:val="000000" w:themeColor="text1"/>
          <w:spacing w:val="0"/>
          <w:kern w:val="21"/>
          <w:sz w:val="32"/>
          <w:szCs w:val="32"/>
          <w:shd w:val="clear" w:color="auto" w:fill="FFFFFF"/>
          <w:lang w:eastAsia="zh-CN"/>
          <w14:textFill>
            <w14:solidFill>
              <w14:schemeClr w14:val="tx1"/>
            </w14:solidFill>
          </w14:textFill>
        </w:rPr>
        <w:t>建设</w:t>
      </w:r>
      <w:r>
        <w:rPr>
          <w:rFonts w:hint="eastAsia" w:ascii="Times New Roman" w:hAnsi="Times New Roman" w:eastAsia="仿宋_GB2312" w:cs="仿宋_GB2312"/>
          <w:color w:val="000000" w:themeColor="text1"/>
          <w:spacing w:val="0"/>
          <w:kern w:val="21"/>
          <w:sz w:val="32"/>
          <w:szCs w:val="32"/>
          <w:shd w:val="clear" w:color="auto" w:fill="FFFFFF"/>
          <w14:textFill>
            <w14:solidFill>
              <w14:schemeClr w14:val="tx1"/>
            </w14:solidFill>
          </w14:textFill>
        </w:rPr>
        <w:t>为保障点；真正使财政资金</w:t>
      </w:r>
      <w:r>
        <w:rPr>
          <w:rFonts w:hint="eastAsia" w:ascii="Times New Roman" w:hAnsi="Times New Roman" w:eastAsia="仿宋_GB2312" w:cs="仿宋_GB2312"/>
          <w:color w:val="000000" w:themeColor="text1"/>
          <w:spacing w:val="0"/>
          <w:kern w:val="21"/>
          <w:sz w:val="32"/>
          <w:szCs w:val="32"/>
          <w:shd w:val="clear" w:color="auto" w:fill="FFFFFF"/>
          <w:lang w:eastAsia="zh-CN"/>
          <w14:textFill>
            <w14:solidFill>
              <w14:schemeClr w14:val="tx1"/>
            </w14:solidFill>
          </w14:textFill>
        </w:rPr>
        <w:t>发挥</w:t>
      </w:r>
      <w:r>
        <w:rPr>
          <w:rFonts w:hint="eastAsia" w:ascii="Times New Roman" w:hAnsi="Times New Roman" w:eastAsia="仿宋_GB2312" w:cs="仿宋_GB2312"/>
          <w:color w:val="000000" w:themeColor="text1"/>
          <w:spacing w:val="0"/>
          <w:kern w:val="21"/>
          <w:sz w:val="32"/>
          <w:szCs w:val="32"/>
          <w:shd w:val="clear" w:color="auto" w:fill="FFFFFF"/>
          <w14:textFill>
            <w14:solidFill>
              <w14:schemeClr w14:val="tx1"/>
            </w14:solidFill>
          </w14:textFill>
        </w:rPr>
        <w:t>绩效。</w:t>
      </w:r>
      <w:r>
        <w:rPr>
          <w:rFonts w:hint="eastAsia" w:ascii="Times New Roman" w:hAnsi="Times New Roman" w:eastAsia="仿宋_GB2312" w:cs="仿宋_GB2312"/>
          <w:b w:val="0"/>
          <w:bCs w:val="0"/>
          <w:spacing w:val="0"/>
          <w:kern w:val="21"/>
          <w:sz w:val="32"/>
          <w:szCs w:val="32"/>
          <w:lang w:val="zh-CN" w:eastAsia="zh-CN"/>
        </w:rPr>
        <w:t>项目规划符合省委、市委、区委和省政府、市政府、区政府重大决策部署，项目绩效目标合理、明确，与项目年度目标一致</w:t>
      </w:r>
      <w:r>
        <w:rPr>
          <w:rFonts w:hint="eastAsia" w:ascii="Times New Roman" w:hAnsi="Times New Roman" w:cs="仿宋_GB2312"/>
          <w:b w:val="0"/>
          <w:bCs w:val="0"/>
          <w:spacing w:val="0"/>
          <w:kern w:val="21"/>
          <w:sz w:val="32"/>
          <w:szCs w:val="32"/>
          <w:lang w:val="zh-CN" w:eastAsia="zh-CN"/>
        </w:rPr>
        <w:t>；</w:t>
      </w:r>
      <w:r>
        <w:rPr>
          <w:rFonts w:hint="default" w:ascii="Times New Roman" w:hAnsi="Times New Roman" w:eastAsia="仿宋_GB2312" w:cs="仿宋_GB2312"/>
          <w:spacing w:val="0"/>
          <w:sz w:val="32"/>
          <w:szCs w:val="32"/>
          <w:lang w:val="en-US" w:eastAsia="zh-CN"/>
        </w:rPr>
        <w:t>202</w:t>
      </w:r>
      <w:r>
        <w:rPr>
          <w:rFonts w:hint="eastAsia" w:ascii="Times New Roman" w:hAnsi="Times New Roman" w:eastAsia="仿宋_GB2312" w:cs="仿宋_GB2312"/>
          <w:spacing w:val="0"/>
          <w:sz w:val="32"/>
          <w:szCs w:val="32"/>
          <w:lang w:val="en-US" w:eastAsia="zh-CN"/>
        </w:rPr>
        <w:t>4</w:t>
      </w:r>
      <w:r>
        <w:rPr>
          <w:rFonts w:hint="default" w:ascii="Times New Roman" w:hAnsi="Times New Roman" w:eastAsia="仿宋_GB2312" w:cs="仿宋_GB2312"/>
          <w:spacing w:val="0"/>
          <w:sz w:val="32"/>
          <w:szCs w:val="32"/>
          <w:lang w:val="en-US" w:eastAsia="zh-CN"/>
        </w:rPr>
        <w:t>年度行政事业性国有资产</w:t>
      </w:r>
      <w:r>
        <w:rPr>
          <w:rFonts w:hint="eastAsia" w:ascii="Times New Roman" w:hAnsi="Times New Roman" w:eastAsia="仿宋_GB2312" w:cs="仿宋_GB2312"/>
          <w:spacing w:val="0"/>
          <w:sz w:val="32"/>
          <w:szCs w:val="32"/>
          <w:lang w:val="en-US" w:eastAsia="zh-CN"/>
        </w:rPr>
        <w:t>专</w:t>
      </w:r>
      <w:r>
        <w:rPr>
          <w:rFonts w:hint="eastAsia" w:ascii="仿宋_GB2312" w:hAnsi="仿宋_GB2312" w:eastAsia="仿宋_GB2312"/>
          <w:color w:val="auto"/>
          <w:kern w:val="2"/>
          <w:sz w:val="32"/>
          <w:szCs w:val="24"/>
          <w:lang w:val="en-US" w:eastAsia="zh-CN"/>
        </w:rPr>
        <w:t>项预算项目绩效自评</w:t>
      </w:r>
      <w:r>
        <w:rPr>
          <w:rFonts w:hint="eastAsia"/>
          <w:lang w:val="zh-CN"/>
        </w:rPr>
        <w:t>综述：</w:t>
      </w:r>
      <w:r>
        <w:rPr>
          <w:rFonts w:hint="eastAsia" w:ascii="Times New Roman" w:hAnsi="Times New Roman" w:eastAsia="仿宋_GB2312" w:cs="仿宋_GB2312"/>
          <w:b w:val="0"/>
          <w:bCs w:val="0"/>
          <w:spacing w:val="0"/>
          <w:kern w:val="21"/>
          <w:sz w:val="32"/>
          <w:szCs w:val="32"/>
          <w:lang w:val="en-US" w:eastAsia="zh-CN"/>
        </w:rPr>
        <w:t>建立了完备的资产管理制度，及时掌握资产的结构、数量、质量，做到“家底”常清、情况常明。</w:t>
      </w:r>
    </w:p>
    <w:p w14:paraId="22B7C455">
      <w:pPr>
        <w:bidi w:val="0"/>
        <w:rPr>
          <w:rFonts w:hint="eastAsia"/>
        </w:rPr>
      </w:pPr>
      <w:r>
        <w:rPr>
          <w:rFonts w:hint="eastAsia"/>
        </w:rPr>
        <w:t>绩效自评报告详见附件（第四部分）。</w:t>
      </w:r>
    </w:p>
    <w:p w14:paraId="5C6E3169">
      <w:pPr>
        <w:pStyle w:val="5"/>
        <w:spacing w:before="72" w:afterLines="0"/>
        <w:rPr>
          <w:rFonts w:hint="eastAsia" w:ascii="Times New Roman"/>
          <w:sz w:val="30"/>
          <w:szCs w:val="24"/>
          <w:highlight w:val="yellow"/>
        </w:rPr>
      </w:pPr>
    </w:p>
    <w:p w14:paraId="5D5DDD15">
      <w:pPr>
        <w:spacing w:beforeLines="0" w:afterLines="0"/>
        <w:rPr>
          <w:rFonts w:hint="default"/>
          <w:sz w:val="24"/>
          <w:szCs w:val="24"/>
        </w:rPr>
      </w:pPr>
    </w:p>
    <w:p w14:paraId="134C94F9">
      <w:pPr>
        <w:tabs>
          <w:tab w:val="left" w:pos="1968"/>
        </w:tabs>
        <w:spacing w:beforeLines="0" w:afterLines="0"/>
        <w:rPr>
          <w:rFonts w:hint="default"/>
          <w:sz w:val="24"/>
          <w:szCs w:val="24"/>
        </w:rPr>
        <w:sectPr>
          <w:pgSz w:w="11906" w:h="16838"/>
          <w:pgMar w:top="2098" w:right="1474" w:bottom="1984" w:left="1587" w:header="720" w:footer="720" w:gutter="0"/>
          <w:lnNumType w:countBy="0" w:distance="360"/>
          <w:pgNumType w:fmt="decimal"/>
          <w:cols w:space="720" w:num="1"/>
        </w:sectPr>
      </w:pPr>
    </w:p>
    <w:p w14:paraId="5DCDCBF4">
      <w:pPr>
        <w:pStyle w:val="2"/>
        <w:bidi w:val="0"/>
        <w:rPr>
          <w:rFonts w:hint="eastAsia"/>
        </w:rPr>
      </w:pPr>
      <w:bookmarkStart w:id="22" w:name="_Toc12918"/>
      <w:r>
        <w:rPr>
          <w:rFonts w:hint="eastAsia"/>
        </w:rPr>
        <w:t>第三部分</w:t>
      </w:r>
      <w:r>
        <w:rPr>
          <w:rFonts w:hint="eastAsia"/>
          <w:lang w:val="en-US" w:eastAsia="zh-CN"/>
        </w:rPr>
        <w:t xml:space="preserve">  </w:t>
      </w:r>
      <w:r>
        <w:rPr>
          <w:rFonts w:hint="eastAsia"/>
        </w:rPr>
        <w:t>名词解释</w:t>
      </w:r>
      <w:bookmarkEnd w:id="22"/>
    </w:p>
    <w:p w14:paraId="703921B9">
      <w:pPr>
        <w:spacing w:beforeLines="0" w:afterLines="0" w:line="576" w:lineRule="exact"/>
        <w:ind w:firstLine="640"/>
        <w:rPr>
          <w:rFonts w:hint="eastAsia" w:ascii="Times New Roman" w:eastAsia="仿宋_GB2312"/>
          <w:color w:val="000000"/>
          <w:sz w:val="32"/>
          <w:szCs w:val="24"/>
        </w:rPr>
      </w:pPr>
      <w:r>
        <w:rPr>
          <w:rStyle w:val="22"/>
          <w:rFonts w:hint="eastAsia"/>
        </w:rPr>
        <w:t>一、财政拨款收入：</w:t>
      </w:r>
      <w:r>
        <w:rPr>
          <w:rFonts w:hint="eastAsia" w:ascii="Times New Roman" w:eastAsia="仿宋_GB2312"/>
          <w:color w:val="000000"/>
          <w:sz w:val="32"/>
          <w:szCs w:val="24"/>
        </w:rPr>
        <w:t>指单位从同级财政部门取得的财政预算资金。</w:t>
      </w:r>
    </w:p>
    <w:p w14:paraId="6983874D">
      <w:pPr>
        <w:spacing w:beforeLines="0" w:afterLines="0" w:line="576" w:lineRule="exact"/>
        <w:ind w:firstLine="640"/>
        <w:rPr>
          <w:rFonts w:hint="eastAsia" w:ascii="Times New Roman" w:eastAsia="仿宋_GB2312"/>
          <w:color w:val="000000"/>
          <w:sz w:val="32"/>
          <w:szCs w:val="24"/>
        </w:rPr>
      </w:pPr>
      <w:r>
        <w:rPr>
          <w:rStyle w:val="22"/>
          <w:rFonts w:hint="eastAsia"/>
        </w:rPr>
        <w:t>二、事业收入：</w:t>
      </w:r>
      <w:r>
        <w:rPr>
          <w:rFonts w:hint="eastAsia" w:ascii="Times New Roman" w:eastAsia="仿宋_GB2312"/>
          <w:color w:val="000000"/>
          <w:sz w:val="32"/>
          <w:szCs w:val="24"/>
        </w:rPr>
        <w:t>指事业单位开展专业业务活动及辅助活动取得的收入。</w:t>
      </w:r>
    </w:p>
    <w:p w14:paraId="330EF89D">
      <w:pPr>
        <w:spacing w:beforeLines="0" w:afterLines="0" w:line="576" w:lineRule="exact"/>
        <w:ind w:firstLine="640"/>
        <w:rPr>
          <w:rFonts w:hint="eastAsia" w:ascii="Times New Roman" w:eastAsia="仿宋_GB2312"/>
          <w:color w:val="000000"/>
          <w:sz w:val="32"/>
          <w:szCs w:val="24"/>
        </w:rPr>
      </w:pPr>
      <w:r>
        <w:rPr>
          <w:rStyle w:val="22"/>
          <w:rFonts w:hint="eastAsia"/>
        </w:rPr>
        <w:t>三、经营收入：</w:t>
      </w:r>
      <w:r>
        <w:rPr>
          <w:rFonts w:hint="eastAsia" w:ascii="Times New Roman" w:eastAsia="仿宋_GB2312"/>
          <w:color w:val="000000"/>
          <w:sz w:val="32"/>
          <w:szCs w:val="24"/>
        </w:rPr>
        <w:t>指事业单位在专业业务活动及其辅助活动之外开展非独立核算经营活动取得的收入。</w:t>
      </w:r>
    </w:p>
    <w:p w14:paraId="3FC3F2A2">
      <w:pPr>
        <w:spacing w:beforeLines="0" w:afterLines="0" w:line="576" w:lineRule="exact"/>
        <w:ind w:firstLine="640"/>
        <w:rPr>
          <w:rFonts w:hint="eastAsia" w:ascii="Times New Roman" w:eastAsia="仿宋_GB2312"/>
          <w:color w:val="000000"/>
          <w:sz w:val="32"/>
          <w:szCs w:val="24"/>
        </w:rPr>
      </w:pPr>
      <w:r>
        <w:rPr>
          <w:rStyle w:val="22"/>
          <w:rFonts w:hint="eastAsia"/>
        </w:rPr>
        <w:t>四、其他收入：</w:t>
      </w:r>
      <w:r>
        <w:rPr>
          <w:rFonts w:hint="eastAsia" w:ascii="Times New Roman" w:eastAsia="仿宋_GB2312"/>
          <w:color w:val="000000"/>
          <w:sz w:val="32"/>
          <w:szCs w:val="24"/>
        </w:rPr>
        <w:t>指单位取得的除上述收入以外的各项收入。</w:t>
      </w:r>
    </w:p>
    <w:p w14:paraId="5AE749D8">
      <w:pPr>
        <w:bidi w:val="0"/>
        <w:rPr>
          <w:rFonts w:hint="eastAsia"/>
          <w:lang w:eastAsia="zh-CN"/>
        </w:rPr>
      </w:pPr>
      <w:r>
        <w:rPr>
          <w:rStyle w:val="22"/>
          <w:rFonts w:hint="eastAsia"/>
        </w:rPr>
        <w:t>五、使用非财政拨款结余（含专用结余）：</w:t>
      </w:r>
      <w:r>
        <w:rPr>
          <w:rFonts w:hint="eastAsia"/>
        </w:rPr>
        <w:t>指事业单位使用以前年度积累的非财政拨款结余弥补当年收支差额的金额。</w:t>
      </w:r>
    </w:p>
    <w:p w14:paraId="24785DD5">
      <w:pPr>
        <w:bidi w:val="0"/>
        <w:rPr>
          <w:rFonts w:hint="eastAsia"/>
          <w:lang w:eastAsia="zh-CN"/>
        </w:rPr>
      </w:pPr>
      <w:r>
        <w:rPr>
          <w:rStyle w:val="22"/>
          <w:rFonts w:hint="eastAsia"/>
        </w:rPr>
        <w:t>六、年初结转和结余：</w:t>
      </w:r>
      <w:r>
        <w:rPr>
          <w:rFonts w:hint="eastAsia"/>
        </w:rPr>
        <w:t>指以前年度尚未完成、结转到本年按有关规定继续使用的资金。</w:t>
      </w:r>
    </w:p>
    <w:p w14:paraId="677A4D65">
      <w:pPr>
        <w:bidi w:val="0"/>
        <w:rPr>
          <w:rFonts w:hint="eastAsia"/>
        </w:rPr>
      </w:pPr>
      <w:r>
        <w:rPr>
          <w:rStyle w:val="22"/>
          <w:rFonts w:hint="eastAsia"/>
        </w:rPr>
        <w:t>七、结余分配：</w:t>
      </w:r>
      <w:r>
        <w:rPr>
          <w:rFonts w:hint="eastAsia"/>
        </w:rPr>
        <w:t>指事业单位按照会计制度规定缴纳的所得税、提取的专用结余以及转入非财政拨款结余的金额等。</w:t>
      </w:r>
    </w:p>
    <w:p w14:paraId="28D1B8DC">
      <w:pPr>
        <w:bidi w:val="0"/>
        <w:rPr>
          <w:rFonts w:hint="eastAsia"/>
        </w:rPr>
      </w:pPr>
      <w:r>
        <w:rPr>
          <w:rStyle w:val="22"/>
          <w:rFonts w:hint="eastAsia"/>
        </w:rPr>
        <w:t>八、年末结转和结余：</w:t>
      </w:r>
      <w:r>
        <w:rPr>
          <w:rFonts w:hint="eastAsia"/>
        </w:rPr>
        <w:t>指单位按有关规定结转到下年或以后年度继续使用的资金。</w:t>
      </w:r>
    </w:p>
    <w:p w14:paraId="4FA9A4FE">
      <w:pPr>
        <w:bidi w:val="0"/>
        <w:rPr>
          <w:rFonts w:hint="eastAsia"/>
        </w:rPr>
      </w:pPr>
      <w:r>
        <w:rPr>
          <w:rStyle w:val="22"/>
          <w:rFonts w:hint="eastAsia"/>
        </w:rPr>
        <w:t>九、一般公共服务支出（类）人大事务（款）代表工作（项）：</w:t>
      </w:r>
      <w:r>
        <w:rPr>
          <w:rFonts w:hint="eastAsia"/>
        </w:rPr>
        <w:t>指用于人大开展专题调研、研讨活动和其他专题活动的工作经费、召开人民代表大会、联系辖区内的人民代表、组织开展代表活动，反映代表和群众建议</w:t>
      </w:r>
      <w:r>
        <w:rPr>
          <w:rFonts w:hint="eastAsia"/>
          <w:lang w:eastAsia="zh-CN"/>
        </w:rPr>
        <w:t>以及</w:t>
      </w:r>
      <w:r>
        <w:rPr>
          <w:rFonts w:hint="eastAsia"/>
        </w:rPr>
        <w:t>人大代表之家阵地建设等经费。</w:t>
      </w:r>
    </w:p>
    <w:p w14:paraId="6AA0A7DC">
      <w:pPr>
        <w:bidi w:val="0"/>
        <w:rPr>
          <w:rFonts w:hint="eastAsia"/>
        </w:rPr>
      </w:pPr>
      <w:r>
        <w:rPr>
          <w:rStyle w:val="22"/>
          <w:rFonts w:hint="eastAsia"/>
        </w:rPr>
        <w:t>十、一般公共服务支出（类）政府办公厅（室）及相关机构事务（款）行政运行（项）</w:t>
      </w:r>
      <w:r>
        <w:rPr>
          <w:rStyle w:val="22"/>
          <w:rFonts w:hint="eastAsia"/>
          <w:lang w:eastAsia="zh-CN"/>
        </w:rPr>
        <w:t>：</w:t>
      </w:r>
      <w:r>
        <w:rPr>
          <w:rFonts w:hint="eastAsia"/>
        </w:rPr>
        <w:t>用于行政单位（包括实行公务员管理的事业单位）的基本支出。</w:t>
      </w:r>
    </w:p>
    <w:p w14:paraId="7F106B39">
      <w:pPr>
        <w:bidi w:val="0"/>
        <w:rPr>
          <w:rFonts w:hint="eastAsia"/>
        </w:rPr>
      </w:pPr>
      <w:r>
        <w:rPr>
          <w:rStyle w:val="22"/>
          <w:rFonts w:hint="eastAsia"/>
        </w:rPr>
        <w:t>十一</w:t>
      </w:r>
      <w:r>
        <w:rPr>
          <w:rStyle w:val="22"/>
          <w:rFonts w:hint="eastAsia"/>
          <w:lang w:eastAsia="zh-CN"/>
        </w:rPr>
        <w:t>、</w:t>
      </w:r>
      <w:r>
        <w:rPr>
          <w:rStyle w:val="22"/>
          <w:rFonts w:hint="eastAsia"/>
        </w:rPr>
        <w:t>一般公共服务支出（类）政府办公厅（室）及相关机构事务（款）事业运行（项）</w:t>
      </w:r>
      <w:r>
        <w:rPr>
          <w:rStyle w:val="22"/>
          <w:rFonts w:hint="eastAsia"/>
          <w:lang w:eastAsia="zh-CN"/>
        </w:rPr>
        <w:t>：</w:t>
      </w:r>
      <w:r>
        <w:rPr>
          <w:rFonts w:hint="eastAsia"/>
        </w:rPr>
        <w:t>指事业单位的基本支出，不包括行政单位（包括实行公务员挂了的事业单位）后勤服务中心、医务室等附属事业单位。</w:t>
      </w:r>
    </w:p>
    <w:p w14:paraId="57D6B59A">
      <w:pPr>
        <w:bidi w:val="0"/>
        <w:rPr>
          <w:rFonts w:hint="eastAsia"/>
        </w:rPr>
      </w:pPr>
      <w:r>
        <w:rPr>
          <w:rStyle w:val="22"/>
          <w:rFonts w:hint="eastAsia"/>
        </w:rPr>
        <w:t>十二、一般公共服务支出（类）政府办公厅（室）及相关机构事务（款）事业运行（项）</w:t>
      </w:r>
      <w:r>
        <w:rPr>
          <w:rStyle w:val="22"/>
          <w:rFonts w:hint="eastAsia"/>
          <w:lang w:eastAsia="zh-CN"/>
        </w:rPr>
        <w:t>：</w:t>
      </w:r>
      <w:r>
        <w:rPr>
          <w:rFonts w:hint="eastAsia"/>
        </w:rPr>
        <w:t>指用于镇政府办公厅</w:t>
      </w:r>
      <w:r>
        <w:rPr>
          <w:rFonts w:hint="eastAsia"/>
          <w:lang w:eastAsia="zh-CN"/>
        </w:rPr>
        <w:t>（</w:t>
      </w:r>
      <w:r>
        <w:rPr>
          <w:rFonts w:hint="eastAsia"/>
        </w:rPr>
        <w:t>室</w:t>
      </w:r>
      <w:r>
        <w:rPr>
          <w:rFonts w:hint="eastAsia"/>
          <w:lang w:eastAsia="zh-CN"/>
        </w:rPr>
        <w:t>）</w:t>
      </w:r>
      <w:r>
        <w:rPr>
          <w:rFonts w:hint="eastAsia"/>
        </w:rPr>
        <w:t>及相关机构正常运转的基本支出，包括事业人员基本工资、津贴补贴等人员经费以及办公费、印刷费、水电费等日常公用经费</w:t>
      </w:r>
      <w:r>
        <w:rPr>
          <w:rFonts w:hint="eastAsia"/>
          <w:lang w:eastAsia="zh-CN"/>
        </w:rPr>
        <w:t>，</w:t>
      </w:r>
      <w:r>
        <w:rPr>
          <w:rFonts w:hint="eastAsia"/>
        </w:rPr>
        <w:t>保障部门正常运转。</w:t>
      </w:r>
    </w:p>
    <w:p w14:paraId="3D996C29">
      <w:pPr>
        <w:bidi w:val="0"/>
        <w:rPr>
          <w:rFonts w:hint="eastAsia"/>
        </w:rPr>
      </w:pPr>
      <w:r>
        <w:rPr>
          <w:rStyle w:val="22"/>
          <w:rFonts w:hint="eastAsia"/>
        </w:rPr>
        <w:t>十三、国防支出（类）其他国防支出（款）其他国防支出（项）</w:t>
      </w:r>
      <w:r>
        <w:rPr>
          <w:rStyle w:val="22"/>
          <w:rFonts w:hint="eastAsia"/>
          <w:lang w:eastAsia="zh-CN"/>
        </w:rPr>
        <w:t>：</w:t>
      </w:r>
      <w:r>
        <w:rPr>
          <w:rFonts w:hint="eastAsia"/>
        </w:rPr>
        <w:t>指用于国防动员宣传、教育、征兵、民兵训练等工作，保障国防后备力量强大。</w:t>
      </w:r>
    </w:p>
    <w:p w14:paraId="20A254D3">
      <w:pPr>
        <w:bidi w:val="0"/>
        <w:rPr>
          <w:rFonts w:hint="eastAsia"/>
        </w:rPr>
      </w:pPr>
      <w:r>
        <w:rPr>
          <w:rStyle w:val="22"/>
          <w:rFonts w:hint="eastAsia"/>
        </w:rPr>
        <w:t>十四、社会保障和就业支出（类）行政事业单位养老支出（款）行政单位离退休（项）</w:t>
      </w:r>
      <w:r>
        <w:rPr>
          <w:rStyle w:val="22"/>
          <w:rFonts w:hint="eastAsia"/>
          <w:lang w:eastAsia="zh-CN"/>
        </w:rPr>
        <w:t>：</w:t>
      </w:r>
      <w:r>
        <w:rPr>
          <w:rFonts w:hint="eastAsia"/>
        </w:rPr>
        <w:t>指用于行政单位（包括实行公务员管理的事业单位）开支的离退休经费。</w:t>
      </w:r>
    </w:p>
    <w:p w14:paraId="6CDA670A">
      <w:pPr>
        <w:bidi w:val="0"/>
        <w:rPr>
          <w:rFonts w:hint="eastAsia"/>
        </w:rPr>
      </w:pPr>
      <w:r>
        <w:rPr>
          <w:rStyle w:val="22"/>
          <w:rFonts w:hint="eastAsia"/>
        </w:rPr>
        <w:t>十五、社会保障和就业支出（类）行政事业单位养老支出（款）机关事业单位基本养老保险缴费支出（项）</w:t>
      </w:r>
      <w:r>
        <w:rPr>
          <w:rStyle w:val="22"/>
          <w:rFonts w:hint="eastAsia"/>
          <w:lang w:eastAsia="zh-CN"/>
        </w:rPr>
        <w:t>：</w:t>
      </w:r>
      <w:r>
        <w:rPr>
          <w:rFonts w:hint="eastAsia"/>
        </w:rPr>
        <w:t>指用于实施养老保险制度由单位缴纳的基本养老保险支出。</w:t>
      </w:r>
    </w:p>
    <w:p w14:paraId="74EC3C76">
      <w:pPr>
        <w:bidi w:val="0"/>
        <w:rPr>
          <w:rFonts w:hint="eastAsia"/>
        </w:rPr>
      </w:pPr>
      <w:r>
        <w:rPr>
          <w:rStyle w:val="22"/>
          <w:rFonts w:hint="eastAsia"/>
        </w:rPr>
        <w:t>十六、社会保障和就业支出（类）行政事业单位养老支出（款）机关事业单位职业年金缴费支出（项）</w:t>
      </w:r>
      <w:r>
        <w:rPr>
          <w:rStyle w:val="22"/>
          <w:rFonts w:hint="eastAsia"/>
          <w:lang w:eastAsia="zh-CN"/>
        </w:rPr>
        <w:t>：</w:t>
      </w:r>
      <w:r>
        <w:rPr>
          <w:rFonts w:hint="eastAsia"/>
        </w:rPr>
        <w:t>指用于实施养老保险制度由单位缴纳的职业年金支出。</w:t>
      </w:r>
    </w:p>
    <w:p w14:paraId="3D8AF75F">
      <w:pPr>
        <w:bidi w:val="0"/>
        <w:rPr>
          <w:rFonts w:hint="default"/>
        </w:rPr>
      </w:pPr>
      <w:r>
        <w:rPr>
          <w:rStyle w:val="22"/>
          <w:rFonts w:hint="eastAsia"/>
        </w:rPr>
        <w:t>十七、社会保障和就业支出（类）其他社会保障和就业支出（款）其他社会保障和就业支出（项）</w:t>
      </w:r>
      <w:r>
        <w:rPr>
          <w:rStyle w:val="22"/>
          <w:rFonts w:hint="eastAsia"/>
          <w:lang w:eastAsia="zh-CN"/>
        </w:rPr>
        <w:t>：</w:t>
      </w:r>
      <w:r>
        <w:rPr>
          <w:rFonts w:hint="eastAsia"/>
        </w:rPr>
        <w:t>指用于除上述项目以外其他用于社会保障和就业方面的支出。</w:t>
      </w:r>
    </w:p>
    <w:p w14:paraId="1C5D6F3A">
      <w:pPr>
        <w:bidi w:val="0"/>
        <w:rPr>
          <w:rFonts w:hint="eastAsia"/>
        </w:rPr>
      </w:pPr>
      <w:r>
        <w:rPr>
          <w:rStyle w:val="22"/>
          <w:rFonts w:hint="eastAsia"/>
        </w:rPr>
        <w:t>十八、卫生健康支出（类）行政事业单位医疗（款）行政单位医疗（项）</w:t>
      </w:r>
      <w:r>
        <w:rPr>
          <w:rStyle w:val="22"/>
          <w:rFonts w:hint="eastAsia"/>
          <w:lang w:eastAsia="zh-CN"/>
        </w:rPr>
        <w:t>：</w:t>
      </w:r>
      <w:r>
        <w:rPr>
          <w:rFonts w:hint="eastAsia"/>
        </w:rPr>
        <w:t>指用于财政部门安排的行政单位（包括实行公务员管理的事业单位）基本医疗保险缴费经费，未参加医疗保险的行政单位的公费医疗经费，按国家规定享受离休人员、红军老战士待遇人员的医疗经费。</w:t>
      </w:r>
    </w:p>
    <w:p w14:paraId="7D83FF51">
      <w:pPr>
        <w:bidi w:val="0"/>
        <w:rPr>
          <w:rFonts w:hint="eastAsia"/>
        </w:rPr>
      </w:pPr>
      <w:r>
        <w:rPr>
          <w:rStyle w:val="22"/>
          <w:rFonts w:hint="eastAsia"/>
        </w:rPr>
        <w:t>十九、卫生健康支出（类）行政事业单位医疗（款）事业单位医疗（项）：</w:t>
      </w:r>
      <w:r>
        <w:rPr>
          <w:rFonts w:hint="eastAsia"/>
        </w:rPr>
        <w:t>指用于财政部门安排的事业单位</w:t>
      </w:r>
      <w:r>
        <w:rPr>
          <w:rFonts w:hint="eastAsia"/>
          <w:lang w:eastAsia="zh-CN"/>
        </w:rPr>
        <w:t>基本</w:t>
      </w:r>
      <w:r>
        <w:rPr>
          <w:rFonts w:hint="eastAsia"/>
        </w:rPr>
        <w:t>医疗保险缴费经费，未参加医疗保险的行政单位的公费医疗经费，按国家规定享受离休人员待遇的医疗经费。</w:t>
      </w:r>
    </w:p>
    <w:p w14:paraId="07D09946">
      <w:pPr>
        <w:bidi w:val="0"/>
        <w:rPr>
          <w:rFonts w:hint="eastAsia"/>
        </w:rPr>
      </w:pPr>
      <w:r>
        <w:rPr>
          <w:rStyle w:val="22"/>
          <w:rFonts w:hint="eastAsia"/>
        </w:rPr>
        <w:t>二十、城乡社区支出（类）城乡社区管理事务（款）一般行政管理事务（项）：</w:t>
      </w:r>
      <w:r>
        <w:rPr>
          <w:rFonts w:hint="eastAsia"/>
        </w:rPr>
        <w:t>指用于行政单位（包括实行公务员管理的事业单位）未单位设置顶级科目的其他项目支出。</w:t>
      </w:r>
    </w:p>
    <w:p w14:paraId="2D11BED0">
      <w:pPr>
        <w:bidi w:val="0"/>
        <w:rPr>
          <w:rFonts w:hint="eastAsia"/>
        </w:rPr>
      </w:pPr>
      <w:r>
        <w:rPr>
          <w:rStyle w:val="22"/>
          <w:rFonts w:hint="eastAsia"/>
        </w:rPr>
        <w:t>二十一、城乡社区支出（类）其他城乡社区支出（款）其他城乡社区支出（项）：</w:t>
      </w:r>
      <w:r>
        <w:rPr>
          <w:rFonts w:hint="eastAsia"/>
        </w:rPr>
        <w:t>指用于除上述项目以外其他用于城乡社区方面的支出。</w:t>
      </w:r>
    </w:p>
    <w:p w14:paraId="61CE74E4">
      <w:pPr>
        <w:bidi w:val="0"/>
        <w:rPr>
          <w:rFonts w:hint="eastAsia"/>
        </w:rPr>
      </w:pPr>
      <w:r>
        <w:rPr>
          <w:rStyle w:val="22"/>
          <w:rFonts w:hint="eastAsia"/>
        </w:rPr>
        <w:t>二十二、农林水支出（类）农业农村（款）行政运行（项）</w:t>
      </w:r>
      <w:r>
        <w:rPr>
          <w:rStyle w:val="22"/>
          <w:rFonts w:hint="eastAsia"/>
          <w:lang w:eastAsia="zh-CN"/>
        </w:rPr>
        <w:t>：</w:t>
      </w:r>
      <w:r>
        <w:rPr>
          <w:rFonts w:hint="eastAsia"/>
        </w:rPr>
        <w:t>指用于行政事业单位基本支出，包括基本工资、津贴补贴等人员经费以及办公费、印刷费、水电费等日常公用经费</w:t>
      </w:r>
      <w:r>
        <w:rPr>
          <w:rFonts w:hint="eastAsia"/>
          <w:lang w:eastAsia="zh-CN"/>
        </w:rPr>
        <w:t>，</w:t>
      </w:r>
      <w:r>
        <w:rPr>
          <w:rFonts w:hint="eastAsia"/>
        </w:rPr>
        <w:t>保障部门正常运转。</w:t>
      </w:r>
    </w:p>
    <w:p w14:paraId="53423E44">
      <w:pPr>
        <w:bidi w:val="0"/>
        <w:rPr>
          <w:rFonts w:hint="eastAsia"/>
        </w:rPr>
      </w:pPr>
      <w:r>
        <w:rPr>
          <w:rStyle w:val="22"/>
          <w:rFonts w:hint="eastAsia"/>
        </w:rPr>
        <w:t>二十三、农林水支出（类）农业农村（款）农业生产发展（项）</w:t>
      </w:r>
      <w:r>
        <w:rPr>
          <w:rStyle w:val="22"/>
          <w:rFonts w:hint="eastAsia"/>
          <w:lang w:eastAsia="zh-CN"/>
        </w:rPr>
        <w:t>：</w:t>
      </w:r>
      <w:r>
        <w:rPr>
          <w:rFonts w:hint="eastAsia"/>
        </w:rPr>
        <w:t>指用于粮油生产保障、适度规模经营、农机购置与应用补贴、优势特色主导产业发展、畜牧生产发展、农村一二三产业融合等方面的支出。</w:t>
      </w:r>
    </w:p>
    <w:p w14:paraId="55601323">
      <w:pPr>
        <w:bidi w:val="0"/>
        <w:rPr>
          <w:rFonts w:hint="eastAsia"/>
        </w:rPr>
      </w:pPr>
      <w:r>
        <w:rPr>
          <w:rStyle w:val="22"/>
          <w:rFonts w:hint="eastAsia" w:ascii="Times New Roman" w:hAnsi="Times New Roman" w:cstheme="minorBidi"/>
        </w:rPr>
        <w:t>二十四、农林水支出（类）农业农村（款）对村民委员会和村党支部的补助（项）</w:t>
      </w:r>
      <w:r>
        <w:rPr>
          <w:rStyle w:val="22"/>
          <w:rFonts w:hint="eastAsia" w:ascii="Times New Roman" w:hAnsi="Times New Roman" w:cstheme="minorBidi"/>
          <w:lang w:eastAsia="zh-CN"/>
        </w:rPr>
        <w:t>：</w:t>
      </w:r>
      <w:r>
        <w:rPr>
          <w:rFonts w:hint="eastAsia"/>
        </w:rPr>
        <w:t>指各级财政对村民委员会和村党支部的补助支出，以及支持建立县级基本财力保障机制安排的村级组织运转奖补资金。</w:t>
      </w:r>
    </w:p>
    <w:p w14:paraId="3B82FEC6">
      <w:pPr>
        <w:bidi w:val="0"/>
        <w:rPr>
          <w:rFonts w:hint="eastAsia"/>
        </w:rPr>
      </w:pPr>
      <w:r>
        <w:rPr>
          <w:rStyle w:val="22"/>
          <w:rFonts w:hint="eastAsia" w:ascii="Times New Roman" w:hAnsi="Times New Roman" w:cstheme="minorBidi"/>
        </w:rPr>
        <w:t>二十五、农林水支出（类）农业农村（款）其他农村综合改革支出（项）</w:t>
      </w:r>
      <w:r>
        <w:rPr>
          <w:rStyle w:val="22"/>
          <w:rFonts w:hint="eastAsia" w:ascii="Times New Roman" w:hAnsi="Times New Roman" w:cstheme="minorBidi"/>
          <w:lang w:eastAsia="zh-CN"/>
        </w:rPr>
        <w:t>：</w:t>
      </w:r>
      <w:r>
        <w:rPr>
          <w:rFonts w:hint="eastAsia"/>
        </w:rPr>
        <w:t>指用于除上述项目以外其他用于农林水方面的支出。</w:t>
      </w:r>
    </w:p>
    <w:p w14:paraId="3B62BE39">
      <w:pPr>
        <w:bidi w:val="0"/>
        <w:rPr>
          <w:rFonts w:hint="eastAsia"/>
        </w:rPr>
      </w:pPr>
      <w:r>
        <w:rPr>
          <w:rStyle w:val="22"/>
          <w:rFonts w:hint="eastAsia" w:ascii="Times New Roman" w:hAnsi="Times New Roman" w:cstheme="minorBidi"/>
        </w:rPr>
        <w:t>二十六、住房保障支出（类）住房改革支出（款）住房公积金（项）</w:t>
      </w:r>
      <w:r>
        <w:rPr>
          <w:rStyle w:val="22"/>
          <w:rFonts w:hint="eastAsia" w:ascii="Times New Roman" w:hAnsi="Times New Roman" w:cstheme="minorBidi"/>
          <w:lang w:eastAsia="zh-CN"/>
        </w:rPr>
        <w:t>：</w:t>
      </w:r>
      <w:r>
        <w:rPr>
          <w:rFonts w:hint="eastAsia"/>
        </w:rPr>
        <w:t>指用于部门按规定为职工缴纳的住房公积金支出。</w:t>
      </w:r>
    </w:p>
    <w:p w14:paraId="6930074C">
      <w:pPr>
        <w:bidi w:val="0"/>
        <w:rPr>
          <w:rFonts w:hint="eastAsia"/>
        </w:rPr>
      </w:pPr>
      <w:r>
        <w:rPr>
          <w:rStyle w:val="22"/>
          <w:rFonts w:hint="eastAsia" w:ascii="Times New Roman" w:hAnsi="Times New Roman" w:cstheme="minorBidi"/>
        </w:rPr>
        <w:t>二十七、基本支出：</w:t>
      </w:r>
      <w:r>
        <w:rPr>
          <w:rFonts w:hint="eastAsia"/>
        </w:rPr>
        <w:t>指为保障机构正常运转、完成日常工作任务而发生的人员支出和公用支出。</w:t>
      </w:r>
    </w:p>
    <w:p w14:paraId="74FBC8D6">
      <w:pPr>
        <w:bidi w:val="0"/>
        <w:rPr>
          <w:rFonts w:hint="eastAsia"/>
          <w:lang w:eastAsia="zh-CN"/>
        </w:rPr>
      </w:pPr>
      <w:r>
        <w:rPr>
          <w:rStyle w:val="22"/>
          <w:rFonts w:hint="eastAsia" w:ascii="Times New Roman" w:hAnsi="Times New Roman" w:cstheme="minorBidi"/>
        </w:rPr>
        <w:t>二十八、项目支出：</w:t>
      </w:r>
      <w:r>
        <w:rPr>
          <w:rFonts w:hint="eastAsia"/>
        </w:rPr>
        <w:t>指在基本支出之外为完成特定行政任务和事业发展目标所发生的支出。</w:t>
      </w:r>
    </w:p>
    <w:p w14:paraId="04F5638D">
      <w:pPr>
        <w:bidi w:val="0"/>
        <w:rPr>
          <w:rFonts w:hint="eastAsia"/>
        </w:rPr>
      </w:pPr>
      <w:r>
        <w:rPr>
          <w:rStyle w:val="22"/>
          <w:rFonts w:hint="eastAsia" w:ascii="Times New Roman" w:hAnsi="Times New Roman" w:cstheme="minorBidi"/>
        </w:rPr>
        <w:t>二十九、经营支出：</w:t>
      </w:r>
      <w:r>
        <w:rPr>
          <w:rFonts w:hint="eastAsia"/>
        </w:rPr>
        <w:t>指事业单位在专业业务活动及其辅助活动之外开展非独立核算经营活动发生的支出。</w:t>
      </w:r>
    </w:p>
    <w:p w14:paraId="787B0D1D">
      <w:pPr>
        <w:bidi w:val="0"/>
        <w:rPr>
          <w:rFonts w:hint="eastAsia"/>
        </w:rPr>
      </w:pPr>
      <w:r>
        <w:rPr>
          <w:rStyle w:val="22"/>
          <w:rFonts w:hint="eastAsia" w:ascii="Times New Roman" w:hAnsi="Times New Roman" w:cstheme="minorBidi"/>
        </w:rPr>
        <w:t>三十、“三公”经费：</w:t>
      </w:r>
      <w:r>
        <w:rPr>
          <w:rFonts w:hint="eastAsi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57DA91F2">
      <w:pPr>
        <w:bidi w:val="0"/>
        <w:rPr>
          <w:rFonts w:hint="eastAsia"/>
        </w:rPr>
      </w:pPr>
      <w:r>
        <w:rPr>
          <w:rStyle w:val="22"/>
          <w:rFonts w:hint="eastAsia" w:ascii="Times New Roman" w:hAnsi="Times New Roman" w:cstheme="minorBidi"/>
        </w:rPr>
        <w:t>三十一、机关运行经费：</w:t>
      </w:r>
      <w:r>
        <w:rPr>
          <w:rFonts w:hint="eastAsia"/>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B314A92">
      <w:pPr>
        <w:spacing w:beforeLines="0" w:afterLines="0" w:line="576" w:lineRule="exact"/>
        <w:ind w:firstLine="640"/>
        <w:rPr>
          <w:rFonts w:hint="eastAsia" w:ascii="Times New Roman" w:eastAsia="仿宋_GB2312"/>
          <w:color w:val="000000"/>
          <w:sz w:val="32"/>
          <w:szCs w:val="24"/>
        </w:rPr>
      </w:pPr>
    </w:p>
    <w:p w14:paraId="6145FF8C">
      <w:pPr>
        <w:spacing w:beforeLines="0" w:afterLines="0" w:line="576" w:lineRule="exact"/>
        <w:ind w:firstLine="640"/>
        <w:rPr>
          <w:rFonts w:hint="eastAsia" w:ascii="Times New Roman" w:eastAsia="仿宋_GB2312"/>
          <w:color w:val="000000"/>
          <w:sz w:val="32"/>
          <w:szCs w:val="24"/>
        </w:rPr>
        <w:sectPr>
          <w:pgSz w:w="11906" w:h="16838"/>
          <w:pgMar w:top="2098" w:right="1474" w:bottom="1984" w:left="1587" w:header="851" w:footer="992" w:gutter="0"/>
          <w:lnNumType w:countBy="0" w:distance="360"/>
          <w:pgNumType w:fmt="decimal"/>
          <w:cols w:space="720" w:num="1"/>
          <w:docGrid w:type="lines" w:linePitch="312" w:charSpace="0"/>
        </w:sectPr>
      </w:pPr>
    </w:p>
    <w:p w14:paraId="33EF0EB2">
      <w:pPr>
        <w:pStyle w:val="2"/>
        <w:bidi w:val="0"/>
        <w:rPr>
          <w:rFonts w:hint="eastAsia"/>
        </w:rPr>
      </w:pPr>
      <w:bookmarkStart w:id="23" w:name="_Toc13044"/>
      <w:r>
        <w:rPr>
          <w:rFonts w:hint="eastAsia"/>
        </w:rPr>
        <w:t>第四部分</w:t>
      </w:r>
      <w:bookmarkEnd w:id="23"/>
    </w:p>
    <w:p w14:paraId="5B8977DB">
      <w:pPr>
        <w:pStyle w:val="3"/>
        <w:bidi w:val="0"/>
        <w:ind w:left="0" w:leftChars="0" w:firstLine="0" w:firstLineChars="0"/>
        <w:rPr>
          <w:rFonts w:hint="eastAsia" w:ascii="黑体" w:hAnsi="黑体" w:eastAsia="黑体" w:cs="黑体"/>
        </w:rPr>
      </w:pPr>
      <w:bookmarkStart w:id="24" w:name="_Toc19766"/>
      <w:r>
        <w:rPr>
          <w:rFonts w:hint="eastAsia" w:ascii="黑体" w:hAnsi="黑体" w:eastAsia="黑体" w:cs="黑体"/>
        </w:rPr>
        <w:t>附件1</w:t>
      </w:r>
      <w:bookmarkEnd w:id="24"/>
    </w:p>
    <w:p w14:paraId="18D8E217">
      <w:pPr>
        <w:keepNext w:val="0"/>
        <w:keepLines w:val="0"/>
        <w:pageBreakBefore w:val="0"/>
        <w:widowControl/>
        <w:kinsoku w:val="0"/>
        <w:wordWrap/>
        <w:overflowPunct/>
        <w:topLinePunct w:val="0"/>
        <w:autoSpaceDE w:val="0"/>
        <w:autoSpaceDN w:val="0"/>
        <w:bidi w:val="0"/>
        <w:adjustRightInd w:val="0"/>
        <w:snapToGrid w:val="0"/>
        <w:spacing w:beforeLines="0" w:afterLines="0" w:line="576" w:lineRule="exact"/>
        <w:ind w:firstLine="0" w:firstLineChars="0"/>
        <w:jc w:val="center"/>
        <w:textAlignment w:val="baseline"/>
        <w:rPr>
          <w:rFonts w:hint="eastAsia" w:ascii="方正小标宋简体" w:hAnsi="方正小标宋简体" w:eastAsia="方正小标宋简体" w:cs="方正小标宋简体"/>
          <w:b/>
          <w:kern w:val="21"/>
          <w:sz w:val="44"/>
          <w:szCs w:val="44"/>
        </w:rPr>
      </w:pPr>
      <w:r>
        <w:rPr>
          <w:rFonts w:hint="eastAsia" w:ascii="方正小标宋简体" w:hAnsi="方正小标宋简体" w:eastAsia="方正小标宋简体" w:cs="方正小标宋简体"/>
          <w:kern w:val="21"/>
          <w:sz w:val="44"/>
          <w:szCs w:val="44"/>
        </w:rPr>
        <w:t>部门整体支出绩效目标完成情况自评表</w:t>
      </w:r>
    </w:p>
    <w:p w14:paraId="59D5F315">
      <w:pPr>
        <w:keepNext w:val="0"/>
        <w:keepLines w:val="0"/>
        <w:pageBreakBefore w:val="0"/>
        <w:widowControl/>
        <w:kinsoku w:val="0"/>
        <w:wordWrap/>
        <w:overflowPunct/>
        <w:topLinePunct w:val="0"/>
        <w:autoSpaceDE w:val="0"/>
        <w:autoSpaceDN w:val="0"/>
        <w:bidi w:val="0"/>
        <w:adjustRightInd w:val="0"/>
        <w:snapToGrid w:val="0"/>
        <w:spacing w:beforeLines="0" w:afterLines="0" w:line="400" w:lineRule="exact"/>
        <w:ind w:firstLine="0" w:firstLineChars="0"/>
        <w:jc w:val="right"/>
        <w:textAlignment w:val="baseline"/>
        <w:rPr>
          <w:rFonts w:hint="eastAsia" w:ascii="楷体_GB2312" w:hAnsi="楷体_GB2312" w:eastAsia="楷体_GB2312" w:cs="楷体_GB2312"/>
          <w:b/>
          <w:bCs w:val="0"/>
          <w:kern w:val="21"/>
          <w:sz w:val="24"/>
          <w:szCs w:val="24"/>
        </w:rPr>
      </w:pPr>
      <w:r>
        <w:rPr>
          <w:rFonts w:hint="eastAsia" w:ascii="楷体_GB2312" w:hAnsi="楷体_GB2312" w:eastAsia="楷体_GB2312" w:cs="楷体_GB2312"/>
          <w:b/>
          <w:bCs w:val="0"/>
          <w:kern w:val="21"/>
          <w:sz w:val="24"/>
          <w:szCs w:val="24"/>
          <w:lang w:eastAsia="zh-CN"/>
        </w:rPr>
        <w:t>（</w:t>
      </w:r>
      <w:r>
        <w:rPr>
          <w:rFonts w:hint="eastAsia" w:ascii="楷体_GB2312" w:hAnsi="楷体_GB2312" w:eastAsia="楷体_GB2312" w:cs="楷体_GB2312"/>
          <w:b/>
          <w:bCs w:val="0"/>
          <w:kern w:val="21"/>
          <w:sz w:val="24"/>
          <w:szCs w:val="24"/>
        </w:rPr>
        <w:t>2024年度</w:t>
      </w:r>
      <w:r>
        <w:rPr>
          <w:rFonts w:hint="eastAsia" w:ascii="楷体_GB2312" w:hAnsi="楷体_GB2312" w:eastAsia="楷体_GB2312" w:cs="楷体_GB2312"/>
          <w:b/>
          <w:bCs w:val="0"/>
          <w:kern w:val="21"/>
          <w:sz w:val="24"/>
          <w:szCs w:val="24"/>
          <w:lang w:eastAsia="zh-CN"/>
        </w:rPr>
        <w:t>）</w:t>
      </w:r>
      <w:r>
        <w:rPr>
          <w:rFonts w:hint="eastAsia" w:ascii="楷体_GB2312" w:hAnsi="楷体_GB2312" w:eastAsia="楷体_GB2312" w:cs="楷体_GB2312"/>
          <w:b/>
          <w:bCs w:val="0"/>
          <w:kern w:val="21"/>
          <w:sz w:val="24"/>
          <w:szCs w:val="24"/>
        </w:rPr>
        <w:t>单位：万元</w:t>
      </w:r>
    </w:p>
    <w:tbl>
      <w:tblPr>
        <w:tblStyle w:val="10"/>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21"/>
        <w:gridCol w:w="1025"/>
        <w:gridCol w:w="1023"/>
        <w:gridCol w:w="1055"/>
        <w:gridCol w:w="1021"/>
        <w:gridCol w:w="1216"/>
        <w:gridCol w:w="1021"/>
        <w:gridCol w:w="1021"/>
        <w:gridCol w:w="1317"/>
      </w:tblGrid>
      <w:tr w14:paraId="035A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3069"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30EA173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部门名称</w:t>
            </w:r>
          </w:p>
        </w:tc>
        <w:tc>
          <w:tcPr>
            <w:tcW w:w="6651" w:type="dxa"/>
            <w:gridSpan w:val="6"/>
            <w:tcBorders>
              <w:top w:val="single" w:color="000000" w:sz="8" w:space="0"/>
              <w:left w:val="nil"/>
              <w:bottom w:val="single" w:color="000000" w:sz="8" w:space="0"/>
              <w:right w:val="single" w:color="000000" w:sz="8" w:space="0"/>
              <w:tl2br w:val="nil"/>
              <w:tr2bl w:val="nil"/>
            </w:tcBorders>
            <w:noWrap w:val="0"/>
            <w:vAlign w:val="center"/>
          </w:tcPr>
          <w:p w14:paraId="23F4E8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广元市昭化区卫子镇人民政府</w:t>
            </w:r>
          </w:p>
        </w:tc>
      </w:tr>
      <w:tr w14:paraId="705C1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1021" w:type="dxa"/>
            <w:vMerge w:val="restart"/>
            <w:tcBorders>
              <w:top w:val="nil"/>
              <w:left w:val="single" w:color="000000" w:sz="8" w:space="0"/>
              <w:bottom w:val="single" w:color="000000" w:sz="8" w:space="0"/>
              <w:right w:val="single" w:color="000000" w:sz="8" w:space="0"/>
              <w:tl2br w:val="nil"/>
              <w:tr2bl w:val="nil"/>
            </w:tcBorders>
            <w:noWrap w:val="0"/>
            <w:vAlign w:val="center"/>
          </w:tcPr>
          <w:p w14:paraId="3AD382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年度部门整体支出预算</w:t>
            </w:r>
          </w:p>
        </w:tc>
        <w:tc>
          <w:tcPr>
            <w:tcW w:w="2048" w:type="dxa"/>
            <w:gridSpan w:val="2"/>
            <w:tcBorders>
              <w:top w:val="nil"/>
              <w:left w:val="nil"/>
              <w:bottom w:val="single" w:color="000000" w:sz="8" w:space="0"/>
              <w:right w:val="single" w:color="000000" w:sz="8" w:space="0"/>
              <w:tl2br w:val="nil"/>
              <w:tr2bl w:val="nil"/>
            </w:tcBorders>
            <w:noWrap w:val="0"/>
            <w:vAlign w:val="center"/>
          </w:tcPr>
          <w:p w14:paraId="689007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资金总额</w:t>
            </w:r>
          </w:p>
        </w:tc>
        <w:tc>
          <w:tcPr>
            <w:tcW w:w="2076" w:type="dxa"/>
            <w:gridSpan w:val="2"/>
            <w:tcBorders>
              <w:top w:val="single" w:color="000000" w:sz="8" w:space="0"/>
              <w:left w:val="nil"/>
              <w:bottom w:val="single" w:color="000000" w:sz="8" w:space="0"/>
              <w:right w:val="single" w:color="000000" w:sz="8" w:space="0"/>
              <w:tl2br w:val="nil"/>
              <w:tr2bl w:val="nil"/>
            </w:tcBorders>
            <w:noWrap w:val="0"/>
            <w:vAlign w:val="center"/>
          </w:tcPr>
          <w:p w14:paraId="62AC55C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财政拨款</w:t>
            </w:r>
          </w:p>
        </w:tc>
        <w:tc>
          <w:tcPr>
            <w:tcW w:w="4575" w:type="dxa"/>
            <w:gridSpan w:val="4"/>
            <w:tcBorders>
              <w:top w:val="single" w:color="000000" w:sz="8" w:space="0"/>
              <w:left w:val="nil"/>
              <w:bottom w:val="single" w:color="000000" w:sz="8" w:space="0"/>
              <w:right w:val="single" w:color="000000" w:sz="8" w:space="0"/>
              <w:tl2br w:val="nil"/>
              <w:tr2bl w:val="nil"/>
            </w:tcBorders>
            <w:noWrap w:val="0"/>
            <w:vAlign w:val="center"/>
          </w:tcPr>
          <w:p w14:paraId="08B460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其他资金</w:t>
            </w:r>
          </w:p>
        </w:tc>
      </w:tr>
      <w:tr w14:paraId="324E0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jc w:val="center"/>
        </w:trPr>
        <w:tc>
          <w:tcPr>
            <w:tcW w:w="1021"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88E732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682472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1944.75</w:t>
            </w:r>
          </w:p>
        </w:tc>
        <w:tc>
          <w:tcPr>
            <w:tcW w:w="2076" w:type="dxa"/>
            <w:gridSpan w:val="2"/>
            <w:tcBorders>
              <w:top w:val="nil"/>
              <w:left w:val="nil"/>
              <w:bottom w:val="single" w:color="000000" w:sz="8" w:space="0"/>
              <w:right w:val="single" w:color="000000" w:sz="8" w:space="0"/>
              <w:tl2br w:val="nil"/>
              <w:tr2bl w:val="nil"/>
            </w:tcBorders>
            <w:noWrap w:val="0"/>
            <w:vAlign w:val="center"/>
          </w:tcPr>
          <w:p w14:paraId="0E3A83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1944.75</w:t>
            </w:r>
          </w:p>
        </w:tc>
        <w:tc>
          <w:tcPr>
            <w:tcW w:w="4575" w:type="dxa"/>
            <w:gridSpan w:val="4"/>
            <w:tcBorders>
              <w:top w:val="nil"/>
              <w:left w:val="nil"/>
              <w:bottom w:val="single" w:color="000000" w:sz="8" w:space="0"/>
              <w:right w:val="single" w:color="000000" w:sz="8" w:space="0"/>
              <w:tl2br w:val="nil"/>
              <w:tr2bl w:val="nil"/>
            </w:tcBorders>
            <w:noWrap w:val="0"/>
            <w:vAlign w:val="center"/>
          </w:tcPr>
          <w:p w14:paraId="000F6EE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0</w:t>
            </w:r>
          </w:p>
        </w:tc>
      </w:tr>
      <w:tr w14:paraId="20148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021" w:type="dxa"/>
            <w:tcBorders>
              <w:top w:val="nil"/>
              <w:left w:val="single" w:color="000000" w:sz="8" w:space="0"/>
              <w:bottom w:val="single" w:color="000000" w:sz="8" w:space="0"/>
              <w:right w:val="single" w:color="000000" w:sz="8" w:space="0"/>
              <w:tl2br w:val="nil"/>
              <w:tr2bl w:val="nil"/>
            </w:tcBorders>
            <w:noWrap w:val="0"/>
            <w:vAlign w:val="center"/>
          </w:tcPr>
          <w:p w14:paraId="61987DB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年度总体目标</w:t>
            </w:r>
          </w:p>
        </w:tc>
        <w:tc>
          <w:tcPr>
            <w:tcW w:w="8699" w:type="dxa"/>
            <w:gridSpan w:val="8"/>
            <w:tcBorders>
              <w:top w:val="nil"/>
              <w:left w:val="nil"/>
              <w:bottom w:val="single" w:color="000000" w:sz="8" w:space="0"/>
              <w:right w:val="single" w:color="000000" w:sz="8" w:space="0"/>
              <w:tl2br w:val="nil"/>
              <w:tr2bl w:val="nil"/>
            </w:tcBorders>
            <w:noWrap w:val="0"/>
            <w:vAlign w:val="center"/>
          </w:tcPr>
          <w:p w14:paraId="231795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深入学习贯彻党的二十大、习近平总书记视川视广重要讲话精神，坚决落实中央、省委、市委及区委的各项部署安排，紧紧围绕区委“四城新区”、卫子“三镇一区”建设，聚焦产业发展、两项改革“后半篇”文章、招商引资、基层治理、民生改善、从严治党等重点工作，推动“商贸物流重镇、规模化种养强镇、特色化农旅融合新镇和幸福美丽乡村振兴示范区”再上新台阶。一是完成区级各项目标任务；二是保障在职干部、临聘人员、退休干部、村（社区）干部的工资、保险、目标奖、生活补助和日常正常运转；三是做好基层组织活动和公共运行维护工作；四是做好烤烟生产发展工作；五是做好预备役征兵保障工作；六是做好场镇环境卫生、路灯管理、人大等相关工作。服务对象覆盖镇域内所有村社区，群众满意度达到</w:t>
            </w:r>
            <w:r>
              <w:rPr>
                <w:rStyle w:val="14"/>
                <w:rFonts w:hint="eastAsia" w:ascii="宋体" w:hAnsi="宋体" w:eastAsia="宋体" w:cs="宋体"/>
                <w:snapToGrid w:val="0"/>
                <w:kern w:val="21"/>
                <w:sz w:val="20"/>
                <w:szCs w:val="20"/>
                <w:lang w:bidi="ar"/>
              </w:rPr>
              <w:t>95%</w:t>
            </w:r>
            <w:r>
              <w:rPr>
                <w:rStyle w:val="15"/>
                <w:rFonts w:hint="eastAsia" w:ascii="宋体" w:hAnsi="宋体" w:eastAsia="宋体" w:cs="宋体"/>
                <w:snapToGrid w:val="0"/>
                <w:kern w:val="21"/>
                <w:sz w:val="20"/>
                <w:szCs w:val="20"/>
                <w:lang w:bidi="ar"/>
              </w:rPr>
              <w:t>以上。</w:t>
            </w:r>
          </w:p>
        </w:tc>
      </w:tr>
      <w:tr w14:paraId="1ECDA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restart"/>
            <w:tcBorders>
              <w:top w:val="nil"/>
              <w:left w:val="single" w:color="auto" w:sz="4" w:space="0"/>
              <w:right w:val="single" w:color="000000" w:sz="8" w:space="0"/>
              <w:tl2br w:val="nil"/>
              <w:tr2bl w:val="nil"/>
            </w:tcBorders>
            <w:noWrap w:val="0"/>
            <w:vAlign w:val="center"/>
          </w:tcPr>
          <w:p w14:paraId="797259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年度主要任务</w:t>
            </w:r>
          </w:p>
        </w:tc>
        <w:tc>
          <w:tcPr>
            <w:tcW w:w="2048" w:type="dxa"/>
            <w:gridSpan w:val="2"/>
            <w:tcBorders>
              <w:top w:val="nil"/>
              <w:left w:val="nil"/>
              <w:bottom w:val="single" w:color="000000" w:sz="8" w:space="0"/>
              <w:right w:val="single" w:color="000000" w:sz="8" w:space="0"/>
              <w:tl2br w:val="nil"/>
              <w:tr2bl w:val="nil"/>
            </w:tcBorders>
            <w:noWrap w:val="0"/>
            <w:vAlign w:val="center"/>
          </w:tcPr>
          <w:p w14:paraId="79BCCDE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任务名称</w:t>
            </w:r>
          </w:p>
        </w:tc>
        <w:tc>
          <w:tcPr>
            <w:tcW w:w="6651" w:type="dxa"/>
            <w:gridSpan w:val="6"/>
            <w:tcBorders>
              <w:top w:val="single" w:color="000000" w:sz="8" w:space="0"/>
              <w:left w:val="nil"/>
              <w:bottom w:val="single" w:color="000000" w:sz="8" w:space="0"/>
              <w:right w:val="single" w:color="000000" w:sz="8" w:space="0"/>
              <w:tl2br w:val="nil"/>
              <w:tr2bl w:val="nil"/>
            </w:tcBorders>
            <w:noWrap w:val="0"/>
            <w:vAlign w:val="center"/>
          </w:tcPr>
          <w:p w14:paraId="0826E4E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主要内容</w:t>
            </w:r>
          </w:p>
        </w:tc>
      </w:tr>
      <w:tr w14:paraId="1F566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left w:val="single" w:color="auto" w:sz="4" w:space="0"/>
              <w:right w:val="single" w:color="000000" w:sz="8" w:space="0"/>
              <w:tl2br w:val="nil"/>
              <w:tr2bl w:val="nil"/>
            </w:tcBorders>
            <w:noWrap w:val="0"/>
            <w:vAlign w:val="center"/>
          </w:tcPr>
          <w:p w14:paraId="03D1C88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39281C2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保障农业园区建设</w:t>
            </w:r>
          </w:p>
        </w:tc>
        <w:tc>
          <w:tcPr>
            <w:tcW w:w="6651" w:type="dxa"/>
            <w:gridSpan w:val="6"/>
            <w:tcBorders>
              <w:top w:val="nil"/>
              <w:left w:val="nil"/>
              <w:bottom w:val="single" w:color="000000" w:sz="8" w:space="0"/>
              <w:right w:val="single" w:color="000000" w:sz="8" w:space="0"/>
              <w:tl2br w:val="nil"/>
              <w:tr2bl w:val="nil"/>
            </w:tcBorders>
            <w:noWrap w:val="0"/>
            <w:vAlign w:val="center"/>
          </w:tcPr>
          <w:p w14:paraId="05B532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用于王家贡米园区建设升级，打造一流园区、一流品牌、一流产业。</w:t>
            </w:r>
          </w:p>
        </w:tc>
      </w:tr>
      <w:tr w14:paraId="6FC8A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1021" w:type="dxa"/>
            <w:vMerge w:val="continue"/>
            <w:tcBorders>
              <w:left w:val="single" w:color="auto" w:sz="4" w:space="0"/>
              <w:right w:val="single" w:color="000000" w:sz="8" w:space="0"/>
              <w:tl2br w:val="nil"/>
              <w:tr2bl w:val="nil"/>
            </w:tcBorders>
            <w:noWrap w:val="0"/>
            <w:vAlign w:val="center"/>
          </w:tcPr>
          <w:p w14:paraId="3F230FC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6D6827A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保障单位在编职工及临聘职工工资发放及各类保险缴纳</w:t>
            </w:r>
          </w:p>
        </w:tc>
        <w:tc>
          <w:tcPr>
            <w:tcW w:w="6651" w:type="dxa"/>
            <w:gridSpan w:val="6"/>
            <w:tcBorders>
              <w:top w:val="nil"/>
              <w:left w:val="nil"/>
              <w:bottom w:val="single" w:color="000000" w:sz="8" w:space="0"/>
              <w:right w:val="single" w:color="000000" w:sz="8" w:space="0"/>
              <w:tl2br w:val="nil"/>
              <w:tr2bl w:val="nil"/>
            </w:tcBorders>
            <w:noWrap w:val="0"/>
            <w:vAlign w:val="center"/>
          </w:tcPr>
          <w:p w14:paraId="5161AE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按月打卡发放职工工资、遗属补助，向社保部门缴纳职工养老、医疗等各项保险，向公积金中心缴纳住房公积金。稳定干部队伍，工作积极性提高，确保政府各项工作职能执行力度，将各项工作落实落地</w:t>
            </w:r>
          </w:p>
        </w:tc>
      </w:tr>
      <w:tr w14:paraId="60421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21" w:type="dxa"/>
            <w:vMerge w:val="continue"/>
            <w:tcBorders>
              <w:left w:val="single" w:color="auto" w:sz="4" w:space="0"/>
              <w:right w:val="single" w:color="000000" w:sz="8" w:space="0"/>
              <w:tl2br w:val="nil"/>
              <w:tr2bl w:val="nil"/>
            </w:tcBorders>
            <w:noWrap w:val="0"/>
            <w:vAlign w:val="center"/>
          </w:tcPr>
          <w:p w14:paraId="497B336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00AE57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做好场镇路灯照明及垃圾清运管理</w:t>
            </w:r>
          </w:p>
        </w:tc>
        <w:tc>
          <w:tcPr>
            <w:tcW w:w="6651" w:type="dxa"/>
            <w:gridSpan w:val="6"/>
            <w:tcBorders>
              <w:top w:val="nil"/>
              <w:left w:val="nil"/>
              <w:bottom w:val="single" w:color="000000" w:sz="8" w:space="0"/>
              <w:right w:val="single" w:color="000000" w:sz="8" w:space="0"/>
              <w:tl2br w:val="nil"/>
              <w:tr2bl w:val="nil"/>
            </w:tcBorders>
            <w:noWrap w:val="0"/>
            <w:vAlign w:val="center"/>
          </w:tcPr>
          <w:p w14:paraId="7A9563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场镇公用照明设施维护及电费缴纳，确保场镇公共区域照明正常，给场镇居民一个光亮环境，让居民满意.将镇域内所有垃圾按时且零库存式清运,确保镇域内任何地方均无垃圾库存，并通过此项工作逐步形成良好的卫生习惯，营造干净、卫生、整洁、光亮的场镇环境，提升人居环境，吸引更多商家入驻，带动场镇经济发展。</w:t>
            </w:r>
          </w:p>
        </w:tc>
      </w:tr>
      <w:tr w14:paraId="7CE74F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1021" w:type="dxa"/>
            <w:vMerge w:val="continue"/>
            <w:tcBorders>
              <w:left w:val="single" w:color="auto" w:sz="4" w:space="0"/>
              <w:right w:val="single" w:color="000000" w:sz="8" w:space="0"/>
              <w:tl2br w:val="nil"/>
              <w:tr2bl w:val="nil"/>
            </w:tcBorders>
            <w:noWrap w:val="0"/>
            <w:vAlign w:val="center"/>
          </w:tcPr>
          <w:p w14:paraId="33DAE9A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4CD2C5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基层组织建设及农村公共服务运行</w:t>
            </w:r>
          </w:p>
        </w:tc>
        <w:tc>
          <w:tcPr>
            <w:tcW w:w="6651" w:type="dxa"/>
            <w:gridSpan w:val="6"/>
            <w:tcBorders>
              <w:top w:val="nil"/>
              <w:left w:val="nil"/>
              <w:bottom w:val="single" w:color="000000" w:sz="8" w:space="0"/>
              <w:right w:val="single" w:color="000000" w:sz="8" w:space="0"/>
              <w:tl2br w:val="nil"/>
              <w:tr2bl w:val="nil"/>
            </w:tcBorders>
            <w:noWrap w:val="0"/>
            <w:vAlign w:val="center"/>
          </w:tcPr>
          <w:p w14:paraId="051E712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主要用于镇域内15个村2个社区农村基础设施和环境类、农业生产服务类、农村生活服务类及农村社会管理类等方面的支出。</w:t>
            </w:r>
          </w:p>
        </w:tc>
      </w:tr>
      <w:tr w14:paraId="3469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5" w:hRule="atLeast"/>
          <w:jc w:val="center"/>
        </w:trPr>
        <w:tc>
          <w:tcPr>
            <w:tcW w:w="1021" w:type="dxa"/>
            <w:vMerge w:val="continue"/>
            <w:tcBorders>
              <w:left w:val="single" w:color="auto" w:sz="4" w:space="0"/>
              <w:right w:val="single" w:color="000000" w:sz="8" w:space="0"/>
              <w:tl2br w:val="nil"/>
              <w:tr2bl w:val="nil"/>
            </w:tcBorders>
            <w:noWrap w:val="0"/>
            <w:vAlign w:val="center"/>
          </w:tcPr>
          <w:p w14:paraId="2AA838D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000000" w:sz="8" w:space="0"/>
              <w:right w:val="single" w:color="000000" w:sz="8" w:space="0"/>
              <w:tl2br w:val="nil"/>
              <w:tr2bl w:val="nil"/>
            </w:tcBorders>
            <w:noWrap w:val="0"/>
            <w:vAlign w:val="center"/>
          </w:tcPr>
          <w:p w14:paraId="33DA11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保障在职干部日常工作运转</w:t>
            </w:r>
          </w:p>
        </w:tc>
        <w:tc>
          <w:tcPr>
            <w:tcW w:w="6651" w:type="dxa"/>
            <w:gridSpan w:val="6"/>
            <w:tcBorders>
              <w:top w:val="nil"/>
              <w:left w:val="nil"/>
              <w:bottom w:val="single" w:color="000000" w:sz="8" w:space="0"/>
              <w:right w:val="single" w:color="000000" w:sz="8" w:space="0"/>
              <w:tl2br w:val="nil"/>
              <w:tr2bl w:val="nil"/>
            </w:tcBorders>
            <w:noWrap w:val="0"/>
            <w:vAlign w:val="center"/>
          </w:tcPr>
          <w:p w14:paraId="30EE0AEB">
            <w:pPr>
              <w:keepNext w:val="0"/>
              <w:keepLines w:val="0"/>
              <w:pageBreakBefore w:val="0"/>
              <w:widowControl/>
              <w:tabs>
                <w:tab w:val="left" w:pos="452"/>
              </w:tabs>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障在职干部开展党建宣传、项目推进、乡村振兴、产业发展以及安全生产等各项综合性工作所产生的差旅费、培训费、党建费、报刊款、水电费、网络费、公务接待费等公用经费。</w:t>
            </w:r>
          </w:p>
        </w:tc>
      </w:tr>
      <w:tr w14:paraId="45A88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1" w:type="dxa"/>
            <w:vMerge w:val="continue"/>
            <w:tcBorders>
              <w:left w:val="single" w:color="auto" w:sz="4" w:space="0"/>
              <w:bottom w:val="single" w:color="auto" w:sz="4" w:space="0"/>
              <w:right w:val="single" w:color="000000" w:sz="8" w:space="0"/>
              <w:tl2br w:val="nil"/>
              <w:tr2bl w:val="nil"/>
            </w:tcBorders>
            <w:noWrap w:val="0"/>
            <w:vAlign w:val="center"/>
          </w:tcPr>
          <w:p w14:paraId="7F3BB90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nil"/>
              <w:left w:val="nil"/>
              <w:bottom w:val="single" w:color="auto" w:sz="4" w:space="0"/>
              <w:right w:val="single" w:color="000000" w:sz="8" w:space="0"/>
              <w:tl2br w:val="nil"/>
              <w:tr2bl w:val="nil"/>
            </w:tcBorders>
            <w:noWrap w:val="0"/>
            <w:vAlign w:val="center"/>
          </w:tcPr>
          <w:p w14:paraId="0576FD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left"/>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保障村（居）干部薪酬发放和日常工作正常运转</w:t>
            </w:r>
          </w:p>
        </w:tc>
        <w:tc>
          <w:tcPr>
            <w:tcW w:w="6651" w:type="dxa"/>
            <w:gridSpan w:val="6"/>
            <w:tcBorders>
              <w:top w:val="nil"/>
              <w:left w:val="nil"/>
              <w:bottom w:val="single" w:color="auto" w:sz="4" w:space="0"/>
              <w:right w:val="single" w:color="000000" w:sz="8" w:space="0"/>
              <w:tl2br w:val="nil"/>
              <w:tr2bl w:val="nil"/>
            </w:tcBorders>
            <w:noWrap w:val="0"/>
            <w:vAlign w:val="center"/>
          </w:tcPr>
          <w:p w14:paraId="249F149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按月发放全镇15个村2个社区村组干部工资，确保村居组干部队伍稳定，工作激情提升；拨付村（居）办公经费，保障办公环境和设备完善，做到高效率办公，确保为民办事各项工作开展顺利；按时发放连任村干部、离职村干部及老党员补助，让群众满意。</w:t>
            </w:r>
          </w:p>
          <w:p w14:paraId="0CF865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按月发放全镇15个村2个社区村组干部工资，确保村居组干部队伍稳定，工作激情提升；拨付村（居）办公经费，保障办公环境和设备完善，做到高效率办公，确保为民办事各项工作开展顺利；按时发放连任村干部、离职村干部及老党员补助，让群众满意。</w:t>
            </w:r>
          </w:p>
        </w:tc>
      </w:tr>
      <w:tr w14:paraId="6413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DAE1CC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年度主要任务</w:t>
            </w:r>
          </w:p>
        </w:tc>
        <w:tc>
          <w:tcPr>
            <w:tcW w:w="20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CACB04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完成年度烤烟发展目标任务</w:t>
            </w:r>
          </w:p>
        </w:tc>
        <w:tc>
          <w:tcPr>
            <w:tcW w:w="66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D8129E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烤房维修费、返还农户补助资金等，按时按质按量完成烤烟产业发展各个指标任务，确保完成并力争超额完成上级下达的地方一般税收收入。对生态环境不会造成任何污染，群众（烟叶种植户）满意度达到95%。</w:t>
            </w:r>
          </w:p>
        </w:tc>
      </w:tr>
      <w:tr w14:paraId="7C794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65DFB79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CE3C3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保障党委政府综合性工作</w:t>
            </w:r>
          </w:p>
        </w:tc>
        <w:tc>
          <w:tcPr>
            <w:tcW w:w="66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02BDA52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执行并管理本行政区域内的经济、教育、文化、卫生、体育、财政、民政、计划生育、安全、武装、应急管理等工作，落实各项工作并保障工作经费，确保各项任务顺利完成。</w:t>
            </w:r>
          </w:p>
        </w:tc>
      </w:tr>
      <w:tr w14:paraId="0CFBF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top w:val="single" w:color="auto" w:sz="4" w:space="0"/>
              <w:left w:val="single" w:color="auto" w:sz="4" w:space="0"/>
              <w:right w:val="single" w:color="auto" w:sz="4" w:space="0"/>
              <w:tl2br w:val="nil"/>
              <w:tr2bl w:val="nil"/>
            </w:tcBorders>
            <w:noWrap w:val="0"/>
            <w:vAlign w:val="center"/>
          </w:tcPr>
          <w:p w14:paraId="798F109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DD4DC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保障遗属及临聘人员工作</w:t>
            </w:r>
          </w:p>
        </w:tc>
        <w:tc>
          <w:tcPr>
            <w:tcW w:w="66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B7BCB9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保障18名遗属人员补助，足额发放临聘人员工资及各项保险，确保政府各项工作职能执行力度，将各项工作落实落地。</w:t>
            </w:r>
          </w:p>
        </w:tc>
      </w:tr>
      <w:tr w14:paraId="4BE47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left w:val="single" w:color="auto" w:sz="4" w:space="0"/>
              <w:right w:val="single" w:color="auto" w:sz="4" w:space="0"/>
              <w:tl2br w:val="nil"/>
              <w:tr2bl w:val="nil"/>
            </w:tcBorders>
            <w:noWrap w:val="0"/>
            <w:vAlign w:val="center"/>
          </w:tcPr>
          <w:p w14:paraId="7241C21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A4F94F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人大主席团</w:t>
            </w:r>
          </w:p>
        </w:tc>
        <w:tc>
          <w:tcPr>
            <w:tcW w:w="66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750AC4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按人大章程及本镇实际召开人民代表大会，并完成人大代表之家阵地建设，发挥人大代表的作用，集思广益、群策群力推动本镇各项事业有序发展。</w:t>
            </w:r>
          </w:p>
        </w:tc>
      </w:tr>
      <w:tr w14:paraId="1DACB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left w:val="single" w:color="auto" w:sz="4" w:space="0"/>
              <w:bottom w:val="single" w:color="auto" w:sz="4" w:space="0"/>
              <w:right w:val="single" w:color="auto" w:sz="4" w:space="0"/>
              <w:tl2br w:val="nil"/>
              <w:tr2bl w:val="nil"/>
            </w:tcBorders>
            <w:noWrap w:val="0"/>
            <w:vAlign w:val="center"/>
          </w:tcPr>
          <w:p w14:paraId="5E74CB0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204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7EDA64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保障离退休人员年度绩效发放</w:t>
            </w:r>
          </w:p>
        </w:tc>
        <w:tc>
          <w:tcPr>
            <w:tcW w:w="6651"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33221FC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r>
              <w:rPr>
                <w:rFonts w:hint="eastAsia" w:ascii="宋体" w:hAnsi="宋体" w:eastAsia="宋体" w:cs="宋体"/>
                <w:color w:val="000000"/>
                <w:kern w:val="21"/>
                <w:sz w:val="20"/>
                <w:szCs w:val="20"/>
              </w:rPr>
              <w:t>按月发放51位离退休人员年终绩效。</w:t>
            </w:r>
          </w:p>
        </w:tc>
      </w:tr>
      <w:tr w14:paraId="522B2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8D27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年度绩效指标</w:t>
            </w:r>
          </w:p>
        </w:tc>
        <w:tc>
          <w:tcPr>
            <w:tcW w:w="102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A57EB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一级指标</w:t>
            </w: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D0A0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二级指标</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A31AFE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三级指标</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9F8E23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绩效指标性质</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487A8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绩效指标值</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BFC017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绩效度量单位</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93CC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权重</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C48DE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实际完成指标值</w:t>
            </w:r>
          </w:p>
        </w:tc>
      </w:tr>
      <w:tr w14:paraId="0EE9B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5C36877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年度绩效指标</w:t>
            </w:r>
          </w:p>
        </w:tc>
        <w:tc>
          <w:tcPr>
            <w:tcW w:w="10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251834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产出指标</w:t>
            </w:r>
          </w:p>
        </w:tc>
        <w:tc>
          <w:tcPr>
            <w:tcW w:w="10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2ED74B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数量指标</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C39AC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村（社）日常运转保障数量</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9A0B47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45C2B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17</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F8354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个</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8E39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6FFD8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17</w:t>
            </w:r>
          </w:p>
        </w:tc>
      </w:tr>
      <w:tr w14:paraId="60D2D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52DA3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77625E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B2C85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EFA01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垃圾清理次数</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7E9E3E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E1EF7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144</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AC04C8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次</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E92BC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DED3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144</w:t>
            </w:r>
          </w:p>
        </w:tc>
      </w:tr>
      <w:tr w14:paraId="31D2E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CE592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0EAC7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6B808C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0A8BD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新建、维修烤烟房合计</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2B391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DE936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27</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0A4E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座</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F27E8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C5FC3D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27</w:t>
            </w:r>
          </w:p>
        </w:tc>
      </w:tr>
      <w:tr w14:paraId="49B63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7EDB5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D04A0E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25BFCE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E0BF3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在职在编干部人数</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057C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F6A33D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71</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8A988E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名</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624E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979CC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71</w:t>
            </w:r>
          </w:p>
        </w:tc>
      </w:tr>
      <w:tr w14:paraId="6C578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single" w:color="auto" w:sz="4" w:space="0"/>
              <w:left w:val="single" w:color="auto" w:sz="4" w:space="0"/>
              <w:bottom w:val="single" w:color="000000" w:sz="8" w:space="0"/>
              <w:right w:val="single" w:color="auto" w:sz="4" w:space="0"/>
              <w:tl2br w:val="nil"/>
              <w:tr2bl w:val="nil"/>
            </w:tcBorders>
            <w:noWrap w:val="0"/>
            <w:vAlign w:val="center"/>
          </w:tcPr>
          <w:p w14:paraId="74B219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840DF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B472F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质量指标</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32759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各项任务目标完成率</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81520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84B29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100</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0F2EE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CB040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0367B47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100</w:t>
            </w:r>
          </w:p>
        </w:tc>
      </w:tr>
      <w:tr w14:paraId="5DBAD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nil"/>
              <w:left w:val="single" w:color="auto" w:sz="4" w:space="0"/>
              <w:bottom w:val="single" w:color="000000" w:sz="8" w:space="0"/>
              <w:right w:val="single" w:color="auto" w:sz="4" w:space="0"/>
              <w:tl2br w:val="nil"/>
              <w:tr2bl w:val="nil"/>
            </w:tcBorders>
            <w:noWrap w:val="0"/>
            <w:vAlign w:val="center"/>
          </w:tcPr>
          <w:p w14:paraId="5785AC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0AFCAFC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DD8B1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时效指标</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4D35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各项任务目标完成时间</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213D6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1DD0E7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A21577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年</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819D1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1D074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w:t>
            </w:r>
          </w:p>
        </w:tc>
      </w:tr>
      <w:tr w14:paraId="37F77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top w:val="nil"/>
              <w:left w:val="single" w:color="auto" w:sz="4" w:space="0"/>
              <w:bottom w:val="single" w:color="000000" w:sz="8" w:space="0"/>
              <w:right w:val="single" w:color="auto" w:sz="4" w:space="0"/>
              <w:tl2br w:val="nil"/>
              <w:tr2bl w:val="nil"/>
            </w:tcBorders>
            <w:noWrap w:val="0"/>
            <w:vAlign w:val="center"/>
          </w:tcPr>
          <w:p w14:paraId="6A5030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1D53B8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成本指标</w:t>
            </w:r>
          </w:p>
        </w:tc>
        <w:tc>
          <w:tcPr>
            <w:tcW w:w="102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DEC29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经济成本指标</w:t>
            </w: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39D69F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人员类预算控制</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C8252E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67348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15789853.6</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1EB9A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元</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63B4DB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10487E3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12554100.18</w:t>
            </w:r>
          </w:p>
        </w:tc>
      </w:tr>
      <w:tr w14:paraId="52155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nil"/>
              <w:left w:val="single" w:color="auto" w:sz="4" w:space="0"/>
              <w:bottom w:val="single" w:color="000000" w:sz="8" w:space="0"/>
              <w:right w:val="single" w:color="auto" w:sz="4" w:space="0"/>
              <w:tl2br w:val="nil"/>
              <w:tr2bl w:val="nil"/>
            </w:tcBorders>
            <w:noWrap w:val="0"/>
            <w:vAlign w:val="center"/>
          </w:tcPr>
          <w:p w14:paraId="13278B1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0692F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80A90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55" w:type="dxa"/>
            <w:tcBorders>
              <w:top w:val="single" w:color="auto" w:sz="4" w:space="0"/>
              <w:left w:val="single" w:color="auto" w:sz="4" w:space="0"/>
              <w:bottom w:val="single" w:color="auto" w:sz="4" w:space="0"/>
              <w:right w:val="single" w:color="auto" w:sz="4" w:space="0"/>
              <w:tl2br w:val="nil"/>
              <w:tr2bl w:val="nil"/>
            </w:tcBorders>
            <w:noWrap w:val="0"/>
            <w:vAlign w:val="center"/>
          </w:tcPr>
          <w:p w14:paraId="702973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特定目标类预算控制</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4C6E8C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single" w:color="auto" w:sz="4" w:space="0"/>
              <w:bottom w:val="single" w:color="auto" w:sz="4" w:space="0"/>
              <w:right w:val="single" w:color="auto" w:sz="4" w:space="0"/>
              <w:tl2br w:val="nil"/>
              <w:tr2bl w:val="nil"/>
            </w:tcBorders>
            <w:noWrap w:val="0"/>
            <w:vAlign w:val="center"/>
          </w:tcPr>
          <w:p w14:paraId="56CB1D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1695000</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69F37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元</w:t>
            </w:r>
          </w:p>
        </w:tc>
        <w:tc>
          <w:tcPr>
            <w:tcW w:w="1021" w:type="dxa"/>
            <w:tcBorders>
              <w:top w:val="single" w:color="auto" w:sz="4" w:space="0"/>
              <w:left w:val="single" w:color="auto" w:sz="4" w:space="0"/>
              <w:bottom w:val="single" w:color="auto" w:sz="4" w:space="0"/>
              <w:right w:val="single" w:color="auto" w:sz="4" w:space="0"/>
              <w:tl2br w:val="nil"/>
              <w:tr2bl w:val="nil"/>
            </w:tcBorders>
            <w:noWrap w:val="0"/>
            <w:vAlign w:val="center"/>
          </w:tcPr>
          <w:p w14:paraId="4FA479A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single" w:color="auto" w:sz="4" w:space="0"/>
              <w:left w:val="single" w:color="auto" w:sz="4" w:space="0"/>
              <w:bottom w:val="single" w:color="auto" w:sz="4" w:space="0"/>
              <w:right w:val="single" w:color="auto" w:sz="4" w:space="0"/>
              <w:tl2br w:val="nil"/>
              <w:tr2bl w:val="nil"/>
            </w:tcBorders>
            <w:noWrap w:val="0"/>
            <w:vAlign w:val="center"/>
          </w:tcPr>
          <w:p w14:paraId="21ADFA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0</w:t>
            </w:r>
          </w:p>
        </w:tc>
      </w:tr>
      <w:tr w14:paraId="572D6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nil"/>
              <w:left w:val="single" w:color="auto" w:sz="4" w:space="0"/>
              <w:bottom w:val="single" w:color="000000" w:sz="8" w:space="0"/>
              <w:right w:val="single" w:color="auto" w:sz="4" w:space="0"/>
              <w:tl2br w:val="nil"/>
              <w:tr2bl w:val="nil"/>
            </w:tcBorders>
            <w:noWrap w:val="0"/>
            <w:vAlign w:val="center"/>
          </w:tcPr>
          <w:p w14:paraId="2424F2A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single" w:color="auto" w:sz="4" w:space="0"/>
              <w:left w:val="single" w:color="auto" w:sz="4" w:space="0"/>
              <w:bottom w:val="single" w:color="000000" w:sz="8" w:space="0"/>
              <w:right w:val="single" w:color="000000" w:sz="8" w:space="0"/>
              <w:tl2br w:val="nil"/>
              <w:tr2bl w:val="nil"/>
            </w:tcBorders>
            <w:noWrap w:val="0"/>
            <w:vAlign w:val="center"/>
          </w:tcPr>
          <w:p w14:paraId="49A7DB7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3" w:type="dxa"/>
            <w:vMerge w:val="continue"/>
            <w:tcBorders>
              <w:top w:val="single" w:color="auto" w:sz="4" w:space="0"/>
              <w:left w:val="nil"/>
              <w:bottom w:val="single" w:color="000000" w:sz="8" w:space="0"/>
              <w:right w:val="single" w:color="000000" w:sz="8" w:space="0"/>
              <w:tl2br w:val="nil"/>
              <w:tr2bl w:val="nil"/>
            </w:tcBorders>
            <w:noWrap w:val="0"/>
            <w:vAlign w:val="center"/>
          </w:tcPr>
          <w:p w14:paraId="0E4128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55" w:type="dxa"/>
            <w:tcBorders>
              <w:top w:val="single" w:color="auto" w:sz="4" w:space="0"/>
              <w:left w:val="nil"/>
              <w:bottom w:val="single" w:color="000000" w:sz="8" w:space="0"/>
              <w:right w:val="single" w:color="000000" w:sz="8" w:space="0"/>
              <w:tl2br w:val="nil"/>
              <w:tr2bl w:val="nil"/>
            </w:tcBorders>
            <w:noWrap w:val="0"/>
            <w:vAlign w:val="center"/>
          </w:tcPr>
          <w:p w14:paraId="173FFC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运转类预算控制</w:t>
            </w:r>
          </w:p>
        </w:tc>
        <w:tc>
          <w:tcPr>
            <w:tcW w:w="1021" w:type="dxa"/>
            <w:tcBorders>
              <w:top w:val="single" w:color="auto" w:sz="4" w:space="0"/>
              <w:left w:val="nil"/>
              <w:bottom w:val="single" w:color="000000" w:sz="8" w:space="0"/>
              <w:right w:val="single" w:color="000000" w:sz="8" w:space="0"/>
              <w:tl2br w:val="nil"/>
              <w:tr2bl w:val="nil"/>
            </w:tcBorders>
            <w:noWrap w:val="0"/>
            <w:vAlign w:val="center"/>
          </w:tcPr>
          <w:p w14:paraId="60FB55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single" w:color="auto" w:sz="4" w:space="0"/>
              <w:left w:val="nil"/>
              <w:bottom w:val="single" w:color="000000" w:sz="8" w:space="0"/>
              <w:right w:val="single" w:color="000000" w:sz="8" w:space="0"/>
              <w:tl2br w:val="nil"/>
              <w:tr2bl w:val="nil"/>
            </w:tcBorders>
            <w:noWrap w:val="0"/>
            <w:vAlign w:val="center"/>
          </w:tcPr>
          <w:p w14:paraId="1C448D3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7038818</w:t>
            </w:r>
          </w:p>
        </w:tc>
        <w:tc>
          <w:tcPr>
            <w:tcW w:w="1021" w:type="dxa"/>
            <w:tcBorders>
              <w:top w:val="single" w:color="auto" w:sz="4" w:space="0"/>
              <w:left w:val="nil"/>
              <w:bottom w:val="single" w:color="000000" w:sz="8" w:space="0"/>
              <w:right w:val="single" w:color="000000" w:sz="8" w:space="0"/>
              <w:tl2br w:val="nil"/>
              <w:tr2bl w:val="nil"/>
            </w:tcBorders>
            <w:noWrap w:val="0"/>
            <w:vAlign w:val="center"/>
          </w:tcPr>
          <w:p w14:paraId="63B4EE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元</w:t>
            </w:r>
          </w:p>
        </w:tc>
        <w:tc>
          <w:tcPr>
            <w:tcW w:w="1021" w:type="dxa"/>
            <w:tcBorders>
              <w:top w:val="single" w:color="auto" w:sz="4" w:space="0"/>
              <w:left w:val="nil"/>
              <w:bottom w:val="single" w:color="000000" w:sz="8" w:space="0"/>
              <w:right w:val="single" w:color="000000" w:sz="8" w:space="0"/>
              <w:tl2br w:val="nil"/>
              <w:tr2bl w:val="nil"/>
            </w:tcBorders>
            <w:noWrap w:val="0"/>
            <w:vAlign w:val="center"/>
          </w:tcPr>
          <w:p w14:paraId="6C0A5F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single" w:color="auto" w:sz="4" w:space="0"/>
              <w:left w:val="nil"/>
              <w:bottom w:val="single" w:color="000000" w:sz="8" w:space="0"/>
              <w:right w:val="single" w:color="000000" w:sz="8" w:space="0"/>
              <w:tl2br w:val="nil"/>
              <w:tr2bl w:val="nil"/>
            </w:tcBorders>
            <w:noWrap w:val="0"/>
            <w:vAlign w:val="center"/>
          </w:tcPr>
          <w:p w14:paraId="73E6AF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6852318</w:t>
            </w:r>
          </w:p>
        </w:tc>
      </w:tr>
      <w:tr w14:paraId="2200A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21" w:type="dxa"/>
            <w:vMerge w:val="continue"/>
            <w:tcBorders>
              <w:top w:val="nil"/>
              <w:left w:val="single" w:color="auto" w:sz="4" w:space="0"/>
              <w:bottom w:val="single" w:color="000000" w:sz="8" w:space="0"/>
              <w:right w:val="single" w:color="000000" w:sz="8" w:space="0"/>
              <w:tl2br w:val="nil"/>
              <w:tr2bl w:val="nil"/>
            </w:tcBorders>
            <w:noWrap w:val="0"/>
            <w:vAlign w:val="center"/>
          </w:tcPr>
          <w:p w14:paraId="1A736C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restart"/>
            <w:tcBorders>
              <w:top w:val="nil"/>
              <w:left w:val="nil"/>
              <w:bottom w:val="single" w:color="000000" w:sz="8" w:space="0"/>
              <w:right w:val="single" w:color="000000" w:sz="8" w:space="0"/>
              <w:tl2br w:val="nil"/>
              <w:tr2bl w:val="nil"/>
            </w:tcBorders>
            <w:noWrap w:val="0"/>
            <w:vAlign w:val="center"/>
          </w:tcPr>
          <w:p w14:paraId="431789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效益指标</w:t>
            </w:r>
          </w:p>
        </w:tc>
        <w:tc>
          <w:tcPr>
            <w:tcW w:w="1023" w:type="dxa"/>
            <w:tcBorders>
              <w:top w:val="nil"/>
              <w:left w:val="nil"/>
              <w:bottom w:val="single" w:color="000000" w:sz="8" w:space="0"/>
              <w:right w:val="single" w:color="000000" w:sz="8" w:space="0"/>
              <w:tl2br w:val="nil"/>
              <w:tr2bl w:val="nil"/>
            </w:tcBorders>
            <w:noWrap w:val="0"/>
            <w:vAlign w:val="center"/>
          </w:tcPr>
          <w:p w14:paraId="2DDFC6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经济效益指标</w:t>
            </w:r>
          </w:p>
        </w:tc>
        <w:tc>
          <w:tcPr>
            <w:tcW w:w="1055" w:type="dxa"/>
            <w:tcBorders>
              <w:top w:val="nil"/>
              <w:left w:val="nil"/>
              <w:bottom w:val="single" w:color="000000" w:sz="8" w:space="0"/>
              <w:right w:val="single" w:color="000000" w:sz="8" w:space="0"/>
              <w:tl2br w:val="nil"/>
              <w:tr2bl w:val="nil"/>
            </w:tcBorders>
            <w:noWrap w:val="0"/>
            <w:vAlign w:val="center"/>
          </w:tcPr>
          <w:p w14:paraId="74DD52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烟农人均年增收</w:t>
            </w:r>
          </w:p>
        </w:tc>
        <w:tc>
          <w:tcPr>
            <w:tcW w:w="1021" w:type="dxa"/>
            <w:tcBorders>
              <w:top w:val="nil"/>
              <w:left w:val="nil"/>
              <w:bottom w:val="single" w:color="000000" w:sz="8" w:space="0"/>
              <w:right w:val="single" w:color="000000" w:sz="8" w:space="0"/>
              <w:tl2br w:val="nil"/>
              <w:tr2bl w:val="nil"/>
            </w:tcBorders>
            <w:noWrap w:val="0"/>
            <w:vAlign w:val="center"/>
          </w:tcPr>
          <w:p w14:paraId="62A6912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nil"/>
              <w:left w:val="nil"/>
              <w:bottom w:val="single" w:color="000000" w:sz="8" w:space="0"/>
              <w:right w:val="single" w:color="000000" w:sz="8" w:space="0"/>
              <w:tl2br w:val="nil"/>
              <w:tr2bl w:val="nil"/>
            </w:tcBorders>
            <w:noWrap w:val="0"/>
            <w:vAlign w:val="center"/>
          </w:tcPr>
          <w:p w14:paraId="0067B6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3000</w:t>
            </w:r>
          </w:p>
        </w:tc>
        <w:tc>
          <w:tcPr>
            <w:tcW w:w="1021" w:type="dxa"/>
            <w:tcBorders>
              <w:top w:val="nil"/>
              <w:left w:val="nil"/>
              <w:bottom w:val="single" w:color="000000" w:sz="8" w:space="0"/>
              <w:right w:val="single" w:color="000000" w:sz="8" w:space="0"/>
              <w:tl2br w:val="nil"/>
              <w:tr2bl w:val="nil"/>
            </w:tcBorders>
            <w:noWrap w:val="0"/>
            <w:vAlign w:val="center"/>
          </w:tcPr>
          <w:p w14:paraId="258BA9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元/人年</w:t>
            </w:r>
          </w:p>
        </w:tc>
        <w:tc>
          <w:tcPr>
            <w:tcW w:w="1021" w:type="dxa"/>
            <w:tcBorders>
              <w:top w:val="nil"/>
              <w:left w:val="nil"/>
              <w:bottom w:val="single" w:color="000000" w:sz="8" w:space="0"/>
              <w:right w:val="single" w:color="000000" w:sz="8" w:space="0"/>
              <w:tl2br w:val="nil"/>
              <w:tr2bl w:val="nil"/>
            </w:tcBorders>
            <w:noWrap w:val="0"/>
            <w:vAlign w:val="center"/>
          </w:tcPr>
          <w:p w14:paraId="1E5466F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15</w:t>
            </w:r>
          </w:p>
        </w:tc>
        <w:tc>
          <w:tcPr>
            <w:tcW w:w="1317" w:type="dxa"/>
            <w:tcBorders>
              <w:top w:val="nil"/>
              <w:left w:val="nil"/>
              <w:bottom w:val="single" w:color="000000" w:sz="8" w:space="0"/>
              <w:right w:val="single" w:color="000000" w:sz="8" w:space="0"/>
              <w:tl2br w:val="nil"/>
              <w:tr2bl w:val="nil"/>
            </w:tcBorders>
            <w:noWrap w:val="0"/>
            <w:vAlign w:val="center"/>
          </w:tcPr>
          <w:p w14:paraId="50E5D1A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3000</w:t>
            </w:r>
          </w:p>
        </w:tc>
      </w:tr>
      <w:tr w14:paraId="0B495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nil"/>
              <w:left w:val="single" w:color="auto" w:sz="4" w:space="0"/>
              <w:bottom w:val="single" w:color="000000" w:sz="8" w:space="0"/>
              <w:right w:val="single" w:color="000000" w:sz="8" w:space="0"/>
              <w:tl2br w:val="nil"/>
              <w:tr2bl w:val="nil"/>
            </w:tcBorders>
            <w:noWrap w:val="0"/>
            <w:vAlign w:val="center"/>
          </w:tcPr>
          <w:p w14:paraId="62C9530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vMerge w:val="continue"/>
            <w:tcBorders>
              <w:top w:val="nil"/>
              <w:left w:val="nil"/>
              <w:bottom w:val="single" w:color="000000" w:sz="8" w:space="0"/>
              <w:right w:val="single" w:color="000000" w:sz="8" w:space="0"/>
              <w:tl2br w:val="nil"/>
              <w:tr2bl w:val="nil"/>
            </w:tcBorders>
            <w:noWrap w:val="0"/>
            <w:vAlign w:val="center"/>
          </w:tcPr>
          <w:p w14:paraId="7F9729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23" w:type="dxa"/>
            <w:tcBorders>
              <w:top w:val="nil"/>
              <w:left w:val="nil"/>
              <w:bottom w:val="single" w:color="000000" w:sz="8" w:space="0"/>
              <w:right w:val="single" w:color="000000" w:sz="8" w:space="0"/>
              <w:tl2br w:val="nil"/>
              <w:tr2bl w:val="nil"/>
            </w:tcBorders>
            <w:noWrap w:val="0"/>
            <w:vAlign w:val="center"/>
          </w:tcPr>
          <w:p w14:paraId="5E35C2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社会效益指标</w:t>
            </w:r>
          </w:p>
        </w:tc>
        <w:tc>
          <w:tcPr>
            <w:tcW w:w="1055" w:type="dxa"/>
            <w:tcBorders>
              <w:top w:val="nil"/>
              <w:left w:val="nil"/>
              <w:bottom w:val="single" w:color="000000" w:sz="8" w:space="0"/>
              <w:right w:val="single" w:color="000000" w:sz="8" w:space="0"/>
              <w:tl2br w:val="nil"/>
              <w:tr2bl w:val="nil"/>
            </w:tcBorders>
            <w:noWrap w:val="0"/>
            <w:vAlign w:val="center"/>
          </w:tcPr>
          <w:p w14:paraId="214B50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改善村居环境，提升群众生产生活质量。</w:t>
            </w:r>
          </w:p>
        </w:tc>
        <w:tc>
          <w:tcPr>
            <w:tcW w:w="1021" w:type="dxa"/>
            <w:tcBorders>
              <w:top w:val="nil"/>
              <w:left w:val="nil"/>
              <w:bottom w:val="single" w:color="000000" w:sz="8" w:space="0"/>
              <w:right w:val="single" w:color="000000" w:sz="8" w:space="0"/>
              <w:tl2br w:val="nil"/>
              <w:tr2bl w:val="nil"/>
            </w:tcBorders>
            <w:noWrap w:val="0"/>
            <w:vAlign w:val="center"/>
          </w:tcPr>
          <w:p w14:paraId="21D54E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定性</w:t>
            </w:r>
          </w:p>
        </w:tc>
        <w:tc>
          <w:tcPr>
            <w:tcW w:w="1216" w:type="dxa"/>
            <w:tcBorders>
              <w:top w:val="nil"/>
              <w:left w:val="nil"/>
              <w:bottom w:val="single" w:color="000000" w:sz="8" w:space="0"/>
              <w:right w:val="single" w:color="000000" w:sz="8" w:space="0"/>
              <w:tl2br w:val="nil"/>
              <w:tr2bl w:val="nil"/>
            </w:tcBorders>
            <w:noWrap w:val="0"/>
            <w:vAlign w:val="center"/>
          </w:tcPr>
          <w:p w14:paraId="211012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优</w:t>
            </w:r>
          </w:p>
        </w:tc>
        <w:tc>
          <w:tcPr>
            <w:tcW w:w="1021" w:type="dxa"/>
            <w:tcBorders>
              <w:top w:val="nil"/>
              <w:left w:val="nil"/>
              <w:bottom w:val="single" w:color="000000" w:sz="8" w:space="0"/>
              <w:right w:val="single" w:color="000000" w:sz="8" w:space="0"/>
              <w:tl2br w:val="nil"/>
              <w:tr2bl w:val="nil"/>
            </w:tcBorders>
            <w:noWrap w:val="0"/>
            <w:vAlign w:val="center"/>
          </w:tcPr>
          <w:p w14:paraId="1DA344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p>
        </w:tc>
        <w:tc>
          <w:tcPr>
            <w:tcW w:w="1021" w:type="dxa"/>
            <w:tcBorders>
              <w:top w:val="nil"/>
              <w:left w:val="nil"/>
              <w:bottom w:val="single" w:color="000000" w:sz="8" w:space="0"/>
              <w:right w:val="single" w:color="000000" w:sz="8" w:space="0"/>
              <w:tl2br w:val="nil"/>
              <w:tr2bl w:val="nil"/>
            </w:tcBorders>
            <w:noWrap w:val="0"/>
            <w:vAlign w:val="center"/>
          </w:tcPr>
          <w:p w14:paraId="7D3AF9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nil"/>
              <w:left w:val="nil"/>
              <w:bottom w:val="single" w:color="000000" w:sz="8" w:space="0"/>
              <w:right w:val="single" w:color="000000" w:sz="8" w:space="0"/>
              <w:tl2br w:val="nil"/>
              <w:tr2bl w:val="nil"/>
            </w:tcBorders>
            <w:noWrap w:val="0"/>
            <w:vAlign w:val="center"/>
          </w:tcPr>
          <w:p w14:paraId="4EC345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优</w:t>
            </w:r>
          </w:p>
        </w:tc>
      </w:tr>
      <w:tr w14:paraId="080E0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21" w:type="dxa"/>
            <w:vMerge w:val="continue"/>
            <w:tcBorders>
              <w:top w:val="nil"/>
              <w:left w:val="single" w:color="auto" w:sz="4" w:space="0"/>
              <w:bottom w:val="single" w:color="000000" w:sz="8" w:space="0"/>
              <w:right w:val="single" w:color="000000" w:sz="8" w:space="0"/>
              <w:tl2br w:val="nil"/>
              <w:tr2bl w:val="nil"/>
            </w:tcBorders>
            <w:noWrap w:val="0"/>
            <w:vAlign w:val="center"/>
          </w:tcPr>
          <w:p w14:paraId="0CEF86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025" w:type="dxa"/>
            <w:tcBorders>
              <w:top w:val="nil"/>
              <w:left w:val="nil"/>
              <w:bottom w:val="single" w:color="000000" w:sz="8" w:space="0"/>
              <w:right w:val="single" w:color="000000" w:sz="8" w:space="0"/>
              <w:tl2br w:val="nil"/>
              <w:tr2bl w:val="nil"/>
            </w:tcBorders>
            <w:noWrap w:val="0"/>
            <w:vAlign w:val="center"/>
          </w:tcPr>
          <w:p w14:paraId="16D1A8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满意度指标</w:t>
            </w:r>
          </w:p>
        </w:tc>
        <w:tc>
          <w:tcPr>
            <w:tcW w:w="1023" w:type="dxa"/>
            <w:tcBorders>
              <w:top w:val="nil"/>
              <w:left w:val="nil"/>
              <w:bottom w:val="single" w:color="000000" w:sz="8" w:space="0"/>
              <w:right w:val="single" w:color="000000" w:sz="8" w:space="0"/>
              <w:tl2br w:val="nil"/>
              <w:tr2bl w:val="nil"/>
            </w:tcBorders>
            <w:noWrap w:val="0"/>
            <w:vAlign w:val="center"/>
          </w:tcPr>
          <w:p w14:paraId="504EC8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满意度指标</w:t>
            </w:r>
          </w:p>
        </w:tc>
        <w:tc>
          <w:tcPr>
            <w:tcW w:w="1055" w:type="dxa"/>
            <w:tcBorders>
              <w:top w:val="nil"/>
              <w:left w:val="nil"/>
              <w:bottom w:val="single" w:color="000000" w:sz="8" w:space="0"/>
              <w:right w:val="single" w:color="000000" w:sz="8" w:space="0"/>
              <w:tl2br w:val="nil"/>
              <w:tr2bl w:val="nil"/>
            </w:tcBorders>
            <w:noWrap w:val="0"/>
            <w:vAlign w:val="center"/>
          </w:tcPr>
          <w:p w14:paraId="134B2C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受益对象满意度</w:t>
            </w:r>
          </w:p>
        </w:tc>
        <w:tc>
          <w:tcPr>
            <w:tcW w:w="1021" w:type="dxa"/>
            <w:tcBorders>
              <w:top w:val="nil"/>
              <w:left w:val="nil"/>
              <w:bottom w:val="single" w:color="000000" w:sz="8" w:space="0"/>
              <w:right w:val="single" w:color="000000" w:sz="8" w:space="0"/>
              <w:tl2br w:val="nil"/>
              <w:tr2bl w:val="nil"/>
            </w:tcBorders>
            <w:noWrap w:val="0"/>
            <w:vAlign w:val="center"/>
          </w:tcPr>
          <w:p w14:paraId="0C278E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216" w:type="dxa"/>
            <w:tcBorders>
              <w:top w:val="nil"/>
              <w:left w:val="nil"/>
              <w:bottom w:val="single" w:color="000000" w:sz="8" w:space="0"/>
              <w:right w:val="single" w:color="000000" w:sz="8" w:space="0"/>
              <w:tl2br w:val="nil"/>
              <w:tr2bl w:val="nil"/>
            </w:tcBorders>
            <w:noWrap w:val="0"/>
            <w:vAlign w:val="center"/>
          </w:tcPr>
          <w:p w14:paraId="492D70B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96</w:t>
            </w:r>
          </w:p>
        </w:tc>
        <w:tc>
          <w:tcPr>
            <w:tcW w:w="1021" w:type="dxa"/>
            <w:tcBorders>
              <w:top w:val="nil"/>
              <w:left w:val="nil"/>
              <w:bottom w:val="single" w:color="000000" w:sz="8" w:space="0"/>
              <w:right w:val="single" w:color="000000" w:sz="8" w:space="0"/>
              <w:tl2br w:val="nil"/>
              <w:tr2bl w:val="nil"/>
            </w:tcBorders>
            <w:noWrap w:val="0"/>
            <w:vAlign w:val="center"/>
          </w:tcPr>
          <w:p w14:paraId="47F6CB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w:t>
            </w:r>
          </w:p>
        </w:tc>
        <w:tc>
          <w:tcPr>
            <w:tcW w:w="1021" w:type="dxa"/>
            <w:tcBorders>
              <w:top w:val="nil"/>
              <w:left w:val="nil"/>
              <w:bottom w:val="single" w:color="000000" w:sz="8" w:space="0"/>
              <w:right w:val="single" w:color="000000" w:sz="8" w:space="0"/>
              <w:tl2br w:val="nil"/>
              <w:tr2bl w:val="nil"/>
            </w:tcBorders>
            <w:noWrap w:val="0"/>
            <w:vAlign w:val="center"/>
          </w:tcPr>
          <w:p w14:paraId="1BF1F1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5</w:t>
            </w:r>
          </w:p>
        </w:tc>
        <w:tc>
          <w:tcPr>
            <w:tcW w:w="1317" w:type="dxa"/>
            <w:tcBorders>
              <w:top w:val="nil"/>
              <w:left w:val="nil"/>
              <w:bottom w:val="single" w:color="000000" w:sz="8" w:space="0"/>
              <w:right w:val="single" w:color="000000" w:sz="8" w:space="0"/>
              <w:tl2br w:val="nil"/>
              <w:tr2bl w:val="nil"/>
            </w:tcBorders>
            <w:noWrap/>
            <w:vAlign w:val="center"/>
          </w:tcPr>
          <w:p w14:paraId="7E5CF8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100</w:t>
            </w:r>
          </w:p>
        </w:tc>
      </w:tr>
    </w:tbl>
    <w:p w14:paraId="4C00BD3F">
      <w:pPr>
        <w:pStyle w:val="3"/>
        <w:bidi w:val="0"/>
        <w:rPr>
          <w:rFonts w:hint="eastAsia"/>
        </w:rPr>
        <w:sectPr>
          <w:pgSz w:w="11906" w:h="16838"/>
          <w:pgMar w:top="2098" w:right="1474" w:bottom="1984" w:left="1587" w:header="851" w:footer="992" w:gutter="0"/>
          <w:lnNumType w:countBy="0" w:distance="360"/>
          <w:pgNumType w:fmt="decimal"/>
          <w:cols w:space="720" w:num="1"/>
          <w:docGrid w:type="lines" w:linePitch="312" w:charSpace="0"/>
        </w:sectPr>
      </w:pPr>
    </w:p>
    <w:p w14:paraId="4E14CE5D">
      <w:pPr>
        <w:pStyle w:val="3"/>
        <w:bidi w:val="0"/>
        <w:ind w:left="0" w:leftChars="0" w:firstLine="0" w:firstLineChars="0"/>
        <w:rPr>
          <w:rFonts w:hint="eastAsia" w:ascii="方正小标宋简体" w:hAnsi="方正小标宋简体" w:eastAsia="方正小标宋简体" w:cs="方正小标宋简体"/>
          <w:kern w:val="21"/>
          <w:sz w:val="44"/>
          <w:szCs w:val="44"/>
          <w:lang w:val="en-US" w:eastAsia="zh-CN" w:bidi="ar-SA"/>
        </w:rPr>
      </w:pPr>
      <w:bookmarkStart w:id="25" w:name="_Toc15661"/>
      <w:r>
        <w:rPr>
          <w:rFonts w:hint="eastAsia"/>
        </w:rPr>
        <w:t>附件2</w:t>
      </w:r>
      <w:bookmarkEnd w:id="25"/>
    </w:p>
    <w:p w14:paraId="55DC866F">
      <w:pPr>
        <w:keepNext w:val="0"/>
        <w:keepLines w:val="0"/>
        <w:pageBreakBefore w:val="0"/>
        <w:widowControl w:val="0"/>
        <w:kinsoku/>
        <w:wordWrap/>
        <w:overflowPunct/>
        <w:topLinePunct w:val="0"/>
        <w:autoSpaceDE w:val="0"/>
        <w:autoSpaceDN w:val="0"/>
        <w:bidi w:val="0"/>
        <w:adjustRightInd w:val="0"/>
        <w:snapToGrid/>
        <w:spacing w:beforeLines="0" w:afterLines="0" w:line="576" w:lineRule="exact"/>
        <w:ind w:firstLine="0" w:firstLineChars="0"/>
        <w:jc w:val="center"/>
        <w:textAlignment w:val="auto"/>
        <w:rPr>
          <w:rFonts w:hint="eastAsia" w:ascii="方正小标宋简体" w:hAnsi="方正小标宋简体" w:eastAsia="方正小标宋简体" w:cs="方正小标宋简体"/>
          <w:kern w:val="21"/>
          <w:sz w:val="44"/>
          <w:szCs w:val="44"/>
          <w:lang w:val="en-US" w:eastAsia="zh-CN" w:bidi="ar-SA"/>
        </w:rPr>
      </w:pPr>
      <w:r>
        <w:rPr>
          <w:rFonts w:hint="eastAsia" w:ascii="方正小标宋简体" w:hAnsi="方正小标宋简体" w:eastAsia="方正小标宋简体" w:cs="方正小标宋简体"/>
          <w:kern w:val="21"/>
          <w:sz w:val="44"/>
          <w:szCs w:val="44"/>
          <w:lang w:val="en-US" w:eastAsia="zh-CN" w:bidi="ar-SA"/>
        </w:rPr>
        <w:t>部门整体预算绩效评价指标体系</w:t>
      </w:r>
    </w:p>
    <w:tbl>
      <w:tblPr>
        <w:tblStyle w:val="10"/>
        <w:tblW w:w="52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7"/>
        <w:gridCol w:w="741"/>
        <w:gridCol w:w="761"/>
        <w:gridCol w:w="605"/>
        <w:gridCol w:w="2279"/>
        <w:gridCol w:w="3811"/>
        <w:gridCol w:w="585"/>
      </w:tblGrid>
      <w:tr w14:paraId="49277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trPr>
        <w:tc>
          <w:tcPr>
            <w:tcW w:w="1192" w:type="pct"/>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543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绩效指标</w:t>
            </w:r>
          </w:p>
        </w:tc>
        <w:tc>
          <w:tcPr>
            <w:tcW w:w="31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4EC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指标分值</w:t>
            </w:r>
          </w:p>
        </w:tc>
        <w:tc>
          <w:tcPr>
            <w:tcW w:w="1192"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FC0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指标解释</w:t>
            </w:r>
          </w:p>
        </w:tc>
        <w:tc>
          <w:tcPr>
            <w:tcW w:w="1993"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142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评价要点及说明</w:t>
            </w:r>
          </w:p>
        </w:tc>
        <w:tc>
          <w:tcPr>
            <w:tcW w:w="305"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6812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自评得分</w:t>
            </w:r>
          </w:p>
        </w:tc>
      </w:tr>
      <w:tr w14:paraId="7C92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4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D0C6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一级指标</w:t>
            </w: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ACB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二级指标</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2BF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三级指标</w:t>
            </w:r>
          </w:p>
        </w:tc>
        <w:tc>
          <w:tcPr>
            <w:tcW w:w="31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77C5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192"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630B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1993"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32C3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05"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9F0F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r>
      <w:tr w14:paraId="2E07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3" w:hRule="atLeast"/>
        </w:trPr>
        <w:tc>
          <w:tcPr>
            <w:tcW w:w="406" w:type="pct"/>
            <w:vMerge w:val="restart"/>
            <w:tcBorders>
              <w:top w:val="single" w:color="000000" w:sz="4" w:space="0"/>
              <w:left w:val="single" w:color="000000" w:sz="4" w:space="0"/>
              <w:right w:val="single" w:color="000000" w:sz="4" w:space="0"/>
              <w:tl2br w:val="nil"/>
              <w:tr2bl w:val="nil"/>
            </w:tcBorders>
            <w:noWrap w:val="0"/>
            <w:vAlign w:val="center"/>
          </w:tcPr>
          <w:p w14:paraId="648254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部门预算总体绩效(42分)</w:t>
            </w:r>
          </w:p>
        </w:tc>
        <w:tc>
          <w:tcPr>
            <w:tcW w:w="3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2E68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目标管理(22分)</w:t>
            </w:r>
          </w:p>
        </w:tc>
        <w:tc>
          <w:tcPr>
            <w:tcW w:w="39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3F00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目标制定(12分)</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38B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7</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041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单位年初绩效目标和年度执行中增加预算绩效目标编制质量。</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FEE1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根据区财政组织开展对部门整体和部门预算项目绩效目标编制在科学合理、规范完整、细化量化、与预算安排相匹配等方面情况的会审结果换算得分或根据评价组抽查评分，分值4分：2.年度执行中增加的项目预算，根据预算一体化系统导出的绩效目标申报表编制质量抽查确定，分值3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2869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7</w:t>
            </w:r>
          </w:p>
        </w:tc>
      </w:tr>
      <w:tr w14:paraId="7316E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trPr>
        <w:tc>
          <w:tcPr>
            <w:tcW w:w="406" w:type="pct"/>
            <w:vMerge w:val="continue"/>
            <w:tcBorders>
              <w:left w:val="single" w:color="000000" w:sz="4" w:space="0"/>
              <w:right w:val="single" w:color="000000" w:sz="4" w:space="0"/>
              <w:tl2br w:val="nil"/>
              <w:tr2bl w:val="nil"/>
            </w:tcBorders>
            <w:noWrap w:val="0"/>
            <w:vAlign w:val="center"/>
          </w:tcPr>
          <w:p w14:paraId="5188262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C6CC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E00A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699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2</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589C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预算编制阶段人大反馈绩效目标质量审查情况。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87F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每反馈一个问题扣0.5分，扣完为止。</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E5CE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2</w:t>
            </w:r>
          </w:p>
        </w:tc>
      </w:tr>
      <w:tr w14:paraId="14AC3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406" w:type="pct"/>
            <w:vMerge w:val="continue"/>
            <w:tcBorders>
              <w:left w:val="single" w:color="000000" w:sz="4" w:space="0"/>
              <w:right w:val="single" w:color="000000" w:sz="4" w:space="0"/>
              <w:tl2br w:val="nil"/>
              <w:tr2bl w:val="nil"/>
            </w:tcBorders>
            <w:noWrap w:val="0"/>
            <w:vAlign w:val="center"/>
          </w:tcPr>
          <w:p w14:paraId="1312CF1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5B08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2DAA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245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6BC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单位绩效目标制定是否纳入本单位集体决策范围。</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2C7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绩效目标制定纳入本部门(单位)党组(委)会(办公会)集体决策范围，并有相关佐证材料的得3分，否则不得分。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6A8A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047BB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06" w:type="pct"/>
            <w:vMerge w:val="continue"/>
            <w:tcBorders>
              <w:left w:val="single" w:color="000000" w:sz="4" w:space="0"/>
              <w:right w:val="single" w:color="000000" w:sz="4" w:space="0"/>
              <w:tl2br w:val="nil"/>
              <w:tr2bl w:val="nil"/>
            </w:tcBorders>
            <w:noWrap w:val="0"/>
            <w:vAlign w:val="center"/>
          </w:tcPr>
          <w:p w14:paraId="03E3D56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67DF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98"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519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目标实现(10分)</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2895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56D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目标完成。部门预算项目绩效目标数量指标完成情况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F58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该项指标得分=完成绩效目标数量指标的其他运转类、特定目标类预算项目数量(含一次性项目)÷其他运转类、特定目标类预算项目总数(含一次性项目)×100%×4</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896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r>
      <w:tr w14:paraId="669BB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5" w:hRule="atLeast"/>
        </w:trPr>
        <w:tc>
          <w:tcPr>
            <w:tcW w:w="406" w:type="pct"/>
            <w:vMerge w:val="continue"/>
            <w:tcBorders>
              <w:left w:val="single" w:color="000000" w:sz="4" w:space="0"/>
              <w:right w:val="single" w:color="000000" w:sz="4" w:space="0"/>
              <w:tl2br w:val="nil"/>
              <w:tr2bl w:val="nil"/>
            </w:tcBorders>
            <w:noWrap w:val="0"/>
            <w:vAlign w:val="center"/>
          </w:tcPr>
          <w:p w14:paraId="09D6066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C2D5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5F35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580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BC70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目标偏离。部门预算项目绩效目标数量指标实现程度与预期目标的偏离情况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9EE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偏离度=(绩效指标实际完成值-设定预期指标值)÷设定预期指标值。部门预算阶段项目(含一次性项目)绩效目标实际完成值偏离预期指标30%以上(含30%)的，不计分。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F45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517F1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trPr>
        <w:tc>
          <w:tcPr>
            <w:tcW w:w="406" w:type="pct"/>
            <w:vMerge w:val="continue"/>
            <w:tcBorders>
              <w:left w:val="single" w:color="000000" w:sz="4" w:space="0"/>
              <w:right w:val="single" w:color="000000" w:sz="4" w:space="0"/>
              <w:tl2br w:val="nil"/>
              <w:tr2bl w:val="nil"/>
            </w:tcBorders>
            <w:noWrap w:val="0"/>
            <w:vAlign w:val="center"/>
          </w:tcPr>
          <w:p w14:paraId="7C0D3E4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16AA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98"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600C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C585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54BB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实现效果。部门预算项目绩效目标效益指标实施效果</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D415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该项指标得分=完成绩效目标效益指标的部门预算项目数量(含一次性项目)÷部门预算其他运转类和特定类目标类项目总数(含一次性项目)×100%×3。</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CB13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60712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vMerge w:val="continue"/>
            <w:tcBorders>
              <w:left w:val="single" w:color="000000" w:sz="4" w:space="0"/>
              <w:bottom w:val="single" w:color="000000" w:sz="4" w:space="0"/>
              <w:right w:val="single" w:color="000000" w:sz="4" w:space="0"/>
              <w:tl2br w:val="nil"/>
              <w:tr2bl w:val="nil"/>
            </w:tcBorders>
            <w:noWrap w:val="0"/>
            <w:vAlign w:val="center"/>
          </w:tcPr>
          <w:p w14:paraId="1BD51A0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E30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过程管控(20分)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321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严控一般性支出</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BCC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5</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47F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单位严控“三公”经费、会议、培训、差旅、办节办展、办公设备购置、信息网络及软件购置更新、课题经费等8项一般性支出情况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8E0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snapToGrid w:val="0"/>
                <w:color w:val="000000"/>
                <w:kern w:val="21"/>
                <w:sz w:val="20"/>
                <w:szCs w:val="20"/>
                <w:lang w:bidi="ar"/>
              </w:rPr>
            </w:pPr>
            <w:r>
              <w:rPr>
                <w:rFonts w:hint="eastAsia" w:ascii="宋体" w:hAnsi="宋体" w:eastAsia="宋体" w:cs="宋体"/>
                <w:snapToGrid w:val="0"/>
                <w:color w:val="000000"/>
                <w:kern w:val="21"/>
                <w:sz w:val="20"/>
                <w:szCs w:val="20"/>
                <w:lang w:bidi="ar"/>
              </w:rPr>
              <w:t>该项指标得分=基础分值+加分值。</w:t>
            </w:r>
          </w:p>
          <w:p w14:paraId="45C1D5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1.基础分值。一般性支出财政拨款年初预算较上年实现压减得1分：一般性支出财政拨款预算执行较上年实现压减得1分。</w:t>
            </w:r>
            <w:r>
              <w:rPr>
                <w:rFonts w:hint="eastAsia" w:ascii="宋体" w:hAnsi="宋体" w:eastAsia="宋体" w:cs="宋体"/>
                <w:snapToGrid w:val="0"/>
                <w:color w:val="000000"/>
                <w:kern w:val="21"/>
                <w:sz w:val="20"/>
                <w:szCs w:val="20"/>
                <w:lang w:bidi="ar"/>
              </w:rPr>
              <w:br w:type="textWrapping"/>
            </w:r>
            <w:r>
              <w:rPr>
                <w:rFonts w:hint="eastAsia" w:ascii="宋体" w:hAnsi="宋体" w:eastAsia="宋体" w:cs="宋体"/>
                <w:snapToGrid w:val="0"/>
                <w:color w:val="000000"/>
                <w:kern w:val="21"/>
                <w:sz w:val="20"/>
                <w:szCs w:val="20"/>
                <w:lang w:bidi="ar"/>
              </w:rPr>
              <w:t>2.加分值。一般性支出财政拨款年初预算较上年每压减1%得0.2分，累计不超过1分；一般性支出财政拨款预算执行较上年每压减1%得0.4分，累计不超过2分。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761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5</w:t>
            </w:r>
          </w:p>
        </w:tc>
      </w:tr>
      <w:tr w14:paraId="1DD6C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vMerge w:val="restart"/>
            <w:tcBorders>
              <w:top w:val="single" w:color="000000" w:sz="4" w:space="0"/>
              <w:left w:val="single" w:color="000000" w:sz="4" w:space="0"/>
              <w:right w:val="single" w:color="000000" w:sz="4" w:space="0"/>
              <w:tl2br w:val="nil"/>
              <w:tr2bl w:val="nil"/>
            </w:tcBorders>
            <w:noWrap w:val="0"/>
            <w:vAlign w:val="center"/>
          </w:tcPr>
          <w:p w14:paraId="710F4DC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部门预算总体绩效(42分)</w:t>
            </w:r>
          </w:p>
        </w:tc>
        <w:tc>
          <w:tcPr>
            <w:tcW w:w="387" w:type="pct"/>
            <w:vMerge w:val="restart"/>
            <w:tcBorders>
              <w:top w:val="single" w:color="000000" w:sz="4" w:space="0"/>
              <w:left w:val="single" w:color="000000" w:sz="4" w:space="0"/>
              <w:right w:val="single" w:color="000000" w:sz="4" w:space="0"/>
              <w:tl2br w:val="nil"/>
              <w:tr2bl w:val="nil"/>
            </w:tcBorders>
            <w:noWrap w:val="0"/>
            <w:vAlign w:val="center"/>
          </w:tcPr>
          <w:p w14:paraId="35BE918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过程管控(20分)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3BF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执行进度</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83E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CDA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部门1至6月、1至11月预算执行情况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772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该项指标得分=(1至6月预算执行数÷(部门预算数×40%)×1)+(1-1至6月支出预警金额占比×0.8-1至6月支出违规金额占比×0.2)+(1至11月预算执行数÷(部门预算数×80%)×1)+(1-1至11月支出预警金额占比×0.8-1至11月支出违规金额占比×0.2)。</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8FB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r>
      <w:tr w14:paraId="2699D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06" w:type="pct"/>
            <w:vMerge w:val="continue"/>
            <w:tcBorders>
              <w:left w:val="single" w:color="000000" w:sz="4" w:space="0"/>
              <w:right w:val="single" w:color="000000" w:sz="4" w:space="0"/>
              <w:tl2br w:val="nil"/>
              <w:tr2bl w:val="nil"/>
            </w:tcBorders>
            <w:noWrap w:val="0"/>
            <w:vAlign w:val="center"/>
          </w:tcPr>
          <w:p w14:paraId="317F0F3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left w:val="single" w:color="000000" w:sz="4" w:space="0"/>
              <w:right w:val="single" w:color="000000" w:sz="4" w:space="0"/>
              <w:tl2br w:val="nil"/>
              <w:tr2bl w:val="nil"/>
            </w:tcBorders>
            <w:noWrap w:val="0"/>
            <w:vAlign w:val="center"/>
          </w:tcPr>
          <w:p w14:paraId="4946D96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8E0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项目调整</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D2F1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E09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部门预算项目是否采取对应调整措施</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55F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该项指标得分=4-应采取未采取收回预算或调整项目(含暂缓拨款项目)或调整目标等处置措施的部门预算阶段项目(含一次性项目)数量÷应采取收回预算或调整项目(含暂缓拨款项目)或调整目标等处置措施的部门预算阶段项目(含一次性项目)总数×100%×4。</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B027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r>
      <w:tr w14:paraId="4AE4F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406" w:type="pct"/>
            <w:vMerge w:val="continue"/>
            <w:tcBorders>
              <w:left w:val="single" w:color="000000" w:sz="4" w:space="0"/>
              <w:right w:val="single" w:color="000000" w:sz="4" w:space="0"/>
              <w:tl2br w:val="nil"/>
              <w:tr2bl w:val="nil"/>
            </w:tcBorders>
            <w:noWrap w:val="0"/>
            <w:vAlign w:val="center"/>
          </w:tcPr>
          <w:p w14:paraId="509A461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left w:val="single" w:color="000000" w:sz="4" w:space="0"/>
              <w:right w:val="single" w:color="000000" w:sz="4" w:space="0"/>
              <w:tl2br w:val="nil"/>
              <w:tr2bl w:val="nil"/>
            </w:tcBorders>
            <w:noWrap w:val="0"/>
            <w:vAlign w:val="center"/>
          </w:tcPr>
          <w:p w14:paraId="118AB36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D88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资金使用规范</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D00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1E07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单位资金使用是否符合相关财务管理制度规定</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C04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单位资金使用不符合相关财务管理制度规定的，发现一处扣1分，扣完为止。</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9CC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r>
      <w:tr w14:paraId="6ED26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406" w:type="pct"/>
            <w:vMerge w:val="continue"/>
            <w:tcBorders>
              <w:left w:val="single" w:color="000000" w:sz="4" w:space="0"/>
              <w:bottom w:val="single" w:color="000000" w:sz="4" w:space="0"/>
              <w:right w:val="single" w:color="000000" w:sz="4" w:space="0"/>
              <w:tl2br w:val="nil"/>
              <w:tr2bl w:val="nil"/>
            </w:tcBorders>
            <w:noWrap w:val="0"/>
            <w:vAlign w:val="center"/>
          </w:tcPr>
          <w:p w14:paraId="6A7E419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left w:val="single" w:color="000000" w:sz="4" w:space="0"/>
              <w:bottom w:val="single" w:color="000000" w:sz="4" w:space="0"/>
              <w:right w:val="single" w:color="000000" w:sz="4" w:space="0"/>
              <w:tl2br w:val="nil"/>
              <w:tr2bl w:val="nil"/>
            </w:tcBorders>
            <w:noWrap w:val="0"/>
            <w:vAlign w:val="center"/>
          </w:tcPr>
          <w:p w14:paraId="43CB923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kern w:val="21"/>
                <w:sz w:val="20"/>
                <w:szCs w:val="20"/>
              </w:rPr>
            </w:pP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503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执行结果</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D235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DDB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部门预算项目预算执行情况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1B0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该项指标得分=预算结余率小于10%的常年项目数量÷部门预算常年项目总数×100%×2+预算结余率小于10%的一次性项目和阶段项目数量÷部门预算一次性项目和阶段项目总数×100%×1,(重点核实范围为部门机关及至少2个下属单位的所有纳入绩效目标管理的部门预算项目)。结余率=(实际使用资金-预算资金)/预算资金*100%</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C66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4E93F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0" w:hRule="atLeast"/>
        </w:trPr>
        <w:tc>
          <w:tcPr>
            <w:tcW w:w="4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AAF4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部门预算项目绩效(18分)</w:t>
            </w:r>
          </w:p>
        </w:tc>
        <w:tc>
          <w:tcPr>
            <w:tcW w:w="4287"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855A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评价组根据部门预算项目(含一次性项目)数量，选取部分部门预算项目实施复评并打分，将形成的项目复评分数的平均分(百分制)按15%的比例换算得分(5个以内的部门项目全部复评，5个至10个的抽个，10个以上的抽6个)。2.2024年对区本级新增30万元及以上的部门预算项目(含一次性项目)自行开展事前绩效评估，并将评估资料提交区财政的得3分。应开展未开展的每发现一个扣1.5分，直至扣完(若应开展1个，且未开展的，此项不得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4ACB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18</w:t>
            </w:r>
          </w:p>
        </w:tc>
      </w:tr>
      <w:tr w14:paraId="46A62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trPr>
        <w:tc>
          <w:tcPr>
            <w:tcW w:w="4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9A88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专项预算绩效(20分)</w:t>
            </w:r>
          </w:p>
        </w:tc>
        <w:tc>
          <w:tcPr>
            <w:tcW w:w="4287" w:type="pct"/>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FEDE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根据评价组开展对专项预算项目自评报告质量审核结果换算得分，有两个以上专项预算项目的，以平均分换算得分，此项5分(5个以内的项目全部抽查，5个至19个的抽5个：10个以上的抽6个)。2.2024年对办理区本级财力追加30万元及以上的项目自行开展事前绩效评估，并将评估资料提交区财政的，得5分。应开展未开展的每发现一个扣1.5分，直至此项扣完(若应开展1个，且未开展的，此项不得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C5C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20</w:t>
            </w:r>
          </w:p>
        </w:tc>
      </w:tr>
      <w:tr w14:paraId="3C584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40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03C9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绩效结果应用(13分)</w:t>
            </w: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31F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预算绩效制度(4分)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11E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内部预算绩效制度建设</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3AD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5FF2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结合本部门(单位)实际，建立健全预算绩效管理制度和内部预算绩效工作考核机制。</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2326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建立健全本部门(单位)预算绩效管理制度，有正式文件且内容齐全，符合实际要求的，得2分。有正式文件，但内容不全或相关内容过时的，扣1分，无正式文件，仅提供world版本或内容不全的，不得分。2.建立对内设机构和下属单位纳入内部预算绩效工作考核机制，有正式文件且实行内部绩效考核的，得2分。无正式文件但实行内部预算绩效工作考核的，得1分，有正式文件但未实行内部考核的，得1分；既无正式文件又未实行内部考核的，不得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250E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4</w:t>
            </w:r>
          </w:p>
        </w:tc>
      </w:tr>
      <w:tr w14:paraId="01236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0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D079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CC9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信息公开(3分)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04A3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自评公开</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73B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90AE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部门(单位)是否按要求将部门整体绩效自评情况和自行组织的评价情况向社会公开。</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A9C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按绩效自评公开要求将相关绩效信息随同决算或按上级要求公开的，得</w:t>
            </w:r>
            <w:r>
              <w:rPr>
                <w:rStyle w:val="17"/>
                <w:rFonts w:hint="eastAsia" w:ascii="宋体" w:hAnsi="宋体" w:eastAsia="宋体" w:cs="宋体"/>
                <w:snapToGrid w:val="0"/>
                <w:kern w:val="21"/>
                <w:sz w:val="20"/>
                <w:szCs w:val="20"/>
                <w:lang w:bidi="ar"/>
              </w:rPr>
              <w:t>3</w:t>
            </w:r>
            <w:r>
              <w:rPr>
                <w:rFonts w:hint="eastAsia" w:ascii="宋体" w:hAnsi="宋体" w:eastAsia="宋体" w:cs="宋体"/>
                <w:snapToGrid w:val="0"/>
                <w:color w:val="000000"/>
                <w:kern w:val="21"/>
                <w:sz w:val="20"/>
                <w:szCs w:val="20"/>
                <w:lang w:bidi="ar"/>
              </w:rPr>
              <w:t>分，否则不得分。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DBAE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23A6F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40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E9E2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2BF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整改反馈(6分)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E630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问题整改</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E0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AAFC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部门(单位)根据绩效管理结果整改问题、完善政策、改进管理的情况。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D63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针对绩效管理过程中(包括绩效目标核查、绩效监控核查、重点自评抽查和重点绩效评价)提出的问题进行全面整改，得3分。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5045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14A1B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0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49C6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87"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34EF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93B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应用反馈</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5F3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510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部门(单位)按要求及时向区财政部门反馈问题整改及结果应用情况。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3AD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部门(单位)在规定时间内向财政部门反馈问题整改及绩效结果应用报告，报告内容翔实、问题整改到位、结果应用充分的，得3分，按反馈报告时间和质量扣分(按时反馈得1分：报告质量，含涉及完善制度得2分)。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840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3</w:t>
            </w:r>
          </w:p>
        </w:tc>
      </w:tr>
      <w:tr w14:paraId="08C68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5" w:hRule="atLeast"/>
        </w:trPr>
        <w:tc>
          <w:tcPr>
            <w:tcW w:w="40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BC9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自评质量(7分)</w:t>
            </w:r>
          </w:p>
        </w:tc>
        <w:tc>
          <w:tcPr>
            <w:tcW w:w="387"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8D0D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自评质量(7分)</w:t>
            </w:r>
          </w:p>
        </w:tc>
        <w:tc>
          <w:tcPr>
            <w:tcW w:w="398"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2A8E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自评质量</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053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7</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9366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部门整体支出自评准确率</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DD4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部门整体支出自评得分与评价组抽查得分差异在10%以内的，不扣分：在10%-15%(含)之间的，扣3分，在15%—20%之间的，扣4分，在20%及以上的，不得分。(此为财政重点绩效评价计分标准，部门参照该标准对部门及下属单位抽查计分)。(差异率=自评得分-抽查得分)/抽查得分*100%)</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DB8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7</w:t>
            </w:r>
          </w:p>
        </w:tc>
      </w:tr>
      <w:tr w14:paraId="4825A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1" w:hRule="atLeast"/>
        </w:trPr>
        <w:tc>
          <w:tcPr>
            <w:tcW w:w="406" w:type="pct"/>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DBB6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扣分项(10分)</w:t>
            </w:r>
          </w:p>
        </w:tc>
        <w:tc>
          <w:tcPr>
            <w:tcW w:w="7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094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预算绩效存在问题</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04D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5</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19A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预算绩效管理工作存在问题。</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345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依据评价年度人大监督、巡视巡察、审计监督、财会监督等结果以及中央、省、市层面涉及评价方面出现的问题，每有一个问题点扣1分，扣完为止，此项总分3分：2.年度内被各层级发现预算资金方面重大违规违纪问题或被区财政(含上级主管部门)发送“两书一函”(约谈通知书、整改通知书和提醒敦促函),每有一个问题点扣0.5分，扣完为止，此项总分2分。</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951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0</w:t>
            </w:r>
          </w:p>
        </w:tc>
      </w:tr>
      <w:tr w14:paraId="36F71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406" w:type="pct"/>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0599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kern w:val="21"/>
                <w:sz w:val="20"/>
                <w:szCs w:val="20"/>
              </w:rPr>
            </w:pPr>
          </w:p>
        </w:tc>
        <w:tc>
          <w:tcPr>
            <w:tcW w:w="785" w:type="pct"/>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499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被评价单位配合度</w:t>
            </w:r>
          </w:p>
        </w:tc>
        <w:tc>
          <w:tcPr>
            <w:tcW w:w="316"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FDA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5</w:t>
            </w:r>
          </w:p>
        </w:tc>
        <w:tc>
          <w:tcPr>
            <w:tcW w:w="1192"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FD0C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被评价单位工作配合情况</w:t>
            </w:r>
          </w:p>
        </w:tc>
        <w:tc>
          <w:tcPr>
            <w:tcW w:w="1993"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996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评价工作开展过程中，被评价对象拖延推诿、提交资料不及时(含绩效自评)等拒不配合评价工作的，发现一次扣1分，扣完为止。</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8703A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0</w:t>
            </w:r>
          </w:p>
        </w:tc>
      </w:tr>
      <w:tr w14:paraId="4CA95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4694" w:type="pct"/>
            <w:gridSpan w:val="6"/>
            <w:tcBorders>
              <w:top w:val="single" w:color="000000" w:sz="4" w:space="0"/>
              <w:left w:val="single" w:color="000000" w:sz="4" w:space="0"/>
              <w:bottom w:val="single" w:color="000000" w:sz="4" w:space="0"/>
              <w:right w:val="single" w:color="000000" w:sz="4" w:space="0"/>
              <w:tl2br w:val="nil"/>
              <w:tr2bl w:val="nil"/>
            </w:tcBorders>
            <w:noWrap/>
            <w:vAlign w:val="center"/>
          </w:tcPr>
          <w:p w14:paraId="44E7D7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合计</w:t>
            </w:r>
          </w:p>
        </w:tc>
        <w:tc>
          <w:tcPr>
            <w:tcW w:w="305" w:type="pct"/>
            <w:tcBorders>
              <w:top w:val="single" w:color="000000" w:sz="4" w:space="0"/>
              <w:left w:val="single" w:color="000000" w:sz="4" w:space="0"/>
              <w:bottom w:val="single" w:color="000000" w:sz="4" w:space="0"/>
              <w:right w:val="single" w:color="000000" w:sz="4" w:space="0"/>
              <w:tl2br w:val="nil"/>
              <w:tr2bl w:val="nil"/>
            </w:tcBorders>
            <w:noWrap/>
            <w:vAlign w:val="center"/>
          </w:tcPr>
          <w:p w14:paraId="2A810D3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kern w:val="21"/>
                <w:sz w:val="20"/>
                <w:szCs w:val="20"/>
              </w:rPr>
            </w:pPr>
            <w:r>
              <w:rPr>
                <w:rFonts w:hint="eastAsia" w:ascii="宋体" w:hAnsi="宋体" w:eastAsia="宋体" w:cs="宋体"/>
                <w:snapToGrid w:val="0"/>
                <w:color w:val="000000"/>
                <w:kern w:val="21"/>
                <w:sz w:val="20"/>
                <w:szCs w:val="20"/>
                <w:lang w:bidi="ar"/>
              </w:rPr>
              <w:t>100</w:t>
            </w:r>
          </w:p>
        </w:tc>
      </w:tr>
    </w:tbl>
    <w:p w14:paraId="3FB0DACE">
      <w:pPr>
        <w:spacing w:beforeLines="0" w:afterLines="0"/>
        <w:rPr>
          <w:rStyle w:val="16"/>
          <w:rFonts w:hint="eastAsia"/>
          <w:kern w:val="21"/>
          <w:sz w:val="32"/>
          <w:szCs w:val="32"/>
          <w:lang w:bidi="ar"/>
        </w:rPr>
        <w:sectPr>
          <w:pgSz w:w="11906" w:h="16838"/>
          <w:pgMar w:top="2098" w:right="1474" w:bottom="1984" w:left="1587" w:header="851" w:footer="992" w:gutter="0"/>
          <w:lnNumType w:countBy="0" w:distance="360"/>
          <w:pgNumType w:fmt="decimal"/>
          <w:cols w:space="720" w:num="1"/>
          <w:docGrid w:type="lines" w:linePitch="312" w:charSpace="0"/>
        </w:sectPr>
      </w:pPr>
    </w:p>
    <w:p w14:paraId="288C9E92">
      <w:pPr>
        <w:pStyle w:val="3"/>
        <w:bidi w:val="0"/>
        <w:ind w:left="0" w:leftChars="0" w:firstLine="0" w:firstLineChars="0"/>
        <w:rPr>
          <w:rFonts w:hint="eastAsia"/>
        </w:rPr>
      </w:pPr>
      <w:bookmarkStart w:id="26" w:name="_Toc15171"/>
      <w:r>
        <w:rPr>
          <w:rFonts w:hint="eastAsia"/>
        </w:rPr>
        <w:t>附件3</w:t>
      </w:r>
      <w:bookmarkEnd w:id="26"/>
    </w:p>
    <w:p w14:paraId="4FF2B952">
      <w:pPr>
        <w:keepNext w:val="0"/>
        <w:keepLines w:val="0"/>
        <w:pageBreakBefore w:val="0"/>
        <w:widowControl w:val="0"/>
        <w:kinsoku/>
        <w:wordWrap/>
        <w:overflowPunct/>
        <w:topLinePunct w:val="0"/>
        <w:autoSpaceDE w:val="0"/>
        <w:autoSpaceDN w:val="0"/>
        <w:bidi w:val="0"/>
        <w:adjustRightInd w:val="0"/>
        <w:snapToGrid/>
        <w:spacing w:beforeLines="0" w:afterLines="0" w:line="576" w:lineRule="exact"/>
        <w:ind w:firstLine="0" w:firstLineChars="0"/>
        <w:jc w:val="center"/>
        <w:textAlignment w:val="auto"/>
        <w:rPr>
          <w:rFonts w:hint="eastAsia" w:ascii="方正小标宋简体" w:hAnsi="方正小标宋简体" w:eastAsia="方正小标宋简体" w:cs="方正小标宋简体"/>
          <w:kern w:val="21"/>
          <w:sz w:val="44"/>
          <w:szCs w:val="44"/>
          <w:lang w:val="en-US" w:eastAsia="zh-CN" w:bidi="ar-SA"/>
        </w:rPr>
      </w:pPr>
      <w:r>
        <w:rPr>
          <w:rFonts w:hint="eastAsia" w:ascii="方正小标宋简体" w:hAnsi="方正小标宋简体" w:eastAsia="方正小标宋简体" w:cs="方正小标宋简体"/>
          <w:kern w:val="21"/>
          <w:sz w:val="44"/>
          <w:szCs w:val="44"/>
          <w:lang w:val="en-US" w:eastAsia="zh-CN" w:bidi="ar-SA"/>
        </w:rPr>
        <w:t>部门预算项目支出绩效自评表</w:t>
      </w:r>
    </w:p>
    <w:tbl>
      <w:tblPr>
        <w:tblStyle w:val="10"/>
        <w:tblW w:w="107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9"/>
        <w:gridCol w:w="1292"/>
        <w:gridCol w:w="1134"/>
        <w:gridCol w:w="1429"/>
        <w:gridCol w:w="446"/>
        <w:gridCol w:w="885"/>
        <w:gridCol w:w="480"/>
        <w:gridCol w:w="1215"/>
        <w:gridCol w:w="478"/>
        <w:gridCol w:w="446"/>
        <w:gridCol w:w="2263"/>
      </w:tblGrid>
      <w:tr w14:paraId="57B04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FA3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7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BF0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51081123T000009097162-202年烤烟产业发展</w:t>
            </w:r>
          </w:p>
        </w:tc>
      </w:tr>
      <w:tr w14:paraId="540E1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194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CE6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3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041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215" w:type="dxa"/>
            <w:tcBorders>
              <w:top w:val="nil"/>
              <w:left w:val="nil"/>
              <w:bottom w:val="nil"/>
              <w:right w:val="nil"/>
              <w:tl2br w:val="nil"/>
              <w:tr2bl w:val="nil"/>
            </w:tcBorders>
            <w:noWrap w:val="0"/>
            <w:vAlign w:val="center"/>
          </w:tcPr>
          <w:p w14:paraId="4EFC0F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1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67F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3D714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5DF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2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CF8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3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1C4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4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641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7A275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A73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94C5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3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80E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为了加强烟叶产业发展，提高烟农收入。完成43.67万元烟叶税收目标任务，开展烤烟生产技术培训3次，维修烤房16间（千秋5间、保民5间、新荣3间、石井3间），烟地整理1000亩（千秋150亩、保民200亩、冯家岭100亩、新场150亩、石井100亩、肖家寨200亩、元柏树100亩），提高烟农收入。2023年12月之前烟叶税收目标任务完成100%，烟叶种植目标任务完成100%，全年烤烟发展投入财政资金成本为20.12万元，全年烟农效益增收率为15%。对生态环境部造成任何污染，群众（烟叶种植户）满意度达到95%。</w:t>
            </w:r>
          </w:p>
        </w:tc>
        <w:tc>
          <w:tcPr>
            <w:tcW w:w="440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A802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基本完成年度任务目标，烟农技术培训3次以上，维修烤烟房16间，烟地整理1000亩，烟叶税收完成43.23万元</w:t>
            </w:r>
          </w:p>
        </w:tc>
      </w:tr>
      <w:tr w14:paraId="4240B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7E96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FD5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7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756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对烟农进行技术培训3次以上，维修烤烟房16间，烟地培肥、翻挖等整理1000亩，指导烟农烤烟，协助烟农出售烟叶，烟叶税收完成43.23万元</w:t>
            </w:r>
          </w:p>
        </w:tc>
      </w:tr>
      <w:tr w14:paraId="54681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4C2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44A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9E6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216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259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BF3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470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67A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C13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042C4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8EF6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A85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822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26B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43.23</w:t>
            </w: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6DA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43.23</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4E3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1A7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837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A05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w:t>
            </w:r>
            <w:r>
              <w:rPr>
                <w:rStyle w:val="18"/>
                <w:rFonts w:hint="eastAsia" w:ascii="宋体" w:hAnsi="宋体" w:eastAsia="宋体" w:cs="宋体"/>
                <w:snapToGrid w:val="0"/>
                <w:sz w:val="20"/>
                <w:szCs w:val="20"/>
                <w:lang w:bidi="ar"/>
              </w:rPr>
              <w:t>=</w:t>
            </w:r>
            <w:r>
              <w:rPr>
                <w:rFonts w:hint="eastAsia" w:ascii="宋体" w:hAnsi="宋体" w:eastAsia="宋体" w:cs="宋体"/>
                <w:snapToGrid w:val="0"/>
                <w:color w:val="000000"/>
                <w:sz w:val="20"/>
                <w:szCs w:val="20"/>
                <w:lang w:bidi="ar"/>
              </w:rPr>
              <w:t>预算执行数</w:t>
            </w:r>
            <w:r>
              <w:rPr>
                <w:rStyle w:val="18"/>
                <w:rFonts w:hint="eastAsia" w:ascii="宋体" w:hAnsi="宋体" w:eastAsia="宋体" w:cs="宋体"/>
                <w:snapToGrid w:val="0"/>
                <w:sz w:val="20"/>
                <w:szCs w:val="20"/>
                <w:lang w:bidi="ar"/>
              </w:rPr>
              <w:t>/</w:t>
            </w:r>
            <w:r>
              <w:rPr>
                <w:rFonts w:hint="eastAsia" w:ascii="宋体" w:hAnsi="宋体" w:eastAsia="宋体" w:cs="宋体"/>
                <w:snapToGrid w:val="0"/>
                <w:color w:val="000000"/>
                <w:sz w:val="20"/>
                <w:szCs w:val="20"/>
                <w:lang w:bidi="ar"/>
              </w:rPr>
              <w:t>调整后预算数，预算执行率未达到</w:t>
            </w:r>
            <w:r>
              <w:rPr>
                <w:rStyle w:val="18"/>
                <w:rFonts w:hint="eastAsia" w:ascii="宋体" w:hAnsi="宋体" w:eastAsia="宋体" w:cs="宋体"/>
                <w:snapToGrid w:val="0"/>
                <w:sz w:val="20"/>
                <w:szCs w:val="20"/>
                <w:lang w:bidi="ar"/>
              </w:rPr>
              <w:t>90%</w:t>
            </w:r>
            <w:r>
              <w:rPr>
                <w:rFonts w:hint="eastAsia" w:ascii="宋体" w:hAnsi="宋体" w:eastAsia="宋体" w:cs="宋体"/>
                <w:snapToGrid w:val="0"/>
                <w:color w:val="000000"/>
                <w:sz w:val="20"/>
                <w:szCs w:val="20"/>
                <w:lang w:bidi="ar"/>
              </w:rPr>
              <w:t>的需说明原因（</w:t>
            </w:r>
            <w:r>
              <w:rPr>
                <w:rStyle w:val="18"/>
                <w:rFonts w:hint="eastAsia" w:ascii="宋体" w:hAnsi="宋体" w:eastAsia="宋体" w:cs="宋体"/>
                <w:snapToGrid w:val="0"/>
                <w:sz w:val="20"/>
                <w:szCs w:val="20"/>
                <w:lang w:bidi="ar"/>
              </w:rPr>
              <w:t>100</w:t>
            </w:r>
            <w:r>
              <w:rPr>
                <w:rFonts w:hint="eastAsia" w:ascii="宋体" w:hAnsi="宋体" w:eastAsia="宋体" w:cs="宋体"/>
                <w:snapToGrid w:val="0"/>
                <w:color w:val="000000"/>
                <w:sz w:val="20"/>
                <w:szCs w:val="20"/>
                <w:lang w:bidi="ar"/>
              </w:rPr>
              <w:t>字以内）</w:t>
            </w:r>
            <w:r>
              <w:rPr>
                <w:rStyle w:val="18"/>
                <w:rFonts w:hint="eastAsia" w:ascii="宋体" w:hAnsi="宋体" w:eastAsia="宋体" w:cs="宋体"/>
                <w:snapToGrid w:val="0"/>
                <w:sz w:val="20"/>
                <w:szCs w:val="20"/>
                <w:lang w:bidi="ar"/>
              </w:rPr>
              <w:t>;2.</w:t>
            </w:r>
            <w:r>
              <w:rPr>
                <w:rFonts w:hint="eastAsia" w:ascii="宋体" w:hAnsi="宋体" w:eastAsia="宋体" w:cs="宋体"/>
                <w:snapToGrid w:val="0"/>
                <w:color w:val="000000"/>
                <w:sz w:val="20"/>
                <w:szCs w:val="20"/>
                <w:lang w:bidi="ar"/>
              </w:rPr>
              <w:t>年中发生预算调整的（追加或调减）</w:t>
            </w:r>
            <w:r>
              <w:rPr>
                <w:rStyle w:val="18"/>
                <w:rFonts w:hint="eastAsia" w:ascii="宋体" w:hAnsi="宋体" w:eastAsia="宋体" w:cs="宋体"/>
                <w:snapToGrid w:val="0"/>
                <w:sz w:val="20"/>
                <w:szCs w:val="20"/>
                <w:lang w:bidi="ar"/>
              </w:rPr>
              <w:t>,</w:t>
            </w:r>
            <w:r>
              <w:rPr>
                <w:rFonts w:hint="eastAsia" w:ascii="宋体" w:hAnsi="宋体" w:eastAsia="宋体" w:cs="宋体"/>
                <w:snapToGrid w:val="0"/>
                <w:color w:val="000000"/>
                <w:sz w:val="20"/>
                <w:szCs w:val="20"/>
                <w:lang w:bidi="ar"/>
              </w:rPr>
              <w:t>应单独说明理由；</w:t>
            </w:r>
            <w:r>
              <w:rPr>
                <w:rStyle w:val="18"/>
                <w:rFonts w:hint="eastAsia" w:ascii="宋体" w:hAnsi="宋体" w:eastAsia="宋体" w:cs="宋体"/>
                <w:snapToGrid w:val="0"/>
                <w:sz w:val="20"/>
                <w:szCs w:val="20"/>
                <w:lang w:bidi="ar"/>
              </w:rPr>
              <w:t>3.</w:t>
            </w:r>
            <w:r>
              <w:rPr>
                <w:rFonts w:hint="eastAsia" w:ascii="宋体" w:hAnsi="宋体" w:eastAsia="宋体" w:cs="宋体"/>
                <w:snapToGrid w:val="0"/>
                <w:color w:val="000000"/>
                <w:sz w:val="20"/>
                <w:szCs w:val="20"/>
                <w:lang w:bidi="ar"/>
              </w:rPr>
              <w:t>其他资金包括：社会投入资金、银行贷款</w:t>
            </w:r>
            <w:r>
              <w:rPr>
                <w:rStyle w:val="18"/>
                <w:rFonts w:hint="eastAsia" w:ascii="宋体" w:hAnsi="宋体" w:eastAsia="宋体" w:cs="宋体"/>
                <w:snapToGrid w:val="0"/>
                <w:sz w:val="20"/>
                <w:szCs w:val="20"/>
                <w:lang w:bidi="ar"/>
              </w:rPr>
              <w:t>.</w:t>
            </w:r>
          </w:p>
        </w:tc>
      </w:tr>
      <w:tr w14:paraId="4596A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C037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CAA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1EB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CA6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43.23</w:t>
            </w: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A53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43.23</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00E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67D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CF2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2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836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1421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8CC8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F6B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7C3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99A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E82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3AA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094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9C2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2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5087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8DBD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7D91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FD2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AB8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14B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7B8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F5B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BB6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247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2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FD5E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4A84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DA7D6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6A1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CDC8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A915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81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1AE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20D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28DD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2A9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2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F9E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292F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5742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261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2B1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64C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6F4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4DD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874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7CB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5FC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BF6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846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659B2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2C2AF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EB4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1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799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082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7D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8F8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7CB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8E8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8B6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5AF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2DB8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1BF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6292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64E3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B852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286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全年技术培训次数</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9B0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85F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38E4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CEA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8DB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9E8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D832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31A8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798D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6B4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83E8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C7B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维修烤房</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7E2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A7D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5DC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处</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065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BCD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1B0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01B5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09BA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D3DA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B692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A85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0A1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村各项目标任务完成考核合格率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EFA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615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C462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C52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A72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07B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2172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1599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7ACD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AA91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49C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F31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资金支付合规率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A67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1D9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750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72D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773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A65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CA78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41A7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D7EA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9B1A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30B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183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2023年度烤烟各项目标完成及时率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242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2B30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D58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1AC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269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F25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47F3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FAE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F6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A6A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A93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经济效益指标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9A0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全年烟农效益增收率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6A6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26F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028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BAB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E67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E82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B988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98D2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F15C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4849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2E4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生态效益指标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2F6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生态环境影响率</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2E0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FAD3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C6C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6F9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929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32A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B376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D3E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75E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A1A5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DCC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C1E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烟叶种植户满意度</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319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FE3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71C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2A9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CDD2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534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1831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5528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jc w:val="center"/>
        </w:trPr>
        <w:tc>
          <w:tcPr>
            <w:tcW w:w="6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0DF0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DDD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1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E1A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2A0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烟地整理、烟农返税、烤房维修</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F72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DFB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13.67</w:t>
            </w:r>
          </w:p>
        </w:tc>
        <w:tc>
          <w:tcPr>
            <w:tcW w:w="4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2EB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246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13.67</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0CE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FBF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9D9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56C2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753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19A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F4B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D1F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22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3F43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0EAD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2FE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06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7C6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自评得分99分，对烟农进行技术培训3次以上，维修烤烟房16间，烟地培肥、翻挖等整理1000亩，全年烟农效益增收15%以上。烟农满意度95%以上</w:t>
            </w:r>
          </w:p>
        </w:tc>
      </w:tr>
      <w:tr w14:paraId="0570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921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06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9B8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烟叶税收实际完成额比预期目标略低，绩效目标信息调整不及时</w:t>
            </w:r>
          </w:p>
        </w:tc>
      </w:tr>
      <w:tr w14:paraId="1635B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7BC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06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4AD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加大对项目动态监控，实时掌握项目进度情况，及时做出绩效目标调整</w:t>
            </w:r>
          </w:p>
        </w:tc>
      </w:tr>
      <w:tr w14:paraId="3B3ED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495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DEE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76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7AB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17F41FF">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方正小标宋简体" w:hAnsi="方正小标宋简体" w:eastAsia="方正小标宋简体" w:cs="方正小标宋简体"/>
          <w:kern w:val="21"/>
          <w:sz w:val="44"/>
          <w:szCs w:val="44"/>
        </w:rPr>
      </w:pPr>
    </w:p>
    <w:p w14:paraId="22DA6778">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6"/>
        <w:gridCol w:w="1181"/>
        <w:gridCol w:w="1051"/>
        <w:gridCol w:w="1274"/>
        <w:gridCol w:w="675"/>
        <w:gridCol w:w="765"/>
        <w:gridCol w:w="681"/>
        <w:gridCol w:w="1189"/>
        <w:gridCol w:w="561"/>
        <w:gridCol w:w="561"/>
        <w:gridCol w:w="1907"/>
      </w:tblGrid>
      <w:tr w14:paraId="1860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4CE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B51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51081123T000009837493-2022年烟叶发展资金（结转）</w:t>
            </w:r>
          </w:p>
        </w:tc>
      </w:tr>
      <w:tr w14:paraId="5735F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184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D51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4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F03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89" w:type="dxa"/>
            <w:tcBorders>
              <w:top w:val="nil"/>
              <w:left w:val="nil"/>
              <w:bottom w:val="nil"/>
              <w:right w:val="nil"/>
              <w:tl2br w:val="nil"/>
              <w:tr2bl w:val="nil"/>
            </w:tcBorders>
            <w:noWrap w:val="0"/>
            <w:vAlign w:val="center"/>
          </w:tcPr>
          <w:p w14:paraId="0DDE79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2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025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58276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6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8A2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1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C7F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4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A0E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21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753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4DF5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2E44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B55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4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5CD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30.394933万元烟叶生产，加强烤烟产业发展，开展烤烟种植技术培训2次，烟地整理800亩（保民村400亩，卫子村100亩，冯家岭村100亩，石井铺村100亩，新场村100亩），提高烟农收入，返还烟农发展经费12.7608万元。</w:t>
            </w:r>
          </w:p>
        </w:tc>
        <w:tc>
          <w:tcPr>
            <w:tcW w:w="421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03DE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全面完成</w:t>
            </w:r>
          </w:p>
        </w:tc>
      </w:tr>
      <w:tr w14:paraId="6B0AD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1DB1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06E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6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C7F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对接上级单位，核实2022年烤烟资金未完成支付金额、人员信息，及时足额支付未完成款项</w:t>
            </w:r>
          </w:p>
        </w:tc>
      </w:tr>
      <w:tr w14:paraId="0F0DE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6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B47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258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779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906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564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5A1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CA3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B38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980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7757C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80C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FBF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66C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72B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0.20</w:t>
            </w: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993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0.20</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131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8F4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E59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5F4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2B9E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ACCA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820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CB6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25F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0.20</w:t>
            </w: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C9D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0.20</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FCE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83E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B73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6508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C49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454AC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999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E12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C81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47A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00B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6F4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D97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7B41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231A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967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21B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C92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8AA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8ED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0D8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E73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C00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8DA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D896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0F53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510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0654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8AA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21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9D96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A4BF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5B2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A97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15EB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2224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6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1ED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7B2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69D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E54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700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375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CD4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0A1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85A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E8F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948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1B2C6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0FA1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FA6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0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E67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7BA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种植烤烟亩数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6E0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8B6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507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A43A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000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6D5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48A3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2532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661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FDA0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4835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17A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烟地整理亩数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DD3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28F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D58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A8F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748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990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E2B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EB3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98AC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DB0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0B05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171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种烟户技术培训次数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B2F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661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699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02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45D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2BB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EF09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E6D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23FA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25A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067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3808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烟地整理、技术培训等合格率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143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3EB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695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860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B3A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AF1B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318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BAB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880B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684A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7CF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825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资金支付及时率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D59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68F4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CF2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1A5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9EA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476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9097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C3FD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A801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556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0256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经济效益指标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F08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带动10户种烟户户均增收</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527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293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D55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DD3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B3D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D6F0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FED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97C8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B76C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659C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59E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B58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带动周边农户务工就业</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FA4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F71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400</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0BE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人次</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84F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0B9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E35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FFBC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269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81DA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27CB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0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E72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F4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烟农满意度</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D4B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30D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A67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F9C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60F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1EC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A4B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C6D9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C956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65A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0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6D1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4B3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烟叶发展工作经费</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C90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FB0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176341.33</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BC9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CB9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176341.33</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220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80A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0C19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9303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FF29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8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52C0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F564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449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烟农返税</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B9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FC0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127608</w:t>
            </w:r>
          </w:p>
        </w:tc>
        <w:tc>
          <w:tcPr>
            <w:tcW w:w="6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6F6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1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144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127608</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AB55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940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CB46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B169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748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64C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166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42B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EFD5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B599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6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61A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98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480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自评得分100分，核实2022年烤烟资金未完成支付金额、人员信息，及时足额支付相应尾款</w:t>
            </w:r>
          </w:p>
        </w:tc>
      </w:tr>
      <w:tr w14:paraId="096E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210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98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239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431C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6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BED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984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6C1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FB7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4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2B2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66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37D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277567F6">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4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44"/>
        <w:gridCol w:w="1173"/>
        <w:gridCol w:w="1444"/>
        <w:gridCol w:w="630"/>
        <w:gridCol w:w="570"/>
        <w:gridCol w:w="690"/>
        <w:gridCol w:w="1110"/>
        <w:gridCol w:w="525"/>
        <w:gridCol w:w="570"/>
        <w:gridCol w:w="2070"/>
      </w:tblGrid>
      <w:tr w14:paraId="0DF2F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1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1B9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8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CE5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51081123Y000008962529-2023年园区建设</w:t>
            </w:r>
          </w:p>
        </w:tc>
      </w:tr>
      <w:tr w14:paraId="20AC1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196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4C8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5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344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10" w:type="dxa"/>
            <w:tcBorders>
              <w:top w:val="nil"/>
              <w:left w:val="nil"/>
              <w:bottom w:val="nil"/>
              <w:right w:val="nil"/>
              <w:tl2br w:val="nil"/>
              <w:tr2bl w:val="nil"/>
            </w:tcBorders>
            <w:noWrap w:val="0"/>
            <w:vAlign w:val="center"/>
          </w:tcPr>
          <w:p w14:paraId="674804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16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3CA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23903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17AE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F8C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5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390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2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2A82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6804C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8740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55D7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5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BB2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我镇预算10万元，结转上年15万元用于园区建设，确保园区建设更快更好的完成。</w:t>
            </w:r>
          </w:p>
        </w:tc>
        <w:tc>
          <w:tcPr>
            <w:tcW w:w="427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E74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完成本年度园区建设目标任务，支付上年度园区项目建设尾款，保障园区正常运转</w:t>
            </w:r>
          </w:p>
        </w:tc>
      </w:tr>
      <w:tr w14:paraId="17FD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8B4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158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8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320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上级及其他单位到园区考察调研、业务技术指导、经验交流接待，协调解决园区问题，对园区环境卫生整治</w:t>
            </w:r>
          </w:p>
        </w:tc>
      </w:tr>
      <w:tr w14:paraId="0CDEB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7C2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50C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A83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78D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D1B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C05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CD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A89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D55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7C4E5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1182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EEB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37B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4A5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25.00</w:t>
            </w: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F43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E56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F12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66C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5DA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50AB3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39E8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BE0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19A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763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25.00</w:t>
            </w: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1A1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EB3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7F6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A85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EF6D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758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AA7F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A597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949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91B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04F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8CC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69E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98A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1BA4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F40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B9F8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419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EE3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EC7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C3E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48A3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0D3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741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11C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AEE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C5C9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0BC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F5A9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239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8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DE5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2F09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52A9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32A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71E2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E41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78C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500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0EB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9E1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F4F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A86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D32F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64C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F7A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BF6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871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2580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8FC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8B6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17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8BA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EA4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园区接待</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52F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DE3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983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B8B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48E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4D8C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9332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2538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E67B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F262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653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849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到园区协调解决问题开展工作</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91F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C85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6D3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D30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5BD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539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5E8C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7F09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78A8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5A6B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7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5725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9C2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环境卫生整治</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D7F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ED2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12</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57A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581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12</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96B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A7E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0764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B090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62F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F592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E64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63C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园区建设考核合格率</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47B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F12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7AD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C15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A38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5B0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2588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ED50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F22A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9292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E40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C341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园区建设按进度完成</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8E1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35C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3D7B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E88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F3A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A9A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3EE3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450E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880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7E4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EBA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7B2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园区建成后，使周边地区农民人均收入水平提高</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F2D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626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FF2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5A9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573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935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6B58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EF8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FE73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16C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44B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1D6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群众满意度</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F8E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2B1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7A0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27E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D57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F61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5607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6254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1016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B2B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1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EA5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4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1D3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成本控制在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71F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655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282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5B3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A41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32B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B0BD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68DB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57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525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759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16F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20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1867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F901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C8BC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2AE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自评得分100分，完成本年度的园区接待任务、基础设施维护和建设，整治环境卫生，加强广告宣传，也完成以前年度未支付的项目尾款</w:t>
            </w:r>
          </w:p>
        </w:tc>
      </w:tr>
      <w:tr w14:paraId="664AD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E7C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B2D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40970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6AD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2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74B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8232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 w:hRule="atLeast"/>
          <w:jc w:val="center"/>
        </w:trPr>
        <w:tc>
          <w:tcPr>
            <w:tcW w:w="520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DC8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53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24F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45294E16">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60"/>
        <w:gridCol w:w="1365"/>
        <w:gridCol w:w="1437"/>
        <w:gridCol w:w="1548"/>
        <w:gridCol w:w="660"/>
        <w:gridCol w:w="630"/>
        <w:gridCol w:w="690"/>
        <w:gridCol w:w="1248"/>
        <w:gridCol w:w="651"/>
        <w:gridCol w:w="562"/>
        <w:gridCol w:w="1320"/>
      </w:tblGrid>
      <w:tr w14:paraId="562FD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20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776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4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2B9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51081124T000011391855-基层组织活动和公共服务运行</w:t>
            </w:r>
          </w:p>
        </w:tc>
      </w:tr>
      <w:tr w14:paraId="7DF9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202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B44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9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A7C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248" w:type="dxa"/>
            <w:tcBorders>
              <w:top w:val="nil"/>
              <w:left w:val="nil"/>
              <w:bottom w:val="nil"/>
              <w:right w:val="nil"/>
              <w:tl2br w:val="nil"/>
              <w:tr2bl w:val="nil"/>
            </w:tcBorders>
            <w:noWrap w:val="0"/>
            <w:vAlign w:val="center"/>
          </w:tcPr>
          <w:p w14:paraId="048195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5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D9A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0DD6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18D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C1E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9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D37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78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673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1E67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5"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A5A4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FD65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9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739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强基层组织建设，提高公共运行服务保障水平和社会治理能力，按照《广元市昭化区基层活动和公共服务运行经费使用管理办法》，开展组织活动每村每月1次，党员干部培训每村每月1次，产业培训每村每季度1次，走访慰问每村全年不少于10次，完成17个村（居）组织活动场所维护、基础设施维护，维持17个村(居）日常办公运转。</w:t>
            </w:r>
          </w:p>
        </w:tc>
        <w:tc>
          <w:tcPr>
            <w:tcW w:w="378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0DE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各村社区圆满完成年度计划，按计划开展组织活动，对党员干部进行培训，走访慰问困难群众，维护、修建基层设施</w:t>
            </w:r>
          </w:p>
        </w:tc>
      </w:tr>
      <w:tr w14:paraId="0734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16B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6DE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4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06E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开展组织活动，提升基层党组织战斗堡垒作用，培训党员干部，提高政治素养和业务水平，维护、修建基础设施，建设和美乡村</w:t>
            </w:r>
          </w:p>
        </w:tc>
      </w:tr>
      <w:tr w14:paraId="71E55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325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04B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361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0D7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00C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ACA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23F1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BA8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A99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4DF28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D0C1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E99C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A5F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EB5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204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317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7D5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CC6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9F6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因财政资金紧张，国库未能及时审核用款计划</w:t>
            </w:r>
          </w:p>
        </w:tc>
      </w:tr>
      <w:tr w14:paraId="2D976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D71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82F5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6B6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49E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E87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FCC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32A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F89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C96D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92DC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764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541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ACA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3B4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B2A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B9D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3AD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310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D6C9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D100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C726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960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3B4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609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A69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2A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7F0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F7C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B4B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2841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C13F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BA3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93D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CFD00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9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C5EF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819B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A9A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275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C60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18D2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6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25B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960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3F8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EAE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EDB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799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B27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940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95F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52D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8E4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38592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B123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489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4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049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F47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涉及村社数量</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D0B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944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A9E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648B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202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58F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793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028B4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D47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0659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B4E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018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全年垃圾清运次数</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BD1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EA3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204</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291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A92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1056</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E91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993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BE2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68A3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5538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8012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9BF7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DE5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村道路维护</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6BB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B69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68B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处</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DA3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EF5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0F2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6C74D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14144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2B89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F5E9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EE39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DF9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各村（社区）召开村级公共运行培训</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FBA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FDAA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868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DA1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515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50C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DF11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47076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8D4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2BE4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A0E1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D82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村组道路维护、卫生等验收合格</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370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D2E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67C7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B24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90C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ED0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1A5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6F13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D7BF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09E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6CC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676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各项任务完成时间</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888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DB1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9B5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DD0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5B51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ACB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AA34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047A4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457C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441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4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F62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DD7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环境卫生、村容村貌明显改善</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7CB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3A8A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E7FA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356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065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F6E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DAA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17D98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052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735C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D8F4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110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村民环境卫生意识增强</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370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731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6F88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077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DAC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12DE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4C1C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1C782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74DC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2D4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4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184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89F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受益群众满意度</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2D3C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08E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D8AA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D52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E85E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C90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9BA9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6AFBB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1370C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344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4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58E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3F7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村经费</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6AF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F15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102</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5B8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FA8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102</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0C4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E5D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C52A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281E5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78E1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3474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F082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EE8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社区经费</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C2E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D08D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ED5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D912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142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7DF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1DC9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507E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823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8DF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37D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6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25B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3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3777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3E3E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8B5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D5C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自评得分100分，各村社区垃圾清运次数超过204次全年，维护、修建基础设施，提升了人居环境质量，增强了村民环境保护意识，群众满意度达95%以上</w:t>
            </w:r>
          </w:p>
        </w:tc>
      </w:tr>
      <w:tr w14:paraId="4E8FE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890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66C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各村（社区）在实施维护运行过程中存在维护进度缓慢等问题。</w:t>
            </w:r>
          </w:p>
        </w:tc>
      </w:tr>
      <w:tr w14:paraId="1D99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8DF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F70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建议在今后的农村公共服务运行维护项目中加强整体规划，综合考虑天气、地理等因素，合理安排、精心规划。</w:t>
            </w:r>
          </w:p>
        </w:tc>
      </w:tr>
      <w:tr w14:paraId="496682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91A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10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118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17574759">
      <w:pPr>
        <w:keepNext w:val="0"/>
        <w:keepLines w:val="0"/>
        <w:pageBreakBefore w:val="0"/>
        <w:widowControl/>
        <w:kinsoku w:val="0"/>
        <w:wordWrap/>
        <w:overflowPunct/>
        <w:topLinePunct w:val="0"/>
        <w:autoSpaceDE w:val="0"/>
        <w:autoSpaceDN w:val="0"/>
        <w:bidi w:val="0"/>
        <w:adjustRightInd w:val="0"/>
        <w:snapToGrid w:val="0"/>
        <w:spacing w:beforeLines="0" w:afterLines="0" w:line="260" w:lineRule="exact"/>
        <w:ind w:firstLine="0" w:firstLineChars="0"/>
        <w:jc w:val="center"/>
        <w:textAlignment w:val="baseline"/>
        <w:rPr>
          <w:rFonts w:hint="eastAsia" w:ascii="方正小标宋简体" w:hAnsi="方正小标宋简体" w:eastAsia="方正小标宋简体" w:cs="方正小标宋简体"/>
          <w:kern w:val="21"/>
          <w:sz w:val="44"/>
          <w:szCs w:val="44"/>
        </w:rPr>
      </w:pPr>
    </w:p>
    <w:p w14:paraId="33004E30">
      <w:pPr>
        <w:keepNext w:val="0"/>
        <w:keepLines w:val="0"/>
        <w:pageBreakBefore w:val="0"/>
        <w:widowControl/>
        <w:kinsoku w:val="0"/>
        <w:wordWrap/>
        <w:overflowPunct/>
        <w:topLinePunct w:val="0"/>
        <w:autoSpaceDE w:val="0"/>
        <w:autoSpaceDN w:val="0"/>
        <w:bidi w:val="0"/>
        <w:adjustRightInd w:val="0"/>
        <w:snapToGrid w:val="0"/>
        <w:spacing w:beforeLines="0" w:afterLines="0" w:line="260" w:lineRule="exact"/>
        <w:ind w:firstLine="0" w:firstLineChar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16"/>
        <w:gridCol w:w="1242"/>
        <w:gridCol w:w="1564"/>
        <w:gridCol w:w="694"/>
        <w:gridCol w:w="645"/>
        <w:gridCol w:w="677"/>
        <w:gridCol w:w="1147"/>
        <w:gridCol w:w="457"/>
        <w:gridCol w:w="497"/>
        <w:gridCol w:w="1605"/>
      </w:tblGrid>
      <w:tr w14:paraId="509F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D8C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52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B4B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51081124T000011393386-烤烟产业发展资金</w:t>
            </w:r>
          </w:p>
        </w:tc>
      </w:tr>
      <w:tr w14:paraId="2C627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203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04A4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82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DFE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47" w:type="dxa"/>
            <w:tcBorders>
              <w:top w:val="nil"/>
              <w:left w:val="nil"/>
              <w:bottom w:val="nil"/>
              <w:right w:val="nil"/>
              <w:tl2br w:val="nil"/>
              <w:tr2bl w:val="nil"/>
            </w:tcBorders>
            <w:noWrap w:val="0"/>
            <w:vAlign w:val="center"/>
          </w:tcPr>
          <w:p w14:paraId="3587836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55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B813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2728D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741B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DFF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82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C840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7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900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35ACA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AA22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EC2A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82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5BC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为了加强烟叶产业发展，提高烟农收入。完成50.5万元烟叶税收目标任务，开展烤烟生产技术培训3次，新建烤烟房8间，维修烤房19间（肖家寨3，千秋5间、狮子5间、新荣3间、石井铺3间），烟地整理1250亩（千秋150亩、保民300亩、冯家岭100亩、新场100亩、石井100亩、肖家寨250亩、元柏树100亩，狮子150亩），提高烟农收入。2024年12月之前烟叶税收目标任务完成100%，烟叶种植目标任务完成100%。对生态环境部造成任何污染，群众（烟叶种植户）满意度达到95%。</w:t>
            </w:r>
          </w:p>
        </w:tc>
        <w:tc>
          <w:tcPr>
            <w:tcW w:w="370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00CE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基本完成年度任务目标，新建烤烟房8间，维修烤烟房19间，烟地整理1100亩，提高了烟农收入，烟叶种植目标基本完成</w:t>
            </w:r>
          </w:p>
        </w:tc>
      </w:tr>
      <w:tr w14:paraId="5D6FB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38C4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C6D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52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7C9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新建烤烟房8间，维修烤烟房19间，烟地整理、培肥、运输1100亩</w:t>
            </w:r>
          </w:p>
        </w:tc>
      </w:tr>
      <w:tr w14:paraId="16B0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511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E62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57D9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A9E9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3D60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670C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D1F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E54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94DF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7035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B18F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514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2FB2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50.50</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31A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50.50</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91C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8FA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235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9DB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5217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每年底，烟站根据收购烟叶数量、金额计算并返税。故此发展资金会结转到第二年进行支付</w:t>
            </w:r>
          </w:p>
        </w:tc>
      </w:tr>
      <w:tr w14:paraId="09FE9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35FF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49D5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7361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50.50</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38C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50.50</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34A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747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32B7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6DE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B1D2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3963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40DF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86EA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3117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6C01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BD1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200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180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B07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8AFE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311A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F597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0BC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99B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888B7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612F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1FD2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B37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06BE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1F7B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7F14E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D9C8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4E1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8A1A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BC00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1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8BC5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67BE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D71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658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8EE0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ACD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8B5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B6D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FA7A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9AC5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63A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6CB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616B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D9F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E56E9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7E2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EBA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1ACA3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B5F4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392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C40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52C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新建烤房</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D1C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1B4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3719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处</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3B2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5C4D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FDD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0FFB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2025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046CD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4670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0A08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2DE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全年技术培训次数</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FDDB1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DCD6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33D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CB7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6F8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380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E512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E742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FFB5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191C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7B51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CE7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7280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BF8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1250</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875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2D2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0A90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9F7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7CC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烟农根据市场变化调整种植面积</w:t>
            </w:r>
          </w:p>
        </w:tc>
      </w:tr>
      <w:tr w14:paraId="65AE1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F43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8E09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26C0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0ED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维修烤房</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4664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542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19</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1C2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处</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6558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19</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2B90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2602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7608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8C62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9624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9848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CEEE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43A2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资金支付合规率</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076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7D0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3889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7F9C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01B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64F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E3AD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471F4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6919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64A8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300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DA2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2023年度烤烟各项目标完成及时率</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2CA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E95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DE90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4BE1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A1A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3D07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A3DB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0ADC8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3FCE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297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450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经济效益指标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93F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人均年增收</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30C1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0C0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3000</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1B73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元/人年</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CFB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3000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597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4B1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973F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57808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BBF9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E17A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7DD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59A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提高烤烟生产技术，加强烟叶产业发展</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066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98FD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0656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AD0C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5861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612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0027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0A84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BC89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F040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06E5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B2C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乡村振兴成效提升度</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EC9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46B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A100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9D5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D79F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4CE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36F3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70179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FAB3F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FEA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066C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36C7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烟叶种植户满意度</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1D38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DB3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6AA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842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9BE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A53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CEB1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24F3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2E63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EC97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4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EF4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A31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8A5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DFA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20.5</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BAC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6B712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20.5</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7A3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619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902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烟地面积减少</w:t>
            </w:r>
          </w:p>
        </w:tc>
      </w:tr>
      <w:tr w14:paraId="44B4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4F74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8DC1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8A4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6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4BA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新建维修烤烟房</w:t>
            </w:r>
          </w:p>
        </w:tc>
        <w:tc>
          <w:tcPr>
            <w:tcW w:w="69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DAE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A80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67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825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8EA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AA56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493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A182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5C83C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800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A91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5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801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3E2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16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65B3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3065E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8809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994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812F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自评得分97分，完成对烤烟房的新建、维修，烟地整理，带动烟农人均增收3000元/人/年以上，烤烟产业进一步发展</w:t>
            </w:r>
          </w:p>
        </w:tc>
      </w:tr>
      <w:tr w14:paraId="3FE8F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7C93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994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EC0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未能及时根据实际情况调整绩效目标信息</w:t>
            </w:r>
          </w:p>
        </w:tc>
      </w:tr>
      <w:tr w14:paraId="2FDA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778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994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AE4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加大对项目动态监控，实时掌握项目进度情况，及时做出绩效目标调整</w:t>
            </w:r>
          </w:p>
        </w:tc>
      </w:tr>
      <w:tr w14:paraId="3BD5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jc w:val="center"/>
        </w:trPr>
        <w:tc>
          <w:tcPr>
            <w:tcW w:w="553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FE4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02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02F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2F86724">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55DEDAFD">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080EA85A">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5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87"/>
        <w:gridCol w:w="1208"/>
        <w:gridCol w:w="1545"/>
        <w:gridCol w:w="736"/>
        <w:gridCol w:w="967"/>
        <w:gridCol w:w="653"/>
        <w:gridCol w:w="919"/>
        <w:gridCol w:w="516"/>
        <w:gridCol w:w="516"/>
        <w:gridCol w:w="1689"/>
      </w:tblGrid>
      <w:tr w14:paraId="5ACB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20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BC4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4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BDBC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51081124T000011526859-结转2023年基层组织活动和公共服务运行</w:t>
            </w:r>
          </w:p>
        </w:tc>
      </w:tr>
      <w:tr w14:paraId="11E6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20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112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4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0D62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572" w:type="dxa"/>
            <w:gridSpan w:val="2"/>
            <w:tcBorders>
              <w:top w:val="nil"/>
              <w:left w:val="nil"/>
              <w:bottom w:val="nil"/>
              <w:right w:val="nil"/>
              <w:tl2br w:val="nil"/>
              <w:tr2bl w:val="nil"/>
            </w:tcBorders>
            <w:noWrap w:val="0"/>
            <w:vAlign w:val="center"/>
          </w:tcPr>
          <w:p w14:paraId="2E399C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72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403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699EC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3FBD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05BC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4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21AC9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2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8FF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914E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21E4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C1F1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456"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02C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强基层组织建设，提高公共运行服务保障水平和社会治理能力，按照《广元市昭化区基层活动和公共服务运行经费使用管理办法》，开展组织活动每村每月1次，党员干部培训每村每月1次，产业培训每村每季度1次，走访慰问每村全年不少于10次，完成17个村（居）组织活动场所维护、基础设施维护，维持17个村(居）日常办公运转。</w:t>
            </w:r>
          </w:p>
        </w:tc>
        <w:tc>
          <w:tcPr>
            <w:tcW w:w="429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207BA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各村社区圆满完成年度计划，按计划开展组织活动，对党员干部进行培训，走访慰问困难群众，维护、修建基层设施</w:t>
            </w:r>
          </w:p>
        </w:tc>
      </w:tr>
      <w:tr w14:paraId="575A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FB6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055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4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895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开展组织活动，提升基层党组织战斗堡垒作用，培训党员干部，提高政治素养和业务水平，维护、修建基础设施，建设和美乡村</w:t>
            </w:r>
          </w:p>
        </w:tc>
      </w:tr>
      <w:tr w14:paraId="135E8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E4B2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CBB8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EB69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29A7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584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1F5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634D0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088F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1007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DEA0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F2F9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FF56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E88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15A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F4F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F5C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C79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16D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2051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i/>
                <w:color w:val="000000"/>
                <w:sz w:val="20"/>
                <w:szCs w:val="20"/>
              </w:rPr>
            </w:pPr>
          </w:p>
        </w:tc>
      </w:tr>
      <w:tr w14:paraId="2CE5A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4289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BAED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D48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288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BD2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119.00</w:t>
            </w: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04D9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564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7D9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1822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i/>
                <w:color w:val="000000"/>
                <w:sz w:val="20"/>
                <w:szCs w:val="20"/>
              </w:rPr>
            </w:pPr>
          </w:p>
        </w:tc>
      </w:tr>
      <w:tr w14:paraId="10D2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826F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708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056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BC6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8004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4AE0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7C1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318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A186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i/>
                <w:color w:val="000000"/>
                <w:sz w:val="20"/>
                <w:szCs w:val="20"/>
              </w:rPr>
            </w:pPr>
          </w:p>
        </w:tc>
      </w:tr>
      <w:tr w14:paraId="2F147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557F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AD2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37C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AEF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51F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F0E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3D45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647C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CC92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i/>
                <w:color w:val="000000"/>
                <w:sz w:val="20"/>
                <w:szCs w:val="20"/>
              </w:rPr>
            </w:pPr>
          </w:p>
        </w:tc>
      </w:tr>
      <w:tr w14:paraId="6515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39E8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728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4323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56C3D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c>
          <w:tcPr>
            <w:tcW w:w="17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99EB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c>
          <w:tcPr>
            <w:tcW w:w="157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FE73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1B8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BF5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2724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i/>
                <w:color w:val="000000"/>
                <w:sz w:val="20"/>
                <w:szCs w:val="20"/>
              </w:rPr>
            </w:pPr>
          </w:p>
        </w:tc>
      </w:tr>
      <w:tr w14:paraId="49C79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888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B42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459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1D93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FEF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BAC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F8C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7A60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AB2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2696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74F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4FEB9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0C32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5E2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0D3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F16E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村道路维护</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DB9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F1BA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8CA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处</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56F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F17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BF6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F5BC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7EC7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569D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6358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BC0F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EB5D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全年垃圾清运次数</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684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5EBF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204</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EC3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F58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204</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441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04C6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17DE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53A36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FFB9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C11B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0C84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E36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各村（社区）召开村级公共运行培训</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726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83F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CA3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F3F2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DCF3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E837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2E3E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1881A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1A3E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7C12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B42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6A9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维护基础设施、提升人居环境质量等</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550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B578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ADDD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F879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DB33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89A2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CB39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69254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F7EC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91FC5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484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51CF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各项任务目标完成时间</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FB73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84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3F71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FCEA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DDA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4DC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734C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34F3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F79D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B3A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F49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59A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村民环境保护意识增强</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818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564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8537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C9E3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E6C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DC0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E02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52779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49B2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8C1E0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4FC9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430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改善村容村貌</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3D4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EB7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9F36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62C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140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DA3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1C1F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175F5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E424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A9E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D4B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D200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249D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09E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BFC2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CB4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695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242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ECDEF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6CD8F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B1AF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1F9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8F60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F89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社区经费</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C7DD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0CB5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30A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CFD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ECAF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8524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B695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6D7AF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87C1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58D7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08E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社会成本指标</w:t>
            </w:r>
          </w:p>
        </w:tc>
        <w:tc>
          <w:tcPr>
            <w:tcW w:w="15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648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村经费</w:t>
            </w:r>
          </w:p>
        </w:tc>
        <w:tc>
          <w:tcPr>
            <w:tcW w:w="7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DC01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3D2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102</w:t>
            </w:r>
          </w:p>
        </w:tc>
        <w:tc>
          <w:tcPr>
            <w:tcW w:w="6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7D4C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9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353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102</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9E1E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392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0B1D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i/>
                <w:color w:val="000000"/>
                <w:sz w:val="20"/>
                <w:szCs w:val="20"/>
              </w:rPr>
            </w:pPr>
          </w:p>
        </w:tc>
      </w:tr>
      <w:tr w14:paraId="7C683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803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4FF6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C7C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59A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586C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3567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3C45E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3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71E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自评得分100分，各村社区垃圾清运次数超过204次全年，维护、修建基础设施，提升了人居环境质量，增强了村民环境保护意识，群众满意度达95%以上。</w:t>
            </w:r>
          </w:p>
        </w:tc>
      </w:tr>
      <w:tr w14:paraId="42D25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4CA2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3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A10A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897F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A37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3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B07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680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549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123C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6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E58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EE95344">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670A80D1">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5AEC0876">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06"/>
        <w:gridCol w:w="1147"/>
        <w:gridCol w:w="1426"/>
        <w:gridCol w:w="650"/>
        <w:gridCol w:w="645"/>
        <w:gridCol w:w="651"/>
        <w:gridCol w:w="1317"/>
        <w:gridCol w:w="516"/>
        <w:gridCol w:w="516"/>
        <w:gridCol w:w="2106"/>
      </w:tblGrid>
      <w:tr w14:paraId="679DD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9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AE7B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97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AA7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51081124T000011745259-2021年烟叶发展资金预算追加（2023年再结转）</w:t>
            </w:r>
          </w:p>
        </w:tc>
      </w:tr>
      <w:tr w14:paraId="7C34F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92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5565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2DE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317" w:type="dxa"/>
            <w:tcBorders>
              <w:top w:val="nil"/>
              <w:left w:val="nil"/>
              <w:bottom w:val="nil"/>
              <w:right w:val="nil"/>
              <w:tl2br w:val="nil"/>
              <w:tr2bl w:val="nil"/>
            </w:tcBorders>
            <w:noWrap w:val="0"/>
            <w:vAlign w:val="center"/>
          </w:tcPr>
          <w:p w14:paraId="462143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13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FC1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4CBA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05D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555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525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45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DF7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7B24B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6A58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3D14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51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5A20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完成99160元烟叶发展，加强烤烟产业发展，烤房维修6间，烟地整理245亩（千秋150亩，新荣95亩），提高烟农收入。</w:t>
            </w:r>
          </w:p>
        </w:tc>
        <w:tc>
          <w:tcPr>
            <w:tcW w:w="445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D60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再结转2021年烤烟发展资金，及时足额拨付相关经费，维护烟农利益，推动烤烟产业发展。</w:t>
            </w:r>
          </w:p>
        </w:tc>
      </w:tr>
      <w:tr w14:paraId="10C88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EC2A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42B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97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F3C3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对接上级部门核实2021年烤烟资金，及时足额拨付费用</w:t>
            </w:r>
          </w:p>
        </w:tc>
      </w:tr>
      <w:tr w14:paraId="16955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10B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328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04E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408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30EA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1BF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0EC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763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433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37DF5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FD0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FBF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402A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AA8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9.92</w:t>
            </w: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6492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9.92</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E2D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F14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5CF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D0A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5AFE3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920D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07E1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DCC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2B9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9.92</w:t>
            </w: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282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9.92</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DA2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982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EEFF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5C3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F92D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8FEB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DDC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4E2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3F1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002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E21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6AC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BA7A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90BF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206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FA87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B28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493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C69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23A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413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DB0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84E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7B13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8720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5CB32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CB2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1EA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C7F72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4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5FA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815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D79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9D90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1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C9B3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A22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01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0CF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E70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BAC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621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A28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71C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16B7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805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47B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54C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52759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1FC0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7BA3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1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9C5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93E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维修烤烟房数量</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B22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498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7D1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座（处）</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FB4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4591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68C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0A9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F50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F577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7E09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4871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110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烟地整理亩数</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838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108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245</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F7E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50A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245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C1F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FCC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6612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DF7C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C8F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09F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45D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BA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烟房维修及烟地整理合格率</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86C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202C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76E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995C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F78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9A1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6AE7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6C0E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1F75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C631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146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2C0D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各项目标任务完成及时率</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6A4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A21E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CDD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5F0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D3E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2B1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E14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CC1F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66B8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3DC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0ED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0FF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带动周边农民务工就业</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B885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E41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D45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人次</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F02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87E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245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B153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208E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983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2B73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1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585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DA9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烟农满意度</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6C3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B1F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F0C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E4C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1967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992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4C93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6C6A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4B2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3761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14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9B0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7D5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烤烟房维修成本</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4B1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EE9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74791</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618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0C9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74791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822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94D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BCF6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1BC7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C4D8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D839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4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8B0E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99B9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烟地整理翻耕成本</w:t>
            </w:r>
          </w:p>
        </w:tc>
        <w:tc>
          <w:tcPr>
            <w:tcW w:w="6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A069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F24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24396</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9C1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612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24396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E638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B09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A1AA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05D2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5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2DFF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0EF1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20A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21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A50A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F890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E0D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03B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自评得分100分，核实2021年烤烟工作实际完成工作量，维护烟农权益，提升烟农满意度</w:t>
            </w:r>
          </w:p>
        </w:tc>
      </w:tr>
      <w:tr w14:paraId="6D1F1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00A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D7B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F0B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23C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660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1380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14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1A3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75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CB2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D62E39C">
      <w:pPr>
        <w:keepNext w:val="0"/>
        <w:keepLines w:val="0"/>
        <w:pageBreakBefore w:val="0"/>
        <w:widowControl/>
        <w:kinsoku w:val="0"/>
        <w:wordWrap/>
        <w:overflowPunct/>
        <w:topLinePunct w:val="0"/>
        <w:autoSpaceDE w:val="0"/>
        <w:autoSpaceDN w:val="0"/>
        <w:bidi w:val="0"/>
        <w:adjustRightInd w:val="0"/>
        <w:snapToGrid w:val="0"/>
        <w:spacing w:beforeLines="0" w:afterLines="0" w:line="240" w:lineRule="exact"/>
        <w:jc w:val="center"/>
        <w:textAlignment w:val="baseline"/>
        <w:rPr>
          <w:rFonts w:hint="eastAsia" w:ascii="方正小标宋简体" w:hAnsi="方正小标宋简体" w:eastAsia="方正小标宋简体" w:cs="方正小标宋简体"/>
          <w:kern w:val="21"/>
          <w:sz w:val="44"/>
          <w:szCs w:val="44"/>
        </w:rPr>
      </w:pPr>
    </w:p>
    <w:p w14:paraId="63E44A63">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37"/>
        <w:gridCol w:w="1407"/>
        <w:gridCol w:w="1228"/>
        <w:gridCol w:w="1542"/>
        <w:gridCol w:w="715"/>
        <w:gridCol w:w="904"/>
        <w:gridCol w:w="686"/>
        <w:gridCol w:w="930"/>
        <w:gridCol w:w="538"/>
        <w:gridCol w:w="538"/>
        <w:gridCol w:w="1706"/>
      </w:tblGrid>
      <w:tr w14:paraId="54F86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 w:hRule="atLeast"/>
          <w:jc w:val="center"/>
        </w:trPr>
        <w:tc>
          <w:tcPr>
            <w:tcW w:w="20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0D1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8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4C0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51081124Y000010482968-社区专职工作者公积金</w:t>
            </w:r>
          </w:p>
        </w:tc>
      </w:tr>
      <w:tr w14:paraId="3B0B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4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F70A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38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EBA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616" w:type="dxa"/>
            <w:gridSpan w:val="2"/>
            <w:tcBorders>
              <w:top w:val="nil"/>
              <w:left w:val="nil"/>
              <w:bottom w:val="nil"/>
              <w:right w:val="nil"/>
              <w:tl2br w:val="nil"/>
              <w:tr2bl w:val="nil"/>
            </w:tcBorders>
            <w:noWrap w:val="0"/>
            <w:vAlign w:val="center"/>
          </w:tcPr>
          <w:p w14:paraId="4F639C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78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ED8D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23C0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6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AD2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A47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38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FDE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39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C63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09D91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6"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738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2586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38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A49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根据《关于深入贯彻党的十九届四中全会和省委十一届六次全会精神推进城乡基层治理制度创新和能力建设的决定》（广委发〔2020〕1号）《关于深入贯彻党的十九届四中全会和省委十一届六次全会、市委七届一次全会精神推进城乡基层治理制度创新和能力建设的决定》（昭委发〔2020〕1号），决定对社区专职工作者进行公积金缴存。</w:t>
            </w:r>
          </w:p>
        </w:tc>
        <w:tc>
          <w:tcPr>
            <w:tcW w:w="439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485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完成对11名社区专职化干部的公积金金额核实并及时足额缴纳，保障专职干部享受权益</w:t>
            </w:r>
          </w:p>
        </w:tc>
      </w:tr>
      <w:tr w14:paraId="06AFA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548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8B2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8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11C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依据社区专职化干部工资、绩效计算应缴金额，及时足额进行缴纳</w:t>
            </w:r>
          </w:p>
        </w:tc>
      </w:tr>
      <w:tr w14:paraId="482FC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5A75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CA3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0F6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5F3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338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4F0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DCB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C15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093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446D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4F4A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6F7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6F9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203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3.50</w:t>
            </w: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EB6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3.50</w:t>
            </w: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676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773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720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AAD9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i/>
                <w:color w:val="000000"/>
                <w:sz w:val="20"/>
                <w:szCs w:val="20"/>
              </w:rPr>
            </w:pPr>
          </w:p>
        </w:tc>
      </w:tr>
      <w:tr w14:paraId="7F73E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BB27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93A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7C3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6F95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3.50</w:t>
            </w: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200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3.50</w:t>
            </w: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B5EB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BED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B5C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CFD3C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i/>
                <w:color w:val="000000"/>
                <w:sz w:val="20"/>
                <w:szCs w:val="20"/>
              </w:rPr>
            </w:pPr>
          </w:p>
        </w:tc>
      </w:tr>
      <w:tr w14:paraId="7782D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E348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E30A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FB4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209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B1A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A42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55C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6C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E21D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i/>
                <w:color w:val="000000"/>
                <w:sz w:val="20"/>
                <w:szCs w:val="20"/>
              </w:rPr>
            </w:pPr>
          </w:p>
        </w:tc>
      </w:tr>
      <w:tr w14:paraId="2F558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4E8E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19B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789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FED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A1E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A8D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311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650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17D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i/>
                <w:color w:val="000000"/>
                <w:sz w:val="20"/>
                <w:szCs w:val="20"/>
              </w:rPr>
            </w:pPr>
          </w:p>
        </w:tc>
      </w:tr>
      <w:tr w14:paraId="60AC7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DB77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57B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10B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D188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61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565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16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DB5D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7B3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1616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6FAB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i/>
                <w:color w:val="000000"/>
                <w:sz w:val="20"/>
                <w:szCs w:val="20"/>
              </w:rPr>
            </w:pPr>
          </w:p>
        </w:tc>
      </w:tr>
      <w:tr w14:paraId="6981A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6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D54B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21D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435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5B6E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407D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028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CD8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394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551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A97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EB2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64DA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8B31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23E4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4A9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EFB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公积金缴纳人数</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613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BC6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D8A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15D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158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BCF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708C1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2C029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F19A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819EB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375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20A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质量合格率</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3F9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122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86BB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226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B486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9632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A5EC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74FF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1881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DA31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4C3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8744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及时补缴</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5F7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6258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27B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22E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490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458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0955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3BBED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19BC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DBB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C4A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经济效益指标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2C34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保障职工基本福利</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D79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1F1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356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B33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CC2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2A1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BE06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7AFA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208A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3C5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803C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85D5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社区专职工作者公积金满意度</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FD1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F99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59D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356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080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9BD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FFFE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5167E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F20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117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8DC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D6F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足额补缴财政配套公积金金额</w:t>
            </w:r>
          </w:p>
        </w:tc>
        <w:tc>
          <w:tcPr>
            <w:tcW w:w="7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C6D1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102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34983</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1C3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9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CE7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34983</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5D8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09B9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16E2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i/>
                <w:color w:val="000000"/>
                <w:sz w:val="20"/>
                <w:szCs w:val="20"/>
              </w:rPr>
            </w:pPr>
          </w:p>
        </w:tc>
      </w:tr>
      <w:tr w14:paraId="0431C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49"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C6FA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654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3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874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7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AE36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41C1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B0E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9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3C1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自评得分100分，为11名社区专职化干部缴纳住房公积金，保障专职化干部基本福利，满意度达100%</w:t>
            </w:r>
          </w:p>
        </w:tc>
      </w:tr>
      <w:tr w14:paraId="6DBE5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6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3BC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9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B546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FA3B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E01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9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0C30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CBDB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552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233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30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CF4C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5F88DA3">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60566F72">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51"/>
        <w:gridCol w:w="1258"/>
        <w:gridCol w:w="1588"/>
        <w:gridCol w:w="648"/>
        <w:gridCol w:w="585"/>
        <w:gridCol w:w="690"/>
        <w:gridCol w:w="1036"/>
        <w:gridCol w:w="516"/>
        <w:gridCol w:w="516"/>
        <w:gridCol w:w="1895"/>
      </w:tblGrid>
      <w:tr w14:paraId="1FC3F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2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7589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3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881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51081124Y000011201109-2022年补发乡镇工作补贴</w:t>
            </w:r>
          </w:p>
        </w:tc>
      </w:tr>
      <w:tr w14:paraId="1FE79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20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EC54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63A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36" w:type="dxa"/>
            <w:tcBorders>
              <w:top w:val="nil"/>
              <w:left w:val="nil"/>
              <w:bottom w:val="nil"/>
              <w:right w:val="nil"/>
              <w:tl2br w:val="nil"/>
              <w:tr2bl w:val="nil"/>
            </w:tcBorders>
            <w:noWrap w:val="0"/>
            <w:vAlign w:val="center"/>
          </w:tcPr>
          <w:p w14:paraId="23F705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92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C1C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47A2F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E47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E01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C8D4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9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0E8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5408A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58EE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EA517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6A51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昭化区2022年补发乡镇工作补贴共安排资金103500元，其中公务员补贴14500元，事业人员34600元，驻村工作队54400元。由上级公共财政补助安排，属于一次性项目，主要用于卫子镇干部日常工作保障。用于日常工作运转以及工作保障。</w:t>
            </w:r>
          </w:p>
        </w:tc>
        <w:tc>
          <w:tcPr>
            <w:tcW w:w="39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90F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完成补发2022年象征工作补贴公务员补贴14500元，事业人员34600元，驻村工作队54400元。</w:t>
            </w:r>
          </w:p>
        </w:tc>
      </w:tr>
      <w:tr w14:paraId="079AD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B60D1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AB6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3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ECB2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核实2022年乡镇工作人员信息，核对补发金额，保障资金补发无误，确保基层干部享受相应的权益</w:t>
            </w:r>
          </w:p>
        </w:tc>
      </w:tr>
      <w:tr w14:paraId="3FF18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96D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98A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94F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EE2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082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69D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035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49C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9AD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39E0B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1C0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B05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39C3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3D3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0.04</w:t>
            </w: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A16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0.04</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C71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6B4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15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DF8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4D800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8441C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451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41F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19D1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0.04</w:t>
            </w: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805E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0.04</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26F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9D2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395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E2C8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5DFD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7C9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5E9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895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D8A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ADE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748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059F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E25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7D1F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35B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3EA64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E6B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860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832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6FD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1E4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90B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1CD8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1A01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7559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0DBD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3DE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0634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790F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4C0D0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8DF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9FD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74B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9A18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6F8F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609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658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372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970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BBB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835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6DB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ECD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E7C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263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D8C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1B159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A3D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585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8B8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E6A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补助人数</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FC7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E7AD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C87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CCC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F7A9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3ADC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0C9F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C50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A2F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2023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F13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76A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工作效率和积极性</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6CE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4B5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2DB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AC31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961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0E8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5D95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5F4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5B53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799F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8BB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351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项目时间</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E3C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562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634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1CF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3278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E336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998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E558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0372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2A2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027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0F6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乡镇工作运转情况</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642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B40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6663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744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A1B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F34C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AF59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D36A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6AC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903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14F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417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群众满意度</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167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B6F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BF5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575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4AD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EC4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8B21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8D90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C6CB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D584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682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94D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经费使用额度</w:t>
            </w:r>
          </w:p>
        </w:tc>
        <w:tc>
          <w:tcPr>
            <w:tcW w:w="64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08B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61D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103500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C37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BF7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103500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9CB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B0C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2A56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CB0C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787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468F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3C3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212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A1FA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C01A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8A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8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E002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自评得分100分，补发人员达90人，稳定提高基层干部队伍稳定性，提升基层工作效率，推动更高质量地完成群众工作，受益对象满意度95%以上</w:t>
            </w:r>
          </w:p>
        </w:tc>
      </w:tr>
      <w:tr w14:paraId="648A2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B68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8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C0F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D8F3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6BB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8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94C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C05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6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D52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3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47C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BFE4636">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68A179C1">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682B42B4">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507"/>
        <w:gridCol w:w="1306"/>
        <w:gridCol w:w="1655"/>
        <w:gridCol w:w="692"/>
        <w:gridCol w:w="495"/>
        <w:gridCol w:w="630"/>
        <w:gridCol w:w="1066"/>
        <w:gridCol w:w="516"/>
        <w:gridCol w:w="416"/>
        <w:gridCol w:w="1880"/>
      </w:tblGrid>
      <w:tr w14:paraId="78760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1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436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C7C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51081124Y000011387029-伙食团经费</w:t>
            </w:r>
          </w:p>
        </w:tc>
      </w:tr>
      <w:tr w14:paraId="45F78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 w:hRule="atLeast"/>
          <w:jc w:val="center"/>
        </w:trPr>
        <w:tc>
          <w:tcPr>
            <w:tcW w:w="212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43BE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7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52A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66" w:type="dxa"/>
            <w:tcBorders>
              <w:top w:val="nil"/>
              <w:left w:val="nil"/>
              <w:bottom w:val="nil"/>
              <w:right w:val="nil"/>
              <w:tl2br w:val="nil"/>
              <w:tr2bl w:val="nil"/>
            </w:tcBorders>
            <w:noWrap w:val="0"/>
            <w:vAlign w:val="center"/>
          </w:tcPr>
          <w:p w14:paraId="218794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D2F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3A3A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E26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5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FFD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7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397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87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417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7235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939F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B51B7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7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51E0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我镇有73名在职在编干部，预算伙食团经费8万元，用于保障干部生活及接待等正常运转。</w:t>
            </w:r>
          </w:p>
        </w:tc>
        <w:tc>
          <w:tcPr>
            <w:tcW w:w="387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305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伙食团经费保障在职干部生活接待等正常运转，全年预算8万元，预算执行7万元，结转1万元。</w:t>
            </w:r>
          </w:p>
        </w:tc>
      </w:tr>
      <w:tr w14:paraId="46BD7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508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083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5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51B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2024年伙食团经费严格按照支出预算安排执行，全年预算执行7万元，结转1万元。</w:t>
            </w:r>
          </w:p>
        </w:tc>
      </w:tr>
      <w:tr w14:paraId="7B426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2C3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AE2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BB2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292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3A15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435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3AF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EDA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4BA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7CF3F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F2D8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80F1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FC04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CCA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0470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7.00</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3AE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87.50%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6967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5BA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18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6CA2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因财政经费紧张，未及时完成支付</w:t>
            </w:r>
          </w:p>
        </w:tc>
      </w:tr>
      <w:tr w14:paraId="6AA2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0EB2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F47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756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1E82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06C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7.00</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17E6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87.50%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458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2DF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F026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DA8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9A51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16E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C1B1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FCC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BA36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453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D8C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D19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708A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99B2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FB4E8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89A6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DB2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310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207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7612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753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B1E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39F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556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EC779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8529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D5B7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671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81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5B2AC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951D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604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86B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CEFC6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34E2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B0E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3A1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AB1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7607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4DD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003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F61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F46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377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B8C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0E2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7F59A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3260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5BE9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B5A8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702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用餐人次</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BB5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07B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7DA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人/天</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C37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DC2C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06E5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028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2E11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0EB7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572B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C40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CBF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食品质量安全保障率</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6C6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12B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424E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D2F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36F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6B6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55AC1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0E8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92734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16A0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1FA7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1FB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目标任务完成时间</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954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4C0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82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7A4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CEE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9D6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B25B2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5851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AD20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18C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7B0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FFE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保证无脏乱差现象，就餐环境良好，无食品安全事故</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5BD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222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1BE7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3B0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415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6D08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B8D8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E47F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1660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8CF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3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0748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9E6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干部及接待人员满意</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2CC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7527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1EA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D75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5ED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47B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4AD4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7B9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BB3B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E5F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30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938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440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其他费用</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617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0C2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8ED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381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739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3513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E4B7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1142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EDA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CBFA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0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A8A2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F288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人员工资</w:t>
            </w:r>
          </w:p>
        </w:tc>
        <w:tc>
          <w:tcPr>
            <w:tcW w:w="6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A190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29B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ED1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14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FA4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4D6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F77C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3AF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796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FAD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32B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E15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69F5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7716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229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6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3B42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2024年伙食团经费严格按照支出预算安排执行，伙食团经费项目极大的保障了干部日常生活质量，同时保障正常接待，促进机关正常运转。</w:t>
            </w:r>
          </w:p>
        </w:tc>
      </w:tr>
      <w:tr w14:paraId="0BF82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9FE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6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34D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存在部分支出缓慢现象。</w:t>
            </w:r>
          </w:p>
        </w:tc>
      </w:tr>
      <w:tr w14:paraId="1A65E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809C2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6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733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lef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在</w:t>
            </w:r>
            <w:r>
              <w:rPr>
                <w:rFonts w:hint="eastAsia" w:ascii="宋体" w:hAnsi="宋体" w:eastAsia="宋体" w:cs="宋体"/>
                <w:snapToGrid w:val="0"/>
                <w:color w:val="000000"/>
                <w:kern w:val="21"/>
                <w:sz w:val="20"/>
                <w:szCs w:val="20"/>
                <w:lang w:bidi="ar"/>
              </w:rPr>
              <w:t>今后的</w:t>
            </w:r>
            <w:r>
              <w:rPr>
                <w:rFonts w:hint="eastAsia" w:ascii="宋体" w:hAnsi="宋体" w:eastAsia="宋体" w:cs="宋体"/>
                <w:snapToGrid w:val="0"/>
                <w:color w:val="000000"/>
                <w:sz w:val="20"/>
                <w:szCs w:val="20"/>
                <w:lang w:bidi="ar"/>
              </w:rPr>
              <w:t>财务支付过程中，及时审批，及时支付。</w:t>
            </w:r>
          </w:p>
        </w:tc>
      </w:tr>
      <w:tr w14:paraId="56304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 w:hRule="atLeast"/>
          <w:jc w:val="center"/>
        </w:trPr>
        <w:tc>
          <w:tcPr>
            <w:tcW w:w="57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103A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00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739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3469FC0">
      <w:pPr>
        <w:keepNext w:val="0"/>
        <w:keepLines w:val="0"/>
        <w:pageBreakBefore w:val="0"/>
        <w:widowControl/>
        <w:kinsoku w:val="0"/>
        <w:wordWrap/>
        <w:overflowPunct/>
        <w:topLinePunct w:val="0"/>
        <w:autoSpaceDE w:val="0"/>
        <w:autoSpaceDN w:val="0"/>
        <w:bidi w:val="0"/>
        <w:adjustRightInd w:val="0"/>
        <w:snapToGrid w:val="0"/>
        <w:spacing w:beforeLines="0" w:afterLines="0" w:line="260" w:lineRule="exact"/>
        <w:ind w:firstLine="0" w:firstLineChars="0"/>
        <w:jc w:val="center"/>
        <w:textAlignment w:val="baseline"/>
        <w:rPr>
          <w:rFonts w:hint="eastAsia" w:ascii="方正小标宋简体" w:hAnsi="方正小标宋简体" w:eastAsia="方正小标宋简体" w:cs="方正小标宋简体"/>
          <w:kern w:val="21"/>
          <w:sz w:val="44"/>
          <w:szCs w:val="44"/>
        </w:rPr>
      </w:pPr>
    </w:p>
    <w:p w14:paraId="40C9D29D">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63"/>
        <w:gridCol w:w="1279"/>
        <w:gridCol w:w="1617"/>
        <w:gridCol w:w="731"/>
        <w:gridCol w:w="961"/>
        <w:gridCol w:w="627"/>
        <w:gridCol w:w="789"/>
        <w:gridCol w:w="516"/>
        <w:gridCol w:w="516"/>
        <w:gridCol w:w="1699"/>
      </w:tblGrid>
      <w:tr w14:paraId="6DF5D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 w:hRule="atLeast"/>
          <w:jc w:val="center"/>
        </w:trPr>
        <w:tc>
          <w:tcPr>
            <w:tcW w:w="20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324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3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0EA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51081124Y000011388232-乡镇工作补贴</w:t>
            </w:r>
          </w:p>
        </w:tc>
      </w:tr>
      <w:tr w14:paraId="63377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207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AC9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5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8FF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416" w:type="dxa"/>
            <w:gridSpan w:val="2"/>
            <w:tcBorders>
              <w:top w:val="nil"/>
              <w:left w:val="nil"/>
              <w:bottom w:val="nil"/>
              <w:right w:val="nil"/>
              <w:tl2br w:val="nil"/>
              <w:tr2bl w:val="nil"/>
            </w:tcBorders>
            <w:noWrap w:val="0"/>
            <w:vAlign w:val="center"/>
          </w:tcPr>
          <w:p w14:paraId="43EA95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7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FE9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0B9F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ADC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A19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5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6C3C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14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E4E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6481E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4977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C7E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58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3AC2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昭化区卫子镇2024在职在编干部73人，驻村工作队员和第一书记共23人，乡镇工作补贴共安排资金278700元，由上级公共财政补助安排，属于一次性项目，主要用于卫子镇干部日常工作保障。</w:t>
            </w:r>
          </w:p>
        </w:tc>
        <w:tc>
          <w:tcPr>
            <w:tcW w:w="414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5F0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完成对在职在编73人、驻村第一书记和工作队员23人的补助，保障其日常工作顺利开展</w:t>
            </w:r>
          </w:p>
        </w:tc>
      </w:tr>
      <w:tr w14:paraId="3C34E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745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2C10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3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A12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核实在乡镇工作满足规定年限的人员信息，根据相关规定，对于借调、调动等人员做出调整，保障乡镇工作人员的权益</w:t>
            </w:r>
          </w:p>
        </w:tc>
      </w:tr>
      <w:tr w14:paraId="367B7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C82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212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7282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6E4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DB1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E18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420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5DA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D78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D9DB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13EE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D11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358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27.87</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739F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27.87</w:t>
            </w: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0DD5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23.22</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0F2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83.32%</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9E4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26B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9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E410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2024年全年预算在编干部73人，存在部分人员在编不在岗现象，故未发放相关补贴。</w:t>
            </w:r>
          </w:p>
        </w:tc>
      </w:tr>
      <w:tr w14:paraId="6CC61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0696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A2D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BD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27.87</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AD7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27.87</w:t>
            </w: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DF9C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23.22</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C1C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83.32%</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2D9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698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6776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7220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01E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A65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F6A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99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05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978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5FD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CE3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F403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D472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55F2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A0E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DA3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89D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5EF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566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80A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ECE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9502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A03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289C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E7A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9ED5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F0A6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9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91E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EE2B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780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698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69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89A7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006F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4492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BFD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BA2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558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D14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779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727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5AD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29D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05E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C12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0B9A1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1A56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659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3C1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76C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补助人数</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366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78C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F18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8D3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173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E2E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67B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3EF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788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D52D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EE7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0FE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提升工作效率、积极性</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49B2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EB7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1055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484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580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6CB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8E55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492A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39B4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9977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DA6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392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项目完成时间</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174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5C16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2CF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840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C81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2E9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F39C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E46F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F550B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B4B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7758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751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乡镇工作运转情况</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ABA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70D8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A40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D44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DAE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DFE4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FAC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C6CE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1A3A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5DD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60D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4C9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C31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52B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5CB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A5B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5BE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FD0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AC173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ECA8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75D3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FD4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F70C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EEC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机关干部补助金额</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D65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D9F2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223500</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ECA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C1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177000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655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502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AFE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存在部分人员在编不在岗现象，故未发放相关补贴。</w:t>
            </w:r>
          </w:p>
        </w:tc>
      </w:tr>
      <w:tr w14:paraId="4DD78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E197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D403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95CA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6F10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驻村工作队补助金额</w:t>
            </w:r>
          </w:p>
        </w:tc>
        <w:tc>
          <w:tcPr>
            <w:tcW w:w="7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A47A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A12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55200</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4707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7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C082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55200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378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AC20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9BD2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93CD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808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95D4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D41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C7C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6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627B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1599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524D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9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E0D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自评得分100分，补助人数超过90人，提高基层干部队伍稳定性，提升基层工作效率，推动更高质量地完成群众工作，受益对象满意度98%以上。</w:t>
            </w:r>
          </w:p>
        </w:tc>
      </w:tr>
      <w:tr w14:paraId="082BF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4C5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9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F80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11053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008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9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56F1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15E46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70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A39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10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5E1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44B3D671">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0D2E5660">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9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51"/>
        <w:gridCol w:w="1404"/>
        <w:gridCol w:w="1244"/>
        <w:gridCol w:w="1551"/>
        <w:gridCol w:w="636"/>
        <w:gridCol w:w="888"/>
        <w:gridCol w:w="753"/>
        <w:gridCol w:w="909"/>
        <w:gridCol w:w="606"/>
        <w:gridCol w:w="540"/>
        <w:gridCol w:w="1749"/>
      </w:tblGrid>
      <w:tr w14:paraId="6EBED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E85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87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4C8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51081124Y000011389954-路灯和垃圾清运费</w:t>
            </w:r>
          </w:p>
        </w:tc>
      </w:tr>
      <w:tr w14:paraId="2E9AE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05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79A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31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7DF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662" w:type="dxa"/>
            <w:gridSpan w:val="2"/>
            <w:tcBorders>
              <w:top w:val="nil"/>
              <w:left w:val="nil"/>
              <w:bottom w:val="nil"/>
              <w:right w:val="nil"/>
              <w:tl2br w:val="nil"/>
              <w:tr2bl w:val="nil"/>
            </w:tcBorders>
            <w:noWrap w:val="0"/>
            <w:vAlign w:val="center"/>
          </w:tcPr>
          <w:p w14:paraId="004633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9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49E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199CF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 w:hRule="atLeast"/>
          <w:jc w:val="center"/>
        </w:trPr>
        <w:tc>
          <w:tcPr>
            <w:tcW w:w="6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1BE2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28A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31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AC6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5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CAE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05A22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920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D68E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31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139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项目建设需完成以下目标任务：一、路灯经费：做好场镇照明设施的维护和管理工作，确保场镇路灯亮化率达到95%以上，提升群众幸福感；二、垃圾清理费：清理卫子、石井、梅树场镇及各村社区街道垃圾，改善人居环境，切实解决环境“脏、乱、差”问题，基本达到建设生态、洁净、宜居、美丽村社的目标。</w:t>
            </w:r>
          </w:p>
        </w:tc>
        <w:tc>
          <w:tcPr>
            <w:tcW w:w="455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1ED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完成场镇照明设施的日常维护和管理，保证场镇亮化，清理各村社区垃圾，改善人居环境。</w:t>
            </w:r>
          </w:p>
        </w:tc>
      </w:tr>
      <w:tr w14:paraId="029F5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ADE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88D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87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2771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对场镇陈旧或损坏照明设施进行维修更换，购买设施设备、人员工资；垃圾清运设备购置、清运人员工资。保障域内洁净、明亮、宜居</w:t>
            </w:r>
          </w:p>
        </w:tc>
      </w:tr>
      <w:tr w14:paraId="0AEC3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117D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F7F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2B9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60B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96F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AD3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0B99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D07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FD7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22973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6D5C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946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FCD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830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50D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5AA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9910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4580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E4D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016F7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B172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88F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E03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E87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8663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21.00</w:t>
            </w: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731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F9A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83A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01AA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7990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C734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280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B7E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D673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B806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011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97C9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C6D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F9A7C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FFA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37D8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5347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CC0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1E3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7F3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DF6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610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320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F008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65C1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70E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980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EA68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A3D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D850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6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F1E0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DCE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954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0E0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EB9D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 w:hRule="atLeast"/>
          <w:jc w:val="center"/>
        </w:trPr>
        <w:tc>
          <w:tcPr>
            <w:tcW w:w="6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694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EF1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827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B628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284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D89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2E7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FB5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3033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328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6FC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433F7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5DBD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905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1C1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5D4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清理垃圾次数</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C93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709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144</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B9E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次/年</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93F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1056</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470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D90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C014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3CE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DC28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3772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73AE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BBCE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场镇路灯盏数</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6AE7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B56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4C4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盏</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357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378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24F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E642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13E4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D719A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B65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ACA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85B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资金支出合规率</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3D5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393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1C8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AE6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9302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BCF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584B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BD4C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A417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27AA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E59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082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完成期限</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3F4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954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BF1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2107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CD9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94D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092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E680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9DA1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D47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F67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FB8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改善人居环境</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6E0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E28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57FF7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AF5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D15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050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DB3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D205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247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2B4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4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C34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EDFD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场镇居民及商户满意度</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4D8F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7D4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94</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237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E64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94</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A8A4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1B9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C73A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4382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1A90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3093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4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C4C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AB7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场镇全年垃圾清理费</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83A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882B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D6F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4BC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FA7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572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D6FB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B6BC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5228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A31D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4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1EE7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5938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维修费、电费等</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EB3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67F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w:t>
            </w:r>
          </w:p>
        </w:tc>
        <w:tc>
          <w:tcPr>
            <w:tcW w:w="7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7A0D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9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1B88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946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C06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E4065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65C7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jc w:val="center"/>
        </w:trPr>
        <w:tc>
          <w:tcPr>
            <w:tcW w:w="803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ED3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60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A377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C41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7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9268A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373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E4F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048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自评得分100分，每年垃圾清运次数超过144次，日常管理路灯超过60盏，居民满意度超过95%</w:t>
            </w:r>
          </w:p>
        </w:tc>
      </w:tr>
      <w:tr w14:paraId="37329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1A9B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91F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DD10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5A5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0A7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C34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548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AF4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4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A9F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606B6573">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87"/>
        <w:gridCol w:w="1287"/>
        <w:gridCol w:w="1634"/>
        <w:gridCol w:w="627"/>
        <w:gridCol w:w="720"/>
        <w:gridCol w:w="690"/>
        <w:gridCol w:w="1110"/>
        <w:gridCol w:w="630"/>
        <w:gridCol w:w="705"/>
        <w:gridCol w:w="1245"/>
      </w:tblGrid>
      <w:tr w14:paraId="4057A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21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A25B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4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1343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51081124Y000011390549-人大主席团及人大代表工作经费</w:t>
            </w:r>
          </w:p>
        </w:tc>
      </w:tr>
      <w:tr w14:paraId="54FEF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jc w:val="center"/>
        </w:trPr>
        <w:tc>
          <w:tcPr>
            <w:tcW w:w="210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DC5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A55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10" w:type="dxa"/>
            <w:tcBorders>
              <w:top w:val="nil"/>
              <w:left w:val="nil"/>
              <w:bottom w:val="nil"/>
              <w:right w:val="nil"/>
              <w:tl2br w:val="nil"/>
              <w:tr2bl w:val="nil"/>
            </w:tcBorders>
            <w:noWrap w:val="0"/>
            <w:vAlign w:val="center"/>
          </w:tcPr>
          <w:p w14:paraId="1E5064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58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97E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78DF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40D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A24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65F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9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401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5B8E9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4064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E309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95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BFC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人大主席团及人大代表工作经费项目当年安排资金3.74万元，由上级公共财政补助安排，属于一次性项目，主要用于镇人大主席团及人大代表日常办公运转，推进镇各项工作。</w:t>
            </w:r>
          </w:p>
        </w:tc>
        <w:tc>
          <w:tcPr>
            <w:tcW w:w="369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8F2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顺利召开人民代表大会，宣传人大工作，监督本级人民政府工作</w:t>
            </w:r>
          </w:p>
        </w:tc>
      </w:tr>
      <w:tr w14:paraId="1C76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09EB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A77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4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2FA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人大代表团视察工作租车、用餐等安排，人民代表大会资料打印，宣传，对人大代表补助</w:t>
            </w:r>
          </w:p>
        </w:tc>
      </w:tr>
      <w:tr w14:paraId="47908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B1D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AA5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8BE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CFB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8F3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3CA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1A9A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A45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EE9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08A1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DD61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2C0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379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3.74</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E17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3.74</w:t>
            </w: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E256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1.74</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76DD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46.52%</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5B3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BDD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w:t>
            </w:r>
          </w:p>
        </w:tc>
        <w:tc>
          <w:tcPr>
            <w:tcW w:w="124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DD5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因财政资金困难，国库未能及时足额审核工作经费。</w:t>
            </w:r>
          </w:p>
        </w:tc>
      </w:tr>
      <w:tr w14:paraId="6CE06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9FFC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38D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311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3.74</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E483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3.74</w:t>
            </w: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EE05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1.74</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9D4C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46.52%</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56D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ED7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D594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41C4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6C01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719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15FD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B5E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F4B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28A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862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9E4C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7521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CF4F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D0767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539B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FC0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013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6F8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EEB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BA69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5B9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2AD1B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FC6B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45D0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42A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8E37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ED21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203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724E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56721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362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07A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4813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E52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F80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9DC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F1B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779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E1D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97A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B0C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878D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7FA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77DB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068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4E4CA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F43DA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C57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F7A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5342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人代会召开次数</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EFE7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F8E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644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9EB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6C2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BE6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38A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133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D57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748C2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0F71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C84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人大代表人数</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70B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223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58</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2FF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62C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58</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388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4A4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C78D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561C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F27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726E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8A2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E5F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经费支出合规率</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35A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68B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4D2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22C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380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950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8B2D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2E83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A45E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6769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EF84C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E3CD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监督本级人民政府工作</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A52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5BB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效果显著</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CFE1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9D2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效果显著</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F0A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C12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9207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099A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96B96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65CC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E05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DB69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目标任务完成时间</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A11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0BFF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F78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4F3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11A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544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63FC5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62F2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254C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1D4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39A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600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代表履职率</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DD5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C97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FEF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AA4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5B4C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6EDA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0CEC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2413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48E6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108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AEE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EA3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群众满意度</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560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D08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565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E80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1FD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D643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FC31F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2766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2CF3E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2A9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8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529F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E38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会议、办公经费支出</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72B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A63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66A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863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D10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CBD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11CF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A9B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6E57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5D7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8A8C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EF0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人大代表补助标准</w:t>
            </w:r>
          </w:p>
        </w:tc>
        <w:tc>
          <w:tcPr>
            <w:tcW w:w="6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61EB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8FC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327E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元/人年</w:t>
            </w:r>
          </w:p>
        </w:tc>
        <w:tc>
          <w:tcPr>
            <w:tcW w:w="111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548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300</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837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D95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3E69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AAB7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17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724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DABB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7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98F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93</w:t>
            </w:r>
          </w:p>
        </w:tc>
        <w:tc>
          <w:tcPr>
            <w:tcW w:w="12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A401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A0E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6C0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3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D7A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自评得分100分，顺利召开人民代表大会，宣传人大工作，监督本级人民政府工作，提高政府运转效率</w:t>
            </w:r>
          </w:p>
        </w:tc>
      </w:tr>
      <w:tr w14:paraId="44937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CFF0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3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A70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因财政资金紧张，部分工作经费未能批复，导致经费拨付不够及时</w:t>
            </w:r>
          </w:p>
        </w:tc>
      </w:tr>
      <w:tr w14:paraId="1B4C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FF3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3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2F8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积极对接上级财政部门，及时做出项目绩效信息调整。</w:t>
            </w:r>
          </w:p>
        </w:tc>
      </w:tr>
      <w:tr w14:paraId="69D2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56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941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10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2DB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24986F24">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62BBD6C5">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103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49"/>
        <w:gridCol w:w="1260"/>
        <w:gridCol w:w="1591"/>
        <w:gridCol w:w="700"/>
        <w:gridCol w:w="630"/>
        <w:gridCol w:w="675"/>
        <w:gridCol w:w="1080"/>
        <w:gridCol w:w="525"/>
        <w:gridCol w:w="540"/>
        <w:gridCol w:w="1966"/>
      </w:tblGrid>
      <w:tr w14:paraId="6CBB8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5F68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96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C70E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51081124Y000011391179-武装及安办经费</w:t>
            </w:r>
          </w:p>
        </w:tc>
      </w:tr>
      <w:tr w14:paraId="0B9A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20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1F09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8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F885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80" w:type="dxa"/>
            <w:tcBorders>
              <w:top w:val="nil"/>
              <w:left w:val="nil"/>
              <w:bottom w:val="nil"/>
              <w:right w:val="nil"/>
              <w:tl2br w:val="nil"/>
              <w:tr2bl w:val="nil"/>
            </w:tcBorders>
            <w:noWrap w:val="0"/>
            <w:vAlign w:val="center"/>
          </w:tcPr>
          <w:p w14:paraId="0596B0A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8029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5BB8C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945B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CA1A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8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209E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11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50EA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4E78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7885C">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037E2">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c>
          <w:tcPr>
            <w:tcW w:w="485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850A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武装工作经费。主要用于国防动员宣传、教育、征兵、应急抢险等工作，且每个季度至少完成1次民兵训练，保障国防后备力量强大。二、安办经费。用于安全生产、道路安全劝导、消防安全等工作，例如聘用18名道路交通劝导员，并设立5个优秀考核名额。</w:t>
            </w:r>
          </w:p>
        </w:tc>
        <w:tc>
          <w:tcPr>
            <w:tcW w:w="411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45A7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完成年度国防动员、宣传、教育、征兵等工作，且每季度均进行民兵训练，提供18名道路交通劝导员的就业岗位，加强安全劝导，消防安全等工作，提升了镇域内的安全率。</w:t>
            </w:r>
          </w:p>
        </w:tc>
      </w:tr>
      <w:tr w14:paraId="69A1F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619527">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3042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967"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C904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提供就业岗位，加强安全劝导，消防安全等工作，域内国防动员、宣传、教育、征兵、民兵训练。</w:t>
            </w:r>
          </w:p>
        </w:tc>
      </w:tr>
      <w:tr w14:paraId="0E3D6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18824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0114A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A3B31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7F8A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56F2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D906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2E2F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BC6D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9AA9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67171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5A78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A457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3571B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0A2A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A6B3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0D08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BCC3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2DEF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71DB3">
            <w:pPr>
              <w:keepNext w:val="0"/>
              <w:keepLines w:val="0"/>
              <w:pageBreakBefore w:val="0"/>
              <w:widowControl/>
              <w:kinsoku/>
              <w:wordWrap/>
              <w:overflowPunct/>
              <w:topLinePunct w:val="0"/>
              <w:autoSpaceDE w:val="0"/>
              <w:autoSpaceDN w:val="0"/>
              <w:bidi w:val="0"/>
              <w:adjustRightInd w:val="0"/>
              <w:snapToGrid/>
              <w:spacing w:beforeLines="0" w:afterLines="0" w:line="20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5E2DB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21CE0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F1EB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659C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1F37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723B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02E2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6735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D99A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4DEB1">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r>
      <w:tr w14:paraId="0B38F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C250B8">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6119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88405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D02C7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8704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352C3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0FAF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9A1F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AFA040">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r>
      <w:tr w14:paraId="5478E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FBBD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D47A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EB3F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9968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E067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951C4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246B3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5C53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82D98">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r>
      <w:tr w14:paraId="59C00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5B1B7">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0222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C35870">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54486">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200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C504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10767">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854C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3226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68929">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r>
      <w:tr w14:paraId="1CF2A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4834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E874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9CA4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565B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D488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BCF5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C7E1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57CE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0CF4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8B21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D4834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6D856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35EA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A8EC6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173CD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5F60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聘用交通劝导员人数</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0778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FDFC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DB878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名</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EE24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5E70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0D6EC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9E480">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6A51D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B585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9FDD2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FCBE0">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DB5E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保障民兵训练次数</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304E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C0DF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555F8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158D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B0A06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6994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CAC4C">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0A993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957CA">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F5673">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C027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69F1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镇域安全保障率</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B94F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CFE7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171F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A226B">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15CF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D30E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A93DE">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73590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9407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4DDB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E42E5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002A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民兵训练合格率</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F04E6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B7861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B941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93ED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22B7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5CD7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4E42B">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49416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3BD38">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DD552">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429FF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44B5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完成期限</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FD2A3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999F6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8571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B6EB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DEFF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0F27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D3AEE">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3609A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BCF18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F749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C9EB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B9BA9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政策知晓率</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F461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0F2A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95DE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C73D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EE814">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32A4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80E99">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01027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F7FC1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D44D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84BE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559F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辖区内居民对安全工作满意度</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0978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9C86F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12C8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DF9D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D4BB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66DB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12AF3">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122CE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BE601F">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C3BCCA">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ADAB6">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BEA7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参训人员、应征青年满意度</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5E08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AAF3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2D4A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451C7">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9C5F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025F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9FA8B">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1C05D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3F0F4">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3737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6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E036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1CF2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道安、消防等安办工作经费</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5842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4FCE8E">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A6503">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A930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C3CE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FE60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DB6D7">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5234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27761">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44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7E6BFD">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26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F58ACA">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c>
          <w:tcPr>
            <w:tcW w:w="15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6F479">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武装训练费用、物资储备经费需求</w:t>
            </w:r>
          </w:p>
        </w:tc>
        <w:tc>
          <w:tcPr>
            <w:tcW w:w="7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52C7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B0DBD">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2126C">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6923F">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D5CB2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325D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8C5FB">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jc w:val="center"/>
              <w:rPr>
                <w:rFonts w:hint="eastAsia" w:ascii="宋体" w:hAnsi="宋体" w:eastAsia="宋体" w:cs="宋体"/>
                <w:color w:val="000000"/>
                <w:sz w:val="20"/>
                <w:szCs w:val="20"/>
              </w:rPr>
            </w:pPr>
          </w:p>
        </w:tc>
      </w:tr>
      <w:tr w14:paraId="0E7B9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00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941D9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A9E0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8BDE2">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BCC5B">
            <w:pPr>
              <w:keepNext w:val="0"/>
              <w:keepLines w:val="0"/>
              <w:pageBreakBefore w:val="0"/>
              <w:kinsoku/>
              <w:wordWrap/>
              <w:overflowPunct/>
              <w:topLinePunct w:val="0"/>
              <w:autoSpaceDE w:val="0"/>
              <w:autoSpaceDN w:val="0"/>
              <w:bidi w:val="0"/>
              <w:adjustRightInd w:val="0"/>
              <w:snapToGrid/>
              <w:spacing w:beforeLines="0" w:afterLines="0" w:line="230" w:lineRule="exact"/>
              <w:ind w:firstLine="0" w:firstLineChars="0"/>
              <w:rPr>
                <w:rFonts w:hint="eastAsia" w:ascii="宋体" w:hAnsi="宋体" w:eastAsia="宋体" w:cs="宋体"/>
                <w:color w:val="000000"/>
                <w:sz w:val="20"/>
                <w:szCs w:val="20"/>
              </w:rPr>
            </w:pPr>
          </w:p>
        </w:tc>
      </w:tr>
      <w:tr w14:paraId="0CE6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2D4A6">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4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DA4C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自评得分100分，每年完成4次以上民兵训练，加大了相关政策宣传力度，应急物资储备增多，提高域内安全率，群众满意度提高</w:t>
            </w:r>
          </w:p>
        </w:tc>
      </w:tr>
      <w:tr w14:paraId="3458D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C16C5">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4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F207F1">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66B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FF02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4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3B3F0">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1AE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61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C601A">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1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D1BC8">
            <w:pPr>
              <w:keepNext w:val="0"/>
              <w:keepLines w:val="0"/>
              <w:pageBreakBefore w:val="0"/>
              <w:widowControl/>
              <w:kinsoku/>
              <w:wordWrap/>
              <w:overflowPunct/>
              <w:topLinePunct w:val="0"/>
              <w:autoSpaceDE w:val="0"/>
              <w:autoSpaceDN w:val="0"/>
              <w:bidi w:val="0"/>
              <w:adjustRightInd w:val="0"/>
              <w:snapToGrid/>
              <w:spacing w:beforeLines="0" w:afterLines="0" w:line="23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0B6A2658">
      <w:pPr>
        <w:keepNext w:val="0"/>
        <w:keepLines w:val="0"/>
        <w:pageBreakBefore w:val="0"/>
        <w:widowControl/>
        <w:kinsoku w:val="0"/>
        <w:wordWrap/>
        <w:overflowPunct/>
        <w:topLinePunct w:val="0"/>
        <w:autoSpaceDE w:val="0"/>
        <w:autoSpaceDN w:val="0"/>
        <w:bidi w:val="0"/>
        <w:adjustRightInd w:val="0"/>
        <w:snapToGrid w:val="0"/>
        <w:spacing w:beforeLines="0" w:afterLines="0" w:line="160" w:lineRule="exact"/>
        <w:jc w:val="center"/>
        <w:textAlignment w:val="baseline"/>
        <w:rPr>
          <w:rFonts w:hint="eastAsia" w:ascii="方正小标宋简体" w:hAnsi="方正小标宋简体" w:eastAsia="方正小标宋简体" w:cs="方正小标宋简体"/>
          <w:kern w:val="21"/>
          <w:sz w:val="44"/>
          <w:szCs w:val="44"/>
        </w:rPr>
      </w:pPr>
    </w:p>
    <w:p w14:paraId="564AEE84">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106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68"/>
        <w:gridCol w:w="1286"/>
        <w:gridCol w:w="1500"/>
        <w:gridCol w:w="675"/>
        <w:gridCol w:w="555"/>
        <w:gridCol w:w="654"/>
        <w:gridCol w:w="1067"/>
        <w:gridCol w:w="551"/>
        <w:gridCol w:w="514"/>
        <w:gridCol w:w="2079"/>
        <w:gridCol w:w="104"/>
      </w:tblGrid>
      <w:tr w14:paraId="78EE7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90" w:hRule="atLeast"/>
          <w:jc w:val="center"/>
        </w:trPr>
        <w:tc>
          <w:tcPr>
            <w:tcW w:w="20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44E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88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E28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51081124Y000011391618-交通接待及乡镇临聘人员经费</w:t>
            </w:r>
          </w:p>
        </w:tc>
      </w:tr>
      <w:tr w14:paraId="3998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305" w:hRule="atLeast"/>
          <w:jc w:val="center"/>
        </w:trPr>
        <w:tc>
          <w:tcPr>
            <w:tcW w:w="208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82E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6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A6B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67" w:type="dxa"/>
            <w:tcBorders>
              <w:top w:val="nil"/>
              <w:left w:val="nil"/>
              <w:bottom w:val="nil"/>
              <w:right w:val="nil"/>
              <w:tl2br w:val="nil"/>
              <w:tr2bl w:val="nil"/>
            </w:tcBorders>
            <w:noWrap w:val="0"/>
            <w:vAlign w:val="center"/>
          </w:tcPr>
          <w:p w14:paraId="68CDBA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14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121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48DAD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14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6C4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8EB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6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5754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21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137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826C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217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417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952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6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E86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为切实体现基层为民办实事、解决服务群众“最后一公里”，基于我镇干部实际需要，2024年需完成以下项目目标任务:一、接待费：行政区划调整后，由于镇域面积增大，用于弥补公务接待费用不足，保障行政正常运转；二、临聘人员工作经费：行政区划调整后，工作量增加，临聘人员经费保障镇临聘人员日常工作需要；三、交通费：行政区划调整后，镇域面积增大，干部下村频率增高，用于镇干部日常出差、下村交通补贴，以及项目考察、调研活动等租车费用支出，确保镇机关正常运转。</w:t>
            </w:r>
          </w:p>
        </w:tc>
        <w:tc>
          <w:tcPr>
            <w:tcW w:w="4211"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B328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顺利完成年度任务目标，提供3个就业岗位，保障临聘人员待遇补助。交通接待提高干部下村考察调研、技术指导积极性。</w:t>
            </w:r>
          </w:p>
        </w:tc>
      </w:tr>
      <w:tr w14:paraId="4D450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25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F3FB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F62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88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662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提供3个就业岗位，保障临聘人员待遇补助。报销干部下村考察调研、技术指导等交通费，提高其工作积极性</w:t>
            </w:r>
          </w:p>
        </w:tc>
      </w:tr>
      <w:tr w14:paraId="520A2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233"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3745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F9F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616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503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C2EE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6B2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E1B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27C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E5B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7814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4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2CA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FCE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D11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23.50</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09A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23.50</w:t>
            </w: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2B7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22.50</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F29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95.74%</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FEC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BF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w:t>
            </w:r>
          </w:p>
        </w:tc>
        <w:tc>
          <w:tcPr>
            <w:tcW w:w="207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692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30610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50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2654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E0EE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986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23.50</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8F8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23.50</w:t>
            </w: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140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22.50</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E998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95.74%</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6E55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5BC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B49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405C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51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4F6A6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869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564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98B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A38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954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D23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4B6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6CCB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396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6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4C7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7A6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992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AC5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5C2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240F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997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CAA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E59B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9C85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3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1AEA5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935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F895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2742E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88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ECB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B3F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D05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2D6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7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20AA3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8AAA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BA0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9FB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D76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2F6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153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0B4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4DF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369B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F7C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BDB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BD8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0170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428A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721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96A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422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接待人次</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EF8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FF4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360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0B31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人次</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8D3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360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0F2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6FF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B7E2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2C5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F7F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D20C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21EA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BA6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交通费保障干部人数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F38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D27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48262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94D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8DB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312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49DBC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15A9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13B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4AB73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4E47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458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保障临聘人员人数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D7D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EF2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07A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CEE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E78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291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18FB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6EDC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1D50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79D46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C14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0DF6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经费支出合规率</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AF9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6BA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508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D827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CED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040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B619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307D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8B25E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C274A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8D4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8880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项目完成期限</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294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952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805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D8F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E296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1E9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0FBA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3AE2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7D33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363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341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B7D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保障行政区划调整后基层单位正常运行</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3B2D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A4E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A8FD0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F63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F56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54F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B02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02E5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E0E26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BDB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27C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CB85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干部满意度</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131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F92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BF5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F46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9C46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6C40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96C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02AC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E2770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42F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8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FBE3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2CA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交通补助经费</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720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1D6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453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DB8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346D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164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2CE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03CA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C096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46575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C2F8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C40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临聘人员工作经费</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B338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7EA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10.5</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0DB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21BE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10.5</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71F3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E6D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AD0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2DBB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7F5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2AF5B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C857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3D2D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行政运行接待工作经费</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665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D8B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518E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A91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FA00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19A9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1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6FB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B2D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07" w:hRule="atLeast"/>
          <w:jc w:val="center"/>
        </w:trPr>
        <w:tc>
          <w:tcPr>
            <w:tcW w:w="782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50E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47A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777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20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D2DA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2AA7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74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6D0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3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1D0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自评得分100分，接待其他单位派遣指导交流人员，学习先进经验，提高干部业务水平，满意度97%以上，提高基层单位运行效率</w:t>
            </w:r>
          </w:p>
        </w:tc>
      </w:tr>
      <w:tr w14:paraId="29ED8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712"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C6B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3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C5B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因财政资金紧张，部分工作经费未能批复，导致经费拨付不够及时</w:t>
            </w:r>
          </w:p>
        </w:tc>
      </w:tr>
      <w:tr w14:paraId="78D29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78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598B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3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976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积极对接上级财政部门，及时做出项目绩效信息调整。</w:t>
            </w:r>
          </w:p>
        </w:tc>
      </w:tr>
      <w:tr w14:paraId="74C7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 w:type="dxa"/>
          <w:trHeight w:val="420" w:hRule="atLeast"/>
          <w:jc w:val="center"/>
        </w:trPr>
        <w:tc>
          <w:tcPr>
            <w:tcW w:w="554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FD5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20"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A38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0AA181C5">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41"/>
        <w:gridCol w:w="1276"/>
        <w:gridCol w:w="1392"/>
        <w:gridCol w:w="735"/>
        <w:gridCol w:w="660"/>
        <w:gridCol w:w="631"/>
        <w:gridCol w:w="1153"/>
        <w:gridCol w:w="516"/>
        <w:gridCol w:w="416"/>
        <w:gridCol w:w="1880"/>
      </w:tblGrid>
      <w:tr w14:paraId="4429E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jc w:val="center"/>
        </w:trPr>
        <w:tc>
          <w:tcPr>
            <w:tcW w:w="20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7FED8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54EC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51081124Y000011392111-村社经费</w:t>
            </w:r>
          </w:p>
        </w:tc>
      </w:tr>
      <w:tr w14:paraId="57E6C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205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1E65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69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9226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53" w:type="dxa"/>
            <w:tcBorders>
              <w:top w:val="nil"/>
              <w:left w:val="nil"/>
              <w:bottom w:val="nil"/>
              <w:right w:val="nil"/>
              <w:tl2br w:val="nil"/>
              <w:tr2bl w:val="nil"/>
            </w:tcBorders>
            <w:noWrap w:val="0"/>
            <w:vAlign w:val="center"/>
          </w:tcPr>
          <w:p w14:paraId="312CDE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0E3B1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4D53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634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6F3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69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7AC0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9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C84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00C7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C5E7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A611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69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71B7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为保障村（社区）正常运转，村社干部报酬及时发放，2024年完成以下项目目标任务:一、村办公经费84万元：保障15个村2个（社区）日常运转，维持其购买办公用品，当看报刊订阅费，完成全年广告，印刷，差旅费及工作经费的支出；二、村组干部报酬3426240元，保障村组干部生活补助,三、村组干部养老保险及公积金162077元：保障村社干部社保权益。</w:t>
            </w:r>
          </w:p>
        </w:tc>
        <w:tc>
          <w:tcPr>
            <w:tcW w:w="3965"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DD4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圆满完成了年度各项任务目标，保障了15个村干部和2个社区专职化干部的工资待遇、社会保险和住房公积金的缴纳，办公经费保障了村社工作的正常运行，加强了政策宣讲，和订阅报刊杂志提升村社干部政治素养，畅通时政信息渠道</w:t>
            </w:r>
          </w:p>
        </w:tc>
      </w:tr>
      <w:tr w14:paraId="569FB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91D8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CF2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5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85B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了15个村干部和2个社区专职化干部的工资待遇、社会保险和住房公积金的缴纳，办公经费保障了村社工作的正常运行，加强了政策宣讲，和订阅报刊杂志提升村社干部政治素养，畅通时政信息渠道。按时足额发放待遇补贴，缴纳社区专职化干部保险公积金，保障权益。</w:t>
            </w:r>
          </w:p>
        </w:tc>
      </w:tr>
      <w:tr w14:paraId="58A05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E0A4D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EBD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AF8F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6F69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959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A3F2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EB9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98C3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A8F4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4B71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7438B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542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23F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442.83</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15C7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442.83</w:t>
            </w: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7811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405.01</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3BF6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91.46%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6D82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00C8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w:t>
            </w:r>
          </w:p>
        </w:tc>
        <w:tc>
          <w:tcPr>
            <w:tcW w:w="18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65C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43262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CCBB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F77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A27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442.83</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A9EE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442.83</w:t>
            </w: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6C87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405.01</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D70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91.46%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99D82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5BD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7D3BC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65C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2EF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959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025A6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BC97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F32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B1A5D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0652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0848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93485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73A86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1972F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82EE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FBB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068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26A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031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CE5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193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6F93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80A5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B453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9EF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7EDF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AD07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2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D1C6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16DBA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41E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0CE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D5BC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C54C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CDD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5995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2B2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FA9D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4F5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A64B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250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2B6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0C6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6AD3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91E8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3129D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36AA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364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6380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6BE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日常运转村（社区）数量</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9AE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1E6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5347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68A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8CCC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2DD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E137F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03758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D4FE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157D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3916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5955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在职村社干部报酬保障人数</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01B9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D49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212</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36E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92F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212</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0CE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130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26EB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E3D2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D7C8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32DF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C507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95C0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资金支出合规率</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7654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8F88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42D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1EA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6D87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E27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EC7CB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841D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4D0A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83D9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94E10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9D62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保障村（社区）日常运转率（资金保障率=实际资金保障数/预算保障数*%）</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900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D2D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046D8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422C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4FBB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DAB9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DCED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260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8E3D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667B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BE5A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832D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各项目标任务完成时间</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9CF8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17F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D899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5D2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F54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23B8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52EC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53AD6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EDA99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958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5FDF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6573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保障社区工作正常开展，提升村社干部工作效率和积极性</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2AD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2CC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A68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9084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621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A8BB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AD3A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C48D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99B9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850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B90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3E35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061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6D7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164B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B52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23DB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741D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C205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5A87C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BB4A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4BEA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AE3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9347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村社干部工资及保险等</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FB2AB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EEA6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3588318</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295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43EC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3588318</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BB3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8DB3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B0E10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4B989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94C30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0F5A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ABD11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C6E1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村社干部宣传费、差旅费、办公用品采购费等</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561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CB3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840000</w:t>
            </w:r>
          </w:p>
        </w:tc>
        <w:tc>
          <w:tcPr>
            <w:tcW w:w="63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610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15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681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840000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029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739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5885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E4F3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790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C1C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841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07FE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18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55CE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1D9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DCF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CC778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自评得分100分，全部保障在职村社干部的人员待遇，提高村社干部干事创业积极性，受益对象满意度达95%以上，加大了政策宣传力度，群众办事效率得以提高</w:t>
            </w:r>
          </w:p>
        </w:tc>
      </w:tr>
      <w:tr w14:paraId="0A69E9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13C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7E9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因财政资金紧张，部分办公经费未能批复，导致经费拨付不够精准</w:t>
            </w:r>
          </w:p>
        </w:tc>
      </w:tr>
      <w:tr w14:paraId="3F072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B62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0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123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积极对接上级财政部门，及时做出项目绩效信息调整。</w:t>
            </w:r>
          </w:p>
        </w:tc>
      </w:tr>
      <w:tr w14:paraId="7A13B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jc w:val="center"/>
        </w:trPr>
        <w:tc>
          <w:tcPr>
            <w:tcW w:w="546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C79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5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C23F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1CADE493">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774EC1AF">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71"/>
        <w:gridCol w:w="1285"/>
        <w:gridCol w:w="1625"/>
        <w:gridCol w:w="781"/>
        <w:gridCol w:w="883"/>
        <w:gridCol w:w="628"/>
        <w:gridCol w:w="782"/>
        <w:gridCol w:w="682"/>
        <w:gridCol w:w="660"/>
        <w:gridCol w:w="1422"/>
        <w:gridCol w:w="20"/>
      </w:tblGrid>
      <w:tr w14:paraId="6EC8C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49" w:hRule="atLeast"/>
          <w:jc w:val="center"/>
        </w:trPr>
        <w:tc>
          <w:tcPr>
            <w:tcW w:w="20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68E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4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7B3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51081124Y000011392140-农业园区工作经费</w:t>
            </w:r>
          </w:p>
        </w:tc>
      </w:tr>
      <w:tr w14:paraId="3197D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404" w:hRule="atLeast"/>
          <w:jc w:val="center"/>
        </w:trPr>
        <w:tc>
          <w:tcPr>
            <w:tcW w:w="208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B1C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5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354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410" w:type="dxa"/>
            <w:gridSpan w:val="2"/>
            <w:tcBorders>
              <w:top w:val="nil"/>
              <w:left w:val="nil"/>
              <w:bottom w:val="nil"/>
              <w:right w:val="nil"/>
              <w:tl2br w:val="nil"/>
              <w:tr2bl w:val="nil"/>
            </w:tcBorders>
            <w:noWrap w:val="0"/>
            <w:vAlign w:val="center"/>
          </w:tcPr>
          <w:p w14:paraId="29BC66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7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8DA1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4FCA9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19"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514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95C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5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5D0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1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640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024B3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2096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8327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57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7D4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王家贡米产业示范带现代种业园区建设工作经费共安排资金10万元，由上级公共财政补助安排，属于一次性项目，主要用于王家贡米产业示范带现代种业园区建设日常运营和工作保障。</w:t>
            </w:r>
          </w:p>
        </w:tc>
        <w:tc>
          <w:tcPr>
            <w:tcW w:w="41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AEF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按照相应的工作经费，年度各项任务目标均顺利完成，</w:t>
            </w:r>
          </w:p>
        </w:tc>
      </w:tr>
      <w:tr w14:paraId="5C607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5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7F55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66C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4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1C1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加强园区卫生环境整治，对陈旧、损坏的基础设施进行维修和更换，拓宽并硬化园区道路，提升园区硬件基础设施</w:t>
            </w:r>
          </w:p>
        </w:tc>
      </w:tr>
      <w:tr w14:paraId="2AC1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74522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104B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D62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BD6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881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21F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8CE8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1B1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4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B0A5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B82F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DFC11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F5E7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40F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AEE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142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6D1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FD0F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681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w:t>
            </w:r>
          </w:p>
        </w:tc>
        <w:tc>
          <w:tcPr>
            <w:tcW w:w="1442" w:type="dxa"/>
            <w:gridSpan w:val="2"/>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E11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因上级部门未批复相关工作经费，故未能及时拨付</w:t>
            </w:r>
          </w:p>
        </w:tc>
      </w:tr>
      <w:tr w14:paraId="7E64D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8BBC6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C146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D53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189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86E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AB6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2001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9F0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4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0C9B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F065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A65C2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9A0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64A9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5B7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C65D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231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BECA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54F3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4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E5D0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4F5E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5EBB1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1EB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F58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992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30D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45B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4B25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1C15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4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9C3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31EF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DE03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1333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DE8D5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71A4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6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A6090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70EF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71E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71FD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442" w:type="dxa"/>
            <w:gridSpan w:val="2"/>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5BF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FF8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14"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5D3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469D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1F4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F68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801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7F4F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7B04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CE1E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FA3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E1B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FCC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51BC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4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959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6C6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81BE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153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涉及园区个数</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569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A14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4A5F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557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F88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72A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439A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61C4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1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D205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075A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CEB5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4BAA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园区建设考核合格率</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599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BEF8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8D2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647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6BAC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9D3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430BC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2342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1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11BF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2ECF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AD56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CB7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园区建设时间</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6BE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6B8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D0F3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9E1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018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D57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EA80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0B76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0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3357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C6A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66F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F714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带动周边村民增收率</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058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2DF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C4F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C52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9E63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E4E3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DE665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D7A0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2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50AAB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295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1DCD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0A1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7FC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A99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CFC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39A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75F2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C4F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FC7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ED45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13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092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87A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AFD5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A10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园区环境卫生整治、设施维护等</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D07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AFC0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7F17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149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F73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5A0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668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9128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35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E195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153E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40C5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FA7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道路硬化等硬件设施建设</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F30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F4C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FE97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2F0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42A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05D2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5316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B69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25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54FF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7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635B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4B168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708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园区人员工资、软件设施等</w:t>
            </w:r>
          </w:p>
        </w:tc>
        <w:tc>
          <w:tcPr>
            <w:tcW w:w="78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315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3CC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A6C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7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19D4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B696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944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4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997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5586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jc w:val="center"/>
        </w:trPr>
        <w:tc>
          <w:tcPr>
            <w:tcW w:w="8071"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A8A0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6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157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F5F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w:t>
            </w:r>
          </w:p>
        </w:tc>
        <w:tc>
          <w:tcPr>
            <w:tcW w:w="14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0658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8273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67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0F0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1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467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自评得分100分，加强园区卫生环境整治，对陈旧、损坏的基础设施进行维修和更换，拓宽并硬化园区道路，提升园区硬件基础设施，带动村民增收率超过10%</w:t>
            </w:r>
          </w:p>
        </w:tc>
      </w:tr>
      <w:tr w14:paraId="053C5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47"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5166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1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5DA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因上级部门未批复相关工作经费，故未能及时拨付</w:t>
            </w:r>
          </w:p>
        </w:tc>
      </w:tr>
      <w:tr w14:paraId="3C7F5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65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2625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1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F485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积极对接上级财政部门，及时下达预算指标，足额拨付工作经费</w:t>
            </w:r>
          </w:p>
        </w:tc>
      </w:tr>
      <w:tr w14:paraId="184E5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0" w:type="dxa"/>
          <w:trHeight w:val="533" w:hRule="atLeast"/>
          <w:jc w:val="center"/>
        </w:trPr>
        <w:tc>
          <w:tcPr>
            <w:tcW w:w="577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6F5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057"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33F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639C9BEB">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pPr>
    </w:p>
    <w:p w14:paraId="0333F78C">
      <w:pPr>
        <w:widowControl/>
        <w:kinsoku w:val="0"/>
        <w:snapToGrid w:val="0"/>
        <w:spacing w:beforeLines="0" w:afterLines="0"/>
        <w:jc w:val="center"/>
        <w:textAlignment w:val="baseline"/>
        <w:rPr>
          <w:rFonts w:hint="eastAsia" w:ascii="方正小标宋简体" w:hAnsi="方正小标宋简体" w:eastAsia="方正小标宋简体" w:cs="方正小标宋简体"/>
          <w:kern w:val="21"/>
          <w:sz w:val="44"/>
          <w:szCs w:val="44"/>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08"/>
        <w:gridCol w:w="1237"/>
        <w:gridCol w:w="1556"/>
        <w:gridCol w:w="719"/>
        <w:gridCol w:w="630"/>
        <w:gridCol w:w="645"/>
        <w:gridCol w:w="916"/>
        <w:gridCol w:w="516"/>
        <w:gridCol w:w="516"/>
        <w:gridCol w:w="1780"/>
      </w:tblGrid>
      <w:tr w14:paraId="59596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5" w:hRule="atLeast"/>
          <w:jc w:val="center"/>
        </w:trPr>
        <w:tc>
          <w:tcPr>
            <w:tcW w:w="20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B62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51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B14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51081124Y000011454736-驻村工作经费</w:t>
            </w:r>
          </w:p>
        </w:tc>
      </w:tr>
      <w:tr w14:paraId="6BC5A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202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1652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BFD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916" w:type="dxa"/>
            <w:tcBorders>
              <w:top w:val="nil"/>
              <w:left w:val="nil"/>
              <w:bottom w:val="nil"/>
              <w:right w:val="nil"/>
              <w:tl2br w:val="nil"/>
              <w:tr2bl w:val="nil"/>
            </w:tcBorders>
            <w:noWrap w:val="0"/>
            <w:vAlign w:val="center"/>
          </w:tcPr>
          <w:p w14:paraId="1B25BE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1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C88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66937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C22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4B2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2CFE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7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078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1D4E8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28879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9260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D90D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工作经费11.5万元，由上级公共财政补助安排，属于一次性项目，主要用于第一书记和工作队，考察调研、日常工作运转以及报销驻村期间因公产生的差旅费等，卫子镇有23名驻村工作队员，涵盖8个村，5000元/人年的补助标准。</w:t>
            </w:r>
          </w:p>
        </w:tc>
        <w:tc>
          <w:tcPr>
            <w:tcW w:w="37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0C91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严格按照相关文件标准拨付资金，保障驻村工作队员和第一书记工作的顺利开展</w:t>
            </w:r>
          </w:p>
        </w:tc>
      </w:tr>
      <w:tr w14:paraId="3EA0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64C06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CA3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515"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613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落实政策文件，核实驻村人员信息，核实经费使用情况，确保驻村工作落到实处，群众从中受益</w:t>
            </w:r>
          </w:p>
        </w:tc>
      </w:tr>
      <w:tr w14:paraId="20F17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F78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812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77B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2C95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642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A55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295F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FEA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F682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0F76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04C0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BE6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38D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8669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076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CE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475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454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B4F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A481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7205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FA7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C0AA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71D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836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6D75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3C18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2563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3AA0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1FD7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7294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9AA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034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9A8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E65A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011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AD3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CF2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606C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512B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6F5D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83F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60C6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2FD9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ECF3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A87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0F5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5BA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510BD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E599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FAE0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53A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D83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07E1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9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FD39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DFAB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511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389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51E5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B338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B83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B1C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F8F2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EA47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408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0015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0EB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B52F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B01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84E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A87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20B38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E503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133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3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425C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51D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驻村工作队人数</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6249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D6F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F8C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0299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090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ADC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7304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1570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35B40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E19E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1FCB0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CA5A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帮扶村社数量</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935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3F3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0F1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3726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AF9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72C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4018A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2778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05F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D8060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62E4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E60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资金使用合规率</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57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5E4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124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795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304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4B4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6566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9DBF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448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D274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815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C4E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项目完成时间</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C4C0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DBE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002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446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1AA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C96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B0B0C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0FF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43B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6BFB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77B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225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提高驻村干部工作积极性，助力乡村振兴</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0EF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92C8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FC75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D55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3213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76F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986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A7A1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CCC6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341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A99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C5F3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986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04B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DDA5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B1D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82B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711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577C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670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B2C06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4B4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6F1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F0C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驻村人员补助标准</w:t>
            </w:r>
          </w:p>
        </w:tc>
        <w:tc>
          <w:tcPr>
            <w:tcW w:w="7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0DE2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16AC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EEA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元/人年</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DA14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1B5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390F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DD46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FDDF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2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946D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3F8E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4DC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7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A00E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4FCF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9ED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992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B96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自评得分100分，保障了驻村期间工作队员的考察调研、日常工作运转，提升了驻村队员工作积极性。</w:t>
            </w:r>
          </w:p>
        </w:tc>
      </w:tr>
      <w:tr w14:paraId="73F59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10EA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992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F2B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6075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3A6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9923"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181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1FE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5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09C1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00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EDC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2C797CFA">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24A96F67">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9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26"/>
        <w:gridCol w:w="1243"/>
        <w:gridCol w:w="1575"/>
        <w:gridCol w:w="621"/>
        <w:gridCol w:w="795"/>
        <w:gridCol w:w="617"/>
        <w:gridCol w:w="916"/>
        <w:gridCol w:w="516"/>
        <w:gridCol w:w="516"/>
        <w:gridCol w:w="2055"/>
      </w:tblGrid>
      <w:tr w14:paraId="559CE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 w:hRule="atLeast"/>
          <w:jc w:val="center"/>
        </w:trPr>
        <w:tc>
          <w:tcPr>
            <w:tcW w:w="20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A9A0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85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85A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51081124Y000011483729-2023年2-4季度离职村干部及80岁以上老党员补助资金</w:t>
            </w:r>
          </w:p>
        </w:tc>
      </w:tr>
      <w:tr w14:paraId="77EB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20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1E3B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8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1BF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916" w:type="dxa"/>
            <w:tcBorders>
              <w:top w:val="nil"/>
              <w:left w:val="nil"/>
              <w:bottom w:val="nil"/>
              <w:right w:val="nil"/>
              <w:tl2br w:val="nil"/>
              <w:tr2bl w:val="nil"/>
            </w:tcBorders>
            <w:noWrap w:val="0"/>
            <w:vAlign w:val="center"/>
          </w:tcPr>
          <w:p w14:paraId="0F3C8D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8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E73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08DD8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3FDA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B6E1E">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8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E17E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0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DF9C35">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19F4C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10A1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41F2E">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rPr>
                <w:rFonts w:hint="eastAsia" w:ascii="宋体" w:hAnsi="宋体" w:eastAsia="宋体" w:cs="宋体"/>
                <w:color w:val="000000"/>
                <w:sz w:val="20"/>
                <w:szCs w:val="20"/>
              </w:rPr>
            </w:pPr>
          </w:p>
        </w:tc>
        <w:tc>
          <w:tcPr>
            <w:tcW w:w="485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8703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2023年2-4季度离职村干部及80岁以上老党员补助资金项目。离职村干部补助标准：任职5年内，100元/人月，任职5-10年，150元/人月，任职10-20年，200元/人月，任职20-30年，260元/人月，任职30年以上，400元/人月。我镇共有离职村干部180人，发放金额292160元；80岁以上老党员补助100元/人月，我镇有80岁以上老党员57人，45400元。此项目体现了我镇的人文关怀。</w:t>
            </w:r>
          </w:p>
        </w:tc>
        <w:tc>
          <w:tcPr>
            <w:tcW w:w="400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848A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按照相应标准足额拨付给180名离职村社干部和57名80岁以上老党员，保障其相应权益，肯定其工作成果，提升生活水平，激励现任村社及党员干部投身社会主义事业</w:t>
            </w:r>
          </w:p>
        </w:tc>
      </w:tr>
      <w:tr w14:paraId="2189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6F36A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A644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85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0F6B5">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落实相关政策，对接相关部门，及时足额拨付相关资金，保障离职村社干部和80岁以上老党员的生活补助，提高人文关怀</w:t>
            </w:r>
          </w:p>
        </w:tc>
      </w:tr>
      <w:tr w14:paraId="27CBB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44FE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526D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AD06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EF3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519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F72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663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7AC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2253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9346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D82D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69E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C49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99B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33.76</w:t>
            </w: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7BD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33.76</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0D64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D7E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607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70046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32044E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7E8A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743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965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117D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33.76</w:t>
            </w: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A50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33.76</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44C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BB14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345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7191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AC12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C032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7C1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2578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5F3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41A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94ED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D74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810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768F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E314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1DF0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C060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426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64B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02C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7F5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3D6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37A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2B82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1164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94B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24B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D7D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E4DBD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203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F1D8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A2A4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978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762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5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BC7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103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83E0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0DC2F2">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18DDA">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9AC7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52CF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2E26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F2233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6A5C02">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1D1E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BBBE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CB664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5D59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E1C1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379ACA">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92B3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99C9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离职村干部人数</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DBB4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2F9CA">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180</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76DA2">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F9F1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21F2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A53495">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9AD4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1E91B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2DE62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86EF1">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2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B75BD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857A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80岁以上老党员</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0C8D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1E104">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57</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E80C74">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62F9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639C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A3868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FBB2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4E428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D54F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799F2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AFC1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638C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资金支出合规率</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7FE38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2CBF3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5027D">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6A14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156F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D52B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1879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1C086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D502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E3D02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D655A4">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EBEC4">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目标任务完成时间</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87D3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1A31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60A42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F38B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4EC02D">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7152E">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03F74">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69E7F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E78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7BC9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060ED">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F9CCF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体现党委政府人文关怀，激励在职党员干部恪尽职守</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5341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AF76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1461E">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4491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D9EF6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4797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F9955">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39C1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5F6D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B2BE1A">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4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9DBE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197F6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9D11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5183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32A4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54ED2">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6A2D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89BE6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B5EE1">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629BE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18B13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DE89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4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9111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83C4B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80岁以上老党员补助资金</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CACFA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B6D3F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45400</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EF8F5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5488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45400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671508">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F97120">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9A28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3CD76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F774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2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E0E6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24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03179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c>
          <w:tcPr>
            <w:tcW w:w="15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BA5D72">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离职村干部补助资金</w:t>
            </w:r>
          </w:p>
        </w:tc>
        <w:tc>
          <w:tcPr>
            <w:tcW w:w="6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41449F">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CA3516">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292160</w:t>
            </w:r>
          </w:p>
        </w:tc>
        <w:tc>
          <w:tcPr>
            <w:tcW w:w="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5F40D">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9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39DE8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292160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A1603">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4C52D">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464B37">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37DE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09"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77F6A">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274A9">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04E4B">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20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00F6AC">
            <w:pPr>
              <w:keepNext w:val="0"/>
              <w:keepLines w:val="0"/>
              <w:pageBreakBefore w:val="0"/>
              <w:widowControl/>
              <w:kinsoku/>
              <w:wordWrap/>
              <w:overflowPunct/>
              <w:topLinePunct w:val="0"/>
              <w:autoSpaceDE w:val="0"/>
              <w:autoSpaceDN w:val="0"/>
              <w:bidi w:val="0"/>
              <w:adjustRightInd w:val="0"/>
              <w:snapToGrid/>
              <w:spacing w:beforeLines="0" w:afterLines="0" w:line="220" w:lineRule="exact"/>
              <w:ind w:firstLine="0" w:firstLineChars="0"/>
              <w:jc w:val="center"/>
              <w:rPr>
                <w:rFonts w:hint="eastAsia" w:ascii="宋体" w:hAnsi="宋体" w:eastAsia="宋体" w:cs="宋体"/>
                <w:color w:val="000000"/>
                <w:sz w:val="20"/>
                <w:szCs w:val="20"/>
              </w:rPr>
            </w:pPr>
          </w:p>
        </w:tc>
      </w:tr>
      <w:tr w14:paraId="18AD7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DD0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1B10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自评得分100分，受益对象满意度达100%，体现了党委政府体现党委政府人文关怀，激励在职党员干部恪尽职守，营造了和谐、幸福的社会环境</w:t>
            </w:r>
          </w:p>
        </w:tc>
      </w:tr>
      <w:tr w14:paraId="29313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9EF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6B4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F8B2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9A7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8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81BE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65271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 w:hRule="atLeast"/>
          <w:jc w:val="center"/>
        </w:trPr>
        <w:tc>
          <w:tcPr>
            <w:tcW w:w="548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317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15"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44A8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1622EABC">
      <w:pPr>
        <w:keepNext w:val="0"/>
        <w:keepLines w:val="0"/>
        <w:pageBreakBefore w:val="0"/>
        <w:widowControl/>
        <w:kinsoku w:val="0"/>
        <w:wordWrap/>
        <w:overflowPunct/>
        <w:topLinePunct w:val="0"/>
        <w:autoSpaceDE w:val="0"/>
        <w:autoSpaceDN w:val="0"/>
        <w:bidi w:val="0"/>
        <w:adjustRightInd w:val="0"/>
        <w:snapToGrid w:val="0"/>
        <w:spacing w:beforeLines="0" w:afterLines="0" w:line="100" w:lineRule="exact"/>
        <w:ind w:firstLine="0" w:firstLineChars="0"/>
        <w:jc w:val="center"/>
        <w:textAlignment w:val="baseline"/>
        <w:rPr>
          <w:rFonts w:hint="eastAsia" w:ascii="宋体" w:hAnsi="宋体" w:eastAsia="宋体" w:cs="宋体"/>
          <w:kern w:val="21"/>
          <w:sz w:val="20"/>
          <w:szCs w:val="20"/>
        </w:rPr>
      </w:pPr>
    </w:p>
    <w:p w14:paraId="76D730BE">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97"/>
        <w:gridCol w:w="1220"/>
        <w:gridCol w:w="1546"/>
        <w:gridCol w:w="686"/>
        <w:gridCol w:w="525"/>
        <w:gridCol w:w="656"/>
        <w:gridCol w:w="1037"/>
        <w:gridCol w:w="516"/>
        <w:gridCol w:w="516"/>
        <w:gridCol w:w="2011"/>
      </w:tblGrid>
      <w:tr w14:paraId="5D58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70" w:hRule="atLeast"/>
          <w:jc w:val="center"/>
        </w:trPr>
        <w:tc>
          <w:tcPr>
            <w:tcW w:w="20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8DB7A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1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FC3E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51081124Y000011520388-结转2023年驻村工作经费</w:t>
            </w:r>
          </w:p>
        </w:tc>
      </w:tr>
      <w:tr w14:paraId="557F9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201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F69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6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558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37" w:type="dxa"/>
            <w:tcBorders>
              <w:top w:val="nil"/>
              <w:left w:val="nil"/>
              <w:bottom w:val="nil"/>
              <w:right w:val="nil"/>
              <w:tl2br w:val="nil"/>
              <w:tr2bl w:val="nil"/>
            </w:tcBorders>
            <w:noWrap w:val="0"/>
            <w:vAlign w:val="center"/>
          </w:tcPr>
          <w:p w14:paraId="6CDC21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4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6941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2FE6B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0695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8D24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6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FF3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0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C61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2B665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1DD4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F92B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6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BEB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工作经费11.5万元，由上级公共财政补助安排，属于一次性项目，主要用于第一书记和工作队，考察调研、日常工作运转以及报销驻村期间因公产生的差旅费等，卫子镇有23名驻村工作队员，涵盖8个村，5000元/人年的补助标准。</w:t>
            </w:r>
          </w:p>
        </w:tc>
        <w:tc>
          <w:tcPr>
            <w:tcW w:w="408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3B2B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严格按照相关文件标准拨付资金，保障驻村工作队员和第一书记工作的顺利开展</w:t>
            </w:r>
          </w:p>
        </w:tc>
      </w:tr>
      <w:tr w14:paraId="19B22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6212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C979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13"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6DD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落实政策文件，核实驻村人员信息，核实经费使用情况，确保驻村工作落到实处，群众从中受益</w:t>
            </w:r>
          </w:p>
        </w:tc>
      </w:tr>
      <w:tr w14:paraId="1A9C9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93E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0C9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135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B5A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B68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9691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839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1B68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352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066D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8040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027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B0A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AB2B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FDC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B3B8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119D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E74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C482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9970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5EC1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7FDC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ADA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221E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B62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11.50</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67E5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9E08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700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DBB0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9C16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8118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F39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675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DAE6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DB00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5A1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11B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B66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3719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A8D2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F721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EDE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9B9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65E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E4E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AAFF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A9C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B2F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14D45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EACC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52B7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8146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BCF13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E49D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86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AA99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F6CF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389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665A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201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825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EE37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BC7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776F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16C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7A4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283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F69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4B05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D5A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2DD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A470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9DDC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1A242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46F7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E49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2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D165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039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帮扶村社数量</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D2B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4C9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EAB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997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DF0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056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01587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E49F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8EE4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679B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DC76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A782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驻村工作队员人数</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BE20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8E2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D41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E795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EAD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F49B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4E50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EF97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C2F7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96A9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324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3286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资金使用合规率</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DFE6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AD0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9151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A9F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597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B8A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D98B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4F5A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E0F6D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A0D6F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EDA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0EE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各项任务完成时间</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20A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ADBD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A57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A97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37D9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7685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53F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E04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27CCD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D12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16C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8BA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提高驻村干部工作积极性，助力乡村振兴</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DF1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6BB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6718F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B044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E1B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BEA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A83C4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F26F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3AAC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75A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0CA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帮扶对象满意度指标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8BF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22F0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8FB2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430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A79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A67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0D4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58C07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A35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3C76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39D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2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E4D0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4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467F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驻村队员补助标准</w:t>
            </w:r>
          </w:p>
        </w:tc>
        <w:tc>
          <w:tcPr>
            <w:tcW w:w="6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7A6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DA40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65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464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元/人年</w:t>
            </w:r>
          </w:p>
        </w:tc>
        <w:tc>
          <w:tcPr>
            <w:tcW w:w="103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9988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824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24D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D789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A37E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68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8B8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914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15C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201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16EC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A350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4BC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C95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自评得分100分，保障了驻村期间工作队员的考察调研、日常工作运转，提升了驻村队员工作积极性。</w:t>
            </w:r>
          </w:p>
        </w:tc>
      </w:tr>
      <w:tr w14:paraId="3EFD7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E5D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DF9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5115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DEB5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1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93B0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C91E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 w:hRule="atLeast"/>
          <w:jc w:val="center"/>
        </w:trPr>
        <w:tc>
          <w:tcPr>
            <w:tcW w:w="546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ED7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6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6B0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1BA46ACD">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14C5AD9A">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4FD9AFF3">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69"/>
        <w:gridCol w:w="1192"/>
        <w:gridCol w:w="1513"/>
        <w:gridCol w:w="695"/>
        <w:gridCol w:w="735"/>
        <w:gridCol w:w="645"/>
        <w:gridCol w:w="1041"/>
        <w:gridCol w:w="525"/>
        <w:gridCol w:w="555"/>
        <w:gridCol w:w="1951"/>
      </w:tblGrid>
      <w:tr w14:paraId="711C8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B7A3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85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FED6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51081124Y000011602001-保运转经费</w:t>
            </w:r>
          </w:p>
        </w:tc>
      </w:tr>
      <w:tr w14:paraId="6651C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 w:hRule="atLeast"/>
          <w:jc w:val="center"/>
        </w:trPr>
        <w:tc>
          <w:tcPr>
            <w:tcW w:w="19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313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8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EA47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41" w:type="dxa"/>
            <w:tcBorders>
              <w:top w:val="nil"/>
              <w:left w:val="nil"/>
              <w:bottom w:val="nil"/>
              <w:right w:val="nil"/>
              <w:tl2br w:val="nil"/>
              <w:tr2bl w:val="nil"/>
            </w:tcBorders>
            <w:noWrap w:val="0"/>
            <w:vAlign w:val="center"/>
          </w:tcPr>
          <w:p w14:paraId="1F6179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3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6A1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5089F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8EB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6C3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8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EAEE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0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4F04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0FA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1CA5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0AF2E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8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D2E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我镇奋勇争先，顺利完成区委区政府下达的既定目标任务，高质量通过乡村振兴“两考一评估”、先后承接全省巩固拓展脱贫攻坚成果同乡村振兴有效衔接现场会等，高频次接受各类督导调研和考核检查，环境治理、公务接待、维修维护等方面经费支出大，特向我镇拨付15万元运转资金，保障我镇各项工作有序开展。</w:t>
            </w:r>
          </w:p>
        </w:tc>
        <w:tc>
          <w:tcPr>
            <w:tcW w:w="407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279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高质量通过乡村振兴“两考一评估”、先后承接全省巩固拓展脱贫攻坚成果同乡村振兴有效衔接现场会等，王家贡米园区扩面提质超过5000亩，乡村振兴考核评为优秀</w:t>
            </w:r>
          </w:p>
        </w:tc>
      </w:tr>
      <w:tr w14:paraId="13EC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D248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6F9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85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26A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高频次接受各类督导调研和考核检查，环境治理、公务接待、维修维护，及时足额拨付相关工作经费，保障工作顺利开展，高质量通过乡村振兴“两考一评估”。</w:t>
            </w:r>
          </w:p>
        </w:tc>
      </w:tr>
      <w:tr w14:paraId="12828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9013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095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68E5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0E4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57E4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4E6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3FF1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E1E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53C1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2565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64453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5C75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8E1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5036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B69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083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FE37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9017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DB2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63E5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C5864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CAD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5E8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1D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190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A78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F41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978F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A363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90F1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07F1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52D2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658A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3519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9E6D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DE0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5D14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071C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E0D41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6B25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5048E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5BCF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D80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4C5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CC5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54D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304F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2EE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2FA2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164E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5BAF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62D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2AA9B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92EA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207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A86B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99F8E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650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7AD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AEA4C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7943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A10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FD57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CC41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C7D3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827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1DB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424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5AAC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727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C58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3B2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2845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3619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19D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0A2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4CB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迎接检查调研</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91DF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19D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D81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次/年</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74A8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80B6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4C7C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A58D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F8FF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99E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0D6F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9A6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BBC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承接各种现场会</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577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15D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AFD8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场</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C9E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492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F275F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2541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7482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05958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2150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57C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825D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王家贡米园区扩面提质</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D6EA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CBB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55E4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亩</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A1B8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D8BE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E14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5984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DF9B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1CC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D345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5E05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02F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乡村振兴考核结果</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499C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9842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3241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5CB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090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E26A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04E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745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D9425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DAF4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379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04C4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各项任务目标完成时间</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4EA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CA84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CF0D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792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2461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2C8D7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411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2D6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DE3AF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E82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DC3B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6DD6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带动少数民族群众增收</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F20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005E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4200</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412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元/户</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2E6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4200</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983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64F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77E0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906D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E86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DD1D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1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0FC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6412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群众对象满意度</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C886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FAE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CE2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1A3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842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36F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B9244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16D3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16FD4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921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19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312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DE7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乡村振兴考核环境治理</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9EB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1BBC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6.5</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F1FD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CD90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484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671D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048D1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97F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E9F3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68996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42C67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8F3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基础设施维修维护费用</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042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18F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9F4E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5AB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BF3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787F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183E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C203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D519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BDC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E3D37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6401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省市区现场会及调研督导</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605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F30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3CA8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55C8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BD8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5FE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720A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1D71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1C8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B553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9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FDCD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1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072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省三星级全区建设</w:t>
            </w:r>
          </w:p>
        </w:tc>
        <w:tc>
          <w:tcPr>
            <w:tcW w:w="6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7185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3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593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64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E7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0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525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7EFB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C224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3E374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E823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0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E87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F94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5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247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302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EB84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9D5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2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296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自评得分100分，带动少数民族群众增收增长超过4200元/户，群众满意度达96%以上，把王家贡米园区建设成三星园区。</w:t>
            </w:r>
          </w:p>
        </w:tc>
      </w:tr>
      <w:tr w14:paraId="08F6A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95B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2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4CD0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822F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338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2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9844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FF38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jc w:val="center"/>
        </w:trPr>
        <w:tc>
          <w:tcPr>
            <w:tcW w:w="538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C3FEF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5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9B8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E330901">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458FAAD9">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6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02"/>
        <w:gridCol w:w="1221"/>
        <w:gridCol w:w="1549"/>
        <w:gridCol w:w="416"/>
        <w:gridCol w:w="702"/>
        <w:gridCol w:w="540"/>
        <w:gridCol w:w="1247"/>
        <w:gridCol w:w="516"/>
        <w:gridCol w:w="516"/>
        <w:gridCol w:w="1925"/>
      </w:tblGrid>
      <w:tr w14:paraId="72701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20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EFA16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3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4A70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51081124Y000011615949-解决驻村工作队工作经费差口</w:t>
            </w:r>
          </w:p>
        </w:tc>
      </w:tr>
      <w:tr w14:paraId="3AE45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01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3A86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E85F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247" w:type="dxa"/>
            <w:tcBorders>
              <w:top w:val="nil"/>
              <w:left w:val="nil"/>
              <w:bottom w:val="nil"/>
              <w:right w:val="nil"/>
              <w:tl2br w:val="nil"/>
              <w:tr2bl w:val="nil"/>
            </w:tcBorders>
            <w:noWrap w:val="0"/>
            <w:vAlign w:val="center"/>
          </w:tcPr>
          <w:p w14:paraId="60317A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95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8E2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57F8E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B88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DC09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6344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90AC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48779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1C746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8EA4C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42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A2F8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按照《四川省驻村第一书记和工作队管理办法》（川组通〔2021〕75号）文件要求，按照每人每年不低于5000元标准安排，用于考察调研、日常工作运转以及报销驻村期间因公差旅费等，我镇现有23名驻村工作队员覆盖8个村，由于我镇幅员面积广、各村距离远、覆盖人口多等原因，</w:t>
            </w:r>
            <w:r>
              <w:rPr>
                <w:rFonts w:hint="eastAsia" w:ascii="宋体" w:hAnsi="宋体" w:eastAsia="宋体" w:cs="宋体"/>
                <w:snapToGrid w:val="0"/>
                <w:color w:val="000000"/>
                <w:sz w:val="20"/>
                <w:szCs w:val="20"/>
                <w:lang w:eastAsia="zh-CN" w:bidi="ar"/>
              </w:rPr>
              <w:t>截至目前</w:t>
            </w:r>
            <w:r>
              <w:rPr>
                <w:rFonts w:hint="eastAsia" w:ascii="宋体" w:hAnsi="宋体" w:eastAsia="宋体" w:cs="宋体"/>
                <w:snapToGrid w:val="0"/>
                <w:color w:val="000000"/>
                <w:sz w:val="20"/>
                <w:szCs w:val="20"/>
                <w:lang w:bidi="ar"/>
              </w:rPr>
              <w:t>，驻村帮扶工作队员下村产生的交通费、燃油费、餐饮费等17.4万元，用于调研接待经费3.7万元，购买慰问困难群众、党员物资3.8万元，基层党建、帮扶工作调度会、办公物品等经费2.6万元。区财政局划拨驻村帮扶工作经费11.5万元，现有差口15万元。为扎实推动乡村振兴，特拨款15万差口经费。</w:t>
            </w:r>
          </w:p>
        </w:tc>
        <w:tc>
          <w:tcPr>
            <w:tcW w:w="420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F9B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此工作经费有效解决了8个村23名驻村工作队员的驻村经费不足的问题，提高了驻村队员下村调研、帮扶的积极性，慰问困难群众党员，提供人文关怀和救助，调度会、办公用品保障了驻村工作的顺利开展。</w:t>
            </w:r>
          </w:p>
        </w:tc>
      </w:tr>
      <w:tr w14:paraId="276C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0140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738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32"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D276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及时足额拨付相关费用，有效解决了8个村23名驻村工作队员的驻村经费不足的问题，提高了驻村队员下村调研、帮扶的积极性，慰问困难群众党员，提供人文关怀和救助，调度会、办公用品保障了驻村工作的顺利开展。</w:t>
            </w:r>
          </w:p>
        </w:tc>
      </w:tr>
      <w:tr w14:paraId="336E5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D4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8AF3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B656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048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263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B77C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5124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34B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63630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0993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6B4FA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705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E96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43AE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C916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BAB2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6DB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F8A5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3ED1C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BD27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BB30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B76C1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92E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296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B76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4BA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E4F5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33B9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07D7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7254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DFFE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BBCC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4A89D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F84E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0E6D7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F75D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BB5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292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B1D4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74E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BE64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4E17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77C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786D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60C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7AE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556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5470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D24A8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78617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D0F1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FA9B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0E530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7DDE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58"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9CE7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7F10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A938C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609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2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3DBA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FBAE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9"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7DF1B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E7FD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D295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CB602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B591C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8F14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ED13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528A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EA09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3C92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F6E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10ECE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9FB23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343C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2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DA4B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57D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驻村队员人数</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6C4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9FC7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F124C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949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A930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808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E3A33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1BFA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29DB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EA607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7406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1E0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帮扶村社数量</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6609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136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E303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95D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0D85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E032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BE427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D0D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58057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3D81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F4CC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C04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乡村振兴评估考核</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9908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8057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3A29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508B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45A35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B223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A3B9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6E0E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D4DE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6171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DAD4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3CD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各项任务目标完成时限</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FEEC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C85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E60B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74B7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223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5D6E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4EA7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724F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2A24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F3C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F9B9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52F09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提升人居环境</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C7433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137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4CEC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79D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678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06CB4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77892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1364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2BFE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16A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2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4186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帮扶对象满意度指标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FC673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群众满意度</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C6C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AFE5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2069C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595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27C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0C8C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C2C97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1147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31B09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5BB71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2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4C82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12C3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慰问困难群众党员等资金差口</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8502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A0D1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C62F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BB5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44FA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29219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7980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E6E3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A07F6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A9B6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C971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47D7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交通、燃油、餐饮等资金差口</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89D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2AE3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11.3</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E0A51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0609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11.3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F4AE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611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88BA1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B86D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5D76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EE8B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C1D5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67F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调研接待经费差口</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5A9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FCC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9EB9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6E03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098E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BE41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B44B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CD49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F7402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0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A1EFB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53F9B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ADC7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办公经费资金差口</w:t>
            </w:r>
          </w:p>
        </w:tc>
        <w:tc>
          <w:tcPr>
            <w:tcW w:w="4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A76A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7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E15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0.6</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4217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24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F652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0.6</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3C8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4922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2E68A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0ECFB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69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198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4F9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3D9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958FB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6F8A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218B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03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48F55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自评得分100分，顺利完成各项任务目标，提升了人居环境，提高群众满意度，助力乡村振兴</w:t>
            </w:r>
          </w:p>
        </w:tc>
      </w:tr>
      <w:tr w14:paraId="562BA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8"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642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03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D1DB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1FC7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85F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034"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810AB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9EFE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520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85F44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44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8C6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2A1A2A2A">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4CB82E8D">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382"/>
        <w:gridCol w:w="1205"/>
        <w:gridCol w:w="1530"/>
        <w:gridCol w:w="667"/>
        <w:gridCol w:w="660"/>
        <w:gridCol w:w="707"/>
        <w:gridCol w:w="1016"/>
        <w:gridCol w:w="516"/>
        <w:gridCol w:w="516"/>
        <w:gridCol w:w="1961"/>
      </w:tblGrid>
      <w:tr w14:paraId="3D837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 w:hRule="atLeast"/>
          <w:jc w:val="center"/>
        </w:trPr>
        <w:tc>
          <w:tcPr>
            <w:tcW w:w="19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B54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7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05B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51081124Y000011749235-2023年10-12月职业年金单位部分做实</w:t>
            </w:r>
          </w:p>
        </w:tc>
      </w:tr>
      <w:tr w14:paraId="66899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998"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66AAE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8107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16" w:type="dxa"/>
            <w:tcBorders>
              <w:top w:val="nil"/>
              <w:left w:val="nil"/>
              <w:bottom w:val="nil"/>
              <w:right w:val="nil"/>
              <w:tl2br w:val="nil"/>
              <w:tr2bl w:val="nil"/>
            </w:tcBorders>
            <w:noWrap w:val="0"/>
            <w:vAlign w:val="center"/>
          </w:tcPr>
          <w:p w14:paraId="279536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99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93BD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1196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703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3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9871C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DB7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00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F6E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76CF0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B135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3CC7B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69"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E51B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2023年邢洪坤、贺玉华、熊光春、3人退休，需做实职业年金，合计165549.14元，属一次性项目，由上级公共财政补贴安排。</w:t>
            </w:r>
          </w:p>
        </w:tc>
        <w:tc>
          <w:tcPr>
            <w:tcW w:w="4009"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E8B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及时足额完成了对3人职业年金的做实，保障其退休后相关权益和生活水平</w:t>
            </w:r>
          </w:p>
        </w:tc>
      </w:tr>
      <w:tr w14:paraId="7CB65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2AD0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9A23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7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CD28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与上级部门对接沟通，核实相关信息，及时足额进行职业年金做实，保障退休干部权益及生活水平</w:t>
            </w:r>
          </w:p>
        </w:tc>
      </w:tr>
      <w:tr w14:paraId="081FA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E35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51A4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E0E7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F85B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5B7D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406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ED9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2359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639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53A5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158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599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8F0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7F1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16.55</w:t>
            </w: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370C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16.55</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2B11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E77F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84A6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24F7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8538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08177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0F05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7996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7A1F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16.55</w:t>
            </w: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F54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16.55</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689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9DB8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8BA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AA43B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989C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2090B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EAB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5ED63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DCF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90941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A420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DB43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F02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D9129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5CDA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2943F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B66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562F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816E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659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26D3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1358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A7D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30B0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16FAF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8F399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8CE3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7929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A3A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203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3115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E8686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72D2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2B9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885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738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C9B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6F98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11C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49B02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AFEA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DDE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CA4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BA36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70EB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982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D03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0AA5D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B0A7A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0A7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AD5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A97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做实人数</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2D5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00B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5BA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F5C1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227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F21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49B5F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3A74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FFB63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B386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7B3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7C2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退休人员权益保障度</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5D22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93D6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91FC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8E5C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688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2E7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1F58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267E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0C994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661C4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7C8D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372A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做实任务完成时间</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22B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2A4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2AFFF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D675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E4C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2EF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81A7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98B8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D0DD0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9059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3F7C8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1D007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保障职工福利</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052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8FE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F45F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CF5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A4F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5E12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6279A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B4F95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9BC0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F648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0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84A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1280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退休人员满意度</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109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3A94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FF0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F74C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763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F18A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C95C3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560A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35546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B4B1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0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3B2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9DA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熊光春做实金额</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00A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A64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60671.55</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0F8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AD9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60671.55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E8E2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BE7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06F3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57B8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0235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D33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C3259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B31F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邢洪坤做实金额</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C687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B487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53961.22</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B4EEB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738A8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53961.22</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CAEF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94FA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D545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1402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DDFB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8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43D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0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70DE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5009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贺玉华做实金额</w:t>
            </w:r>
          </w:p>
        </w:tc>
        <w:tc>
          <w:tcPr>
            <w:tcW w:w="6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672C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E49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50916.37</w:t>
            </w:r>
          </w:p>
        </w:tc>
        <w:tc>
          <w:tcPr>
            <w:tcW w:w="7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124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9A58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50916.37</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2085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E9E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7BC9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7609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783"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C29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BEBE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832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462F0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4533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206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6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74CF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自评得分100分，及时足额进行职业年金做实，保障退休干部权益及生活水平，退休人员满意度高达100%</w:t>
            </w:r>
          </w:p>
        </w:tc>
      </w:tr>
      <w:tr w14:paraId="22B9F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26A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6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9935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D510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9B6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60"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5E1E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1F96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0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7F4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376"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4B5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0CC0B342">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13"/>
        <w:gridCol w:w="1232"/>
        <w:gridCol w:w="1562"/>
        <w:gridCol w:w="416"/>
        <w:gridCol w:w="1193"/>
        <w:gridCol w:w="416"/>
        <w:gridCol w:w="916"/>
        <w:gridCol w:w="516"/>
        <w:gridCol w:w="516"/>
        <w:gridCol w:w="1783"/>
      </w:tblGrid>
      <w:tr w14:paraId="6BD3B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20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63494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54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BE9C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51081124Y000011762343-结转2023年村社经费</w:t>
            </w:r>
          </w:p>
        </w:tc>
      </w:tr>
      <w:tr w14:paraId="74CC8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jc w:val="center"/>
        </w:trPr>
        <w:tc>
          <w:tcPr>
            <w:tcW w:w="203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E442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91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84F9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27" w:type="dxa"/>
            <w:tcBorders>
              <w:top w:val="nil"/>
              <w:left w:val="nil"/>
              <w:bottom w:val="nil"/>
              <w:right w:val="nil"/>
              <w:tl2br w:val="nil"/>
              <w:tr2bl w:val="nil"/>
            </w:tcBorders>
            <w:noWrap w:val="0"/>
            <w:vAlign w:val="center"/>
          </w:tcPr>
          <w:p w14:paraId="3C30F9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0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E38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6E0B6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5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FE93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7745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91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152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73D5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25A30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FE74B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56CBD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912"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013BE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2023年已经完成以下项目目标任务:一、村办公经费84万元：保障15个村2个（社区）日常运转，维持其购买办公用品，当看报刊订阅费，完成全年广告，印刷，差旅费及工作经费的支出；二、村社区干部报酬355.7523万元，村社区组社干部工资保,三、连任村（社区）三职干部补助：保障连任村干部54人的生活补助，维持干部工作经费需要。现在剩余232321元未拨款支付需结转。</w:t>
            </w:r>
          </w:p>
        </w:tc>
        <w:tc>
          <w:tcPr>
            <w:tcW w:w="3628"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D3AD7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结转办公经费，购买办公用品，保障15个村和2个社区的正常办公运转，订阅报刊提高村社干部的理论素养，畅通时政信息，宣传印刷提高了政策宣传力度，方便群众及时知晓办事政策。</w:t>
            </w:r>
          </w:p>
        </w:tc>
      </w:tr>
      <w:tr w14:paraId="7632A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29B7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72E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540"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B59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对接上级部门，及时结转拨付上年度未完成经费，保障村社正常办公运转，提高村社干部政治素养，提高宣传力度，强化为民意识</w:t>
            </w:r>
          </w:p>
        </w:tc>
      </w:tr>
      <w:tr w14:paraId="7BFE6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jc w:val="center"/>
        </w:trPr>
        <w:tc>
          <w:tcPr>
            <w:tcW w:w="5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35707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58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7A1B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21C8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1AC3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4747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09DA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B182A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17C99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3C4C6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EDD7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8701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0AD3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B85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w:t>
            </w: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5542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E9FE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6B5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4EFB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5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0E54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5426F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B8C52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F77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8A57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892B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w:t>
            </w: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B541E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9572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C23FE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3D0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78422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6C5EA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A5A0E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EF5CE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9CD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7D24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EA19C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034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B7C91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5E7E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59BA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6B9E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23631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1797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539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B355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9AD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2BD0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63002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873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AE7D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1DE9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BE5F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3735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2769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1AA70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0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CCAA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C842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079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E6B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5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560F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D40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56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20D06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66EC9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0C53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2EE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798C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A5133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A3F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68DE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0873A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8AD7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83F9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3B6F2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89A7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1B6E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8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83F0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FD51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日常运转村（社区）数量</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FE8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97A0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03E8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DFCC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C0E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A9D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189E4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8E8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910DE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357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8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C3B0E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0C29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在职村社干部报酬保障人数</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3D51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40DE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212</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00A5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F291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212</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EFFB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AAA4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DFF5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0ABC3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D392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6978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DCA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84E1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保障村（社区）日常运转率（资金保障率=实际资金保障数/预算保障数*%）</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4C6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9087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AAC5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0AA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7E969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4EE42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09B0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5BB63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BDB19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D928B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E842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0AA5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各项任务目标完成时间</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6D77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39C5F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E0B0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510B1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2838B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88E01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350B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6611B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0"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EFF0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129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93B5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42EE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保障社区工作正常开展，提升村社干部工作效率和积极性</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F3375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0D6B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F6B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51EDC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4AD2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5CB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30C7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72D7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8"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03625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1068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1EE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ACFC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保障对象满意度</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BD7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A32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040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F889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77B7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3991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D1C01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41008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jc w:val="center"/>
        </w:trPr>
        <w:tc>
          <w:tcPr>
            <w:tcW w:w="56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0F19F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7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20DFE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72F0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B04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上年度结转未支付金额</w:t>
            </w:r>
          </w:p>
        </w:tc>
        <w:tc>
          <w:tcPr>
            <w:tcW w:w="3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0B10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3267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232321</w:t>
            </w:r>
          </w:p>
        </w:tc>
        <w:tc>
          <w:tcPr>
            <w:tcW w:w="39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6C68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82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CA2D0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232321</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95E2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2318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29CD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3DCCA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777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7313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F53C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899F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E9D25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25433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5" w:hRule="atLeast"/>
          <w:jc w:val="center"/>
        </w:trPr>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0BF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0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CCF56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自评得分100分，保障村社正常办公运转，提高村社干部政治素养，提高宣传力度，强化为民意识</w:t>
            </w:r>
          </w:p>
        </w:tc>
      </w:tr>
      <w:tr w14:paraId="238D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jc w:val="center"/>
        </w:trPr>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556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0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66CF1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DFF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7" w:hRule="atLeast"/>
          <w:jc w:val="center"/>
        </w:trPr>
        <w:tc>
          <w:tcPr>
            <w:tcW w:w="5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5288A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016"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10BE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3B44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 w:hRule="atLeast"/>
          <w:jc w:val="center"/>
        </w:trPr>
        <w:tc>
          <w:tcPr>
            <w:tcW w:w="533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619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43"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E226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0671137F">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046DF2DC">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8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18"/>
        <w:gridCol w:w="1233"/>
        <w:gridCol w:w="1566"/>
        <w:gridCol w:w="641"/>
        <w:gridCol w:w="630"/>
        <w:gridCol w:w="651"/>
        <w:gridCol w:w="1065"/>
        <w:gridCol w:w="570"/>
        <w:gridCol w:w="579"/>
        <w:gridCol w:w="1896"/>
      </w:tblGrid>
      <w:tr w14:paraId="6B59A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 w:hRule="atLeast"/>
          <w:jc w:val="center"/>
        </w:trPr>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1EF35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83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DA4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51081124Y000011837001-2024年离职村干部补助及80岁老党员救助</w:t>
            </w:r>
          </w:p>
        </w:tc>
      </w:tr>
      <w:tr w14:paraId="7F98A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3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9B70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72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48C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065" w:type="dxa"/>
            <w:tcBorders>
              <w:top w:val="nil"/>
              <w:left w:val="nil"/>
              <w:bottom w:val="nil"/>
              <w:right w:val="nil"/>
              <w:tl2br w:val="nil"/>
              <w:tr2bl w:val="nil"/>
            </w:tcBorders>
            <w:noWrap w:val="0"/>
            <w:vAlign w:val="center"/>
          </w:tcPr>
          <w:p w14:paraId="35672A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04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1A1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7DCB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F789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FAEA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72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DA8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11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FE86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5D92B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D46BE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A6BB9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72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A86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2024年离职村干部生活补助及80岁以上老党员救助，保障了离职村干部和80岁老党员的生活补助，体现了党委政府对退休人员的人文关怀，提升了政府形象我镇共有离职村干部178人，80岁老党员54人。</w:t>
            </w:r>
          </w:p>
        </w:tc>
        <w:tc>
          <w:tcPr>
            <w:tcW w:w="411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26C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圆满完成了对178名离职村干部和54名80岁以上老党员的经济补助，一定程度上有效的缓解对离职村干部和80岁以上老党员的后顾之忧，激励了现任村社、党员干部的工作。</w:t>
            </w:r>
          </w:p>
        </w:tc>
      </w:tr>
      <w:tr w14:paraId="64C5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CC94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0E1E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83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A072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积极核实离职村干部及80岁以上老党员的人员信息，及时足额发放补助，保障他们的生活条件，激励现任村社、党员干部积极为人民服务</w:t>
            </w:r>
          </w:p>
        </w:tc>
      </w:tr>
      <w:tr w14:paraId="3B5B4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76EE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201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150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457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A70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CE3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3BC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0441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B8BD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2869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7F79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70A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0C1A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B285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46.50</w:t>
            </w: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08FD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46.49</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6BB0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99.98%</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84A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3796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B79C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476FD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688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F3364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911BD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79B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46.50</w:t>
            </w: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8EB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46.49</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D607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99.98%</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891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0A0E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AE84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340A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D7D78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735C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A197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1064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B7B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367F3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D97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E675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67EF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3B1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4BAA1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98E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132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CBE8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003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19EA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F1CB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552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BD859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6657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C204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EAE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7B107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04B9A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22"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5D879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1B51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B685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BC33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4E89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28B8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13F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CFF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116E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BBDD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98D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1209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08AD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0F3D2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F442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E297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68A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3FD7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FF5E8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097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3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C093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17ED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离职村干部</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1558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F72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178</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EAB3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111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178</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1D0B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B20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7429C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A924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C3761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AB4EE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A69C2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03A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80岁老党员</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9E351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D1B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54</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D9FA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EB455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54</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B4B1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5962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3E245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89A2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265C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8DA28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5CB2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39EC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离职干部和80岁老党员生活质量保障</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C323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6FA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0451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38C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3F3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0B13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A06B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7AA2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1EBF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CDE11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37A6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00D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各项任务目标完成时间</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131E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667D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55E2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4C3D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818A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D89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73CF7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C62E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DF523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D465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87EA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23AF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激励基层干部保持干事创业的热情</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7B18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134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0DDB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B69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D54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E59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15129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69F6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32D5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A565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C3A22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A94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A20D4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517C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4A07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610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B3A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8B3B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52A13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F9BF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3FE8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6B8C6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3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EAB7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C65A9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一季度80岁以上党员补助</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ACCB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EB4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16100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5B5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2D9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16100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4487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9D0A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3B446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895C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BE59F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374A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3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88C2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1038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一季度离职村干部补助</w:t>
            </w:r>
          </w:p>
        </w:tc>
        <w:tc>
          <w:tcPr>
            <w:tcW w:w="6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8A07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9073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97780</w:t>
            </w:r>
          </w:p>
        </w:tc>
        <w:tc>
          <w:tcPr>
            <w:tcW w:w="65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A5B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106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AF3C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97780</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1984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BD58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29ED0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F874F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820"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CB1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EFDC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7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797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D8986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1D40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11B3A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C149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自评得分100分，极大地缓解了离职村干部及80岁老党员退休后的后顾之忧，为他们提供了更好的生活保障，提升了受益对象的满意度，营造出一种和谐、积极的氛围。</w:t>
            </w:r>
          </w:p>
        </w:tc>
      </w:tr>
      <w:tr w14:paraId="79550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0B6BD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2DE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177F8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FBD4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4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0CD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3132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547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3037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391"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B1ED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6BD2A23">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5AB84D36">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01"/>
        <w:gridCol w:w="1219"/>
        <w:gridCol w:w="1534"/>
        <w:gridCol w:w="636"/>
        <w:gridCol w:w="639"/>
        <w:gridCol w:w="660"/>
        <w:gridCol w:w="1101"/>
        <w:gridCol w:w="540"/>
        <w:gridCol w:w="624"/>
        <w:gridCol w:w="1785"/>
      </w:tblGrid>
      <w:tr w14:paraId="01C65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1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DE5B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73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FC06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51081124Y000011847985-兑现绩效评价考核结果奖励</w:t>
            </w:r>
          </w:p>
        </w:tc>
      </w:tr>
      <w:tr w14:paraId="706EE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 w:hRule="atLeast"/>
          <w:jc w:val="center"/>
        </w:trPr>
        <w:tc>
          <w:tcPr>
            <w:tcW w:w="201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CAB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68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8460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101" w:type="dxa"/>
            <w:tcBorders>
              <w:top w:val="nil"/>
              <w:left w:val="nil"/>
              <w:bottom w:val="nil"/>
              <w:right w:val="nil"/>
              <w:tl2br w:val="nil"/>
              <w:tr2bl w:val="nil"/>
            </w:tcBorders>
            <w:noWrap w:val="0"/>
            <w:vAlign w:val="center"/>
          </w:tcPr>
          <w:p w14:paraId="7C16E3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94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B70B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614C4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B60A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4AC3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68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6951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CD7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0CD05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D02F3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8A30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688"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23B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经第三方机构对我镇3个财政项目开展现场绩效评价，其中狮子村秸秆综合利用棚堡坎修复项目和2022年新场村便民桥建设项目评价等次为优，分别获得奖励3.1万元和3万元。奖励资金将用于政府日常运转工作。</w:t>
            </w:r>
          </w:p>
        </w:tc>
        <w:tc>
          <w:tcPr>
            <w:tcW w:w="405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5771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高质量完成年度目标，奖励资金提高了政府运转资金，提升了政府运转效率，更高效地为群众服务</w:t>
            </w:r>
          </w:p>
        </w:tc>
      </w:tr>
      <w:tr w14:paraId="185AB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7E6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84A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73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6364E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绩效考核结果奖励资金，有效地带动了其他各任务目标完成结果，营造干部队伍争先创优的氛围，足额拨付奖励资金，有效提升政府运转效率，更高水平地为人民群众服务。</w:t>
            </w:r>
          </w:p>
        </w:tc>
      </w:tr>
      <w:tr w14:paraId="2653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5E7B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689F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1B12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FAD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B616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A5C04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476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A07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870A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277B4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55FC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0ACF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05FC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2E680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6.10</w:t>
            </w: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651A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6.10</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ED54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AAA9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1C98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7505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512F6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7C046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1CC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731E6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E4F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6.10</w:t>
            </w: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C08D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6.10</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9FA25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FDEB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915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78444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F011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3413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6A5D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DF66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75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09C8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0B87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77CF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7E39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0E01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81EA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F8598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8A1B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932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00C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94F8B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18F8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CF0C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74481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8C534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6E21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BD291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EBF2B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D9D53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D317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3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D5E8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AA61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79168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B67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78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732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5BC8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9D23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A5E3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A292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C3F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ADF2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04585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F83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0E22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B5F1B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FDA27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3A3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5C7E9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883F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9D8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280C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96A9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保障干部人数</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7D0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1767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71</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5FF0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1CF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71</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846B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036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B417F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2472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05D9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16DDD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7918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17E2C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资金使用合规率</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DD1E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6B0A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0CF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481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8B30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C9DC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61BA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F74F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C8351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D7AC9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777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CE6E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资金支付及时率</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501A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205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B75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A6AF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4EBA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1F02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CF9D2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7223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8267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4963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9DF1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A1C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保障政府工作日常运转</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4F4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8ACA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62F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EB3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18AF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BFA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2A59C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D1AD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BDDE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C6BC0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1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46D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2755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干部及服务群众满意度</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7760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9B7F1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68F3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793EC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F504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8D62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EB17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84B1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938D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2DF8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1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46B1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21BBA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水电费</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40C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1563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CFC2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4FBF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7A55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675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E73AB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BA2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2E2A9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719B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1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4E9D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3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CC7A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办公费</w:t>
            </w:r>
          </w:p>
        </w:tc>
        <w:tc>
          <w:tcPr>
            <w:tcW w:w="63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C9A2C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41456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w:t>
            </w:r>
          </w:p>
        </w:tc>
        <w:tc>
          <w:tcPr>
            <w:tcW w:w="6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38D5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万元</w:t>
            </w:r>
          </w:p>
        </w:tc>
        <w:tc>
          <w:tcPr>
            <w:tcW w:w="110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B001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CB3E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69F03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DD6BC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6830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780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82C3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54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DC79D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FF73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78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7345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77C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5437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3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328A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绩效考核结果奖励资金，有效地带动了其他各任务目标完成结果，营造干部队伍争先创优的氛围，足额拨付奖励资金，有效提升政府运转效率，更高水平地为人民群众服务。</w:t>
            </w:r>
          </w:p>
        </w:tc>
      </w:tr>
      <w:tr w14:paraId="2035E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A8BB5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3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58B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123F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019D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39"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7C5F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1881C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540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669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34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51FC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6A780E74">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7B89BF3E">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101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1404"/>
        <w:gridCol w:w="1224"/>
        <w:gridCol w:w="1554"/>
        <w:gridCol w:w="689"/>
        <w:gridCol w:w="960"/>
        <w:gridCol w:w="690"/>
        <w:gridCol w:w="675"/>
        <w:gridCol w:w="600"/>
        <w:gridCol w:w="600"/>
        <w:gridCol w:w="1999"/>
      </w:tblGrid>
      <w:tr w14:paraId="7F18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jc w:val="center"/>
        </w:trPr>
        <w:tc>
          <w:tcPr>
            <w:tcW w:w="20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E77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99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DDB0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51081125Y000012213575-2023年乡镇工作补贴</w:t>
            </w:r>
          </w:p>
        </w:tc>
      </w:tr>
      <w:tr w14:paraId="740C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jc w:val="center"/>
        </w:trPr>
        <w:tc>
          <w:tcPr>
            <w:tcW w:w="202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2E7B9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4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3593F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1365" w:type="dxa"/>
            <w:gridSpan w:val="2"/>
            <w:tcBorders>
              <w:top w:val="nil"/>
              <w:left w:val="nil"/>
              <w:bottom w:val="nil"/>
              <w:right w:val="nil"/>
              <w:tl2br w:val="nil"/>
              <w:tr2bl w:val="nil"/>
            </w:tcBorders>
            <w:noWrap w:val="0"/>
            <w:vAlign w:val="center"/>
          </w:tcPr>
          <w:p w14:paraId="1DCEA3B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319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C62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1F069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B757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0FD5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4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9519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45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6D72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02160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BCFD5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32783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427"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3833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卫子镇2023年乡镇工作补贴25.93万元，由上级公共财政补助安排，主要用于全镇在职干部及驻村工作队的乡镇工作补贴发放，保障了基层职工个人权益，提升职工工作动力。</w:t>
            </w:r>
          </w:p>
        </w:tc>
        <w:tc>
          <w:tcPr>
            <w:tcW w:w="4564"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7227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保障了基层干部队伍的权益，提高基层干部工作积极性，保证基层干部队伍稳定性。推动基层工作顺利进行</w:t>
            </w:r>
          </w:p>
        </w:tc>
      </w:tr>
      <w:tr w14:paraId="6F830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6EE1B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BB42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99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931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有效提升了基层干部的后勤保障，提高基层干部工作积极性，足额拨付相关经费，有效稳定基层干部队伍，推动基层工作顺利进行</w:t>
            </w:r>
          </w:p>
        </w:tc>
      </w:tr>
      <w:tr w14:paraId="36602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A486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548D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B81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5911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08107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EDB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B5119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6AC3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90CA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AA913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4DFD9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D84D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3C3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3355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25.93</w:t>
            </w: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726BC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25.93</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5930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FD0D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1337C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99" w:type="dxa"/>
            <w:vMerge w:val="restart"/>
            <w:tcBorders>
              <w:top w:val="single" w:color="000000" w:sz="4" w:space="0"/>
              <w:left w:val="single" w:color="000000" w:sz="4" w:space="0"/>
              <w:right w:val="single" w:color="000000" w:sz="4" w:space="0"/>
              <w:tl2br w:val="nil"/>
              <w:tr2bl w:val="nil"/>
            </w:tcBorders>
            <w:noWrap w:val="0"/>
            <w:vAlign w:val="center"/>
          </w:tcPr>
          <w:p w14:paraId="1B4EC69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0F21C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9C57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0EEC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195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838E1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25.93</w:t>
            </w: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070F0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25.93</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B79C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AC2F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B74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99" w:type="dxa"/>
            <w:vMerge w:val="continue"/>
            <w:tcBorders>
              <w:left w:val="single" w:color="000000" w:sz="4" w:space="0"/>
              <w:right w:val="single" w:color="000000" w:sz="4" w:space="0"/>
              <w:tl2br w:val="nil"/>
              <w:tr2bl w:val="nil"/>
            </w:tcBorders>
            <w:noWrap w:val="0"/>
            <w:vAlign w:val="center"/>
          </w:tcPr>
          <w:p w14:paraId="0F3AA80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0623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A9B51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046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4806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46038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1E1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FFF9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829E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FC63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99" w:type="dxa"/>
            <w:vMerge w:val="continue"/>
            <w:tcBorders>
              <w:left w:val="single" w:color="000000" w:sz="4" w:space="0"/>
              <w:right w:val="single" w:color="000000" w:sz="4" w:space="0"/>
              <w:tl2br w:val="nil"/>
              <w:tr2bl w:val="nil"/>
            </w:tcBorders>
            <w:noWrap w:val="0"/>
            <w:vAlign w:val="center"/>
          </w:tcPr>
          <w:p w14:paraId="1C31CA1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4DF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4621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DF13B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3A9C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3824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6EC4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C7B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E0C93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E00C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99" w:type="dxa"/>
            <w:vMerge w:val="continue"/>
            <w:tcBorders>
              <w:left w:val="single" w:color="000000" w:sz="4" w:space="0"/>
              <w:right w:val="single" w:color="000000" w:sz="4" w:space="0"/>
              <w:tl2br w:val="nil"/>
              <w:tr2bl w:val="nil"/>
            </w:tcBorders>
            <w:noWrap w:val="0"/>
            <w:vAlign w:val="center"/>
          </w:tcPr>
          <w:p w14:paraId="701C3D2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4DDC2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63302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9041F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0B9F5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3C18A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4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41B6D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36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B7C3EB">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6A53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826AE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999" w:type="dxa"/>
            <w:vMerge w:val="continue"/>
            <w:tcBorders>
              <w:left w:val="single" w:color="000000" w:sz="4" w:space="0"/>
              <w:right w:val="single" w:color="000000" w:sz="4" w:space="0"/>
              <w:tl2br w:val="nil"/>
              <w:tr2bl w:val="nil"/>
            </w:tcBorders>
            <w:noWrap w:val="0"/>
            <w:vAlign w:val="center"/>
          </w:tcPr>
          <w:p w14:paraId="2E4D71F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36FDF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 w:hRule="atLeast"/>
          <w:jc w:val="center"/>
        </w:trPr>
        <w:tc>
          <w:tcPr>
            <w:tcW w:w="61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CD4D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DCD3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3507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A53F8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2E87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3CA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B3507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DDCA0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9FE1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4799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698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5857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1F6D6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66EFA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DEDD2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61338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补助人数</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B4F7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7A69C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A57E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人数</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332B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EDB2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28E14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35</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7A66C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316F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6DB88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F93E4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8EEA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0ACE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提升工作效率、积极性</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53D2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9836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F6C54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DAC41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A3A6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79B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C564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0F830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682AE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473B9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CD7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0A3D6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项目完成时间</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4968C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4425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EF086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5EE4F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D78F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6328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3D73F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48803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35E5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552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45950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8B21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乡镇工作运转情况</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6092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C0BA2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719A5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B5AFE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8413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81DFA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C2810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8204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84FE3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FFED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2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4C07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服务对象满意度指标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EB40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受益对象满意度</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FC2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9B0ED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745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A44A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98</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74E5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06AE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E9066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6444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13D42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438F0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2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A8271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B1FE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机关干部补助金额</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A976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176D6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199300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99FDE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C3A92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199300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E7A1B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75847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DFCA0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A71D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1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ABFFA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E0D8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2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13498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5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B0EDD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驻村工作队补助金额</w:t>
            </w:r>
          </w:p>
        </w:tc>
        <w:tc>
          <w:tcPr>
            <w:tcW w:w="6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881B4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9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14F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60000</w:t>
            </w:r>
          </w:p>
        </w:tc>
        <w:tc>
          <w:tcPr>
            <w:tcW w:w="6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2FD3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w:t>
            </w:r>
          </w:p>
        </w:tc>
        <w:tc>
          <w:tcPr>
            <w:tcW w:w="6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AF1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60000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D08AA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73D38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ADB1D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3FBC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jc w:val="center"/>
        </w:trPr>
        <w:tc>
          <w:tcPr>
            <w:tcW w:w="781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5C5F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D1AB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6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6372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99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85347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539C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16C2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3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3824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自评得分100分，有效提升了基层干部的后勤保障，提高基层干部工作积极性，足额拨付相关经费，有效稳定基层干部队伍，推动基层工作顺利进行。</w:t>
            </w:r>
          </w:p>
        </w:tc>
      </w:tr>
      <w:tr w14:paraId="62E6B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43E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3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ED8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A1CB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jc w:val="center"/>
        </w:trPr>
        <w:tc>
          <w:tcPr>
            <w:tcW w:w="61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E2CF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39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1A83F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93F0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54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C83D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52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0902F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4B060E52">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3270CBD6">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10"/>
        <w:gridCol w:w="1228"/>
        <w:gridCol w:w="1559"/>
        <w:gridCol w:w="416"/>
        <w:gridCol w:w="1165"/>
        <w:gridCol w:w="416"/>
        <w:gridCol w:w="916"/>
        <w:gridCol w:w="516"/>
        <w:gridCol w:w="516"/>
        <w:gridCol w:w="1781"/>
      </w:tblGrid>
      <w:tr w14:paraId="254D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jc w:val="center"/>
        </w:trPr>
        <w:tc>
          <w:tcPr>
            <w:tcW w:w="20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2D56C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5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023F4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51081125Y000012468948-解决驻村帮扶工作经费差口资金</w:t>
            </w:r>
          </w:p>
        </w:tc>
      </w:tr>
      <w:tr w14:paraId="57128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203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4E629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8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ADCF7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33" w:type="dxa"/>
            <w:tcBorders>
              <w:top w:val="nil"/>
              <w:left w:val="nil"/>
              <w:bottom w:val="nil"/>
              <w:right w:val="nil"/>
              <w:tl2br w:val="nil"/>
              <w:tr2bl w:val="nil"/>
            </w:tcBorders>
            <w:noWrap w:val="0"/>
            <w:vAlign w:val="center"/>
          </w:tcPr>
          <w:p w14:paraId="794FA71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797"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9E80E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152BD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 w:hRule="atLeast"/>
          <w:jc w:val="center"/>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1DAF6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B9A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8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52E2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C6F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107CD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782E84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40683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487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9817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按照《四川省驻村第一书记和工作队管理办法》（川组通〔2021〕75号）文件要求，按照每人每年不低于5000元标准安排，用于考察调研、日常工作运转以及慰问困难群众、党员等。目前，我镇现有22名驻村工作队员在全镇8个村开展驻村帮扶工作，对我镇乡村振兴工作起到非常重要的作用。由于我镇幅员面积广、覆盖人口多，各村距离较远等原因，截至目前，驻村工作队下村产生的相关工作经费现有差口20万元。为扎实推动乡村振兴工作，特拨款20万差口经费。</w:t>
            </w:r>
          </w:p>
        </w:tc>
        <w:tc>
          <w:tcPr>
            <w:tcW w:w="3630"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7F94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驻村第一书记和工作队对于被帮扶村提供了极大的支持和帮助，带动了本村的产业发展，提升了村民生活水平，足额的驻村帮扶工作经费有效提高了帮扶效率和帮扶成果</w:t>
            </w:r>
          </w:p>
        </w:tc>
      </w:tr>
      <w:tr w14:paraId="20F13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1BF02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9972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50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3B00D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加强被帮扶村的政策宣传、物资帮助，解决帮扶队员交通、接待等经费问题，有效提高了帮扶效率，巩固了帮扶成果，及时足额拨付工作经费，助力乡村振兴再上新台阶。</w:t>
            </w:r>
          </w:p>
        </w:tc>
      </w:tr>
      <w:tr w14:paraId="01822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4440D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4438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524F7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A09E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0116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09DDA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2479C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485C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8FA0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0FB9B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DE2B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B41C3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ECF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49FEE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20.00</w:t>
            </w: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B64FD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20.00</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E075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CA29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924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4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DD87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11611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3"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FCB83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3E26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4C042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DF92F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20.00</w:t>
            </w: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837A9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20.00</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667C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D68B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D4211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FFB55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21FC8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D75E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F462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21F9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35395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7952C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82B3E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5D5FA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5C753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AE9A9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72BD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FA459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3B4ED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2043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0444C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635F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ECB5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E3D7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66D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F06C4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0C52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DC2F4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19BC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F91C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874F2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989"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0CB0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0AB6B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5457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E1F62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4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7DB314">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7F79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jc w:val="center"/>
        </w:trPr>
        <w:tc>
          <w:tcPr>
            <w:tcW w:w="567"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9EDE1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4204C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75A77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2E99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27A3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42A0E">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DF1C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ACF84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AA5E2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56D3D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0B7A9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79E10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654B9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2992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产出指标</w:t>
            </w:r>
          </w:p>
        </w:tc>
        <w:tc>
          <w:tcPr>
            <w:tcW w:w="127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890F8A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数量指标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E36B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驻村帮扶行政村个数</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5D82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7FAAE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7F19A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个</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3030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8</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FB884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A9ECF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222D69">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66D4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4669C7">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EAAE2">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AD5F7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95D5B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驻村帮扶工作队人数</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CF57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2C3D1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22</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C11D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人</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F938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22</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D206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C1B4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B1E8F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1A223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46581A">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7DC55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72A56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质量指标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75744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乡村振兴评估考核达标率</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B9AB8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F3A45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41417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B048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96</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70E0A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675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D2B545">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E5B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82B4C">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319263">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61D25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时效指标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82B14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各项目标任务完成时效</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1C8A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11904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5AA03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D44A3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E2B5B">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E7CAB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DFB45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44B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37CD2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667E8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效益指标</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64F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社会效益指标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C6EF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社会影响、群众满意度</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D0B52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95845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64ACD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DEBD0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4A9928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4DF88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64634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54B93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BAD1D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1FB2FF">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F4476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生态效益指标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D156A0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提升人居环境</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C722D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定性</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5AA1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362750">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84A4A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优</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3B7A0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A059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7EE4C6">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7E1A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A6C6E">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95C07D">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满意度指标</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21E99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帮扶对象满意度指标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331E4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帮扶群众满意度</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5B11B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75B57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63893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98411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16DA1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CEFDB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F22D8D">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2EBC9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jc w:val="center"/>
        </w:trPr>
        <w:tc>
          <w:tcPr>
            <w:tcW w:w="567"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CE28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c>
          <w:tcPr>
            <w:tcW w:w="146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98093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成本指标</w:t>
            </w:r>
          </w:p>
        </w:tc>
        <w:tc>
          <w:tcPr>
            <w:tcW w:w="127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E39D3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经济成本指标</w:t>
            </w:r>
          </w:p>
        </w:tc>
        <w:tc>
          <w:tcPr>
            <w:tcW w:w="16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625F29">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驻村工作队下对产生相关工作经费</w:t>
            </w:r>
          </w:p>
        </w:tc>
        <w:tc>
          <w:tcPr>
            <w:tcW w:w="39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1CAC50">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2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1D9568">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9091</w:t>
            </w:r>
          </w:p>
        </w:tc>
        <w:tc>
          <w:tcPr>
            <w:tcW w:w="3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CBA2C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元/人年</w:t>
            </w:r>
          </w:p>
        </w:tc>
        <w:tc>
          <w:tcPr>
            <w:tcW w:w="83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9E5AE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9091</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68F191">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77D3F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15</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BEE7D1">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jc w:val="center"/>
              <w:rPr>
                <w:rFonts w:hint="eastAsia" w:ascii="宋体" w:hAnsi="宋体" w:eastAsia="宋体" w:cs="宋体"/>
                <w:color w:val="000000"/>
                <w:sz w:val="20"/>
                <w:szCs w:val="20"/>
              </w:rPr>
            </w:pPr>
          </w:p>
        </w:tc>
      </w:tr>
      <w:tr w14:paraId="3A6A7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jc w:val="center"/>
        </w:trPr>
        <w:tc>
          <w:tcPr>
            <w:tcW w:w="7742"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50F14">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1FE4F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7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3A53F5">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4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0143A8">
            <w:pPr>
              <w:keepNext w:val="0"/>
              <w:keepLines w:val="0"/>
              <w:pageBreakBefore w:val="0"/>
              <w:kinsoku/>
              <w:wordWrap/>
              <w:overflowPunct/>
              <w:topLinePunct w:val="0"/>
              <w:autoSpaceDE w:val="0"/>
              <w:autoSpaceDN w:val="0"/>
              <w:bidi w:val="0"/>
              <w:adjustRightInd w:val="0"/>
              <w:snapToGrid/>
              <w:spacing w:beforeLines="0" w:afterLines="0" w:line="240" w:lineRule="exact"/>
              <w:ind w:firstLine="0" w:firstLineChars="0"/>
              <w:rPr>
                <w:rFonts w:hint="eastAsia" w:ascii="宋体" w:hAnsi="宋体" w:eastAsia="宋体" w:cs="宋体"/>
                <w:color w:val="000000"/>
                <w:sz w:val="20"/>
                <w:szCs w:val="20"/>
              </w:rPr>
            </w:pPr>
          </w:p>
        </w:tc>
      </w:tr>
      <w:tr w14:paraId="6287A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jc w:val="center"/>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0A0697">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997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82C0EF">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自评得分100分，及时足额拨付工作经费，助力乡村振兴再上新台阶。</w:t>
            </w:r>
          </w:p>
        </w:tc>
      </w:tr>
      <w:tr w14:paraId="250C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4" w:hRule="atLeast"/>
          <w:jc w:val="center"/>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CA3AC">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997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725CB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6517E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56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43E993">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9972"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61D832">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27C70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jc w:val="center"/>
        </w:trPr>
        <w:tc>
          <w:tcPr>
            <w:tcW w:w="531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A669DA">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29"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E9306">
            <w:pPr>
              <w:keepNext w:val="0"/>
              <w:keepLines w:val="0"/>
              <w:pageBreakBefore w:val="0"/>
              <w:widowControl/>
              <w:kinsoku/>
              <w:wordWrap/>
              <w:overflowPunct/>
              <w:topLinePunct w:val="0"/>
              <w:autoSpaceDE w:val="0"/>
              <w:autoSpaceDN w:val="0"/>
              <w:bidi w:val="0"/>
              <w:adjustRightInd w:val="0"/>
              <w:snapToGrid/>
              <w:spacing w:beforeLines="0" w:afterLines="0" w:line="24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E6B94FE">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pPr>
    </w:p>
    <w:p w14:paraId="3A0A4563">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6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65"/>
        <w:gridCol w:w="1273"/>
        <w:gridCol w:w="1619"/>
        <w:gridCol w:w="416"/>
        <w:gridCol w:w="1190"/>
        <w:gridCol w:w="416"/>
        <w:gridCol w:w="818"/>
        <w:gridCol w:w="516"/>
        <w:gridCol w:w="516"/>
        <w:gridCol w:w="1854"/>
      </w:tblGrid>
      <w:tr w14:paraId="7CA47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E6D4A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2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1FE6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51081125Y000013259828-村社干部绩效</w:t>
            </w:r>
          </w:p>
        </w:tc>
      </w:tr>
      <w:tr w14:paraId="06241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4" w:hRule="atLeast"/>
          <w:jc w:val="center"/>
        </w:trPr>
        <w:tc>
          <w:tcPr>
            <w:tcW w:w="2071"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445A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9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9FED7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18" w:type="dxa"/>
            <w:tcBorders>
              <w:top w:val="nil"/>
              <w:left w:val="nil"/>
              <w:bottom w:val="nil"/>
              <w:right w:val="nil"/>
              <w:tl2br w:val="nil"/>
              <w:tr2bl w:val="nil"/>
            </w:tcBorders>
            <w:noWrap w:val="0"/>
            <w:vAlign w:val="center"/>
          </w:tcPr>
          <w:p w14:paraId="5C4163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64"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9BB1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3D63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5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DCAD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83"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CD6A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9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5CFF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8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CA22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6EC0D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CFE2D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83"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5C780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946"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C3C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卫子镇共有15个村，2个社区，共计234名村社干部，为激励村社干部干事创业激情，</w:t>
            </w:r>
            <w:r>
              <w:rPr>
                <w:rFonts w:hint="eastAsia" w:ascii="宋体" w:hAnsi="宋体" w:eastAsia="宋体" w:cs="宋体"/>
                <w:snapToGrid w:val="0"/>
                <w:color w:val="000000"/>
                <w:sz w:val="20"/>
                <w:szCs w:val="20"/>
                <w:lang w:eastAsia="zh-CN" w:bidi="ar"/>
              </w:rPr>
              <w:t>更好地为</w:t>
            </w:r>
            <w:r>
              <w:rPr>
                <w:rFonts w:hint="eastAsia" w:ascii="宋体" w:hAnsi="宋体" w:eastAsia="宋体" w:cs="宋体"/>
                <w:snapToGrid w:val="0"/>
                <w:color w:val="000000"/>
                <w:sz w:val="20"/>
                <w:szCs w:val="20"/>
                <w:lang w:bidi="ar"/>
              </w:rPr>
              <w:t>群众服务，故拨付卫子镇考核绩效463700元。</w:t>
            </w:r>
          </w:p>
        </w:tc>
        <w:tc>
          <w:tcPr>
            <w:tcW w:w="368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2B505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2024年村社干部干事激情高涨，较高水平地完成了年度任务目标，提升了群众幸福感，促进了卫子镇的发展</w:t>
            </w:r>
          </w:p>
        </w:tc>
      </w:tr>
      <w:tr w14:paraId="5BE7D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618D9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74E1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2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B89FD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根据各村考核情况，及时足额拨付绩效奖励，提高了村社干部干事创业的积极性，更高水平地为群众服务。</w:t>
            </w:r>
          </w:p>
        </w:tc>
      </w:tr>
      <w:tr w14:paraId="69870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jc w:val="center"/>
        </w:trPr>
        <w:tc>
          <w:tcPr>
            <w:tcW w:w="5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1D8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2A67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E2FA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78D5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AF7C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2CEC3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4CE1D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1ABB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0301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349F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CF7D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D31C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DE81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092A0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46.37</w:t>
            </w: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A65B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43.17</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C07CA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93.09%</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01529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FF53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7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274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w:t>
            </w:r>
            <w:r>
              <w:rPr>
                <w:rStyle w:val="21"/>
                <w:rFonts w:hint="eastAsia" w:ascii="宋体" w:hAnsi="宋体" w:eastAsia="宋体" w:cs="宋体"/>
                <w:i w:val="0"/>
                <w:snapToGrid w:val="0"/>
                <w:sz w:val="20"/>
                <w:szCs w:val="20"/>
                <w:lang w:bidi="ar"/>
              </w:rPr>
              <w:t>预算执行率</w:t>
            </w:r>
            <w:r>
              <w:rPr>
                <w:rFonts w:hint="eastAsia" w:ascii="宋体" w:hAnsi="宋体" w:eastAsia="宋体" w:cs="宋体"/>
                <w:snapToGrid w:val="0"/>
                <w:color w:val="000000"/>
                <w:sz w:val="20"/>
                <w:szCs w:val="20"/>
                <w:lang w:bidi="ar"/>
              </w:rPr>
              <w:t>=</w:t>
            </w:r>
            <w:r>
              <w:rPr>
                <w:rStyle w:val="21"/>
                <w:rFonts w:hint="eastAsia" w:ascii="宋体" w:hAnsi="宋体" w:eastAsia="宋体" w:cs="宋体"/>
                <w:i w:val="0"/>
                <w:snapToGrid w:val="0"/>
                <w:sz w:val="20"/>
                <w:szCs w:val="20"/>
                <w:lang w:bidi="ar"/>
              </w:rPr>
              <w:t>预算执行数</w:t>
            </w:r>
            <w:r>
              <w:rPr>
                <w:rFonts w:hint="eastAsia" w:ascii="宋体" w:hAnsi="宋体" w:eastAsia="宋体" w:cs="宋体"/>
                <w:snapToGrid w:val="0"/>
                <w:color w:val="000000"/>
                <w:sz w:val="20"/>
                <w:szCs w:val="20"/>
                <w:lang w:bidi="ar"/>
              </w:rPr>
              <w:t>/</w:t>
            </w:r>
            <w:r>
              <w:rPr>
                <w:rStyle w:val="21"/>
                <w:rFonts w:hint="eastAsia" w:ascii="宋体" w:hAnsi="宋体" w:eastAsia="宋体" w:cs="宋体"/>
                <w:i w:val="0"/>
                <w:snapToGrid w:val="0"/>
                <w:sz w:val="20"/>
                <w:szCs w:val="20"/>
                <w:lang w:bidi="ar"/>
              </w:rPr>
              <w:t>调整后预算数，预算执行率未达到</w:t>
            </w:r>
            <w:r>
              <w:rPr>
                <w:rFonts w:hint="eastAsia" w:ascii="宋体" w:hAnsi="宋体" w:eastAsia="宋体" w:cs="宋体"/>
                <w:snapToGrid w:val="0"/>
                <w:color w:val="000000"/>
                <w:sz w:val="20"/>
                <w:szCs w:val="20"/>
                <w:lang w:bidi="ar"/>
              </w:rPr>
              <w:t>90%</w:t>
            </w:r>
            <w:r>
              <w:rPr>
                <w:rStyle w:val="21"/>
                <w:rFonts w:hint="eastAsia" w:ascii="宋体" w:hAnsi="宋体" w:eastAsia="宋体" w:cs="宋体"/>
                <w:i w:val="0"/>
                <w:snapToGrid w:val="0"/>
                <w:sz w:val="20"/>
                <w:szCs w:val="20"/>
                <w:lang w:bidi="ar"/>
              </w:rPr>
              <w:t>的需说明原因（</w:t>
            </w:r>
            <w:r>
              <w:rPr>
                <w:rFonts w:hint="eastAsia" w:ascii="宋体" w:hAnsi="宋体" w:eastAsia="宋体" w:cs="宋体"/>
                <w:snapToGrid w:val="0"/>
                <w:color w:val="000000"/>
                <w:sz w:val="20"/>
                <w:szCs w:val="20"/>
                <w:lang w:bidi="ar"/>
              </w:rPr>
              <w:t>100</w:t>
            </w:r>
            <w:r>
              <w:rPr>
                <w:rStyle w:val="21"/>
                <w:rFonts w:hint="eastAsia" w:ascii="宋体" w:hAnsi="宋体" w:eastAsia="宋体" w:cs="宋体"/>
                <w:i w:val="0"/>
                <w:snapToGrid w:val="0"/>
                <w:sz w:val="20"/>
                <w:szCs w:val="20"/>
                <w:lang w:bidi="ar"/>
              </w:rPr>
              <w:t>字以内）</w:t>
            </w:r>
            <w:r>
              <w:rPr>
                <w:rFonts w:hint="eastAsia" w:ascii="宋体" w:hAnsi="宋体" w:eastAsia="宋体" w:cs="宋体"/>
                <w:snapToGrid w:val="0"/>
                <w:color w:val="000000"/>
                <w:sz w:val="20"/>
                <w:szCs w:val="20"/>
                <w:lang w:bidi="ar"/>
              </w:rPr>
              <w:t>;2.</w:t>
            </w:r>
            <w:r>
              <w:rPr>
                <w:rStyle w:val="21"/>
                <w:rFonts w:hint="eastAsia" w:ascii="宋体" w:hAnsi="宋体" w:eastAsia="宋体" w:cs="宋体"/>
                <w:i w:val="0"/>
                <w:snapToGrid w:val="0"/>
                <w:sz w:val="20"/>
                <w:szCs w:val="20"/>
                <w:lang w:bidi="ar"/>
              </w:rPr>
              <w:t>年中发生预算调整的（追加或调减）</w:t>
            </w:r>
            <w:r>
              <w:rPr>
                <w:rFonts w:hint="eastAsia" w:ascii="宋体" w:hAnsi="宋体" w:eastAsia="宋体" w:cs="宋体"/>
                <w:snapToGrid w:val="0"/>
                <w:color w:val="000000"/>
                <w:sz w:val="20"/>
                <w:szCs w:val="20"/>
                <w:lang w:bidi="ar"/>
              </w:rPr>
              <w:t>,</w:t>
            </w:r>
            <w:r>
              <w:rPr>
                <w:rStyle w:val="21"/>
                <w:rFonts w:hint="eastAsia" w:ascii="宋体" w:hAnsi="宋体" w:eastAsia="宋体" w:cs="宋体"/>
                <w:i w:val="0"/>
                <w:snapToGrid w:val="0"/>
                <w:sz w:val="20"/>
                <w:szCs w:val="20"/>
                <w:lang w:bidi="ar"/>
              </w:rPr>
              <w:t>应单独说明理由；</w:t>
            </w:r>
            <w:r>
              <w:rPr>
                <w:rFonts w:hint="eastAsia" w:ascii="宋体" w:hAnsi="宋体" w:eastAsia="宋体" w:cs="宋体"/>
                <w:snapToGrid w:val="0"/>
                <w:color w:val="000000"/>
                <w:sz w:val="20"/>
                <w:szCs w:val="20"/>
                <w:lang w:bidi="ar"/>
              </w:rPr>
              <w:t>3.</w:t>
            </w:r>
            <w:r>
              <w:rPr>
                <w:rStyle w:val="21"/>
                <w:rFonts w:hint="eastAsia" w:ascii="宋体" w:hAnsi="宋体" w:eastAsia="宋体" w:cs="宋体"/>
                <w:i w:val="0"/>
                <w:snapToGrid w:val="0"/>
                <w:sz w:val="20"/>
                <w:szCs w:val="20"/>
                <w:lang w:bidi="ar"/>
              </w:rPr>
              <w:t>其他资金包括：社会投入资金、银行贷款</w:t>
            </w:r>
            <w:r>
              <w:rPr>
                <w:rFonts w:hint="eastAsia" w:ascii="宋体" w:hAnsi="宋体" w:eastAsia="宋体" w:cs="宋体"/>
                <w:snapToGrid w:val="0"/>
                <w:color w:val="000000"/>
                <w:sz w:val="20"/>
                <w:szCs w:val="20"/>
                <w:lang w:bidi="ar"/>
              </w:rPr>
              <w:t>.</w:t>
            </w:r>
          </w:p>
        </w:tc>
      </w:tr>
      <w:tr w14:paraId="1A111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F1025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9AD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B77E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803DC7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46.37</w:t>
            </w: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6381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43.17</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690C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93.09%</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A3FB2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0E90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DFBE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B3B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AF68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9A2A1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0AA2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B08B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69D63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9C76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2E388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47C0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87B6D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E5C7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4C6A0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2EB6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B918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F56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4708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D71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C877A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18DF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98B03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CD21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4DAD9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8C9B6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F4231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E843B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2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33663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DE82D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84F24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8248E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7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E0515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63A90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7" w:hRule="atLeast"/>
          <w:jc w:val="center"/>
        </w:trPr>
        <w:tc>
          <w:tcPr>
            <w:tcW w:w="58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343D8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5243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92B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7482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CB81E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2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8A16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CDD4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51763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7CB6A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6496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1F455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27133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4" w:hRule="atLeast"/>
          <w:jc w:val="center"/>
        </w:trPr>
        <w:tc>
          <w:tcPr>
            <w:tcW w:w="58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838F1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8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CE8AA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D3351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C1FA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7EAA3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0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12DB1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D8317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25EA1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0F131D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578BD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5A824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74B06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835"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4FC9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A4BC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C5FF7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7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8273C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FE56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4AB9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524A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自评得分100分，及时足额拨付绩效奖励，提高了村社干部干事创业的积极性，更高水平地为群众服务。保证了预算执行进度</w:t>
            </w:r>
          </w:p>
        </w:tc>
      </w:tr>
      <w:tr w14:paraId="15221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18B77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E4998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因上报考核村社干部人数与实际考核村社干部人数出现偏差导致预算额度不够精准</w:t>
            </w:r>
          </w:p>
        </w:tc>
      </w:tr>
      <w:tr w14:paraId="3A07E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1" w:hRule="atLeast"/>
          <w:jc w:val="center"/>
        </w:trPr>
        <w:tc>
          <w:tcPr>
            <w:tcW w:w="58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DC3C4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1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C582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仔细核对人数、积极与上级部门沟通对接，及时做出相应的预算调整</w:t>
            </w:r>
          </w:p>
        </w:tc>
      </w:tr>
      <w:tr w14:paraId="104F6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5401"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325F2EA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98"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820A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0FEB1052">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5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27"/>
        <w:gridCol w:w="1242"/>
        <w:gridCol w:w="1576"/>
        <w:gridCol w:w="416"/>
        <w:gridCol w:w="1155"/>
        <w:gridCol w:w="416"/>
        <w:gridCol w:w="916"/>
        <w:gridCol w:w="516"/>
        <w:gridCol w:w="516"/>
        <w:gridCol w:w="1803"/>
      </w:tblGrid>
      <w:tr w14:paraId="12CF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2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EC71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55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9B85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51081125Y000013288177-房屋安全鉴定项目经费</w:t>
            </w:r>
          </w:p>
        </w:tc>
      </w:tr>
      <w:tr w14:paraId="4D43B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204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3D22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8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2A9D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59" w:type="dxa"/>
            <w:tcBorders>
              <w:top w:val="nil"/>
              <w:left w:val="nil"/>
              <w:bottom w:val="nil"/>
              <w:right w:val="nil"/>
              <w:tl2br w:val="nil"/>
              <w:tr2bl w:val="nil"/>
            </w:tcBorders>
            <w:noWrap w:val="0"/>
            <w:vAlign w:val="center"/>
          </w:tcPr>
          <w:p w14:paraId="0EF1E47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25"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9F39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0494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5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6BE91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4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0F6C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8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9F948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0FB8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18D2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7"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C868F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0F41C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487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2262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根据昭府办函〔2022〕16号关于印发《广元市昭化区自建房安全专项整治工作方案》的通知要求，卫子镇对50户自建房开展安全排查和评估，对政府办公楼等7栋村组安全隐患的公共建筑进行安全鉴定，鉴定费用为18.355万元。</w:t>
            </w:r>
          </w:p>
        </w:tc>
        <w:tc>
          <w:tcPr>
            <w:tcW w:w="368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2B80F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圆满年度目标，安全排查和评估了50户自建房，鉴定了7栋政府办公楼的安全隐患，掌握区域内安全相关信息</w:t>
            </w:r>
          </w:p>
        </w:tc>
      </w:tr>
      <w:tr w14:paraId="2B9E2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AB7AF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E4451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554"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18F3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安全排查和评估了50户自建房，聘请专业鉴定单位鉴定了7栋政府办公楼的安全隐患，掌握区域内安全相关信息，为后期维修加固，消除安全隐患提供了重要数据支撑。</w:t>
            </w:r>
          </w:p>
        </w:tc>
      </w:tr>
      <w:tr w14:paraId="0FFA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atLeast"/>
          <w:jc w:val="center"/>
        </w:trPr>
        <w:tc>
          <w:tcPr>
            <w:tcW w:w="5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BC85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4E3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A1AB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C7E1D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2854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C875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4985B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37A7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39A17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4B9B4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68DED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AFC14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22261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82AA9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18.36</w:t>
            </w: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3B92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18.36</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BD276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94A17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A78B65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3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A16E1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71FF8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2D53B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4991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9BDC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A100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18.36</w:t>
            </w: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C7CDF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18.36</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8C5CC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7CFF8D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2F427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C48653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1527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E4AB9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A2F6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8C18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7908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F354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5A51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14D8B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FE668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A502E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2D94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0D4A8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4352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35E0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50445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DA59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0FD92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0D71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CE081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F1CFA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6AE4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C15E3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DE37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1E85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B231F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990"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25615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74035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1908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F73B6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3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2BE1C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00F1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jc w:val="center"/>
        </w:trPr>
        <w:tc>
          <w:tcPr>
            <w:tcW w:w="58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7D7B3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CAC2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4DE6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A179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463F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9987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7DBBB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CC11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AC8E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355E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D4FD37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7982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58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27D82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54D4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FB8F2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89698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3535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18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E9F3E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40B0E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5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AAD4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1A97E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3A907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CED1C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2CFAB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 w:hRule="atLeast"/>
          <w:jc w:val="center"/>
        </w:trPr>
        <w:tc>
          <w:tcPr>
            <w:tcW w:w="7774"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FE9E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A409C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9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B279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42AC3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18EF5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02FB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01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03AECA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安全排查和评估了50户自建房，聘请专业鉴定单位鉴定了7栋政府办公楼的安全隐患，掌握区域内安全相关信息，为后期维修加固，消除安全隐患提供了重要数据支撑。受益对象满意度达97%以上，保障域内安全健康发展。</w:t>
            </w:r>
          </w:p>
        </w:tc>
      </w:tr>
      <w:tr w14:paraId="16BF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jc w:val="center"/>
        </w:trPr>
        <w:tc>
          <w:tcPr>
            <w:tcW w:w="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DB10B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01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047E2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0BD35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jc w:val="center"/>
        </w:trPr>
        <w:tc>
          <w:tcPr>
            <w:tcW w:w="5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B676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015"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2F846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7ABAB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532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8C19F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272"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AB43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6708C115">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44"/>
        <w:gridCol w:w="805"/>
        <w:gridCol w:w="1278"/>
        <w:gridCol w:w="1626"/>
        <w:gridCol w:w="416"/>
        <w:gridCol w:w="1193"/>
        <w:gridCol w:w="416"/>
        <w:gridCol w:w="916"/>
        <w:gridCol w:w="516"/>
        <w:gridCol w:w="516"/>
        <w:gridCol w:w="1853"/>
      </w:tblGrid>
      <w:tr w14:paraId="026B1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20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51F5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9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B41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51081125Y000013289353-机关办公楼维修加固设计经费</w:t>
            </w:r>
          </w:p>
        </w:tc>
      </w:tr>
      <w:tr w14:paraId="68C03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center"/>
        </w:trPr>
        <w:tc>
          <w:tcPr>
            <w:tcW w:w="208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65F08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49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AACA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49" w:type="dxa"/>
            <w:tcBorders>
              <w:top w:val="nil"/>
              <w:left w:val="nil"/>
              <w:bottom w:val="nil"/>
              <w:right w:val="nil"/>
              <w:tl2br w:val="nil"/>
              <w:tr2bl w:val="nil"/>
            </w:tcBorders>
            <w:noWrap w:val="0"/>
            <w:vAlign w:val="center"/>
          </w:tcPr>
          <w:p w14:paraId="66AD5A7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6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5ADA1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586A7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12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27724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81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47089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49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52AF0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71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8B28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3DDE2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FA5A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81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C148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987"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5F6B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按照《关于全区党政机关办公用房危房排查整治专项工作开展情况的报告》（昭机服〔2024〕1号）文件要求，以及2024年5月6日专题研究严重安全隐患公共建筑整治工作相关会议精神。因我镇办公楼鉴定等级为Csu级且综合抗震能力不满足抗震要求，前期设计费14万元。</w:t>
            </w:r>
          </w:p>
        </w:tc>
        <w:tc>
          <w:tcPr>
            <w:tcW w:w="3712"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F771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严格落实政策文件，排查危房隐患，对存在安全隐患的办公用房进行排查、鉴定。对抗震能力不足的房屋聘用专业设计单位设计维修加固方案。</w:t>
            </w:r>
          </w:p>
        </w:tc>
      </w:tr>
      <w:tr w14:paraId="29409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6"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634F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E3A6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99"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CCD4C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严格落实政策文件，排查危房隐患，对存在安全隐患的办公用房进行排查、鉴定。对抗震能力不足的房屋聘用专业设计单位设计维修加固方案。及时足额拨付经费，确保维修加固工作顺利进行，尽早消除安全隐患，确保生命财产安全。</w:t>
            </w:r>
          </w:p>
        </w:tc>
      </w:tr>
      <w:tr w14:paraId="7769C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2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D16EC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756C7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90FE36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7F4BB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EED8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609C8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36035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8166E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5DCB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2D09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AC77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3779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9FC023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B4041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14.00</w:t>
            </w: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FA99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14.00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3D4D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19F0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98486B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8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3E23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1.预算执行率=预算执行数/调整后预算数，预算执行率未达到90%的需说明原因（100字以内）;2.年中发生预算调整的（追加或调减）,应单独说明理由；3.其他资金包括：社会投入资金、银行贷款.</w:t>
            </w:r>
          </w:p>
        </w:tc>
      </w:tr>
      <w:tr w14:paraId="2D34C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59CF2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0E87F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873F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51157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14.00</w:t>
            </w: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FF5E4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14.00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DE619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100.00%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43350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E1F5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E63557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17E59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DC973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CE4C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2DF60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1BBE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F86CE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BF1E53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009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D3E86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840EAE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6ACC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6CE6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37B9B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4C5718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E307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21EE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21D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59CB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380E0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8084E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03A9B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8E922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01D5F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E84C3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3223C8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23"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D9122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18B69B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E05CC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342D6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8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9D10F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31B33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7" w:hRule="atLeast"/>
          <w:jc w:val="center"/>
        </w:trPr>
        <w:tc>
          <w:tcPr>
            <w:tcW w:w="1268"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9B98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7128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64AFD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85D9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D913F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90F6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F175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09302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609E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8A55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87B5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4FBF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268"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7E58C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1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0F0B2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B2633A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B456C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39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9729B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2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1A393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2694A5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4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B7F9C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830E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17306F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0EDC8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4AA93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jc w:val="center"/>
        </w:trPr>
        <w:tc>
          <w:tcPr>
            <w:tcW w:w="7916"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9C7C4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5F49F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8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CC9642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8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335F8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35499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D20A1E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95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97EB4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自评得分100分，对1300平方米的办公危房维修加固进行设计，确保维修加固工作顺利进行，尽早消除安全隐患，确保生命财产安全，受益对象满意度超过96%</w:t>
            </w:r>
          </w:p>
        </w:tc>
      </w:tr>
      <w:tr w14:paraId="20E7E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 w:hRule="atLeast"/>
          <w:jc w:val="center"/>
        </w:trPr>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75B87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95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734C55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37DD2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5BA3C4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95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E9F2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无</w:t>
            </w:r>
          </w:p>
        </w:tc>
      </w:tr>
      <w:tr w14:paraId="5F0D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jc w:val="center"/>
        </w:trPr>
        <w:tc>
          <w:tcPr>
            <w:tcW w:w="126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964B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9511"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6422C5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3FE4F74E">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center"/>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7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16"/>
        <w:gridCol w:w="1489"/>
        <w:gridCol w:w="1291"/>
        <w:gridCol w:w="1644"/>
        <w:gridCol w:w="416"/>
        <w:gridCol w:w="1209"/>
        <w:gridCol w:w="416"/>
        <w:gridCol w:w="818"/>
        <w:gridCol w:w="516"/>
        <w:gridCol w:w="516"/>
        <w:gridCol w:w="1848"/>
      </w:tblGrid>
      <w:tr w14:paraId="43193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20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EDF3FE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项目名称</w:t>
            </w:r>
          </w:p>
        </w:tc>
        <w:tc>
          <w:tcPr>
            <w:tcW w:w="86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389C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51081125Y000013320212-农村公共服务运行调整</w:t>
            </w:r>
          </w:p>
        </w:tc>
      </w:tr>
      <w:tr w14:paraId="2BF43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9" w:hRule="atLeast"/>
          <w:jc w:val="center"/>
        </w:trPr>
        <w:tc>
          <w:tcPr>
            <w:tcW w:w="2083"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A5528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主管部门</w:t>
            </w:r>
          </w:p>
        </w:tc>
        <w:tc>
          <w:tcPr>
            <w:tcW w:w="50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4E8F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广元市昭化区卫子镇人民政府部门</w:t>
            </w:r>
          </w:p>
        </w:tc>
        <w:tc>
          <w:tcPr>
            <w:tcW w:w="822" w:type="dxa"/>
            <w:tcBorders>
              <w:top w:val="nil"/>
              <w:left w:val="nil"/>
              <w:bottom w:val="nil"/>
              <w:right w:val="nil"/>
              <w:tl2br w:val="nil"/>
              <w:tr2bl w:val="nil"/>
            </w:tcBorders>
            <w:noWrap w:val="0"/>
            <w:vAlign w:val="center"/>
          </w:tcPr>
          <w:p w14:paraId="65566A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实施单位（盖章）</w:t>
            </w:r>
          </w:p>
        </w:tc>
        <w:tc>
          <w:tcPr>
            <w:tcW w:w="2841"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FF4BA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广元市昭化区卫子镇人民政府</w:t>
            </w:r>
          </w:p>
        </w:tc>
      </w:tr>
      <w:tr w14:paraId="1ABB2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jc w:val="center"/>
        </w:trPr>
        <w:tc>
          <w:tcPr>
            <w:tcW w:w="5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EB40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项目基本情况</w:t>
            </w:r>
          </w:p>
        </w:tc>
        <w:tc>
          <w:tcPr>
            <w:tcW w:w="1522"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F7B4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1.项目年度目标完成情况</w:t>
            </w:r>
          </w:p>
        </w:tc>
        <w:tc>
          <w:tcPr>
            <w:tcW w:w="50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18CD5E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项目年度目标</w:t>
            </w:r>
          </w:p>
        </w:tc>
        <w:tc>
          <w:tcPr>
            <w:tcW w:w="36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00DFA3D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年度目标完成情况</w:t>
            </w:r>
          </w:p>
        </w:tc>
      </w:tr>
      <w:tr w14:paraId="3E43B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3504DCE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522"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C7D75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5033"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27A0C79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加大对农村及基层组织建设的投入，提升乡村人居环境，美化村容村貌，加强精神文明建设</w:t>
            </w:r>
          </w:p>
        </w:tc>
        <w:tc>
          <w:tcPr>
            <w:tcW w:w="366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E3351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因期末临时做出预算调整，村社无法按照对应资金实施项目，故此经费暂未支付</w:t>
            </w:r>
          </w:p>
        </w:tc>
      </w:tr>
      <w:tr w14:paraId="4450B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0"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7D46765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53DC3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2.项目实施内容及过程概述</w:t>
            </w:r>
          </w:p>
        </w:tc>
        <w:tc>
          <w:tcPr>
            <w:tcW w:w="8696"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909C9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238D7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5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7245D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预算执行情况（10分）</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2340C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年度预算数（万元）</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192D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年初预算</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63DC3B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调整后预算数</w:t>
            </w: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31DA2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预算执行数</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E050D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预算执行率</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93B06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D5FF3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B205D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原因</w:t>
            </w:r>
          </w:p>
        </w:tc>
      </w:tr>
      <w:tr w14:paraId="13AEC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4C7E6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C04617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总额</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15DAD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F513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58.20</w:t>
            </w: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B0362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5ADE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FF0A0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47E219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w:t>
            </w:r>
          </w:p>
        </w:tc>
        <w:tc>
          <w:tcPr>
            <w:tcW w:w="189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3BC7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因期末临时做出预算调整，村社无法按照对应资金实施项目，故此经费暂未支付</w:t>
            </w:r>
          </w:p>
        </w:tc>
      </w:tr>
      <w:tr w14:paraId="704DD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44E7B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92409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其中：财政资金</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9469B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F62F7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58.20</w:t>
            </w: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A80A3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040786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E414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578300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E814F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5F00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CB34C8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FF545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财政专户管理资金</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3FEF4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43CEE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A5F2B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8B339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D8314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14E8AE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EA5D5B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6F9BF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9B3E5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0443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单位资金</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A171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B3A5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405D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714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0.00%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B2A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5F39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6E0DFA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1CD3E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9ABE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67274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其他资金</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177190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8789A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2036" w:type="dxa"/>
            <w:gridSpan w:val="3"/>
            <w:tcBorders>
              <w:top w:val="single" w:color="000000" w:sz="4" w:space="0"/>
              <w:left w:val="single" w:color="000000" w:sz="4" w:space="0"/>
              <w:bottom w:val="single" w:color="000000" w:sz="4" w:space="0"/>
              <w:right w:val="single" w:color="000000" w:sz="4" w:space="0"/>
              <w:tl2br w:val="nil"/>
              <w:tr2bl w:val="nil"/>
            </w:tcBorders>
            <w:noWrap w:val="0"/>
            <w:vAlign w:val="center"/>
          </w:tcPr>
          <w:p w14:paraId="7F08B11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A373C7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EEFC34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1D08C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w:t>
            </w:r>
          </w:p>
        </w:tc>
        <w:tc>
          <w:tcPr>
            <w:tcW w:w="189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9ED538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2CCD3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2" w:hRule="atLeast"/>
          <w:jc w:val="center"/>
        </w:trPr>
        <w:tc>
          <w:tcPr>
            <w:tcW w:w="561"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9E7E4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绩效指标（90分）</w:t>
            </w: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50F212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一级指标</w:t>
            </w: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05D42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二级指标</w:t>
            </w: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BD1F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三级指标</w:t>
            </w:r>
          </w:p>
        </w:tc>
        <w:tc>
          <w:tcPr>
            <w:tcW w:w="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A774E2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指标性质</w:t>
            </w:r>
          </w:p>
        </w:tc>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51CD63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指标值</w:t>
            </w: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D03C7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度量单位</w:t>
            </w: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7E016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完成值</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AD42FC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权重</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6A5ECD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得分</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70C1DF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未完成原因分析</w:t>
            </w:r>
          </w:p>
        </w:tc>
      </w:tr>
      <w:tr w14:paraId="7AEB7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561"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CA3463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5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9FA5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317"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6D1F16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6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E55732">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3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11B626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2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4E5BE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0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DD97CD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82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814567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5701C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F4A503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8E8F52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r>
      <w:tr w14:paraId="117E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jc w:val="center"/>
        </w:trPr>
        <w:tc>
          <w:tcPr>
            <w:tcW w:w="7938"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F74D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合计</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77ED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47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2F7A7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right"/>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100</w:t>
            </w:r>
          </w:p>
        </w:tc>
        <w:tc>
          <w:tcPr>
            <w:tcW w:w="189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5C14D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r>
      <w:tr w14:paraId="41CF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229761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评价结论</w:t>
            </w:r>
          </w:p>
        </w:tc>
        <w:tc>
          <w:tcPr>
            <w:tcW w:w="1021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337F0BA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因期末临时做出预算调整，村社无法按照对应资金实施项目，故此经费暂未支付</w:t>
            </w:r>
          </w:p>
        </w:tc>
      </w:tr>
      <w:tr w14:paraId="257DB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0D008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存在问题</w:t>
            </w:r>
          </w:p>
        </w:tc>
        <w:tc>
          <w:tcPr>
            <w:tcW w:w="1021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FFA6B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因期末临时做出预算调整，村社无法按照对应资金实施项目，故此经费暂未支付</w:t>
            </w:r>
          </w:p>
        </w:tc>
      </w:tr>
      <w:tr w14:paraId="58B5C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8" w:hRule="atLeast"/>
          <w:jc w:val="center"/>
        </w:trPr>
        <w:tc>
          <w:tcPr>
            <w:tcW w:w="5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BBF291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改进措施</w:t>
            </w:r>
          </w:p>
        </w:tc>
        <w:tc>
          <w:tcPr>
            <w:tcW w:w="10218" w:type="dxa"/>
            <w:gridSpan w:val="10"/>
            <w:tcBorders>
              <w:top w:val="single" w:color="000000" w:sz="4" w:space="0"/>
              <w:left w:val="single" w:color="000000" w:sz="4" w:space="0"/>
              <w:bottom w:val="single" w:color="000000" w:sz="4" w:space="0"/>
              <w:right w:val="single" w:color="000000" w:sz="4" w:space="0"/>
              <w:tl2br w:val="nil"/>
              <w:tr2bl w:val="nil"/>
            </w:tcBorders>
            <w:noWrap w:val="0"/>
            <w:vAlign w:val="center"/>
          </w:tcPr>
          <w:p w14:paraId="2EAE626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积极对接上级部门，精准做好资金预算调整。</w:t>
            </w:r>
          </w:p>
        </w:tc>
      </w:tr>
      <w:tr w14:paraId="4EABC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5475"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0925D1F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项目负责人：刘舜</w:t>
            </w:r>
          </w:p>
        </w:tc>
        <w:tc>
          <w:tcPr>
            <w:tcW w:w="5304" w:type="dxa"/>
            <w:gridSpan w:val="6"/>
            <w:tcBorders>
              <w:top w:val="single" w:color="000000" w:sz="4" w:space="0"/>
              <w:left w:val="single" w:color="000000" w:sz="4" w:space="0"/>
              <w:bottom w:val="single" w:color="000000" w:sz="4" w:space="0"/>
              <w:right w:val="single" w:color="000000" w:sz="4" w:space="0"/>
              <w:tl2br w:val="nil"/>
              <w:tr2bl w:val="nil"/>
            </w:tcBorders>
            <w:noWrap w:val="0"/>
            <w:vAlign w:val="center"/>
          </w:tcPr>
          <w:p w14:paraId="77679C8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snapToGrid w:val="0"/>
                <w:color w:val="000000"/>
                <w:sz w:val="20"/>
                <w:szCs w:val="20"/>
                <w:lang w:bidi="ar"/>
              </w:rPr>
              <w:t>财务负责人：金阳</w:t>
            </w:r>
          </w:p>
        </w:tc>
      </w:tr>
    </w:tbl>
    <w:p w14:paraId="73D7E8BD">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both"/>
        <w:textAlignment w:val="baseline"/>
        <w:rPr>
          <w:rFonts w:hint="eastAsia" w:ascii="宋体" w:hAnsi="宋体" w:eastAsia="宋体" w:cs="宋体"/>
          <w:kern w:val="21"/>
          <w:sz w:val="20"/>
          <w:szCs w:val="20"/>
        </w:rPr>
      </w:pPr>
    </w:p>
    <w:p w14:paraId="41F63CD8">
      <w:pPr>
        <w:keepNext w:val="0"/>
        <w:keepLines w:val="0"/>
        <w:pageBreakBefore w:val="0"/>
        <w:widowControl/>
        <w:kinsoku w:val="0"/>
        <w:wordWrap/>
        <w:overflowPunct/>
        <w:topLinePunct w:val="0"/>
        <w:autoSpaceDE w:val="0"/>
        <w:autoSpaceDN w:val="0"/>
        <w:bidi w:val="0"/>
        <w:adjustRightInd w:val="0"/>
        <w:snapToGrid w:val="0"/>
        <w:spacing w:beforeLines="0" w:afterLines="0" w:line="280" w:lineRule="exact"/>
        <w:ind w:firstLine="0" w:firstLineChars="0"/>
        <w:jc w:val="both"/>
        <w:textAlignment w:val="baseline"/>
        <w:rPr>
          <w:rFonts w:hint="eastAsia" w:ascii="宋体" w:hAnsi="宋体" w:eastAsia="宋体" w:cs="宋体"/>
          <w:kern w:val="21"/>
          <w:sz w:val="20"/>
          <w:szCs w:val="20"/>
        </w:rPr>
        <w:sectPr>
          <w:pgSz w:w="11906" w:h="16838"/>
          <w:pgMar w:top="2098" w:right="1474" w:bottom="1984" w:left="1587" w:header="851" w:footer="992" w:gutter="0"/>
          <w:lnNumType w:countBy="0" w:distance="360"/>
          <w:pgNumType w:fmt="decimal"/>
          <w:cols w:space="720" w:num="1"/>
          <w:docGrid w:type="lines" w:linePitch="312" w:charSpace="0"/>
        </w:sectPr>
      </w:pPr>
    </w:p>
    <w:tbl>
      <w:tblPr>
        <w:tblStyle w:val="10"/>
        <w:tblW w:w="104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15"/>
        <w:gridCol w:w="716"/>
        <w:gridCol w:w="750"/>
        <w:gridCol w:w="1816"/>
        <w:gridCol w:w="776"/>
        <w:gridCol w:w="1441"/>
        <w:gridCol w:w="776"/>
        <w:gridCol w:w="550"/>
        <w:gridCol w:w="2570"/>
      </w:tblGrid>
      <w:tr w14:paraId="381B0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2481" w:type="dxa"/>
            <w:gridSpan w:val="3"/>
            <w:tcBorders>
              <w:top w:val="single" w:color="000000" w:sz="8" w:space="0"/>
              <w:left w:val="single" w:color="000000" w:sz="8" w:space="0"/>
              <w:bottom w:val="single" w:color="000000" w:sz="8" w:space="0"/>
              <w:right w:val="single" w:color="000000" w:sz="8" w:space="0"/>
              <w:tl2br w:val="nil"/>
              <w:tr2bl w:val="nil"/>
            </w:tcBorders>
            <w:noWrap w:val="0"/>
            <w:vAlign w:val="center"/>
          </w:tcPr>
          <w:p w14:paraId="1ADEAC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部门名称</w:t>
            </w:r>
          </w:p>
        </w:tc>
        <w:tc>
          <w:tcPr>
            <w:tcW w:w="7929" w:type="dxa"/>
            <w:gridSpan w:val="6"/>
            <w:tcBorders>
              <w:top w:val="single" w:color="000000" w:sz="8" w:space="0"/>
              <w:left w:val="nil"/>
              <w:bottom w:val="single" w:color="000000" w:sz="8" w:space="0"/>
              <w:right w:val="single" w:color="000000" w:sz="8" w:space="0"/>
              <w:tl2br w:val="nil"/>
              <w:tr2bl w:val="nil"/>
            </w:tcBorders>
            <w:noWrap w:val="0"/>
            <w:vAlign w:val="center"/>
          </w:tcPr>
          <w:p w14:paraId="68B442F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广元市昭化区卫子镇人民政府</w:t>
            </w:r>
          </w:p>
        </w:tc>
      </w:tr>
      <w:tr w14:paraId="35B6B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15" w:type="dxa"/>
            <w:vMerge w:val="restart"/>
            <w:tcBorders>
              <w:top w:val="nil"/>
              <w:left w:val="single" w:color="000000" w:sz="8" w:space="0"/>
              <w:bottom w:val="single" w:color="000000" w:sz="8" w:space="0"/>
              <w:right w:val="single" w:color="000000" w:sz="8" w:space="0"/>
              <w:tl2br w:val="nil"/>
              <w:tr2bl w:val="nil"/>
            </w:tcBorders>
            <w:noWrap w:val="0"/>
            <w:vAlign w:val="center"/>
          </w:tcPr>
          <w:p w14:paraId="3D9DC34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年度部门整体支出预算</w:t>
            </w:r>
          </w:p>
        </w:tc>
        <w:tc>
          <w:tcPr>
            <w:tcW w:w="1466" w:type="dxa"/>
            <w:gridSpan w:val="2"/>
            <w:tcBorders>
              <w:top w:val="nil"/>
              <w:left w:val="nil"/>
              <w:bottom w:val="single" w:color="000000" w:sz="8" w:space="0"/>
              <w:right w:val="single" w:color="000000" w:sz="8" w:space="0"/>
              <w:tl2br w:val="nil"/>
              <w:tr2bl w:val="nil"/>
            </w:tcBorders>
            <w:noWrap w:val="0"/>
            <w:vAlign w:val="center"/>
          </w:tcPr>
          <w:p w14:paraId="60E397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资金总额</w:t>
            </w:r>
          </w:p>
        </w:tc>
        <w:tc>
          <w:tcPr>
            <w:tcW w:w="2592" w:type="dxa"/>
            <w:gridSpan w:val="2"/>
            <w:tcBorders>
              <w:top w:val="single" w:color="000000" w:sz="8" w:space="0"/>
              <w:left w:val="nil"/>
              <w:bottom w:val="single" w:color="000000" w:sz="8" w:space="0"/>
              <w:right w:val="single" w:color="000000" w:sz="8" w:space="0"/>
              <w:tl2br w:val="nil"/>
              <w:tr2bl w:val="nil"/>
            </w:tcBorders>
            <w:noWrap w:val="0"/>
            <w:vAlign w:val="center"/>
          </w:tcPr>
          <w:p w14:paraId="1DBA334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财政拨款</w:t>
            </w:r>
          </w:p>
        </w:tc>
        <w:tc>
          <w:tcPr>
            <w:tcW w:w="5337" w:type="dxa"/>
            <w:gridSpan w:val="4"/>
            <w:tcBorders>
              <w:top w:val="single" w:color="000000" w:sz="8" w:space="0"/>
              <w:left w:val="nil"/>
              <w:bottom w:val="single" w:color="000000" w:sz="8" w:space="0"/>
              <w:right w:val="single" w:color="000000" w:sz="8" w:space="0"/>
              <w:tl2br w:val="nil"/>
              <w:tr2bl w:val="nil"/>
            </w:tcBorders>
            <w:noWrap w:val="0"/>
            <w:vAlign w:val="center"/>
          </w:tcPr>
          <w:p w14:paraId="608863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其他资金</w:t>
            </w:r>
          </w:p>
        </w:tc>
      </w:tr>
      <w:tr w14:paraId="64000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FF740C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nil"/>
              <w:left w:val="nil"/>
              <w:bottom w:val="single" w:color="000000" w:sz="8" w:space="0"/>
              <w:right w:val="single" w:color="000000" w:sz="8" w:space="0"/>
              <w:tl2br w:val="nil"/>
              <w:tr2bl w:val="nil"/>
            </w:tcBorders>
            <w:noWrap w:val="0"/>
            <w:vAlign w:val="center"/>
          </w:tcPr>
          <w:p w14:paraId="6A99E0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1944.75</w:t>
            </w:r>
          </w:p>
        </w:tc>
        <w:tc>
          <w:tcPr>
            <w:tcW w:w="2592" w:type="dxa"/>
            <w:gridSpan w:val="2"/>
            <w:tcBorders>
              <w:top w:val="nil"/>
              <w:left w:val="nil"/>
              <w:bottom w:val="single" w:color="000000" w:sz="8" w:space="0"/>
              <w:right w:val="single" w:color="000000" w:sz="8" w:space="0"/>
              <w:tl2br w:val="nil"/>
              <w:tr2bl w:val="nil"/>
            </w:tcBorders>
            <w:noWrap w:val="0"/>
            <w:vAlign w:val="center"/>
          </w:tcPr>
          <w:p w14:paraId="5C7C1D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1944.75</w:t>
            </w:r>
          </w:p>
        </w:tc>
        <w:tc>
          <w:tcPr>
            <w:tcW w:w="5337" w:type="dxa"/>
            <w:gridSpan w:val="4"/>
            <w:tcBorders>
              <w:top w:val="nil"/>
              <w:left w:val="nil"/>
              <w:bottom w:val="single" w:color="000000" w:sz="8" w:space="0"/>
              <w:right w:val="single" w:color="000000" w:sz="8" w:space="0"/>
              <w:tl2br w:val="nil"/>
              <w:tr2bl w:val="nil"/>
            </w:tcBorders>
            <w:noWrap w:val="0"/>
            <w:vAlign w:val="center"/>
          </w:tcPr>
          <w:p w14:paraId="28E080F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0</w:t>
            </w:r>
          </w:p>
        </w:tc>
      </w:tr>
      <w:tr w14:paraId="05095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015" w:type="dxa"/>
            <w:tcBorders>
              <w:top w:val="nil"/>
              <w:left w:val="single" w:color="000000" w:sz="8" w:space="0"/>
              <w:bottom w:val="single" w:color="000000" w:sz="8" w:space="0"/>
              <w:right w:val="single" w:color="000000" w:sz="8" w:space="0"/>
              <w:tl2br w:val="nil"/>
              <w:tr2bl w:val="nil"/>
            </w:tcBorders>
            <w:noWrap w:val="0"/>
            <w:vAlign w:val="center"/>
          </w:tcPr>
          <w:p w14:paraId="3E64B03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年度总体目标</w:t>
            </w:r>
          </w:p>
        </w:tc>
        <w:tc>
          <w:tcPr>
            <w:tcW w:w="9395" w:type="dxa"/>
            <w:gridSpan w:val="8"/>
            <w:tcBorders>
              <w:top w:val="nil"/>
              <w:left w:val="nil"/>
              <w:bottom w:val="single" w:color="000000" w:sz="8" w:space="0"/>
              <w:right w:val="single" w:color="000000" w:sz="8" w:space="0"/>
              <w:tl2br w:val="nil"/>
              <w:tr2bl w:val="nil"/>
            </w:tcBorders>
            <w:noWrap w:val="0"/>
            <w:vAlign w:val="center"/>
          </w:tcPr>
          <w:p w14:paraId="6295650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深入学习贯彻党的二十大、习近平总书记视川视广重要讲话精神，坚决落实中央、省委、市委及区委的各项部署安排，紧紧围绕区委“四城新区”、卫子“三镇一区”建设，聚焦产业发展、两项改革“后半篇”文章、招商引资、基层治理、民生改善、从严治党等重点工作，推动“商贸物流重镇、规模化种养强镇、特色化农旅融合新镇和幸福美丽乡村振兴示范区”再上新台阶。一是完成区级各项目标任务；二是保障在职干部、临聘人员、退休干部、村（社区）干部的工资、保险、目标奖、生活补助和日常正常运转；三是做好基层组织活动和公共运行维护工作；四是做好烤烟生产发展工作；五是做好预备役征兵保障工作；六是做好场镇环境卫生、路灯管理、人大等相关工作。服务对象覆盖镇域内所有村社区，群众满意度达到95%以上。</w:t>
            </w:r>
          </w:p>
        </w:tc>
      </w:tr>
      <w:tr w14:paraId="5CD76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1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7EDBBF8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年度主要任务</w:t>
            </w: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094A00D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任务名称</w:t>
            </w:r>
          </w:p>
        </w:tc>
        <w:tc>
          <w:tcPr>
            <w:tcW w:w="7929" w:type="dxa"/>
            <w:gridSpan w:val="6"/>
            <w:tcBorders>
              <w:top w:val="single" w:color="000000" w:sz="8" w:space="0"/>
              <w:left w:val="single" w:color="auto" w:sz="4" w:space="0"/>
              <w:bottom w:val="single" w:color="000000" w:sz="8" w:space="0"/>
              <w:right w:val="single" w:color="000000" w:sz="8" w:space="0"/>
              <w:tl2br w:val="nil"/>
              <w:tr2bl w:val="nil"/>
            </w:tcBorders>
            <w:noWrap w:val="0"/>
            <w:vAlign w:val="center"/>
          </w:tcPr>
          <w:p w14:paraId="09E5E6B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主要内容</w:t>
            </w:r>
          </w:p>
        </w:tc>
      </w:tr>
      <w:tr w14:paraId="2927C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5C021A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5793C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保障农业园区建设</w:t>
            </w: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716185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用于王家贡米园区建设升级，打造一流园区、一流品牌、一流产业。</w:t>
            </w:r>
          </w:p>
        </w:tc>
      </w:tr>
      <w:tr w14:paraId="4BDA8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5F87259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7EAB0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保障单位在编职工及临聘职工工资发放及各类保险缴纳</w:t>
            </w: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0578FA2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按月打卡发放职工工资、遗属补助，向社保部门缴纳职工养老、医疗等各项保险，向公积金中心缴纳住房公积金。稳定干部队伍，工作积极性提高，确保政府各项工作职能执行力度，将各项工作落实落地</w:t>
            </w:r>
          </w:p>
        </w:tc>
      </w:tr>
      <w:tr w14:paraId="3634E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606FAB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EA622D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做好场镇路灯照明及垃圾清运管理</w:t>
            </w: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20D7D32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场镇公用照明设施维护及电费缴纳，确保场镇公共区域照明正常，给场镇居民一个光亮环境，让居民满意.将镇域内所有垃圾按时且零库存式清运,确保镇域内任何地方均无垃圾库存，并通过此项工作逐步形成良好的卫生习惯，营造干净、卫生、整洁、光亮的场镇环境，提升人居环境，吸引更多商家入驻，带动场镇经济发展。</w:t>
            </w:r>
          </w:p>
        </w:tc>
      </w:tr>
      <w:tr w14:paraId="70E47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1196D9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42DC1A8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基层组织建设及农村公共服务运行</w:t>
            </w: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59F189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主要用于镇域内15个村2个社区农村基础设施和环境类、农业生产服务类、农村生活服务类及农村社会管理类等方面的支出。</w:t>
            </w:r>
          </w:p>
        </w:tc>
      </w:tr>
      <w:tr w14:paraId="028C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68EEAE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7A887E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保障在职干部日常工作运转</w:t>
            </w: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163D024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障在职干部开展党建宣传、项目推进、乡村振兴、产业发展以及安全生产等各项综合性工作所产生的差旅费、培训费、党建费、报刊款、水电费、网络费、公务接待费等公用经费。</w:t>
            </w:r>
          </w:p>
        </w:tc>
      </w:tr>
      <w:tr w14:paraId="75B95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3AF8A7B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14:paraId="462FC7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保障村（居）干部薪酬发放和日常工作正常运转</w:t>
            </w:r>
          </w:p>
        </w:tc>
        <w:tc>
          <w:tcPr>
            <w:tcW w:w="7929" w:type="dxa"/>
            <w:gridSpan w:val="6"/>
            <w:tcBorders>
              <w:top w:val="nil"/>
              <w:left w:val="single" w:color="auto" w:sz="4" w:space="0"/>
              <w:bottom w:val="nil"/>
              <w:right w:val="single" w:color="000000" w:sz="8" w:space="0"/>
              <w:tl2br w:val="nil"/>
              <w:tr2bl w:val="nil"/>
            </w:tcBorders>
            <w:noWrap w:val="0"/>
            <w:vAlign w:val="center"/>
          </w:tcPr>
          <w:p w14:paraId="7901E5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按月发放全镇15个村2个社区村组干部工资，确保村居组干部队伍稳定，工作激情提升；拨付村（居）办公经费，保障办公环境和设备完善，做到高效率办公，确保为民办事各项工作开展顺利；按时发放连任村干部、离职村干部及老党员补助，让群众满意。</w:t>
            </w:r>
          </w:p>
        </w:tc>
      </w:tr>
      <w:tr w14:paraId="211EC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C1FFA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2D8CB4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rPr>
                <w:rFonts w:hint="eastAsia" w:ascii="宋体" w:hAnsi="宋体" w:eastAsia="宋体" w:cs="宋体"/>
                <w:color w:val="000000"/>
                <w:sz w:val="20"/>
                <w:szCs w:val="20"/>
              </w:rPr>
            </w:pPr>
          </w:p>
        </w:tc>
        <w:tc>
          <w:tcPr>
            <w:tcW w:w="7929" w:type="dxa"/>
            <w:gridSpan w:val="6"/>
            <w:tcBorders>
              <w:top w:val="nil"/>
              <w:left w:val="single" w:color="auto" w:sz="4" w:space="0"/>
              <w:bottom w:val="single" w:color="000000" w:sz="8" w:space="0"/>
              <w:right w:val="single" w:color="000000" w:sz="8" w:space="0"/>
              <w:tl2br w:val="nil"/>
              <w:tr2bl w:val="nil"/>
            </w:tcBorders>
            <w:noWrap w:val="0"/>
            <w:vAlign w:val="center"/>
          </w:tcPr>
          <w:p w14:paraId="6285890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按月发放全镇15个村2个社区村组干部工资，确保村居组干部队伍稳定，工作激情提升；拨付村（居）办公经费，保障办公环境和设备完善，做到高效率办公，确保为民办事各项工作开展顺利；按时发放连任村干部、离职村干部及老党员补助，让群众满意。</w:t>
            </w:r>
          </w:p>
        </w:tc>
      </w:tr>
      <w:tr w14:paraId="71BC9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49A36D3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7E3404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完成年度烤烟发展目标任务</w:t>
            </w:r>
          </w:p>
        </w:tc>
        <w:tc>
          <w:tcPr>
            <w:tcW w:w="7929" w:type="dxa"/>
            <w:gridSpan w:val="6"/>
            <w:tcBorders>
              <w:top w:val="nil"/>
              <w:left w:val="single" w:color="auto" w:sz="4" w:space="0"/>
              <w:bottom w:val="single" w:color="auto" w:sz="4" w:space="0"/>
              <w:right w:val="single" w:color="000000" w:sz="8" w:space="0"/>
              <w:tl2br w:val="nil"/>
              <w:tr2bl w:val="nil"/>
            </w:tcBorders>
            <w:noWrap w:val="0"/>
            <w:vAlign w:val="center"/>
          </w:tcPr>
          <w:p w14:paraId="268B206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烤房维修费、返还农户补助资金等，按时按质按量完成烤烟产业发展各个指标任务，确保完成并力争超额完成上级下达的地方一般税收收入。对生态环境不会造成任何污染，群众（烟叶种植户）满意度达到95%。</w:t>
            </w:r>
          </w:p>
        </w:tc>
      </w:tr>
      <w:tr w14:paraId="083F2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50F0D9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3E19754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1"/>
                <w:szCs w:val="21"/>
                <w:lang w:bidi="ar"/>
              </w:rPr>
              <w:t>保障党委政府综合</w:t>
            </w:r>
            <w:r>
              <w:rPr>
                <w:rFonts w:hint="eastAsia" w:ascii="宋体" w:hAnsi="宋体" w:eastAsia="宋体" w:cs="宋体"/>
                <w:color w:val="000000"/>
                <w:sz w:val="20"/>
                <w:szCs w:val="20"/>
                <w:lang w:bidi="ar"/>
              </w:rPr>
              <w:t>性工作</w:t>
            </w:r>
          </w:p>
        </w:tc>
        <w:tc>
          <w:tcPr>
            <w:tcW w:w="7929"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27AC27A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执行并管理本行政区域内的经济、教育、文化、卫生、体育、财政、民政、计划生育、安全、武装、应急管理等工作，落实各项工作并保障工作经费，确保各项任务顺利完成。</w:t>
            </w:r>
          </w:p>
        </w:tc>
      </w:tr>
      <w:tr w14:paraId="0944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1C6E943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931C42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保障遗属及临聘人员工作</w:t>
            </w:r>
          </w:p>
        </w:tc>
        <w:tc>
          <w:tcPr>
            <w:tcW w:w="7929"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58DCCCA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保障18名遗属人员补助，足额发放临聘人员工资及各项保险，确保政府各项工作职能执行力度，将各项工作落实落地。</w:t>
            </w:r>
          </w:p>
        </w:tc>
      </w:tr>
      <w:tr w14:paraId="3D7B4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101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14:paraId="7E434D6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217FF4A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人大主席团</w:t>
            </w:r>
          </w:p>
        </w:tc>
        <w:tc>
          <w:tcPr>
            <w:tcW w:w="7929"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14:paraId="6C3F0C7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按人大章程及本镇实际召开人民代表大会，并完成人大代表之家阵地建设，发挥人大代表的作用，集思广益、群策群力推动本镇各项事业有序发展。</w:t>
            </w:r>
          </w:p>
        </w:tc>
      </w:tr>
      <w:tr w14:paraId="495E4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single" w:color="auto" w:sz="4" w:space="0"/>
              <w:left w:val="single" w:color="auto" w:sz="4" w:space="0"/>
              <w:bottom w:val="single" w:color="000000" w:sz="8" w:space="0"/>
              <w:right w:val="single" w:color="auto" w:sz="4" w:space="0"/>
              <w:tl2br w:val="nil"/>
              <w:tr2bl w:val="nil"/>
            </w:tcBorders>
            <w:noWrap w:val="0"/>
            <w:vAlign w:val="center"/>
          </w:tcPr>
          <w:p w14:paraId="31810AC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466"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14:paraId="126C1B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保障离退休人员年度绩效发放</w:t>
            </w:r>
          </w:p>
        </w:tc>
        <w:tc>
          <w:tcPr>
            <w:tcW w:w="7929" w:type="dxa"/>
            <w:gridSpan w:val="6"/>
            <w:tcBorders>
              <w:top w:val="single" w:color="auto" w:sz="4" w:space="0"/>
              <w:left w:val="single" w:color="auto" w:sz="4" w:space="0"/>
              <w:bottom w:val="single" w:color="000000" w:sz="8" w:space="0"/>
              <w:right w:val="single" w:color="000000" w:sz="8" w:space="0"/>
              <w:tl2br w:val="nil"/>
              <w:tr2bl w:val="nil"/>
            </w:tcBorders>
            <w:noWrap w:val="0"/>
            <w:vAlign w:val="center"/>
          </w:tcPr>
          <w:p w14:paraId="2F72C68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按月发放51位离退休人员年终绩效。</w:t>
            </w:r>
          </w:p>
        </w:tc>
      </w:tr>
      <w:tr w14:paraId="6FAA7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tcBorders>
              <w:top w:val="nil"/>
              <w:left w:val="single" w:color="000000" w:sz="8" w:space="0"/>
              <w:bottom w:val="single" w:color="000000" w:sz="8" w:space="0"/>
              <w:right w:val="single" w:color="000000" w:sz="8" w:space="0"/>
              <w:tl2br w:val="nil"/>
              <w:tr2bl w:val="nil"/>
            </w:tcBorders>
            <w:noWrap w:val="0"/>
            <w:vAlign w:val="center"/>
          </w:tcPr>
          <w:p w14:paraId="337E8F8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年度绩效指标</w:t>
            </w:r>
          </w:p>
        </w:tc>
        <w:tc>
          <w:tcPr>
            <w:tcW w:w="716" w:type="dxa"/>
            <w:tcBorders>
              <w:top w:val="single" w:color="auto" w:sz="4" w:space="0"/>
              <w:left w:val="nil"/>
              <w:bottom w:val="single" w:color="000000" w:sz="8" w:space="0"/>
              <w:right w:val="single" w:color="000000" w:sz="8" w:space="0"/>
              <w:tl2br w:val="nil"/>
              <w:tr2bl w:val="nil"/>
            </w:tcBorders>
            <w:noWrap w:val="0"/>
            <w:vAlign w:val="center"/>
          </w:tcPr>
          <w:p w14:paraId="3465598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一级指标</w:t>
            </w:r>
          </w:p>
        </w:tc>
        <w:tc>
          <w:tcPr>
            <w:tcW w:w="750" w:type="dxa"/>
            <w:tcBorders>
              <w:top w:val="single" w:color="auto" w:sz="4" w:space="0"/>
              <w:left w:val="nil"/>
              <w:bottom w:val="single" w:color="000000" w:sz="8" w:space="0"/>
              <w:right w:val="single" w:color="000000" w:sz="8" w:space="0"/>
              <w:tl2br w:val="nil"/>
              <w:tr2bl w:val="nil"/>
            </w:tcBorders>
            <w:noWrap w:val="0"/>
            <w:vAlign w:val="center"/>
          </w:tcPr>
          <w:p w14:paraId="5C4D2BD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二级指标</w:t>
            </w:r>
          </w:p>
        </w:tc>
        <w:tc>
          <w:tcPr>
            <w:tcW w:w="1816" w:type="dxa"/>
            <w:tcBorders>
              <w:top w:val="single" w:color="000000" w:sz="8" w:space="0"/>
              <w:left w:val="nil"/>
              <w:bottom w:val="single" w:color="000000" w:sz="8" w:space="0"/>
              <w:right w:val="single" w:color="000000" w:sz="8" w:space="0"/>
              <w:tl2br w:val="nil"/>
              <w:tr2bl w:val="nil"/>
            </w:tcBorders>
            <w:noWrap w:val="0"/>
            <w:vAlign w:val="center"/>
          </w:tcPr>
          <w:p w14:paraId="1F6A893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三级指标</w:t>
            </w:r>
          </w:p>
        </w:tc>
        <w:tc>
          <w:tcPr>
            <w:tcW w:w="776" w:type="dxa"/>
            <w:tcBorders>
              <w:top w:val="single" w:color="000000" w:sz="8" w:space="0"/>
              <w:left w:val="nil"/>
              <w:bottom w:val="single" w:color="000000" w:sz="8" w:space="0"/>
              <w:right w:val="single" w:color="000000" w:sz="8" w:space="0"/>
              <w:tl2br w:val="nil"/>
              <w:tr2bl w:val="nil"/>
            </w:tcBorders>
            <w:noWrap w:val="0"/>
            <w:vAlign w:val="center"/>
          </w:tcPr>
          <w:p w14:paraId="5570BA2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绩效指标性质</w:t>
            </w:r>
          </w:p>
        </w:tc>
        <w:tc>
          <w:tcPr>
            <w:tcW w:w="1441" w:type="dxa"/>
            <w:tcBorders>
              <w:top w:val="single" w:color="000000" w:sz="8" w:space="0"/>
              <w:left w:val="nil"/>
              <w:bottom w:val="single" w:color="000000" w:sz="8" w:space="0"/>
              <w:right w:val="single" w:color="000000" w:sz="8" w:space="0"/>
              <w:tl2br w:val="nil"/>
              <w:tr2bl w:val="nil"/>
            </w:tcBorders>
            <w:noWrap w:val="0"/>
            <w:vAlign w:val="center"/>
          </w:tcPr>
          <w:p w14:paraId="5B1CA6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绩效指标值</w:t>
            </w:r>
          </w:p>
        </w:tc>
        <w:tc>
          <w:tcPr>
            <w:tcW w:w="776" w:type="dxa"/>
            <w:tcBorders>
              <w:top w:val="single" w:color="000000" w:sz="8" w:space="0"/>
              <w:left w:val="nil"/>
              <w:bottom w:val="single" w:color="000000" w:sz="8" w:space="0"/>
              <w:right w:val="single" w:color="000000" w:sz="8" w:space="0"/>
              <w:tl2br w:val="nil"/>
              <w:tr2bl w:val="nil"/>
            </w:tcBorders>
            <w:noWrap w:val="0"/>
            <w:vAlign w:val="center"/>
          </w:tcPr>
          <w:p w14:paraId="6DCAC9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绩效度量单位</w:t>
            </w:r>
          </w:p>
        </w:tc>
        <w:tc>
          <w:tcPr>
            <w:tcW w:w="550" w:type="dxa"/>
            <w:tcBorders>
              <w:top w:val="single" w:color="000000" w:sz="8" w:space="0"/>
              <w:left w:val="nil"/>
              <w:bottom w:val="single" w:color="000000" w:sz="8" w:space="0"/>
              <w:right w:val="single" w:color="000000" w:sz="8" w:space="0"/>
              <w:tl2br w:val="nil"/>
              <w:tr2bl w:val="nil"/>
            </w:tcBorders>
            <w:noWrap w:val="0"/>
            <w:vAlign w:val="center"/>
          </w:tcPr>
          <w:p w14:paraId="0F5BFB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权重</w:t>
            </w:r>
          </w:p>
        </w:tc>
        <w:tc>
          <w:tcPr>
            <w:tcW w:w="2570" w:type="dxa"/>
            <w:tcBorders>
              <w:top w:val="single" w:color="000000" w:sz="8" w:space="0"/>
              <w:left w:val="nil"/>
              <w:bottom w:val="single" w:color="000000" w:sz="8" w:space="0"/>
              <w:right w:val="single" w:color="000000" w:sz="8" w:space="0"/>
              <w:tl2br w:val="nil"/>
              <w:tr2bl w:val="nil"/>
            </w:tcBorders>
            <w:noWrap w:val="0"/>
            <w:vAlign w:val="center"/>
          </w:tcPr>
          <w:p w14:paraId="2472E32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实际完成指标值</w:t>
            </w:r>
          </w:p>
        </w:tc>
      </w:tr>
      <w:tr w14:paraId="55313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15" w:type="dxa"/>
            <w:vMerge w:val="restart"/>
            <w:tcBorders>
              <w:top w:val="nil"/>
              <w:left w:val="single" w:color="000000" w:sz="8" w:space="0"/>
              <w:bottom w:val="single" w:color="000000" w:sz="8" w:space="0"/>
              <w:right w:val="single" w:color="000000" w:sz="8" w:space="0"/>
              <w:tl2br w:val="nil"/>
              <w:tr2bl w:val="nil"/>
            </w:tcBorders>
            <w:noWrap w:val="0"/>
            <w:vAlign w:val="center"/>
          </w:tcPr>
          <w:p w14:paraId="68CF733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年度绩效指标</w:t>
            </w:r>
          </w:p>
        </w:tc>
        <w:tc>
          <w:tcPr>
            <w:tcW w:w="716" w:type="dxa"/>
            <w:vMerge w:val="restart"/>
            <w:tcBorders>
              <w:top w:val="nil"/>
              <w:left w:val="nil"/>
              <w:bottom w:val="single" w:color="000000" w:sz="8" w:space="0"/>
              <w:right w:val="single" w:color="000000" w:sz="8" w:space="0"/>
              <w:tl2br w:val="nil"/>
              <w:tr2bl w:val="nil"/>
            </w:tcBorders>
            <w:noWrap w:val="0"/>
            <w:vAlign w:val="center"/>
          </w:tcPr>
          <w:p w14:paraId="70E60F7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产出指标</w:t>
            </w:r>
          </w:p>
        </w:tc>
        <w:tc>
          <w:tcPr>
            <w:tcW w:w="750" w:type="dxa"/>
            <w:vMerge w:val="restart"/>
            <w:tcBorders>
              <w:top w:val="nil"/>
              <w:left w:val="nil"/>
              <w:bottom w:val="single" w:color="000000" w:sz="8" w:space="0"/>
              <w:right w:val="single" w:color="000000" w:sz="8" w:space="0"/>
              <w:tl2br w:val="nil"/>
              <w:tr2bl w:val="nil"/>
            </w:tcBorders>
            <w:noWrap w:val="0"/>
            <w:vAlign w:val="center"/>
          </w:tcPr>
          <w:p w14:paraId="24D1381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数量指标</w:t>
            </w:r>
          </w:p>
        </w:tc>
        <w:tc>
          <w:tcPr>
            <w:tcW w:w="1816" w:type="dxa"/>
            <w:tcBorders>
              <w:top w:val="nil"/>
              <w:left w:val="nil"/>
              <w:bottom w:val="single" w:color="000000" w:sz="8" w:space="0"/>
              <w:right w:val="single" w:color="000000" w:sz="8" w:space="0"/>
              <w:tl2br w:val="nil"/>
              <w:tr2bl w:val="nil"/>
            </w:tcBorders>
            <w:noWrap w:val="0"/>
            <w:vAlign w:val="center"/>
          </w:tcPr>
          <w:p w14:paraId="2A5AA8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村（社）日常运转保障数量</w:t>
            </w:r>
          </w:p>
        </w:tc>
        <w:tc>
          <w:tcPr>
            <w:tcW w:w="776" w:type="dxa"/>
            <w:tcBorders>
              <w:top w:val="nil"/>
              <w:left w:val="nil"/>
              <w:bottom w:val="single" w:color="000000" w:sz="8" w:space="0"/>
              <w:right w:val="single" w:color="000000" w:sz="8" w:space="0"/>
              <w:tl2br w:val="nil"/>
              <w:tr2bl w:val="nil"/>
            </w:tcBorders>
            <w:noWrap w:val="0"/>
            <w:vAlign w:val="center"/>
          </w:tcPr>
          <w:p w14:paraId="76EA48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5895145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17</w:t>
            </w:r>
          </w:p>
        </w:tc>
        <w:tc>
          <w:tcPr>
            <w:tcW w:w="776" w:type="dxa"/>
            <w:tcBorders>
              <w:top w:val="nil"/>
              <w:left w:val="nil"/>
              <w:bottom w:val="single" w:color="000000" w:sz="8" w:space="0"/>
              <w:right w:val="single" w:color="000000" w:sz="8" w:space="0"/>
              <w:tl2br w:val="nil"/>
              <w:tr2bl w:val="nil"/>
            </w:tcBorders>
            <w:noWrap w:val="0"/>
            <w:vAlign w:val="center"/>
          </w:tcPr>
          <w:p w14:paraId="5A5CC4C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个</w:t>
            </w:r>
          </w:p>
        </w:tc>
        <w:tc>
          <w:tcPr>
            <w:tcW w:w="550" w:type="dxa"/>
            <w:tcBorders>
              <w:top w:val="nil"/>
              <w:left w:val="nil"/>
              <w:bottom w:val="single" w:color="000000" w:sz="8" w:space="0"/>
              <w:right w:val="single" w:color="000000" w:sz="8" w:space="0"/>
              <w:tl2br w:val="nil"/>
              <w:tr2bl w:val="nil"/>
            </w:tcBorders>
            <w:noWrap w:val="0"/>
            <w:vAlign w:val="center"/>
          </w:tcPr>
          <w:p w14:paraId="156B261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w:t>
            </w:r>
          </w:p>
        </w:tc>
        <w:tc>
          <w:tcPr>
            <w:tcW w:w="2570" w:type="dxa"/>
            <w:tcBorders>
              <w:top w:val="nil"/>
              <w:left w:val="nil"/>
              <w:bottom w:val="single" w:color="000000" w:sz="8" w:space="0"/>
              <w:right w:val="single" w:color="000000" w:sz="8" w:space="0"/>
              <w:tl2br w:val="nil"/>
              <w:tr2bl w:val="nil"/>
            </w:tcBorders>
            <w:noWrap w:val="0"/>
            <w:vAlign w:val="center"/>
          </w:tcPr>
          <w:p w14:paraId="2F2D9C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17</w:t>
            </w:r>
          </w:p>
        </w:tc>
      </w:tr>
      <w:tr w14:paraId="4340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A29D3F8">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70B4C410">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vMerge w:val="continue"/>
            <w:tcBorders>
              <w:top w:val="nil"/>
              <w:left w:val="nil"/>
              <w:bottom w:val="single" w:color="000000" w:sz="8" w:space="0"/>
              <w:right w:val="single" w:color="000000" w:sz="8" w:space="0"/>
              <w:tl2br w:val="nil"/>
              <w:tr2bl w:val="nil"/>
            </w:tcBorders>
            <w:noWrap w:val="0"/>
            <w:vAlign w:val="center"/>
          </w:tcPr>
          <w:p w14:paraId="79914999">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16" w:type="dxa"/>
            <w:tcBorders>
              <w:top w:val="nil"/>
              <w:left w:val="nil"/>
              <w:bottom w:val="single" w:color="000000" w:sz="8" w:space="0"/>
              <w:right w:val="single" w:color="000000" w:sz="8" w:space="0"/>
              <w:tl2br w:val="nil"/>
              <w:tr2bl w:val="nil"/>
            </w:tcBorders>
            <w:noWrap w:val="0"/>
            <w:vAlign w:val="center"/>
          </w:tcPr>
          <w:p w14:paraId="6D19D5F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垃圾清理次数</w:t>
            </w:r>
          </w:p>
        </w:tc>
        <w:tc>
          <w:tcPr>
            <w:tcW w:w="776" w:type="dxa"/>
            <w:tcBorders>
              <w:top w:val="nil"/>
              <w:left w:val="nil"/>
              <w:bottom w:val="single" w:color="000000" w:sz="8" w:space="0"/>
              <w:right w:val="single" w:color="000000" w:sz="8" w:space="0"/>
              <w:tl2br w:val="nil"/>
              <w:tr2bl w:val="nil"/>
            </w:tcBorders>
            <w:noWrap w:val="0"/>
            <w:vAlign w:val="center"/>
          </w:tcPr>
          <w:p w14:paraId="45C292B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66E1CDB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144</w:t>
            </w:r>
          </w:p>
        </w:tc>
        <w:tc>
          <w:tcPr>
            <w:tcW w:w="776" w:type="dxa"/>
            <w:tcBorders>
              <w:top w:val="nil"/>
              <w:left w:val="nil"/>
              <w:bottom w:val="single" w:color="000000" w:sz="8" w:space="0"/>
              <w:right w:val="single" w:color="000000" w:sz="8" w:space="0"/>
              <w:tl2br w:val="nil"/>
              <w:tr2bl w:val="nil"/>
            </w:tcBorders>
            <w:noWrap w:val="0"/>
            <w:vAlign w:val="center"/>
          </w:tcPr>
          <w:p w14:paraId="40A6918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次</w:t>
            </w:r>
          </w:p>
        </w:tc>
        <w:tc>
          <w:tcPr>
            <w:tcW w:w="550" w:type="dxa"/>
            <w:tcBorders>
              <w:top w:val="nil"/>
              <w:left w:val="nil"/>
              <w:bottom w:val="single" w:color="000000" w:sz="8" w:space="0"/>
              <w:right w:val="single" w:color="000000" w:sz="8" w:space="0"/>
              <w:tl2br w:val="nil"/>
              <w:tr2bl w:val="nil"/>
            </w:tcBorders>
            <w:noWrap w:val="0"/>
            <w:vAlign w:val="center"/>
          </w:tcPr>
          <w:p w14:paraId="0E648BB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1C6DB6D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144</w:t>
            </w:r>
          </w:p>
        </w:tc>
      </w:tr>
      <w:tr w14:paraId="66E0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8208FC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1D31918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vMerge w:val="continue"/>
            <w:tcBorders>
              <w:top w:val="nil"/>
              <w:left w:val="nil"/>
              <w:bottom w:val="single" w:color="000000" w:sz="8" w:space="0"/>
              <w:right w:val="single" w:color="000000" w:sz="8" w:space="0"/>
              <w:tl2br w:val="nil"/>
              <w:tr2bl w:val="nil"/>
            </w:tcBorders>
            <w:noWrap w:val="0"/>
            <w:vAlign w:val="center"/>
          </w:tcPr>
          <w:p w14:paraId="7D67ED7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16" w:type="dxa"/>
            <w:tcBorders>
              <w:top w:val="nil"/>
              <w:left w:val="nil"/>
              <w:bottom w:val="single" w:color="000000" w:sz="8" w:space="0"/>
              <w:right w:val="single" w:color="000000" w:sz="8" w:space="0"/>
              <w:tl2br w:val="nil"/>
              <w:tr2bl w:val="nil"/>
            </w:tcBorders>
            <w:noWrap w:val="0"/>
            <w:vAlign w:val="center"/>
          </w:tcPr>
          <w:p w14:paraId="5707D79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新建、维修烤烟房合计</w:t>
            </w:r>
          </w:p>
        </w:tc>
        <w:tc>
          <w:tcPr>
            <w:tcW w:w="776" w:type="dxa"/>
            <w:tcBorders>
              <w:top w:val="nil"/>
              <w:left w:val="nil"/>
              <w:bottom w:val="single" w:color="000000" w:sz="8" w:space="0"/>
              <w:right w:val="single" w:color="000000" w:sz="8" w:space="0"/>
              <w:tl2br w:val="nil"/>
              <w:tr2bl w:val="nil"/>
            </w:tcBorders>
            <w:noWrap w:val="0"/>
            <w:vAlign w:val="center"/>
          </w:tcPr>
          <w:p w14:paraId="3828DC3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03C1C05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27</w:t>
            </w:r>
          </w:p>
        </w:tc>
        <w:tc>
          <w:tcPr>
            <w:tcW w:w="776" w:type="dxa"/>
            <w:tcBorders>
              <w:top w:val="nil"/>
              <w:left w:val="nil"/>
              <w:bottom w:val="single" w:color="000000" w:sz="8" w:space="0"/>
              <w:right w:val="single" w:color="000000" w:sz="8" w:space="0"/>
              <w:tl2br w:val="nil"/>
              <w:tr2bl w:val="nil"/>
            </w:tcBorders>
            <w:noWrap w:val="0"/>
            <w:vAlign w:val="center"/>
          </w:tcPr>
          <w:p w14:paraId="76E67A0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座</w:t>
            </w:r>
          </w:p>
        </w:tc>
        <w:tc>
          <w:tcPr>
            <w:tcW w:w="550" w:type="dxa"/>
            <w:tcBorders>
              <w:top w:val="nil"/>
              <w:left w:val="nil"/>
              <w:bottom w:val="single" w:color="000000" w:sz="8" w:space="0"/>
              <w:right w:val="single" w:color="000000" w:sz="8" w:space="0"/>
              <w:tl2br w:val="nil"/>
              <w:tr2bl w:val="nil"/>
            </w:tcBorders>
            <w:noWrap w:val="0"/>
            <w:vAlign w:val="center"/>
          </w:tcPr>
          <w:p w14:paraId="5F75A4C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w:t>
            </w:r>
          </w:p>
        </w:tc>
        <w:tc>
          <w:tcPr>
            <w:tcW w:w="2570" w:type="dxa"/>
            <w:tcBorders>
              <w:top w:val="nil"/>
              <w:left w:val="nil"/>
              <w:bottom w:val="single" w:color="000000" w:sz="8" w:space="0"/>
              <w:right w:val="single" w:color="000000" w:sz="8" w:space="0"/>
              <w:tl2br w:val="nil"/>
              <w:tr2bl w:val="nil"/>
            </w:tcBorders>
            <w:noWrap w:val="0"/>
            <w:vAlign w:val="center"/>
          </w:tcPr>
          <w:p w14:paraId="6EA36B3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27</w:t>
            </w:r>
          </w:p>
        </w:tc>
      </w:tr>
      <w:tr w14:paraId="341C3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DBEF5B6">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1DDCD70C">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vMerge w:val="continue"/>
            <w:tcBorders>
              <w:top w:val="nil"/>
              <w:left w:val="nil"/>
              <w:bottom w:val="single" w:color="000000" w:sz="8" w:space="0"/>
              <w:right w:val="single" w:color="000000" w:sz="8" w:space="0"/>
              <w:tl2br w:val="nil"/>
              <w:tr2bl w:val="nil"/>
            </w:tcBorders>
            <w:noWrap w:val="0"/>
            <w:vAlign w:val="center"/>
          </w:tcPr>
          <w:p w14:paraId="350E7FD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16" w:type="dxa"/>
            <w:tcBorders>
              <w:top w:val="nil"/>
              <w:left w:val="nil"/>
              <w:bottom w:val="single" w:color="000000" w:sz="8" w:space="0"/>
              <w:right w:val="single" w:color="000000" w:sz="8" w:space="0"/>
              <w:tl2br w:val="nil"/>
              <w:tr2bl w:val="nil"/>
            </w:tcBorders>
            <w:noWrap w:val="0"/>
            <w:vAlign w:val="center"/>
          </w:tcPr>
          <w:p w14:paraId="281496B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在职在编干部人数</w:t>
            </w:r>
          </w:p>
        </w:tc>
        <w:tc>
          <w:tcPr>
            <w:tcW w:w="776" w:type="dxa"/>
            <w:tcBorders>
              <w:top w:val="nil"/>
              <w:left w:val="nil"/>
              <w:bottom w:val="single" w:color="000000" w:sz="8" w:space="0"/>
              <w:right w:val="single" w:color="000000" w:sz="8" w:space="0"/>
              <w:tl2br w:val="nil"/>
              <w:tr2bl w:val="nil"/>
            </w:tcBorders>
            <w:noWrap w:val="0"/>
            <w:vAlign w:val="center"/>
          </w:tcPr>
          <w:p w14:paraId="110F3C8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5F300B0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71</w:t>
            </w:r>
          </w:p>
        </w:tc>
        <w:tc>
          <w:tcPr>
            <w:tcW w:w="776" w:type="dxa"/>
            <w:tcBorders>
              <w:top w:val="nil"/>
              <w:left w:val="nil"/>
              <w:bottom w:val="single" w:color="000000" w:sz="8" w:space="0"/>
              <w:right w:val="single" w:color="000000" w:sz="8" w:space="0"/>
              <w:tl2br w:val="nil"/>
              <w:tr2bl w:val="nil"/>
            </w:tcBorders>
            <w:noWrap w:val="0"/>
            <w:vAlign w:val="center"/>
          </w:tcPr>
          <w:p w14:paraId="2D2E6B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名</w:t>
            </w:r>
          </w:p>
        </w:tc>
        <w:tc>
          <w:tcPr>
            <w:tcW w:w="550" w:type="dxa"/>
            <w:tcBorders>
              <w:top w:val="nil"/>
              <w:left w:val="nil"/>
              <w:bottom w:val="single" w:color="000000" w:sz="8" w:space="0"/>
              <w:right w:val="single" w:color="000000" w:sz="8" w:space="0"/>
              <w:tl2br w:val="nil"/>
              <w:tr2bl w:val="nil"/>
            </w:tcBorders>
            <w:noWrap w:val="0"/>
            <w:vAlign w:val="center"/>
          </w:tcPr>
          <w:p w14:paraId="62A62B6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w:t>
            </w:r>
          </w:p>
        </w:tc>
        <w:tc>
          <w:tcPr>
            <w:tcW w:w="2570" w:type="dxa"/>
            <w:tcBorders>
              <w:top w:val="nil"/>
              <w:left w:val="nil"/>
              <w:bottom w:val="single" w:color="000000" w:sz="8" w:space="0"/>
              <w:right w:val="single" w:color="000000" w:sz="8" w:space="0"/>
              <w:tl2br w:val="nil"/>
              <w:tr2bl w:val="nil"/>
            </w:tcBorders>
            <w:noWrap w:val="0"/>
            <w:vAlign w:val="center"/>
          </w:tcPr>
          <w:p w14:paraId="41F3843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71</w:t>
            </w:r>
          </w:p>
        </w:tc>
      </w:tr>
      <w:tr w14:paraId="11520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65C285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01957E9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tcBorders>
              <w:top w:val="nil"/>
              <w:left w:val="nil"/>
              <w:bottom w:val="single" w:color="000000" w:sz="8" w:space="0"/>
              <w:right w:val="single" w:color="000000" w:sz="8" w:space="0"/>
              <w:tl2br w:val="nil"/>
              <w:tr2bl w:val="nil"/>
            </w:tcBorders>
            <w:noWrap w:val="0"/>
            <w:vAlign w:val="center"/>
          </w:tcPr>
          <w:p w14:paraId="279FF46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质量指标</w:t>
            </w:r>
          </w:p>
        </w:tc>
        <w:tc>
          <w:tcPr>
            <w:tcW w:w="1816" w:type="dxa"/>
            <w:tcBorders>
              <w:top w:val="nil"/>
              <w:left w:val="nil"/>
              <w:bottom w:val="single" w:color="000000" w:sz="8" w:space="0"/>
              <w:right w:val="single" w:color="000000" w:sz="8" w:space="0"/>
              <w:tl2br w:val="nil"/>
              <w:tr2bl w:val="nil"/>
            </w:tcBorders>
            <w:noWrap w:val="0"/>
            <w:vAlign w:val="center"/>
          </w:tcPr>
          <w:p w14:paraId="287D3DC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各项任务目标完成率</w:t>
            </w:r>
          </w:p>
        </w:tc>
        <w:tc>
          <w:tcPr>
            <w:tcW w:w="776" w:type="dxa"/>
            <w:tcBorders>
              <w:top w:val="nil"/>
              <w:left w:val="nil"/>
              <w:bottom w:val="single" w:color="000000" w:sz="8" w:space="0"/>
              <w:right w:val="single" w:color="000000" w:sz="8" w:space="0"/>
              <w:tl2br w:val="nil"/>
              <w:tr2bl w:val="nil"/>
            </w:tcBorders>
            <w:noWrap w:val="0"/>
            <w:vAlign w:val="center"/>
          </w:tcPr>
          <w:p w14:paraId="15AA39E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54D7E30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100</w:t>
            </w:r>
          </w:p>
        </w:tc>
        <w:tc>
          <w:tcPr>
            <w:tcW w:w="776" w:type="dxa"/>
            <w:tcBorders>
              <w:top w:val="nil"/>
              <w:left w:val="nil"/>
              <w:bottom w:val="single" w:color="000000" w:sz="8" w:space="0"/>
              <w:right w:val="single" w:color="000000" w:sz="8" w:space="0"/>
              <w:tl2br w:val="nil"/>
              <w:tr2bl w:val="nil"/>
            </w:tcBorders>
            <w:noWrap w:val="0"/>
            <w:vAlign w:val="center"/>
          </w:tcPr>
          <w:p w14:paraId="6C811F3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550" w:type="dxa"/>
            <w:tcBorders>
              <w:top w:val="nil"/>
              <w:left w:val="nil"/>
              <w:bottom w:val="single" w:color="000000" w:sz="8" w:space="0"/>
              <w:right w:val="single" w:color="000000" w:sz="8" w:space="0"/>
              <w:tl2br w:val="nil"/>
              <w:tr2bl w:val="nil"/>
            </w:tcBorders>
            <w:noWrap w:val="0"/>
            <w:vAlign w:val="center"/>
          </w:tcPr>
          <w:p w14:paraId="149B32C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327A9A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100</w:t>
            </w:r>
          </w:p>
        </w:tc>
      </w:tr>
      <w:tr w14:paraId="2E23E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717478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7C18871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tcBorders>
              <w:top w:val="nil"/>
              <w:left w:val="nil"/>
              <w:bottom w:val="single" w:color="000000" w:sz="8" w:space="0"/>
              <w:right w:val="single" w:color="000000" w:sz="8" w:space="0"/>
              <w:tl2br w:val="nil"/>
              <w:tr2bl w:val="nil"/>
            </w:tcBorders>
            <w:noWrap w:val="0"/>
            <w:vAlign w:val="center"/>
          </w:tcPr>
          <w:p w14:paraId="5269FB8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时效指标</w:t>
            </w:r>
          </w:p>
        </w:tc>
        <w:tc>
          <w:tcPr>
            <w:tcW w:w="1816" w:type="dxa"/>
            <w:tcBorders>
              <w:top w:val="nil"/>
              <w:left w:val="nil"/>
              <w:bottom w:val="single" w:color="000000" w:sz="8" w:space="0"/>
              <w:right w:val="single" w:color="000000" w:sz="8" w:space="0"/>
              <w:tl2br w:val="nil"/>
              <w:tr2bl w:val="nil"/>
            </w:tcBorders>
            <w:noWrap w:val="0"/>
            <w:vAlign w:val="center"/>
          </w:tcPr>
          <w:p w14:paraId="19AA9FE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各项任务目标完成时间</w:t>
            </w:r>
          </w:p>
        </w:tc>
        <w:tc>
          <w:tcPr>
            <w:tcW w:w="776" w:type="dxa"/>
            <w:tcBorders>
              <w:top w:val="nil"/>
              <w:left w:val="nil"/>
              <w:bottom w:val="single" w:color="000000" w:sz="8" w:space="0"/>
              <w:right w:val="single" w:color="000000" w:sz="8" w:space="0"/>
              <w:tl2br w:val="nil"/>
              <w:tr2bl w:val="nil"/>
            </w:tcBorders>
            <w:noWrap w:val="0"/>
            <w:vAlign w:val="center"/>
          </w:tcPr>
          <w:p w14:paraId="261C149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7672DEE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w:t>
            </w:r>
          </w:p>
        </w:tc>
        <w:tc>
          <w:tcPr>
            <w:tcW w:w="776" w:type="dxa"/>
            <w:tcBorders>
              <w:top w:val="nil"/>
              <w:left w:val="nil"/>
              <w:bottom w:val="single" w:color="000000" w:sz="8" w:space="0"/>
              <w:right w:val="single" w:color="000000" w:sz="8" w:space="0"/>
              <w:tl2br w:val="nil"/>
              <w:tr2bl w:val="nil"/>
            </w:tcBorders>
            <w:noWrap w:val="0"/>
            <w:vAlign w:val="center"/>
          </w:tcPr>
          <w:p w14:paraId="2CB8EA3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年</w:t>
            </w:r>
          </w:p>
        </w:tc>
        <w:tc>
          <w:tcPr>
            <w:tcW w:w="550" w:type="dxa"/>
            <w:tcBorders>
              <w:top w:val="nil"/>
              <w:left w:val="nil"/>
              <w:bottom w:val="single" w:color="000000" w:sz="8" w:space="0"/>
              <w:right w:val="single" w:color="000000" w:sz="8" w:space="0"/>
              <w:tl2br w:val="nil"/>
              <w:tr2bl w:val="nil"/>
            </w:tcBorders>
            <w:noWrap w:val="0"/>
            <w:vAlign w:val="center"/>
          </w:tcPr>
          <w:p w14:paraId="4DA7051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2CA6E4C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w:t>
            </w:r>
          </w:p>
        </w:tc>
      </w:tr>
      <w:tr w14:paraId="31EFD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3FEEFE9D">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restart"/>
            <w:tcBorders>
              <w:top w:val="nil"/>
              <w:left w:val="nil"/>
              <w:bottom w:val="single" w:color="000000" w:sz="8" w:space="0"/>
              <w:right w:val="single" w:color="000000" w:sz="8" w:space="0"/>
              <w:tl2br w:val="nil"/>
              <w:tr2bl w:val="nil"/>
            </w:tcBorders>
            <w:noWrap w:val="0"/>
            <w:vAlign w:val="center"/>
          </w:tcPr>
          <w:p w14:paraId="178DDB5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成本指标</w:t>
            </w:r>
          </w:p>
        </w:tc>
        <w:tc>
          <w:tcPr>
            <w:tcW w:w="750" w:type="dxa"/>
            <w:vMerge w:val="restart"/>
            <w:tcBorders>
              <w:top w:val="nil"/>
              <w:left w:val="nil"/>
              <w:bottom w:val="single" w:color="000000" w:sz="8" w:space="0"/>
              <w:right w:val="single" w:color="000000" w:sz="8" w:space="0"/>
              <w:tl2br w:val="nil"/>
              <w:tr2bl w:val="nil"/>
            </w:tcBorders>
            <w:noWrap w:val="0"/>
            <w:vAlign w:val="center"/>
          </w:tcPr>
          <w:p w14:paraId="190B3CF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经济成本指标</w:t>
            </w:r>
          </w:p>
        </w:tc>
        <w:tc>
          <w:tcPr>
            <w:tcW w:w="1816" w:type="dxa"/>
            <w:tcBorders>
              <w:top w:val="nil"/>
              <w:left w:val="nil"/>
              <w:bottom w:val="single" w:color="000000" w:sz="8" w:space="0"/>
              <w:right w:val="single" w:color="000000" w:sz="8" w:space="0"/>
              <w:tl2br w:val="nil"/>
              <w:tr2bl w:val="nil"/>
            </w:tcBorders>
            <w:noWrap w:val="0"/>
            <w:vAlign w:val="center"/>
          </w:tcPr>
          <w:p w14:paraId="71673570">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人员类预算控制</w:t>
            </w:r>
          </w:p>
        </w:tc>
        <w:tc>
          <w:tcPr>
            <w:tcW w:w="776" w:type="dxa"/>
            <w:tcBorders>
              <w:top w:val="nil"/>
              <w:left w:val="nil"/>
              <w:bottom w:val="single" w:color="000000" w:sz="8" w:space="0"/>
              <w:right w:val="single" w:color="000000" w:sz="8" w:space="0"/>
              <w:tl2br w:val="nil"/>
              <w:tr2bl w:val="nil"/>
            </w:tcBorders>
            <w:noWrap w:val="0"/>
            <w:vAlign w:val="center"/>
          </w:tcPr>
          <w:p w14:paraId="004C4A2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758659D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15789853.6</w:t>
            </w:r>
          </w:p>
        </w:tc>
        <w:tc>
          <w:tcPr>
            <w:tcW w:w="776" w:type="dxa"/>
            <w:tcBorders>
              <w:top w:val="nil"/>
              <w:left w:val="nil"/>
              <w:bottom w:val="single" w:color="000000" w:sz="8" w:space="0"/>
              <w:right w:val="single" w:color="000000" w:sz="8" w:space="0"/>
              <w:tl2br w:val="nil"/>
              <w:tr2bl w:val="nil"/>
            </w:tcBorders>
            <w:noWrap w:val="0"/>
            <w:vAlign w:val="center"/>
          </w:tcPr>
          <w:p w14:paraId="65B585C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元</w:t>
            </w:r>
          </w:p>
        </w:tc>
        <w:tc>
          <w:tcPr>
            <w:tcW w:w="550" w:type="dxa"/>
            <w:tcBorders>
              <w:top w:val="nil"/>
              <w:left w:val="nil"/>
              <w:bottom w:val="single" w:color="000000" w:sz="8" w:space="0"/>
              <w:right w:val="single" w:color="000000" w:sz="8" w:space="0"/>
              <w:tl2br w:val="nil"/>
              <w:tr2bl w:val="nil"/>
            </w:tcBorders>
            <w:noWrap w:val="0"/>
            <w:vAlign w:val="center"/>
          </w:tcPr>
          <w:p w14:paraId="701DC9FF">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w:t>
            </w:r>
          </w:p>
        </w:tc>
        <w:tc>
          <w:tcPr>
            <w:tcW w:w="2570" w:type="dxa"/>
            <w:tcBorders>
              <w:top w:val="nil"/>
              <w:left w:val="nil"/>
              <w:bottom w:val="single" w:color="000000" w:sz="8" w:space="0"/>
              <w:right w:val="single" w:color="000000" w:sz="8" w:space="0"/>
              <w:tl2br w:val="nil"/>
              <w:tr2bl w:val="nil"/>
            </w:tcBorders>
            <w:noWrap w:val="0"/>
            <w:vAlign w:val="center"/>
          </w:tcPr>
          <w:p w14:paraId="4C6844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12554100.18</w:t>
            </w:r>
          </w:p>
        </w:tc>
      </w:tr>
      <w:tr w14:paraId="3BA41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EAD58AE">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40CD7CCF">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vMerge w:val="continue"/>
            <w:tcBorders>
              <w:top w:val="nil"/>
              <w:left w:val="nil"/>
              <w:bottom w:val="single" w:color="000000" w:sz="8" w:space="0"/>
              <w:right w:val="single" w:color="000000" w:sz="8" w:space="0"/>
              <w:tl2br w:val="nil"/>
              <w:tr2bl w:val="nil"/>
            </w:tcBorders>
            <w:noWrap w:val="0"/>
            <w:vAlign w:val="center"/>
          </w:tcPr>
          <w:p w14:paraId="0CC019E5">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16" w:type="dxa"/>
            <w:tcBorders>
              <w:top w:val="nil"/>
              <w:left w:val="nil"/>
              <w:bottom w:val="single" w:color="000000" w:sz="8" w:space="0"/>
              <w:right w:val="single" w:color="000000" w:sz="8" w:space="0"/>
              <w:tl2br w:val="nil"/>
              <w:tr2bl w:val="nil"/>
            </w:tcBorders>
            <w:noWrap w:val="0"/>
            <w:vAlign w:val="center"/>
          </w:tcPr>
          <w:p w14:paraId="3AB759F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特定目标类预算控制</w:t>
            </w:r>
          </w:p>
        </w:tc>
        <w:tc>
          <w:tcPr>
            <w:tcW w:w="776" w:type="dxa"/>
            <w:tcBorders>
              <w:top w:val="nil"/>
              <w:left w:val="nil"/>
              <w:bottom w:val="single" w:color="000000" w:sz="8" w:space="0"/>
              <w:right w:val="single" w:color="000000" w:sz="8" w:space="0"/>
              <w:tl2br w:val="nil"/>
              <w:tr2bl w:val="nil"/>
            </w:tcBorders>
            <w:noWrap w:val="0"/>
            <w:vAlign w:val="center"/>
          </w:tcPr>
          <w:p w14:paraId="60A3686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37F94CA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1695000</w:t>
            </w:r>
          </w:p>
        </w:tc>
        <w:tc>
          <w:tcPr>
            <w:tcW w:w="776" w:type="dxa"/>
            <w:tcBorders>
              <w:top w:val="nil"/>
              <w:left w:val="nil"/>
              <w:bottom w:val="single" w:color="000000" w:sz="8" w:space="0"/>
              <w:right w:val="single" w:color="000000" w:sz="8" w:space="0"/>
              <w:tl2br w:val="nil"/>
              <w:tr2bl w:val="nil"/>
            </w:tcBorders>
            <w:noWrap w:val="0"/>
            <w:vAlign w:val="center"/>
          </w:tcPr>
          <w:p w14:paraId="305003A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元</w:t>
            </w:r>
          </w:p>
        </w:tc>
        <w:tc>
          <w:tcPr>
            <w:tcW w:w="550" w:type="dxa"/>
            <w:tcBorders>
              <w:top w:val="nil"/>
              <w:left w:val="nil"/>
              <w:bottom w:val="single" w:color="000000" w:sz="8" w:space="0"/>
              <w:right w:val="single" w:color="000000" w:sz="8" w:space="0"/>
              <w:tl2br w:val="nil"/>
              <w:tr2bl w:val="nil"/>
            </w:tcBorders>
            <w:noWrap w:val="0"/>
            <w:vAlign w:val="center"/>
          </w:tcPr>
          <w:p w14:paraId="5DABCF98">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7AD4CF05">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0</w:t>
            </w:r>
          </w:p>
        </w:tc>
      </w:tr>
      <w:tr w14:paraId="1B821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9DFAB9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6487A1F3">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vMerge w:val="continue"/>
            <w:tcBorders>
              <w:top w:val="nil"/>
              <w:left w:val="nil"/>
              <w:bottom w:val="single" w:color="000000" w:sz="8" w:space="0"/>
              <w:right w:val="single" w:color="000000" w:sz="8" w:space="0"/>
              <w:tl2br w:val="nil"/>
              <w:tr2bl w:val="nil"/>
            </w:tcBorders>
            <w:noWrap w:val="0"/>
            <w:vAlign w:val="center"/>
          </w:tcPr>
          <w:p w14:paraId="4F67DC2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1816" w:type="dxa"/>
            <w:tcBorders>
              <w:top w:val="nil"/>
              <w:left w:val="nil"/>
              <w:bottom w:val="single" w:color="000000" w:sz="8" w:space="0"/>
              <w:right w:val="single" w:color="000000" w:sz="8" w:space="0"/>
              <w:tl2br w:val="nil"/>
              <w:tr2bl w:val="nil"/>
            </w:tcBorders>
            <w:noWrap w:val="0"/>
            <w:vAlign w:val="center"/>
          </w:tcPr>
          <w:p w14:paraId="2256345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运转类预算控制</w:t>
            </w:r>
          </w:p>
        </w:tc>
        <w:tc>
          <w:tcPr>
            <w:tcW w:w="776" w:type="dxa"/>
            <w:tcBorders>
              <w:top w:val="nil"/>
              <w:left w:val="nil"/>
              <w:bottom w:val="single" w:color="000000" w:sz="8" w:space="0"/>
              <w:right w:val="single" w:color="000000" w:sz="8" w:space="0"/>
              <w:tl2br w:val="nil"/>
              <w:tr2bl w:val="nil"/>
            </w:tcBorders>
            <w:noWrap w:val="0"/>
            <w:vAlign w:val="center"/>
          </w:tcPr>
          <w:p w14:paraId="0582F8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6D8DAC1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7038818</w:t>
            </w:r>
          </w:p>
        </w:tc>
        <w:tc>
          <w:tcPr>
            <w:tcW w:w="776" w:type="dxa"/>
            <w:tcBorders>
              <w:top w:val="nil"/>
              <w:left w:val="nil"/>
              <w:bottom w:val="single" w:color="000000" w:sz="8" w:space="0"/>
              <w:right w:val="single" w:color="000000" w:sz="8" w:space="0"/>
              <w:tl2br w:val="nil"/>
              <w:tr2bl w:val="nil"/>
            </w:tcBorders>
            <w:noWrap w:val="0"/>
            <w:vAlign w:val="center"/>
          </w:tcPr>
          <w:p w14:paraId="3CF83B2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元</w:t>
            </w:r>
          </w:p>
        </w:tc>
        <w:tc>
          <w:tcPr>
            <w:tcW w:w="550" w:type="dxa"/>
            <w:tcBorders>
              <w:top w:val="nil"/>
              <w:left w:val="nil"/>
              <w:bottom w:val="single" w:color="000000" w:sz="8" w:space="0"/>
              <w:right w:val="single" w:color="000000" w:sz="8" w:space="0"/>
              <w:tl2br w:val="nil"/>
              <w:tr2bl w:val="nil"/>
            </w:tcBorders>
            <w:noWrap w:val="0"/>
            <w:vAlign w:val="center"/>
          </w:tcPr>
          <w:p w14:paraId="76E6847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20184EE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6852318</w:t>
            </w:r>
          </w:p>
        </w:tc>
      </w:tr>
      <w:tr w14:paraId="6352B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3827274">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restart"/>
            <w:tcBorders>
              <w:top w:val="nil"/>
              <w:left w:val="nil"/>
              <w:bottom w:val="single" w:color="000000" w:sz="8" w:space="0"/>
              <w:right w:val="single" w:color="000000" w:sz="8" w:space="0"/>
              <w:tl2br w:val="nil"/>
              <w:tr2bl w:val="nil"/>
            </w:tcBorders>
            <w:noWrap w:val="0"/>
            <w:vAlign w:val="center"/>
          </w:tcPr>
          <w:p w14:paraId="573CCF2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效益指标</w:t>
            </w:r>
          </w:p>
        </w:tc>
        <w:tc>
          <w:tcPr>
            <w:tcW w:w="750" w:type="dxa"/>
            <w:tcBorders>
              <w:top w:val="nil"/>
              <w:left w:val="nil"/>
              <w:bottom w:val="single" w:color="000000" w:sz="8" w:space="0"/>
              <w:right w:val="single" w:color="000000" w:sz="8" w:space="0"/>
              <w:tl2br w:val="nil"/>
              <w:tr2bl w:val="nil"/>
            </w:tcBorders>
            <w:noWrap w:val="0"/>
            <w:vAlign w:val="center"/>
          </w:tcPr>
          <w:p w14:paraId="0CB6BDF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经济效益指标</w:t>
            </w:r>
          </w:p>
        </w:tc>
        <w:tc>
          <w:tcPr>
            <w:tcW w:w="1816" w:type="dxa"/>
            <w:tcBorders>
              <w:top w:val="nil"/>
              <w:left w:val="nil"/>
              <w:bottom w:val="single" w:color="000000" w:sz="8" w:space="0"/>
              <w:right w:val="single" w:color="000000" w:sz="8" w:space="0"/>
              <w:tl2br w:val="nil"/>
              <w:tr2bl w:val="nil"/>
            </w:tcBorders>
            <w:noWrap w:val="0"/>
            <w:vAlign w:val="center"/>
          </w:tcPr>
          <w:p w14:paraId="25ECD40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烟农人均年增收</w:t>
            </w:r>
          </w:p>
        </w:tc>
        <w:tc>
          <w:tcPr>
            <w:tcW w:w="776" w:type="dxa"/>
            <w:tcBorders>
              <w:top w:val="nil"/>
              <w:left w:val="nil"/>
              <w:bottom w:val="single" w:color="000000" w:sz="8" w:space="0"/>
              <w:right w:val="single" w:color="000000" w:sz="8" w:space="0"/>
              <w:tl2br w:val="nil"/>
              <w:tr2bl w:val="nil"/>
            </w:tcBorders>
            <w:noWrap w:val="0"/>
            <w:vAlign w:val="center"/>
          </w:tcPr>
          <w:p w14:paraId="64F4D759">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31C3B3FD">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3000</w:t>
            </w:r>
          </w:p>
        </w:tc>
        <w:tc>
          <w:tcPr>
            <w:tcW w:w="776" w:type="dxa"/>
            <w:tcBorders>
              <w:top w:val="nil"/>
              <w:left w:val="nil"/>
              <w:bottom w:val="single" w:color="000000" w:sz="8" w:space="0"/>
              <w:right w:val="single" w:color="000000" w:sz="8" w:space="0"/>
              <w:tl2br w:val="nil"/>
              <w:tr2bl w:val="nil"/>
            </w:tcBorders>
            <w:noWrap w:val="0"/>
            <w:vAlign w:val="center"/>
          </w:tcPr>
          <w:p w14:paraId="7C852A1E">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元/人年</w:t>
            </w:r>
          </w:p>
        </w:tc>
        <w:tc>
          <w:tcPr>
            <w:tcW w:w="550" w:type="dxa"/>
            <w:tcBorders>
              <w:top w:val="nil"/>
              <w:left w:val="nil"/>
              <w:bottom w:val="single" w:color="000000" w:sz="8" w:space="0"/>
              <w:right w:val="single" w:color="000000" w:sz="8" w:space="0"/>
              <w:tl2br w:val="nil"/>
              <w:tr2bl w:val="nil"/>
            </w:tcBorders>
            <w:noWrap w:val="0"/>
            <w:vAlign w:val="center"/>
          </w:tcPr>
          <w:p w14:paraId="0E80CC72">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15</w:t>
            </w:r>
          </w:p>
        </w:tc>
        <w:tc>
          <w:tcPr>
            <w:tcW w:w="2570" w:type="dxa"/>
            <w:tcBorders>
              <w:top w:val="nil"/>
              <w:left w:val="nil"/>
              <w:bottom w:val="single" w:color="000000" w:sz="8" w:space="0"/>
              <w:right w:val="single" w:color="000000" w:sz="8" w:space="0"/>
              <w:tl2br w:val="nil"/>
              <w:tr2bl w:val="nil"/>
            </w:tcBorders>
            <w:noWrap w:val="0"/>
            <w:vAlign w:val="center"/>
          </w:tcPr>
          <w:p w14:paraId="050EEFF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3000</w:t>
            </w:r>
          </w:p>
        </w:tc>
      </w:tr>
      <w:tr w14:paraId="21F1D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B89AD3B">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vMerge w:val="continue"/>
            <w:tcBorders>
              <w:top w:val="nil"/>
              <w:left w:val="nil"/>
              <w:bottom w:val="single" w:color="000000" w:sz="8" w:space="0"/>
              <w:right w:val="single" w:color="000000" w:sz="8" w:space="0"/>
              <w:tl2br w:val="nil"/>
              <w:tr2bl w:val="nil"/>
            </w:tcBorders>
            <w:noWrap w:val="0"/>
            <w:vAlign w:val="center"/>
          </w:tcPr>
          <w:p w14:paraId="767B23A1">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50" w:type="dxa"/>
            <w:tcBorders>
              <w:top w:val="nil"/>
              <w:left w:val="nil"/>
              <w:bottom w:val="single" w:color="000000" w:sz="8" w:space="0"/>
              <w:right w:val="single" w:color="000000" w:sz="8" w:space="0"/>
              <w:tl2br w:val="nil"/>
              <w:tr2bl w:val="nil"/>
            </w:tcBorders>
            <w:noWrap w:val="0"/>
            <w:vAlign w:val="center"/>
          </w:tcPr>
          <w:p w14:paraId="165F43C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社会效益指标</w:t>
            </w:r>
          </w:p>
        </w:tc>
        <w:tc>
          <w:tcPr>
            <w:tcW w:w="1816" w:type="dxa"/>
            <w:tcBorders>
              <w:top w:val="nil"/>
              <w:left w:val="nil"/>
              <w:bottom w:val="single" w:color="000000" w:sz="8" w:space="0"/>
              <w:right w:val="single" w:color="000000" w:sz="8" w:space="0"/>
              <w:tl2br w:val="nil"/>
              <w:tr2bl w:val="nil"/>
            </w:tcBorders>
            <w:noWrap w:val="0"/>
            <w:vAlign w:val="center"/>
          </w:tcPr>
          <w:p w14:paraId="3467201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改善村居环境，提升群众生产生活质量。</w:t>
            </w:r>
          </w:p>
        </w:tc>
        <w:tc>
          <w:tcPr>
            <w:tcW w:w="776" w:type="dxa"/>
            <w:tcBorders>
              <w:top w:val="nil"/>
              <w:left w:val="nil"/>
              <w:bottom w:val="single" w:color="000000" w:sz="8" w:space="0"/>
              <w:right w:val="single" w:color="000000" w:sz="8" w:space="0"/>
              <w:tl2br w:val="nil"/>
              <w:tr2bl w:val="nil"/>
            </w:tcBorders>
            <w:noWrap w:val="0"/>
            <w:vAlign w:val="center"/>
          </w:tcPr>
          <w:p w14:paraId="4838CB83">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定性</w:t>
            </w:r>
          </w:p>
        </w:tc>
        <w:tc>
          <w:tcPr>
            <w:tcW w:w="1441" w:type="dxa"/>
            <w:tcBorders>
              <w:top w:val="nil"/>
              <w:left w:val="nil"/>
              <w:bottom w:val="single" w:color="000000" w:sz="8" w:space="0"/>
              <w:right w:val="single" w:color="000000" w:sz="8" w:space="0"/>
              <w:tl2br w:val="nil"/>
              <w:tr2bl w:val="nil"/>
            </w:tcBorders>
            <w:noWrap w:val="0"/>
            <w:vAlign w:val="center"/>
          </w:tcPr>
          <w:p w14:paraId="6ACF7D9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优</w:t>
            </w:r>
          </w:p>
        </w:tc>
        <w:tc>
          <w:tcPr>
            <w:tcW w:w="776" w:type="dxa"/>
            <w:tcBorders>
              <w:top w:val="nil"/>
              <w:left w:val="nil"/>
              <w:bottom w:val="single" w:color="000000" w:sz="8" w:space="0"/>
              <w:right w:val="single" w:color="000000" w:sz="8" w:space="0"/>
              <w:tl2br w:val="nil"/>
              <w:tr2bl w:val="nil"/>
            </w:tcBorders>
            <w:noWrap w:val="0"/>
            <w:vAlign w:val="center"/>
          </w:tcPr>
          <w:p w14:paraId="6518B4B7">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550" w:type="dxa"/>
            <w:tcBorders>
              <w:top w:val="nil"/>
              <w:left w:val="nil"/>
              <w:bottom w:val="single" w:color="000000" w:sz="8" w:space="0"/>
              <w:right w:val="single" w:color="000000" w:sz="8" w:space="0"/>
              <w:tl2br w:val="nil"/>
              <w:tr2bl w:val="nil"/>
            </w:tcBorders>
            <w:noWrap w:val="0"/>
            <w:vAlign w:val="center"/>
          </w:tcPr>
          <w:p w14:paraId="7211319C">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0"/>
            <w:vAlign w:val="center"/>
          </w:tcPr>
          <w:p w14:paraId="6793FC84">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优</w:t>
            </w:r>
          </w:p>
        </w:tc>
      </w:tr>
      <w:tr w14:paraId="522DF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jc w:val="center"/>
        </w:trPr>
        <w:tc>
          <w:tcPr>
            <w:tcW w:w="1015"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F33277A">
            <w:pPr>
              <w:keepNext w:val="0"/>
              <w:keepLines w:val="0"/>
              <w:pageBreakBefore w:val="0"/>
              <w:kinsoku/>
              <w:wordWrap/>
              <w:overflowPunct/>
              <w:topLinePunct w:val="0"/>
              <w:autoSpaceDE w:val="0"/>
              <w:autoSpaceDN w:val="0"/>
              <w:bidi w:val="0"/>
              <w:adjustRightInd w:val="0"/>
              <w:snapToGrid/>
              <w:spacing w:beforeLines="0" w:afterLines="0" w:line="260" w:lineRule="exact"/>
              <w:ind w:firstLine="0" w:firstLineChars="0"/>
              <w:jc w:val="center"/>
              <w:rPr>
                <w:rFonts w:hint="eastAsia" w:ascii="宋体" w:hAnsi="宋体" w:eastAsia="宋体" w:cs="宋体"/>
                <w:color w:val="000000"/>
                <w:sz w:val="20"/>
                <w:szCs w:val="20"/>
              </w:rPr>
            </w:pPr>
          </w:p>
        </w:tc>
        <w:tc>
          <w:tcPr>
            <w:tcW w:w="716" w:type="dxa"/>
            <w:tcBorders>
              <w:top w:val="nil"/>
              <w:left w:val="nil"/>
              <w:bottom w:val="single" w:color="000000" w:sz="8" w:space="0"/>
              <w:right w:val="single" w:color="000000" w:sz="8" w:space="0"/>
              <w:tl2br w:val="nil"/>
              <w:tr2bl w:val="nil"/>
            </w:tcBorders>
            <w:noWrap w:val="0"/>
            <w:vAlign w:val="center"/>
          </w:tcPr>
          <w:p w14:paraId="4092860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满意度指标</w:t>
            </w:r>
          </w:p>
        </w:tc>
        <w:tc>
          <w:tcPr>
            <w:tcW w:w="750" w:type="dxa"/>
            <w:tcBorders>
              <w:top w:val="nil"/>
              <w:left w:val="nil"/>
              <w:bottom w:val="single" w:color="000000" w:sz="8" w:space="0"/>
              <w:right w:val="single" w:color="000000" w:sz="8" w:space="0"/>
              <w:tl2br w:val="nil"/>
              <w:tr2bl w:val="nil"/>
            </w:tcBorders>
            <w:noWrap w:val="0"/>
            <w:vAlign w:val="center"/>
          </w:tcPr>
          <w:p w14:paraId="5135FB4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满意度指标</w:t>
            </w:r>
          </w:p>
        </w:tc>
        <w:tc>
          <w:tcPr>
            <w:tcW w:w="1816" w:type="dxa"/>
            <w:tcBorders>
              <w:top w:val="nil"/>
              <w:left w:val="nil"/>
              <w:bottom w:val="single" w:color="000000" w:sz="8" w:space="0"/>
              <w:right w:val="single" w:color="000000" w:sz="8" w:space="0"/>
              <w:tl2br w:val="nil"/>
              <w:tr2bl w:val="nil"/>
            </w:tcBorders>
            <w:noWrap w:val="0"/>
            <w:vAlign w:val="center"/>
          </w:tcPr>
          <w:p w14:paraId="319DEA26">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受益对象满意度</w:t>
            </w:r>
          </w:p>
        </w:tc>
        <w:tc>
          <w:tcPr>
            <w:tcW w:w="776" w:type="dxa"/>
            <w:tcBorders>
              <w:top w:val="nil"/>
              <w:left w:val="nil"/>
              <w:bottom w:val="single" w:color="000000" w:sz="8" w:space="0"/>
              <w:right w:val="single" w:color="000000" w:sz="8" w:space="0"/>
              <w:tl2br w:val="nil"/>
              <w:tr2bl w:val="nil"/>
            </w:tcBorders>
            <w:noWrap w:val="0"/>
            <w:vAlign w:val="center"/>
          </w:tcPr>
          <w:p w14:paraId="62DD5AD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1441" w:type="dxa"/>
            <w:tcBorders>
              <w:top w:val="nil"/>
              <w:left w:val="nil"/>
              <w:bottom w:val="single" w:color="000000" w:sz="8" w:space="0"/>
              <w:right w:val="single" w:color="000000" w:sz="8" w:space="0"/>
              <w:tl2br w:val="nil"/>
              <w:tr2bl w:val="nil"/>
            </w:tcBorders>
            <w:noWrap w:val="0"/>
            <w:vAlign w:val="center"/>
          </w:tcPr>
          <w:p w14:paraId="1C0E34AB">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96</w:t>
            </w:r>
          </w:p>
        </w:tc>
        <w:tc>
          <w:tcPr>
            <w:tcW w:w="776" w:type="dxa"/>
            <w:tcBorders>
              <w:top w:val="nil"/>
              <w:left w:val="nil"/>
              <w:bottom w:val="single" w:color="000000" w:sz="8" w:space="0"/>
              <w:right w:val="single" w:color="000000" w:sz="8" w:space="0"/>
              <w:tl2br w:val="nil"/>
              <w:tr2bl w:val="nil"/>
            </w:tcBorders>
            <w:noWrap w:val="0"/>
            <w:vAlign w:val="center"/>
          </w:tcPr>
          <w:p w14:paraId="05FD8ED1">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w:t>
            </w:r>
          </w:p>
        </w:tc>
        <w:tc>
          <w:tcPr>
            <w:tcW w:w="550" w:type="dxa"/>
            <w:tcBorders>
              <w:top w:val="nil"/>
              <w:left w:val="nil"/>
              <w:bottom w:val="single" w:color="000000" w:sz="8" w:space="0"/>
              <w:right w:val="single" w:color="000000" w:sz="8" w:space="0"/>
              <w:tl2br w:val="nil"/>
              <w:tr2bl w:val="nil"/>
            </w:tcBorders>
            <w:noWrap w:val="0"/>
            <w:vAlign w:val="center"/>
          </w:tcPr>
          <w:p w14:paraId="74658277">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5</w:t>
            </w:r>
          </w:p>
        </w:tc>
        <w:tc>
          <w:tcPr>
            <w:tcW w:w="2570" w:type="dxa"/>
            <w:tcBorders>
              <w:top w:val="nil"/>
              <w:left w:val="nil"/>
              <w:bottom w:val="single" w:color="000000" w:sz="8" w:space="0"/>
              <w:right w:val="single" w:color="000000" w:sz="8" w:space="0"/>
              <w:tl2br w:val="nil"/>
              <w:tr2bl w:val="nil"/>
            </w:tcBorders>
            <w:noWrap/>
            <w:vAlign w:val="center"/>
          </w:tcPr>
          <w:p w14:paraId="2F6FFE0A">
            <w:pPr>
              <w:keepNext w:val="0"/>
              <w:keepLines w:val="0"/>
              <w:pageBreakBefore w:val="0"/>
              <w:widowControl/>
              <w:kinsoku/>
              <w:wordWrap/>
              <w:overflowPunct/>
              <w:topLinePunct w:val="0"/>
              <w:autoSpaceDE w:val="0"/>
              <w:autoSpaceDN w:val="0"/>
              <w:bidi w:val="0"/>
              <w:adjustRightInd w:val="0"/>
              <w:snapToGrid/>
              <w:spacing w:beforeLines="0" w:afterLines="0" w:line="260" w:lineRule="exact"/>
              <w:ind w:firstLine="0" w:firstLineChars="0"/>
              <w:jc w:val="center"/>
              <w:textAlignment w:val="center"/>
              <w:rPr>
                <w:rFonts w:hint="eastAsia" w:ascii="宋体" w:hAnsi="宋体" w:eastAsia="宋体" w:cs="宋体"/>
                <w:color w:val="000000"/>
                <w:sz w:val="20"/>
                <w:szCs w:val="20"/>
              </w:rPr>
            </w:pPr>
            <w:r>
              <w:rPr>
                <w:rFonts w:hint="eastAsia" w:ascii="宋体" w:hAnsi="宋体" w:eastAsia="宋体" w:cs="宋体"/>
                <w:color w:val="000000"/>
                <w:sz w:val="20"/>
                <w:szCs w:val="20"/>
                <w:lang w:bidi="ar"/>
              </w:rPr>
              <w:t>100</w:t>
            </w:r>
          </w:p>
        </w:tc>
      </w:tr>
    </w:tbl>
    <w:p w14:paraId="4FD563DB">
      <w:pPr>
        <w:spacing w:before="18" w:beforeLines="0" w:afterLines="0" w:line="217" w:lineRule="auto"/>
        <w:rPr>
          <w:rFonts w:hint="eastAsia" w:hAnsi="宋体" w:eastAsia="仿宋_GB2312" w:cs="宋体"/>
          <w:kern w:val="21"/>
          <w:sz w:val="16"/>
          <w:szCs w:val="16"/>
          <w:lang w:eastAsia="zh-CN"/>
        </w:rPr>
      </w:pPr>
    </w:p>
    <w:p w14:paraId="2B1DE7E4">
      <w:pPr>
        <w:spacing w:before="18" w:beforeLines="0" w:afterLines="0" w:line="217" w:lineRule="auto"/>
        <w:rPr>
          <w:rFonts w:hint="eastAsia" w:hAnsi="宋体" w:eastAsia="仿宋_GB2312" w:cs="宋体"/>
          <w:kern w:val="21"/>
          <w:sz w:val="16"/>
          <w:szCs w:val="16"/>
          <w:lang w:eastAsia="zh-CN"/>
        </w:rPr>
      </w:pPr>
    </w:p>
    <w:p w14:paraId="747C61D6">
      <w:pPr>
        <w:spacing w:beforeLines="0" w:afterLines="0"/>
        <w:rPr>
          <w:rFonts w:hint="default"/>
          <w:kern w:val="21"/>
          <w:sz w:val="24"/>
          <w:szCs w:val="24"/>
        </w:rPr>
        <w:sectPr>
          <w:pgSz w:w="11906" w:h="16838"/>
          <w:pgMar w:top="2098" w:right="1474" w:bottom="1984" w:left="1587" w:header="851" w:footer="992" w:gutter="0"/>
          <w:lnNumType w:countBy="0" w:distance="360"/>
          <w:pgNumType w:fmt="decimal"/>
          <w:cols w:space="720" w:num="1"/>
          <w:docGrid w:type="lines" w:linePitch="312" w:charSpace="0"/>
        </w:sectPr>
      </w:pPr>
    </w:p>
    <w:p w14:paraId="7219B9C8">
      <w:pPr>
        <w:pStyle w:val="2"/>
        <w:bidi w:val="0"/>
        <w:rPr>
          <w:rFonts w:hint="eastAsia"/>
        </w:rPr>
      </w:pPr>
      <w:bookmarkStart w:id="27" w:name="_Toc30852"/>
      <w:r>
        <w:rPr>
          <w:rFonts w:hint="eastAsia"/>
        </w:rPr>
        <w:t>第五部分</w:t>
      </w:r>
      <w:r>
        <w:rPr>
          <w:rFonts w:hint="eastAsia"/>
          <w:lang w:val="en-US" w:eastAsia="zh-CN"/>
        </w:rPr>
        <w:t xml:space="preserve">  </w:t>
      </w:r>
      <w:r>
        <w:rPr>
          <w:rFonts w:hint="eastAsia"/>
        </w:rPr>
        <w:t>附表</w:t>
      </w:r>
      <w:bookmarkEnd w:id="27"/>
    </w:p>
    <w:p w14:paraId="50038E73">
      <w:pPr>
        <w:bidi w:val="0"/>
        <w:rPr>
          <w:rFonts w:hint="eastAsia"/>
        </w:rPr>
      </w:pPr>
    </w:p>
    <w:p w14:paraId="0E8D170B">
      <w:pPr>
        <w:pStyle w:val="3"/>
        <w:bidi w:val="0"/>
        <w:rPr>
          <w:rFonts w:hint="eastAsia" w:ascii="仿宋_GB2312" w:hAnsi="仿宋_GB2312" w:eastAsia="仿宋_GB2312" w:cs="仿宋_GB2312"/>
        </w:rPr>
      </w:pPr>
      <w:bookmarkStart w:id="28" w:name="_Toc30182"/>
      <w:r>
        <w:rPr>
          <w:rFonts w:hint="eastAsia" w:ascii="仿宋_GB2312" w:hAnsi="仿宋_GB2312" w:eastAsia="仿宋_GB2312" w:cs="仿宋_GB2312"/>
        </w:rPr>
        <w:t>一、收入支出决算总表</w:t>
      </w:r>
      <w:bookmarkEnd w:id="28"/>
    </w:p>
    <w:p w14:paraId="5255D59E">
      <w:pPr>
        <w:pStyle w:val="3"/>
        <w:bidi w:val="0"/>
        <w:rPr>
          <w:rFonts w:hint="eastAsia" w:ascii="仿宋_GB2312" w:hAnsi="仿宋_GB2312" w:eastAsia="仿宋_GB2312" w:cs="仿宋_GB2312"/>
        </w:rPr>
      </w:pPr>
      <w:bookmarkStart w:id="29" w:name="_Toc2878"/>
      <w:r>
        <w:rPr>
          <w:rFonts w:hint="eastAsia" w:ascii="仿宋_GB2312" w:hAnsi="仿宋_GB2312" w:eastAsia="仿宋_GB2312" w:cs="仿宋_GB2312"/>
        </w:rPr>
        <w:t>二、收入决算表</w:t>
      </w:r>
      <w:bookmarkEnd w:id="29"/>
    </w:p>
    <w:p w14:paraId="71CCF0CB">
      <w:pPr>
        <w:pStyle w:val="3"/>
        <w:bidi w:val="0"/>
        <w:rPr>
          <w:rFonts w:hint="eastAsia" w:ascii="仿宋_GB2312" w:hAnsi="仿宋_GB2312" w:eastAsia="仿宋_GB2312" w:cs="仿宋_GB2312"/>
        </w:rPr>
      </w:pPr>
      <w:bookmarkStart w:id="30" w:name="_Toc23534"/>
      <w:r>
        <w:rPr>
          <w:rFonts w:hint="eastAsia" w:ascii="仿宋_GB2312" w:hAnsi="仿宋_GB2312" w:eastAsia="仿宋_GB2312" w:cs="仿宋_GB2312"/>
        </w:rPr>
        <w:t>三、支出决算表</w:t>
      </w:r>
      <w:bookmarkEnd w:id="30"/>
    </w:p>
    <w:p w14:paraId="46980853">
      <w:pPr>
        <w:pStyle w:val="3"/>
        <w:bidi w:val="0"/>
        <w:rPr>
          <w:rFonts w:hint="eastAsia" w:ascii="仿宋_GB2312" w:hAnsi="仿宋_GB2312" w:eastAsia="仿宋_GB2312" w:cs="仿宋_GB2312"/>
        </w:rPr>
      </w:pPr>
      <w:bookmarkStart w:id="31" w:name="_Toc19488"/>
      <w:r>
        <w:rPr>
          <w:rFonts w:hint="eastAsia" w:ascii="仿宋_GB2312" w:hAnsi="仿宋_GB2312" w:eastAsia="仿宋_GB2312" w:cs="仿宋_GB2312"/>
        </w:rPr>
        <w:t>四、财政拨款收入支出决算总表</w:t>
      </w:r>
      <w:bookmarkEnd w:id="31"/>
    </w:p>
    <w:p w14:paraId="6A4D4EBA">
      <w:pPr>
        <w:pStyle w:val="3"/>
        <w:bidi w:val="0"/>
        <w:rPr>
          <w:rFonts w:hint="eastAsia" w:ascii="仿宋_GB2312" w:hAnsi="仿宋_GB2312" w:eastAsia="仿宋_GB2312" w:cs="仿宋_GB2312"/>
        </w:rPr>
      </w:pPr>
      <w:bookmarkStart w:id="32" w:name="_Toc22393"/>
      <w:r>
        <w:rPr>
          <w:rFonts w:hint="eastAsia" w:ascii="仿宋_GB2312" w:hAnsi="仿宋_GB2312" w:eastAsia="仿宋_GB2312" w:cs="仿宋_GB2312"/>
        </w:rPr>
        <w:t>五、财政拨款支出决算明细表</w:t>
      </w:r>
      <w:bookmarkEnd w:id="32"/>
    </w:p>
    <w:p w14:paraId="2E799E63">
      <w:pPr>
        <w:pStyle w:val="3"/>
        <w:bidi w:val="0"/>
        <w:rPr>
          <w:rFonts w:hint="eastAsia" w:ascii="仿宋_GB2312" w:hAnsi="仿宋_GB2312" w:eastAsia="仿宋_GB2312" w:cs="仿宋_GB2312"/>
        </w:rPr>
      </w:pPr>
      <w:bookmarkStart w:id="33" w:name="_Toc22933"/>
      <w:r>
        <w:rPr>
          <w:rFonts w:hint="eastAsia" w:ascii="仿宋_GB2312" w:hAnsi="仿宋_GB2312" w:eastAsia="仿宋_GB2312" w:cs="仿宋_GB2312"/>
        </w:rPr>
        <w:t>六、一般公共预算财政拨款支出决算表</w:t>
      </w:r>
      <w:bookmarkEnd w:id="33"/>
    </w:p>
    <w:p w14:paraId="784FB665">
      <w:pPr>
        <w:pStyle w:val="3"/>
        <w:bidi w:val="0"/>
        <w:rPr>
          <w:rFonts w:hint="eastAsia" w:ascii="仿宋_GB2312" w:hAnsi="仿宋_GB2312" w:eastAsia="仿宋_GB2312" w:cs="仿宋_GB2312"/>
        </w:rPr>
      </w:pPr>
      <w:bookmarkStart w:id="34" w:name="_Toc32504"/>
      <w:r>
        <w:rPr>
          <w:rFonts w:hint="eastAsia" w:ascii="仿宋_GB2312" w:hAnsi="仿宋_GB2312" w:eastAsia="仿宋_GB2312" w:cs="仿宋_GB2312"/>
        </w:rPr>
        <w:t>七、一般公共预算财政拨款支出决算明细表</w:t>
      </w:r>
      <w:bookmarkEnd w:id="34"/>
    </w:p>
    <w:p w14:paraId="30773A8A">
      <w:pPr>
        <w:pStyle w:val="3"/>
        <w:bidi w:val="0"/>
        <w:rPr>
          <w:rFonts w:hint="eastAsia" w:ascii="仿宋_GB2312" w:hAnsi="仿宋_GB2312" w:eastAsia="仿宋_GB2312" w:cs="仿宋_GB2312"/>
        </w:rPr>
      </w:pPr>
      <w:bookmarkStart w:id="35" w:name="_Toc793"/>
      <w:r>
        <w:rPr>
          <w:rFonts w:hint="eastAsia" w:ascii="仿宋_GB2312" w:hAnsi="仿宋_GB2312" w:eastAsia="仿宋_GB2312" w:cs="仿宋_GB2312"/>
        </w:rPr>
        <w:t>八、一般公共预算财政拨款基本支出决算表</w:t>
      </w:r>
      <w:bookmarkEnd w:id="35"/>
    </w:p>
    <w:p w14:paraId="360FD646">
      <w:pPr>
        <w:pStyle w:val="3"/>
        <w:bidi w:val="0"/>
        <w:rPr>
          <w:rFonts w:hint="eastAsia" w:ascii="仿宋_GB2312" w:hAnsi="仿宋_GB2312" w:eastAsia="仿宋_GB2312" w:cs="仿宋_GB2312"/>
        </w:rPr>
      </w:pPr>
      <w:bookmarkStart w:id="36" w:name="_Toc29575"/>
      <w:r>
        <w:rPr>
          <w:rFonts w:hint="eastAsia" w:ascii="仿宋_GB2312" w:hAnsi="仿宋_GB2312" w:eastAsia="仿宋_GB2312" w:cs="仿宋_GB2312"/>
        </w:rPr>
        <w:t>九、一般公共预算财政拨款项目支出决算表</w:t>
      </w:r>
      <w:bookmarkEnd w:id="36"/>
    </w:p>
    <w:p w14:paraId="1B5B35E8">
      <w:pPr>
        <w:pStyle w:val="3"/>
        <w:bidi w:val="0"/>
        <w:rPr>
          <w:rFonts w:hint="eastAsia" w:ascii="仿宋_GB2312" w:hAnsi="仿宋_GB2312" w:eastAsia="仿宋_GB2312" w:cs="仿宋_GB2312"/>
        </w:rPr>
      </w:pPr>
      <w:bookmarkStart w:id="37" w:name="_Toc24253"/>
      <w:r>
        <w:rPr>
          <w:rFonts w:hint="eastAsia" w:ascii="仿宋_GB2312" w:hAnsi="仿宋_GB2312" w:eastAsia="仿宋_GB2312" w:cs="仿宋_GB2312"/>
        </w:rPr>
        <w:t>十、政府性基金预算财政拨款收入支出决算表</w:t>
      </w:r>
      <w:bookmarkEnd w:id="37"/>
    </w:p>
    <w:p w14:paraId="215CF58F">
      <w:pPr>
        <w:pStyle w:val="3"/>
        <w:bidi w:val="0"/>
        <w:rPr>
          <w:rFonts w:hint="eastAsia" w:ascii="仿宋_GB2312" w:hAnsi="仿宋_GB2312" w:eastAsia="仿宋_GB2312" w:cs="仿宋_GB2312"/>
        </w:rPr>
      </w:pPr>
      <w:bookmarkStart w:id="38" w:name="_Toc3788"/>
      <w:r>
        <w:rPr>
          <w:rFonts w:hint="eastAsia" w:ascii="仿宋_GB2312" w:hAnsi="仿宋_GB2312" w:eastAsia="仿宋_GB2312" w:cs="仿宋_GB2312"/>
        </w:rPr>
        <w:t>十一、国有资本经营预算财政拨款收入支出决算表</w:t>
      </w:r>
      <w:bookmarkEnd w:id="38"/>
    </w:p>
    <w:p w14:paraId="2DD3837F">
      <w:pPr>
        <w:pStyle w:val="3"/>
        <w:bidi w:val="0"/>
        <w:rPr>
          <w:rFonts w:hint="eastAsia" w:ascii="仿宋_GB2312" w:hAnsi="仿宋_GB2312" w:eastAsia="仿宋_GB2312" w:cs="仿宋_GB2312"/>
        </w:rPr>
      </w:pPr>
      <w:bookmarkStart w:id="39" w:name="_Toc29695"/>
      <w:r>
        <w:rPr>
          <w:rFonts w:hint="eastAsia" w:ascii="仿宋_GB2312" w:hAnsi="仿宋_GB2312" w:eastAsia="仿宋_GB2312" w:cs="仿宋_GB2312"/>
        </w:rPr>
        <w:t>十二、国有资本经营预算财政拨款支出决算表</w:t>
      </w:r>
      <w:bookmarkEnd w:id="39"/>
    </w:p>
    <w:p w14:paraId="36265356">
      <w:pPr>
        <w:pStyle w:val="3"/>
        <w:bidi w:val="0"/>
        <w:rPr>
          <w:rFonts w:hint="eastAsia" w:ascii="仿宋_GB2312" w:hAnsi="仿宋_GB2312" w:eastAsia="仿宋_GB2312" w:cs="仿宋_GB2312"/>
        </w:rPr>
      </w:pPr>
      <w:bookmarkStart w:id="40" w:name="_Toc17653"/>
      <w:r>
        <w:rPr>
          <w:rFonts w:hint="eastAsia" w:ascii="仿宋_GB2312" w:hAnsi="仿宋_GB2312" w:eastAsia="仿宋_GB2312" w:cs="仿宋_GB2312"/>
        </w:rPr>
        <w:t>十三、财政拨款“三公”经费支出决算表</w:t>
      </w:r>
      <w:bookmarkEnd w:id="40"/>
    </w:p>
    <w:p w14:paraId="6D27E1ED">
      <w:pPr>
        <w:bidi w:val="0"/>
        <w:rPr>
          <w:rFonts w:hint="eastAsia"/>
        </w:rPr>
      </w:pPr>
    </w:p>
    <w:p w14:paraId="744A5CCC">
      <w:pPr>
        <w:bidi w:val="0"/>
      </w:pPr>
    </w:p>
    <w:sectPr>
      <w:pgSz w:w="11906" w:h="16838"/>
      <w:pgMar w:top="2098" w:right="1531" w:bottom="1984" w:left="1587" w:header="720" w:footer="720" w:gutter="0"/>
      <w:lnNumType w:countBy="0" w:distance="36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820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0C356">
    <w:pPr>
      <w:pStyle w:val="6"/>
      <w:spacing w:beforeLines="0" w:afterLines="0"/>
      <w:ind w:left="0" w:leftChars="0" w:firstLine="0" w:firstLineChars="0"/>
      <w:rPr>
        <w:rFonts w:hint="default"/>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-104775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2DA44">
                          <w:pPr>
                            <w:pStyle w:val="6"/>
                            <w:keepNext w:val="0"/>
                            <w:keepLines w:val="0"/>
                            <w:pageBreakBefore w:val="0"/>
                            <w:widowControl w:val="0"/>
                            <w:kinsoku/>
                            <w:wordWrap/>
                            <w:overflowPunct/>
                            <w:topLinePunct w:val="0"/>
                            <w:bidi w:val="0"/>
                            <w:adjustRightInd w:val="0"/>
                            <w:snapToGrid w:val="0"/>
                            <w:ind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8.25pt;height:144pt;width:144pt;mso-position-horizontal:outside;mso-position-horizontal-relative:margin;mso-wrap-style:none;z-index:251659264;mso-width-relative:page;mso-height-relative:page;" filled="f" stroked="f" coordsize="21600,21600" o:gfxdata="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FmvgH7WAAAACAEAAA8AAAAAAAAAAQAgAAAAIgAAAGRycy9kb3ducmV2LnhtbFBL&#10;AQIUABQAAAAIAIdO4kAkgka0MQIAAGEEAAAOAAAAAAAAAAEAIAAAACUBAABkcnMvZTJvRG9jLnht&#10;bFBLBQYAAAAABgAGAFkBAADIBQAAAAA=&#10;">
              <v:fill on="f" focussize="0,0"/>
              <v:stroke on="f" weight="0.5pt"/>
              <v:imagedata o:title=""/>
              <o:lock v:ext="edit" aspectratio="f"/>
              <v:textbox inset="0mm,0mm,0mm,0mm" style="mso-fit-shape-to-text:t;">
                <w:txbxContent>
                  <w:p w14:paraId="4FA2DA44">
                    <w:pPr>
                      <w:pStyle w:val="6"/>
                      <w:keepNext w:val="0"/>
                      <w:keepLines w:val="0"/>
                      <w:pageBreakBefore w:val="0"/>
                      <w:widowControl w:val="0"/>
                      <w:kinsoku/>
                      <w:wordWrap/>
                      <w:overflowPunct/>
                      <w:topLinePunct w:val="0"/>
                      <w:bidi w:val="0"/>
                      <w:adjustRightInd w:val="0"/>
                      <w:snapToGrid w:val="0"/>
                      <w:ind w:firstLine="0" w:firstLineChars="0"/>
                      <w:textAlignment w:val="auto"/>
                      <w:rPr>
                        <w:rFonts w:hint="eastAsia" w:ascii="宋体" w:hAnsi="宋体" w:eastAsia="宋体" w:cs="宋体"/>
                        <w:b w:val="0"/>
                        <w:bCs w:val="0"/>
                        <w:sz w:val="28"/>
                        <w:szCs w:val="28"/>
                      </w:rPr>
                    </w:pPr>
                    <w:r>
                      <w:rPr>
                        <w:rFonts w:hint="eastAsia" w:ascii="宋体" w:hAnsi="宋体" w:eastAsia="宋体" w:cs="宋体"/>
                        <w:b w:val="0"/>
                        <w:bCs w:val="0"/>
                        <w:sz w:val="28"/>
                        <w:szCs w:val="28"/>
                      </w:rPr>
                      <w:t xml:space="preserve">— </w:t>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  \* MERGEFORMAT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4</w:t>
                    </w:r>
                    <w:r>
                      <w:rPr>
                        <w:rFonts w:hint="eastAsia" w:ascii="宋体" w:hAnsi="宋体" w:eastAsia="宋体" w:cs="宋体"/>
                        <w:b w:val="0"/>
                        <w:bCs w:val="0"/>
                        <w:sz w:val="28"/>
                        <w:szCs w:val="28"/>
                      </w:rPr>
                      <w:fldChar w:fldCharType="end"/>
                    </w:r>
                    <w:r>
                      <w:rPr>
                        <w:rFonts w:hint="eastAsia" w:ascii="宋体" w:hAnsi="宋体" w:eastAsia="宋体" w:cs="宋体"/>
                        <w:b w:val="0"/>
                        <w:bCs w:val="0"/>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640"/>
      </w:pPr>
      <w:r>
        <w:separator/>
      </w:r>
    </w:p>
  </w:footnote>
  <w:footnote w:type="continuationSeparator" w:id="1">
    <w:p>
      <w:pPr>
        <w:spacing w:before="0" w:after="0"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215A31"/>
    <w:rsid w:val="06912C3D"/>
    <w:rsid w:val="06B33330"/>
    <w:rsid w:val="087E1084"/>
    <w:rsid w:val="09B12759"/>
    <w:rsid w:val="0B5C5BE2"/>
    <w:rsid w:val="0B981BA5"/>
    <w:rsid w:val="0BA80E28"/>
    <w:rsid w:val="0CDD0FA5"/>
    <w:rsid w:val="13F75D91"/>
    <w:rsid w:val="14902DA1"/>
    <w:rsid w:val="16914AB9"/>
    <w:rsid w:val="18A57518"/>
    <w:rsid w:val="1B185594"/>
    <w:rsid w:val="1C447638"/>
    <w:rsid w:val="250D331D"/>
    <w:rsid w:val="26F64CE5"/>
    <w:rsid w:val="270E6FCA"/>
    <w:rsid w:val="2DCA3F98"/>
    <w:rsid w:val="2E647762"/>
    <w:rsid w:val="2F06773C"/>
    <w:rsid w:val="30241C05"/>
    <w:rsid w:val="32EE0F67"/>
    <w:rsid w:val="33EC194A"/>
    <w:rsid w:val="340E12E0"/>
    <w:rsid w:val="354B08F2"/>
    <w:rsid w:val="355E5E3D"/>
    <w:rsid w:val="3BAF716B"/>
    <w:rsid w:val="3CB77105"/>
    <w:rsid w:val="3EEC6CA2"/>
    <w:rsid w:val="43D56FCF"/>
    <w:rsid w:val="44CA0FC7"/>
    <w:rsid w:val="4525645E"/>
    <w:rsid w:val="479E0D55"/>
    <w:rsid w:val="4A007AA5"/>
    <w:rsid w:val="4A17561C"/>
    <w:rsid w:val="51215792"/>
    <w:rsid w:val="5273095F"/>
    <w:rsid w:val="55A73DB8"/>
    <w:rsid w:val="578A4E52"/>
    <w:rsid w:val="596516D3"/>
    <w:rsid w:val="5F0C5E44"/>
    <w:rsid w:val="61EB2991"/>
    <w:rsid w:val="634D609D"/>
    <w:rsid w:val="63AE3C76"/>
    <w:rsid w:val="685F19E3"/>
    <w:rsid w:val="694E6DAF"/>
    <w:rsid w:val="6C1B77B4"/>
    <w:rsid w:val="6F002C20"/>
    <w:rsid w:val="6F963F3C"/>
    <w:rsid w:val="6FAB267A"/>
    <w:rsid w:val="7CAB4B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99"/>
    <w:pPr>
      <w:widowControl w:val="0"/>
      <w:autoSpaceDE w:val="0"/>
      <w:autoSpaceDN w:val="0"/>
      <w:adjustRightInd w:val="0"/>
      <w:spacing w:beforeLines="0" w:afterLines="0" w:line="576" w:lineRule="exact"/>
      <w:ind w:firstLine="1440" w:firstLineChars="200"/>
      <w:jc w:val="both"/>
    </w:pPr>
    <w:rPr>
      <w:rFonts w:hint="default" w:ascii="Times New Roman" w:hAnsi="Times New Roman" w:eastAsia="仿宋_GB2312" w:cs="Times New Roman"/>
      <w:sz w:val="32"/>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exact"/>
      <w:ind w:firstLine="0" w:firstLineChars="0"/>
      <w:jc w:val="center"/>
      <w:outlineLvl w:val="0"/>
    </w:pPr>
    <w:rPr>
      <w:rFonts w:ascii="宋体" w:hAnsi="宋体" w:eastAsia="方正小标宋简体"/>
      <w:kern w:val="44"/>
      <w:sz w:val="44"/>
    </w:rPr>
  </w:style>
  <w:style w:type="paragraph" w:styleId="3">
    <w:name w:val="heading 2"/>
    <w:basedOn w:val="1"/>
    <w:unhideWhenUsed/>
    <w:qFormat/>
    <w:uiPriority w:val="99"/>
    <w:pPr>
      <w:spacing w:beforeLines="0" w:afterLines="0" w:line="576" w:lineRule="exact"/>
      <w:ind w:firstLine="1440" w:firstLineChars="200"/>
      <w:outlineLvl w:val="1"/>
    </w:pPr>
    <w:rPr>
      <w:rFonts w:ascii="黑体" w:hAnsi="黑体" w:eastAsia="黑体"/>
    </w:rPr>
  </w:style>
  <w:style w:type="paragraph" w:styleId="4">
    <w:name w:val="heading 3"/>
    <w:basedOn w:val="1"/>
    <w:next w:val="1"/>
    <w:link w:val="22"/>
    <w:unhideWhenUsed/>
    <w:qFormat/>
    <w:uiPriority w:val="0"/>
    <w:pPr>
      <w:spacing w:beforeLines="0" w:beforeAutospacing="0" w:afterLines="0" w:afterAutospacing="0" w:line="576" w:lineRule="exact"/>
      <w:ind w:firstLine="1440" w:firstLineChars="200"/>
      <w:outlineLvl w:val="2"/>
    </w:pPr>
    <w:rPr>
      <w:rFonts w:eastAsia="楷体_GB2312"/>
      <w:szCs w:val="27"/>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beforeLines="30" w:afterLines="0"/>
    </w:pPr>
    <w:rPr>
      <w:rFonts w:hint="eastAsia" w:ascii="仿宋_GB2312" w:eastAsia="仿宋_GB2312"/>
      <w:sz w:val="30"/>
      <w:szCs w:val="24"/>
    </w:rPr>
  </w:style>
  <w:style w:type="paragraph" w:styleId="6">
    <w:name w:val="footer"/>
    <w:basedOn w:val="1"/>
    <w:unhideWhenUsed/>
    <w:qFormat/>
    <w:uiPriority w:val="99"/>
    <w:pPr>
      <w:tabs>
        <w:tab w:val="center" w:pos="4153"/>
        <w:tab w:val="right" w:pos="8306"/>
      </w:tabs>
      <w:snapToGrid w:val="0"/>
      <w:spacing w:beforeLines="0" w:afterLines="0"/>
    </w:pPr>
    <w:rPr>
      <w:rFonts w:hint="default"/>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customStyle="1" w:styleId="12">
    <w:name w:val="table of figures1"/>
    <w:basedOn w:val="1"/>
    <w:next w:val="1"/>
    <w:unhideWhenUsed/>
    <w:qFormat/>
    <w:uiPriority w:val="99"/>
    <w:pPr>
      <w:spacing w:beforeLines="0" w:afterLines="0"/>
      <w:ind w:left="200" w:leftChars="200" w:hanging="200" w:hangingChars="200"/>
    </w:pPr>
    <w:rPr>
      <w:rFonts w:hint="default"/>
      <w:sz w:val="24"/>
      <w:szCs w:val="24"/>
    </w:rPr>
  </w:style>
  <w:style w:type="paragraph" w:customStyle="1" w:styleId="13">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14">
    <w:name w:val="font41"/>
    <w:basedOn w:val="11"/>
    <w:unhideWhenUsed/>
    <w:qFormat/>
    <w:uiPriority w:val="0"/>
    <w:rPr>
      <w:rFonts w:hint="default" w:ascii="Arial" w:hAnsi="Arial" w:eastAsia="宋体" w:cs="Arial"/>
      <w:color w:val="000000"/>
      <w:sz w:val="21"/>
      <w:szCs w:val="21"/>
    </w:rPr>
  </w:style>
  <w:style w:type="character" w:customStyle="1" w:styleId="15">
    <w:name w:val="font31"/>
    <w:basedOn w:val="11"/>
    <w:unhideWhenUsed/>
    <w:qFormat/>
    <w:uiPriority w:val="0"/>
    <w:rPr>
      <w:rFonts w:hint="default" w:ascii="宋体" w:hAnsi="宋体" w:eastAsia="宋体" w:cs="宋体"/>
      <w:color w:val="000000"/>
      <w:sz w:val="21"/>
      <w:szCs w:val="21"/>
    </w:rPr>
  </w:style>
  <w:style w:type="character" w:customStyle="1" w:styleId="16">
    <w:name w:val="font91"/>
    <w:basedOn w:val="11"/>
    <w:unhideWhenUsed/>
    <w:qFormat/>
    <w:uiPriority w:val="0"/>
    <w:rPr>
      <w:rFonts w:hint="eastAsia" w:ascii="方正小标宋简体" w:hAnsi="方正小标宋简体" w:eastAsia="方正小标宋简体" w:cs="方正小标宋简体"/>
      <w:color w:val="000000"/>
      <w:sz w:val="32"/>
      <w:szCs w:val="32"/>
    </w:rPr>
  </w:style>
  <w:style w:type="character" w:customStyle="1" w:styleId="17">
    <w:name w:val="font21"/>
    <w:basedOn w:val="11"/>
    <w:unhideWhenUsed/>
    <w:qFormat/>
    <w:uiPriority w:val="0"/>
    <w:rPr>
      <w:rFonts w:hint="default" w:ascii="Arial" w:hAnsi="Arial" w:eastAsia="宋体" w:cs="Arial"/>
      <w:color w:val="000000"/>
      <w:sz w:val="22"/>
      <w:szCs w:val="22"/>
    </w:rPr>
  </w:style>
  <w:style w:type="character" w:customStyle="1" w:styleId="18">
    <w:name w:val="font51"/>
    <w:basedOn w:val="11"/>
    <w:unhideWhenUsed/>
    <w:qFormat/>
    <w:uiPriority w:val="0"/>
    <w:rPr>
      <w:rFonts w:hint="eastAsia" w:ascii="黑体" w:hAnsi="黑体" w:eastAsia="黑体" w:cs="黑体"/>
      <w:color w:val="000000"/>
      <w:sz w:val="18"/>
      <w:szCs w:val="18"/>
    </w:rPr>
  </w:style>
  <w:style w:type="character" w:customStyle="1" w:styleId="19">
    <w:name w:val="font61"/>
    <w:basedOn w:val="11"/>
    <w:unhideWhenUsed/>
    <w:qFormat/>
    <w:uiPriority w:val="0"/>
    <w:rPr>
      <w:rFonts w:hint="eastAsia" w:ascii="黑体" w:hAnsi="黑体" w:eastAsia="黑体" w:cs="黑体"/>
      <w:i/>
      <w:color w:val="000000"/>
      <w:sz w:val="18"/>
      <w:szCs w:val="18"/>
    </w:rPr>
  </w:style>
  <w:style w:type="character" w:customStyle="1" w:styleId="20">
    <w:name w:val="font71"/>
    <w:basedOn w:val="11"/>
    <w:unhideWhenUsed/>
    <w:qFormat/>
    <w:uiPriority w:val="0"/>
    <w:rPr>
      <w:rFonts w:hint="default" w:ascii="宋体" w:hAnsi="宋体" w:eastAsia="宋体" w:cs="宋体"/>
      <w:i/>
      <w:color w:val="000000"/>
      <w:sz w:val="18"/>
      <w:szCs w:val="18"/>
    </w:rPr>
  </w:style>
  <w:style w:type="character" w:customStyle="1" w:styleId="21">
    <w:name w:val="font81"/>
    <w:basedOn w:val="11"/>
    <w:unhideWhenUsed/>
    <w:qFormat/>
    <w:uiPriority w:val="0"/>
    <w:rPr>
      <w:rFonts w:hint="default" w:ascii="宋体" w:hAnsi="宋体" w:eastAsia="宋体" w:cs="宋体"/>
      <w:i/>
      <w:color w:val="000000"/>
      <w:sz w:val="18"/>
      <w:szCs w:val="18"/>
    </w:rPr>
  </w:style>
  <w:style w:type="character" w:customStyle="1" w:styleId="22">
    <w:name w:val="标题 3 Char"/>
    <w:link w:val="4"/>
    <w:qFormat/>
    <w:uiPriority w:val="0"/>
    <w:rPr>
      <w:rFonts w:ascii="Times New Roman" w:hAnsi="Times New Roman" w:eastAsia="楷体_GB2312"/>
      <w:szCs w:val="27"/>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image" Target="media/image7.e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6.emf"/><Relationship Id="rId18" Type="http://schemas.openxmlformats.org/officeDocument/2006/relationships/oleObject" Target="embeddings/oleObject6.bin"/><Relationship Id="rId17" Type="http://schemas.openxmlformats.org/officeDocument/2006/relationships/image" Target="media/image5.emf"/><Relationship Id="rId16" Type="http://schemas.openxmlformats.org/officeDocument/2006/relationships/oleObject" Target="embeddings/oleObject5.bin"/><Relationship Id="rId15" Type="http://schemas.openxmlformats.org/officeDocument/2006/relationships/image" Target="media/image4.emf"/><Relationship Id="rId14" Type="http://schemas.openxmlformats.org/officeDocument/2006/relationships/oleObject" Target="embeddings/oleObject4.bin"/><Relationship Id="rId13" Type="http://schemas.openxmlformats.org/officeDocument/2006/relationships/image" Target="media/image3.emf"/><Relationship Id="rId12" Type="http://schemas.openxmlformats.org/officeDocument/2006/relationships/oleObject" Target="embeddings/oleObject3.bin"/><Relationship Id="rId11" Type="http://schemas.openxmlformats.org/officeDocument/2006/relationships/image" Target="media/image2.e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6794</Words>
  <Characters>7349</Characters>
  <Lines>0</Lines>
  <Paragraphs>0</Paragraphs>
  <TotalTime>1</TotalTime>
  <ScaleCrop>false</ScaleCrop>
  <LinksUpToDate>false</LinksUpToDate>
  <CharactersWithSpaces>7460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2025-09-23T08:20:00Z</dcterms:created>
  <dc:creator>Administrator</dc:creator>
  <cp:lastModifiedBy>昭化融媒体</cp:lastModifiedBy>
  <dcterms:modified xsi:type="dcterms:W3CDTF">2025-09-30T08:50:36Z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55EE4C5AA1544492B3ADF4501D2D707B_13</vt:lpwstr>
  </property>
</Properties>
</file>