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76" w:lineRule="exact"/>
        <w:jc w:val="center"/>
        <w:textAlignment w:val="auto"/>
        <w:rPr>
          <w:rFonts w:hint="default" w:ascii="Times New Roman" w:hAnsi="Times New Roman" w:eastAsia="方正小标宋简体" w:cs="Times New Roman"/>
          <w:spacing w:val="11"/>
          <w:kern w:val="0"/>
          <w:sz w:val="44"/>
          <w:szCs w:val="44"/>
        </w:rPr>
      </w:pPr>
      <w:bookmarkStart w:id="0" w:name="_GoBack"/>
      <w:bookmarkEnd w:id="0"/>
      <w:r>
        <w:rPr>
          <w:rFonts w:hint="default" w:ascii="Times New Roman" w:hAnsi="Times New Roman" w:eastAsia="方正小标宋简体" w:cs="Times New Roman"/>
          <w:sz w:val="44"/>
          <w:szCs w:val="44"/>
          <w:lang w:eastAsia="zh-CN"/>
        </w:rPr>
        <w:t>广元市昭化区卫子</w:t>
      </w:r>
      <w:r>
        <w:rPr>
          <w:rFonts w:hint="default" w:ascii="Times New Roman" w:hAnsi="Times New Roman" w:eastAsia="方正小标宋简体" w:cs="Times New Roman"/>
          <w:sz w:val="44"/>
          <w:szCs w:val="44"/>
        </w:rPr>
        <w:t>镇人民政府</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92" w:leftChars="0" w:right="0" w:rightChars="0" w:hanging="192" w:hangingChars="45"/>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pacing w:val="-6"/>
          <w:sz w:val="44"/>
          <w:szCs w:val="44"/>
        </w:rPr>
        <w:t>关于</w:t>
      </w:r>
      <w:r>
        <w:rPr>
          <w:rFonts w:hint="eastAsia" w:ascii="Times New Roman" w:hAnsi="Times New Roman" w:eastAsia="方正小标宋简体" w:cs="Times New Roman"/>
          <w:spacing w:val="-6"/>
          <w:sz w:val="44"/>
          <w:szCs w:val="44"/>
          <w:lang w:eastAsia="zh-CN"/>
        </w:rPr>
        <w:t>做好</w:t>
      </w:r>
      <w:r>
        <w:rPr>
          <w:rFonts w:hint="eastAsia" w:ascii="Times New Roman" w:hAnsi="Times New Roman" w:eastAsia="方正小标宋简体" w:cs="Times New Roman"/>
          <w:spacing w:val="-6"/>
          <w:sz w:val="44"/>
          <w:szCs w:val="44"/>
          <w:lang w:val="en-US" w:eastAsia="zh-CN"/>
        </w:rPr>
        <w:t>卫子</w:t>
      </w:r>
      <w:r>
        <w:rPr>
          <w:rFonts w:hint="default" w:ascii="Times New Roman" w:hAnsi="Times New Roman" w:eastAsia="方正小标宋简体" w:cs="Times New Roman"/>
          <w:spacing w:val="-6"/>
          <w:sz w:val="44"/>
          <w:szCs w:val="44"/>
          <w:lang w:val="en-US" w:eastAsia="zh-CN"/>
        </w:rPr>
        <w:t>镇</w:t>
      </w:r>
      <w:r>
        <w:rPr>
          <w:rFonts w:hint="eastAsia" w:ascii="Times New Roman" w:hAnsi="Times New Roman" w:eastAsia="方正小标宋简体" w:cs="Times New Roman"/>
          <w:spacing w:val="-6"/>
          <w:sz w:val="44"/>
          <w:szCs w:val="44"/>
          <w:lang w:val="en-US" w:eastAsia="zh-CN"/>
        </w:rPr>
        <w:t>事项</w:t>
      </w:r>
      <w:r>
        <w:rPr>
          <w:rFonts w:hint="eastAsia" w:ascii="Times New Roman" w:hAnsi="Times New Roman" w:eastAsia="方正小标宋简体" w:cs="Times New Roman"/>
          <w:sz w:val="44"/>
          <w:szCs w:val="44"/>
          <w:lang w:val="en-US" w:eastAsia="zh-CN"/>
        </w:rPr>
        <w:t>责任</w:t>
      </w:r>
      <w:r>
        <w:rPr>
          <w:rFonts w:hint="default" w:ascii="Times New Roman" w:hAnsi="Times New Roman" w:eastAsia="方正小标宋简体" w:cs="Times New Roman"/>
          <w:sz w:val="44"/>
          <w:szCs w:val="44"/>
          <w:lang w:val="en-US" w:eastAsia="zh-CN"/>
        </w:rPr>
        <w:t>清单</w:t>
      </w:r>
      <w:r>
        <w:rPr>
          <w:rFonts w:hint="eastAsia" w:ascii="Times New Roman" w:hAnsi="Times New Roman" w:eastAsia="方正小标宋简体" w:cs="Times New Roman"/>
          <w:sz w:val="44"/>
          <w:szCs w:val="44"/>
          <w:lang w:val="en-US" w:eastAsia="zh-CN"/>
        </w:rPr>
        <w:t>编制工作</w:t>
      </w:r>
      <w:r>
        <w:rPr>
          <w:rFonts w:hint="default" w:ascii="Times New Roman" w:hAnsi="Times New Roman" w:eastAsia="方正小标宋简体" w:cs="Times New Roman"/>
          <w:sz w:val="44"/>
          <w:szCs w:val="44"/>
        </w:rPr>
        <w:t>的</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76" w:lineRule="exact"/>
        <w:ind w:left="198" w:leftChars="0" w:right="0" w:rightChars="0" w:hanging="198" w:hangingChars="45"/>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通</w:t>
      </w:r>
      <w:r>
        <w:rPr>
          <w:rFonts w:hint="eastAsia" w:ascii="Times New Roman" w:hAnsi="Times New Roman"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rPr>
        <w:t>知</w:t>
      </w:r>
    </w:p>
    <w:p>
      <w:pPr>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jc w:val="both"/>
        <w:textAlignment w:val="auto"/>
        <w:rPr>
          <w:rFonts w:hint="default" w:ascii="Times New Roman" w:hAnsi="Times New Roman" w:eastAsia="仿宋_GB2312" w:cs="Times New Roman"/>
          <w:color w:val="000000"/>
          <w:kern w:val="0"/>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各村（</w:t>
      </w:r>
      <w:r>
        <w:rPr>
          <w:rFonts w:hint="eastAsia" w:ascii="Times New Roman" w:hAnsi="Times New Roman" w:eastAsia="仿宋_GB2312" w:cs="Times New Roman"/>
          <w:sz w:val="32"/>
          <w:szCs w:val="32"/>
          <w:lang w:eastAsia="zh-CN"/>
        </w:rPr>
        <w:t>居</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民委员会</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eastAsia="zh-CN"/>
        </w:rPr>
        <w:t>属</w:t>
      </w:r>
      <w:r>
        <w:rPr>
          <w:rFonts w:hint="default" w:ascii="Times New Roman" w:hAnsi="Times New Roman" w:eastAsia="仿宋_GB2312" w:cs="Times New Roman"/>
          <w:sz w:val="32"/>
          <w:szCs w:val="32"/>
        </w:rPr>
        <w:t>各</w:t>
      </w:r>
      <w:r>
        <w:rPr>
          <w:rFonts w:hint="eastAsia" w:ascii="Times New Roman" w:hAnsi="Times New Roman" w:eastAsia="仿宋_GB2312" w:cs="Times New Roman"/>
          <w:sz w:val="32"/>
          <w:szCs w:val="32"/>
          <w:lang w:eastAsia="zh-CN"/>
        </w:rPr>
        <w:t>办（中心）</w:t>
      </w:r>
      <w:r>
        <w:rPr>
          <w:rFonts w:hint="default" w:ascii="Times New Roman" w:hAnsi="Times New Roman" w:eastAsia="仿宋_GB2312" w:cs="Times New Roman"/>
          <w:sz w:val="32"/>
          <w:szCs w:val="32"/>
        </w:rPr>
        <w:t>、辖区各企业单位：</w:t>
      </w:r>
    </w:p>
    <w:p>
      <w:pPr>
        <w:keepNext w:val="0"/>
        <w:keepLines w:val="0"/>
        <w:pageBreakBefore w:val="0"/>
        <w:widowControl w:val="0"/>
        <w:kinsoku/>
        <w:wordWrap/>
        <w:overflowPunct/>
        <w:topLinePunct w:val="0"/>
        <w:autoSpaceDE/>
        <w:autoSpaceDN/>
        <w:bidi w:val="0"/>
        <w:adjustRightInd/>
        <w:snapToGrid/>
        <w:spacing w:line="576" w:lineRule="exact"/>
        <w:ind w:right="0" w:rightChars="0" w:firstLine="640" w:firstLineChars="200"/>
        <w:jc w:val="left"/>
        <w:textAlignment w:val="auto"/>
        <w:rPr>
          <w:rFonts w:hint="default" w:ascii="Times New Roman" w:hAnsi="Times New Roman" w:eastAsia="仿宋_GB2312" w:cs="Times New Roman"/>
          <w:color w:val="auto"/>
          <w:kern w:val="0"/>
          <w:sz w:val="32"/>
          <w:szCs w:val="32"/>
          <w:shd w:val="clear" w:color="auto" w:fill="FFFFFF"/>
          <w:lang w:val="en-US" w:eastAsia="zh-CN"/>
        </w:rPr>
      </w:pPr>
      <w:r>
        <w:rPr>
          <w:rFonts w:hint="default" w:ascii="Times New Roman" w:hAnsi="Times New Roman" w:eastAsia="仿宋_GB2312" w:cs="Times New Roman"/>
          <w:color w:val="auto"/>
          <w:kern w:val="0"/>
          <w:sz w:val="32"/>
          <w:szCs w:val="32"/>
          <w:shd w:val="clear" w:color="auto" w:fill="FFFFFF"/>
          <w:lang w:val="en-US" w:eastAsia="zh-CN"/>
        </w:rPr>
        <w:t>为确保赋予</w:t>
      </w:r>
      <w:r>
        <w:rPr>
          <w:rFonts w:hint="eastAsia" w:ascii="Times New Roman" w:hAnsi="Times New Roman" w:eastAsia="仿宋_GB2312" w:cs="Times New Roman"/>
          <w:color w:val="auto"/>
          <w:kern w:val="0"/>
          <w:sz w:val="32"/>
          <w:szCs w:val="32"/>
          <w:shd w:val="clear" w:color="auto" w:fill="FFFFFF"/>
          <w:lang w:val="en-US" w:eastAsia="zh-CN"/>
        </w:rPr>
        <w:t>卫子</w:t>
      </w:r>
      <w:r>
        <w:rPr>
          <w:rFonts w:hint="default" w:ascii="Times New Roman" w:hAnsi="Times New Roman" w:eastAsia="仿宋_GB2312" w:cs="Times New Roman"/>
          <w:color w:val="auto"/>
          <w:kern w:val="0"/>
          <w:sz w:val="32"/>
          <w:szCs w:val="32"/>
          <w:shd w:val="clear" w:color="auto" w:fill="FFFFFF"/>
          <w:lang w:val="en-US" w:eastAsia="zh-CN"/>
        </w:rPr>
        <w:t>镇行政权力事项平稳推进、有序衔接，</w:t>
      </w:r>
      <w:r>
        <w:rPr>
          <w:rFonts w:hint="eastAsia" w:ascii="Times New Roman" w:hAnsi="Times New Roman" w:eastAsia="仿宋_GB2312" w:cs="Times New Roman"/>
          <w:color w:val="auto"/>
          <w:kern w:val="0"/>
          <w:sz w:val="32"/>
          <w:szCs w:val="32"/>
          <w:shd w:val="clear" w:color="auto" w:fill="FFFFFF"/>
          <w:lang w:val="en-US" w:eastAsia="zh-CN"/>
        </w:rPr>
        <w:t>乡镇</w:t>
      </w:r>
      <w:r>
        <w:rPr>
          <w:rFonts w:hint="default" w:ascii="Times New Roman" w:hAnsi="Times New Roman" w:eastAsia="仿宋_GB2312" w:cs="Times New Roman"/>
          <w:color w:val="auto"/>
          <w:kern w:val="0"/>
          <w:sz w:val="32"/>
          <w:szCs w:val="32"/>
          <w:shd w:val="clear" w:color="auto" w:fill="FFFFFF"/>
          <w:lang w:val="en-US" w:eastAsia="zh-CN"/>
        </w:rPr>
        <w:t>扩权赋能</w:t>
      </w:r>
      <w:r>
        <w:rPr>
          <w:rFonts w:hint="eastAsia" w:ascii="Times New Roman" w:hAnsi="Times New Roman" w:eastAsia="仿宋_GB2312" w:cs="Times New Roman"/>
          <w:color w:val="auto"/>
          <w:kern w:val="0"/>
          <w:sz w:val="32"/>
          <w:szCs w:val="32"/>
          <w:shd w:val="clear" w:color="auto" w:fill="FFFFFF"/>
          <w:lang w:val="en-US" w:eastAsia="zh-CN"/>
        </w:rPr>
        <w:t>取得实效，</w:t>
      </w:r>
      <w:r>
        <w:rPr>
          <w:rFonts w:hint="default" w:ascii="Times New Roman" w:hAnsi="Times New Roman" w:eastAsia="仿宋_GB2312" w:cs="Times New Roman"/>
          <w:color w:val="auto"/>
          <w:kern w:val="0"/>
          <w:sz w:val="32"/>
          <w:szCs w:val="32"/>
          <w:shd w:val="clear" w:color="auto" w:fill="FFFFFF"/>
          <w:lang w:val="en-US" w:eastAsia="zh-CN"/>
        </w:rPr>
        <w:t>按照《四川省权责清单动态调整管理办法》规定，现就做好</w:t>
      </w:r>
      <w:r>
        <w:rPr>
          <w:rFonts w:hint="eastAsia" w:ascii="Times New Roman" w:hAnsi="Times New Roman" w:eastAsia="仿宋_GB2312" w:cs="Times New Roman"/>
          <w:color w:val="auto"/>
          <w:kern w:val="0"/>
          <w:sz w:val="32"/>
          <w:szCs w:val="32"/>
          <w:shd w:val="clear" w:color="auto" w:fill="FFFFFF"/>
          <w:lang w:val="en-US" w:eastAsia="zh-CN"/>
        </w:rPr>
        <w:t>卫子镇事项</w:t>
      </w:r>
      <w:r>
        <w:rPr>
          <w:rFonts w:hint="default" w:ascii="Times New Roman" w:hAnsi="Times New Roman" w:eastAsia="仿宋_GB2312" w:cs="Times New Roman"/>
          <w:color w:val="auto"/>
          <w:kern w:val="0"/>
          <w:sz w:val="32"/>
          <w:szCs w:val="32"/>
          <w:shd w:val="clear" w:color="auto" w:fill="FFFFFF"/>
          <w:lang w:val="en-US" w:eastAsia="zh-CN"/>
        </w:rPr>
        <w:t>责任清单</w:t>
      </w:r>
      <w:r>
        <w:rPr>
          <w:rFonts w:hint="eastAsia" w:ascii="Times New Roman" w:hAnsi="Times New Roman" w:eastAsia="仿宋_GB2312" w:cs="Times New Roman"/>
          <w:color w:val="auto"/>
          <w:kern w:val="0"/>
          <w:sz w:val="32"/>
          <w:szCs w:val="32"/>
          <w:shd w:val="clear" w:color="auto" w:fill="FFFFFF"/>
          <w:lang w:val="en-US" w:eastAsia="zh-CN"/>
        </w:rPr>
        <w:t>编制</w:t>
      </w:r>
      <w:r>
        <w:rPr>
          <w:rFonts w:hint="default" w:ascii="Times New Roman" w:hAnsi="Times New Roman" w:eastAsia="仿宋_GB2312" w:cs="Times New Roman"/>
          <w:color w:val="auto"/>
          <w:kern w:val="0"/>
          <w:sz w:val="32"/>
          <w:szCs w:val="32"/>
          <w:shd w:val="clear" w:color="auto" w:fill="FFFFFF"/>
          <w:lang w:val="en-US" w:eastAsia="zh-CN"/>
        </w:rPr>
        <w:t>工作通知如下。</w:t>
      </w:r>
    </w:p>
    <w:p>
      <w:pPr>
        <w:pStyle w:val="11"/>
        <w:keepNext w:val="0"/>
        <w:keepLines w:val="0"/>
        <w:pageBreakBefore w:val="0"/>
        <w:numPr>
          <w:ilvl w:val="0"/>
          <w:numId w:val="0"/>
        </w:numPr>
        <w:kinsoku/>
        <w:wordWrap/>
        <w:overflowPunct/>
        <w:topLinePunct w:val="0"/>
        <w:autoSpaceDE/>
        <w:autoSpaceDN/>
        <w:bidi w:val="0"/>
        <w:spacing w:line="576" w:lineRule="exact"/>
        <w:ind w:left="720" w:leftChars="0"/>
        <w:textAlignment w:val="auto"/>
        <w:rPr>
          <w:rFonts w:ascii="黑体" w:hAnsi="黑体" w:eastAsia="黑体"/>
          <w:sz w:val="32"/>
          <w:szCs w:val="32"/>
        </w:rPr>
      </w:pPr>
      <w:r>
        <w:rPr>
          <w:rFonts w:hint="eastAsia" w:ascii="黑体" w:hAnsi="黑体" w:eastAsia="黑体"/>
          <w:sz w:val="32"/>
          <w:szCs w:val="32"/>
          <w:lang w:eastAsia="zh-CN"/>
        </w:rPr>
        <w:t>一、</w:t>
      </w:r>
      <w:r>
        <w:rPr>
          <w:rFonts w:hint="eastAsia" w:ascii="黑体" w:hAnsi="黑体" w:eastAsia="黑体"/>
          <w:sz w:val="32"/>
          <w:szCs w:val="32"/>
        </w:rPr>
        <w:t>工作任务</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华文中宋" w:eastAsia="仿宋_GB2312"/>
          <w:sz w:val="32"/>
          <w:szCs w:val="32"/>
        </w:rPr>
      </w:pPr>
      <w:r>
        <w:rPr>
          <w:rFonts w:hint="eastAsia" w:ascii="仿宋_GB2312" w:eastAsia="仿宋_GB2312"/>
          <w:sz w:val="32"/>
          <w:szCs w:val="32"/>
        </w:rPr>
        <w:t>根据</w:t>
      </w:r>
      <w:r>
        <w:rPr>
          <w:rFonts w:hint="eastAsia" w:ascii="仿宋_GB2312" w:hAnsi="华文中宋" w:eastAsia="仿宋_GB2312"/>
          <w:sz w:val="32"/>
          <w:szCs w:val="32"/>
        </w:rPr>
        <w:t>公布的</w:t>
      </w:r>
      <w:r>
        <w:rPr>
          <w:rFonts w:hint="default" w:ascii="Times New Roman" w:hAnsi="Times New Roman" w:eastAsia="仿宋_GB2312" w:cs="Times New Roman"/>
          <w:color w:val="auto"/>
          <w:kern w:val="0"/>
          <w:sz w:val="32"/>
          <w:szCs w:val="32"/>
          <w:shd w:val="clear" w:color="auto" w:fill="FFFFFF"/>
          <w:lang w:val="en-US" w:eastAsia="zh-CN"/>
        </w:rPr>
        <w:t>《广元市昭化区赋予乡镇县级行政权力事项清单（第二批）》</w:t>
      </w:r>
      <w:r>
        <w:rPr>
          <w:rFonts w:hint="eastAsia" w:ascii="Times New Roman" w:hAnsi="Times New Roman" w:eastAsia="仿宋_GB2312" w:cs="Times New Roman"/>
          <w:color w:val="auto"/>
          <w:kern w:val="0"/>
          <w:sz w:val="32"/>
          <w:szCs w:val="32"/>
          <w:shd w:val="clear" w:color="auto" w:fill="FFFFFF"/>
          <w:lang w:val="en-US" w:eastAsia="zh-CN"/>
        </w:rPr>
        <w:t>（昭编委办〔2022〕29号）</w:t>
      </w:r>
      <w:r>
        <w:rPr>
          <w:rFonts w:hint="eastAsia" w:ascii="仿宋_GB2312" w:hAnsi="华文中宋" w:eastAsia="仿宋_GB2312"/>
          <w:sz w:val="32"/>
          <w:szCs w:val="32"/>
        </w:rPr>
        <w:t>，</w:t>
      </w:r>
      <w:r>
        <w:rPr>
          <w:rFonts w:hint="default" w:ascii="Times New Roman" w:hAnsi="Times New Roman" w:eastAsia="仿宋_GB2312" w:cs="Times New Roman"/>
          <w:color w:val="auto"/>
          <w:kern w:val="0"/>
          <w:sz w:val="32"/>
          <w:szCs w:val="32"/>
          <w:shd w:val="clear" w:color="auto" w:fill="FFFFFF"/>
          <w:lang w:val="en-US" w:eastAsia="zh-CN"/>
        </w:rPr>
        <w:t>将承接的县级行政权力事项纳入本镇权责清单</w:t>
      </w:r>
      <w:r>
        <w:rPr>
          <w:rFonts w:hint="eastAsia" w:ascii="Times New Roman" w:hAnsi="Times New Roman" w:eastAsia="仿宋_GB2312" w:cs="Times New Roman"/>
          <w:color w:val="auto"/>
          <w:kern w:val="0"/>
          <w:sz w:val="32"/>
          <w:szCs w:val="32"/>
          <w:shd w:val="clear" w:color="auto" w:fill="FFFFFF"/>
          <w:lang w:val="en-US" w:eastAsia="zh-CN"/>
        </w:rPr>
        <w:t>，并</w:t>
      </w:r>
      <w:r>
        <w:rPr>
          <w:rFonts w:hint="default" w:ascii="Times New Roman" w:hAnsi="Times New Roman" w:eastAsia="仿宋_GB2312" w:cs="Times New Roman"/>
          <w:color w:val="auto"/>
          <w:kern w:val="0"/>
          <w:sz w:val="32"/>
          <w:szCs w:val="32"/>
          <w:shd w:val="clear" w:color="auto" w:fill="FFFFFF"/>
          <w:lang w:val="en-US" w:eastAsia="zh-CN"/>
        </w:rPr>
        <w:t>按程序以</w:t>
      </w:r>
      <w:r>
        <w:rPr>
          <w:rFonts w:hint="eastAsia" w:ascii="Times New Roman" w:hAnsi="Times New Roman" w:eastAsia="仿宋_GB2312" w:cs="Times New Roman"/>
          <w:color w:val="auto"/>
          <w:kern w:val="0"/>
          <w:sz w:val="32"/>
          <w:szCs w:val="32"/>
          <w:shd w:val="clear" w:color="auto" w:fill="FFFFFF"/>
          <w:lang w:val="en-US" w:eastAsia="zh-CN"/>
        </w:rPr>
        <w:t>卫子镇</w:t>
      </w:r>
      <w:r>
        <w:rPr>
          <w:rFonts w:hint="default" w:ascii="Times New Roman" w:hAnsi="Times New Roman" w:eastAsia="仿宋_GB2312" w:cs="Times New Roman"/>
          <w:color w:val="auto"/>
          <w:kern w:val="0"/>
          <w:sz w:val="32"/>
          <w:szCs w:val="32"/>
          <w:shd w:val="clear" w:color="auto" w:fill="FFFFFF"/>
          <w:lang w:val="en-US" w:eastAsia="zh-CN"/>
        </w:rPr>
        <w:t>人民政府名义印发公布</w:t>
      </w:r>
      <w:r>
        <w:rPr>
          <w:rFonts w:hint="eastAsia" w:ascii="Times New Roman" w:hAnsi="Times New Roman" w:eastAsia="仿宋_GB2312" w:cs="Times New Roman"/>
          <w:color w:val="auto"/>
          <w:kern w:val="0"/>
          <w:sz w:val="32"/>
          <w:szCs w:val="32"/>
          <w:shd w:val="clear" w:color="auto" w:fill="FFFFFF"/>
          <w:lang w:val="en-US" w:eastAsia="zh-CN"/>
        </w:rPr>
        <w:t>。</w:t>
      </w:r>
    </w:p>
    <w:p>
      <w:pPr>
        <w:keepNext w:val="0"/>
        <w:keepLines w:val="0"/>
        <w:pageBreakBefore w:val="0"/>
        <w:kinsoku/>
        <w:wordWrap/>
        <w:overflowPunct/>
        <w:topLinePunct w:val="0"/>
        <w:autoSpaceDE/>
        <w:autoSpaceDN/>
        <w:bidi w:val="0"/>
        <w:spacing w:line="576"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lang w:eastAsia="zh-CN"/>
        </w:rPr>
        <w:t>二</w:t>
      </w:r>
      <w:r>
        <w:rPr>
          <w:rFonts w:hint="eastAsia" w:ascii="黑体" w:hAnsi="黑体" w:eastAsia="黑体" w:cs="黑体"/>
          <w:bCs/>
          <w:sz w:val="32"/>
          <w:szCs w:val="32"/>
        </w:rPr>
        <w:t>、工作要求</w:t>
      </w:r>
    </w:p>
    <w:p>
      <w:pPr>
        <w:pStyle w:val="4"/>
        <w:widowControl w:val="0"/>
        <w:numPr>
          <w:ilvl w:val="0"/>
          <w:numId w:val="0"/>
        </w:numPr>
        <w:ind w:firstLine="640" w:firstLineChars="200"/>
        <w:jc w:val="both"/>
        <w:rPr>
          <w:rFonts w:hint="eastAsia" w:ascii="仿宋_GB2312" w:hAnsi="华文中宋" w:eastAsia="仿宋_GB2312"/>
          <w:sz w:val="32"/>
          <w:szCs w:val="32"/>
        </w:rPr>
      </w:pPr>
      <w:r>
        <w:rPr>
          <w:rFonts w:hint="eastAsia" w:ascii="方正楷体_GBK" w:hAnsi="方正楷体_GBK" w:eastAsia="方正楷体_GBK" w:cs="方正楷体_GBK"/>
          <w:sz w:val="32"/>
          <w:szCs w:val="32"/>
        </w:rPr>
        <w:t>（一）加强组织领导。</w:t>
      </w:r>
      <w:r>
        <w:rPr>
          <w:rFonts w:hint="eastAsia" w:ascii="仿宋_GB2312" w:hAnsi="华文中宋" w:eastAsia="仿宋_GB2312"/>
          <w:sz w:val="32"/>
          <w:szCs w:val="32"/>
          <w:lang w:eastAsia="zh-CN"/>
        </w:rPr>
        <w:t>我镇</w:t>
      </w:r>
      <w:r>
        <w:rPr>
          <w:rFonts w:hint="eastAsia" w:ascii="仿宋_GB2312" w:hAnsi="华文中宋" w:eastAsia="仿宋_GB2312"/>
          <w:sz w:val="32"/>
          <w:szCs w:val="32"/>
        </w:rPr>
        <w:t>高度重视，加强组织领导，切实履行主体责任，认真梳理本</w:t>
      </w:r>
      <w:r>
        <w:rPr>
          <w:rFonts w:hint="eastAsia" w:ascii="仿宋_GB2312" w:hAnsi="华文中宋" w:eastAsia="仿宋_GB2312"/>
          <w:sz w:val="32"/>
          <w:szCs w:val="32"/>
          <w:lang w:eastAsia="zh-CN"/>
        </w:rPr>
        <w:t>镇</w:t>
      </w:r>
      <w:r>
        <w:rPr>
          <w:rFonts w:hint="eastAsia" w:ascii="仿宋_GB2312" w:hAnsi="华文中宋" w:eastAsia="仿宋_GB2312"/>
          <w:sz w:val="32"/>
          <w:szCs w:val="32"/>
        </w:rPr>
        <w:t>权责清单，确保权责不漏项，依据清楚完备，确保动态调整工作有序实施。</w:t>
      </w:r>
    </w:p>
    <w:p>
      <w:pPr>
        <w:pStyle w:val="4"/>
        <w:widowControl w:val="0"/>
        <w:numPr>
          <w:ilvl w:val="0"/>
          <w:numId w:val="0"/>
        </w:numPr>
        <w:ind w:firstLine="640" w:firstLineChars="200"/>
        <w:jc w:val="both"/>
        <w:rPr>
          <w:rFonts w:hint="eastAsia" w:ascii="仿宋_GB2312" w:hAnsi="华文中宋" w:eastAsia="仿宋_GB2312"/>
          <w:sz w:val="32"/>
          <w:szCs w:val="32"/>
        </w:rPr>
      </w:pPr>
      <w:r>
        <w:rPr>
          <w:rFonts w:hint="eastAsia" w:ascii="方正楷体_GBK" w:hAnsi="方正楷体_GBK" w:eastAsia="方正楷体_GBK" w:cs="方正楷体_GBK"/>
          <w:sz w:val="32"/>
          <w:szCs w:val="32"/>
        </w:rPr>
        <w:t>（二）加强沟通协调。</w:t>
      </w:r>
      <w:r>
        <w:rPr>
          <w:rFonts w:hint="eastAsia" w:ascii="仿宋_GB2312" w:hAnsi="华文中宋" w:eastAsia="仿宋_GB2312"/>
          <w:sz w:val="32"/>
          <w:szCs w:val="32"/>
          <w:lang w:eastAsia="zh-CN"/>
        </w:rPr>
        <w:t>我镇、</w:t>
      </w:r>
      <w:r>
        <w:rPr>
          <w:rFonts w:hint="eastAsia" w:ascii="仿宋_GB2312" w:hAnsi="华文中宋" w:eastAsia="仿宋_GB2312"/>
          <w:sz w:val="32"/>
          <w:szCs w:val="32"/>
        </w:rPr>
        <w:t>各部门要建立沟通协调机制，加强协调配合，积极解决工作推进过程中存在的问题，主动与区委编办、区司法局等部门进行工作对接，依法依规、科学合理实施动态调整。</w:t>
      </w:r>
    </w:p>
    <w:p>
      <w:pPr>
        <w:pStyle w:val="4"/>
        <w:widowControl w:val="0"/>
        <w:numPr>
          <w:ilvl w:val="0"/>
          <w:numId w:val="0"/>
        </w:numPr>
        <w:tabs>
          <w:tab w:val="left" w:pos="1418"/>
          <w:tab w:val="clear" w:pos="360"/>
        </w:tabs>
        <w:ind w:firstLine="640" w:firstLineChars="200"/>
        <w:jc w:val="both"/>
        <w:rPr>
          <w:rFonts w:hint="eastAsia" w:ascii="仿宋_GB2312" w:hAnsi="华文中宋" w:eastAsia="仿宋_GB2312"/>
          <w:sz w:val="32"/>
          <w:szCs w:val="32"/>
        </w:rPr>
      </w:pPr>
      <w:r>
        <w:rPr>
          <w:rFonts w:hint="eastAsia" w:ascii="方正楷体_GBK" w:hAnsi="方正楷体_GBK" w:eastAsia="方正楷体_GBK" w:cs="方正楷体_GBK"/>
          <w:sz w:val="32"/>
          <w:szCs w:val="32"/>
        </w:rPr>
        <w:t>（三）加强日常管理。</w:t>
      </w:r>
      <w:r>
        <w:rPr>
          <w:rFonts w:hint="eastAsia" w:ascii="仿宋_GB2312" w:hAnsi="华文中宋" w:eastAsia="仿宋_GB2312"/>
          <w:sz w:val="32"/>
          <w:szCs w:val="32"/>
        </w:rPr>
        <w:t>未经批准，</w:t>
      </w:r>
      <w:r>
        <w:rPr>
          <w:rFonts w:hint="eastAsia" w:ascii="仿宋_GB2312" w:hAnsi="华文中宋" w:eastAsia="仿宋_GB2312"/>
          <w:sz w:val="32"/>
          <w:szCs w:val="32"/>
          <w:lang w:eastAsia="zh-CN"/>
        </w:rPr>
        <w:t>各部门</w:t>
      </w:r>
      <w:r>
        <w:rPr>
          <w:rFonts w:hint="eastAsia" w:ascii="仿宋_GB2312" w:hAnsi="华文中宋" w:eastAsia="仿宋_GB2312"/>
          <w:sz w:val="32"/>
          <w:szCs w:val="32"/>
        </w:rPr>
        <w:t>不得擅自调整本</w:t>
      </w:r>
      <w:r>
        <w:rPr>
          <w:rFonts w:hint="eastAsia" w:ascii="仿宋_GB2312" w:hAnsi="华文中宋" w:eastAsia="仿宋_GB2312"/>
          <w:sz w:val="32"/>
          <w:szCs w:val="32"/>
          <w:lang w:eastAsia="zh-CN"/>
        </w:rPr>
        <w:t>镇</w:t>
      </w:r>
      <w:r>
        <w:rPr>
          <w:rFonts w:hint="eastAsia" w:ascii="仿宋_GB2312" w:hAnsi="华文中宋" w:eastAsia="仿宋_GB2312"/>
          <w:sz w:val="32"/>
          <w:szCs w:val="32"/>
        </w:rPr>
        <w:t>权责清单内容</w:t>
      </w:r>
      <w:r>
        <w:rPr>
          <w:rFonts w:hint="eastAsia" w:ascii="仿宋_GB2312" w:hAnsi="华文中宋" w:eastAsia="仿宋_GB2312"/>
          <w:sz w:val="32"/>
          <w:szCs w:val="32"/>
          <w:lang w:eastAsia="zh-CN"/>
        </w:rPr>
        <w:t>，要切实维护权责清单的严肃性、规范性和权威性</w:t>
      </w:r>
      <w:r>
        <w:rPr>
          <w:rFonts w:hint="eastAsia" w:ascii="仿宋_GB2312" w:hAnsi="华文中宋" w:eastAsia="仿宋_GB2312"/>
          <w:sz w:val="32"/>
          <w:szCs w:val="32"/>
        </w:rPr>
        <w:t>。要加</w:t>
      </w:r>
      <w:r>
        <w:rPr>
          <w:rFonts w:hint="eastAsia" w:ascii="仿宋_GB2312" w:hAnsi="仿宋_GB2312" w:eastAsia="仿宋_GB2312" w:cs="仿宋_GB2312"/>
          <w:sz w:val="32"/>
          <w:szCs w:val="32"/>
        </w:rPr>
        <w:t>强权责</w:t>
      </w:r>
      <w:r>
        <w:rPr>
          <w:rFonts w:hint="eastAsia" w:ascii="仿宋_GB2312" w:hAnsi="仿宋_GB2312" w:eastAsia="仿宋_GB2312" w:cs="仿宋_GB2312"/>
          <w:sz w:val="32"/>
          <w:szCs w:val="32"/>
          <w:lang w:val="en-US" w:eastAsia="zh-CN"/>
        </w:rPr>
        <w:t>清单</w:t>
      </w:r>
      <w:r>
        <w:rPr>
          <w:rFonts w:hint="eastAsia" w:ascii="仿宋_GB2312" w:hAnsi="仿宋_GB2312" w:eastAsia="仿宋_GB2312" w:cs="仿宋_GB2312"/>
          <w:sz w:val="32"/>
          <w:szCs w:val="32"/>
        </w:rPr>
        <w:t>的宣传</w:t>
      </w:r>
      <w:r>
        <w:rPr>
          <w:rFonts w:hint="eastAsia" w:ascii="仿宋_GB2312" w:hAnsi="华文中宋" w:eastAsia="仿宋_GB2312"/>
          <w:sz w:val="32"/>
          <w:szCs w:val="32"/>
        </w:rPr>
        <w:t>力度，提高公众对权责清单的知晓率，主动接受社会监督，进一步发挥权责清单制度重要作用。</w:t>
      </w:r>
    </w:p>
    <w:p>
      <w:pPr>
        <w:keepNext w:val="0"/>
        <w:keepLines w:val="0"/>
        <w:pageBreakBefore w:val="0"/>
        <w:kinsoku/>
        <w:wordWrap/>
        <w:overflowPunct/>
        <w:topLinePunct w:val="0"/>
        <w:autoSpaceDE/>
        <w:autoSpaceDN/>
        <w:bidi w:val="0"/>
        <w:spacing w:line="576" w:lineRule="exact"/>
        <w:textAlignment w:val="auto"/>
        <w:rPr>
          <w:rFonts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spacing w:line="576" w:lineRule="exact"/>
        <w:ind w:left="1598" w:leftChars="304" w:hanging="960" w:hangingChars="300"/>
        <w:textAlignment w:val="auto"/>
        <w:rPr>
          <w:rFonts w:ascii="仿宋_GB2312" w:hAnsi="华文中宋" w:eastAsia="仿宋_GB2312"/>
          <w:sz w:val="32"/>
          <w:szCs w:val="32"/>
        </w:rPr>
      </w:pPr>
      <w:r>
        <w:rPr>
          <w:rFonts w:hint="eastAsia" w:ascii="仿宋_GB2312" w:hAnsi="仿宋_GB2312" w:eastAsia="仿宋_GB2312" w:cs="仿宋_GB2312"/>
          <w:bCs/>
          <w:sz w:val="32"/>
          <w:szCs w:val="32"/>
        </w:rPr>
        <w:t>附件</w:t>
      </w: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广元市昭化区卫子镇行政权力事项（第二批）责任清单</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spacing w:line="576" w:lineRule="exact"/>
        <w:jc w:val="both"/>
        <w:textAlignment w:val="auto"/>
        <w:rPr>
          <w:rFonts w:hint="default" w:ascii="仿宋_GB2312" w:hAnsi="仿宋_GB2312" w:eastAsia="仿宋_GB2312" w:cs="仿宋_GB2312"/>
          <w:bCs/>
          <w:sz w:val="32"/>
          <w:szCs w:val="32"/>
          <w:u w:val="none"/>
          <w:lang w:val="en-US" w:eastAsia="zh-CN"/>
        </w:rPr>
      </w:pPr>
      <w:r>
        <w:rPr>
          <w:rFonts w:hint="eastAsia" w:ascii="仿宋_GB2312" w:hAnsi="华文中宋" w:eastAsia="仿宋_GB2312"/>
          <w:sz w:val="32"/>
          <w:szCs w:val="32"/>
          <w:u w:val="none"/>
        </w:rPr>
        <w:t>（联系人：</w:t>
      </w:r>
      <w:r>
        <w:rPr>
          <w:rFonts w:hint="eastAsia" w:ascii="仿宋_GB2312" w:hAnsi="华文中宋" w:eastAsia="仿宋_GB2312"/>
          <w:sz w:val="32"/>
          <w:szCs w:val="32"/>
          <w:u w:val="none"/>
          <w:lang w:eastAsia="zh-CN"/>
        </w:rPr>
        <w:t>杨浩顺，联系方式：</w:t>
      </w:r>
      <w:r>
        <w:rPr>
          <w:rFonts w:hint="eastAsia" w:ascii="仿宋_GB2312" w:hAnsi="华文中宋" w:eastAsia="仿宋_GB2312"/>
          <w:sz w:val="32"/>
          <w:szCs w:val="32"/>
          <w:u w:val="none"/>
          <w:lang w:val="en-US" w:eastAsia="zh-CN"/>
        </w:rPr>
        <w:t>13508069732</w:t>
      </w:r>
      <w:r>
        <w:rPr>
          <w:rFonts w:hint="eastAsia" w:ascii="仿宋_GB2312" w:hAnsi="华文中宋" w:eastAsia="仿宋_GB2312"/>
          <w:sz w:val="32"/>
          <w:szCs w:val="32"/>
          <w:u w:val="none"/>
          <w:lang w:eastAsia="zh-CN"/>
        </w:rPr>
        <w:t>，</w:t>
      </w:r>
      <w:r>
        <w:rPr>
          <w:rFonts w:hint="eastAsia" w:ascii="仿宋_GB2312" w:hAnsi="华文中宋" w:eastAsia="仿宋_GB2312"/>
          <w:sz w:val="32"/>
          <w:szCs w:val="32"/>
          <w:u w:val="none"/>
          <w:lang w:val="en-US" w:eastAsia="zh-CN"/>
        </w:rPr>
        <w:t>联系邮箱：1406462719@qq.com。）</w:t>
      </w:r>
    </w:p>
    <w:p>
      <w:pPr>
        <w:keepNext w:val="0"/>
        <w:keepLines w:val="0"/>
        <w:pageBreakBefore w:val="0"/>
        <w:kinsoku/>
        <w:wordWrap/>
        <w:overflowPunct/>
        <w:topLinePunct w:val="0"/>
        <w:autoSpaceDE/>
        <w:autoSpaceDN/>
        <w:bidi w:val="0"/>
        <w:spacing w:line="576" w:lineRule="exact"/>
        <w:ind w:right="24"/>
        <w:jc w:val="both"/>
        <w:textAlignment w:val="auto"/>
        <w:rPr>
          <w:rFonts w:hint="eastAsia" w:ascii="仿宋_GB2312" w:hAnsi="仿宋_GB2312" w:eastAsia="仿宋_GB2312" w:cs="仿宋_GB2312"/>
          <w:bCs/>
          <w:sz w:val="32"/>
          <w:szCs w:val="32"/>
        </w:rPr>
      </w:pPr>
    </w:p>
    <w:p>
      <w:pPr>
        <w:keepNext w:val="0"/>
        <w:keepLines w:val="0"/>
        <w:pageBreakBefore w:val="0"/>
        <w:kinsoku/>
        <w:wordWrap/>
        <w:overflowPunct/>
        <w:topLinePunct w:val="0"/>
        <w:autoSpaceDE/>
        <w:autoSpaceDN/>
        <w:bidi w:val="0"/>
        <w:spacing w:line="576" w:lineRule="exact"/>
        <w:jc w:val="right"/>
        <w:textAlignment w:val="auto"/>
        <w:rPr>
          <w:rFonts w:hint="default" w:ascii="仿宋_GB2312" w:hAnsi="华文中宋" w:eastAsia="仿宋_GB2312"/>
          <w:sz w:val="32"/>
          <w:szCs w:val="32"/>
          <w:u w:val="none"/>
          <w:lang w:eastAsia="zh-CN"/>
        </w:rPr>
      </w:pPr>
    </w:p>
    <w:p>
      <w:pPr>
        <w:keepNext w:val="0"/>
        <w:keepLines w:val="0"/>
        <w:pageBreakBefore w:val="0"/>
        <w:kinsoku/>
        <w:wordWrap/>
        <w:overflowPunct/>
        <w:topLinePunct w:val="0"/>
        <w:autoSpaceDE/>
        <w:autoSpaceDN/>
        <w:bidi w:val="0"/>
        <w:spacing w:line="576" w:lineRule="exact"/>
        <w:jc w:val="right"/>
        <w:textAlignment w:val="auto"/>
        <w:rPr>
          <w:rFonts w:ascii="仿宋_GB2312" w:hAnsi="仿宋_GB2312" w:eastAsia="仿宋_GB2312" w:cs="仿宋_GB2312"/>
          <w:bCs/>
          <w:sz w:val="32"/>
          <w:szCs w:val="32"/>
        </w:rPr>
      </w:pPr>
      <w:r>
        <w:rPr>
          <w:rFonts w:hint="default" w:ascii="仿宋_GB2312" w:hAnsi="华文中宋" w:eastAsia="仿宋_GB2312"/>
          <w:sz w:val="32"/>
          <w:szCs w:val="32"/>
          <w:u w:val="none"/>
          <w:lang w:eastAsia="zh-CN"/>
        </w:rPr>
        <w:t>广元市昭化区卫子镇人民政府</w:t>
      </w:r>
      <w:r>
        <w:rPr>
          <w:rFonts w:ascii="仿宋_GB2312" w:hAnsi="仿宋_GB2312" w:eastAsia="仿宋_GB2312" w:cs="仿宋_GB2312"/>
          <w:bCs/>
          <w:sz w:val="32"/>
          <w:szCs w:val="32"/>
        </w:rPr>
        <w:t xml:space="preserve">    </w:t>
      </w:r>
    </w:p>
    <w:p>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hAnsi="仿宋_GB2312" w:eastAsia="仿宋_GB2312" w:cs="仿宋_GB2312"/>
          <w:bCs/>
          <w:sz w:val="32"/>
          <w:szCs w:val="32"/>
        </w:rPr>
      </w:pPr>
      <w:r>
        <w:rPr>
          <w:rFonts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w:t>
      </w:r>
      <w:r>
        <w:rPr>
          <w:rFonts w:ascii="仿宋_GB2312" w:hAnsi="仿宋_GB2312" w:eastAsia="仿宋_GB2312" w:cs="仿宋_GB2312"/>
          <w:bCs/>
          <w:sz w:val="32"/>
          <w:szCs w:val="32"/>
        </w:rPr>
        <w:t>20</w:t>
      </w: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12</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19</w:t>
      </w:r>
      <w:r>
        <w:rPr>
          <w:rFonts w:hint="eastAsia" w:ascii="仿宋_GB2312" w:hAnsi="仿宋_GB2312" w:eastAsia="仿宋_GB2312" w:cs="仿宋_GB2312"/>
          <w:bCs/>
          <w:sz w:val="32"/>
          <w:szCs w:val="32"/>
        </w:rPr>
        <w:t>日</w:t>
      </w:r>
      <w:r>
        <w:rPr>
          <w:rFonts w:ascii="仿宋_GB2312" w:hAnsi="仿宋_GB2312" w:eastAsia="仿宋_GB2312" w:cs="仿宋_GB2312"/>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rPr>
          <w:rFonts w:hint="eastAsia" w:ascii="黑体" w:hAnsi="黑体" w:eastAsia="黑体" w:cs="黑体"/>
          <w:b w:val="0"/>
          <w:bCs w:val="0"/>
          <w:color w:val="000000"/>
          <w:spacing w:val="-20"/>
          <w:kern w:val="0"/>
          <w:sz w:val="32"/>
          <w:szCs w:val="32"/>
          <w:shd w:val="clear" w:color="auto" w:fill="FFFFFF"/>
          <w:lang w:val="en-US" w:eastAsia="zh-CN"/>
        </w:rPr>
      </w:pPr>
      <w:r>
        <w:rPr>
          <w:rFonts w:ascii="仿宋_GB2312" w:hAnsi="仿宋_GB2312" w:eastAsia="仿宋_GB2312" w:cs="仿宋_GB2312"/>
          <w:bCs/>
          <w:sz w:val="32"/>
          <w:szCs w:val="32"/>
        </w:rPr>
        <w:br w:type="page"/>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b w:val="0"/>
          <w:bCs w:val="0"/>
          <w:color w:val="000000"/>
          <w:spacing w:val="-20"/>
          <w:kern w:val="0"/>
          <w:sz w:val="32"/>
          <w:szCs w:val="32"/>
          <w:shd w:val="clear" w:color="auto" w:fill="FFFFFF"/>
          <w:lang w:val="en-US" w:eastAsia="zh-CN"/>
        </w:rPr>
      </w:pPr>
      <w:r>
        <w:rPr>
          <w:rFonts w:hint="eastAsia" w:ascii="黑体" w:hAnsi="黑体" w:eastAsia="黑体" w:cs="黑体"/>
          <w:b w:val="0"/>
          <w:bCs w:val="0"/>
          <w:color w:val="000000"/>
          <w:spacing w:val="-20"/>
          <w:kern w:val="0"/>
          <w:sz w:val="32"/>
          <w:szCs w:val="32"/>
          <w:shd w:val="clear" w:color="auto" w:fill="FFFFFF"/>
          <w:lang w:val="en-US" w:eastAsia="zh-CN"/>
        </w:rPr>
        <w:t>附件</w:t>
      </w:r>
    </w:p>
    <w:p>
      <w:pPr>
        <w:pStyle w:val="4"/>
        <w:numPr>
          <w:ilvl w:val="0"/>
          <w:numId w:val="0"/>
        </w:numPr>
        <w:ind w:leftChars="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华文中宋" w:eastAsia="仿宋_GB2312"/>
          <w:sz w:val="32"/>
          <w:szCs w:val="32"/>
          <w:lang w:val="en-US" w:eastAsia="zh-CN"/>
        </w:rPr>
      </w:pPr>
      <w:r>
        <w:rPr>
          <w:rFonts w:hint="eastAsia" w:ascii="Times New Roman" w:hAnsi="Times New Roman" w:eastAsia="方正小标宋简体" w:cs="Times New Roman"/>
          <w:kern w:val="2"/>
          <w:sz w:val="44"/>
          <w:szCs w:val="44"/>
          <w:lang w:val="en-US" w:eastAsia="zh-CN" w:bidi="ar-SA"/>
        </w:rPr>
        <w:t>广元市昭化区卫子镇行政权力事项（第二批）责任清单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w:t>
      </w:r>
    </w:p>
    <w:tbl>
      <w:tblPr>
        <w:tblStyle w:val="9"/>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7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2"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8"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6" w:type="pct"/>
            <w:noWrap w:val="0"/>
            <w:vAlign w:val="center"/>
          </w:tcPr>
          <w:p>
            <w:pPr>
              <w:ind w:firstLine="420" w:firstLineChars="200"/>
              <w:jc w:val="left"/>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对未经批准或者未按照批准内容进行临时建设以及临时建筑物、构筑物超过批准期限不拆除的行政处罚</w:t>
            </w:r>
            <w:r>
              <w:rPr>
                <w:rFonts w:hint="eastAsia" w:ascii="Times New Roman" w:hAnsi="Times New Roman" w:cs="Times New Roman"/>
                <w:b w:val="0"/>
                <w:bCs w:val="0"/>
                <w:color w:val="000000"/>
                <w:lang w:eastAsia="zh-CN"/>
              </w:rPr>
              <w:t>（不含“对未按照批准内容进行临时建设以及临时建筑物、构筑物超过批准期限不拆除的行政处罚”）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权力主体</w:t>
            </w:r>
          </w:p>
        </w:tc>
        <w:tc>
          <w:tcPr>
            <w:tcW w:w="4246" w:type="pct"/>
            <w:noWrap w:val="0"/>
            <w:vAlign w:val="center"/>
          </w:tcPr>
          <w:p>
            <w:pPr>
              <w:ind w:firstLine="420" w:firstLineChars="200"/>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权力来源</w:t>
            </w:r>
          </w:p>
        </w:tc>
        <w:tc>
          <w:tcPr>
            <w:tcW w:w="4246" w:type="pct"/>
            <w:noWrap w:val="0"/>
            <w:vAlign w:val="center"/>
          </w:tcPr>
          <w:p>
            <w:pPr>
              <w:jc w:val="center"/>
              <w:rPr>
                <w:rFonts w:hint="default" w:ascii="Times New Roman" w:hAnsi="Times New Roman" w:eastAsia="宋体" w:cs="Times New Roman"/>
                <w:b w:val="0"/>
                <w:bCs w:val="0"/>
                <w:color w:val="00000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6"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auto"/>
                <w:lang w:eastAsia="zh-CN"/>
              </w:rPr>
              <w:t>卫子</w:t>
            </w:r>
            <w:r>
              <w:rPr>
                <w:rFonts w:hint="default" w:ascii="Times New Roman" w:hAnsi="Times New Roman" w:cs="Times New Roman"/>
                <w:b w:val="0"/>
                <w:bCs w:val="0"/>
                <w:color w:val="auto"/>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2"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r>
        <w:rPr>
          <w:rFonts w:hint="default" w:ascii="Times New Roman" w:hAnsi="Times New Roman" w:cs="Times New Roman"/>
          <w:b w:val="0"/>
          <w:bCs w:val="0"/>
          <w:color w:val="000000"/>
        </w:rPr>
        <w:t>表1-2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spacing w:line="260" w:lineRule="exact"/>
              <w:ind w:firstLine="420" w:firstLineChars="200"/>
              <w:jc w:val="left"/>
              <w:rPr>
                <w:rFonts w:hint="default" w:ascii="Times New Roman" w:hAnsi="Times New Roman" w:cs="Times New Roman"/>
                <w:b w:val="0"/>
                <w:bCs w:val="0"/>
                <w:color w:val="000000"/>
              </w:rPr>
            </w:pPr>
            <w:r>
              <w:rPr>
                <w:rFonts w:hint="default" w:ascii="Times New Roman" w:hAnsi="Times New Roman" w:cs="Times New Roman"/>
                <w:b w:val="0"/>
                <w:bCs w:val="0"/>
                <w:color w:val="000000"/>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74"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《城市照明管理规定》 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第三十二条　违反本规定，有第二十八条规定行为之一的，由城市照明主管部门责令限期改正，对个人处以200元以上1000元以下的罚款；对单位处以1000元以上3万元以下的罚款；造成损失的，依法赔偿损失。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4"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snapToGrid w:val="0"/>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对在历史文化名城、名镇、名村保护范围内在历史建筑上刻划、涂污的行政处罚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0"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《历史文化名城名镇名村保护条例》第四十二条　违反本条例规定，在历史建筑上刻划、涂污的，由城市、县人民政府城乡规划主管部门责令恢复原状或者采取其他补救措施，处50元的罚款。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0"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对在历史文化名城、名镇、名村保护范围内擅自设置、移动、涂改或者损毁历史文化街区、名镇、名村标志牌的行政处罚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r>
              <w:rPr>
                <w:rFonts w:hint="default" w:ascii="Times New Roman" w:hAnsi="Times New Roman" w:cs="Times New Roman"/>
                <w:b w:val="0"/>
                <w:bCs w:val="0"/>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lang w:val="en-US" w:eastAsia="zh-CN"/>
              </w:rPr>
              <w:t xml:space="preserve">    </w:t>
            </w:r>
            <w:r>
              <w:rPr>
                <w:rFonts w:hint="default" w:ascii="Times New Roman" w:hAnsi="Times New Roman" w:cs="Times New Roman"/>
                <w:b w:val="0"/>
                <w:bCs w:val="0"/>
                <w:color w:val="00000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对损坏各类环境卫生设施及附属设施的行政处罚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对违反摊点卫生管理规定的行政处罚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 第三十七条第二款　 集贸市场内的经营者应当保持摊位和经营场所的整洁。餐饮、农产品等易产生垃圾的摊位应当配置垃圾收集容器，保持摊点干净和卫生。</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第三十八条　早市、夜市、摊区、临时农副产品市场应当定时定点经营，保持摊位整洁，收市时应当将垃圾、污渍清理干净。临时饮食摊点应当采取有效措施防止油污、污水和垃圾污染环境。</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第六十五条第四项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对侵占、毁损、围挡园林绿地；损毁、盗窃、占用城乡环境卫生设施，擅自关闭、拆除、迁移或者改变用途的行政处罚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《四川省城乡环境综合治理条例》第二十五条第一款　城镇园林绿地建设应当具有市容美化、防灾避险功能，应当定期维护，保持整洁美观，禁止侵占、毁损、围挡园林绿地。</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第五十五条　单位和个人应当保护和正确使用城乡环境卫生设施，禁止损毁、盗窃、占用；禁止擅自关闭、拆除、迁移或者改变其使用性质和内部结构。</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对占用公共道路和公共场所从事车辆修理、清洗、装饰和再生资源回收的行政处罚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《四川省城乡环境综合治理条例》第三十九条　从事车辆修理、清洗、装饰和再生资源回收的，应当符合国土空间规划、城乡容貌管理的要求，保持经营场所及周边环境整洁卫生，不得占用公共道路和公共场所。</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第六十九条　违反本条例第三十九条规定，占用公共道路和公共场所从事车辆修理、清洗、装饰和再生资源回收的，责令改正，恢复原状，并处五百元以上两千元以下罚款。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对施工单位未及时清运工程施工过程中产生的建筑垃圾，造成环境污染的行政处罚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《城市建筑垃圾管理规定》第二十二条第一款　施工单位未及时清运工程施工过程中产生的建筑垃圾，造成环境污染的，由城市人民政府市容环境卫生主管部门责令限期改正，给予警告，处5000元以上5万元以下罚款。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对单位和个人未按规定缴纳城市生活垃圾处理费的行政处罚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《城市生活垃圾管理办法》第三十八条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对随意倾倒、抛洒、堆放城市生活垃圾的行政处罚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表1-14</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6"/>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5" w:type="pct"/>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对擅自砍伐、损坏城市树竹花草或者损毁城市园林绿地；因养护不善致使古树名木受到损伤或者死亡；损坏城市园林绿化设施的行政处罚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4245" w:type="pct"/>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4245"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8"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1.《城市绿化条例》第二十六条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2.《四川省城市园林绿化条例》第四十条　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2"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8"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5"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对堆放、吊挂影响市容市貌物品的行政处罚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《四川省城乡环境综合治理条例》第二十条第一款　 城镇临街建（构）筑物立面应当保持整洁、完好，其造型、色调和风格应当与周围环境景观相协调。屋顶、阳台、平台、外走廊及窗外不得堆放、吊挂影响市容市貌的物品；各类附属设施应当规范设置。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第六十五条第一项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对在城镇住宅区内饲养家畜家禽，饲养宠物和信鸽影响环境卫生和周围居民正常生活的行政处罚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《四川省城乡环境综合治理条例》第三十六条第二款　禁止在城镇住宅区内饲养家禽家畜。城镇居民经批准饲养宠物和信鸽的，不得影响环境卫生和周围居民正常生活。携带宠物出户，应当携带清洁用具，及时清除宠物排泄物，维护公共环境卫生。</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第六十五条第三项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对单位和个人擅自开启公共消火栓的行政处罚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《四川省城市供水条例》第四十四条第三款　公共消火栓实行专管专用制度，除训练演练、灭火救援用水外，任何单位和个人不得擅自动用。</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第五十七条第六项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对在城市绿地范围内进行拦河截溪、取土采石、设置垃圾堆场、排放污水以及其他对城市生态环境造成破坏活动的行政处罚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对违反施工现场容貌管理规定逾期不改正的行政处罚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第六十八条 　违反本条例第二十七条第一款施工现场容貌管理规定的，责令限期改正，处二万元以上十万元以下罚款；拒不改正的，责令停工整治。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对城乡环境综合治理责任人不履行义务，责任区的容貌秩序、环境卫生未达到有关标准的行政处罚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卫子</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rPr>
            </w:pPr>
            <w:r>
              <w:rPr>
                <w:rFonts w:hint="default" w:ascii="Times New Roman" w:hAnsi="Times New Roman" w:cs="Times New Roman"/>
                <w:b w:val="0"/>
                <w:bCs w:val="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lang w:eastAsia="zh-CN"/>
              </w:rPr>
            </w:pPr>
            <w:r>
              <w:rPr>
                <w:rFonts w:hint="default" w:ascii="Times New Roman" w:hAnsi="Times New Roman" w:cs="Times New Roman"/>
                <w:b w:val="0"/>
                <w:bCs w:val="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rPr>
                <w:rFonts w:hint="default" w:ascii="Times New Roman" w:hAnsi="Times New Roman" w:cs="Times New Roman"/>
                <w:b w:val="0"/>
                <w:bCs w:val="0"/>
              </w:rPr>
            </w:pPr>
            <w:r>
              <w:rPr>
                <w:rFonts w:hint="default" w:ascii="Times New Roman" w:hAnsi="Times New Roman" w:cs="Times New Roman"/>
                <w:b w:val="0"/>
                <w:bCs w:val="0"/>
                <w:color w:val="000000"/>
                <w:spacing w:val="-1"/>
              </w:rPr>
              <w:t>对运输煤炭、垃圾、渣土、砂石、土方、灰浆等散装、流体物料的车辆，未采取密闭或者其他措施防止物料遗撒的行政处罚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对车辆未采取覆盖或者密闭措施，造成泄漏遗撒的或者违规倾倒的行政处罚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《四川省城乡环境综合治理条例》第二十六条第二款　城乡道路上行驶的各种机动车辆应当保持车容整洁。运载垃圾、泥土、砂石、水泥、混凝土、灰浆、煤炭等易飘洒物和液体的机动车辆，应当采取外层覆盖或者密闭措施，不得泄漏遗撒和违规倾倒。</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对排放油烟的餐饮服务业经营者未安装油烟净化设施、不正常使用油烟净化设施或者未采取其他油烟净化措施，超过排放标准排放油烟的行政处罚（由生态环境部门实施的区域除外）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对在当地人民政府禁止的时段和区域内露天烧烤食品或者为露天烧烤食品提供场地的行政处罚（由生态环境部门实施的区域除外）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对露天焚烧秸秆、落叶等产生烟尘污染的物质的行政处罚（由生态环境部门实施的区域除外）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对在人口集中地区和其他依法需要特殊保护的区域内，焚烧沥青、油毡、橡胶、塑料、皮革、垃圾以及其他产生有毒有害烟尘和恶臭气体的物质的行政处罚（由生态环境部门实施的区域除外）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表1-2</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对擅自进行涉路施工等行为的行政处罚（</w:t>
            </w: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不含“对未按照公路工程技术标准的要求修建桥梁、渡槽或者架设、埋设管线、电缆等设施和未经批准在公路上增设或者改造平面交叉道口的行政处罚”；2.仅适用农村公路）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3"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1.《中华人民共和国公路法》第四十四条第一款　任何单位和个人不得擅自占用、挖掘公路。</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第五十五条　在公路上增设平面交叉道口，必须按照国家有关规定经过批准，并按照国家规定的技术标准建设。</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第七十六条第一项、第二项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第八十条　违反本法第五十五条规定，未经批准在公路上增设平面交叉道口的，由交通主管部门责令恢复原状，处五万元以下的罚款。</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2.《公路安全保护条例》第二十七条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 xml:space="preserve">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 </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3.《四川省农村公路条例》第二十八条　其他建设工程需要占用、挖掘村道等影响村道畅通安全的行为，应当征求村民委员会的意见，并报乡（镇）人民政府同意，由乡（镇）人民政府报县（市、区）人民政府交通运输主管部门公路管理机构备案。占用、挖掘村道的应当按照不低于该路段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sz w:val="21"/>
                <w:szCs w:val="21"/>
              </w:rPr>
              <w:t>第五十五条　违反本条例第二十八条规定，实施占用、挖掘村道等影响村道畅通安全的行为，未经乡（镇）人民政府同意的，县（市、区）人民政府交通运输主管部门公路管理机构可以处三万元以下的罚款。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1"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对从事挖砂、爆破及其他危及公路、公路桥梁等安全的作业行为的行政处罚</w:t>
            </w:r>
          </w:p>
          <w:p>
            <w:pPr>
              <w:ind w:firstLine="420" w:firstLineChars="200"/>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第七十六条第三项　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2.《四川省农村公路条例》第三十一条　禁止在村道的公路用地外缘起向外五十米、大中型桥梁和渡口周围二百米、隧道上方和洞口外一百米范围内从事采矿、爆破等危及村道安全的活动。</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第五十七条　违反本条例第三十一条规定，实施危及村道安全活动的，由县（市、区）人民政府交通运输主管部门公路管理机构责令改正，可以处二千元以上一万元以下的罚款；情节严重的，可以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对利用公路桥梁进行牵拉、吊装等危及公路桥梁安全的施工作业行为的行政处罚（仅适用农村公路）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《公路安全保护条例》第二十二条第一款　禁止利用公路桥梁进行牵拉、吊装等危及公路桥梁安全的施工作业。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第五十九条　违反本条例第二十二条规定的，由公路管理机构责令改正，处2万元以上10万元以下的罚款。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对铁轮车、履带车和其他可能损害路面的机具擅自在公路上行驶行为的行政处罚（仅适用农村公路）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6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《中华人民共和国公路法》第四十八条　铁轮车、履带车和其他可能损害公路路面的机具，不得在公路上行驶。农业机械因当地田间作业需要在公路上短距离行驶或者军用车辆执行任务需要在公路上行驶的，可以不受前款限制，但是应当采取安全保护措施。对公路造成损坏的，应当按照损坏程度给予补偿。</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第七十六条第四项　有下列违法行为之一的，由交通主管部门责令停止违法行为，可以处三万元以下的罚款：（四）违反本法第四十八条规定，铁轮车、履带车和其他可能损害路面的机具擅自在公路上行驶的。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对损坏、擅自移动、涂改、遮挡公路附属设施或者利用公路附属设施架设管道、悬挂物品或者损坏、擅自挪动建筑控制区的标桩、界桩等可能危及公路安全等行为的行政处罚（仅适用农村公路）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1.《中华人民共和国公路法》第五十二条　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2.《公路安全保护条例》第二十五条　禁止损坏、擅自移动、涂改、遮挡公路附属设施或者利用公路附属设施架设管道、悬挂物品。</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对造成公路路面损坏、污染或者影响公路畅通行为的行政处罚（仅适用农村公路）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1.《中华人民共和国公路法》第四十六条　任何单位和个人不得在公路上及公路用地范围内摆摊设点、堆放物品、倾倒垃圾、设置障碍、挖沟引水、利用公路边沟排放污物或者进行其他损坏、污染公路和影响公路畅通的活动。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第七十七条　违反本法第四十六条的规定，造成公路路面损坏、污染或者影响公路畅通的，或者违反本法第五十一条规定，将公路作为试车场地的，由交通主管部门责令停止违法行为，可以处五千元以下的罚款。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2.《公路安全保护条例》第六十九条　车辆装载物触地拖行、掉落、遗洒或者飘散，造成公路路面损坏、污染的，由公路管理机构责令改正，处5000元以下的罚款。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对在公路建筑控制区内修建、扩建建筑物、地面构筑物或擅自埋设管道、电缆等设施行为的行政处罚（仅适用农村公路）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3.《四川省农村公路条例》第二十七条　在农村公路建筑控制区内，除农村公路保护需要外，禁止修建建筑物和地面构筑物。农村公路建筑控制区划定前已经合法修建的不得扩建，因农村公路建设、养护或者保障公路通行安全等原因需要拆除的应当依法给予补偿。在农村公路建筑控制区外修建的建筑物、地面构筑物以及其他设施不得遮挡公路安全标志、妨碍安全视距。 </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以上二千元以下的罚款；情节严重的，处二千元以上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对在崩塌、滑坡危险区或者泥石流易发区从事取土、挖砂、采石等可能造成水土流失的活动的行政处罚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对在禁止开垦坡度以上陡坡地开垦种植农作物或者在禁止开垦、开发的植物保护带内开垦、开发的行政处罚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对采集发菜，或者在水土流失重点预防区和重点治理区铲草皮、挖树兜、滥挖虫草、甘草、麻黄等的行政处罚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9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对破坏、侵占、毁损防洪排涝设施的行政处罚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《四川省〈中华人民共和国防洪法〉实施办法》第十条　任何单位和个人不得破坏、侵占、毁损防洪排涝设施，不得向行洪道倾倒固体废弃物。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第二十九条　 违反本实施办法第十条规定的，由县级以上地方人民政府水行政主管部门责令停止违法行为，恢复原状，赔偿损失，可并处1万元以上5万元以下罚款。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对在供生活饮用水的重要水域，从事集约化养殖等危害饮用水水源水质的活动的行政处罚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08" w:firstLineChars="200"/>
              <w:rPr>
                <w:rFonts w:hint="default" w:ascii="Times New Roman" w:hAnsi="Times New Roman" w:cs="Times New Roman"/>
                <w:b w:val="0"/>
                <w:bCs w:val="0"/>
                <w:color w:val="000000"/>
                <w:spacing w:val="-3"/>
                <w:lang w:eastAsia="zh-CN"/>
              </w:rPr>
            </w:pPr>
            <w:r>
              <w:rPr>
                <w:rFonts w:hint="default" w:ascii="Times New Roman" w:hAnsi="Times New Roman" w:cs="Times New Roman"/>
                <w:b w:val="0"/>
                <w:bCs w:val="0"/>
                <w:color w:val="000000"/>
                <w:spacing w:val="-3"/>
              </w:rPr>
              <w:t>　《四川省〈中华人民共和国水法〉实施办法》第十五条第二款　供生活饮用水的重要水域，不得从事集约化养殖等危害饮用水水源水质的活动。</w:t>
            </w:r>
          </w:p>
          <w:p>
            <w:pPr>
              <w:ind w:firstLine="408" w:firstLineChars="200"/>
              <w:rPr>
                <w:rFonts w:hint="default" w:ascii="Times New Roman" w:hAnsi="Times New Roman" w:cs="Times New Roman"/>
                <w:b w:val="0"/>
                <w:bCs w:val="0"/>
                <w:color w:val="000000"/>
                <w:spacing w:val="-3"/>
              </w:rPr>
            </w:pPr>
            <w:r>
              <w:rPr>
                <w:rFonts w:hint="default" w:ascii="Times New Roman" w:hAnsi="Times New Roman" w:cs="Times New Roman"/>
                <w:b w:val="0"/>
                <w:bCs w:val="0"/>
                <w:color w:val="000000"/>
                <w:spacing w:val="-3"/>
              </w:rPr>
              <w:t>第三十九条　违反本办法第十五条第二款规定的，责令限期拆除、恢复原状；逾期不拆除、不恢复原状的，代为拆除、恢复原状，费用由违法单位或者个人承担，并处1万元以上5万元以下的罚款。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对未经许可在水利工程管理范围内建设项目的行政处罚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《四川省水利工程管理条例》第二十三条　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在水利工程管理范围内新建、改建、扩建各类建设项目，应当符合国家规定的防洪标准和其他有关技术要求，确保安全生产和消除有毒有害因素，不得影响水利工程安全，不得破坏水生态环境，保持行洪畅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第四十九条　违反本条例第二十三条、第二十四条规定的，由水行政主管部门责令停止施工，处一万元以上十万元以下的罚款，造成损失的依法赔偿。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对在水利工程管理和保护范围内从事相关违法行为的行政处罚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《四川省〈中华人民共和国水法〉实施办法》第二十条第二款　在水工程管理范围内（包括水利工程用地、护渠地、护堤地），禁止从事下列活动：（一）损害水工程建筑物及其附属设施；（二）擅自砍伐水工程防护林木；（三）在堤坝上垦植、铲草、放牧；（四）未经批准修建建筑物；（五）进行爆破、采矿、打井、筑坟、采石（砂）、取土；（六）向水库、渠道水域、滩地倾倒固体废弃物和液体污染物；（七）其他危害水工程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在水工程保护范围内，禁止从事影响水工程运行、危害水工程安全和防洪设施以及污染水源的爆破、打井、取土、采石（砂）、陡坡开垦、伐木、开矿、建筑等活动。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违反本办法第二十条第二款、第三款规定的，责令停止违法行为，采取补救措施，处1万元以上5万元以下的罚款。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对在村镇供水工程保护控制范围内从事禁止性活动的行政处罚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 第二十六条第二款　供水工程保护控制范围内，不得修建筑物、构筑物，不得挖坑（沟）、取土、堆渣，严禁爆破、打桩、顶进作业等危害供水工程及设施安全的活动。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净水构筑物、调节构筑物、泵站（加压站）保护范围内，不得设立生活区和修建畜禽饲养场、厕所、渗水坑、污水沟道，不得堆放垃圾、粪便等污染物，严禁排放有毒有害物质。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六条第二款、第三款规定，在村镇供水工程保护控制范围内从事禁止性活动的，由县级以上地方人民政府水行政主管部门责令改正；拒不改正的，处以二千元以上二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对擅自改装、迁移、拆除公共供水设施，拆卸、启封、损坏结算水表或者干扰水表正常计量的行政处罚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《四川省村镇供水条例》第二十八条　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第五十一条　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对擅自在村镇公共供水管道上连接取水设施的行政处罚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对擅自将生产、使用有毒有害物质的设施与村镇公共供水管道连接的行政处罚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对供水单位擅自停止营运的行政处罚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《四川省村镇供水条例》第三十四条　已在营运的供水单位不得擅自停止营运。供水单位需退出营运的，应当提前三个月向县级水行政主管部门提出申请。供水单位退出营运的管理办法由省人民政府另行制定。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第五十三条　供水单位违反本条例第三十四条规定，供水单位擅自停止营运的，由县级以上地方人民政府水行政主管部门责令限期恢复营运，并对供水单位处一万元以上五万元以下罚款。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eastAsiaTheme="minorEastAsia"/>
                <w:b w:val="0"/>
                <w:bCs w:val="0"/>
                <w:color w:val="000000"/>
                <w:spacing w:val="-1"/>
                <w:kern w:val="2"/>
                <w:position w:val="1"/>
                <w:sz w:val="21"/>
                <w:szCs w:val="21"/>
                <w:lang w:val="en-US" w:eastAsia="zh-CN" w:bidi="ar-SA"/>
              </w:rPr>
            </w:pPr>
            <w:r>
              <w:rPr>
                <w:rFonts w:hint="default" w:ascii="Times New Roman" w:hAnsi="Times New Roman" w:cs="Times New Roman" w:eastAsiaTheme="minorEastAsia"/>
                <w:b w:val="0"/>
                <w:bCs w:val="0"/>
                <w:color w:val="000000"/>
                <w:spacing w:val="-1"/>
                <w:kern w:val="2"/>
                <w:position w:val="1"/>
                <w:sz w:val="21"/>
                <w:szCs w:val="21"/>
                <w:lang w:val="en-US" w:eastAsia="zh-CN" w:bidi="ar-SA"/>
              </w:rPr>
              <w:t>对擅自开启公共消防栓的行政处罚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《四川省村镇供水条例》第四十五条第二款　公共消火栓实行专管专用制度，除训练演练、灭火救援用水外，任何单位和个人不得擅自动用。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违反本条例第四十五条第二款规定，擅自开启公共消防栓的，由县级以上地方人民政府水行政主管部门对行为人处以五百元以上五千元以下罚款，并依法承担赔偿责任。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对擅自砍伐护堤护岸林木的行政处罚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5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对在堤防安全保护区内进行打井、钻探、爆破、挖筑鱼塘、采石、取土、建房、开渠等危害堤防安全的活动的行政处罚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《中华人民共和国河道管理条例》第四十五条第二项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对擅自移动、损坏水利工程的界桩、公告牌的行政处罚</w:t>
            </w:r>
          </w:p>
          <w:p>
            <w:pPr>
              <w:jc w:val="center"/>
              <w:rPr>
                <w:rFonts w:hint="eastAsia"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（仅适用乡镇及以下管理的水利工程）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《四川省水利工程管理条例》第二十五条　县级以上地方人民政府应当对本行政区域内水利工程划定管理范围和保护范围并向社会公告。任何单位和个人不得擅自移动、损坏设置的界桩、公告牌。水利工程应当在竣工验收合格两年内完成划界，确定工程所有权和使用权。</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违反本条例第二十五条规定，擅自移动、损坏水利工程的界桩、公告牌的，由水行政主管部门责令改正，可处五百元以上二千元以下的罚款。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对农业投入品生产者、销售者、使用者未按照规定及时回收肥料等农业投入品的包装废弃物或者农用薄膜，或者未按照规定及时回收农药包装废弃物交由专门的机构或者组织进行无害化处理的行政处罚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3.《农用薄膜管理办法》第二十四条　农用薄膜生产者、销售者、使用者未按照规定回收农用薄膜的，依照《中华人民共和国土壤污染防治法》第八十八条规定处罚。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对农药经营者和农药包装废弃物回收站（点）未按规定建立农药包装废弃物回收台账的行政处罚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spacing w:val="-1"/>
              </w:rPr>
              <w:t>对侵占、损毁、拆除、擅自移动农作物病虫害监测设施设备或者以其他方式妨害农作物病虫害监测设施设备正常运行的行政处罚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对在地表水饮用水水源二级保护区内违反规定使用化肥行为的行政处罚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《四川省饮用水水源保护管理条例》第十八条第四项　地表水饮用水水源二级保护区内，除遵守本条例第十七条规定外，还应当遵守下列规定：（四）禁止使用农药；禁止丢弃农药、农药包装物或者清洗施药器械；限制使用化肥。</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对在地表水饮用水水源保护一级保护区内使用化肥行为的行政处罚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《四川省饮用水水源保护管理条例》第十九条第二项　地表水饮用水水源一级保护区内，除遵守本条例第十七条和第十八条规定外，还应当遵守下列规定：（二）禁止使用化肥。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对未按规定建立、保存或者伪造农产品生产记录的行政处罚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1.《中华人民共和国农产品质量安全法》第四十七条　农产品生产企业、农民专业合作经济组织未建立或者未按照规定保存农产品生产记录的，或者伪造农产品生产记录的，责令限期改正；逾期不改正的，可以处二千元以下罚款。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2.《四川省〈中华人民共和国农产品质量安全法〉实施办法》第二十一条　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农产品生产记录应当保存二年。禁止伪造农产品生产记录。</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违反本办法第二十一条规定的，由县级以上地方人民政府农业行政主管部门责令限期改正；逾期不改正的，处2000元以下罚款。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对销售的农产品未按照规定进行包装、标识的行政处罚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1.《中华人民共和国农产品质量安全法》第二十八条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第四十八条　违反本法第二十八条规定，销售的农产品未按照规定进行包装、标识的，责令限期改正；逾期不改正的，可以处二千元以下罚款。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对擅自移动、损毁禁止生产区标牌的行政处罚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1.《农产品产地安全管理办法》第二十六条第二款　违反本办法规定，擅自移动、损毁禁止生产区标牌的，由县级以上地方人民政府农业行政主管部门责令限期改正，可处以一千元以下罚款。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2.《四川省〈中华人民共和国农产品质量安全法〉实施办法》第十一条第二款　任何单位和个人不得擅自移动和损毁标识。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　违反本办法第十一条第二款规定，擅自移动、损毁禁止生产区标识的，由县级以上地方人民政府农业行政主管部门责令限期改正，可处1000元以下罚款。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对未建立、保存农业投入品进销货台账或者未向购买者出具销售凭证的行政处罚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《四川省〈中华人民共和国农产品质量安全法〉实施办法》第十九条第一款　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第四十二条　违反本办法第十九条第一款规定，未建立、保存进销货台账或者未向购买者出具销售凭证的，由县级以上地方人民政府农业行政主管部门责令其限期改正；逾期不改正的，处200元以上1000元以下罚款；未向购买者说明或未正确说明农业投入品使用方法和注意事项，给农业投入品使用者造成损失的，依法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对农产品生产过程中违规行为的行政处罚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对农产品运载工具、垫料、包装物、容器等不符合卫生、植物检疫和动物防疫条件，或将农产品与有毒有害物品混装运输的行政处罚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《四川省〈中华人民共和国农产品质量安全法〉实施办法》第二十四条第一款　农产品的运载工具、垫料、包装物、容器等应当符合国家规定的卫生、植物检疫和动物防疫条件，不得将农产品与有毒有害物品混装运输。</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第四十五条　违反本办法第二十四条第一款规定的，由县级以上地方人民政府农业行政主管部门或者其他有关部门责令改正，监督其对被污染的农产品进行无害化处理；对不能进行无害化处理的，予以监督销毁，并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对未按照规定登记、使用拖拉机、联合收割机的行政处罚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对未取得操作证件操作拖拉机、联合收割机的行政处罚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《农业机械安全监督管理条例》第五十二条　未取得拖拉机、联合收割机操作证件而操作拖拉机、联合收割机的，由县级以上地方人民政府农业机械化主管部门责令改正，处100元以上500元以下罚款。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对未按照规定操作拖拉机、联合收割机的行政处罚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对使用拖拉机、联合收割机违反规定载人的行政处罚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1.《中华人民共和国农业机械化促进法》第三十一条　农业机械驾驶、操作人员违反国家规定的安全操作规程，违章作业的，责令改正，依照有关法律、行政法规的规定予以处罚；构成犯罪的，依法追究刑事责任。</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对农业机械操作人员违规操作的行政处罚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《四川省农业机械安全监督管理条例》 第二十八条第一项至第三项、第六项至第八项　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第二十九条第七项　操作拖拉机、联合收割机应当严格执行有关安全操作规程，不得有下列行为：（七）操作拼装或者报废的拖拉机、联合收割机。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第四十五条　违反本条例第二十八条第一、二、三、六、七、八项和第二十九条第七项规定的，由县级人民政府农业机械化主管部门责令改正，并处以一百元以上五百元以下罚款。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对影响提灌站正常使用行为的行政处罚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《四川省农村机电提灌管理条例》第三十八条　违反本条例的规定，有下列行为之一的，由县级以上人民政府农业机械主管部门责令停止或者纠正；拒不停止或者纠正的，可并处2000元以下的罚款：（一）堆放妨碍提灌站正常作业和安全生产物品的；（二）兴建妨碍提灌站安全生产建筑物的；（三）种植植物的生长高度影响输电线安全运行的；（四）扰乱农村机电提灌站正常的生产秩序的；（五）堵塞提灌设施进出水管的；（六）擅自在提灌站专用输变电线路上搭线接电，影响输电线路和变压器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对养殖者违规使用饲料和添加物质的行政处罚</w:t>
            </w:r>
            <w:r>
              <w:rPr>
                <w:rFonts w:hint="eastAsia" w:ascii="Times New Roman" w:hAnsi="Times New Roman" w:cs="Times New Roman"/>
                <w:b w:val="0"/>
                <w:bCs w:val="0"/>
                <w:lang w:val="en-US" w:eastAsia="zh-CN"/>
              </w:rPr>
              <w:t>（不含“对违反《饲料和饲料添加剂管理条例》第四十七条第一款第四项至第七项的行政处罚”）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《饲料和饲料添加剂管理条例》第四十七条第一款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69</w:t>
      </w:r>
    </w:p>
    <w:tbl>
      <w:tblPr>
        <w:tblStyle w:val="9"/>
        <w:tblpPr w:leftFromText="180" w:rightFromText="180" w:vertAnchor="text" w:horzAnchor="page" w:tblpX="1510" w:tblpY="3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对在不能从事养殖活动的水域从事养殖业的行政处罚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《四川省〈中华人民共和国渔业法〉实施办法》第七条　禁止在生活饮用水地表水源一级保护区和县级以上人民政府确定的不能从事养殖活动的水域从事养殖业。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第三十一条　违反本办法第七条规定，在县级以上人民政府确定的不能从事养殖活动的水域从事养殖业的，责令停止养殖生产，限期拆除养殖设施，没收渔获物和违法所得，可并处1000元以上1万元以下罚款。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对在禁渔区、禁渔期内从事游钓、水禽放养、扎巢取卵和挖沙取石，或者销售、收购在禁渔区、禁渔期内捕捞的渔获物的行政处罚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《四川省〈中华人民共和国渔业法〉实施办法》第二十六条第三款　在禁渔期和禁渔区内，禁止捕捞作业、游钓和水禽放养，禁止扎巢取卵、挖沙采石，禁止销售、收购在禁渔期和禁渔区内捕捞的渔获物。</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第三十五条　违反本办法第二十六条第三款规定的，按以下规定处罚：（一）在禁渔期和禁渔区内从事游钓和水禽放养及扎巢取卵、挖沙采石的，给予警告，责令改正；拒不改正的，可并处100元以上1000元以下罚款；（二）销售、收购在禁渔区、禁渔期内捕捞的渔获物的，没收非法渔获物和违法所得，可并处相当于实物价值1至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对未经定点从事生猪屠宰活动，冒用、使用伪造、出借、转让生猪定点屠宰证书或者生猪定点屠宰标志牌的行政处罚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《生猪屠宰管理条例》第三十一条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冒用或者使用伪造的生猪定点屠宰证书或者生猪定点屠宰标志牌的，依照前款的规定处罚。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对为违法生猪屠宰相关活动提供场所的行政处罚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对未取得农药经营许可证经营农药的行政处罚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2.《农药经营许可管理办法》第二十一条　限制使用农药不得利用互联网经营。利用互联网经营其他农药的，应当取得农药经营许可证。超出经营范围经营限制使用农药，或者利用互联网经营限制使用农药的，按照未取得农药经营许可证处理。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第三十条　农药经营者违法从事农药经营活动的，按照《农药管理条例》的规定处罚；构成犯罪的，依法追究刑事责任。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对向未取得农药生产许可证的农药生产企业或者未取得农药经营许可证的其他农药经营者采购农药的行政处罚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《农药管理条例》第五十七条第二项　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对采购、销售未附具产品质量检验合格证或者包装、标签不符合规定的农药的行政处罚（不含“吊销农药经营许可证”）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《农药管理条例》第五十七条第三项　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对不停止销售依法应当召回的农药的行政处罚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《农药管理条例》第五十七条第四项　农药经营者有下列行为之一的，由县级以上地方人民政府农业主管部门责令改正，没收违法所得和违法经营的农药，并处5000元以上5万元以下罚款；拒不改正或者情节严重的，由发证机关吊销农药经营许可证：（四）不停止销售依法应当召回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对不执行农药采购台账、销售台账制度的行政处罚（不含“吊销农药经营许可证”）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《农药管理条例》第五十八条第一项　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对在卫生用农药以外的农药经营场所内经营食品、食用农产品、饲料等的行政处罚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《农药管理条例》第五十八条第二项　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对未将卫生用农药与其他商品分柜销售的行政处罚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《农药管理条例》第五十八条第三项　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对不履行农药废弃物回收义务的行政处罚（不含“吊销农药经营许可证”）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对农药使用者不按照农药的标签标注的使用范围、使用方法和剂量、使用技术要求和注意事项、安全间隔期使用农药的行政处罚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《农药管理条例》第六十条第一款第一项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对使用禁用的农药的行政处罚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《农药管理条例》第六十条第一款第二项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第二款　有前款第二项规定的行为的，县级人民政府农业主管部门还应当没收禁用的农药。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对将剧毒、高毒农药用于防治卫生害虫，用于蔬菜、瓜果、茶叶、菌类、中草药材生产或者用于水生植物的病虫害防治的行政处罚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《农药管理条例》第六十条第一款第三项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tbl>
      <w:tblPr>
        <w:tblStyle w:val="9"/>
        <w:tblpPr w:leftFromText="180" w:rightFromText="180" w:vertAnchor="text" w:horzAnchor="page" w:tblpX="1510"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对使用农药毒鱼、虾、鸟、兽等的行政处罚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1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《农药管理条例》第六十条第一款第五项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4</w:t>
      </w: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对农产品生产企业、食品和食用农产品仓储企业、专业化病虫害防治服务组织和从事农产品生产的农民专业合作社等不执行农药使用记录制度的行政处罚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对制造、销售禁用的渔具的行政处罚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《中华人民共和国渔业法》 第三十八条第三款　制造、销售禁用的渔具的，没收非法制造、销售的渔具和违法所得，并处一万元以下的罚款。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对农村村民未经批准或者采取欺骗手段骗取批准，非法占用土地建住宅的行政处罚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8</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对互联网上网服务营业场所接纳未成年人的行政处罚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《互联网上网服务营业场所管理条例》第三十一条第二项　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对互联网上网服务营业场所未悬挂《网络文化经营许可证》或者未成年人禁入标志的行政处罚</w:t>
            </w: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《互联网上网服务营业场所管理条例》第三十一条第五项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p>
    <w:tbl>
      <w:tblPr>
        <w:tblStyle w:val="9"/>
        <w:tblpPr w:leftFromText="180" w:rightFromText="180" w:vertAnchor="text" w:horzAnchor="page" w:tblpX="1495" w:tblpY="3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对擅自从事营业性演出经营活动的行政处罚</w:t>
            </w:r>
            <w:r>
              <w:rPr>
                <w:rFonts w:hint="eastAsia" w:ascii="Times New Roman" w:hAnsi="Times New Roman" w:cs="Times New Roman"/>
                <w:b w:val="0"/>
                <w:bCs w:val="0"/>
                <w:lang w:val="en-US" w:eastAsia="zh-CN"/>
              </w:rPr>
              <w:t>（不含“对违反《营业性演出管理条例》第十条、第十一条规定，擅自从事营业性演出经营活动的行政处罚”；仅适用农村营业性演出活动）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1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第十条　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第四十三条第一款第一项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eastAsiaTheme="minorEastAsia"/>
          <w:b w:val="0"/>
          <w:bCs w:val="0"/>
          <w:color w:val="000000"/>
          <w:lang w:val="en-US" w:eastAsia="zh-CN"/>
        </w:rPr>
      </w:pPr>
      <w:r>
        <w:rPr>
          <w:rFonts w:hint="eastAsia" w:ascii="Times New Roman" w:hAnsi="Times New Roman" w:cs="Times New Roman"/>
          <w:b w:val="0"/>
          <w:bCs w:val="0"/>
          <w:color w:val="000000"/>
          <w:lang w:eastAsia="zh-CN"/>
        </w:rPr>
        <w:t>表</w:t>
      </w:r>
      <w:r>
        <w:rPr>
          <w:rFonts w:hint="eastAsia" w:ascii="Times New Roman" w:hAnsi="Times New Roman" w:cs="Times New Roman"/>
          <w:b w:val="0"/>
          <w:bCs w:val="0"/>
          <w:color w:val="000000"/>
          <w:lang w:val="en-US" w:eastAsia="zh-CN"/>
        </w:rPr>
        <w:t>1-90</w:t>
      </w: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对未经批准举办营业性演出的行政处罚（不含“对违反《营业性演出管理条例》第十条、第十一条规定，擅自从事营业性演出经营活动的行政处罚”；仅适用农村营业性演出活动）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第四十四条第一款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对歌舞娱乐场所接纳未成年人的行政处罚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7"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3"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《娱乐场所管理条例》第四十八条第三项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eastAsiaTheme="minorEastAsia"/>
                <w:b w:val="0"/>
                <w:bCs w:val="0"/>
                <w:color w:val="000000"/>
                <w:spacing w:val="-6"/>
                <w:sz w:val="21"/>
                <w:lang w:val="en-US" w:eastAsia="zh-CN"/>
              </w:rPr>
              <w:t>对游艺娱乐场所设置的电子游戏机在国家法定节假日外向未成年人提供的行政处罚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《娱乐场所管理条例》第四十八条第四项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对娱乐场所未按规定悬挂警示标志、未成年人禁入或者限入标志的行政处罚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《娱乐场所管理条例》第五十一条　 娱乐场所未按照本条例规定悬挂警示标志、未成年人禁入或者限入标志的，由县级人民政府文化主管部门、县级公安部门依据法定职权责令改正，给予警告。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对娱乐场所未在显著位置悬挂娱乐经营许可证，或者未成年人禁入（限入）标志未注明“12318”文化市场举报电话的行政处罚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1.《娱乐场所管理办法》第二十四条　娱乐场所应当在显著位置悬挂娱乐经营许可证、未成年人禁入或者限入标志，标志应当注明“12318”文化市场举报电话。</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第三十三条　娱乐场所违反本办法第二十四条规定的，由县级以上人民政府文化主管部门责令改正，予以警告。</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2.《四川省娱乐场所管理办法》第三十三条第一款　娱乐场所未按要求悬挂娱乐经营许可证、卫生许可证和工商营业执照，并拒不改正的，分别由县级文化行政主管部门或者依法授权的文化市场综合执法机构、卫生部门、工商部门按照各自职责，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对未经许可生产、经营烟花爆竹制品的行政处罚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《烟花爆竹安全管理条例》第三十六条第一款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对未经许可经营、超许可范围经营、许可证过期继续经营烟花爆竹的行政处罚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《烟花爆竹经营许可实施办法》第三十一条　对未经许可经营、超许可范围经营、许可证过期继续经营烟花爆竹的，责令其停止非法经营活动，处2万元以上10万元以下的罚款，并没收非法经营的物品及违法所得。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对烟花爆竹零售经营者存放的烟花爆竹数量超过零售许可证载明范围的行政处罚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《烟花爆竹经营许可实施办法》第三十五条第二项　零售经营者有下列行为之一的，责令其限期改正，处1000元以上5000元以下的罚款；情节严重的，处5000元以上30000元以下的罚款：（二）存放的烟花爆竹数量超过零售许可证载明范围的。</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对生产经营单位未落实应急预案规定的应急物资及装备的行政处罚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《生产安全事故应急预案管理办法》第四十五条第一款第六项 　生产经营单位有下列情形之一的，由县级以上人民政府应急管理部门责令限期改正，可以处1万元以上3万元以下的罚款：（六）未落实应急预案规定的应急物资及装备的。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对擅自移动或者损毁古树名木保护牌以及保护设施的行政处罚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《四川省古树名木保护条例》第二十六条第三款　任何单位和个人不得擅自移动或者损毁古树名木保护牌以及保护设施。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《四川省古树名木保护条例》第二十七条第三项至第五项　禁止下列损害古树名木的行为：（三）刻划、钉钉、攀爬、折枝、挖根、剥树皮，在古树名木上缠绕、悬挂重物或者以树干为支撑物；（四）在古树名木保护范围内非通透性硬化地面、敷设管线、架设电线、挖坑取土、非保护性填土、烧火、排烟、采石取沙、倾倒污水垃圾、堆放或者倾倒易燃易爆、有毒有害物品；（五）其他损害古树名木正常生长的行为。</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第四十一条第一款　违反本条例第二十七条第三项、第四项、第五项规定，有下列行为之一的，由县（市、区）人民政府古树名木主管部门责令停止违法行为，限期恢复原状或者采取补救措施，并根据古树名木等级按照下列规定处以罚款：（一）剥损树皮、挖根的，处五千元以上三万元以下的罚款；（二）在古树名木保护范围内新建、扩建建（构）筑物、敷设管线、架设电线、非通透性硬化树干周围地面、挖坑取土、采石取沙、非保护性填土的，处三千元以上二万元以下的罚款；（三）在古树名木保护范围内烧火、排烟、倾倒污水、堆放或者倾倒易燃易爆、有毒有害物品的，处一千元以上五千元以下的罚款；（四）刻划、钉钉、攀爬、折枝的，在古树名木上缠绕、悬挂重物或者使用树干作支撑物以及其他损害古树名木生长的行为的，处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对森林防火期内未经批准擅自在森林防火区内野外用火的行政处罚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对森林高火险期内未经批准擅自进入森林高火险区活动的行政处罚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《森林防火条例》第五十二条第三项　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对森林防火期内进入森林防火区的机动车辆未安装森林防火装置的行政处罚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《森林防火条例》第五十二条第二项　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对森林防火期内森林、林木、林地的经营单位未设置森林防火警示宣传标志的行政处罚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《森林防火条例》第五十二条第一项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对森林防火区内的有关单位或者个人拒绝接受森林防火检查或者接到森林火灾隐患整改通知书逾期不消除火灾隐患的行政处罚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对森林、林木、林地的经营单位或者个人未履行森林防火责任的行政处罚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对破坏和侵占森林防火通道、标志、宣传碑（牌）、瞭望台（塔）、隔离带等设施设备的行政处罚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eastAsia" w:ascii="Times New Roman" w:hAnsi="Times New Roman" w:cs="Times New Roman"/>
          <w:b w:val="0"/>
          <w:bCs w:val="0"/>
          <w:color w:val="000000"/>
          <w:lang w:val="en-US" w:eastAsia="zh-CN"/>
        </w:rPr>
        <w:t>09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w:t>
            </w:r>
            <w:r>
              <w:rPr>
                <w:rFonts w:hint="eastAsia" w:ascii="Times New Roman" w:hAnsi="Times New Roman" w:cs="Times New Roman"/>
                <w:b w:val="0"/>
                <w:bCs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对森林防火期内携带火种和易燃易爆物品进入森林防火区或其他野外违规用火行为的行政处罚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0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w:t>
            </w:r>
            <w:r>
              <w:rPr>
                <w:rFonts w:hint="eastAsia" w:ascii="Times New Roman" w:hAnsi="Times New Roman" w:cs="Times New Roman"/>
                <w:b w:val="0"/>
                <w:bCs w:val="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对擅自移动或者破坏野生植物保护设施、保护标志的行政处罚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《四川省野生植物保护条例》第九条第三款　禁止破坏野生植物生长环境和野生植物保护小区、保护点的保护设施、保护标志。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对在幼林地砍柴、毁苗、放牧造成林木毁坏的行政处罚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卫子</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卫子镇纪检监察电话0839-8770169</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rPr>
      </w:pPr>
    </w:p>
    <w:sectPr>
      <w:headerReference r:id="rId3" w:type="default"/>
      <w:footerReference r:id="rId4" w:type="default"/>
      <w:pgSz w:w="11906" w:h="16838"/>
      <w:pgMar w:top="192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w:t>
                          </w: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t>—</w:t>
                    </w:r>
                    <w:r>
                      <w:rPr>
                        <w:rFonts w:hint="eastAsia" w:ascii="宋体" w:hAnsi="宋体" w:eastAsia="宋体" w:cs="宋体"/>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B4B69"/>
    <w:multiLevelType w:val="singleLevel"/>
    <w:tmpl w:val="A19B4B6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2MzAyNzdkZjc5OWEzZjAxZGQ3YTMwNjc3Y2IzNWEifQ=="/>
  </w:docVars>
  <w:rsids>
    <w:rsidRoot w:val="4FCF2539"/>
    <w:rsid w:val="029062BE"/>
    <w:rsid w:val="02FD4BE5"/>
    <w:rsid w:val="04B3372F"/>
    <w:rsid w:val="05CC057F"/>
    <w:rsid w:val="06CF11D3"/>
    <w:rsid w:val="084B110C"/>
    <w:rsid w:val="0D3D1A17"/>
    <w:rsid w:val="1019260E"/>
    <w:rsid w:val="10AD1973"/>
    <w:rsid w:val="163B669C"/>
    <w:rsid w:val="185868E2"/>
    <w:rsid w:val="19E33973"/>
    <w:rsid w:val="1A1E49AB"/>
    <w:rsid w:val="262A7D54"/>
    <w:rsid w:val="2C966281"/>
    <w:rsid w:val="333C7F24"/>
    <w:rsid w:val="38787C94"/>
    <w:rsid w:val="39EB40F6"/>
    <w:rsid w:val="3D2F16AB"/>
    <w:rsid w:val="3FB80581"/>
    <w:rsid w:val="40DF46EA"/>
    <w:rsid w:val="40E331E4"/>
    <w:rsid w:val="418A3C74"/>
    <w:rsid w:val="43B52F2F"/>
    <w:rsid w:val="45F51ACF"/>
    <w:rsid w:val="47A13DEF"/>
    <w:rsid w:val="480404E9"/>
    <w:rsid w:val="488D7E82"/>
    <w:rsid w:val="4FCF2539"/>
    <w:rsid w:val="580D2366"/>
    <w:rsid w:val="58D565A1"/>
    <w:rsid w:val="59261FA4"/>
    <w:rsid w:val="5D9D44E0"/>
    <w:rsid w:val="60C5514D"/>
    <w:rsid w:val="67C45173"/>
    <w:rsid w:val="6BB23EF4"/>
    <w:rsid w:val="6EF249D7"/>
    <w:rsid w:val="712D5EEB"/>
    <w:rsid w:val="73141C92"/>
    <w:rsid w:val="77DA421D"/>
    <w:rsid w:val="7828228E"/>
    <w:rsid w:val="789E66B0"/>
    <w:rsid w:val="7A86430F"/>
    <w:rsid w:val="7F03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next w:val="1"/>
    <w:qFormat/>
    <w:uiPriority w:val="99"/>
    <w:pPr>
      <w:ind w:firstLine="420" w:firstLineChars="200"/>
    </w:pPr>
  </w:style>
  <w:style w:type="paragraph" w:customStyle="1" w:styleId="3">
    <w:name w:val="BodyTextIndent"/>
    <w:basedOn w:val="1"/>
    <w:next w:val="2"/>
    <w:qFormat/>
    <w:uiPriority w:val="99"/>
    <w:pPr>
      <w:spacing w:after="120"/>
      <w:ind w:left="420" w:leftChars="200"/>
      <w:textAlignment w:val="baseline"/>
    </w:pPr>
  </w:style>
  <w:style w:type="paragraph" w:styleId="4">
    <w:name w:val="List Number"/>
    <w:basedOn w:val="1"/>
    <w:qFormat/>
    <w:uiPriority w:val="0"/>
    <w:pPr>
      <w:numPr>
        <w:ilvl w:val="0"/>
        <w:numId w:val="1"/>
      </w:numPr>
    </w:pPr>
  </w:style>
  <w:style w:type="paragraph" w:styleId="5">
    <w:name w:val="Body Text"/>
    <w:basedOn w:val="1"/>
    <w:next w:val="1"/>
    <w:qFormat/>
    <w:uiPriority w:val="1"/>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114</Pages>
  <Words>99703</Words>
  <Characters>102546</Characters>
  <Lines>0</Lines>
  <Paragraphs>0</Paragraphs>
  <TotalTime>11</TotalTime>
  <ScaleCrop>false</ScaleCrop>
  <LinksUpToDate>false</LinksUpToDate>
  <CharactersWithSpaces>102820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2021-07-02T08:56:00Z</dcterms:created>
  <dc:creator>薛静</dc:creator>
  <cp:lastModifiedBy>user</cp:lastModifiedBy>
  <dcterms:modified xsi:type="dcterms:W3CDTF">2023-02-06T09:24:50Z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13F090DD662344F3814BF3BC7AE3AB55</vt:lpwstr>
  </property>
</Properties>
</file>