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DB36B">
      <w:pPr>
        <w:adjustRightInd w:val="0"/>
        <w:snapToGrid w:val="0"/>
        <w:spacing w:line="360" w:lineRule="auto"/>
        <w:jc w:val="center"/>
        <w:rPr>
          <w:rFonts w:hint="eastAsia" w:ascii="方正小标宋简体" w:hAnsi="宋体" w:eastAsia="方正小标宋简体"/>
          <w:sz w:val="72"/>
          <w:szCs w:val="72"/>
        </w:rPr>
      </w:pPr>
      <w:bookmarkStart w:id="0" w:name="_Toc15377425"/>
      <w:bookmarkStart w:id="1" w:name="_Toc15378441"/>
      <w:bookmarkStart w:id="2" w:name="_Toc15396597"/>
      <w:bookmarkStart w:id="3" w:name="_Toc15396475"/>
      <w:bookmarkStart w:id="4" w:name="_Toc15377193"/>
      <w:bookmarkStart w:id="5" w:name="_Toc15306267"/>
      <w:bookmarkStart w:id="107" w:name="_GoBack"/>
      <w:bookmarkEnd w:id="107"/>
    </w:p>
    <w:p w14:paraId="5DCD05E1">
      <w:pPr>
        <w:adjustRightInd w:val="0"/>
        <w:snapToGrid w:val="0"/>
        <w:spacing w:line="360" w:lineRule="auto"/>
        <w:jc w:val="center"/>
        <w:rPr>
          <w:rFonts w:ascii="方正小标宋简体" w:hAnsi="宋体" w:eastAsia="方正小标宋简体"/>
          <w:sz w:val="72"/>
          <w:szCs w:val="72"/>
        </w:rPr>
      </w:pPr>
    </w:p>
    <w:p w14:paraId="323C5F0C">
      <w:pPr>
        <w:adjustRightInd w:val="0"/>
        <w:snapToGrid w:val="0"/>
        <w:spacing w:line="1100" w:lineRule="exact"/>
        <w:jc w:val="center"/>
        <w:outlineLvl w:val="0"/>
        <w:rPr>
          <w:rFonts w:ascii="方正小标宋简体" w:hAnsi="方正小标宋简体" w:eastAsia="方正小标宋简体" w:cs="方正小标宋简体"/>
          <w:sz w:val="72"/>
          <w:szCs w:val="72"/>
        </w:rPr>
      </w:pPr>
      <w:bookmarkStart w:id="6" w:name="_Toc9008"/>
      <w:r>
        <w:rPr>
          <w:rFonts w:hint="eastAsia" w:ascii="方正小标宋简体" w:hAnsi="方正小标宋简体" w:eastAsia="方正小标宋简体" w:cs="方正小标宋简体"/>
          <w:sz w:val="72"/>
          <w:szCs w:val="72"/>
        </w:rPr>
        <w:t>2021年度</w:t>
      </w:r>
      <w:bookmarkEnd w:id="0"/>
      <w:bookmarkEnd w:id="1"/>
      <w:bookmarkEnd w:id="2"/>
      <w:bookmarkEnd w:id="3"/>
      <w:bookmarkEnd w:id="4"/>
      <w:bookmarkEnd w:id="6"/>
    </w:p>
    <w:p w14:paraId="53756F88">
      <w:pPr>
        <w:adjustRightInd w:val="0"/>
        <w:snapToGrid w:val="0"/>
        <w:spacing w:line="1100" w:lineRule="exact"/>
        <w:jc w:val="center"/>
        <w:outlineLvl w:val="0"/>
        <w:rPr>
          <w:rFonts w:ascii="方正小标宋简体" w:hAnsi="方正小标宋简体" w:eastAsia="方正小标宋简体" w:cs="方正小标宋简体"/>
          <w:sz w:val="72"/>
          <w:szCs w:val="72"/>
        </w:rPr>
      </w:pPr>
      <w:bookmarkStart w:id="7" w:name="_Toc23880"/>
      <w:bookmarkStart w:id="8" w:name="_Toc15377426"/>
      <w:bookmarkStart w:id="9" w:name="_Toc15378442"/>
      <w:bookmarkStart w:id="10" w:name="_Toc15377194"/>
      <w:bookmarkStart w:id="11" w:name="_Toc15396598"/>
      <w:bookmarkStart w:id="12" w:name="_Toc15396476"/>
      <w:r>
        <w:rPr>
          <w:rFonts w:hint="eastAsia" w:ascii="方正小标宋简体" w:hAnsi="方正小标宋简体" w:eastAsia="方正小标宋简体" w:cs="方正小标宋简体"/>
          <w:sz w:val="72"/>
          <w:szCs w:val="72"/>
        </w:rPr>
        <w:t>四川省</w:t>
      </w:r>
      <w:bookmarkEnd w:id="5"/>
      <w:bookmarkStart w:id="13" w:name="_Toc15306268"/>
      <w:r>
        <w:rPr>
          <w:rFonts w:hint="eastAsia" w:ascii="方正小标宋简体" w:hAnsi="方正小标宋简体" w:eastAsia="方正小标宋简体" w:cs="方正小标宋简体"/>
          <w:sz w:val="72"/>
          <w:szCs w:val="72"/>
        </w:rPr>
        <w:t>广元市昭化区卫子镇</w:t>
      </w:r>
      <w:bookmarkEnd w:id="7"/>
    </w:p>
    <w:p w14:paraId="6A94FC64">
      <w:pPr>
        <w:adjustRightInd w:val="0"/>
        <w:snapToGrid w:val="0"/>
        <w:spacing w:line="1100" w:lineRule="exact"/>
        <w:jc w:val="center"/>
        <w:outlineLvl w:val="0"/>
        <w:rPr>
          <w:rFonts w:ascii="方正小标宋简体" w:hAnsi="方正小标宋简体" w:eastAsia="方正小标宋简体" w:cs="方正小标宋简体"/>
          <w:sz w:val="72"/>
          <w:szCs w:val="72"/>
        </w:rPr>
      </w:pPr>
      <w:bookmarkStart w:id="14" w:name="_Toc13395"/>
      <w:r>
        <w:rPr>
          <w:rFonts w:hint="eastAsia" w:ascii="方正小标宋简体" w:hAnsi="方正小标宋简体" w:eastAsia="方正小标宋简体" w:cs="方正小标宋简体"/>
          <w:sz w:val="72"/>
          <w:szCs w:val="72"/>
        </w:rPr>
        <w:t>人民政府决算</w:t>
      </w:r>
      <w:bookmarkEnd w:id="8"/>
      <w:bookmarkEnd w:id="9"/>
      <w:bookmarkEnd w:id="10"/>
      <w:bookmarkEnd w:id="11"/>
      <w:bookmarkEnd w:id="12"/>
      <w:bookmarkEnd w:id="13"/>
      <w:r>
        <w:rPr>
          <w:rFonts w:hint="eastAsia" w:ascii="方正小标宋简体" w:hAnsi="方正小标宋简体" w:eastAsia="方正小标宋简体" w:cs="方正小标宋简体"/>
          <w:sz w:val="72"/>
          <w:szCs w:val="72"/>
        </w:rPr>
        <w:t>公开说明</w:t>
      </w:r>
      <w:bookmarkEnd w:id="14"/>
    </w:p>
    <w:p w14:paraId="63EF87D6">
      <w:pPr>
        <w:pStyle w:val="13"/>
        <w:adjustRightInd w:val="0"/>
        <w:snapToGrid w:val="0"/>
        <w:spacing w:line="440" w:lineRule="exact"/>
        <w:jc w:val="left"/>
        <w:rPr>
          <w:rFonts w:ascii="方正小标宋简体" w:hAnsi="宋体" w:eastAsia="方正小标宋简体"/>
          <w:sz w:val="36"/>
          <w:szCs w:val="36"/>
        </w:rPr>
      </w:pPr>
    </w:p>
    <w:p w14:paraId="5DAF4AD0">
      <w:pPr>
        <w:pStyle w:val="13"/>
        <w:adjustRightInd w:val="0"/>
        <w:snapToGrid w:val="0"/>
        <w:spacing w:line="440" w:lineRule="exact"/>
        <w:jc w:val="left"/>
        <w:rPr>
          <w:rFonts w:ascii="方正小标宋简体" w:hAnsi="宋体" w:eastAsia="方正小标宋简体"/>
          <w:sz w:val="36"/>
          <w:szCs w:val="36"/>
        </w:rPr>
      </w:pPr>
    </w:p>
    <w:p w14:paraId="0EC2A6F8">
      <w:pPr>
        <w:pStyle w:val="13"/>
        <w:adjustRightInd w:val="0"/>
        <w:snapToGrid w:val="0"/>
        <w:spacing w:line="440" w:lineRule="exact"/>
        <w:jc w:val="left"/>
        <w:rPr>
          <w:rFonts w:ascii="方正小标宋简体" w:hAnsi="宋体" w:eastAsia="方正小标宋简体"/>
          <w:sz w:val="36"/>
          <w:szCs w:val="36"/>
        </w:rPr>
      </w:pPr>
    </w:p>
    <w:p w14:paraId="492100DF">
      <w:pPr>
        <w:pStyle w:val="13"/>
        <w:adjustRightInd w:val="0"/>
        <w:snapToGrid w:val="0"/>
        <w:spacing w:line="440" w:lineRule="exact"/>
        <w:jc w:val="left"/>
        <w:rPr>
          <w:rFonts w:ascii="方正小标宋简体" w:hAnsi="宋体" w:eastAsia="方正小标宋简体"/>
          <w:sz w:val="36"/>
          <w:szCs w:val="36"/>
        </w:rPr>
      </w:pPr>
    </w:p>
    <w:p w14:paraId="4BB2124F">
      <w:pPr>
        <w:pStyle w:val="13"/>
        <w:adjustRightInd w:val="0"/>
        <w:snapToGrid w:val="0"/>
        <w:spacing w:line="440" w:lineRule="exact"/>
        <w:jc w:val="left"/>
        <w:rPr>
          <w:rFonts w:ascii="方正小标宋简体" w:hAnsi="宋体" w:eastAsia="方正小标宋简体"/>
          <w:sz w:val="36"/>
          <w:szCs w:val="36"/>
        </w:rPr>
      </w:pPr>
    </w:p>
    <w:p w14:paraId="7EFF4084">
      <w:pPr>
        <w:pStyle w:val="13"/>
        <w:adjustRightInd w:val="0"/>
        <w:snapToGrid w:val="0"/>
        <w:spacing w:line="440" w:lineRule="exact"/>
        <w:jc w:val="left"/>
        <w:rPr>
          <w:rFonts w:ascii="方正小标宋简体" w:hAnsi="宋体" w:eastAsia="方正小标宋简体"/>
          <w:sz w:val="36"/>
          <w:szCs w:val="36"/>
        </w:rPr>
      </w:pPr>
    </w:p>
    <w:p w14:paraId="00BC76DC">
      <w:pPr>
        <w:pStyle w:val="13"/>
        <w:adjustRightInd w:val="0"/>
        <w:snapToGrid w:val="0"/>
        <w:spacing w:line="440" w:lineRule="exact"/>
        <w:jc w:val="left"/>
        <w:rPr>
          <w:rFonts w:ascii="方正小标宋简体" w:hAnsi="宋体" w:eastAsia="方正小标宋简体"/>
          <w:sz w:val="36"/>
          <w:szCs w:val="36"/>
        </w:rPr>
      </w:pPr>
    </w:p>
    <w:p w14:paraId="46FD4C7B">
      <w:pPr>
        <w:pStyle w:val="13"/>
        <w:adjustRightInd w:val="0"/>
        <w:snapToGrid w:val="0"/>
        <w:spacing w:line="440" w:lineRule="exact"/>
        <w:jc w:val="left"/>
        <w:rPr>
          <w:rFonts w:ascii="方正小标宋简体" w:hAnsi="宋体" w:eastAsia="方正小标宋简体"/>
          <w:sz w:val="36"/>
          <w:szCs w:val="36"/>
        </w:rPr>
      </w:pPr>
    </w:p>
    <w:p w14:paraId="5272D811">
      <w:pPr>
        <w:pStyle w:val="13"/>
        <w:adjustRightInd w:val="0"/>
        <w:snapToGrid w:val="0"/>
        <w:spacing w:line="440" w:lineRule="exact"/>
        <w:jc w:val="left"/>
        <w:rPr>
          <w:rFonts w:ascii="方正小标宋简体" w:hAnsi="宋体" w:eastAsia="方正小标宋简体"/>
          <w:sz w:val="36"/>
          <w:szCs w:val="36"/>
        </w:rPr>
      </w:pPr>
    </w:p>
    <w:p w14:paraId="637E60F9">
      <w:pPr>
        <w:pStyle w:val="13"/>
        <w:adjustRightInd w:val="0"/>
        <w:snapToGrid w:val="0"/>
        <w:spacing w:line="440" w:lineRule="exact"/>
        <w:jc w:val="left"/>
        <w:rPr>
          <w:rFonts w:ascii="方正小标宋简体" w:hAnsi="宋体" w:eastAsia="方正小标宋简体"/>
          <w:sz w:val="36"/>
          <w:szCs w:val="36"/>
        </w:rPr>
      </w:pPr>
    </w:p>
    <w:p w14:paraId="7B100B7D">
      <w:pPr>
        <w:pStyle w:val="13"/>
        <w:adjustRightInd w:val="0"/>
        <w:snapToGrid w:val="0"/>
        <w:spacing w:line="440" w:lineRule="exact"/>
        <w:jc w:val="left"/>
        <w:rPr>
          <w:rFonts w:ascii="方正小标宋简体" w:hAnsi="宋体" w:eastAsia="方正小标宋简体"/>
          <w:sz w:val="36"/>
          <w:szCs w:val="36"/>
        </w:rPr>
      </w:pPr>
    </w:p>
    <w:p w14:paraId="46722C21">
      <w:pPr>
        <w:pStyle w:val="13"/>
        <w:adjustRightInd w:val="0"/>
        <w:snapToGrid w:val="0"/>
        <w:spacing w:line="440" w:lineRule="exact"/>
        <w:jc w:val="left"/>
        <w:rPr>
          <w:rFonts w:ascii="方正小标宋简体" w:hAnsi="宋体" w:eastAsia="方正小标宋简体"/>
          <w:sz w:val="36"/>
          <w:szCs w:val="36"/>
        </w:rPr>
      </w:pPr>
    </w:p>
    <w:p w14:paraId="4B17D553">
      <w:pPr>
        <w:pStyle w:val="13"/>
        <w:adjustRightInd w:val="0"/>
        <w:snapToGrid w:val="0"/>
        <w:spacing w:line="440" w:lineRule="exact"/>
        <w:jc w:val="left"/>
        <w:rPr>
          <w:rFonts w:ascii="方正小标宋简体" w:hAnsi="宋体" w:eastAsia="方正小标宋简体"/>
          <w:sz w:val="36"/>
          <w:szCs w:val="36"/>
        </w:rPr>
      </w:pPr>
    </w:p>
    <w:p w14:paraId="5637524D"/>
    <w:p w14:paraId="017C6DE0">
      <w:pPr>
        <w:pStyle w:val="13"/>
        <w:adjustRightInd w:val="0"/>
        <w:snapToGrid w:val="0"/>
        <w:spacing w:line="440" w:lineRule="exact"/>
        <w:jc w:val="left"/>
        <w:rPr>
          <w:rFonts w:ascii="方正小标宋简体" w:hAnsi="宋体" w:eastAsia="方正小标宋简体"/>
          <w:sz w:val="36"/>
          <w:szCs w:val="36"/>
        </w:rPr>
      </w:pPr>
    </w:p>
    <w:sdt>
      <w:sdtPr>
        <w:rPr>
          <w:rFonts w:ascii="宋体" w:hAnsi="宋体"/>
          <w:sz w:val="32"/>
          <w:szCs w:val="32"/>
        </w:rPr>
        <w:id w:val="147472450"/>
        <w:docPartObj>
          <w:docPartGallery w:val="Table of Contents"/>
          <w:docPartUnique/>
        </w:docPartObj>
      </w:sdtPr>
      <w:sdtEndPr>
        <w:rPr>
          <w:rFonts w:ascii="方正小标宋简体" w:hAnsi="宋体" w:eastAsia="方正小标宋简体"/>
          <w:b/>
          <w:sz w:val="32"/>
          <w:szCs w:val="36"/>
        </w:rPr>
      </w:sdtEndPr>
      <w:sdtContent>
        <w:p w14:paraId="28C9AC84">
          <w:pPr>
            <w:jc w:val="center"/>
            <w:rPr>
              <w:rFonts w:ascii="宋体" w:hAnsi="宋体"/>
              <w:sz w:val="32"/>
              <w:szCs w:val="32"/>
            </w:rPr>
          </w:pPr>
          <w:r>
            <w:rPr>
              <w:rFonts w:ascii="宋体" w:hAnsi="宋体"/>
              <w:sz w:val="32"/>
              <w:szCs w:val="32"/>
            </w:rPr>
            <w:t>目</w:t>
          </w:r>
          <w:r>
            <w:rPr>
              <w:rFonts w:hint="eastAsia" w:ascii="宋体" w:hAnsi="宋体"/>
              <w:sz w:val="32"/>
              <w:szCs w:val="32"/>
              <w:lang w:val="en-US" w:eastAsia="zh-CN"/>
            </w:rPr>
            <w:t xml:space="preserve">   </w:t>
          </w:r>
          <w:r>
            <w:rPr>
              <w:rFonts w:ascii="宋体" w:hAnsi="宋体"/>
              <w:sz w:val="32"/>
              <w:szCs w:val="32"/>
            </w:rPr>
            <w:t>录</w:t>
          </w:r>
        </w:p>
        <w:p w14:paraId="5CB18C40">
          <w:pPr>
            <w:pStyle w:val="12"/>
            <w:jc w:val="center"/>
            <w:rPr>
              <w:rFonts w:hint="eastAsia" w:ascii="宋体" w:hAnsi="宋体" w:eastAsia="宋体" w:cs="宋体"/>
              <w:color w:val="auto"/>
              <w:sz w:val="30"/>
              <w:szCs w:val="30"/>
            </w:rPr>
          </w:pPr>
          <w:r>
            <w:rPr>
              <w:rFonts w:hint="eastAsia" w:ascii="宋体" w:hAnsi="宋体" w:eastAsia="宋体" w:cs="宋体"/>
              <w:color w:val="auto"/>
              <w:sz w:val="30"/>
              <w:szCs w:val="30"/>
            </w:rPr>
            <w:t>公开时间：202</w:t>
          </w:r>
          <w:r>
            <w:rPr>
              <w:rFonts w:hint="eastAsia" w:ascii="宋体" w:hAnsi="宋体" w:eastAsia="宋体" w:cs="宋体"/>
              <w:color w:val="auto"/>
              <w:sz w:val="30"/>
              <w:szCs w:val="30"/>
              <w:lang w:val="en-US" w:eastAsia="zh-CN"/>
            </w:rPr>
            <w:t>2</w:t>
          </w:r>
          <w:r>
            <w:rPr>
              <w:rFonts w:hint="eastAsia" w:ascii="宋体" w:hAnsi="宋体" w:eastAsia="宋体" w:cs="宋体"/>
              <w:color w:val="auto"/>
              <w:sz w:val="30"/>
              <w:szCs w:val="30"/>
            </w:rPr>
            <w:t>年</w:t>
          </w:r>
          <w:r>
            <w:rPr>
              <w:rFonts w:hint="eastAsia" w:ascii="宋体" w:hAnsi="宋体" w:eastAsia="宋体" w:cs="宋体"/>
              <w:color w:val="auto"/>
              <w:sz w:val="30"/>
              <w:szCs w:val="30"/>
              <w:lang w:val="en-US" w:eastAsia="zh-CN"/>
            </w:rPr>
            <w:t>9</w:t>
          </w:r>
          <w:r>
            <w:rPr>
              <w:rFonts w:hint="eastAsia" w:ascii="宋体" w:hAnsi="宋体" w:eastAsia="宋体" w:cs="宋体"/>
              <w:color w:val="auto"/>
              <w:sz w:val="30"/>
              <w:szCs w:val="30"/>
            </w:rPr>
            <w:t>月</w:t>
          </w:r>
          <w:r>
            <w:rPr>
              <w:rFonts w:hint="eastAsia" w:ascii="宋体" w:hAnsi="宋体" w:eastAsia="宋体" w:cs="宋体"/>
              <w:color w:val="auto"/>
              <w:sz w:val="30"/>
              <w:szCs w:val="30"/>
              <w:lang w:val="en-US" w:eastAsia="zh-CN"/>
            </w:rPr>
            <w:t>30</w:t>
          </w:r>
          <w:r>
            <w:rPr>
              <w:rFonts w:hint="eastAsia" w:ascii="宋体" w:hAnsi="宋体" w:eastAsia="宋体" w:cs="宋体"/>
              <w:color w:val="auto"/>
              <w:sz w:val="30"/>
              <w:szCs w:val="30"/>
            </w:rPr>
            <w:t>日</w:t>
          </w:r>
        </w:p>
        <w:p w14:paraId="6066F9E0">
          <w:pPr>
            <w:pStyle w:val="34"/>
            <w:tabs>
              <w:tab w:val="right" w:leader="dot" w:pos="8845"/>
            </w:tabs>
            <w:rPr>
              <w:b/>
            </w:rPr>
          </w:pPr>
          <w:r>
            <w:rPr>
              <w:rFonts w:ascii="方正小标宋简体" w:hAnsi="宋体" w:eastAsia="方正小标宋简体"/>
              <w:sz w:val="36"/>
              <w:szCs w:val="36"/>
            </w:rPr>
            <w:fldChar w:fldCharType="begin"/>
          </w:r>
          <w:r>
            <w:rPr>
              <w:rFonts w:ascii="方正小标宋简体" w:hAnsi="宋体" w:eastAsia="方正小标宋简体"/>
              <w:sz w:val="36"/>
              <w:szCs w:val="36"/>
            </w:rPr>
            <w:instrText xml:space="preserve">TOC \o "1-2" \h \u </w:instrText>
          </w:r>
          <w:r>
            <w:rPr>
              <w:rFonts w:ascii="方正小标宋简体" w:hAnsi="宋体" w:eastAsia="方正小标宋简体"/>
              <w:sz w:val="36"/>
              <w:szCs w:val="36"/>
            </w:rPr>
            <w:fldChar w:fldCharType="separate"/>
          </w:r>
          <w:r>
            <w:fldChar w:fldCharType="begin"/>
          </w:r>
          <w:r>
            <w:instrText xml:space="preserve"> HYPERLINK \l "_Toc9008" </w:instrText>
          </w:r>
          <w:r>
            <w:fldChar w:fldCharType="separate"/>
          </w:r>
          <w:r>
            <w:rPr>
              <w:rFonts w:hint="eastAsia" w:ascii="方正小标宋简体" w:hAnsi="方正小标宋简体" w:eastAsia="方正小标宋简体" w:cs="方正小标宋简体"/>
              <w:b/>
              <w:szCs w:val="72"/>
            </w:rPr>
            <w:t>2021年度</w:t>
          </w:r>
          <w:r>
            <w:rPr>
              <w:b/>
            </w:rPr>
            <w:tab/>
          </w:r>
          <w:r>
            <w:rPr>
              <w:b/>
            </w:rPr>
            <w:fldChar w:fldCharType="begin"/>
          </w:r>
          <w:r>
            <w:rPr>
              <w:b/>
            </w:rPr>
            <w:instrText xml:space="preserve"> PAGEREF _Toc9008 \h </w:instrText>
          </w:r>
          <w:r>
            <w:rPr>
              <w:b/>
            </w:rPr>
            <w:fldChar w:fldCharType="separate"/>
          </w:r>
          <w:r>
            <w:rPr>
              <w:b/>
            </w:rPr>
            <w:t>1</w:t>
          </w:r>
          <w:r>
            <w:rPr>
              <w:b/>
            </w:rPr>
            <w:fldChar w:fldCharType="end"/>
          </w:r>
          <w:r>
            <w:rPr>
              <w:b/>
            </w:rPr>
            <w:fldChar w:fldCharType="end"/>
          </w:r>
        </w:p>
        <w:p w14:paraId="3763558E">
          <w:pPr>
            <w:pStyle w:val="34"/>
            <w:tabs>
              <w:tab w:val="right" w:leader="dot" w:pos="8845"/>
            </w:tabs>
            <w:rPr>
              <w:b/>
            </w:rPr>
          </w:pPr>
          <w:r>
            <w:fldChar w:fldCharType="begin"/>
          </w:r>
          <w:r>
            <w:instrText xml:space="preserve"> HYPERLINK \l "_Toc23880" </w:instrText>
          </w:r>
          <w:r>
            <w:fldChar w:fldCharType="separate"/>
          </w:r>
          <w:r>
            <w:rPr>
              <w:rFonts w:hint="eastAsia" w:ascii="方正小标宋简体" w:hAnsi="方正小标宋简体" w:eastAsia="方正小标宋简体" w:cs="方正小标宋简体"/>
              <w:b/>
              <w:szCs w:val="72"/>
            </w:rPr>
            <w:t>四川省广元市昭化区卫子镇</w:t>
          </w:r>
          <w:r>
            <w:rPr>
              <w:b/>
            </w:rPr>
            <w:tab/>
          </w:r>
          <w:r>
            <w:rPr>
              <w:b/>
            </w:rPr>
            <w:fldChar w:fldCharType="begin"/>
          </w:r>
          <w:r>
            <w:rPr>
              <w:b/>
            </w:rPr>
            <w:instrText xml:space="preserve"> PAGEREF _Toc23880 \h </w:instrText>
          </w:r>
          <w:r>
            <w:rPr>
              <w:b/>
            </w:rPr>
            <w:fldChar w:fldCharType="separate"/>
          </w:r>
          <w:r>
            <w:rPr>
              <w:b/>
            </w:rPr>
            <w:t>1</w:t>
          </w:r>
          <w:r>
            <w:rPr>
              <w:b/>
            </w:rPr>
            <w:fldChar w:fldCharType="end"/>
          </w:r>
          <w:r>
            <w:rPr>
              <w:b/>
            </w:rPr>
            <w:fldChar w:fldCharType="end"/>
          </w:r>
        </w:p>
        <w:p w14:paraId="0AF86D21">
          <w:pPr>
            <w:pStyle w:val="34"/>
            <w:tabs>
              <w:tab w:val="right" w:leader="dot" w:pos="8845"/>
            </w:tabs>
            <w:rPr>
              <w:b/>
            </w:rPr>
          </w:pPr>
          <w:r>
            <w:fldChar w:fldCharType="begin"/>
          </w:r>
          <w:r>
            <w:instrText xml:space="preserve"> HYPERLINK \l "_Toc13395" </w:instrText>
          </w:r>
          <w:r>
            <w:fldChar w:fldCharType="separate"/>
          </w:r>
          <w:r>
            <w:rPr>
              <w:rFonts w:hint="eastAsia" w:ascii="方正小标宋简体" w:hAnsi="方正小标宋简体" w:eastAsia="方正小标宋简体" w:cs="方正小标宋简体"/>
              <w:b/>
              <w:szCs w:val="72"/>
            </w:rPr>
            <w:t>人民政府决算公开说明</w:t>
          </w:r>
          <w:r>
            <w:rPr>
              <w:b/>
            </w:rPr>
            <w:tab/>
          </w:r>
          <w:r>
            <w:rPr>
              <w:b/>
            </w:rPr>
            <w:fldChar w:fldCharType="begin"/>
          </w:r>
          <w:r>
            <w:rPr>
              <w:b/>
            </w:rPr>
            <w:instrText xml:space="preserve"> PAGEREF _Toc13395 \h </w:instrText>
          </w:r>
          <w:r>
            <w:rPr>
              <w:b/>
            </w:rPr>
            <w:fldChar w:fldCharType="separate"/>
          </w:r>
          <w:r>
            <w:rPr>
              <w:b/>
            </w:rPr>
            <w:t>1</w:t>
          </w:r>
          <w:r>
            <w:rPr>
              <w:b/>
            </w:rPr>
            <w:fldChar w:fldCharType="end"/>
          </w:r>
          <w:r>
            <w:rPr>
              <w:b/>
            </w:rPr>
            <w:fldChar w:fldCharType="end"/>
          </w:r>
        </w:p>
        <w:p w14:paraId="41BA22B9">
          <w:pPr>
            <w:pStyle w:val="34"/>
            <w:tabs>
              <w:tab w:val="right" w:leader="dot" w:pos="8845"/>
            </w:tabs>
            <w:rPr>
              <w:b/>
            </w:rPr>
          </w:pPr>
          <w:r>
            <w:fldChar w:fldCharType="begin"/>
          </w:r>
          <w:r>
            <w:instrText xml:space="preserve"> HYPERLINK \l "_Toc17067" </w:instrText>
          </w:r>
          <w:r>
            <w:fldChar w:fldCharType="separate"/>
          </w:r>
          <w:r>
            <w:rPr>
              <w:rFonts w:hint="eastAsia" w:ascii="方正小标宋简体" w:hAnsi="方正小标宋简体" w:eastAsia="方正小标宋简体" w:cs="方正小标宋简体"/>
              <w:b/>
            </w:rPr>
            <w:t>第一部分  单位概况</w:t>
          </w:r>
          <w:r>
            <w:rPr>
              <w:b/>
            </w:rPr>
            <w:tab/>
          </w:r>
          <w:r>
            <w:rPr>
              <w:b/>
            </w:rPr>
            <w:fldChar w:fldCharType="begin"/>
          </w:r>
          <w:r>
            <w:rPr>
              <w:b/>
            </w:rPr>
            <w:instrText xml:space="preserve"> PAGEREF _Toc17067 \h </w:instrText>
          </w:r>
          <w:r>
            <w:rPr>
              <w:b/>
            </w:rPr>
            <w:fldChar w:fldCharType="separate"/>
          </w:r>
          <w:r>
            <w:rPr>
              <w:b/>
            </w:rPr>
            <w:t>3</w:t>
          </w:r>
          <w:r>
            <w:rPr>
              <w:b/>
            </w:rPr>
            <w:fldChar w:fldCharType="end"/>
          </w:r>
          <w:r>
            <w:rPr>
              <w:b/>
            </w:rPr>
            <w:fldChar w:fldCharType="end"/>
          </w:r>
        </w:p>
        <w:p w14:paraId="7E325CA4">
          <w:pPr>
            <w:pStyle w:val="35"/>
            <w:tabs>
              <w:tab w:val="right" w:leader="dot" w:pos="8845"/>
            </w:tabs>
            <w:ind w:left="420"/>
          </w:pPr>
          <w:r>
            <w:fldChar w:fldCharType="begin"/>
          </w:r>
          <w:r>
            <w:instrText xml:space="preserve"> HYPERLINK \l "_Toc13031" </w:instrText>
          </w:r>
          <w:r>
            <w:fldChar w:fldCharType="separate"/>
          </w:r>
          <w:r>
            <w:rPr>
              <w:rFonts w:hint="eastAsia" w:ascii="黑体" w:hAnsi="黑体" w:eastAsia="黑体" w:cs="黑体"/>
            </w:rPr>
            <w:t>一、</w:t>
          </w:r>
          <w:r>
            <w:rPr>
              <w:rFonts w:ascii="黑体" w:hAnsi="黑体" w:eastAsia="黑体" w:cs="黑体"/>
            </w:rPr>
            <w:t>职能简介</w:t>
          </w:r>
          <w:r>
            <w:tab/>
          </w:r>
          <w:r>
            <w:fldChar w:fldCharType="begin"/>
          </w:r>
          <w:r>
            <w:instrText xml:space="preserve"> PAGEREF _Toc13031 \h </w:instrText>
          </w:r>
          <w:r>
            <w:fldChar w:fldCharType="separate"/>
          </w:r>
          <w:r>
            <w:t>3</w:t>
          </w:r>
          <w:r>
            <w:fldChar w:fldCharType="end"/>
          </w:r>
          <w:r>
            <w:fldChar w:fldCharType="end"/>
          </w:r>
        </w:p>
        <w:p w14:paraId="61DBAEC7">
          <w:pPr>
            <w:pStyle w:val="35"/>
            <w:tabs>
              <w:tab w:val="right" w:leader="dot" w:pos="8845"/>
            </w:tabs>
            <w:ind w:left="420"/>
          </w:pPr>
          <w:r>
            <w:fldChar w:fldCharType="begin"/>
          </w:r>
          <w:r>
            <w:instrText xml:space="preserve"> HYPERLINK \l "_Toc20314" </w:instrText>
          </w:r>
          <w:r>
            <w:fldChar w:fldCharType="separate"/>
          </w:r>
          <w:r>
            <w:rPr>
              <w:rFonts w:hint="eastAsia" w:ascii="黑体" w:hAnsi="黑体" w:eastAsia="黑体" w:cs="黑体"/>
            </w:rPr>
            <w:t>二、2021年重点工作完成情况</w:t>
          </w:r>
          <w:r>
            <w:tab/>
          </w:r>
          <w:r>
            <w:fldChar w:fldCharType="begin"/>
          </w:r>
          <w:r>
            <w:instrText xml:space="preserve"> PAGEREF _Toc20314 \h </w:instrText>
          </w:r>
          <w:r>
            <w:fldChar w:fldCharType="separate"/>
          </w:r>
          <w:r>
            <w:t>3</w:t>
          </w:r>
          <w:r>
            <w:fldChar w:fldCharType="end"/>
          </w:r>
          <w:r>
            <w:fldChar w:fldCharType="end"/>
          </w:r>
        </w:p>
        <w:p w14:paraId="2D8130D0">
          <w:pPr>
            <w:pStyle w:val="35"/>
            <w:tabs>
              <w:tab w:val="right" w:leader="dot" w:pos="8845"/>
            </w:tabs>
            <w:ind w:left="420"/>
          </w:pPr>
          <w:r>
            <w:fldChar w:fldCharType="begin"/>
          </w:r>
          <w:r>
            <w:instrText xml:space="preserve"> HYPERLINK \l "_Toc13757" </w:instrText>
          </w:r>
          <w:r>
            <w:fldChar w:fldCharType="separate"/>
          </w:r>
          <w:r>
            <w:rPr>
              <w:rFonts w:ascii="黑体" w:hAnsi="黑体" w:eastAsia="黑体" w:cs="黑体"/>
            </w:rPr>
            <w:t>三、机构设置</w:t>
          </w:r>
          <w:r>
            <w:tab/>
          </w:r>
          <w:r>
            <w:fldChar w:fldCharType="begin"/>
          </w:r>
          <w:r>
            <w:instrText xml:space="preserve"> PAGEREF _Toc13757 \h </w:instrText>
          </w:r>
          <w:r>
            <w:fldChar w:fldCharType="separate"/>
          </w:r>
          <w:r>
            <w:t>9</w:t>
          </w:r>
          <w:r>
            <w:fldChar w:fldCharType="end"/>
          </w:r>
          <w:r>
            <w:fldChar w:fldCharType="end"/>
          </w:r>
        </w:p>
        <w:p w14:paraId="084B6527">
          <w:pPr>
            <w:pStyle w:val="34"/>
            <w:tabs>
              <w:tab w:val="right" w:leader="dot" w:pos="8845"/>
            </w:tabs>
            <w:rPr>
              <w:b/>
            </w:rPr>
          </w:pPr>
          <w:r>
            <w:fldChar w:fldCharType="begin"/>
          </w:r>
          <w:r>
            <w:instrText xml:space="preserve"> HYPERLINK \l "_Toc1491" </w:instrText>
          </w:r>
          <w:r>
            <w:fldChar w:fldCharType="separate"/>
          </w:r>
          <w:r>
            <w:rPr>
              <w:rFonts w:ascii="方正小标宋简体" w:hAnsi="方正小标宋简体" w:eastAsia="方正小标宋简体" w:cs="方正小标宋简体"/>
              <w:b/>
            </w:rPr>
            <w:t>第二部分</w:t>
          </w:r>
          <w:r>
            <w:rPr>
              <w:rFonts w:hint="eastAsia" w:ascii="方正小标宋简体" w:hAnsi="方正小标宋简体" w:eastAsia="方正小标宋简体" w:cs="方正小标宋简体"/>
              <w:b/>
            </w:rPr>
            <w:t xml:space="preserve">  </w:t>
          </w:r>
          <w:r>
            <w:rPr>
              <w:rFonts w:ascii="方正小标宋简体" w:hAnsi="方正小标宋简体" w:eastAsia="方正小标宋简体" w:cs="方正小标宋简体"/>
              <w:b/>
            </w:rPr>
            <w:t>2021年度单位决算情况说明</w:t>
          </w:r>
          <w:r>
            <w:rPr>
              <w:b/>
            </w:rPr>
            <w:tab/>
          </w:r>
          <w:r>
            <w:rPr>
              <w:b/>
            </w:rPr>
            <w:fldChar w:fldCharType="begin"/>
          </w:r>
          <w:r>
            <w:rPr>
              <w:b/>
            </w:rPr>
            <w:instrText xml:space="preserve"> PAGEREF _Toc1491 \h </w:instrText>
          </w:r>
          <w:r>
            <w:rPr>
              <w:b/>
            </w:rPr>
            <w:fldChar w:fldCharType="separate"/>
          </w:r>
          <w:r>
            <w:rPr>
              <w:b/>
            </w:rPr>
            <w:t>10</w:t>
          </w:r>
          <w:r>
            <w:rPr>
              <w:b/>
            </w:rPr>
            <w:fldChar w:fldCharType="end"/>
          </w:r>
          <w:r>
            <w:rPr>
              <w:b/>
            </w:rPr>
            <w:fldChar w:fldCharType="end"/>
          </w:r>
        </w:p>
        <w:p w14:paraId="5D73B487">
          <w:pPr>
            <w:pStyle w:val="35"/>
            <w:tabs>
              <w:tab w:val="right" w:leader="dot" w:pos="8845"/>
            </w:tabs>
            <w:ind w:left="420"/>
          </w:pPr>
          <w:r>
            <w:fldChar w:fldCharType="begin"/>
          </w:r>
          <w:r>
            <w:instrText xml:space="preserve"> HYPERLINK \l "_Toc10370" </w:instrText>
          </w:r>
          <w:r>
            <w:fldChar w:fldCharType="separate"/>
          </w:r>
          <w:r>
            <w:rPr>
              <w:rFonts w:hint="eastAsia" w:ascii="黑体" w:hAnsi="黑体" w:eastAsia="黑体" w:cs="黑体"/>
            </w:rPr>
            <w:t>一、收入支出决算总体情况说明</w:t>
          </w:r>
          <w:r>
            <w:tab/>
          </w:r>
          <w:r>
            <w:fldChar w:fldCharType="begin"/>
          </w:r>
          <w:r>
            <w:instrText xml:space="preserve"> PAGEREF _Toc10370 \h </w:instrText>
          </w:r>
          <w:r>
            <w:fldChar w:fldCharType="separate"/>
          </w:r>
          <w:r>
            <w:t>10</w:t>
          </w:r>
          <w:r>
            <w:fldChar w:fldCharType="end"/>
          </w:r>
          <w:r>
            <w:fldChar w:fldCharType="end"/>
          </w:r>
        </w:p>
        <w:p w14:paraId="06B95256">
          <w:pPr>
            <w:pStyle w:val="35"/>
            <w:tabs>
              <w:tab w:val="right" w:leader="dot" w:pos="8845"/>
            </w:tabs>
            <w:ind w:left="420"/>
          </w:pPr>
          <w:r>
            <w:fldChar w:fldCharType="begin"/>
          </w:r>
          <w:r>
            <w:instrText xml:space="preserve"> HYPERLINK \l "_Toc29072" </w:instrText>
          </w:r>
          <w:r>
            <w:fldChar w:fldCharType="separate"/>
          </w:r>
          <w:r>
            <w:rPr>
              <w:rFonts w:hint="eastAsia" w:ascii="黑体" w:hAnsi="黑体" w:eastAsia="黑体" w:cs="黑体"/>
            </w:rPr>
            <w:t>二、</w:t>
          </w:r>
          <w:r>
            <w:rPr>
              <w:rFonts w:ascii="黑体" w:hAnsi="黑体" w:eastAsia="黑体" w:cs="黑体"/>
            </w:rPr>
            <w:t>收入决算情况说明</w:t>
          </w:r>
          <w:r>
            <w:tab/>
          </w:r>
          <w:r>
            <w:fldChar w:fldCharType="begin"/>
          </w:r>
          <w:r>
            <w:instrText xml:space="preserve"> PAGEREF _Toc29072 \h </w:instrText>
          </w:r>
          <w:r>
            <w:fldChar w:fldCharType="separate"/>
          </w:r>
          <w:r>
            <w:t>10</w:t>
          </w:r>
          <w:r>
            <w:fldChar w:fldCharType="end"/>
          </w:r>
          <w:r>
            <w:fldChar w:fldCharType="end"/>
          </w:r>
        </w:p>
        <w:p w14:paraId="724F6944">
          <w:pPr>
            <w:pStyle w:val="35"/>
            <w:tabs>
              <w:tab w:val="right" w:leader="dot" w:pos="8845"/>
            </w:tabs>
            <w:ind w:left="420"/>
          </w:pPr>
          <w:r>
            <w:fldChar w:fldCharType="begin"/>
          </w:r>
          <w:r>
            <w:instrText xml:space="preserve"> HYPERLINK \l "_Toc14067" </w:instrText>
          </w:r>
          <w:r>
            <w:fldChar w:fldCharType="separate"/>
          </w:r>
          <w:r>
            <w:rPr>
              <w:rFonts w:hint="eastAsia" w:ascii="黑体" w:hAnsi="黑体" w:eastAsia="黑体" w:cs="黑体"/>
            </w:rPr>
            <w:t>三、</w:t>
          </w:r>
          <w:r>
            <w:rPr>
              <w:rFonts w:ascii="黑体" w:hAnsi="黑体" w:eastAsia="黑体" w:cs="黑体"/>
            </w:rPr>
            <w:t>支出决算情况说明</w:t>
          </w:r>
          <w:r>
            <w:tab/>
          </w:r>
          <w:r>
            <w:fldChar w:fldCharType="begin"/>
          </w:r>
          <w:r>
            <w:instrText xml:space="preserve"> PAGEREF _Toc14067 \h </w:instrText>
          </w:r>
          <w:r>
            <w:fldChar w:fldCharType="separate"/>
          </w:r>
          <w:r>
            <w:t>11</w:t>
          </w:r>
          <w:r>
            <w:fldChar w:fldCharType="end"/>
          </w:r>
          <w:r>
            <w:fldChar w:fldCharType="end"/>
          </w:r>
        </w:p>
        <w:p w14:paraId="6DE7DDBB">
          <w:pPr>
            <w:pStyle w:val="35"/>
            <w:tabs>
              <w:tab w:val="right" w:leader="dot" w:pos="8845"/>
            </w:tabs>
            <w:ind w:left="420"/>
          </w:pPr>
          <w:r>
            <w:fldChar w:fldCharType="begin"/>
          </w:r>
          <w:r>
            <w:instrText xml:space="preserve"> HYPERLINK \l "_Toc25538" </w:instrText>
          </w:r>
          <w:r>
            <w:fldChar w:fldCharType="separate"/>
          </w:r>
          <w:r>
            <w:rPr>
              <w:rFonts w:ascii="黑体" w:hAnsi="黑体" w:eastAsia="黑体" w:cs="黑体"/>
            </w:rPr>
            <w:t>四、财政拨款收入支出决算总体情况说明</w:t>
          </w:r>
          <w:r>
            <w:tab/>
          </w:r>
          <w:r>
            <w:fldChar w:fldCharType="begin"/>
          </w:r>
          <w:r>
            <w:instrText xml:space="preserve"> PAGEREF _Toc25538 \h </w:instrText>
          </w:r>
          <w:r>
            <w:fldChar w:fldCharType="separate"/>
          </w:r>
          <w:r>
            <w:t>11</w:t>
          </w:r>
          <w:r>
            <w:fldChar w:fldCharType="end"/>
          </w:r>
          <w:r>
            <w:fldChar w:fldCharType="end"/>
          </w:r>
        </w:p>
        <w:p w14:paraId="2ACBBD63">
          <w:pPr>
            <w:pStyle w:val="35"/>
            <w:tabs>
              <w:tab w:val="right" w:leader="dot" w:pos="8845"/>
            </w:tabs>
            <w:ind w:left="420"/>
          </w:pPr>
          <w:r>
            <w:fldChar w:fldCharType="begin"/>
          </w:r>
          <w:r>
            <w:instrText xml:space="preserve"> HYPERLINK \l "_Toc24441" </w:instrText>
          </w:r>
          <w:r>
            <w:fldChar w:fldCharType="separate"/>
          </w:r>
          <w:r>
            <w:rPr>
              <w:rFonts w:ascii="黑体" w:hAnsi="黑体" w:eastAsia="黑体" w:cs="黑体"/>
            </w:rPr>
            <w:t>五、一般公共决算财政拨款支出决算情况说明</w:t>
          </w:r>
          <w:r>
            <w:tab/>
          </w:r>
          <w:r>
            <w:fldChar w:fldCharType="begin"/>
          </w:r>
          <w:r>
            <w:instrText xml:space="preserve"> PAGEREF _Toc24441 \h </w:instrText>
          </w:r>
          <w:r>
            <w:fldChar w:fldCharType="separate"/>
          </w:r>
          <w:r>
            <w:t>11</w:t>
          </w:r>
          <w:r>
            <w:fldChar w:fldCharType="end"/>
          </w:r>
          <w:r>
            <w:fldChar w:fldCharType="end"/>
          </w:r>
        </w:p>
        <w:p w14:paraId="65AE10EF">
          <w:pPr>
            <w:pStyle w:val="35"/>
            <w:tabs>
              <w:tab w:val="right" w:leader="dot" w:pos="8845"/>
            </w:tabs>
            <w:ind w:left="420"/>
          </w:pPr>
          <w:r>
            <w:fldChar w:fldCharType="begin"/>
          </w:r>
          <w:r>
            <w:instrText xml:space="preserve"> HYPERLINK \l "_Toc3138" </w:instrText>
          </w:r>
          <w:r>
            <w:fldChar w:fldCharType="separate"/>
          </w:r>
          <w:r>
            <w:rPr>
              <w:rFonts w:ascii="黑体" w:hAnsi="黑体" w:eastAsia="黑体" w:cs="黑体"/>
            </w:rPr>
            <w:t>六、一般公共决算财政拨款基本支出决算情况说明</w:t>
          </w:r>
          <w:r>
            <w:tab/>
          </w:r>
          <w:r>
            <w:fldChar w:fldCharType="begin"/>
          </w:r>
          <w:r>
            <w:instrText xml:space="preserve"> PAGEREF _Toc3138 \h </w:instrText>
          </w:r>
          <w:r>
            <w:fldChar w:fldCharType="separate"/>
          </w:r>
          <w:r>
            <w:t>16</w:t>
          </w:r>
          <w:r>
            <w:fldChar w:fldCharType="end"/>
          </w:r>
          <w:r>
            <w:fldChar w:fldCharType="end"/>
          </w:r>
        </w:p>
        <w:p w14:paraId="02FF4243">
          <w:pPr>
            <w:pStyle w:val="35"/>
            <w:tabs>
              <w:tab w:val="right" w:leader="dot" w:pos="8845"/>
            </w:tabs>
            <w:ind w:left="420"/>
          </w:pPr>
          <w:r>
            <w:fldChar w:fldCharType="begin"/>
          </w:r>
          <w:r>
            <w:instrText xml:space="preserve"> HYPERLINK \l "_Toc24779" </w:instrText>
          </w:r>
          <w:r>
            <w:fldChar w:fldCharType="separate"/>
          </w:r>
          <w:r>
            <w:rPr>
              <w:rFonts w:ascii="黑体" w:hAnsi="黑体" w:eastAsia="黑体" w:cs="黑体"/>
            </w:rPr>
            <w:t>七、“三公”经费财政拨款支出决算情况说明</w:t>
          </w:r>
          <w:r>
            <w:tab/>
          </w:r>
          <w:r>
            <w:fldChar w:fldCharType="begin"/>
          </w:r>
          <w:r>
            <w:instrText xml:space="preserve"> PAGEREF _Toc24779 \h </w:instrText>
          </w:r>
          <w:r>
            <w:fldChar w:fldCharType="separate"/>
          </w:r>
          <w:r>
            <w:t>17</w:t>
          </w:r>
          <w:r>
            <w:fldChar w:fldCharType="end"/>
          </w:r>
          <w:r>
            <w:fldChar w:fldCharType="end"/>
          </w:r>
        </w:p>
        <w:p w14:paraId="1E2F490F">
          <w:pPr>
            <w:pStyle w:val="35"/>
            <w:tabs>
              <w:tab w:val="right" w:leader="dot" w:pos="8845"/>
            </w:tabs>
            <w:ind w:left="420"/>
          </w:pPr>
          <w:r>
            <w:fldChar w:fldCharType="begin"/>
          </w:r>
          <w:r>
            <w:instrText xml:space="preserve"> HYPERLINK \l "_Toc25205" </w:instrText>
          </w:r>
          <w:r>
            <w:fldChar w:fldCharType="separate"/>
          </w:r>
          <w:r>
            <w:rPr>
              <w:rFonts w:ascii="黑体" w:hAnsi="黑体" w:eastAsia="黑体" w:cs="黑体"/>
            </w:rPr>
            <w:t>八、政府性基金决算支出决算情况说明</w:t>
          </w:r>
          <w:r>
            <w:tab/>
          </w:r>
          <w:r>
            <w:fldChar w:fldCharType="begin"/>
          </w:r>
          <w:r>
            <w:instrText xml:space="preserve"> PAGEREF _Toc25205 \h </w:instrText>
          </w:r>
          <w:r>
            <w:fldChar w:fldCharType="separate"/>
          </w:r>
          <w:r>
            <w:t>19</w:t>
          </w:r>
          <w:r>
            <w:fldChar w:fldCharType="end"/>
          </w:r>
          <w:r>
            <w:fldChar w:fldCharType="end"/>
          </w:r>
        </w:p>
        <w:p w14:paraId="4E4C613A">
          <w:pPr>
            <w:pStyle w:val="35"/>
            <w:tabs>
              <w:tab w:val="right" w:leader="dot" w:pos="8845"/>
            </w:tabs>
            <w:ind w:left="420"/>
          </w:pPr>
          <w:r>
            <w:fldChar w:fldCharType="begin"/>
          </w:r>
          <w:r>
            <w:instrText xml:space="preserve"> HYPERLINK \l "_Toc28630" </w:instrText>
          </w:r>
          <w:r>
            <w:fldChar w:fldCharType="separate"/>
          </w:r>
          <w:r>
            <w:rPr>
              <w:rFonts w:hint="eastAsia" w:ascii="黑体" w:hAnsi="黑体" w:eastAsia="黑体" w:cs="黑体"/>
            </w:rPr>
            <w:t>九、</w:t>
          </w:r>
          <w:r>
            <w:rPr>
              <w:rFonts w:ascii="黑体" w:hAnsi="黑体" w:eastAsia="黑体" w:cs="黑体"/>
            </w:rPr>
            <w:t>国有资本经营决算支出决算情况说明</w:t>
          </w:r>
          <w:r>
            <w:tab/>
          </w:r>
          <w:r>
            <w:fldChar w:fldCharType="begin"/>
          </w:r>
          <w:r>
            <w:instrText xml:space="preserve"> PAGEREF _Toc28630 \h </w:instrText>
          </w:r>
          <w:r>
            <w:fldChar w:fldCharType="separate"/>
          </w:r>
          <w:r>
            <w:t>19</w:t>
          </w:r>
          <w:r>
            <w:fldChar w:fldCharType="end"/>
          </w:r>
          <w:r>
            <w:fldChar w:fldCharType="end"/>
          </w:r>
        </w:p>
        <w:p w14:paraId="652FE92C">
          <w:pPr>
            <w:pStyle w:val="35"/>
            <w:tabs>
              <w:tab w:val="right" w:leader="dot" w:pos="8845"/>
            </w:tabs>
            <w:ind w:left="420"/>
          </w:pPr>
          <w:r>
            <w:fldChar w:fldCharType="begin"/>
          </w:r>
          <w:r>
            <w:instrText xml:space="preserve"> HYPERLINK \l "_Toc8203" </w:instrText>
          </w:r>
          <w:r>
            <w:fldChar w:fldCharType="separate"/>
          </w:r>
          <w:r>
            <w:rPr>
              <w:rFonts w:hint="eastAsia" w:ascii="黑体" w:hAnsi="黑体" w:eastAsia="黑体" w:cs="黑体"/>
            </w:rPr>
            <w:t>十、</w:t>
          </w:r>
          <w:r>
            <w:rPr>
              <w:rFonts w:ascii="黑体" w:hAnsi="黑体" w:eastAsia="黑体" w:cs="黑体"/>
            </w:rPr>
            <w:t>决算绩效管理情况</w:t>
          </w:r>
          <w:r>
            <w:tab/>
          </w:r>
          <w:r>
            <w:fldChar w:fldCharType="begin"/>
          </w:r>
          <w:r>
            <w:instrText xml:space="preserve"> PAGEREF _Toc8203 \h </w:instrText>
          </w:r>
          <w:r>
            <w:fldChar w:fldCharType="separate"/>
          </w:r>
          <w:r>
            <w:t>19</w:t>
          </w:r>
          <w:r>
            <w:fldChar w:fldCharType="end"/>
          </w:r>
          <w:r>
            <w:fldChar w:fldCharType="end"/>
          </w:r>
        </w:p>
        <w:p w14:paraId="73068ABB">
          <w:pPr>
            <w:pStyle w:val="35"/>
            <w:tabs>
              <w:tab w:val="right" w:leader="dot" w:pos="8845"/>
            </w:tabs>
            <w:ind w:left="420"/>
          </w:pPr>
          <w:r>
            <w:fldChar w:fldCharType="begin"/>
          </w:r>
          <w:r>
            <w:instrText xml:space="preserve"> HYPERLINK \l "_Toc6160" </w:instrText>
          </w:r>
          <w:r>
            <w:fldChar w:fldCharType="separate"/>
          </w:r>
          <w:r>
            <w:rPr>
              <w:rFonts w:hint="eastAsia" w:ascii="黑体" w:hAnsi="黑体" w:eastAsia="黑体" w:cs="黑体"/>
            </w:rPr>
            <w:t>十一、</w:t>
          </w:r>
          <w:r>
            <w:rPr>
              <w:rFonts w:ascii="黑体" w:hAnsi="黑体" w:eastAsia="黑体" w:cs="黑体"/>
            </w:rPr>
            <w:t>其他重要事项的情况说明</w:t>
          </w:r>
          <w:r>
            <w:tab/>
          </w:r>
          <w:r>
            <w:fldChar w:fldCharType="begin"/>
          </w:r>
          <w:r>
            <w:instrText xml:space="preserve"> PAGEREF _Toc6160 \h </w:instrText>
          </w:r>
          <w:r>
            <w:fldChar w:fldCharType="separate"/>
          </w:r>
          <w:r>
            <w:t>20</w:t>
          </w:r>
          <w:r>
            <w:fldChar w:fldCharType="end"/>
          </w:r>
          <w:r>
            <w:fldChar w:fldCharType="end"/>
          </w:r>
        </w:p>
        <w:p w14:paraId="4827ED88">
          <w:pPr>
            <w:pStyle w:val="34"/>
            <w:tabs>
              <w:tab w:val="right" w:leader="dot" w:pos="8845"/>
            </w:tabs>
            <w:rPr>
              <w:b/>
            </w:rPr>
          </w:pPr>
          <w:r>
            <w:fldChar w:fldCharType="begin"/>
          </w:r>
          <w:r>
            <w:instrText xml:space="preserve"> HYPERLINK \l "_Toc8447" </w:instrText>
          </w:r>
          <w:r>
            <w:fldChar w:fldCharType="separate"/>
          </w:r>
          <w:r>
            <w:rPr>
              <w:rFonts w:hint="eastAsia" w:ascii="方正小标宋简体" w:hAnsi="方正小标宋简体" w:eastAsia="方正小标宋简体" w:cs="方正小标宋简体"/>
              <w:b/>
            </w:rPr>
            <w:t xml:space="preserve">第四部分  </w:t>
          </w:r>
          <w:r>
            <w:rPr>
              <w:rFonts w:ascii="方正小标宋简体" w:hAnsi="方正小标宋简体" w:eastAsia="方正小标宋简体" w:cs="方正小标宋简体"/>
              <w:b/>
            </w:rPr>
            <w:t>名词解释</w:t>
          </w:r>
          <w:r>
            <w:rPr>
              <w:b/>
            </w:rPr>
            <w:tab/>
          </w:r>
          <w:r>
            <w:rPr>
              <w:b/>
            </w:rPr>
            <w:fldChar w:fldCharType="begin"/>
          </w:r>
          <w:r>
            <w:rPr>
              <w:b/>
            </w:rPr>
            <w:instrText xml:space="preserve"> PAGEREF _Toc8447 \h </w:instrText>
          </w:r>
          <w:r>
            <w:rPr>
              <w:b/>
            </w:rPr>
            <w:fldChar w:fldCharType="separate"/>
          </w:r>
          <w:r>
            <w:rPr>
              <w:b/>
            </w:rPr>
            <w:t>21</w:t>
          </w:r>
          <w:r>
            <w:rPr>
              <w:b/>
            </w:rPr>
            <w:fldChar w:fldCharType="end"/>
          </w:r>
          <w:r>
            <w:rPr>
              <w:b/>
            </w:rPr>
            <w:fldChar w:fldCharType="end"/>
          </w:r>
        </w:p>
        <w:p w14:paraId="48BEB3F5">
          <w:pPr>
            <w:pStyle w:val="34"/>
            <w:tabs>
              <w:tab w:val="right" w:leader="dot" w:pos="8845"/>
            </w:tabs>
            <w:rPr>
              <w:b/>
            </w:rPr>
          </w:pPr>
          <w:r>
            <w:fldChar w:fldCharType="begin"/>
          </w:r>
          <w:r>
            <w:instrText xml:space="preserve"> HYPERLINK \l "_Toc15353" </w:instrText>
          </w:r>
          <w:r>
            <w:fldChar w:fldCharType="separate"/>
          </w:r>
          <w:r>
            <w:rPr>
              <w:rFonts w:ascii="方正小标宋简体" w:hAnsi="方正小标宋简体" w:eastAsia="方正小标宋简体" w:cs="方正小标宋简体"/>
              <w:b/>
            </w:rPr>
            <w:t>第四部分</w:t>
          </w:r>
          <w:r>
            <w:rPr>
              <w:rFonts w:hint="eastAsia" w:ascii="方正小标宋简体" w:hAnsi="方正小标宋简体" w:eastAsia="方正小标宋简体" w:cs="方正小标宋简体"/>
              <w:b/>
            </w:rPr>
            <w:t xml:space="preserve">  </w:t>
          </w:r>
          <w:r>
            <w:rPr>
              <w:rFonts w:ascii="方正小标宋简体" w:hAnsi="方正小标宋简体" w:eastAsia="方正小标宋简体" w:cs="方正小标宋简体"/>
              <w:b/>
            </w:rPr>
            <w:t>附件</w:t>
          </w:r>
          <w:r>
            <w:rPr>
              <w:b/>
            </w:rPr>
            <w:tab/>
          </w:r>
          <w:r>
            <w:rPr>
              <w:b/>
            </w:rPr>
            <w:fldChar w:fldCharType="begin"/>
          </w:r>
          <w:r>
            <w:rPr>
              <w:b/>
            </w:rPr>
            <w:instrText xml:space="preserve"> PAGEREF _Toc15353 \h </w:instrText>
          </w:r>
          <w:r>
            <w:rPr>
              <w:b/>
            </w:rPr>
            <w:fldChar w:fldCharType="separate"/>
          </w:r>
          <w:r>
            <w:rPr>
              <w:b/>
            </w:rPr>
            <w:t>25</w:t>
          </w:r>
          <w:r>
            <w:rPr>
              <w:b/>
            </w:rPr>
            <w:fldChar w:fldCharType="end"/>
          </w:r>
          <w:r>
            <w:rPr>
              <w:b/>
            </w:rPr>
            <w:fldChar w:fldCharType="end"/>
          </w:r>
        </w:p>
        <w:p w14:paraId="1A2245F4">
          <w:pPr>
            <w:pStyle w:val="34"/>
            <w:tabs>
              <w:tab w:val="right" w:leader="dot" w:pos="8845"/>
            </w:tabs>
            <w:rPr>
              <w:b/>
            </w:rPr>
          </w:pPr>
          <w:r>
            <w:fldChar w:fldCharType="begin"/>
          </w:r>
          <w:r>
            <w:instrText xml:space="preserve"> HYPERLINK \l "_Toc25911" </w:instrText>
          </w:r>
          <w:r>
            <w:fldChar w:fldCharType="separate"/>
          </w:r>
          <w:r>
            <w:rPr>
              <w:rFonts w:ascii="方正小标宋简体" w:hAnsi="方正小标宋简体" w:eastAsia="方正小标宋简体" w:cs="方正小标宋简体"/>
              <w:b/>
            </w:rPr>
            <w:t>第五部分</w:t>
          </w:r>
          <w:r>
            <w:rPr>
              <w:rFonts w:hint="eastAsia" w:ascii="方正小标宋简体" w:hAnsi="方正小标宋简体" w:eastAsia="方正小标宋简体" w:cs="方正小标宋简体"/>
              <w:b/>
            </w:rPr>
            <w:t xml:space="preserve">  </w:t>
          </w:r>
          <w:r>
            <w:rPr>
              <w:rFonts w:ascii="方正小标宋简体" w:hAnsi="方正小标宋简体" w:eastAsia="方正小标宋简体" w:cs="方正小标宋简体"/>
              <w:b/>
            </w:rPr>
            <w:t>附表</w:t>
          </w:r>
          <w:r>
            <w:rPr>
              <w:b/>
            </w:rPr>
            <w:tab/>
          </w:r>
          <w:r>
            <w:rPr>
              <w:b/>
            </w:rPr>
            <w:fldChar w:fldCharType="begin"/>
          </w:r>
          <w:r>
            <w:rPr>
              <w:b/>
            </w:rPr>
            <w:instrText xml:space="preserve"> PAGEREF _Toc25911 \h </w:instrText>
          </w:r>
          <w:r>
            <w:rPr>
              <w:b/>
            </w:rPr>
            <w:fldChar w:fldCharType="separate"/>
          </w:r>
          <w:r>
            <w:rPr>
              <w:b/>
            </w:rPr>
            <w:t>31</w:t>
          </w:r>
          <w:r>
            <w:rPr>
              <w:b/>
            </w:rPr>
            <w:fldChar w:fldCharType="end"/>
          </w:r>
          <w:r>
            <w:rPr>
              <w:b/>
            </w:rPr>
            <w:fldChar w:fldCharType="end"/>
          </w:r>
        </w:p>
        <w:p w14:paraId="1CC5D6C9">
          <w:pPr>
            <w:pStyle w:val="35"/>
            <w:tabs>
              <w:tab w:val="right" w:leader="dot" w:pos="8845"/>
            </w:tabs>
            <w:ind w:left="420"/>
          </w:pPr>
          <w:r>
            <w:fldChar w:fldCharType="begin"/>
          </w:r>
          <w:r>
            <w:instrText xml:space="preserve"> HYPERLINK \l "_Toc21311" </w:instrText>
          </w:r>
          <w:r>
            <w:fldChar w:fldCharType="separate"/>
          </w:r>
          <w:r>
            <w:rPr>
              <w:rFonts w:ascii="黑体" w:hAnsi="黑体" w:eastAsia="黑体" w:cs="黑体"/>
            </w:rPr>
            <w:t>一、收入支出决算总表</w:t>
          </w:r>
          <w:r>
            <w:tab/>
          </w:r>
          <w:r>
            <w:fldChar w:fldCharType="begin"/>
          </w:r>
          <w:r>
            <w:instrText xml:space="preserve"> PAGEREF _Toc21311 \h </w:instrText>
          </w:r>
          <w:r>
            <w:fldChar w:fldCharType="separate"/>
          </w:r>
          <w:r>
            <w:t>31</w:t>
          </w:r>
          <w:r>
            <w:fldChar w:fldCharType="end"/>
          </w:r>
          <w:r>
            <w:fldChar w:fldCharType="end"/>
          </w:r>
        </w:p>
        <w:p w14:paraId="1312C094">
          <w:pPr>
            <w:pStyle w:val="35"/>
            <w:tabs>
              <w:tab w:val="right" w:leader="dot" w:pos="8845"/>
            </w:tabs>
            <w:ind w:left="420"/>
          </w:pPr>
          <w:r>
            <w:fldChar w:fldCharType="begin"/>
          </w:r>
          <w:r>
            <w:instrText xml:space="preserve"> HYPERLINK \l "_Toc26703" </w:instrText>
          </w:r>
          <w:r>
            <w:fldChar w:fldCharType="separate"/>
          </w:r>
          <w:r>
            <w:rPr>
              <w:rFonts w:ascii="黑体" w:hAnsi="黑体" w:eastAsia="黑体" w:cs="黑体"/>
            </w:rPr>
            <w:t>二、收入决算表</w:t>
          </w:r>
          <w:r>
            <w:tab/>
          </w:r>
          <w:r>
            <w:fldChar w:fldCharType="begin"/>
          </w:r>
          <w:r>
            <w:instrText xml:space="preserve"> PAGEREF _Toc26703 \h </w:instrText>
          </w:r>
          <w:r>
            <w:fldChar w:fldCharType="separate"/>
          </w:r>
          <w:r>
            <w:t>31</w:t>
          </w:r>
          <w:r>
            <w:fldChar w:fldCharType="end"/>
          </w:r>
          <w:r>
            <w:fldChar w:fldCharType="end"/>
          </w:r>
        </w:p>
        <w:p w14:paraId="4D153485">
          <w:pPr>
            <w:pStyle w:val="35"/>
            <w:tabs>
              <w:tab w:val="right" w:leader="dot" w:pos="8845"/>
            </w:tabs>
            <w:ind w:left="420"/>
          </w:pPr>
          <w:r>
            <w:fldChar w:fldCharType="begin"/>
          </w:r>
          <w:r>
            <w:instrText xml:space="preserve"> HYPERLINK \l "_Toc1815" </w:instrText>
          </w:r>
          <w:r>
            <w:fldChar w:fldCharType="separate"/>
          </w:r>
          <w:r>
            <w:rPr>
              <w:rFonts w:ascii="黑体" w:hAnsi="黑体" w:eastAsia="黑体" w:cs="黑体"/>
            </w:rPr>
            <w:t>三、支出决算表</w:t>
          </w:r>
          <w:r>
            <w:tab/>
          </w:r>
          <w:r>
            <w:fldChar w:fldCharType="begin"/>
          </w:r>
          <w:r>
            <w:instrText xml:space="preserve"> PAGEREF _Toc1815 \h </w:instrText>
          </w:r>
          <w:r>
            <w:fldChar w:fldCharType="separate"/>
          </w:r>
          <w:r>
            <w:t>31</w:t>
          </w:r>
          <w:r>
            <w:fldChar w:fldCharType="end"/>
          </w:r>
          <w:r>
            <w:fldChar w:fldCharType="end"/>
          </w:r>
        </w:p>
        <w:p w14:paraId="6D2916E8">
          <w:pPr>
            <w:pStyle w:val="35"/>
            <w:tabs>
              <w:tab w:val="right" w:leader="dot" w:pos="8845"/>
            </w:tabs>
            <w:ind w:left="420"/>
          </w:pPr>
          <w:r>
            <w:fldChar w:fldCharType="begin"/>
          </w:r>
          <w:r>
            <w:instrText xml:space="preserve"> HYPERLINK \l "_Toc24200" </w:instrText>
          </w:r>
          <w:r>
            <w:fldChar w:fldCharType="separate"/>
          </w:r>
          <w:r>
            <w:rPr>
              <w:rFonts w:ascii="黑体" w:hAnsi="黑体" w:eastAsia="黑体" w:cs="黑体"/>
            </w:rPr>
            <w:t>四、财政拨款收入支出决算总表</w:t>
          </w:r>
          <w:r>
            <w:tab/>
          </w:r>
          <w:r>
            <w:fldChar w:fldCharType="begin"/>
          </w:r>
          <w:r>
            <w:instrText xml:space="preserve"> PAGEREF _Toc24200 \h </w:instrText>
          </w:r>
          <w:r>
            <w:fldChar w:fldCharType="separate"/>
          </w:r>
          <w:r>
            <w:t>31</w:t>
          </w:r>
          <w:r>
            <w:fldChar w:fldCharType="end"/>
          </w:r>
          <w:r>
            <w:fldChar w:fldCharType="end"/>
          </w:r>
        </w:p>
        <w:p w14:paraId="6B23DFC5">
          <w:pPr>
            <w:pStyle w:val="35"/>
            <w:tabs>
              <w:tab w:val="right" w:leader="dot" w:pos="8845"/>
            </w:tabs>
            <w:ind w:left="420"/>
          </w:pPr>
          <w:r>
            <w:fldChar w:fldCharType="begin"/>
          </w:r>
          <w:r>
            <w:instrText xml:space="preserve"> HYPERLINK \l "_Toc5066" </w:instrText>
          </w:r>
          <w:r>
            <w:fldChar w:fldCharType="separate"/>
          </w:r>
          <w:r>
            <w:rPr>
              <w:rFonts w:ascii="黑体" w:hAnsi="黑体" w:eastAsia="黑体" w:cs="黑体"/>
            </w:rPr>
            <w:t>五、财政拨款支出决算明细表</w:t>
          </w:r>
          <w:r>
            <w:tab/>
          </w:r>
          <w:r>
            <w:fldChar w:fldCharType="begin"/>
          </w:r>
          <w:r>
            <w:instrText xml:space="preserve"> PAGEREF _Toc5066 \h </w:instrText>
          </w:r>
          <w:r>
            <w:fldChar w:fldCharType="separate"/>
          </w:r>
          <w:r>
            <w:t>31</w:t>
          </w:r>
          <w:r>
            <w:fldChar w:fldCharType="end"/>
          </w:r>
          <w:r>
            <w:fldChar w:fldCharType="end"/>
          </w:r>
        </w:p>
        <w:p w14:paraId="33726C41">
          <w:pPr>
            <w:pStyle w:val="35"/>
            <w:tabs>
              <w:tab w:val="right" w:leader="dot" w:pos="8845"/>
            </w:tabs>
            <w:ind w:left="420"/>
          </w:pPr>
          <w:r>
            <w:fldChar w:fldCharType="begin"/>
          </w:r>
          <w:r>
            <w:instrText xml:space="preserve"> HYPERLINK \l "_Toc31860" </w:instrText>
          </w:r>
          <w:r>
            <w:fldChar w:fldCharType="separate"/>
          </w:r>
          <w:r>
            <w:rPr>
              <w:rFonts w:ascii="黑体" w:hAnsi="黑体" w:eastAsia="黑体" w:cs="黑体"/>
            </w:rPr>
            <w:t>六、一般公共决算财政拨款支出决算表</w:t>
          </w:r>
          <w:r>
            <w:tab/>
          </w:r>
          <w:r>
            <w:fldChar w:fldCharType="begin"/>
          </w:r>
          <w:r>
            <w:instrText xml:space="preserve"> PAGEREF _Toc31860 \h </w:instrText>
          </w:r>
          <w:r>
            <w:fldChar w:fldCharType="separate"/>
          </w:r>
          <w:r>
            <w:t>31</w:t>
          </w:r>
          <w:r>
            <w:fldChar w:fldCharType="end"/>
          </w:r>
          <w:r>
            <w:fldChar w:fldCharType="end"/>
          </w:r>
        </w:p>
        <w:p w14:paraId="68C5BBAD">
          <w:pPr>
            <w:pStyle w:val="35"/>
            <w:tabs>
              <w:tab w:val="right" w:leader="dot" w:pos="8845"/>
            </w:tabs>
            <w:ind w:left="420"/>
          </w:pPr>
          <w:r>
            <w:fldChar w:fldCharType="begin"/>
          </w:r>
          <w:r>
            <w:instrText xml:space="preserve"> HYPERLINK \l "_Toc14228" </w:instrText>
          </w:r>
          <w:r>
            <w:fldChar w:fldCharType="separate"/>
          </w:r>
          <w:r>
            <w:rPr>
              <w:rFonts w:ascii="黑体" w:hAnsi="黑体" w:eastAsia="黑体" w:cs="黑体"/>
            </w:rPr>
            <w:t>七、一般公共决算财政拨款支出决算明细表</w:t>
          </w:r>
          <w:r>
            <w:tab/>
          </w:r>
          <w:r>
            <w:fldChar w:fldCharType="begin"/>
          </w:r>
          <w:r>
            <w:instrText xml:space="preserve"> PAGEREF _Toc14228 \h </w:instrText>
          </w:r>
          <w:r>
            <w:fldChar w:fldCharType="separate"/>
          </w:r>
          <w:r>
            <w:t>31</w:t>
          </w:r>
          <w:r>
            <w:fldChar w:fldCharType="end"/>
          </w:r>
          <w:r>
            <w:fldChar w:fldCharType="end"/>
          </w:r>
        </w:p>
        <w:p w14:paraId="182D8944">
          <w:pPr>
            <w:pStyle w:val="35"/>
            <w:tabs>
              <w:tab w:val="right" w:leader="dot" w:pos="8845"/>
            </w:tabs>
            <w:ind w:left="420"/>
          </w:pPr>
          <w:r>
            <w:fldChar w:fldCharType="begin"/>
          </w:r>
          <w:r>
            <w:instrText xml:space="preserve"> HYPERLINK \l "_Toc15245" </w:instrText>
          </w:r>
          <w:r>
            <w:fldChar w:fldCharType="separate"/>
          </w:r>
          <w:r>
            <w:rPr>
              <w:rFonts w:ascii="黑体" w:hAnsi="黑体" w:eastAsia="黑体" w:cs="黑体"/>
            </w:rPr>
            <w:t>八、一般公共决算财政拨款基本支出决算表</w:t>
          </w:r>
          <w:r>
            <w:tab/>
          </w:r>
          <w:r>
            <w:fldChar w:fldCharType="begin"/>
          </w:r>
          <w:r>
            <w:instrText xml:space="preserve"> PAGEREF _Toc15245 \h </w:instrText>
          </w:r>
          <w:r>
            <w:fldChar w:fldCharType="separate"/>
          </w:r>
          <w:r>
            <w:t>31</w:t>
          </w:r>
          <w:r>
            <w:fldChar w:fldCharType="end"/>
          </w:r>
          <w:r>
            <w:fldChar w:fldCharType="end"/>
          </w:r>
        </w:p>
        <w:p w14:paraId="288F2D82">
          <w:pPr>
            <w:pStyle w:val="35"/>
            <w:tabs>
              <w:tab w:val="right" w:leader="dot" w:pos="8845"/>
            </w:tabs>
            <w:ind w:left="420"/>
          </w:pPr>
          <w:r>
            <w:fldChar w:fldCharType="begin"/>
          </w:r>
          <w:r>
            <w:instrText xml:space="preserve"> HYPERLINK \l "_Toc4491" </w:instrText>
          </w:r>
          <w:r>
            <w:fldChar w:fldCharType="separate"/>
          </w:r>
          <w:r>
            <w:rPr>
              <w:rFonts w:ascii="黑体" w:hAnsi="黑体" w:eastAsia="黑体" w:cs="黑体"/>
            </w:rPr>
            <w:t>九、一般公共决算财政拨款项目支出决算表</w:t>
          </w:r>
          <w:r>
            <w:tab/>
          </w:r>
          <w:r>
            <w:fldChar w:fldCharType="begin"/>
          </w:r>
          <w:r>
            <w:instrText xml:space="preserve"> PAGEREF _Toc4491 \h </w:instrText>
          </w:r>
          <w:r>
            <w:fldChar w:fldCharType="separate"/>
          </w:r>
          <w:r>
            <w:t>31</w:t>
          </w:r>
          <w:r>
            <w:fldChar w:fldCharType="end"/>
          </w:r>
          <w:r>
            <w:fldChar w:fldCharType="end"/>
          </w:r>
        </w:p>
        <w:p w14:paraId="7B5A0ECA">
          <w:pPr>
            <w:pStyle w:val="35"/>
            <w:tabs>
              <w:tab w:val="right" w:leader="dot" w:pos="8845"/>
            </w:tabs>
            <w:ind w:left="420"/>
          </w:pPr>
          <w:r>
            <w:fldChar w:fldCharType="begin"/>
          </w:r>
          <w:r>
            <w:instrText xml:space="preserve"> HYPERLINK \l "_Toc9222" </w:instrText>
          </w:r>
          <w:r>
            <w:fldChar w:fldCharType="separate"/>
          </w:r>
          <w:r>
            <w:rPr>
              <w:rFonts w:ascii="黑体" w:hAnsi="黑体" w:eastAsia="黑体" w:cs="黑体"/>
            </w:rPr>
            <w:t>十、一般公共决算财政拨款“三公”经费支出决算表</w:t>
          </w:r>
          <w:r>
            <w:tab/>
          </w:r>
          <w:r>
            <w:fldChar w:fldCharType="begin"/>
          </w:r>
          <w:r>
            <w:instrText xml:space="preserve"> PAGEREF _Toc9222 \h </w:instrText>
          </w:r>
          <w:r>
            <w:fldChar w:fldCharType="separate"/>
          </w:r>
          <w:r>
            <w:t>31</w:t>
          </w:r>
          <w:r>
            <w:fldChar w:fldCharType="end"/>
          </w:r>
          <w:r>
            <w:fldChar w:fldCharType="end"/>
          </w:r>
        </w:p>
        <w:p w14:paraId="6650CEC0">
          <w:pPr>
            <w:pStyle w:val="35"/>
            <w:tabs>
              <w:tab w:val="right" w:leader="dot" w:pos="8845"/>
            </w:tabs>
            <w:ind w:left="420"/>
          </w:pPr>
          <w:r>
            <w:fldChar w:fldCharType="begin"/>
          </w:r>
          <w:r>
            <w:instrText xml:space="preserve"> HYPERLINK \l "_Toc16547" </w:instrText>
          </w:r>
          <w:r>
            <w:fldChar w:fldCharType="separate"/>
          </w:r>
          <w:r>
            <w:rPr>
              <w:rFonts w:ascii="黑体" w:hAnsi="黑体" w:eastAsia="黑体" w:cs="黑体"/>
            </w:rPr>
            <w:t>十一、政府性基金决算财政拨款收入支出决算表</w:t>
          </w:r>
          <w:r>
            <w:tab/>
          </w:r>
          <w:r>
            <w:fldChar w:fldCharType="begin"/>
          </w:r>
          <w:r>
            <w:instrText xml:space="preserve"> PAGEREF _Toc16547 \h </w:instrText>
          </w:r>
          <w:r>
            <w:fldChar w:fldCharType="separate"/>
          </w:r>
          <w:r>
            <w:t>31</w:t>
          </w:r>
          <w:r>
            <w:fldChar w:fldCharType="end"/>
          </w:r>
          <w:r>
            <w:fldChar w:fldCharType="end"/>
          </w:r>
        </w:p>
        <w:p w14:paraId="2504373E">
          <w:pPr>
            <w:pStyle w:val="35"/>
            <w:tabs>
              <w:tab w:val="right" w:leader="dot" w:pos="8845"/>
            </w:tabs>
            <w:ind w:left="420"/>
          </w:pPr>
          <w:r>
            <w:fldChar w:fldCharType="begin"/>
          </w:r>
          <w:r>
            <w:instrText xml:space="preserve"> HYPERLINK \l "_Toc31311" </w:instrText>
          </w:r>
          <w:r>
            <w:fldChar w:fldCharType="separate"/>
          </w:r>
          <w:r>
            <w:rPr>
              <w:rFonts w:ascii="黑体" w:hAnsi="黑体" w:eastAsia="黑体" w:cs="黑体"/>
            </w:rPr>
            <w:t>十二、政府性基金决算财政拨款“三公”经费支出决算表</w:t>
          </w:r>
          <w:r>
            <w:tab/>
          </w:r>
          <w:r>
            <w:fldChar w:fldCharType="begin"/>
          </w:r>
          <w:r>
            <w:instrText xml:space="preserve"> PAGEREF _Toc31311 \h </w:instrText>
          </w:r>
          <w:r>
            <w:fldChar w:fldCharType="separate"/>
          </w:r>
          <w:r>
            <w:t>31</w:t>
          </w:r>
          <w:r>
            <w:fldChar w:fldCharType="end"/>
          </w:r>
          <w:r>
            <w:fldChar w:fldCharType="end"/>
          </w:r>
        </w:p>
        <w:p w14:paraId="61BB587A">
          <w:pPr>
            <w:pStyle w:val="35"/>
            <w:tabs>
              <w:tab w:val="right" w:leader="dot" w:pos="8845"/>
            </w:tabs>
            <w:ind w:left="420"/>
          </w:pPr>
          <w:r>
            <w:fldChar w:fldCharType="begin"/>
          </w:r>
          <w:r>
            <w:instrText xml:space="preserve"> HYPERLINK \l "_Toc15282" </w:instrText>
          </w:r>
          <w:r>
            <w:fldChar w:fldCharType="separate"/>
          </w:r>
          <w:r>
            <w:rPr>
              <w:rFonts w:ascii="黑体" w:hAnsi="黑体" w:eastAsia="黑体" w:cs="黑体"/>
            </w:rPr>
            <w:t>十三、国有资本经营决算财政拨款收入支出决算表</w:t>
          </w:r>
          <w:r>
            <w:tab/>
          </w:r>
          <w:r>
            <w:fldChar w:fldCharType="begin"/>
          </w:r>
          <w:r>
            <w:instrText xml:space="preserve"> PAGEREF _Toc15282 \h </w:instrText>
          </w:r>
          <w:r>
            <w:fldChar w:fldCharType="separate"/>
          </w:r>
          <w:r>
            <w:t>31</w:t>
          </w:r>
          <w:r>
            <w:fldChar w:fldCharType="end"/>
          </w:r>
          <w:r>
            <w:fldChar w:fldCharType="end"/>
          </w:r>
        </w:p>
        <w:p w14:paraId="4B91D8AE">
          <w:pPr>
            <w:pStyle w:val="35"/>
            <w:tabs>
              <w:tab w:val="right" w:leader="dot" w:pos="8845"/>
            </w:tabs>
            <w:ind w:left="420"/>
          </w:pPr>
          <w:r>
            <w:fldChar w:fldCharType="begin"/>
          </w:r>
          <w:r>
            <w:instrText xml:space="preserve"> HYPERLINK \l "_Toc5504" </w:instrText>
          </w:r>
          <w:r>
            <w:fldChar w:fldCharType="separate"/>
          </w:r>
          <w:r>
            <w:rPr>
              <w:rFonts w:ascii="黑体" w:hAnsi="黑体" w:eastAsia="黑体" w:cs="黑体"/>
            </w:rPr>
            <w:t>十四、国有资本经营决算财政拨款支出决算表</w:t>
          </w:r>
          <w:r>
            <w:tab/>
          </w:r>
          <w:r>
            <w:fldChar w:fldCharType="begin"/>
          </w:r>
          <w:r>
            <w:instrText xml:space="preserve"> PAGEREF _Toc5504 \h </w:instrText>
          </w:r>
          <w:r>
            <w:fldChar w:fldCharType="separate"/>
          </w:r>
          <w:r>
            <w:t>31</w:t>
          </w:r>
          <w:r>
            <w:fldChar w:fldCharType="end"/>
          </w:r>
          <w:r>
            <w:fldChar w:fldCharType="end"/>
          </w:r>
        </w:p>
        <w:p w14:paraId="20E6B5C2">
          <w:pPr>
            <w:pStyle w:val="13"/>
            <w:adjustRightInd w:val="0"/>
            <w:snapToGrid w:val="0"/>
            <w:spacing w:line="440" w:lineRule="exact"/>
            <w:ind w:left="0" w:leftChars="0" w:firstLine="0" w:firstLineChars="0"/>
            <w:jc w:val="left"/>
            <w:rPr>
              <w:rFonts w:ascii="方正小标宋简体" w:hAnsi="宋体" w:eastAsia="方正小标宋简体"/>
              <w:sz w:val="36"/>
              <w:szCs w:val="36"/>
            </w:rPr>
          </w:pPr>
          <w:r>
            <w:rPr>
              <w:rFonts w:ascii="方正小标宋简体" w:hAnsi="宋体" w:eastAsia="方正小标宋简体"/>
              <w:b/>
              <w:szCs w:val="36"/>
            </w:rPr>
            <w:fldChar w:fldCharType="end"/>
          </w:r>
        </w:p>
      </w:sdtContent>
    </w:sdt>
    <w:p w14:paraId="50E9C598">
      <w:pPr>
        <w:pStyle w:val="13"/>
        <w:adjustRightInd w:val="0"/>
        <w:snapToGrid w:val="0"/>
        <w:spacing w:line="440" w:lineRule="exact"/>
        <w:jc w:val="center"/>
        <w:rPr>
          <w:rStyle w:val="27"/>
          <w:rFonts w:ascii="方正小标宋简体" w:hAnsi="方正小标宋简体"/>
        </w:rPr>
      </w:pPr>
      <w:bookmarkStart w:id="15" w:name="_Toc17067"/>
      <w:bookmarkStart w:id="16" w:name="_Toc15396599"/>
      <w:bookmarkStart w:id="17" w:name="_Toc15377196"/>
      <w:r>
        <w:rPr>
          <w:rStyle w:val="27"/>
          <w:rFonts w:hint="eastAsia" w:ascii="方正小标宋简体" w:hAnsi="方正小标宋简体"/>
        </w:rPr>
        <w:t>第一部分  单位概况</w:t>
      </w:r>
      <w:bookmarkEnd w:id="15"/>
      <w:bookmarkEnd w:id="16"/>
      <w:bookmarkEnd w:id="17"/>
    </w:p>
    <w:p w14:paraId="06032AE3">
      <w:pPr>
        <w:pStyle w:val="4"/>
        <w:snapToGrid w:val="0"/>
        <w:spacing w:before="0" w:after="0" w:line="576" w:lineRule="exact"/>
        <w:ind w:firstLine="640" w:firstLineChars="200"/>
        <w:rPr>
          <w:rFonts w:ascii="黑体" w:hAnsi="黑体" w:eastAsia="黑体" w:cs="黑体"/>
          <w:b w:val="0"/>
        </w:rPr>
      </w:pPr>
      <w:bookmarkStart w:id="18" w:name="_Toc13031"/>
      <w:bookmarkStart w:id="19" w:name="_Toc15396600"/>
      <w:bookmarkStart w:id="20" w:name="_Toc15377197"/>
      <w:r>
        <w:rPr>
          <w:rFonts w:hint="eastAsia" w:ascii="黑体" w:hAnsi="黑体" w:eastAsia="黑体" w:cs="黑体"/>
          <w:b w:val="0"/>
        </w:rPr>
        <w:t>一、</w:t>
      </w:r>
      <w:r>
        <w:rPr>
          <w:rFonts w:ascii="黑体" w:hAnsi="黑体" w:eastAsia="黑体" w:cs="黑体"/>
          <w:b w:val="0"/>
        </w:rPr>
        <w:t>职能简介</w:t>
      </w:r>
      <w:bookmarkEnd w:id="18"/>
    </w:p>
    <w:p w14:paraId="14746294">
      <w:pPr>
        <w:pStyle w:val="26"/>
        <w:widowControl/>
        <w:shd w:val="clear" w:color="auto" w:fill="FFFFFF"/>
        <w:snapToGrid w:val="0"/>
        <w:spacing w:line="576" w:lineRule="exact"/>
        <w:ind w:firstLine="640"/>
        <w:rPr>
          <w:rFonts w:eastAsia="仿宋_GB2312"/>
          <w:sz w:val="32"/>
          <w:szCs w:val="32"/>
        </w:rPr>
      </w:pPr>
      <w:r>
        <w:rPr>
          <w:rFonts w:eastAsia="仿宋_GB2312"/>
          <w:sz w:val="32"/>
          <w:szCs w:val="32"/>
        </w:rPr>
        <w:t>贯彻执行国家有关财政管理等方面的法律、法规和规定，拟定和执行我镇财政发展规划及其他有关政策。编制年度财政决算草案并组织执行，向人大报告财政决算，管理和监督各项财政收支。管理各类政策性补贴等资金，建立惠农资金补助对象管理新机制，进一步完善财政补贴农民资金“一卡(折)通”发放机制。负责对各类专项资金的监管，提高财政资金使用效率。负责非税收入。提出加强财政管理的政策建议，负责财政、税收政策法规的宣传工作。执行会计集中核算，落实“乡财县管、村帐乡监”等管理制度，严格按照上级财政部门规定的工作程序开展工作，充分发挥财政资金效益。负责本镇国有资产监督管理工作。负责做好农村综合改革和社会主义新农村建设相关工作。承办镇党委、政府及上级财政部门交办的其他事项。</w:t>
      </w:r>
    </w:p>
    <w:p w14:paraId="41741635">
      <w:pPr>
        <w:pStyle w:val="4"/>
        <w:snapToGrid w:val="0"/>
        <w:spacing w:before="0" w:after="0" w:line="576" w:lineRule="exact"/>
        <w:ind w:firstLine="640" w:firstLineChars="200"/>
        <w:rPr>
          <w:rFonts w:ascii="黑体" w:hAnsi="黑体" w:eastAsia="黑体" w:cs="黑体"/>
          <w:b w:val="0"/>
        </w:rPr>
      </w:pPr>
      <w:bookmarkStart w:id="21" w:name="_Toc20314"/>
      <w:r>
        <w:rPr>
          <w:rFonts w:hint="eastAsia" w:ascii="黑体" w:hAnsi="黑体" w:eastAsia="黑体" w:cs="黑体"/>
          <w:b w:val="0"/>
        </w:rPr>
        <w:t>二、2021年重点工作</w:t>
      </w:r>
      <w:bookmarkEnd w:id="19"/>
      <w:bookmarkEnd w:id="20"/>
      <w:r>
        <w:rPr>
          <w:rFonts w:hint="eastAsia" w:ascii="黑体" w:hAnsi="黑体" w:eastAsia="黑体" w:cs="黑体"/>
          <w:b w:val="0"/>
        </w:rPr>
        <w:t>完成情况</w:t>
      </w:r>
      <w:bookmarkEnd w:id="21"/>
    </w:p>
    <w:p w14:paraId="2BB5788F">
      <w:pPr>
        <w:spacing w:line="576" w:lineRule="exact"/>
        <w:ind w:firstLine="640" w:firstLineChars="200"/>
        <w:rPr>
          <w:rFonts w:eastAsia="黑体" w:cs="黑体"/>
          <w:sz w:val="32"/>
          <w:szCs w:val="32"/>
        </w:rPr>
      </w:pPr>
      <w:bookmarkStart w:id="22" w:name="_Toc13757"/>
      <w:r>
        <w:rPr>
          <w:rFonts w:hint="eastAsia" w:eastAsia="黑体" w:cs="黑体"/>
          <w:sz w:val="32"/>
          <w:szCs w:val="32"/>
        </w:rPr>
        <w:t>1.坚定不移抓项目建设，促进投资增长</w:t>
      </w:r>
    </w:p>
    <w:p w14:paraId="69DAF025">
      <w:pPr>
        <w:spacing w:line="576" w:lineRule="exact"/>
        <w:ind w:firstLine="640" w:firstLineChars="200"/>
        <w:rPr>
          <w:rFonts w:eastAsia="仿宋_GB2312" w:cs="仿宋_GB2312"/>
          <w:sz w:val="32"/>
          <w:szCs w:val="32"/>
        </w:rPr>
      </w:pPr>
      <w:r>
        <w:rPr>
          <w:rFonts w:hint="eastAsia" w:ascii="楷体_GB2312" w:hAnsi="楷体_GB2312" w:eastAsia="楷体_GB2312" w:cs="楷体_GB2312"/>
          <w:sz w:val="32"/>
          <w:szCs w:val="32"/>
        </w:rPr>
        <w:t>积极向上争项目支持。</w:t>
      </w:r>
      <w:r>
        <w:rPr>
          <w:rFonts w:hint="eastAsia" w:eastAsia="仿宋_GB2312" w:cs="仿宋_GB2312"/>
          <w:sz w:val="32"/>
          <w:szCs w:val="32"/>
        </w:rPr>
        <w:t>深入研究省市区产业政策和投资导向，积极对接财政厅等帮扶单位，及时捕捉省市区对口部门的投资与项目信息，特别要抓住年初项目立项的关键时期，结合我镇实际大胆谋项目、争项目，确保全年到位1000万元以上项目不低于3个。</w:t>
      </w:r>
      <w:r>
        <w:rPr>
          <w:rFonts w:hint="eastAsia" w:ascii="楷体_GB2312" w:hAnsi="楷体_GB2312" w:eastAsia="楷体_GB2312" w:cs="楷体_GB2312"/>
          <w:sz w:val="32"/>
          <w:szCs w:val="32"/>
        </w:rPr>
        <w:t>优化招商引项目。</w:t>
      </w:r>
      <w:r>
        <w:rPr>
          <w:rFonts w:hint="eastAsia" w:eastAsia="仿宋_GB2312" w:cs="仿宋_GB2312"/>
          <w:sz w:val="32"/>
          <w:szCs w:val="32"/>
        </w:rPr>
        <w:t>充分发挥卫子中心镇辐射作用，内引外联引进资金、技术和先进的管理经验，把产业质量做强、链条做优、体量做大，力争全年挖掘、包装、储备乡村振兴示范园区建设项目、种牛羊繁育基地建设项目等6个投资总额超2亿元的精品项目落地、开工、建成。</w:t>
      </w:r>
      <w:r>
        <w:rPr>
          <w:rFonts w:hint="eastAsia" w:ascii="楷体_GB2312" w:hAnsi="楷体_GB2312" w:eastAsia="楷体_GB2312" w:cs="楷体_GB2312"/>
          <w:sz w:val="32"/>
          <w:szCs w:val="32"/>
        </w:rPr>
        <w:t>齐心协力抓在建项目。</w:t>
      </w:r>
      <w:r>
        <w:rPr>
          <w:rFonts w:hint="eastAsia" w:eastAsia="仿宋_GB2312" w:cs="仿宋_GB2312"/>
          <w:sz w:val="32"/>
          <w:szCs w:val="32"/>
        </w:rPr>
        <w:t>按照2022年项目建设清单，细化分解任务，扎实推进7个重大项目实施，年内竣工项目要完成5个，昭化区有机茶标准化示范基地建设项目、云雾生态水果园等4个在建项目要完成工程量的80%以上。坚持班子成员联系重点项目制度，全力抓好重点在建项目的协调服务，做好要素保障，在全镇上下形成齐心协力抓项目建设的浓厚氛围。</w:t>
      </w:r>
    </w:p>
    <w:p w14:paraId="3C36BA76">
      <w:pPr>
        <w:spacing w:line="576" w:lineRule="exact"/>
        <w:ind w:firstLine="640" w:firstLineChars="200"/>
        <w:rPr>
          <w:rFonts w:eastAsia="黑体" w:cs="黑体"/>
          <w:sz w:val="32"/>
          <w:szCs w:val="32"/>
        </w:rPr>
      </w:pPr>
      <w:r>
        <w:rPr>
          <w:rFonts w:hint="eastAsia" w:eastAsia="黑体" w:cs="黑体"/>
          <w:sz w:val="32"/>
          <w:szCs w:val="32"/>
        </w:rPr>
        <w:t>2.坚定不移抓农业产业，提升发展效益</w:t>
      </w:r>
    </w:p>
    <w:p w14:paraId="30610B81">
      <w:pPr>
        <w:spacing w:line="576" w:lineRule="exact"/>
        <w:ind w:firstLine="640" w:firstLineChars="200"/>
        <w:rPr>
          <w:rFonts w:eastAsia="仿宋_GB2312"/>
          <w:sz w:val="32"/>
          <w:szCs w:val="32"/>
        </w:rPr>
      </w:pPr>
      <w:r>
        <w:rPr>
          <w:rFonts w:hint="eastAsia" w:ascii="楷体_GB2312" w:hAnsi="楷体_GB2312" w:eastAsia="楷体_GB2312" w:cs="楷体_GB2312"/>
          <w:sz w:val="32"/>
          <w:szCs w:val="32"/>
        </w:rPr>
        <w:t>做靓农业园区。</w:t>
      </w:r>
      <w:r>
        <w:rPr>
          <w:rFonts w:hint="eastAsia" w:eastAsia="仿宋_GB2312" w:cs="仿宋_GB2312"/>
          <w:sz w:val="32"/>
          <w:szCs w:val="32"/>
        </w:rPr>
        <w:t>持续推进昭化王家贡米现代种业园区建设，讲好与“米”有关的故事，依托常规稻育种基地和陈定全工作室做好种质选育，建成王家贡米育秧工厂，</w:t>
      </w:r>
      <w:r>
        <w:rPr>
          <w:rFonts w:hint="eastAsia" w:eastAsia="仿宋" w:cs="仿宋"/>
          <w:sz w:val="32"/>
          <w:szCs w:val="32"/>
        </w:rPr>
        <w:t>持续</w:t>
      </w:r>
      <w:r>
        <w:rPr>
          <w:rFonts w:hint="eastAsia" w:eastAsia="仿宋_GB2312" w:cs="仿宋_GB2312"/>
          <w:sz w:val="32"/>
          <w:szCs w:val="32"/>
        </w:rPr>
        <w:t>推行“公司+合作社+基地+农户”运营模式，统筹规划新荣、保民、千秋等四个村的王家贡米示范带建设，订单生产王家贡米4100亩，鼓励以陈定全实验室为依托，在种业园区内试种200亩以上王家贡米常规稻，提升品种选育质效。加快推进年产8000吨王家贡米精深加工厂建设，形成王家贡米全产业链</w:t>
      </w:r>
      <w:r>
        <w:rPr>
          <w:rFonts w:hint="eastAsia" w:eastAsia="仿宋" w:cs="仿宋"/>
          <w:sz w:val="32"/>
          <w:szCs w:val="32"/>
        </w:rPr>
        <w:t>。</w:t>
      </w:r>
      <w:r>
        <w:rPr>
          <w:rFonts w:hint="eastAsia" w:ascii="楷体_GB2312" w:hAnsi="楷体_GB2312" w:eastAsia="楷体_GB2312" w:cs="楷体_GB2312"/>
          <w:sz w:val="32"/>
          <w:szCs w:val="32"/>
        </w:rPr>
        <w:t>提升种养质效。</w:t>
      </w:r>
      <w:r>
        <w:rPr>
          <w:rFonts w:hint="eastAsia" w:eastAsia="仿宋" w:cs="仿宋"/>
          <w:sz w:val="32"/>
          <w:szCs w:val="32"/>
        </w:rPr>
        <w:t>坚决扛牢</w:t>
      </w:r>
      <w:r>
        <w:rPr>
          <w:rFonts w:hint="eastAsia" w:eastAsia="仿宋_GB2312" w:cs="仿宋_GB2312"/>
          <w:sz w:val="32"/>
          <w:szCs w:val="32"/>
        </w:rPr>
        <w:t>粮食安全生产责任，遏制耕地“非农化”，</w:t>
      </w:r>
      <w:r>
        <w:rPr>
          <w:rFonts w:hint="eastAsia" w:eastAsia="仿宋" w:cs="仿宋"/>
          <w:sz w:val="32"/>
          <w:szCs w:val="32"/>
        </w:rPr>
        <w:t>确保“良田粮用”，力争全年完成粮食总播面6.1万亩，深入开展撂荒土地整治和复耕复种工作，抓好当前春季田管和大春备耕工作，力争实现7200亩撂荒土地应种尽种，完成</w:t>
      </w:r>
      <w:r>
        <w:rPr>
          <w:rFonts w:hint="eastAsia" w:eastAsia="仿宋_GB2312" w:cs="仿宋_GB2312"/>
          <w:sz w:val="32"/>
          <w:szCs w:val="32"/>
        </w:rPr>
        <w:t>大豆、玉米带复合种植</w:t>
      </w:r>
      <w:r>
        <w:rPr>
          <w:rFonts w:hint="eastAsia" w:eastAsia="仿宋" w:cs="仿宋"/>
          <w:sz w:val="32"/>
          <w:szCs w:val="32"/>
        </w:rPr>
        <w:t>7600亩，大豆扩种面积15000亩</w:t>
      </w:r>
      <w:r>
        <w:rPr>
          <w:rFonts w:hint="eastAsia" w:eastAsia="仿宋_GB2312" w:cs="仿宋_GB2312"/>
          <w:sz w:val="32"/>
          <w:szCs w:val="32"/>
        </w:rPr>
        <w:t>。持续</w:t>
      </w:r>
      <w:r>
        <w:rPr>
          <w:rFonts w:hint="eastAsia" w:eastAsia="仿宋_GB2312"/>
          <w:sz w:val="32"/>
          <w:szCs w:val="32"/>
        </w:rPr>
        <w:t>巩固卫子村、冯家岭村、中山村等重点猕猴桃产业村基础，带动周边村</w:t>
      </w:r>
      <w:r>
        <w:rPr>
          <w:rFonts w:eastAsia="仿宋_GB2312"/>
          <w:sz w:val="32"/>
          <w:szCs w:val="32"/>
        </w:rPr>
        <w:t>新发展猕猴桃种植</w:t>
      </w:r>
      <w:r>
        <w:rPr>
          <w:rFonts w:hint="eastAsia" w:eastAsia="仿宋" w:cs="仿宋"/>
          <w:sz w:val="32"/>
          <w:szCs w:val="32"/>
        </w:rPr>
        <w:t>400</w:t>
      </w:r>
      <w:r>
        <w:rPr>
          <w:rFonts w:eastAsia="仿宋_GB2312"/>
          <w:sz w:val="32"/>
          <w:szCs w:val="32"/>
        </w:rPr>
        <w:t>亩</w:t>
      </w:r>
      <w:r>
        <w:rPr>
          <w:rFonts w:hint="eastAsia" w:eastAsia="仿宋_GB2312"/>
          <w:sz w:val="32"/>
          <w:szCs w:val="32"/>
        </w:rPr>
        <w:t>以上</w:t>
      </w:r>
      <w:r>
        <w:rPr>
          <w:rFonts w:eastAsia="仿宋_GB2312"/>
          <w:sz w:val="32"/>
          <w:szCs w:val="32"/>
        </w:rPr>
        <w:t>，改造提升猕猴桃种植基地</w:t>
      </w:r>
      <w:r>
        <w:rPr>
          <w:rFonts w:hint="eastAsia" w:eastAsia="仿宋" w:cs="仿宋"/>
          <w:sz w:val="32"/>
          <w:szCs w:val="32"/>
        </w:rPr>
        <w:t>600</w:t>
      </w:r>
      <w:r>
        <w:rPr>
          <w:rFonts w:eastAsia="仿宋_GB2312"/>
          <w:sz w:val="32"/>
          <w:szCs w:val="32"/>
        </w:rPr>
        <w:t>亩</w:t>
      </w:r>
      <w:r>
        <w:rPr>
          <w:rFonts w:hint="eastAsia" w:eastAsia="仿宋_GB2312"/>
          <w:sz w:val="32"/>
          <w:szCs w:val="32"/>
        </w:rPr>
        <w:t>以上。以鑫兴种植专合社、</w:t>
      </w:r>
      <w:r>
        <w:rPr>
          <w:rFonts w:eastAsia="仿宋_GB2312"/>
          <w:sz w:val="32"/>
          <w:szCs w:val="32"/>
        </w:rPr>
        <w:t>升藤蔬菜</w:t>
      </w:r>
      <w:r>
        <w:rPr>
          <w:rFonts w:hint="eastAsia" w:eastAsia="仿宋_GB2312"/>
          <w:sz w:val="32"/>
          <w:szCs w:val="32"/>
        </w:rPr>
        <w:t>专合社</w:t>
      </w:r>
      <w:r>
        <w:rPr>
          <w:rFonts w:eastAsia="仿宋_GB2312"/>
          <w:sz w:val="32"/>
          <w:szCs w:val="32"/>
        </w:rPr>
        <w:t>等</w:t>
      </w:r>
      <w:r>
        <w:rPr>
          <w:rFonts w:hint="eastAsia" w:eastAsia="仿宋_GB2312"/>
          <w:sz w:val="32"/>
          <w:szCs w:val="32"/>
        </w:rPr>
        <w:t>龙头企业为依托，</w:t>
      </w:r>
      <w:r>
        <w:rPr>
          <w:rFonts w:hint="eastAsia" w:eastAsia="仿宋_GB2312" w:cs="仿宋_GB2312"/>
          <w:sz w:val="32"/>
          <w:szCs w:val="32"/>
        </w:rPr>
        <w:t>巩固建设蔬菜产业示范带，持续提升</w:t>
      </w:r>
      <w:r>
        <w:rPr>
          <w:rFonts w:eastAsia="仿宋_GB2312"/>
          <w:sz w:val="32"/>
          <w:szCs w:val="32"/>
        </w:rPr>
        <w:t>小水果、中药材、</w:t>
      </w:r>
      <w:r>
        <w:rPr>
          <w:rFonts w:hint="eastAsia" w:eastAsia="仿宋_GB2312" w:cs="仿宋_GB2312"/>
          <w:sz w:val="32"/>
          <w:szCs w:val="32"/>
        </w:rPr>
        <w:t>茯苓、羊肚菌</w:t>
      </w:r>
      <w:r>
        <w:rPr>
          <w:rFonts w:eastAsia="仿宋_GB2312"/>
          <w:sz w:val="32"/>
          <w:szCs w:val="32"/>
        </w:rPr>
        <w:t>等</w:t>
      </w:r>
      <w:r>
        <w:rPr>
          <w:rFonts w:hint="eastAsia" w:eastAsia="仿宋_GB2312"/>
          <w:sz w:val="32"/>
          <w:szCs w:val="32"/>
        </w:rPr>
        <w:t>特色种植</w:t>
      </w:r>
      <w:r>
        <w:rPr>
          <w:rFonts w:eastAsia="仿宋_GB2312"/>
          <w:sz w:val="32"/>
          <w:szCs w:val="32"/>
        </w:rPr>
        <w:t>规模和效益</w:t>
      </w:r>
      <w:r>
        <w:rPr>
          <w:rFonts w:hint="eastAsia" w:eastAsia="仿宋_GB2312"/>
          <w:sz w:val="32"/>
          <w:szCs w:val="32"/>
        </w:rPr>
        <w:t>。突破发展畜禽产业示范带，</w:t>
      </w:r>
      <w:r>
        <w:rPr>
          <w:rFonts w:hint="eastAsia" w:eastAsia="仿宋_GB2312" w:cs="仿宋_GB2312"/>
          <w:sz w:val="32"/>
          <w:szCs w:val="32"/>
        </w:rPr>
        <w:t>加快实现畜牧产业“1112”发展总体目标，持续推动突破性壮大肉牛羊产业规模三大模式，将狮子村创建为突破性发展肉牛羊产业明星村，争创全市肉牛羊养殖强镇。</w:t>
      </w:r>
      <w:r>
        <w:rPr>
          <w:rFonts w:hint="eastAsia" w:eastAsia="仿宋_GB2312"/>
          <w:sz w:val="32"/>
          <w:szCs w:val="32"/>
        </w:rPr>
        <w:t>持续巩固剑门关土鸡、绿壳鸡蛋产销全区第一地位，实现生猪稳产保供。</w:t>
      </w:r>
      <w:r>
        <w:rPr>
          <w:rFonts w:hint="eastAsia" w:ascii="楷体_GB2312" w:hAnsi="楷体_GB2312" w:eastAsia="楷体_GB2312" w:cs="楷体_GB2312"/>
          <w:sz w:val="32"/>
          <w:szCs w:val="32"/>
        </w:rPr>
        <w:t>做大经营主体。</w:t>
      </w:r>
      <w:r>
        <w:rPr>
          <w:rFonts w:hint="eastAsia" w:eastAsia="仿宋_GB2312" w:cs="仿宋_GB2312"/>
          <w:sz w:val="32"/>
          <w:szCs w:val="32"/>
        </w:rPr>
        <w:t>持续壮大村集体经济，在新荣、穿心、卫子等村先行先试，创新集体经济发展模式，打造年纯收入超</w:t>
      </w:r>
      <w:r>
        <w:rPr>
          <w:rFonts w:hint="eastAsia" w:eastAsia="仿宋" w:cs="仿宋"/>
          <w:sz w:val="32"/>
          <w:szCs w:val="32"/>
        </w:rPr>
        <w:t>50</w:t>
      </w:r>
      <w:r>
        <w:rPr>
          <w:rFonts w:hint="eastAsia" w:eastAsia="仿宋_GB2312" w:cs="仿宋_GB2312"/>
          <w:sz w:val="32"/>
          <w:szCs w:val="32"/>
        </w:rPr>
        <w:t>万元的村</w:t>
      </w:r>
      <w:r>
        <w:rPr>
          <w:rFonts w:hint="eastAsia" w:eastAsia="仿宋" w:cs="仿宋"/>
          <w:sz w:val="32"/>
          <w:szCs w:val="32"/>
        </w:rPr>
        <w:t>2</w:t>
      </w:r>
      <w:r>
        <w:rPr>
          <w:rFonts w:hint="eastAsia" w:eastAsia="仿宋_GB2312" w:cs="仿宋_GB2312"/>
          <w:sz w:val="32"/>
          <w:szCs w:val="32"/>
        </w:rPr>
        <w:t>个以上。持续壮大农民专合社和家庭农场，力争全年新培育</w:t>
      </w:r>
      <w:r>
        <w:rPr>
          <w:rFonts w:hint="eastAsia" w:eastAsia="仿宋" w:cs="仿宋"/>
          <w:sz w:val="32"/>
          <w:szCs w:val="32"/>
        </w:rPr>
        <w:t>3</w:t>
      </w:r>
      <w:r>
        <w:rPr>
          <w:rFonts w:hint="eastAsia" w:eastAsia="仿宋_GB2312" w:cs="仿宋_GB2312"/>
          <w:sz w:val="32"/>
          <w:szCs w:val="32"/>
        </w:rPr>
        <w:t>个农民专合社、</w:t>
      </w:r>
      <w:r>
        <w:rPr>
          <w:rFonts w:hint="eastAsia" w:eastAsia="仿宋" w:cs="仿宋"/>
          <w:sz w:val="32"/>
          <w:szCs w:val="32"/>
        </w:rPr>
        <w:t>6</w:t>
      </w:r>
      <w:r>
        <w:rPr>
          <w:rFonts w:hint="eastAsia" w:eastAsia="仿宋_GB2312" w:cs="仿宋_GB2312"/>
          <w:sz w:val="32"/>
          <w:szCs w:val="32"/>
        </w:rPr>
        <w:t>个家庭农场，持续巩固农业产业链条。</w:t>
      </w:r>
    </w:p>
    <w:p w14:paraId="2EE45D7E">
      <w:pPr>
        <w:spacing w:line="576" w:lineRule="exact"/>
        <w:ind w:firstLine="640" w:firstLineChars="200"/>
        <w:rPr>
          <w:rFonts w:eastAsia="仿宋_GB2312" w:cs="仿宋_GB2312"/>
          <w:sz w:val="32"/>
          <w:szCs w:val="32"/>
        </w:rPr>
      </w:pPr>
      <w:r>
        <w:rPr>
          <w:rFonts w:hint="eastAsia" w:eastAsia="黑体" w:cs="黑体"/>
          <w:sz w:val="32"/>
          <w:szCs w:val="32"/>
        </w:rPr>
        <w:t>3.坚定不移抓商贸物流，推动创新发展</w:t>
      </w:r>
    </w:p>
    <w:p w14:paraId="0B965BC3">
      <w:pPr>
        <w:spacing w:line="576" w:lineRule="exact"/>
        <w:ind w:firstLine="640" w:firstLineChars="200"/>
        <w:rPr>
          <w:rFonts w:eastAsia="仿宋_GB2312" w:cs="仿宋_GB2312"/>
          <w:sz w:val="32"/>
          <w:szCs w:val="32"/>
        </w:rPr>
      </w:pPr>
      <w:r>
        <w:rPr>
          <w:rFonts w:hint="eastAsia" w:ascii="楷体_GB2312" w:hAnsi="楷体_GB2312" w:eastAsia="楷体_GB2312" w:cs="楷体_GB2312"/>
          <w:sz w:val="32"/>
          <w:szCs w:val="32"/>
        </w:rPr>
        <w:t>依托区位优势展活力。</w:t>
      </w:r>
      <w:r>
        <w:rPr>
          <w:rFonts w:eastAsia="仿宋_GB2312"/>
          <w:sz w:val="32"/>
          <w:szCs w:val="32"/>
        </w:rPr>
        <w:t>广泛</w:t>
      </w:r>
      <w:r>
        <w:rPr>
          <w:rFonts w:hint="eastAsia" w:eastAsia="仿宋_GB2312"/>
          <w:sz w:val="32"/>
          <w:szCs w:val="32"/>
        </w:rPr>
        <w:t>宣传</w:t>
      </w:r>
      <w:r>
        <w:rPr>
          <w:rFonts w:eastAsia="仿宋_GB2312"/>
          <w:sz w:val="32"/>
          <w:szCs w:val="32"/>
        </w:rPr>
        <w:t>卫子发展潜力，主动邀请在外发展成功人士，优秀返乡农民工，市、区商贸</w:t>
      </w:r>
      <w:r>
        <w:rPr>
          <w:rFonts w:hint="eastAsia" w:eastAsia="仿宋_GB2312"/>
          <w:sz w:val="32"/>
          <w:szCs w:val="32"/>
        </w:rPr>
        <w:t>界</w:t>
      </w:r>
      <w:r>
        <w:rPr>
          <w:rFonts w:eastAsia="仿宋_GB2312"/>
          <w:sz w:val="32"/>
          <w:szCs w:val="32"/>
        </w:rPr>
        <w:t>人士到卫子投资发展，</w:t>
      </w:r>
      <w:r>
        <w:rPr>
          <w:rFonts w:hint="eastAsia" w:eastAsia="仿宋_GB2312"/>
          <w:sz w:val="32"/>
          <w:szCs w:val="32"/>
        </w:rPr>
        <w:t>同时提升“银政企”融资对接实效和服务水平，加大返乡就业创业扶持力度，</w:t>
      </w:r>
      <w:r>
        <w:rPr>
          <w:rFonts w:eastAsia="仿宋_GB2312"/>
          <w:sz w:val="32"/>
          <w:szCs w:val="32"/>
        </w:rPr>
        <w:t>打造</w:t>
      </w:r>
      <w:r>
        <w:rPr>
          <w:rFonts w:hint="eastAsia" w:eastAsia="仿宋_GB2312"/>
          <w:sz w:val="32"/>
          <w:szCs w:val="32"/>
        </w:rPr>
        <w:t>高效</w:t>
      </w:r>
      <w:r>
        <w:rPr>
          <w:rFonts w:eastAsia="仿宋_GB2312"/>
          <w:sz w:val="32"/>
          <w:szCs w:val="32"/>
        </w:rPr>
        <w:t>便民营商环境</w:t>
      </w:r>
      <w:r>
        <w:rPr>
          <w:rFonts w:hint="eastAsia" w:eastAsia="仿宋_GB2312"/>
          <w:sz w:val="32"/>
          <w:szCs w:val="32"/>
        </w:rPr>
        <w:t>，力争</w:t>
      </w:r>
      <w:r>
        <w:rPr>
          <w:rFonts w:hint="eastAsia" w:eastAsia="仿宋_GB2312" w:cs="仿宋_GB2312"/>
          <w:sz w:val="32"/>
          <w:szCs w:val="32"/>
        </w:rPr>
        <w:t>全年</w:t>
      </w:r>
      <w:r>
        <w:rPr>
          <w:rFonts w:hint="eastAsia" w:eastAsia="仿宋_GB2312"/>
          <w:sz w:val="32"/>
          <w:szCs w:val="32"/>
        </w:rPr>
        <w:t>回引本土人才</w:t>
      </w:r>
      <w:r>
        <w:rPr>
          <w:rFonts w:hint="eastAsia" w:eastAsia="仿宋" w:cs="仿宋"/>
          <w:sz w:val="32"/>
          <w:szCs w:val="32"/>
        </w:rPr>
        <w:t>30</w:t>
      </w:r>
      <w:r>
        <w:rPr>
          <w:rFonts w:hint="eastAsia" w:eastAsia="仿宋_GB2312"/>
          <w:sz w:val="32"/>
          <w:szCs w:val="32"/>
        </w:rPr>
        <w:t>人以上，</w:t>
      </w:r>
      <w:r>
        <w:rPr>
          <w:rFonts w:hint="eastAsia" w:eastAsia="仿宋_GB2312" w:cs="仿宋_GB2312"/>
          <w:sz w:val="32"/>
          <w:szCs w:val="32"/>
        </w:rPr>
        <w:t>新增注册商户超</w:t>
      </w:r>
      <w:r>
        <w:rPr>
          <w:rFonts w:hint="eastAsia" w:eastAsia="仿宋" w:cs="仿宋"/>
          <w:sz w:val="32"/>
          <w:szCs w:val="32"/>
        </w:rPr>
        <w:t>20</w:t>
      </w:r>
      <w:r>
        <w:rPr>
          <w:rFonts w:hint="eastAsia" w:eastAsia="仿宋_GB2312" w:cs="仿宋_GB2312"/>
          <w:sz w:val="32"/>
          <w:szCs w:val="32"/>
        </w:rPr>
        <w:t>家。</w:t>
      </w:r>
      <w:r>
        <w:rPr>
          <w:rFonts w:hint="eastAsia" w:ascii="楷体_GB2312" w:hAnsi="楷体_GB2312" w:eastAsia="楷体_GB2312" w:cs="楷体_GB2312"/>
          <w:sz w:val="32"/>
          <w:szCs w:val="32"/>
        </w:rPr>
        <w:t>加快培育商贸企业。</w:t>
      </w:r>
      <w:r>
        <w:rPr>
          <w:rFonts w:hint="eastAsia" w:eastAsia="仿宋_GB2312"/>
          <w:sz w:val="32"/>
          <w:szCs w:val="32"/>
        </w:rPr>
        <w:t>要引导、规范和推动商贸服务业提档升级，</w:t>
      </w:r>
      <w:r>
        <w:rPr>
          <w:rFonts w:hint="eastAsia" w:eastAsia="仿宋_GB2312" w:cs="仿宋_GB2312"/>
          <w:sz w:val="32"/>
          <w:szCs w:val="32"/>
        </w:rPr>
        <w:t>在连锁商超、住宿、餐饮等领域培育一批竞争力强、服务水平高的商贸物流骨干企业，发挥示范带动作用，持续推进“个转企、小升规”工作。同时加快培育一批电商平台，</w:t>
      </w:r>
      <w:r>
        <w:rPr>
          <w:rFonts w:eastAsia="仿宋_GB2312"/>
          <w:sz w:val="32"/>
          <w:szCs w:val="32"/>
        </w:rPr>
        <w:t>做好</w:t>
      </w:r>
      <w:r>
        <w:rPr>
          <w:rFonts w:hint="eastAsia" w:eastAsia="仿宋_GB2312"/>
          <w:sz w:val="32"/>
          <w:szCs w:val="32"/>
        </w:rPr>
        <w:t>“王家贡米”</w:t>
      </w:r>
      <w:r>
        <w:rPr>
          <w:rFonts w:eastAsia="仿宋_GB2312"/>
          <w:sz w:val="32"/>
          <w:szCs w:val="32"/>
        </w:rPr>
        <w:t>后续发展文章</w:t>
      </w:r>
      <w:r>
        <w:rPr>
          <w:rFonts w:hint="eastAsia" w:eastAsia="仿宋_GB2312"/>
          <w:sz w:val="32"/>
          <w:szCs w:val="32"/>
        </w:rPr>
        <w:t>，</w:t>
      </w:r>
      <w:r>
        <w:rPr>
          <w:rFonts w:hint="eastAsia" w:eastAsia="仿宋_GB2312" w:cs="仿宋_GB2312"/>
          <w:sz w:val="32"/>
          <w:szCs w:val="32"/>
        </w:rPr>
        <w:t>做强“王家贡米”品牌。</w:t>
      </w:r>
      <w:r>
        <w:rPr>
          <w:rFonts w:hint="eastAsia" w:ascii="楷体_GB2312" w:hAnsi="楷体_GB2312" w:eastAsia="楷体_GB2312" w:cs="楷体_GB2312"/>
          <w:sz w:val="32"/>
          <w:szCs w:val="32"/>
        </w:rPr>
        <w:t>加快推进物流发展。</w:t>
      </w:r>
      <w:r>
        <w:rPr>
          <w:rFonts w:hint="eastAsia" w:eastAsia="仿宋_GB2312" w:cs="仿宋_GB2312"/>
          <w:sz w:val="32"/>
          <w:szCs w:val="32"/>
        </w:rPr>
        <w:t>依托区位优势，引进大业主，大力发展现代物流服务、仓储配送服务，加快建设物流运输、信息平台，构建物流服务体系，推动全镇现代物流业跨越发展。</w:t>
      </w:r>
    </w:p>
    <w:p w14:paraId="7D2E7D43">
      <w:pPr>
        <w:spacing w:line="576" w:lineRule="exact"/>
        <w:ind w:firstLine="640" w:firstLineChars="200"/>
        <w:rPr>
          <w:rFonts w:eastAsia="仿宋_GB2312"/>
          <w:sz w:val="32"/>
          <w:szCs w:val="32"/>
        </w:rPr>
      </w:pPr>
      <w:r>
        <w:rPr>
          <w:rFonts w:hint="eastAsia" w:eastAsia="黑体" w:cs="黑体"/>
          <w:sz w:val="32"/>
          <w:szCs w:val="32"/>
        </w:rPr>
        <w:t>4.坚定不移抓农旅融合，加快绿色发展</w:t>
      </w:r>
    </w:p>
    <w:p w14:paraId="3E8CDF89">
      <w:pPr>
        <w:spacing w:line="576" w:lineRule="exact"/>
        <w:ind w:firstLine="640" w:firstLineChars="200"/>
        <w:rPr>
          <w:rFonts w:eastAsia="仿宋_GB2312"/>
          <w:sz w:val="32"/>
          <w:szCs w:val="32"/>
        </w:rPr>
      </w:pPr>
      <w:r>
        <w:rPr>
          <w:rFonts w:hint="eastAsia" w:ascii="楷体_GB2312" w:hAnsi="楷体_GB2312" w:eastAsia="楷体_GB2312" w:cs="楷体_GB2312"/>
          <w:sz w:val="32"/>
          <w:szCs w:val="32"/>
        </w:rPr>
        <w:t>贯彻绿色发展理念。</w:t>
      </w:r>
      <w:r>
        <w:rPr>
          <w:rFonts w:hint="eastAsia" w:eastAsia="仿宋_GB2312"/>
          <w:sz w:val="32"/>
          <w:szCs w:val="32"/>
        </w:rPr>
        <w:t>以绿色发展助推乡村振兴，正确处理好经济社会发展和生态环境保护的关系，坚持将绿色低碳循环发展作为基本途径，持续</w:t>
      </w:r>
      <w:r>
        <w:rPr>
          <w:rFonts w:hint="eastAsia" w:eastAsia="仿宋_GB2312" w:cs="仿宋_GB2312"/>
          <w:sz w:val="32"/>
          <w:szCs w:val="32"/>
        </w:rPr>
        <w:t>科学规划实施绿色种养循环项目，</w:t>
      </w:r>
      <w:r>
        <w:rPr>
          <w:rFonts w:hint="eastAsia" w:eastAsia="仿宋_GB2312"/>
          <w:sz w:val="32"/>
          <w:szCs w:val="32"/>
        </w:rPr>
        <w:t>把乡村的生态环境优势转化成经济社会发展优势。</w:t>
      </w:r>
      <w:r>
        <w:rPr>
          <w:rFonts w:hint="eastAsia" w:ascii="楷体_GB2312" w:hAnsi="楷体_GB2312" w:eastAsia="楷体_GB2312" w:cs="楷体_GB2312"/>
          <w:sz w:val="32"/>
          <w:szCs w:val="32"/>
        </w:rPr>
        <w:t>推进农文旅深度融合。</w:t>
      </w:r>
      <w:r>
        <w:rPr>
          <w:rFonts w:hint="eastAsia" w:eastAsia="仿宋_GB2312"/>
          <w:sz w:val="32"/>
          <w:szCs w:val="32"/>
        </w:rPr>
        <w:t>围绕王家贡米主题公园和插江竹林风景线建设，加快推进道路设施、景区厕所、</w:t>
      </w:r>
      <w:r>
        <w:rPr>
          <w:rFonts w:hint="eastAsia" w:eastAsia="仿宋_GB2312" w:cs="仿宋_GB2312"/>
          <w:sz w:val="32"/>
          <w:szCs w:val="32"/>
        </w:rPr>
        <w:t>精品民宿、特色餐饮等旅游配套设施建设，开发系列特色文创精品，创建王家贡米主题公园省级研学基地。加快推进风、光、水互补低碳生活社区、以千秋为重点的水美新村建设以及保民村生态小湿地项目建设，</w:t>
      </w:r>
      <w:r>
        <w:rPr>
          <w:rFonts w:hint="eastAsia" w:eastAsia="仿宋_GB2312"/>
          <w:sz w:val="32"/>
          <w:szCs w:val="32"/>
        </w:rPr>
        <w:t>深入挖掘提升白果坪传统村落、石井老街、梅岭关等文旅资源，</w:t>
      </w:r>
      <w:r>
        <w:rPr>
          <w:rFonts w:hint="eastAsia" w:eastAsia="仿宋_GB2312" w:cs="仿宋_GB2312"/>
          <w:sz w:val="32"/>
          <w:szCs w:val="32"/>
        </w:rPr>
        <w:t>串点打造</w:t>
      </w:r>
      <w:r>
        <w:rPr>
          <w:rFonts w:hint="eastAsia" w:eastAsia="仿宋_GB2312"/>
          <w:sz w:val="32"/>
          <w:szCs w:val="32"/>
        </w:rPr>
        <w:t>乡村旅游线。</w:t>
      </w:r>
      <w:r>
        <w:rPr>
          <w:rFonts w:hint="eastAsia" w:ascii="楷体_GB2312" w:hAnsi="楷体_GB2312" w:eastAsia="楷体_GB2312" w:cs="楷体_GB2312"/>
          <w:sz w:val="32"/>
          <w:szCs w:val="32"/>
        </w:rPr>
        <w:t>加大生态保护与修复。</w:t>
      </w:r>
      <w:r>
        <w:rPr>
          <w:rFonts w:hint="eastAsia" w:eastAsia="仿宋_GB2312"/>
          <w:sz w:val="32"/>
          <w:szCs w:val="32"/>
        </w:rPr>
        <w:t>严格落实</w:t>
      </w:r>
      <w:r>
        <w:rPr>
          <w:rFonts w:eastAsia="仿宋_GB2312"/>
          <w:sz w:val="32"/>
          <w:szCs w:val="32"/>
        </w:rPr>
        <w:t>河</w:t>
      </w:r>
      <w:r>
        <w:rPr>
          <w:rFonts w:hint="eastAsia" w:eastAsia="仿宋_GB2312"/>
          <w:sz w:val="32"/>
          <w:szCs w:val="32"/>
        </w:rPr>
        <w:t>湖林</w:t>
      </w:r>
      <w:r>
        <w:rPr>
          <w:rFonts w:eastAsia="仿宋_GB2312"/>
          <w:sz w:val="32"/>
          <w:szCs w:val="32"/>
        </w:rPr>
        <w:t>长制</w:t>
      </w:r>
      <w:r>
        <w:rPr>
          <w:rFonts w:hint="eastAsia" w:eastAsia="仿宋_GB2312"/>
          <w:sz w:val="32"/>
          <w:szCs w:val="32"/>
        </w:rPr>
        <w:t>，</w:t>
      </w:r>
      <w:r>
        <w:rPr>
          <w:rFonts w:eastAsia="仿宋_GB2312"/>
          <w:sz w:val="32"/>
          <w:szCs w:val="32"/>
        </w:rPr>
        <w:t>深入实施“青山工程”，退耕还林还草，实施森林质量精准提升、天然林保护修复等重点工程，强化森林资源保护管理。开展农村环境综合整治，持续加大农业农村面源污染治理力度</w:t>
      </w:r>
      <w:r>
        <w:rPr>
          <w:rFonts w:hint="eastAsia" w:eastAsia="仿宋_GB2312"/>
          <w:sz w:val="32"/>
          <w:szCs w:val="32"/>
        </w:rPr>
        <w:t>，</w:t>
      </w:r>
      <w:r>
        <w:rPr>
          <w:rFonts w:eastAsia="仿宋_GB2312"/>
          <w:sz w:val="32"/>
          <w:szCs w:val="32"/>
        </w:rPr>
        <w:t>全面实施秸秆禁烧</w:t>
      </w:r>
      <w:r>
        <w:rPr>
          <w:rFonts w:hint="eastAsia" w:eastAsia="仿宋_GB2312"/>
          <w:sz w:val="32"/>
          <w:szCs w:val="32"/>
        </w:rPr>
        <w:t>，</w:t>
      </w:r>
      <w:r>
        <w:rPr>
          <w:rFonts w:eastAsia="仿宋_GB2312"/>
          <w:sz w:val="32"/>
          <w:szCs w:val="32"/>
        </w:rPr>
        <w:t>整治裸露地面和扬尘污染</w:t>
      </w:r>
      <w:r>
        <w:rPr>
          <w:rFonts w:hint="eastAsia" w:eastAsia="仿宋_GB2312"/>
          <w:sz w:val="32"/>
          <w:szCs w:val="32"/>
        </w:rPr>
        <w:t>，</w:t>
      </w:r>
      <w:r>
        <w:rPr>
          <w:rFonts w:eastAsia="仿宋_GB2312"/>
          <w:sz w:val="32"/>
          <w:szCs w:val="32"/>
        </w:rPr>
        <w:t>推进农村生活污水和黑臭水体治理。</w:t>
      </w:r>
    </w:p>
    <w:p w14:paraId="1E2AD17A">
      <w:pPr>
        <w:spacing w:line="576" w:lineRule="exact"/>
        <w:ind w:firstLine="640" w:firstLineChars="200"/>
        <w:rPr>
          <w:rFonts w:eastAsia="黑体" w:cs="黑体"/>
          <w:sz w:val="32"/>
          <w:szCs w:val="32"/>
        </w:rPr>
      </w:pPr>
      <w:r>
        <w:rPr>
          <w:rFonts w:hint="eastAsia" w:eastAsia="黑体" w:cs="黑体"/>
          <w:sz w:val="32"/>
          <w:szCs w:val="32"/>
        </w:rPr>
        <w:t>5.坚定不移建成区域副中心，夯实发展基础。</w:t>
      </w:r>
    </w:p>
    <w:p w14:paraId="4AC360BF">
      <w:pPr>
        <w:spacing w:line="576" w:lineRule="exact"/>
        <w:ind w:firstLine="640" w:firstLineChars="200"/>
        <w:rPr>
          <w:rFonts w:eastAsia="仿宋_GB2312"/>
          <w:sz w:val="32"/>
          <w:szCs w:val="32"/>
        </w:rPr>
      </w:pPr>
      <w:r>
        <w:rPr>
          <w:rFonts w:hint="eastAsia" w:ascii="楷体_GB2312" w:hAnsi="楷体_GB2312" w:eastAsia="楷体_GB2312" w:cs="楷体_GB2312"/>
          <w:sz w:val="32"/>
          <w:szCs w:val="32"/>
        </w:rPr>
        <w:t>坚持科学规划先行。</w:t>
      </w:r>
      <w:r>
        <w:rPr>
          <w:rFonts w:eastAsia="仿宋_GB2312"/>
          <w:sz w:val="32"/>
          <w:szCs w:val="32"/>
        </w:rPr>
        <w:t>围绕区委</w:t>
      </w:r>
      <w:r>
        <w:rPr>
          <w:rFonts w:hint="eastAsia" w:eastAsia="仿宋_GB2312"/>
          <w:sz w:val="32"/>
          <w:szCs w:val="32"/>
        </w:rPr>
        <w:t>中心集镇建设行动</w:t>
      </w:r>
      <w:r>
        <w:rPr>
          <w:rFonts w:eastAsia="仿宋_GB2312"/>
          <w:sz w:val="32"/>
          <w:szCs w:val="32"/>
        </w:rPr>
        <w:t>，</w:t>
      </w:r>
      <w:r>
        <w:rPr>
          <w:rFonts w:hint="eastAsia" w:eastAsia="仿宋_GB2312"/>
          <w:sz w:val="32"/>
          <w:szCs w:val="32"/>
        </w:rPr>
        <w:t>加强区级部门对接，按照“统筹规划、合理布局、优化配置、适度超前”的原则，</w:t>
      </w:r>
      <w:r>
        <w:rPr>
          <w:rFonts w:eastAsia="仿宋_GB2312"/>
          <w:sz w:val="32"/>
          <w:szCs w:val="32"/>
        </w:rPr>
        <w:t>高质量编制镇域国土空间总体规划，合理优化主体功能布局，高标准高起点规划卫子场镇提升改建工程。</w:t>
      </w:r>
      <w:r>
        <w:rPr>
          <w:rFonts w:hint="eastAsia" w:ascii="楷体_GB2312" w:hAnsi="楷体_GB2312" w:eastAsia="楷体_GB2312" w:cs="楷体_GB2312"/>
          <w:sz w:val="32"/>
          <w:szCs w:val="32"/>
        </w:rPr>
        <w:t>开展基础设施攻坚行动。</w:t>
      </w:r>
      <w:r>
        <w:rPr>
          <w:rFonts w:hint="eastAsia" w:eastAsia="仿宋_GB2312"/>
          <w:sz w:val="32"/>
          <w:szCs w:val="32"/>
        </w:rPr>
        <w:t>争取资金加快卫子场镇改造进程，</w:t>
      </w:r>
      <w:r>
        <w:rPr>
          <w:rFonts w:hint="eastAsia" w:eastAsia="仿宋"/>
          <w:sz w:val="32"/>
          <w:szCs w:val="32"/>
        </w:rPr>
        <w:t>积极改善现有场镇中心交通拥堵、环境等问题</w:t>
      </w:r>
      <w:r>
        <w:rPr>
          <w:rFonts w:hint="eastAsia" w:eastAsia="仿宋_GB2312"/>
          <w:sz w:val="32"/>
          <w:szCs w:val="32"/>
        </w:rPr>
        <w:t>，加大对梅树场镇、石井场镇的资金投入，及时更新维护基础市政设施。深入推进</w:t>
      </w:r>
      <w:r>
        <w:rPr>
          <w:rFonts w:eastAsia="仿宋_GB2312"/>
          <w:sz w:val="32"/>
          <w:szCs w:val="32"/>
        </w:rPr>
        <w:t>农村垃圾转运</w:t>
      </w:r>
      <w:r>
        <w:rPr>
          <w:rFonts w:hint="eastAsia" w:eastAsia="仿宋_GB2312"/>
          <w:sz w:val="32"/>
          <w:szCs w:val="32"/>
        </w:rPr>
        <w:t>和城镇污水处理，加快推进撤并建制村畅通工程，力争全年新建村组道路和园区道路38</w:t>
      </w:r>
      <w:r>
        <w:rPr>
          <w:rFonts w:eastAsia="仿宋_GB2312"/>
          <w:sz w:val="32"/>
          <w:szCs w:val="32"/>
        </w:rPr>
        <w:t>公里</w:t>
      </w:r>
      <w:r>
        <w:rPr>
          <w:rFonts w:hint="eastAsia" w:eastAsia="仿宋_GB2312"/>
          <w:sz w:val="32"/>
          <w:szCs w:val="32"/>
        </w:rPr>
        <w:t>。</w:t>
      </w:r>
      <w:r>
        <w:rPr>
          <w:rFonts w:hint="eastAsia" w:ascii="楷体_GB2312" w:hAnsi="楷体_GB2312" w:eastAsia="楷体_GB2312" w:cs="楷体_GB2312"/>
          <w:sz w:val="32"/>
          <w:szCs w:val="32"/>
        </w:rPr>
        <w:t>统筹全局抓乡村振兴。</w:t>
      </w:r>
      <w:r>
        <w:rPr>
          <w:rFonts w:hint="eastAsia" w:eastAsia="仿宋_GB2312"/>
          <w:sz w:val="32"/>
          <w:szCs w:val="32"/>
        </w:rPr>
        <w:t>加大对已脱贫1189户3766人全面预警监测，确保无一人致贫返贫。强化对</w:t>
      </w:r>
      <w:r>
        <w:rPr>
          <w:rFonts w:eastAsia="仿宋_GB2312"/>
          <w:sz w:val="32"/>
          <w:szCs w:val="32"/>
        </w:rPr>
        <w:t>易地搬迁</w:t>
      </w:r>
      <w:r>
        <w:rPr>
          <w:rFonts w:hint="eastAsia" w:eastAsia="仿宋_GB2312"/>
          <w:sz w:val="32"/>
          <w:szCs w:val="32"/>
        </w:rPr>
        <w:t>409户1330人后续扶持力度，确保搬迁群众稳得住、有就业、能致富。高标准规划新荣、卫子、千秋、保民四个村的连片示范带，建成省级乡村振兴示范片，将新荣村建成市级乡村振兴示范村，以点带面推进</w:t>
      </w:r>
      <w:r>
        <w:rPr>
          <w:rFonts w:eastAsia="仿宋_GB2312"/>
          <w:sz w:val="32"/>
          <w:szCs w:val="32"/>
        </w:rPr>
        <w:t>全镇</w:t>
      </w:r>
      <w:r>
        <w:rPr>
          <w:rFonts w:hint="eastAsia" w:eastAsia="仿宋_GB2312"/>
          <w:sz w:val="32"/>
          <w:szCs w:val="32"/>
        </w:rPr>
        <w:t>全域乡村</w:t>
      </w:r>
      <w:r>
        <w:rPr>
          <w:rFonts w:eastAsia="仿宋_GB2312"/>
          <w:sz w:val="32"/>
          <w:szCs w:val="32"/>
        </w:rPr>
        <w:t>振兴。</w:t>
      </w:r>
    </w:p>
    <w:p w14:paraId="18486DD8">
      <w:pPr>
        <w:spacing w:line="576" w:lineRule="exact"/>
        <w:ind w:firstLine="640" w:firstLineChars="200"/>
        <w:rPr>
          <w:rFonts w:eastAsia="黑体" w:cs="黑体"/>
          <w:sz w:val="32"/>
          <w:szCs w:val="32"/>
        </w:rPr>
      </w:pPr>
      <w:r>
        <w:rPr>
          <w:rFonts w:hint="eastAsia" w:eastAsia="黑体" w:cs="黑体"/>
          <w:sz w:val="32"/>
          <w:szCs w:val="32"/>
        </w:rPr>
        <w:t>6.坚定不移抓民生保障，满足群众期待</w:t>
      </w:r>
    </w:p>
    <w:p w14:paraId="5982D92D">
      <w:pPr>
        <w:pStyle w:val="14"/>
        <w:spacing w:after="0" w:line="576" w:lineRule="exact"/>
        <w:ind w:firstLine="640" w:firstLineChars="200"/>
        <w:rPr>
          <w:rFonts w:ascii="Times New Roman" w:hAnsi="Times New Roman" w:eastAsia="仿宋_GB2312"/>
          <w:sz w:val="32"/>
          <w:szCs w:val="32"/>
        </w:rPr>
      </w:pPr>
      <w:r>
        <w:rPr>
          <w:rFonts w:hint="eastAsia" w:ascii="楷体_GB2312" w:hAnsi="楷体_GB2312" w:eastAsia="楷体_GB2312" w:cs="楷体_GB2312"/>
          <w:sz w:val="32"/>
          <w:szCs w:val="32"/>
        </w:rPr>
        <w:t>常态化抓好疫情防控。</w:t>
      </w:r>
      <w:r>
        <w:rPr>
          <w:rFonts w:hint="eastAsia" w:ascii="Times New Roman" w:hAnsi="Times New Roman" w:eastAsia="仿宋_GB2312"/>
          <w:sz w:val="32"/>
          <w:szCs w:val="32"/>
        </w:rPr>
        <w:t>持续巩固来之不易的疫情防控成果，坚持“人、物、环境”并防，做好中高风险地区返乡人员的排查、上报和管控，加强购买、销售冷链和非冷链食品物品申报和检疫检测，常态化开展商超、市场、学校等人员密集场所检查。充分发挥村卫生室、个体诊所等基层医疗机构发热监测“哨点”作用。全面推进新冠疫苗接种，实现“应接尽接”目标。</w:t>
      </w:r>
      <w:r>
        <w:rPr>
          <w:rFonts w:hint="eastAsia" w:ascii="楷体_GB2312" w:hAnsi="楷体_GB2312" w:eastAsia="楷体_GB2312" w:cs="楷体_GB2312"/>
          <w:sz w:val="32"/>
          <w:szCs w:val="32"/>
        </w:rPr>
        <w:t>统筹发展社会事业。</w:t>
      </w:r>
      <w:r>
        <w:rPr>
          <w:rFonts w:hint="eastAsia" w:ascii="Times New Roman" w:hAnsi="Times New Roman" w:eastAsia="仿宋_GB2312"/>
          <w:sz w:val="32"/>
          <w:szCs w:val="32"/>
        </w:rPr>
        <w:t>加快推进人大票决制，高标准办好民生实事。</w:t>
      </w:r>
      <w:r>
        <w:rPr>
          <w:rFonts w:hint="eastAsia" w:ascii="Times New Roman" w:hAnsi="Times New Roman" w:eastAsia="仿宋_GB2312" w:cs="仿宋_GB2312"/>
          <w:sz w:val="32"/>
          <w:szCs w:val="32"/>
        </w:rPr>
        <w:t>持续推进</w:t>
      </w:r>
      <w:r>
        <w:rPr>
          <w:rFonts w:hint="eastAsia" w:ascii="Times New Roman" w:hAnsi="Times New Roman" w:eastAsia="仿宋_GB2312" w:cs="Times New Roman"/>
          <w:sz w:val="32"/>
          <w:szCs w:val="32"/>
        </w:rPr>
        <w:t>狮子、新荣和肖家寨3个村级医保服务代办站试点工作，整合完善镇、村两级便民服务平台，打造30分钟便民服务圈。全力办好人民满意教育，优化镇域医疗资源布局，持续推进卫子中心幼儿园和</w:t>
      </w:r>
      <w:r>
        <w:rPr>
          <w:rFonts w:hint="eastAsia" w:ascii="Times New Roman" w:hAnsi="Times New Roman" w:eastAsia="仿宋_GB2312" w:cs="仿宋_GB2312"/>
          <w:sz w:val="32"/>
          <w:szCs w:val="32"/>
        </w:rPr>
        <w:t>中心卫生院医疗次中心建设。大力实施就业增收计划，</w:t>
      </w:r>
      <w:r>
        <w:rPr>
          <w:rFonts w:hint="eastAsia" w:ascii="Times New Roman" w:hAnsi="Times New Roman" w:eastAsia="仿宋_GB2312"/>
          <w:sz w:val="32"/>
          <w:szCs w:val="32"/>
        </w:rPr>
        <w:t>开发用好公益性岗位，</w:t>
      </w:r>
      <w:r>
        <w:rPr>
          <w:rFonts w:hint="eastAsia" w:ascii="Times New Roman" w:hAnsi="Times New Roman" w:eastAsia="仿宋_GB2312" w:cs="仿宋_GB2312"/>
          <w:sz w:val="32"/>
          <w:szCs w:val="32"/>
        </w:rPr>
        <w:t>持续</w:t>
      </w:r>
      <w:r>
        <w:rPr>
          <w:rFonts w:ascii="Times New Roman" w:hAnsi="Times New Roman" w:eastAsia="仿宋_GB2312"/>
          <w:sz w:val="32"/>
          <w:szCs w:val="32"/>
        </w:rPr>
        <w:t>拓宽农产品加工、商贸服务等领域就业渠道，</w:t>
      </w:r>
      <w:r>
        <w:rPr>
          <w:rFonts w:hint="eastAsia" w:ascii="Times New Roman" w:hAnsi="Times New Roman" w:eastAsia="仿宋_GB2312"/>
          <w:sz w:val="32"/>
          <w:szCs w:val="32"/>
        </w:rPr>
        <w:t>力争全年</w:t>
      </w:r>
      <w:r>
        <w:rPr>
          <w:rFonts w:ascii="Times New Roman" w:hAnsi="Times New Roman" w:eastAsia="仿宋_GB2312"/>
          <w:sz w:val="32"/>
          <w:szCs w:val="32"/>
        </w:rPr>
        <w:t>增加就业岗位</w:t>
      </w:r>
      <w:r>
        <w:rPr>
          <w:rFonts w:hint="eastAsia" w:ascii="Times New Roman" w:hAnsi="Times New Roman" w:eastAsia="仿宋_GB2312"/>
          <w:sz w:val="32"/>
          <w:szCs w:val="32"/>
        </w:rPr>
        <w:t>3000</w:t>
      </w:r>
      <w:r>
        <w:rPr>
          <w:rFonts w:ascii="Times New Roman" w:hAnsi="Times New Roman" w:eastAsia="仿宋_GB2312"/>
          <w:sz w:val="32"/>
          <w:szCs w:val="32"/>
        </w:rPr>
        <w:t>个</w:t>
      </w:r>
      <w:r>
        <w:rPr>
          <w:rFonts w:hint="eastAsia" w:ascii="Times New Roman" w:hAnsi="Times New Roman" w:eastAsia="仿宋_GB2312"/>
          <w:sz w:val="32"/>
          <w:szCs w:val="32"/>
        </w:rPr>
        <w:t>以上，实现转移就业9000余人，将</w:t>
      </w:r>
      <w:r>
        <w:rPr>
          <w:rFonts w:ascii="Times New Roman" w:hAnsi="Times New Roman" w:eastAsia="仿宋_GB2312"/>
          <w:sz w:val="32"/>
          <w:szCs w:val="32"/>
        </w:rPr>
        <w:t>宏曌农业劳务专</w:t>
      </w:r>
      <w:r>
        <w:rPr>
          <w:rFonts w:hint="eastAsia" w:ascii="Times New Roman" w:hAnsi="Times New Roman" w:eastAsia="仿宋_GB2312"/>
          <w:sz w:val="32"/>
          <w:szCs w:val="32"/>
        </w:rPr>
        <w:t>合</w:t>
      </w:r>
      <w:r>
        <w:rPr>
          <w:rFonts w:ascii="Times New Roman" w:hAnsi="Times New Roman" w:eastAsia="仿宋_GB2312"/>
          <w:sz w:val="32"/>
          <w:szCs w:val="32"/>
        </w:rPr>
        <w:t>社</w:t>
      </w:r>
      <w:r>
        <w:rPr>
          <w:rFonts w:hint="eastAsia" w:ascii="Times New Roman" w:hAnsi="Times New Roman" w:eastAsia="仿宋_GB2312"/>
          <w:sz w:val="32"/>
          <w:szCs w:val="32"/>
        </w:rPr>
        <w:t>建成省级专业</w:t>
      </w:r>
      <w:r>
        <w:rPr>
          <w:rFonts w:ascii="Times New Roman" w:hAnsi="Times New Roman" w:eastAsia="仿宋_GB2312"/>
          <w:sz w:val="32"/>
          <w:szCs w:val="32"/>
        </w:rPr>
        <w:t>合作社</w:t>
      </w:r>
      <w:r>
        <w:rPr>
          <w:rFonts w:hint="eastAsia" w:ascii="Times New Roman" w:hAnsi="Times New Roman" w:eastAsia="仿宋_GB2312"/>
          <w:sz w:val="32"/>
          <w:szCs w:val="32"/>
        </w:rPr>
        <w:t>。大力实施全民参保计划，确保应保尽保。认真落实双拥、优抚政策，</w:t>
      </w:r>
      <w:r>
        <w:rPr>
          <w:rFonts w:ascii="Times New Roman" w:hAnsi="Times New Roman" w:eastAsia="仿宋_GB2312"/>
          <w:sz w:val="32"/>
          <w:szCs w:val="32"/>
        </w:rPr>
        <w:t>不断加大对弱势群体的社会救助力度</w:t>
      </w:r>
      <w:r>
        <w:rPr>
          <w:rFonts w:hint="eastAsia" w:ascii="Times New Roman" w:hAnsi="Times New Roman" w:eastAsia="仿宋_GB2312"/>
          <w:sz w:val="32"/>
          <w:szCs w:val="32"/>
        </w:rPr>
        <w:t>，</w:t>
      </w:r>
      <w:r>
        <w:rPr>
          <w:rFonts w:ascii="Times New Roman" w:hAnsi="Times New Roman" w:eastAsia="仿宋_GB2312"/>
          <w:sz w:val="32"/>
          <w:szCs w:val="32"/>
        </w:rPr>
        <w:t>健全</w:t>
      </w:r>
      <w:r>
        <w:rPr>
          <w:rFonts w:hint="eastAsia" w:ascii="Times New Roman" w:hAnsi="Times New Roman" w:eastAsia="仿宋_GB2312"/>
          <w:sz w:val="32"/>
          <w:szCs w:val="32"/>
        </w:rPr>
        <w:t>空巢</w:t>
      </w:r>
      <w:r>
        <w:rPr>
          <w:rFonts w:ascii="Times New Roman" w:hAnsi="Times New Roman" w:eastAsia="仿宋_GB2312"/>
          <w:sz w:val="32"/>
          <w:szCs w:val="32"/>
        </w:rPr>
        <w:t>老人、留守儿童妇女关爱体系。</w:t>
      </w:r>
      <w:r>
        <w:rPr>
          <w:rFonts w:hint="eastAsia" w:ascii="楷体_GB2312" w:hAnsi="楷体_GB2312" w:eastAsia="楷体_GB2312" w:cs="楷体_GB2312"/>
          <w:sz w:val="32"/>
          <w:szCs w:val="32"/>
        </w:rPr>
        <w:t>大力加强社会治理。</w:t>
      </w:r>
      <w:r>
        <w:rPr>
          <w:rFonts w:hint="eastAsia" w:ascii="Times New Roman" w:hAnsi="Times New Roman" w:eastAsia="仿宋_GB2312"/>
          <w:sz w:val="32"/>
          <w:szCs w:val="32"/>
        </w:rPr>
        <w:t>弘扬新时代“枫桥经验”，完善矛盾纠纷多元化预防化解综合机制，深化网格化管理，</w:t>
      </w:r>
      <w:r>
        <w:rPr>
          <w:rFonts w:ascii="Times New Roman" w:hAnsi="Times New Roman" w:eastAsia="仿宋_GB2312"/>
          <w:sz w:val="32"/>
          <w:szCs w:val="32"/>
        </w:rPr>
        <w:t>严格落实领导接访下访、包案化解等制度</w:t>
      </w:r>
      <w:r>
        <w:rPr>
          <w:rFonts w:hint="eastAsia" w:ascii="Times New Roman" w:hAnsi="Times New Roman" w:eastAsia="仿宋_GB2312"/>
          <w:sz w:val="32"/>
          <w:szCs w:val="32"/>
        </w:rPr>
        <w:t>，夯实基层治理根基。</w:t>
      </w:r>
      <w:r>
        <w:rPr>
          <w:rFonts w:ascii="Times New Roman" w:hAnsi="Times New Roman" w:eastAsia="仿宋_GB2312"/>
          <w:sz w:val="32"/>
          <w:szCs w:val="32"/>
        </w:rPr>
        <w:t>大力开展</w:t>
      </w:r>
      <w:r>
        <w:rPr>
          <w:rFonts w:hint="eastAsia" w:ascii="Times New Roman" w:hAnsi="Times New Roman" w:eastAsia="仿宋_GB2312"/>
          <w:sz w:val="32"/>
          <w:szCs w:val="32"/>
        </w:rPr>
        <w:t>“</w:t>
      </w:r>
      <w:r>
        <w:rPr>
          <w:rFonts w:ascii="Times New Roman" w:hAnsi="Times New Roman" w:eastAsia="仿宋_GB2312"/>
          <w:sz w:val="32"/>
          <w:szCs w:val="32"/>
        </w:rPr>
        <w:t>八五</w:t>
      </w:r>
      <w:r>
        <w:rPr>
          <w:rFonts w:hint="eastAsia" w:ascii="Times New Roman" w:hAnsi="Times New Roman" w:eastAsia="仿宋_GB2312"/>
          <w:sz w:val="32"/>
          <w:szCs w:val="32"/>
        </w:rPr>
        <w:t>”</w:t>
      </w:r>
      <w:r>
        <w:rPr>
          <w:rFonts w:ascii="Times New Roman" w:hAnsi="Times New Roman" w:eastAsia="仿宋_GB2312"/>
          <w:sz w:val="32"/>
          <w:szCs w:val="32"/>
        </w:rPr>
        <w:t>普法，深化拓展</w:t>
      </w:r>
      <w:r>
        <w:rPr>
          <w:rFonts w:hint="eastAsia" w:ascii="Times New Roman" w:hAnsi="Times New Roman" w:eastAsia="仿宋_GB2312"/>
          <w:sz w:val="32"/>
          <w:szCs w:val="32"/>
        </w:rPr>
        <w:t>“</w:t>
      </w:r>
      <w:r>
        <w:rPr>
          <w:rFonts w:ascii="Times New Roman" w:hAnsi="Times New Roman" w:eastAsia="仿宋_GB2312"/>
          <w:sz w:val="32"/>
          <w:szCs w:val="32"/>
        </w:rPr>
        <w:t>法律九进</w:t>
      </w:r>
      <w:r>
        <w:rPr>
          <w:rFonts w:hint="eastAsia" w:ascii="Times New Roman" w:hAnsi="Times New Roman" w:eastAsia="仿宋_GB2312"/>
          <w:sz w:val="32"/>
          <w:szCs w:val="32"/>
        </w:rPr>
        <w:t>”</w:t>
      </w:r>
      <w:r>
        <w:rPr>
          <w:rFonts w:ascii="Times New Roman" w:hAnsi="Times New Roman" w:eastAsia="仿宋_GB2312"/>
          <w:sz w:val="32"/>
          <w:szCs w:val="32"/>
        </w:rPr>
        <w:t>，创建法治示范乡镇。</w:t>
      </w:r>
      <w:r>
        <w:rPr>
          <w:rFonts w:hint="eastAsia" w:ascii="Times New Roman" w:hAnsi="Times New Roman" w:eastAsia="仿宋_GB2312"/>
          <w:sz w:val="32"/>
          <w:szCs w:val="32"/>
        </w:rPr>
        <w:t>着力化解一批历史遗留问题，对元柏树、肖家寨、石井铺等村部分群众反映大、解决难度大的问题，逐个梳理，逐个化解，为发展解决后顾之忧。全面推行安全生产清单制管理，强化食品药品等重点行业安全监管，创建省级食品安全规范化建设乡镇。深入推进森林防灭火专项整治、应急救援能力提升等工作，坚决防范和遏制重特大生产安全事故。进一步完善立体化、智能化社会治安防控体系，常态化推进扫黑除恶和禁毒工作，严厉打击电信诈骗等违法犯罪行为，建设更高水平的平安卫子。</w:t>
      </w:r>
    </w:p>
    <w:p w14:paraId="2A5F355A">
      <w:pPr>
        <w:spacing w:line="576" w:lineRule="exact"/>
        <w:ind w:firstLine="640" w:firstLineChars="200"/>
        <w:rPr>
          <w:rFonts w:eastAsia="黑体" w:cs="黑体"/>
          <w:sz w:val="32"/>
          <w:szCs w:val="32"/>
        </w:rPr>
      </w:pPr>
      <w:r>
        <w:rPr>
          <w:rFonts w:hint="eastAsia" w:eastAsia="黑体" w:cs="黑体"/>
          <w:sz w:val="32"/>
          <w:szCs w:val="32"/>
        </w:rPr>
        <w:t>7.坚定不移抓政府自身建设，不断凸显卫子形象</w:t>
      </w:r>
    </w:p>
    <w:p w14:paraId="630ECA9C">
      <w:pPr>
        <w:pStyle w:val="14"/>
        <w:spacing w:after="0" w:line="576" w:lineRule="exact"/>
        <w:ind w:firstLine="640" w:firstLineChars="200"/>
        <w:rPr>
          <w:rFonts w:ascii="楷体_GB2312" w:eastAsia="楷体_GB2312" w:cs="楷体_GB2312"/>
          <w:b/>
          <w:color w:val="333333"/>
          <w:sz w:val="32"/>
          <w:szCs w:val="32"/>
          <w:shd w:val="clear" w:color="auto" w:fill="FFFFFF"/>
        </w:rPr>
      </w:pPr>
      <w:r>
        <w:rPr>
          <w:rFonts w:hint="eastAsia" w:ascii="Times New Roman" w:hAnsi="Times New Roman" w:eastAsia="仿宋_GB2312" w:cs="Times New Roman"/>
          <w:sz w:val="32"/>
          <w:szCs w:val="32"/>
        </w:rPr>
        <w:t>坚持以习近平新时代中国特色社会主义思想武装头脑、指导实践、推动工作，不断增强“四个意识”、坚定“四个自信”，坚决做到“两个维护”，坚决拥护“两个确立”，以坚定的政治立场、清晰的政治方向、鲜明的政治原则确保上级和镇党委的决策部署落地见效。坚决贯彻落实</w:t>
      </w:r>
      <w:r>
        <w:rPr>
          <w:rFonts w:ascii="Times New Roman" w:hAnsi="Times New Roman" w:eastAsia="仿宋_GB2312"/>
          <w:sz w:val="32"/>
          <w:szCs w:val="32"/>
        </w:rPr>
        <w:t>习近平法治思想，坚持</w:t>
      </w:r>
      <w:r>
        <w:rPr>
          <w:rFonts w:hint="eastAsia" w:ascii="Times New Roman" w:hAnsi="Times New Roman" w:eastAsia="仿宋_GB2312"/>
          <w:sz w:val="32"/>
          <w:szCs w:val="32"/>
        </w:rPr>
        <w:t>依法行政</w:t>
      </w:r>
      <w:r>
        <w:rPr>
          <w:rFonts w:ascii="Times New Roman" w:hAnsi="Times New Roman" w:eastAsia="仿宋_GB2312"/>
          <w:sz w:val="32"/>
          <w:szCs w:val="32"/>
        </w:rPr>
        <w:t>，把政府工作全面纳入法治轨道，做到依法决策、民主决策、科学决策。坚决贯彻上级各项重大决策部署，自觉接受人大及群众监督、舆论监督，</w:t>
      </w:r>
      <w:r>
        <w:rPr>
          <w:rFonts w:hint="eastAsia" w:ascii="Times New Roman" w:hAnsi="Times New Roman" w:eastAsia="仿宋_GB2312"/>
          <w:sz w:val="32"/>
          <w:szCs w:val="32"/>
        </w:rPr>
        <w:t>让每一分权力都在阳光下运行，</w:t>
      </w:r>
      <w:r>
        <w:rPr>
          <w:rFonts w:ascii="Times New Roman" w:hAnsi="Times New Roman" w:eastAsia="仿宋_GB2312"/>
          <w:sz w:val="32"/>
          <w:szCs w:val="32"/>
        </w:rPr>
        <w:t>不断提升政府公信力。</w:t>
      </w:r>
      <w:r>
        <w:rPr>
          <w:rFonts w:hint="eastAsia" w:ascii="Times New Roman" w:hAnsi="Times New Roman" w:eastAsia="仿宋_GB2312"/>
          <w:sz w:val="32"/>
          <w:szCs w:val="32"/>
        </w:rPr>
        <w:t>坚持</w:t>
      </w:r>
      <w:r>
        <w:rPr>
          <w:rFonts w:ascii="Times New Roman" w:hAnsi="Times New Roman" w:eastAsia="仿宋_GB2312"/>
          <w:sz w:val="32"/>
          <w:szCs w:val="32"/>
        </w:rPr>
        <w:t>打造风清气正的政治生态</w:t>
      </w:r>
      <w:r>
        <w:rPr>
          <w:rFonts w:hint="eastAsia" w:ascii="Times New Roman" w:hAnsi="Times New Roman" w:eastAsia="仿宋_GB2312"/>
          <w:sz w:val="32"/>
          <w:szCs w:val="32"/>
        </w:rPr>
        <w:t>，</w:t>
      </w:r>
      <w:r>
        <w:rPr>
          <w:rFonts w:ascii="Times New Roman" w:hAnsi="Times New Roman" w:eastAsia="仿宋_GB2312"/>
          <w:sz w:val="32"/>
          <w:szCs w:val="32"/>
        </w:rPr>
        <w:t>严格执行中央八项规定精神和省委省政府十项规定、市委“六个带头”、区委“七条要求”，坚决纠正四风</w:t>
      </w:r>
      <w:r>
        <w:rPr>
          <w:rFonts w:hint="eastAsia" w:ascii="Times New Roman" w:hAnsi="Times New Roman" w:eastAsia="仿宋_GB2312"/>
          <w:sz w:val="32"/>
          <w:szCs w:val="32"/>
        </w:rPr>
        <w:t>，严格执行</w:t>
      </w:r>
      <w:r>
        <w:rPr>
          <w:rFonts w:ascii="Times New Roman" w:hAnsi="Times New Roman" w:eastAsia="仿宋_GB2312"/>
          <w:sz w:val="32"/>
          <w:szCs w:val="32"/>
        </w:rPr>
        <w:t>“三重一大”</w:t>
      </w:r>
      <w:r>
        <w:rPr>
          <w:rFonts w:hint="eastAsia" w:ascii="Times New Roman" w:hAnsi="Times New Roman" w:eastAsia="仿宋_GB2312"/>
          <w:sz w:val="32"/>
          <w:szCs w:val="32"/>
        </w:rPr>
        <w:t>决策制度，</w:t>
      </w:r>
      <w:r>
        <w:rPr>
          <w:rFonts w:ascii="Times New Roman" w:hAnsi="Times New Roman" w:eastAsia="仿宋_GB2312"/>
          <w:sz w:val="32"/>
          <w:szCs w:val="32"/>
        </w:rPr>
        <w:t>严格控制“三公”经费支出，把有限的财力用到发展经济、保障民生上，让政府过“紧日子”，让群众过“好日子”。始终把发展作为第一要务，以抓铁有痕、踏石留印的劲头抓落实、促发展、惠民生</w:t>
      </w:r>
      <w:r>
        <w:rPr>
          <w:rFonts w:hint="eastAsia" w:ascii="Times New Roman" w:hAnsi="Times New Roman" w:eastAsia="仿宋_GB2312"/>
          <w:sz w:val="32"/>
          <w:szCs w:val="32"/>
        </w:rPr>
        <w:t>，</w:t>
      </w:r>
      <w:r>
        <w:rPr>
          <w:rFonts w:ascii="Times New Roman" w:hAnsi="Times New Roman" w:eastAsia="仿宋_GB2312" w:cs="Times New Roman"/>
          <w:sz w:val="32"/>
          <w:szCs w:val="32"/>
        </w:rPr>
        <w:t>把群众认不认可、满不满意作为检验工作的标准，加快建设人民群众满意的服务型政府</w:t>
      </w:r>
      <w:r>
        <w:rPr>
          <w:rFonts w:hint="eastAsia" w:ascii="Times New Roman" w:hAnsi="Times New Roman" w:eastAsia="仿宋_GB2312" w:cs="Times New Roman"/>
          <w:sz w:val="32"/>
          <w:szCs w:val="32"/>
        </w:rPr>
        <w:t>。</w:t>
      </w:r>
    </w:p>
    <w:p w14:paraId="5DF4CAB6">
      <w:pPr>
        <w:pStyle w:val="4"/>
        <w:snapToGrid w:val="0"/>
        <w:spacing w:before="0" w:after="0" w:line="576" w:lineRule="exact"/>
        <w:ind w:firstLine="640" w:firstLineChars="200"/>
        <w:rPr>
          <w:rFonts w:ascii="黑体" w:hAnsi="黑体" w:eastAsia="黑体" w:cs="黑体"/>
          <w:b w:val="0"/>
        </w:rPr>
      </w:pPr>
      <w:r>
        <w:rPr>
          <w:rFonts w:ascii="黑体" w:hAnsi="黑体" w:eastAsia="黑体" w:cs="黑体"/>
          <w:b w:val="0"/>
        </w:rPr>
        <w:t>三、机构设置</w:t>
      </w:r>
      <w:bookmarkEnd w:id="22"/>
    </w:p>
    <w:p w14:paraId="3FBA3965">
      <w:pPr>
        <w:snapToGrid w:val="0"/>
        <w:spacing w:line="576" w:lineRule="exact"/>
        <w:ind w:firstLine="640" w:firstLineChars="200"/>
        <w:rPr>
          <w:rFonts w:eastAsia="仿宋_GB2312"/>
          <w:sz w:val="32"/>
          <w:szCs w:val="32"/>
        </w:rPr>
      </w:pPr>
      <w:r>
        <w:rPr>
          <w:rFonts w:eastAsia="仿宋_GB2312"/>
          <w:sz w:val="32"/>
          <w:szCs w:val="32"/>
        </w:rPr>
        <w:t>卫子镇人民政府属于一级决算单位，政府单位机构数1个，其中行政单位</w:t>
      </w:r>
      <w:r>
        <w:rPr>
          <w:rFonts w:hint="eastAsia" w:eastAsia="仿宋_GB2312"/>
          <w:sz w:val="32"/>
          <w:szCs w:val="32"/>
          <w:lang w:val="en-US" w:eastAsia="zh-CN"/>
        </w:rPr>
        <w:t>8</w:t>
      </w:r>
      <w:r>
        <w:rPr>
          <w:rFonts w:eastAsia="仿宋_GB2312"/>
          <w:sz w:val="32"/>
          <w:szCs w:val="32"/>
        </w:rPr>
        <w:t>个，参照公务员法管理的事业单位0个，其他事业单位</w:t>
      </w:r>
      <w:r>
        <w:rPr>
          <w:rFonts w:hint="eastAsia" w:eastAsia="仿宋_GB2312"/>
          <w:sz w:val="32"/>
          <w:szCs w:val="32"/>
          <w:lang w:val="en-US" w:eastAsia="zh-CN"/>
        </w:rPr>
        <w:t>5</w:t>
      </w:r>
      <w:r>
        <w:rPr>
          <w:rFonts w:eastAsia="仿宋_GB2312"/>
          <w:sz w:val="32"/>
          <w:szCs w:val="32"/>
        </w:rPr>
        <w:t>个。</w:t>
      </w:r>
    </w:p>
    <w:p w14:paraId="6853B4C9">
      <w:pPr>
        <w:snapToGrid w:val="0"/>
        <w:spacing w:line="576" w:lineRule="exact"/>
        <w:ind w:firstLine="640" w:firstLineChars="200"/>
        <w:rPr>
          <w:rFonts w:eastAsia="仿宋_GB2312"/>
          <w:sz w:val="32"/>
          <w:szCs w:val="32"/>
        </w:rPr>
      </w:pPr>
    </w:p>
    <w:p w14:paraId="3D20B791">
      <w:pPr>
        <w:widowControl/>
        <w:snapToGrid w:val="0"/>
        <w:spacing w:line="576" w:lineRule="exact"/>
        <w:ind w:firstLine="640" w:firstLineChars="200"/>
        <w:jc w:val="left"/>
        <w:rPr>
          <w:rFonts w:eastAsia="仿宋_GB2312"/>
          <w:kern w:val="0"/>
          <w:sz w:val="32"/>
          <w:szCs w:val="32"/>
        </w:rPr>
      </w:pPr>
    </w:p>
    <w:p w14:paraId="0488B776">
      <w:pPr>
        <w:pStyle w:val="3"/>
        <w:snapToGrid w:val="0"/>
        <w:spacing w:beforeLines="50" w:afterLines="50" w:line="572" w:lineRule="exact"/>
        <w:jc w:val="center"/>
        <w:rPr>
          <w:rFonts w:ascii="方正小标宋简体" w:hAnsi="方正小标宋简体" w:eastAsia="方正小标宋简体" w:cs="方正小标宋简体"/>
          <w:b w:val="0"/>
        </w:rPr>
      </w:pPr>
      <w:bookmarkStart w:id="23" w:name="_Toc15396602"/>
      <w:bookmarkStart w:id="24" w:name="_Toc15377204"/>
      <w:bookmarkStart w:id="25" w:name="_Toc1491"/>
      <w:r>
        <w:rPr>
          <w:rFonts w:ascii="方正小标宋简体" w:hAnsi="方正小标宋简体" w:eastAsia="方正小标宋简体" w:cs="方正小标宋简体"/>
          <w:b w:val="0"/>
        </w:rPr>
        <w:t>第二部分</w:t>
      </w:r>
      <w:r>
        <w:rPr>
          <w:rFonts w:hint="eastAsia" w:ascii="方正小标宋简体" w:hAnsi="方正小标宋简体" w:eastAsia="方正小标宋简体" w:cs="方正小标宋简体"/>
          <w:b w:val="0"/>
        </w:rPr>
        <w:t xml:space="preserve">  </w:t>
      </w:r>
      <w:r>
        <w:rPr>
          <w:rFonts w:ascii="方正小标宋简体" w:hAnsi="方正小标宋简体" w:eastAsia="方正小标宋简体" w:cs="方正小标宋简体"/>
          <w:b w:val="0"/>
        </w:rPr>
        <w:t>2021年度单位决算情况说明</w:t>
      </w:r>
      <w:bookmarkEnd w:id="23"/>
      <w:bookmarkEnd w:id="24"/>
      <w:bookmarkEnd w:id="25"/>
    </w:p>
    <w:p w14:paraId="036A619D">
      <w:pPr>
        <w:pStyle w:val="4"/>
        <w:snapToGrid w:val="0"/>
        <w:spacing w:before="0" w:after="0" w:line="572" w:lineRule="exact"/>
        <w:ind w:firstLine="640" w:firstLineChars="200"/>
        <w:rPr>
          <w:rFonts w:ascii="黑体" w:hAnsi="黑体" w:eastAsia="黑体" w:cs="黑体"/>
          <w:b w:val="0"/>
        </w:rPr>
      </w:pPr>
      <w:bookmarkStart w:id="26" w:name="_Toc10370"/>
      <w:bookmarkStart w:id="27" w:name="_Toc15396603"/>
      <w:bookmarkStart w:id="28" w:name="_Toc15377205"/>
      <w:r>
        <w:rPr>
          <w:rFonts w:hint="eastAsia" w:ascii="黑体" w:hAnsi="黑体" w:eastAsia="黑体" w:cs="黑体"/>
          <w:b w:val="0"/>
        </w:rPr>
        <w:t>一、收入支出决算总体情况说明</w:t>
      </w:r>
      <w:bookmarkEnd w:id="26"/>
      <w:bookmarkEnd w:id="27"/>
      <w:bookmarkEnd w:id="28"/>
    </w:p>
    <w:p w14:paraId="7493DDFB">
      <w:pPr>
        <w:snapToGrid w:val="0"/>
        <w:spacing w:line="572" w:lineRule="exact"/>
        <w:ind w:firstLine="640" w:firstLineChars="200"/>
        <w:rPr>
          <w:rFonts w:ascii="仿宋" w:hAnsi="仿宋" w:eastAsia="仿宋"/>
          <w:color w:val="000000"/>
          <w:sz w:val="32"/>
          <w:szCs w:val="32"/>
        </w:rPr>
      </w:pPr>
      <w:r>
        <w:rPr>
          <w:rFonts w:eastAsia="仿宋_GB2312"/>
          <w:sz w:val="32"/>
          <w:szCs w:val="32"/>
        </w:rPr>
        <w:t>2021年度收、支总计</w:t>
      </w:r>
      <w:r>
        <w:rPr>
          <w:rFonts w:hint="eastAsia" w:eastAsia="仿宋_GB2312"/>
          <w:sz w:val="32"/>
          <w:szCs w:val="32"/>
        </w:rPr>
        <w:t>1791.89</w:t>
      </w:r>
      <w:r>
        <w:rPr>
          <w:rFonts w:eastAsia="仿宋_GB2312"/>
          <w:sz w:val="32"/>
          <w:szCs w:val="32"/>
        </w:rPr>
        <w:t>万元。与2020年相比，收、支总计各</w:t>
      </w:r>
      <w:r>
        <w:rPr>
          <w:rFonts w:hint="eastAsia" w:eastAsia="仿宋_GB2312"/>
          <w:sz w:val="32"/>
          <w:szCs w:val="32"/>
        </w:rPr>
        <w:t>增加7.22</w:t>
      </w:r>
      <w:r>
        <w:rPr>
          <w:rFonts w:eastAsia="仿宋_GB2312"/>
          <w:sz w:val="32"/>
          <w:szCs w:val="32"/>
        </w:rPr>
        <w:t>万元，</w:t>
      </w:r>
      <w:r>
        <w:rPr>
          <w:rFonts w:hint="eastAsia" w:eastAsia="仿宋_GB2312"/>
          <w:sz w:val="32"/>
          <w:szCs w:val="32"/>
        </w:rPr>
        <w:t>增长0.40%.</w:t>
      </w:r>
      <w:r>
        <w:rPr>
          <w:rFonts w:eastAsia="仿宋_GB2312"/>
          <w:sz w:val="32"/>
          <w:szCs w:val="32"/>
        </w:rPr>
        <w:t>主要变动原因</w:t>
      </w:r>
      <w:r>
        <w:rPr>
          <w:rFonts w:hint="eastAsia" w:eastAsia="仿宋_GB2312"/>
          <w:sz w:val="32"/>
          <w:szCs w:val="32"/>
        </w:rPr>
        <w:t>人员经费正常变动</w:t>
      </w:r>
      <w:r>
        <w:rPr>
          <w:rFonts w:eastAsia="仿宋_GB2312"/>
          <w:sz w:val="32"/>
          <w:szCs w:val="32"/>
        </w:rPr>
        <w:t>。</w:t>
      </w:r>
    </w:p>
    <w:p w14:paraId="14663B6A">
      <w:pPr>
        <w:spacing w:line="580" w:lineRule="exact"/>
        <w:jc w:val="center"/>
        <w:rPr>
          <w:rFonts w:ascii="黑体" w:hAnsi="黑体" w:eastAsia="黑体" w:cs="黑体"/>
        </w:rPr>
      </w:pPr>
      <w:r>
        <w:rPr>
          <w:rFonts w:ascii="仿宋" w:hAnsi="仿宋" w:eastAsia="仿宋"/>
          <w:color w:val="000000"/>
          <w:sz w:val="32"/>
          <w:szCs w:val="32"/>
        </w:rPr>
        <w:pict>
          <v:shape id="Object 2" o:spid="_x0000_s1029" o:spt="75" type="#_x0000_t75" style="position:absolute;left:0pt;margin-left:13.55pt;margin-top:5.85pt;height:141.15pt;width:446.7pt;mso-wrap-distance-bottom:0pt;mso-wrap-distance-top:0pt;z-index:251659264;mso-width-relative:page;mso-height-relative:page;" o:ole="t" filled="f" o:preferrelative="t" stroked="f" coordsize="21600,21600">
            <v:path/>
            <v:fill on="f" focussize="0,0"/>
            <v:stroke on="f" joinstyle="miter"/>
            <v:imagedata r:id="rId7" o:title=""/>
            <o:lock v:ext="edit" aspectratio="t"/>
            <w10:wrap type="topAndBottom"/>
          </v:shape>
          <o:OLEObject Type="Embed" ProgID="Excel.Chart.8" ShapeID="Object 2" DrawAspect="Content" ObjectID="_1468075725" r:id="rId6">
            <o:LockedField>false</o:LockedField>
          </o:OLEObject>
        </w:pict>
      </w: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：收、支决算总计变动情况图）（柱状图）</w:t>
      </w:r>
      <w:bookmarkStart w:id="29" w:name="_Toc29072"/>
      <w:bookmarkStart w:id="30" w:name="_Toc15377206"/>
      <w:bookmarkStart w:id="31" w:name="_Toc15396604"/>
    </w:p>
    <w:p w14:paraId="61DF1202">
      <w:pPr>
        <w:pStyle w:val="4"/>
        <w:snapToGrid w:val="0"/>
        <w:spacing w:before="0" w:after="0" w:line="576" w:lineRule="exact"/>
        <w:ind w:firstLine="640" w:firstLineChars="200"/>
        <w:rPr>
          <w:rFonts w:ascii="黑体" w:hAnsi="黑体" w:eastAsia="黑体" w:cs="黑体"/>
          <w:b w:val="0"/>
        </w:rPr>
      </w:pPr>
      <w:r>
        <w:rPr>
          <w:rFonts w:hint="eastAsia" w:ascii="黑体" w:hAnsi="黑体" w:eastAsia="黑体" w:cs="黑体"/>
          <w:b w:val="0"/>
        </w:rPr>
        <w:t>二、</w:t>
      </w:r>
      <w:r>
        <w:rPr>
          <w:rFonts w:ascii="黑体" w:hAnsi="黑体" w:eastAsia="黑体" w:cs="黑体"/>
          <w:b w:val="0"/>
        </w:rPr>
        <w:t>收入决算情况说明</w:t>
      </w:r>
      <w:bookmarkEnd w:id="29"/>
      <w:bookmarkEnd w:id="30"/>
      <w:bookmarkEnd w:id="31"/>
    </w:p>
    <w:p w14:paraId="430DC87E">
      <w:pPr>
        <w:snapToGrid w:val="0"/>
        <w:spacing w:line="576" w:lineRule="exact"/>
        <w:ind w:firstLine="640" w:firstLineChars="200"/>
        <w:outlineLvl w:val="1"/>
        <w:rPr>
          <w:rFonts w:eastAsia="仿宋_GB2312"/>
          <w:sz w:val="32"/>
          <w:szCs w:val="32"/>
        </w:rPr>
      </w:pPr>
      <w:bookmarkStart w:id="32" w:name="_Toc1350"/>
      <w:r>
        <w:rPr>
          <w:rFonts w:ascii="仿宋" w:hAnsi="仿宋" w:eastAsia="仿宋"/>
          <w:color w:val="000000"/>
          <w:sz w:val="32"/>
          <w:szCs w:val="32"/>
        </w:rPr>
        <w:pict>
          <v:shape id="Object 3" o:spid="_x0000_s1030" o:spt="75" type="#_x0000_t75" style="position:absolute;left:0pt;margin-left:80.3pt;margin-top:73.65pt;height:143.85pt;width:263.4pt;mso-wrap-distance-bottom:0pt;mso-wrap-distance-top:0pt;z-index:251660288;mso-width-relative:page;mso-height-relative:page;" o:ole="t" filled="f" o:preferrelative="t" stroked="f" coordsize="21600,21600">
            <v:path/>
            <v:fill on="f" focussize="0,0"/>
            <v:stroke on="f"/>
            <v:imagedata r:id="rId9" o:title=""/>
            <o:lock v:ext="edit" aspectratio="t"/>
            <w10:wrap type="topAndBottom"/>
          </v:shape>
          <o:OLEObject Type="Embed" ProgID="Excel.Chart.8" ShapeID="Object 3" DrawAspect="Content" ObjectID="_1468075726" r:id="rId8">
            <o:LockedField>false</o:LockedField>
          </o:OLEObject>
        </w:pict>
      </w:r>
      <w:r>
        <w:rPr>
          <w:rFonts w:eastAsia="仿宋_GB2312"/>
          <w:sz w:val="32"/>
          <w:szCs w:val="32"/>
        </w:rPr>
        <w:t>2021年本年收入合计</w:t>
      </w:r>
      <w:r>
        <w:rPr>
          <w:rFonts w:hint="eastAsia" w:eastAsia="仿宋_GB2312"/>
          <w:sz w:val="32"/>
          <w:szCs w:val="32"/>
        </w:rPr>
        <w:t>1791.89</w:t>
      </w:r>
      <w:r>
        <w:rPr>
          <w:rFonts w:eastAsia="仿宋_GB2312"/>
          <w:sz w:val="32"/>
          <w:szCs w:val="32"/>
        </w:rPr>
        <w:t>万元，其中：一般公共决算财政拨款收入</w:t>
      </w:r>
      <w:r>
        <w:rPr>
          <w:rFonts w:hint="eastAsia" w:eastAsia="仿宋_GB2312"/>
          <w:sz w:val="32"/>
          <w:szCs w:val="32"/>
        </w:rPr>
        <w:t>1791.89</w:t>
      </w:r>
      <w:r>
        <w:rPr>
          <w:rFonts w:eastAsia="仿宋_GB2312"/>
          <w:sz w:val="32"/>
          <w:szCs w:val="32"/>
        </w:rPr>
        <w:t>万元，占100%；</w:t>
      </w:r>
      <w:bookmarkEnd w:id="32"/>
    </w:p>
    <w:p w14:paraId="7DC69552">
      <w:pPr>
        <w:spacing w:line="580" w:lineRule="exact"/>
        <w:ind w:firstLine="640" w:firstLineChars="200"/>
        <w:jc w:val="cente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：收入决算结构图）（饼状图）</w:t>
      </w:r>
    </w:p>
    <w:p w14:paraId="100C5E9E">
      <w:pPr>
        <w:pStyle w:val="4"/>
        <w:snapToGrid w:val="0"/>
        <w:spacing w:before="0" w:after="0" w:line="576" w:lineRule="exact"/>
        <w:ind w:firstLine="640" w:firstLineChars="200"/>
        <w:rPr>
          <w:rFonts w:ascii="黑体" w:hAnsi="黑体" w:eastAsia="黑体" w:cs="黑体"/>
          <w:b w:val="0"/>
        </w:rPr>
      </w:pPr>
      <w:bookmarkStart w:id="33" w:name="_Toc15377207"/>
      <w:bookmarkStart w:id="34" w:name="_Toc14067"/>
      <w:bookmarkStart w:id="35" w:name="_Toc15396605"/>
      <w:r>
        <w:rPr>
          <w:rFonts w:hint="eastAsia" w:ascii="黑体" w:hAnsi="黑体" w:eastAsia="黑体" w:cs="黑体"/>
          <w:b w:val="0"/>
        </w:rPr>
        <w:t>三、</w:t>
      </w:r>
      <w:r>
        <w:rPr>
          <w:rFonts w:ascii="黑体" w:hAnsi="黑体" w:eastAsia="黑体" w:cs="黑体"/>
          <w:b w:val="0"/>
        </w:rPr>
        <w:t>支出决算情况说明</w:t>
      </w:r>
      <w:bookmarkEnd w:id="33"/>
      <w:bookmarkEnd w:id="34"/>
      <w:bookmarkEnd w:id="35"/>
    </w:p>
    <w:p w14:paraId="0BE8F13D">
      <w:pPr>
        <w:snapToGrid w:val="0"/>
        <w:spacing w:line="576" w:lineRule="exact"/>
        <w:ind w:firstLine="640" w:firstLineChars="200"/>
        <w:outlineLvl w:val="1"/>
        <w:rPr>
          <w:rFonts w:eastAsia="仿宋_GB2312"/>
          <w:sz w:val="32"/>
          <w:szCs w:val="32"/>
        </w:rPr>
      </w:pPr>
      <w:bookmarkStart w:id="36" w:name="_Toc28457"/>
      <w:r>
        <w:rPr>
          <w:rFonts w:eastAsia="仿宋_GB2312"/>
          <w:sz w:val="32"/>
          <w:szCs w:val="32"/>
        </w:rPr>
        <w:t>2021年本年支出合计</w:t>
      </w:r>
      <w:r>
        <w:rPr>
          <w:rFonts w:hint="eastAsia" w:eastAsia="仿宋_GB2312"/>
          <w:sz w:val="32"/>
          <w:szCs w:val="32"/>
        </w:rPr>
        <w:t>1791.89</w:t>
      </w:r>
      <w:r>
        <w:rPr>
          <w:rFonts w:eastAsia="仿宋_GB2312"/>
          <w:sz w:val="32"/>
          <w:szCs w:val="32"/>
        </w:rPr>
        <w:t>万元，其中：基本支出</w:t>
      </w:r>
      <w:r>
        <w:rPr>
          <w:rFonts w:hint="eastAsia" w:eastAsia="仿宋_GB2312"/>
          <w:sz w:val="32"/>
          <w:szCs w:val="32"/>
        </w:rPr>
        <w:t>1648.96</w:t>
      </w:r>
      <w:r>
        <w:rPr>
          <w:rFonts w:eastAsia="仿宋_GB2312"/>
          <w:sz w:val="32"/>
          <w:szCs w:val="32"/>
        </w:rPr>
        <w:t>万元，占</w:t>
      </w:r>
      <w:r>
        <w:rPr>
          <w:rFonts w:hint="eastAsia" w:eastAsia="仿宋_GB2312"/>
          <w:sz w:val="32"/>
          <w:szCs w:val="32"/>
        </w:rPr>
        <w:t>92.02</w:t>
      </w:r>
      <w:r>
        <w:rPr>
          <w:rFonts w:eastAsia="仿宋_GB2312"/>
          <w:sz w:val="32"/>
          <w:szCs w:val="32"/>
        </w:rPr>
        <w:t>%；项目支出</w:t>
      </w:r>
      <w:r>
        <w:rPr>
          <w:rFonts w:hint="eastAsia" w:eastAsia="仿宋_GB2312"/>
          <w:sz w:val="32"/>
          <w:szCs w:val="32"/>
        </w:rPr>
        <w:t>142.93</w:t>
      </w:r>
      <w:r>
        <w:rPr>
          <w:rFonts w:eastAsia="仿宋_GB2312"/>
          <w:sz w:val="32"/>
          <w:szCs w:val="32"/>
        </w:rPr>
        <w:t>万元，占</w:t>
      </w:r>
      <w:r>
        <w:rPr>
          <w:rFonts w:hint="eastAsia" w:eastAsia="仿宋_GB2312"/>
          <w:sz w:val="32"/>
          <w:szCs w:val="32"/>
        </w:rPr>
        <w:t>7.98</w:t>
      </w:r>
      <w:r>
        <w:rPr>
          <w:rFonts w:eastAsia="仿宋_GB2312"/>
          <w:sz w:val="32"/>
          <w:szCs w:val="32"/>
        </w:rPr>
        <w:t>%；</w:t>
      </w:r>
      <w:bookmarkEnd w:id="36"/>
    </w:p>
    <w:p w14:paraId="518E5261">
      <w:pPr>
        <w:pStyle w:val="6"/>
        <w:spacing w:before="93"/>
        <w:jc w:val="center"/>
        <w:rPr>
          <w:rFonts w:ascii="黑体" w:hAnsi="黑体" w:eastAsia="黑体" w:cs="黑体"/>
        </w:rPr>
      </w:pPr>
      <w:r>
        <w:rPr>
          <w:rFonts w:ascii="仿宋" w:hAnsi="仿宋" w:eastAsia="仿宋"/>
          <w:color w:val="000000"/>
          <w:sz w:val="32"/>
          <w:szCs w:val="32"/>
          <w:shd w:val="pct10" w:color="auto" w:fill="FFFFFF"/>
        </w:rPr>
        <w:pict>
          <v:shape id="Object 7" o:spid="_x0000_s1031" o:spt="75" type="#_x0000_t75" style="position:absolute;left:0pt;margin-left:42.1pt;margin-top:4.55pt;height:166.3pt;width:274.55pt;mso-wrap-distance-bottom:0pt;mso-wrap-distance-top:0pt;z-index:251661312;mso-width-relative:page;mso-height-relative:page;" o:ole="t" filled="f" o:preferrelative="t" stroked="f" coordsize="21600,21600">
            <v:path/>
            <v:fill on="f" focussize="0,0"/>
            <v:stroke on="f" joinstyle="miter"/>
            <v:imagedata r:id="rId11" o:title=""/>
            <o:lock v:ext="edit" aspectratio="t"/>
            <w10:wrap type="topAndBottom"/>
          </v:shape>
          <o:OLEObject Type="Embed" ProgID="Excel.Chart.8" ShapeID="Object 7" DrawAspect="Content" ObjectID="_1468075727" r:id="rId10">
            <o:LockedField>false</o:LockedField>
          </o:OLEObject>
        </w:pict>
      </w: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bookmarkStart w:id="37" w:name="_Toc25538"/>
      <w:bookmarkStart w:id="38" w:name="_Toc15377208"/>
      <w:bookmarkStart w:id="39" w:name="_Toc15396606"/>
    </w:p>
    <w:p w14:paraId="2AAC47F1">
      <w:pPr>
        <w:pStyle w:val="4"/>
        <w:snapToGrid w:val="0"/>
        <w:spacing w:before="0" w:after="0" w:line="576" w:lineRule="exact"/>
        <w:ind w:firstLine="640" w:firstLineChars="200"/>
        <w:rPr>
          <w:rFonts w:ascii="黑体" w:hAnsi="黑体" w:eastAsia="黑体" w:cs="黑体"/>
          <w:b w:val="0"/>
        </w:rPr>
      </w:pPr>
      <w:r>
        <w:rPr>
          <w:rFonts w:ascii="黑体" w:hAnsi="黑体" w:eastAsia="黑体" w:cs="黑体"/>
          <w:b w:val="0"/>
        </w:rPr>
        <w:t>四、财政拨款收入支出决算总体情况说明</w:t>
      </w:r>
      <w:bookmarkEnd w:id="37"/>
      <w:bookmarkEnd w:id="38"/>
      <w:bookmarkEnd w:id="39"/>
    </w:p>
    <w:p w14:paraId="7633E763">
      <w:pPr>
        <w:snapToGrid w:val="0"/>
        <w:spacing w:line="572" w:lineRule="exact"/>
        <w:ind w:firstLine="640" w:firstLineChars="200"/>
        <w:rPr>
          <w:rFonts w:ascii="仿宋" w:hAnsi="仿宋" w:eastAsia="仿宋"/>
          <w:color w:val="000000"/>
          <w:sz w:val="32"/>
          <w:szCs w:val="32"/>
        </w:rPr>
      </w:pPr>
      <w:r>
        <w:rPr>
          <w:rFonts w:eastAsia="仿宋_GB2312"/>
          <w:sz w:val="32"/>
          <w:szCs w:val="32"/>
        </w:rPr>
        <w:t>2021年财政拨款收、支总计</w:t>
      </w:r>
      <w:r>
        <w:rPr>
          <w:rFonts w:hint="eastAsia" w:eastAsia="仿宋_GB2312"/>
          <w:sz w:val="32"/>
          <w:szCs w:val="32"/>
        </w:rPr>
        <w:t>1791.89</w:t>
      </w:r>
      <w:r>
        <w:rPr>
          <w:rFonts w:eastAsia="仿宋_GB2312"/>
          <w:sz w:val="32"/>
          <w:szCs w:val="32"/>
        </w:rPr>
        <w:t>万元。与2020年相比，</w:t>
      </w:r>
      <w:r>
        <w:rPr>
          <w:rFonts w:hint="eastAsia" w:eastAsia="仿宋_GB2312"/>
          <w:sz w:val="32"/>
          <w:szCs w:val="32"/>
        </w:rPr>
        <w:t>增加7.22</w:t>
      </w:r>
      <w:r>
        <w:rPr>
          <w:rFonts w:eastAsia="仿宋_GB2312"/>
          <w:sz w:val="32"/>
          <w:szCs w:val="32"/>
        </w:rPr>
        <w:t>万元，</w:t>
      </w:r>
      <w:r>
        <w:rPr>
          <w:rFonts w:hint="eastAsia" w:eastAsia="仿宋_GB2312"/>
          <w:sz w:val="32"/>
          <w:szCs w:val="32"/>
        </w:rPr>
        <w:t>增长0.40%.</w:t>
      </w:r>
      <w:r>
        <w:rPr>
          <w:rFonts w:eastAsia="仿宋_GB2312"/>
          <w:sz w:val="32"/>
          <w:szCs w:val="32"/>
        </w:rPr>
        <w:t>主要变动原因</w:t>
      </w:r>
      <w:r>
        <w:rPr>
          <w:rFonts w:hint="eastAsia" w:eastAsia="仿宋_GB2312"/>
          <w:sz w:val="32"/>
          <w:szCs w:val="32"/>
        </w:rPr>
        <w:t>人员经费正常变动</w:t>
      </w:r>
      <w:r>
        <w:rPr>
          <w:rFonts w:eastAsia="仿宋_GB2312"/>
          <w:sz w:val="32"/>
          <w:szCs w:val="32"/>
        </w:rPr>
        <w:t>。</w:t>
      </w:r>
    </w:p>
    <w:p w14:paraId="100AFED4">
      <w:pPr>
        <w:pStyle w:val="4"/>
        <w:snapToGrid w:val="0"/>
        <w:spacing w:before="0" w:after="0" w:line="576" w:lineRule="exact"/>
        <w:ind w:firstLine="643" w:firstLineChars="200"/>
        <w:rPr>
          <w:rFonts w:ascii="黑体" w:hAnsi="黑体" w:eastAsia="黑体" w:cs="黑体"/>
          <w:b w:val="0"/>
        </w:rPr>
      </w:pPr>
      <w:bookmarkStart w:id="40" w:name="_Toc24441"/>
      <w:bookmarkStart w:id="41" w:name="_Toc15377209"/>
      <w:bookmarkStart w:id="42" w:name="_Toc15396607"/>
      <w:r>
        <w:rPr>
          <w:rFonts w:ascii="仿宋" w:hAnsi="仿宋" w:eastAsia="仿宋"/>
          <w:color w:val="000000"/>
        </w:rPr>
        <w:pict>
          <v:shape id="Object 6" o:spid="_x0000_s1033" o:spt="75" type="#_x0000_t75" style="position:absolute;left:0pt;margin-left:30pt;margin-top:4.95pt;height:102.65pt;width:382.2pt;mso-wrap-distance-left:9pt;mso-wrap-distance-right:9pt;z-index:-251654144;mso-width-relative:page;mso-height-relative:page;" o:ole="t" filled="f" o:preferrelative="t" stroked="f" coordsize="21600,21600" wrapcoords="21592 -2 0 0 0 21599 21592 21601 8 21601 21600 21599 21600 0 8 -2 21592 -2">
            <v:path/>
            <v:fill on="f" focussize="0,0"/>
            <v:stroke on="f" joinstyle="miter"/>
            <v:imagedata r:id="rId13" o:title=""/>
            <o:lock v:ext="edit" aspectratio="t"/>
            <w10:wrap type="tight"/>
          </v:shape>
          <o:OLEObject Type="Embed" ProgID="Excel.Chart.8" ShapeID="Object 6" DrawAspect="Content" ObjectID="_1468075728" r:id="rId12">
            <o:LockedField>false</o:LockedField>
          </o:OLEObject>
        </w:pict>
      </w:r>
    </w:p>
    <w:p w14:paraId="247CB061">
      <w:pPr>
        <w:pStyle w:val="4"/>
        <w:snapToGrid w:val="0"/>
        <w:spacing w:before="0" w:after="0" w:line="576" w:lineRule="exact"/>
        <w:ind w:firstLine="640" w:firstLineChars="200"/>
        <w:rPr>
          <w:rFonts w:ascii="黑体" w:hAnsi="黑体" w:eastAsia="黑体" w:cs="黑体"/>
          <w:b w:val="0"/>
        </w:rPr>
      </w:pPr>
    </w:p>
    <w:p w14:paraId="695662D8">
      <w:pPr>
        <w:pStyle w:val="4"/>
        <w:snapToGrid w:val="0"/>
        <w:spacing w:before="0" w:after="0" w:line="576" w:lineRule="exact"/>
        <w:ind w:firstLine="640" w:firstLineChars="200"/>
        <w:rPr>
          <w:rFonts w:ascii="黑体" w:hAnsi="黑体" w:eastAsia="黑体" w:cs="黑体"/>
          <w:b w:val="0"/>
        </w:rPr>
      </w:pPr>
    </w:p>
    <w:p w14:paraId="744FFB6A">
      <w:pPr>
        <w:pStyle w:val="4"/>
        <w:snapToGrid w:val="0"/>
        <w:spacing w:before="0" w:after="0" w:line="576" w:lineRule="exact"/>
        <w:rPr>
          <w:rFonts w:ascii="黑体" w:hAnsi="黑体" w:eastAsia="黑体" w:cs="黑体"/>
          <w:b w:val="0"/>
        </w:rPr>
      </w:pPr>
    </w:p>
    <w:p w14:paraId="631DE6E1">
      <w:pPr>
        <w:snapToGrid w:val="0"/>
        <w:spacing w:line="576" w:lineRule="exact"/>
        <w:ind w:firstLine="640" w:firstLineChars="200"/>
        <w:rPr>
          <w:rFonts w:eastAsia="仿宋_GB2312"/>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14:paraId="17A342A7">
      <w:pPr>
        <w:pStyle w:val="4"/>
        <w:snapToGrid w:val="0"/>
        <w:spacing w:before="0" w:after="0" w:line="576" w:lineRule="exact"/>
        <w:ind w:firstLine="640" w:firstLineChars="200"/>
        <w:rPr>
          <w:rFonts w:ascii="黑体" w:hAnsi="黑体" w:eastAsia="黑体" w:cs="黑体"/>
          <w:b w:val="0"/>
        </w:rPr>
      </w:pPr>
      <w:r>
        <w:rPr>
          <w:rFonts w:ascii="黑体" w:hAnsi="黑体" w:eastAsia="黑体" w:cs="黑体"/>
          <w:b w:val="0"/>
        </w:rPr>
        <w:t>五、一般公共决算财政拨款支出决算情况说明</w:t>
      </w:r>
      <w:bookmarkEnd w:id="40"/>
      <w:bookmarkEnd w:id="41"/>
      <w:bookmarkEnd w:id="42"/>
    </w:p>
    <w:p w14:paraId="36FCF33D">
      <w:pPr>
        <w:snapToGrid w:val="0"/>
        <w:spacing w:line="576" w:lineRule="exact"/>
        <w:ind w:firstLine="643" w:firstLineChars="200"/>
        <w:outlineLvl w:val="2"/>
        <w:rPr>
          <w:rFonts w:eastAsia="仿宋_GB2312"/>
          <w:b/>
          <w:sz w:val="32"/>
          <w:szCs w:val="32"/>
        </w:rPr>
      </w:pPr>
      <w:bookmarkStart w:id="43" w:name="_Toc15377210"/>
      <w:r>
        <w:rPr>
          <w:rFonts w:eastAsia="仿宋_GB2312"/>
          <w:b/>
          <w:sz w:val="32"/>
          <w:szCs w:val="32"/>
        </w:rPr>
        <w:t>（一）一般公共决算财政拨款支出决算总体情况</w:t>
      </w:r>
      <w:bookmarkEnd w:id="43"/>
    </w:p>
    <w:p w14:paraId="4B578E63">
      <w:pPr>
        <w:snapToGrid w:val="0"/>
        <w:spacing w:line="572" w:lineRule="exact"/>
        <w:ind w:firstLine="640" w:firstLineChars="200"/>
        <w:rPr>
          <w:sz w:val="32"/>
          <w:szCs w:val="32"/>
        </w:rPr>
      </w:pPr>
      <w:r>
        <w:rPr>
          <w:rFonts w:eastAsia="仿宋_GB2312"/>
          <w:sz w:val="32"/>
          <w:szCs w:val="32"/>
        </w:rPr>
        <w:t>2021年一般公共决算财政拨款支出</w:t>
      </w:r>
      <w:r>
        <w:rPr>
          <w:rFonts w:hint="eastAsia" w:eastAsia="仿宋_GB2312"/>
          <w:sz w:val="32"/>
          <w:szCs w:val="32"/>
        </w:rPr>
        <w:t>1791.89</w:t>
      </w:r>
      <w:r>
        <w:rPr>
          <w:rFonts w:eastAsia="仿宋_GB2312"/>
          <w:sz w:val="32"/>
          <w:szCs w:val="32"/>
        </w:rPr>
        <w:t>万元，占本年支出合计的100%。与2020年相比，一般公共决算财政拨款支出</w:t>
      </w:r>
      <w:r>
        <w:rPr>
          <w:rFonts w:hint="eastAsia" w:eastAsia="仿宋_GB2312"/>
          <w:sz w:val="32"/>
          <w:szCs w:val="32"/>
        </w:rPr>
        <w:t>增加7.22</w:t>
      </w:r>
      <w:r>
        <w:rPr>
          <w:rFonts w:eastAsia="仿宋_GB2312"/>
          <w:sz w:val="32"/>
          <w:szCs w:val="32"/>
        </w:rPr>
        <w:t>万元，</w:t>
      </w:r>
      <w:r>
        <w:rPr>
          <w:rFonts w:hint="eastAsia" w:eastAsia="仿宋_GB2312"/>
          <w:sz w:val="32"/>
          <w:szCs w:val="32"/>
        </w:rPr>
        <w:t>增长0.40%.</w:t>
      </w:r>
      <w:r>
        <w:rPr>
          <w:rFonts w:eastAsia="仿宋_GB2312"/>
          <w:sz w:val="32"/>
          <w:szCs w:val="32"/>
        </w:rPr>
        <w:t>主要变动原因</w:t>
      </w:r>
      <w:r>
        <w:rPr>
          <w:rFonts w:hint="eastAsia" w:eastAsia="仿宋_GB2312"/>
          <w:sz w:val="32"/>
          <w:szCs w:val="32"/>
        </w:rPr>
        <w:t>人员经费正常变动</w:t>
      </w:r>
    </w:p>
    <w:p w14:paraId="79B203D6">
      <w:pPr>
        <w:pStyle w:val="6"/>
        <w:spacing w:before="93"/>
        <w:rPr>
          <w:rFonts w:ascii="Times New Roman"/>
          <w:sz w:val="32"/>
          <w:szCs w:val="32"/>
        </w:rPr>
      </w:pPr>
      <w:r>
        <w:rPr>
          <w:rFonts w:ascii="仿宋" w:hAnsi="仿宋" w:eastAsia="仿宋"/>
          <w:color w:val="000000"/>
          <w:sz w:val="32"/>
          <w:szCs w:val="32"/>
        </w:rPr>
        <w:pict>
          <v:shape id="Object 10" o:spid="_x0000_s1034" o:spt="75" type="#_x0000_t75" style="position:absolute;left:0pt;margin-left:17.9pt;margin-top:9.6pt;height:151.7pt;width:373.35pt;mso-wrap-distance-left:9pt;mso-wrap-distance-right:9pt;z-index:-251653120;mso-width-relative:page;mso-height-relative:page;" o:ole="t" filled="f" o:preferrelative="t" stroked="f" coordsize="21600,21600" wrapcoords="21592 -2 0 0 0 21600 21592 21602 8 21602 21600 21600 21600 0 8 -2 21592 -2">
            <v:path/>
            <v:fill on="f" focussize="0,0"/>
            <v:stroke on="f" joinstyle="miter"/>
            <v:imagedata r:id="rId15" o:title=""/>
            <o:lock v:ext="edit" aspectratio="t"/>
            <w10:wrap type="tight"/>
          </v:shape>
          <o:OLEObject Type="Embed" ProgID="Excel.Chart.8" ShapeID="Object 10" DrawAspect="Content" ObjectID="_1468075729" r:id="rId14">
            <o:LockedField>false</o:LockedField>
          </o:OLEObject>
        </w:pict>
      </w:r>
    </w:p>
    <w:p w14:paraId="4D6EE613">
      <w:pPr>
        <w:pStyle w:val="6"/>
        <w:spacing w:before="93"/>
        <w:rPr>
          <w:rFonts w:ascii="Times New Roman"/>
          <w:sz w:val="32"/>
          <w:szCs w:val="32"/>
        </w:rPr>
      </w:pPr>
    </w:p>
    <w:p w14:paraId="10531DB3">
      <w:pPr>
        <w:spacing w:line="600" w:lineRule="exact"/>
        <w:rPr>
          <w:rFonts w:ascii="仿宋" w:hAnsi="仿宋" w:eastAsia="仿宋"/>
          <w:color w:val="000000"/>
          <w:sz w:val="32"/>
          <w:szCs w:val="32"/>
        </w:rPr>
      </w:pPr>
    </w:p>
    <w:p w14:paraId="44F09080">
      <w:pPr>
        <w:pStyle w:val="6"/>
        <w:spacing w:before="93"/>
      </w:pPr>
    </w:p>
    <w:p w14:paraId="1E44217D">
      <w:pPr>
        <w:spacing w:line="600" w:lineRule="exact"/>
        <w:rPr>
          <w:rFonts w:ascii="仿宋" w:hAnsi="仿宋" w:eastAsia="仿宋"/>
          <w:color w:val="000000"/>
          <w:sz w:val="32"/>
          <w:szCs w:val="32"/>
        </w:rPr>
      </w:pPr>
    </w:p>
    <w:p w14:paraId="469AE97C">
      <w:pPr>
        <w:spacing w:line="600" w:lineRule="exact"/>
        <w:rPr>
          <w:rFonts w:eastAsia="仿宋_GB2312"/>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p w14:paraId="66F90746">
      <w:pPr>
        <w:snapToGrid w:val="0"/>
        <w:spacing w:line="576" w:lineRule="exact"/>
        <w:ind w:firstLine="643" w:firstLineChars="200"/>
        <w:outlineLvl w:val="2"/>
        <w:rPr>
          <w:rFonts w:eastAsia="仿宋_GB2312"/>
          <w:b/>
          <w:sz w:val="32"/>
          <w:szCs w:val="32"/>
        </w:rPr>
      </w:pPr>
      <w:bookmarkStart w:id="44" w:name="_Toc15377211"/>
      <w:r>
        <w:rPr>
          <w:rFonts w:eastAsia="仿宋_GB2312"/>
          <w:b/>
          <w:sz w:val="32"/>
          <w:szCs w:val="32"/>
        </w:rPr>
        <w:t>（二）一般公共决算财政拨款支出决算结构情况</w:t>
      </w:r>
      <w:bookmarkEnd w:id="44"/>
    </w:p>
    <w:p w14:paraId="7CED0245">
      <w:pPr>
        <w:snapToGrid w:val="0"/>
        <w:spacing w:line="576" w:lineRule="exact"/>
        <w:ind w:firstLine="640" w:firstLineChars="200"/>
        <w:rPr>
          <w:rFonts w:eastAsia="仿宋_GB2312"/>
          <w:sz w:val="32"/>
          <w:szCs w:val="32"/>
        </w:rPr>
      </w:pPr>
      <w:r>
        <w:rPr>
          <w:rFonts w:eastAsia="仿宋_GB2312"/>
          <w:sz w:val="32"/>
          <w:szCs w:val="32"/>
        </w:rPr>
        <w:t>2021年一般公共决算财政拨款支出</w:t>
      </w:r>
      <w:r>
        <w:rPr>
          <w:rFonts w:hint="eastAsia" w:eastAsia="仿宋_GB2312"/>
          <w:sz w:val="32"/>
          <w:szCs w:val="32"/>
        </w:rPr>
        <w:t>1791.89</w:t>
      </w:r>
      <w:r>
        <w:rPr>
          <w:rFonts w:eastAsia="仿宋_GB2312"/>
          <w:sz w:val="32"/>
          <w:szCs w:val="32"/>
        </w:rPr>
        <w:t>万元，主要用于以下方面:</w:t>
      </w:r>
      <w:r>
        <w:rPr>
          <w:rFonts w:eastAsia="仿宋_GB2312"/>
          <w:b/>
          <w:sz w:val="32"/>
          <w:szCs w:val="32"/>
        </w:rPr>
        <w:t>一般公共服务</w:t>
      </w:r>
      <w:r>
        <w:rPr>
          <w:rFonts w:eastAsia="仿宋_GB2312"/>
          <w:sz w:val="32"/>
          <w:szCs w:val="32"/>
        </w:rPr>
        <w:t>支出</w:t>
      </w:r>
      <w:r>
        <w:rPr>
          <w:rFonts w:hint="eastAsia" w:eastAsia="仿宋_GB2312"/>
          <w:sz w:val="32"/>
          <w:szCs w:val="32"/>
        </w:rPr>
        <w:t>845.15</w:t>
      </w:r>
      <w:r>
        <w:rPr>
          <w:rFonts w:eastAsia="仿宋_GB2312"/>
          <w:sz w:val="32"/>
          <w:szCs w:val="32"/>
        </w:rPr>
        <w:t>万元，占</w:t>
      </w:r>
      <w:r>
        <w:rPr>
          <w:rFonts w:hint="eastAsia" w:eastAsia="仿宋_GB2312"/>
          <w:sz w:val="32"/>
          <w:szCs w:val="32"/>
        </w:rPr>
        <w:t>47.17</w:t>
      </w:r>
      <w:r>
        <w:rPr>
          <w:rFonts w:eastAsia="仿宋_GB2312"/>
          <w:sz w:val="32"/>
          <w:szCs w:val="32"/>
        </w:rPr>
        <w:t>%；</w:t>
      </w:r>
      <w:r>
        <w:rPr>
          <w:rFonts w:hint="eastAsia" w:eastAsia="仿宋_GB2312"/>
          <w:b/>
          <w:sz w:val="32"/>
          <w:szCs w:val="32"/>
        </w:rPr>
        <w:t>公共安全支出</w:t>
      </w:r>
      <w:r>
        <w:rPr>
          <w:rFonts w:hint="eastAsia" w:eastAsia="仿宋_GB2312"/>
          <w:sz w:val="32"/>
          <w:szCs w:val="32"/>
        </w:rPr>
        <w:t>6.89万元，</w:t>
      </w:r>
      <w:r>
        <w:rPr>
          <w:rFonts w:eastAsia="仿宋_GB2312"/>
          <w:sz w:val="32"/>
          <w:szCs w:val="32"/>
        </w:rPr>
        <w:t>占</w:t>
      </w:r>
      <w:r>
        <w:rPr>
          <w:rFonts w:hint="eastAsia" w:eastAsia="仿宋_GB2312"/>
          <w:sz w:val="32"/>
          <w:szCs w:val="32"/>
        </w:rPr>
        <w:t>0.39</w:t>
      </w:r>
      <w:r>
        <w:rPr>
          <w:rFonts w:eastAsia="仿宋_GB2312"/>
          <w:sz w:val="32"/>
          <w:szCs w:val="32"/>
        </w:rPr>
        <w:t>%</w:t>
      </w:r>
      <w:r>
        <w:rPr>
          <w:rFonts w:hint="eastAsia" w:eastAsia="仿宋_GB2312"/>
          <w:sz w:val="32"/>
          <w:szCs w:val="32"/>
        </w:rPr>
        <w:t>；</w:t>
      </w:r>
      <w:r>
        <w:rPr>
          <w:rFonts w:eastAsia="仿宋_GB2312"/>
          <w:b/>
          <w:sz w:val="32"/>
          <w:szCs w:val="32"/>
        </w:rPr>
        <w:t>社会保障和就业</w:t>
      </w:r>
      <w:r>
        <w:rPr>
          <w:rFonts w:eastAsia="仿宋_GB2312"/>
          <w:sz w:val="32"/>
          <w:szCs w:val="32"/>
        </w:rPr>
        <w:t>支出</w:t>
      </w:r>
      <w:r>
        <w:rPr>
          <w:rFonts w:hint="eastAsia" w:eastAsia="仿宋_GB2312"/>
          <w:sz w:val="32"/>
          <w:szCs w:val="32"/>
        </w:rPr>
        <w:t>105.48</w:t>
      </w:r>
      <w:r>
        <w:rPr>
          <w:rFonts w:eastAsia="仿宋_GB2312"/>
          <w:sz w:val="32"/>
          <w:szCs w:val="32"/>
        </w:rPr>
        <w:t>万元，占</w:t>
      </w:r>
      <w:r>
        <w:rPr>
          <w:rFonts w:hint="eastAsia" w:eastAsia="仿宋_GB2312"/>
          <w:sz w:val="32"/>
          <w:szCs w:val="32"/>
        </w:rPr>
        <w:t>5.89</w:t>
      </w:r>
      <w:r>
        <w:rPr>
          <w:rFonts w:eastAsia="仿宋_GB2312"/>
          <w:sz w:val="32"/>
          <w:szCs w:val="32"/>
        </w:rPr>
        <w:t>%；</w:t>
      </w:r>
      <w:r>
        <w:rPr>
          <w:rFonts w:eastAsia="仿宋_GB2312"/>
          <w:b/>
          <w:bCs/>
          <w:sz w:val="32"/>
          <w:szCs w:val="32"/>
        </w:rPr>
        <w:t>卫生健康支出</w:t>
      </w:r>
      <w:r>
        <w:rPr>
          <w:rFonts w:hint="eastAsia" w:eastAsia="仿宋_GB2312"/>
          <w:sz w:val="32"/>
          <w:szCs w:val="32"/>
        </w:rPr>
        <w:t>61.26</w:t>
      </w:r>
      <w:r>
        <w:rPr>
          <w:rFonts w:eastAsia="仿宋_GB2312"/>
          <w:sz w:val="32"/>
          <w:szCs w:val="32"/>
        </w:rPr>
        <w:t>万元，占</w:t>
      </w:r>
      <w:r>
        <w:rPr>
          <w:rFonts w:hint="eastAsia" w:eastAsia="仿宋_GB2312"/>
          <w:sz w:val="32"/>
          <w:szCs w:val="32"/>
        </w:rPr>
        <w:t>3.42</w:t>
      </w:r>
      <w:r>
        <w:rPr>
          <w:rFonts w:eastAsia="仿宋_GB2312"/>
          <w:sz w:val="32"/>
          <w:szCs w:val="32"/>
        </w:rPr>
        <w:t>%；</w:t>
      </w:r>
      <w:r>
        <w:rPr>
          <w:rFonts w:hint="eastAsia" w:eastAsia="仿宋_GB2312"/>
          <w:b/>
          <w:bCs/>
          <w:sz w:val="32"/>
          <w:szCs w:val="32"/>
        </w:rPr>
        <w:t>城乡社区</w:t>
      </w:r>
      <w:r>
        <w:rPr>
          <w:rFonts w:hint="eastAsia" w:eastAsia="仿宋_GB2312"/>
          <w:sz w:val="32"/>
          <w:szCs w:val="32"/>
        </w:rPr>
        <w:t>支出22.43万元，占1.25%；</w:t>
      </w:r>
      <w:r>
        <w:rPr>
          <w:rFonts w:eastAsia="仿宋_GB2312"/>
          <w:b/>
          <w:bCs/>
          <w:sz w:val="32"/>
          <w:szCs w:val="32"/>
        </w:rPr>
        <w:t>农林水支出</w:t>
      </w:r>
      <w:r>
        <w:rPr>
          <w:rFonts w:hint="eastAsia" w:eastAsia="仿宋_GB2312"/>
          <w:sz w:val="32"/>
          <w:szCs w:val="32"/>
        </w:rPr>
        <w:t>664.32</w:t>
      </w:r>
      <w:r>
        <w:rPr>
          <w:rFonts w:eastAsia="仿宋_GB2312"/>
          <w:sz w:val="32"/>
          <w:szCs w:val="32"/>
        </w:rPr>
        <w:t>万元，占</w:t>
      </w:r>
      <w:r>
        <w:rPr>
          <w:rFonts w:hint="eastAsia" w:eastAsia="仿宋_GB2312"/>
          <w:sz w:val="32"/>
          <w:szCs w:val="32"/>
        </w:rPr>
        <w:t>37.06</w:t>
      </w:r>
      <w:r>
        <w:rPr>
          <w:rFonts w:eastAsia="仿宋_GB2312"/>
          <w:sz w:val="32"/>
          <w:szCs w:val="32"/>
        </w:rPr>
        <w:t>%；</w:t>
      </w:r>
      <w:r>
        <w:rPr>
          <w:rFonts w:eastAsia="仿宋_GB2312"/>
          <w:b/>
          <w:bCs/>
          <w:sz w:val="32"/>
          <w:szCs w:val="32"/>
        </w:rPr>
        <w:t>住房保障</w:t>
      </w:r>
      <w:r>
        <w:rPr>
          <w:rFonts w:eastAsia="仿宋_GB2312"/>
          <w:sz w:val="32"/>
          <w:szCs w:val="32"/>
        </w:rPr>
        <w:t>支出</w:t>
      </w:r>
      <w:r>
        <w:rPr>
          <w:rFonts w:hint="eastAsia" w:eastAsia="仿宋_GB2312"/>
          <w:sz w:val="32"/>
          <w:szCs w:val="32"/>
        </w:rPr>
        <w:t>86.35</w:t>
      </w:r>
      <w:r>
        <w:rPr>
          <w:rFonts w:eastAsia="仿宋_GB2312"/>
          <w:sz w:val="32"/>
          <w:szCs w:val="32"/>
        </w:rPr>
        <w:t>万元，占</w:t>
      </w:r>
      <w:r>
        <w:rPr>
          <w:rFonts w:hint="eastAsia" w:eastAsia="仿宋_GB2312"/>
          <w:sz w:val="32"/>
          <w:szCs w:val="32"/>
        </w:rPr>
        <w:t>4.82</w:t>
      </w:r>
      <w:r>
        <w:rPr>
          <w:rFonts w:eastAsia="仿宋_GB2312"/>
          <w:sz w:val="32"/>
          <w:szCs w:val="32"/>
        </w:rPr>
        <w:t>%。</w:t>
      </w:r>
    </w:p>
    <w:p w14:paraId="0F872B1F">
      <w:pPr>
        <w:pStyle w:val="6"/>
        <w:spacing w:before="93"/>
        <w:rPr>
          <w:rFonts w:ascii="Times New Roman"/>
          <w:sz w:val="32"/>
          <w:szCs w:val="32"/>
        </w:rPr>
      </w:pPr>
      <w:r>
        <w:rPr>
          <w:rFonts w:ascii="仿宋" w:hAnsi="仿宋" w:eastAsia="仿宋"/>
          <w:color w:val="000000"/>
          <w:sz w:val="32"/>
          <w:szCs w:val="32"/>
        </w:rPr>
        <w:pict>
          <v:shape id="Object 11" o:spid="_x0000_s1039" o:spt="75" type="#_x0000_t75" style="position:absolute;left:0pt;margin-left:9.1pt;margin-top:5.45pt;height:161.25pt;width:406.3pt;mso-wrap-distance-left:9pt;mso-wrap-distance-right:9pt;z-index:-251651072;mso-width-relative:page;mso-height-relative:page;" o:ole="t" filled="f" o:preferrelative="t" stroked="f" coordsize="21600,21600" wrapcoords="21592 -2 0 0 0 21600 21592 21602 8 21602 21600 21600 21600 0 8 -2 21592 -2">
            <v:path/>
            <v:fill on="f" focussize="0,0"/>
            <v:stroke on="f" joinstyle="miter"/>
            <v:imagedata r:id="rId17" o:title=""/>
            <o:lock v:ext="edit" aspectratio="t"/>
            <w10:wrap type="tight"/>
          </v:shape>
          <o:OLEObject Type="Embed" ProgID="Excel.Chart.8" ShapeID="Object 11" DrawAspect="Content" ObjectID="_1468075730" r:id="rId16">
            <o:LockedField>false</o:LockedField>
          </o:OLEObject>
        </w:pict>
      </w:r>
    </w:p>
    <w:p w14:paraId="57D643EE">
      <w:pPr>
        <w:pStyle w:val="6"/>
        <w:spacing w:before="93"/>
        <w:rPr>
          <w:rFonts w:ascii="Times New Roman"/>
          <w:sz w:val="32"/>
          <w:szCs w:val="32"/>
        </w:rPr>
      </w:pPr>
    </w:p>
    <w:p w14:paraId="7B974314">
      <w:pPr>
        <w:pStyle w:val="6"/>
        <w:spacing w:before="93"/>
        <w:rPr>
          <w:rFonts w:ascii="Times New Roman"/>
          <w:sz w:val="32"/>
          <w:szCs w:val="32"/>
        </w:rPr>
      </w:pPr>
    </w:p>
    <w:p w14:paraId="1BA4EC0F">
      <w:pPr>
        <w:pStyle w:val="6"/>
        <w:spacing w:before="93"/>
        <w:rPr>
          <w:rFonts w:ascii="Times New Roman"/>
          <w:sz w:val="32"/>
          <w:szCs w:val="32"/>
        </w:rPr>
      </w:pPr>
    </w:p>
    <w:p w14:paraId="35A4085B">
      <w:pPr>
        <w:spacing w:line="600" w:lineRule="exact"/>
        <w:ind w:firstLine="640" w:firstLineChars="200"/>
        <w:rPr>
          <w:rFonts w:eastAsia="仿宋_GB2312"/>
          <w:b/>
          <w:sz w:val="32"/>
          <w:szCs w:val="32"/>
        </w:rPr>
      </w:pPr>
      <w:bookmarkStart w:id="45" w:name="_Toc15377212"/>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14:paraId="37A111BF">
      <w:pPr>
        <w:snapToGrid w:val="0"/>
        <w:spacing w:line="576" w:lineRule="exact"/>
        <w:ind w:firstLine="643" w:firstLineChars="200"/>
        <w:outlineLvl w:val="2"/>
        <w:rPr>
          <w:rFonts w:eastAsia="仿宋_GB2312"/>
          <w:b/>
          <w:sz w:val="32"/>
          <w:szCs w:val="32"/>
        </w:rPr>
      </w:pPr>
      <w:r>
        <w:rPr>
          <w:rFonts w:eastAsia="仿宋_GB2312"/>
          <w:b/>
          <w:sz w:val="32"/>
          <w:szCs w:val="32"/>
        </w:rPr>
        <w:t>（三）一般公共决算财政拨款支出决算具体情况</w:t>
      </w:r>
      <w:bookmarkEnd w:id="45"/>
    </w:p>
    <w:p w14:paraId="7DA35BB4">
      <w:pPr>
        <w:snapToGrid w:val="0"/>
        <w:spacing w:line="576" w:lineRule="exact"/>
        <w:ind w:firstLine="640" w:firstLineChars="200"/>
        <w:rPr>
          <w:rFonts w:eastAsia="仿宋_GB2312"/>
          <w:sz w:val="32"/>
          <w:szCs w:val="32"/>
        </w:rPr>
      </w:pPr>
      <w:bookmarkStart w:id="46" w:name="_Toc15377213"/>
      <w:bookmarkStart w:id="47" w:name="_Toc15377444"/>
      <w:bookmarkStart w:id="48" w:name="_Toc15378460"/>
      <w:r>
        <w:rPr>
          <w:rFonts w:eastAsia="仿宋_GB2312"/>
          <w:sz w:val="32"/>
          <w:szCs w:val="32"/>
        </w:rPr>
        <w:t>2021年一般公共决算支出决算数为552.82万元，完成预算100%。其中：</w:t>
      </w:r>
      <w:bookmarkEnd w:id="46"/>
      <w:bookmarkEnd w:id="47"/>
      <w:bookmarkEnd w:id="48"/>
    </w:p>
    <w:p w14:paraId="797677B1">
      <w:pPr>
        <w:snapToGrid w:val="0"/>
        <w:spacing w:line="576" w:lineRule="exact"/>
        <w:ind w:firstLine="640" w:firstLineChars="200"/>
        <w:rPr>
          <w:rFonts w:eastAsia="仿宋_GB2312"/>
          <w:sz w:val="32"/>
          <w:szCs w:val="32"/>
        </w:rPr>
      </w:pPr>
      <w:r>
        <w:rPr>
          <w:rFonts w:eastAsia="仿宋_GB2312"/>
          <w:sz w:val="32"/>
          <w:szCs w:val="32"/>
        </w:rPr>
        <w:t>1、一般公共服务（类）人大事务（款）行政运行（项）2021年决算数为</w:t>
      </w:r>
      <w:r>
        <w:rPr>
          <w:rFonts w:hint="eastAsia" w:eastAsia="仿宋_GB2312"/>
          <w:sz w:val="32"/>
          <w:szCs w:val="32"/>
        </w:rPr>
        <w:t>22.35</w:t>
      </w:r>
      <w:r>
        <w:rPr>
          <w:rFonts w:eastAsia="仿宋_GB2312"/>
          <w:sz w:val="32"/>
          <w:szCs w:val="32"/>
        </w:rPr>
        <w:t>万元，主要用于：人大的基本支出，包括基本工资、津贴补贴等人员经费以及办公费、印刷费、水电费等日常公用经费,保障部门正常运转。      </w:t>
      </w:r>
    </w:p>
    <w:p w14:paraId="4613773A">
      <w:pPr>
        <w:snapToGrid w:val="0"/>
        <w:spacing w:line="576" w:lineRule="exact"/>
        <w:ind w:firstLine="640" w:firstLineChars="200"/>
        <w:rPr>
          <w:rFonts w:eastAsia="仿宋_GB2312"/>
          <w:sz w:val="32"/>
          <w:szCs w:val="32"/>
        </w:rPr>
      </w:pPr>
      <w:r>
        <w:rPr>
          <w:rFonts w:eastAsia="仿宋_GB2312"/>
          <w:sz w:val="32"/>
          <w:szCs w:val="32"/>
        </w:rPr>
        <w:t>2、一般公共服务（类）政府办公厅（室）及相关机构事务（款）行政运行（项）2021年决算数为</w:t>
      </w:r>
      <w:r>
        <w:rPr>
          <w:rFonts w:hint="eastAsia" w:eastAsia="仿宋_GB2312"/>
          <w:sz w:val="32"/>
          <w:szCs w:val="32"/>
        </w:rPr>
        <w:t>753.31</w:t>
      </w:r>
      <w:r>
        <w:rPr>
          <w:rFonts w:eastAsia="仿宋_GB2312"/>
          <w:sz w:val="32"/>
          <w:szCs w:val="32"/>
        </w:rPr>
        <w:t>万元，主要用于：</w:t>
      </w:r>
      <w:r>
        <w:rPr>
          <w:rFonts w:hint="eastAsia" w:eastAsia="仿宋_GB2312"/>
          <w:sz w:val="32"/>
          <w:szCs w:val="32"/>
          <w:lang w:eastAsia="zh-CN"/>
        </w:rPr>
        <w:t>镇政府办公室</w:t>
      </w:r>
      <w:r>
        <w:rPr>
          <w:rFonts w:eastAsia="仿宋_GB2312"/>
          <w:sz w:val="32"/>
          <w:szCs w:val="32"/>
        </w:rPr>
        <w:t>及相关机构正常运转的基本支出，包括基本工资、津贴补贴等人员经费以及办公费、印刷费、水电费等日常公用经费,保障部门正常运转。</w:t>
      </w:r>
    </w:p>
    <w:p w14:paraId="5E970CD1">
      <w:pPr>
        <w:snapToGrid w:val="0"/>
        <w:spacing w:line="576" w:lineRule="exact"/>
        <w:ind w:firstLine="640" w:firstLineChars="200"/>
        <w:rPr>
          <w:rFonts w:eastAsia="仿宋_GB2312"/>
          <w:sz w:val="32"/>
          <w:szCs w:val="32"/>
        </w:rPr>
      </w:pPr>
      <w:r>
        <w:rPr>
          <w:rFonts w:eastAsia="仿宋_GB2312"/>
          <w:sz w:val="32"/>
          <w:szCs w:val="32"/>
        </w:rPr>
        <w:t>3、一般公共服务（类）财政事务(款)行政运行(项)2021年决算数为</w:t>
      </w:r>
      <w:r>
        <w:rPr>
          <w:rFonts w:hint="eastAsia" w:eastAsia="仿宋_GB2312"/>
          <w:sz w:val="32"/>
          <w:szCs w:val="32"/>
        </w:rPr>
        <w:t>5.31</w:t>
      </w:r>
      <w:r>
        <w:rPr>
          <w:rFonts w:eastAsia="仿宋_GB2312"/>
          <w:sz w:val="32"/>
          <w:szCs w:val="32"/>
        </w:rPr>
        <w:t>万元，主要用于财政基本支出，包括基本工资、津贴补贴等人员经费以及办公费、印刷费、水电费等日常公用经费,保障部门正常运转。</w:t>
      </w:r>
    </w:p>
    <w:p w14:paraId="22CD08C9">
      <w:pPr>
        <w:snapToGrid w:val="0"/>
        <w:spacing w:line="576" w:lineRule="exact"/>
        <w:ind w:firstLine="640" w:firstLineChars="200"/>
        <w:rPr>
          <w:rFonts w:eastAsia="仿宋_GB2312"/>
          <w:sz w:val="32"/>
          <w:szCs w:val="32"/>
        </w:rPr>
      </w:pPr>
      <w:r>
        <w:rPr>
          <w:rFonts w:eastAsia="仿宋_GB2312"/>
          <w:sz w:val="32"/>
          <w:szCs w:val="32"/>
        </w:rPr>
        <w:t>4、一般公共服务（类）纪检监察事务（款）行政运行（项）2021年决算数为</w:t>
      </w:r>
      <w:r>
        <w:rPr>
          <w:rFonts w:hint="eastAsia" w:eastAsia="仿宋_GB2312"/>
          <w:sz w:val="32"/>
          <w:szCs w:val="32"/>
        </w:rPr>
        <w:t>14.49</w:t>
      </w:r>
      <w:r>
        <w:rPr>
          <w:rFonts w:eastAsia="仿宋_GB2312"/>
          <w:sz w:val="32"/>
          <w:szCs w:val="32"/>
        </w:rPr>
        <w:t>万元，主要用于纪律检查、党风廉政建设工作等支出。</w:t>
      </w:r>
    </w:p>
    <w:p w14:paraId="33A56C5A">
      <w:pPr>
        <w:snapToGrid w:val="0"/>
        <w:spacing w:line="576"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、一般公共服务（类）党委办公厅（室）及相关机构事务（款）行政运行（项）2021年决算数为</w:t>
      </w:r>
      <w:r>
        <w:rPr>
          <w:rFonts w:hint="eastAsia" w:eastAsia="仿宋_GB2312"/>
          <w:sz w:val="32"/>
          <w:szCs w:val="32"/>
        </w:rPr>
        <w:t>35.87</w:t>
      </w:r>
      <w:r>
        <w:rPr>
          <w:rFonts w:eastAsia="仿宋_GB2312"/>
          <w:sz w:val="32"/>
          <w:szCs w:val="32"/>
        </w:rPr>
        <w:t>万元，主要用于党委办公厅（室）的基本支出，包括基本工资、津贴补贴等人员经费以及办公费、印刷费、水电费等日常公用经费,保障部门正常运转。</w:t>
      </w:r>
    </w:p>
    <w:p w14:paraId="497C2E2E">
      <w:pPr>
        <w:snapToGrid w:val="0"/>
        <w:spacing w:line="576" w:lineRule="exact"/>
        <w:ind w:firstLine="640" w:firstLineChars="200"/>
      </w:pPr>
      <w:r>
        <w:rPr>
          <w:rFonts w:eastAsia="仿宋_GB2312"/>
          <w:sz w:val="32"/>
          <w:szCs w:val="32"/>
        </w:rPr>
        <w:t> </w:t>
      </w:r>
      <w:r>
        <w:rPr>
          <w:rFonts w:hint="eastAsia" w:eastAsia="仿宋_GB2312"/>
          <w:sz w:val="32"/>
          <w:szCs w:val="32"/>
        </w:rPr>
        <w:t>6</w:t>
      </w:r>
      <w:r>
        <w:rPr>
          <w:rFonts w:eastAsia="仿宋_GB2312"/>
          <w:sz w:val="32"/>
          <w:szCs w:val="32"/>
        </w:rPr>
        <w:t>、一般公共服务（类）</w:t>
      </w:r>
      <w:r>
        <w:rPr>
          <w:rFonts w:hint="eastAsia" w:eastAsia="仿宋_GB2312"/>
          <w:sz w:val="32"/>
          <w:szCs w:val="32"/>
        </w:rPr>
        <w:t>宣传</w:t>
      </w:r>
      <w:r>
        <w:rPr>
          <w:rFonts w:eastAsia="仿宋_GB2312"/>
          <w:sz w:val="32"/>
          <w:szCs w:val="32"/>
        </w:rPr>
        <w:t>事务（款）行政运行（项）2021年决算数为</w:t>
      </w:r>
      <w:r>
        <w:rPr>
          <w:rFonts w:hint="eastAsia" w:eastAsia="仿宋_GB2312"/>
          <w:sz w:val="32"/>
          <w:szCs w:val="32"/>
        </w:rPr>
        <w:t xml:space="preserve"> 7.65</w:t>
      </w:r>
      <w:r>
        <w:rPr>
          <w:rFonts w:eastAsia="仿宋_GB2312"/>
          <w:sz w:val="32"/>
          <w:szCs w:val="32"/>
        </w:rPr>
        <w:t>万元，主要用于</w:t>
      </w:r>
      <w:r>
        <w:rPr>
          <w:rFonts w:hint="eastAsia" w:eastAsia="仿宋_GB2312"/>
          <w:sz w:val="32"/>
          <w:szCs w:val="32"/>
        </w:rPr>
        <w:t>宣传</w:t>
      </w:r>
      <w:r>
        <w:rPr>
          <w:rFonts w:eastAsia="仿宋_GB2312"/>
          <w:sz w:val="32"/>
          <w:szCs w:val="32"/>
        </w:rPr>
        <w:t>事务工作等支出。</w:t>
      </w:r>
    </w:p>
    <w:p w14:paraId="5B55EC34">
      <w:pPr>
        <w:snapToGrid w:val="0"/>
        <w:spacing w:line="576" w:lineRule="exact"/>
        <w:ind w:firstLine="640" w:firstLineChars="200"/>
        <w:rPr>
          <w:rFonts w:eastAsia="仿宋_GB2312"/>
          <w:sz w:val="32"/>
          <w:szCs w:val="32"/>
        </w:rPr>
      </w:pPr>
      <w:r>
        <w:rPr>
          <w:rFonts w:hint="eastAsia" w:eastAsia="仿宋_GB2312"/>
          <w:sz w:val="32"/>
          <w:szCs w:val="32"/>
        </w:rPr>
        <w:t>7</w:t>
      </w:r>
      <w:r>
        <w:rPr>
          <w:rFonts w:eastAsia="仿宋_GB2312"/>
          <w:sz w:val="32"/>
          <w:szCs w:val="32"/>
        </w:rPr>
        <w:t>、一般公共服务（类）</w:t>
      </w:r>
      <w:r>
        <w:rPr>
          <w:rFonts w:hint="eastAsia" w:eastAsia="仿宋_GB2312"/>
          <w:sz w:val="32"/>
          <w:szCs w:val="32"/>
        </w:rPr>
        <w:t>统战</w:t>
      </w:r>
      <w:r>
        <w:rPr>
          <w:rFonts w:eastAsia="仿宋_GB2312"/>
          <w:sz w:val="32"/>
          <w:szCs w:val="32"/>
        </w:rPr>
        <w:t>事务（款）行政运行（项）2021年决算数为</w:t>
      </w:r>
      <w:r>
        <w:rPr>
          <w:rFonts w:hint="eastAsia" w:eastAsia="仿宋_GB2312"/>
          <w:sz w:val="32"/>
          <w:szCs w:val="32"/>
        </w:rPr>
        <w:t>6.17</w:t>
      </w:r>
      <w:r>
        <w:rPr>
          <w:rFonts w:eastAsia="仿宋_GB2312"/>
          <w:sz w:val="32"/>
          <w:szCs w:val="32"/>
        </w:rPr>
        <w:t>万元，主要用于</w:t>
      </w:r>
      <w:r>
        <w:rPr>
          <w:rFonts w:hint="eastAsia" w:eastAsia="仿宋_GB2312"/>
          <w:sz w:val="32"/>
          <w:szCs w:val="32"/>
        </w:rPr>
        <w:t>统战</w:t>
      </w:r>
      <w:r>
        <w:rPr>
          <w:rFonts w:eastAsia="仿宋_GB2312"/>
          <w:sz w:val="32"/>
          <w:szCs w:val="32"/>
        </w:rPr>
        <w:t>事务工作等支出。</w:t>
      </w:r>
    </w:p>
    <w:p w14:paraId="1569D7A6">
      <w:pPr>
        <w:snapToGrid w:val="0"/>
        <w:spacing w:line="576" w:lineRule="exact"/>
        <w:ind w:firstLine="640" w:firstLineChars="200"/>
        <w:rPr>
          <w:rFonts w:eastAsia="仿宋_GB2312"/>
          <w:sz w:val="32"/>
          <w:szCs w:val="32"/>
        </w:rPr>
      </w:pPr>
      <w:r>
        <w:rPr>
          <w:rFonts w:hint="eastAsia" w:eastAsia="仿宋_GB2312"/>
          <w:sz w:val="32"/>
          <w:szCs w:val="32"/>
        </w:rPr>
        <w:t>8</w:t>
      </w:r>
      <w:r>
        <w:rPr>
          <w:rFonts w:eastAsia="仿宋_GB2312"/>
          <w:sz w:val="32"/>
          <w:szCs w:val="32"/>
        </w:rPr>
        <w:t>、一般公共服务（类）</w:t>
      </w:r>
      <w:r>
        <w:rPr>
          <w:rFonts w:hint="eastAsia" w:eastAsia="仿宋_GB2312"/>
          <w:sz w:val="32"/>
          <w:szCs w:val="32"/>
        </w:rPr>
        <w:t>公共安全</w:t>
      </w:r>
      <w:r>
        <w:rPr>
          <w:rFonts w:eastAsia="仿宋_GB2312"/>
          <w:sz w:val="32"/>
          <w:szCs w:val="32"/>
        </w:rPr>
        <w:t>事务（款）行政运行（项）2021年决算数为</w:t>
      </w:r>
      <w:r>
        <w:rPr>
          <w:rFonts w:hint="eastAsia" w:eastAsia="仿宋_GB2312"/>
          <w:sz w:val="32"/>
          <w:szCs w:val="32"/>
        </w:rPr>
        <w:t>6.89</w:t>
      </w:r>
      <w:r>
        <w:rPr>
          <w:rFonts w:eastAsia="仿宋_GB2312"/>
          <w:sz w:val="32"/>
          <w:szCs w:val="32"/>
        </w:rPr>
        <w:t>万元，主要用于</w:t>
      </w:r>
      <w:r>
        <w:rPr>
          <w:rFonts w:hint="eastAsia" w:eastAsia="仿宋_GB2312"/>
          <w:sz w:val="32"/>
          <w:szCs w:val="32"/>
        </w:rPr>
        <w:t>统战</w:t>
      </w:r>
      <w:r>
        <w:rPr>
          <w:rFonts w:eastAsia="仿宋_GB2312"/>
          <w:sz w:val="32"/>
          <w:szCs w:val="32"/>
        </w:rPr>
        <w:t>事务工作等支出。</w:t>
      </w:r>
    </w:p>
    <w:p w14:paraId="3A042161">
      <w:pPr>
        <w:snapToGrid w:val="0"/>
        <w:spacing w:line="576" w:lineRule="exact"/>
        <w:ind w:firstLine="640" w:firstLineChars="200"/>
        <w:rPr>
          <w:rFonts w:eastAsia="仿宋_GB2312"/>
          <w:sz w:val="32"/>
          <w:szCs w:val="32"/>
        </w:rPr>
      </w:pPr>
      <w:r>
        <w:rPr>
          <w:rFonts w:hint="eastAsia" w:eastAsia="仿宋_GB2312"/>
          <w:sz w:val="32"/>
          <w:szCs w:val="32"/>
        </w:rPr>
        <w:t>9</w:t>
      </w:r>
      <w:r>
        <w:rPr>
          <w:rFonts w:eastAsia="仿宋_GB2312"/>
          <w:sz w:val="32"/>
          <w:szCs w:val="32"/>
        </w:rPr>
        <w:t>、社会保障和就业（类）人力资源和社会保障管理事务（款）</w:t>
      </w:r>
      <w:r>
        <w:rPr>
          <w:rFonts w:hint="eastAsia" w:eastAsia="仿宋_GB2312"/>
          <w:sz w:val="32"/>
          <w:szCs w:val="32"/>
        </w:rPr>
        <w:t>行政</w:t>
      </w:r>
      <w:r>
        <w:rPr>
          <w:rFonts w:eastAsia="仿宋_GB2312"/>
          <w:sz w:val="32"/>
          <w:szCs w:val="32"/>
        </w:rPr>
        <w:t>运行（项）2021年决算</w:t>
      </w:r>
      <w:r>
        <w:rPr>
          <w:rFonts w:hint="eastAsia" w:eastAsia="仿宋_GB2312"/>
          <w:sz w:val="32"/>
          <w:szCs w:val="32"/>
        </w:rPr>
        <w:t>11.24</w:t>
      </w:r>
      <w:r>
        <w:rPr>
          <w:rFonts w:eastAsia="仿宋_GB2312"/>
          <w:sz w:val="32"/>
          <w:szCs w:val="32"/>
        </w:rPr>
        <w:t>万元，主要用于社会保障部门的基本支出，包括基本工资、津贴补贴等人员经费以及办公费、印刷费、水电费等日常公用经费,保障部门正常运转。</w:t>
      </w:r>
    </w:p>
    <w:p w14:paraId="2B79A510">
      <w:pPr>
        <w:snapToGrid w:val="0"/>
        <w:spacing w:line="576" w:lineRule="exact"/>
        <w:ind w:firstLine="640" w:firstLineChars="200"/>
        <w:rPr>
          <w:rFonts w:eastAsia="仿宋_GB2312"/>
          <w:sz w:val="32"/>
          <w:szCs w:val="32"/>
        </w:rPr>
      </w:pPr>
      <w:r>
        <w:rPr>
          <w:rFonts w:hint="eastAsia" w:eastAsia="仿宋_GB2312"/>
          <w:sz w:val="32"/>
          <w:szCs w:val="32"/>
        </w:rPr>
        <w:t>10</w:t>
      </w:r>
      <w:r>
        <w:rPr>
          <w:rFonts w:eastAsia="仿宋_GB2312"/>
          <w:sz w:val="32"/>
          <w:szCs w:val="32"/>
        </w:rPr>
        <w:t>、社会保障和就业（类）人力资源和社会保障管理事务（款）</w:t>
      </w:r>
      <w:r>
        <w:rPr>
          <w:rFonts w:hint="eastAsia" w:eastAsia="仿宋_GB2312"/>
          <w:sz w:val="32"/>
          <w:szCs w:val="32"/>
        </w:rPr>
        <w:t>民政管理事务</w:t>
      </w:r>
      <w:r>
        <w:rPr>
          <w:rFonts w:eastAsia="仿宋_GB2312"/>
          <w:sz w:val="32"/>
          <w:szCs w:val="32"/>
        </w:rPr>
        <w:t>（项）2021年决算</w:t>
      </w:r>
      <w:r>
        <w:rPr>
          <w:rFonts w:hint="eastAsia" w:eastAsia="仿宋_GB2312"/>
          <w:sz w:val="32"/>
          <w:szCs w:val="32"/>
        </w:rPr>
        <w:t>5.72</w:t>
      </w:r>
      <w:r>
        <w:rPr>
          <w:rFonts w:eastAsia="仿宋_GB2312"/>
          <w:sz w:val="32"/>
          <w:szCs w:val="32"/>
        </w:rPr>
        <w:t>万元，主要用于</w:t>
      </w:r>
      <w:r>
        <w:rPr>
          <w:rFonts w:hint="eastAsia" w:eastAsia="仿宋_GB2312"/>
          <w:sz w:val="32"/>
          <w:szCs w:val="32"/>
        </w:rPr>
        <w:t>民政</w:t>
      </w:r>
      <w:r>
        <w:rPr>
          <w:rFonts w:eastAsia="仿宋_GB2312"/>
          <w:sz w:val="32"/>
          <w:szCs w:val="32"/>
        </w:rPr>
        <w:t>部门的基本支出，包括基本工资、津贴补贴等人员经费以及办公费、印刷费、水电费等日常公用经费,保障部门正常运转。</w:t>
      </w:r>
    </w:p>
    <w:p w14:paraId="6062F9EA">
      <w:pPr>
        <w:snapToGrid w:val="0"/>
        <w:spacing w:line="576" w:lineRule="exact"/>
        <w:ind w:firstLine="640" w:firstLineChars="200"/>
        <w:rPr>
          <w:rFonts w:eastAsia="仿宋_GB2312"/>
          <w:sz w:val="32"/>
          <w:szCs w:val="32"/>
        </w:rPr>
      </w:pPr>
      <w:r>
        <w:rPr>
          <w:rFonts w:hint="eastAsia" w:eastAsia="仿宋_GB2312"/>
          <w:sz w:val="32"/>
          <w:szCs w:val="32"/>
        </w:rPr>
        <w:t>11</w:t>
      </w:r>
      <w:r>
        <w:rPr>
          <w:rFonts w:eastAsia="仿宋_GB2312"/>
          <w:sz w:val="32"/>
          <w:szCs w:val="32"/>
        </w:rPr>
        <w:t>、社会保障和就业（类）行政事业单位养老支出（款）机关事业单位基本养老保险缴费支出（项）2021年决算数为</w:t>
      </w:r>
      <w:r>
        <w:rPr>
          <w:rFonts w:hint="eastAsia" w:eastAsia="仿宋_GB2312"/>
          <w:sz w:val="32"/>
          <w:szCs w:val="32"/>
        </w:rPr>
        <w:t>84.01</w:t>
      </w:r>
      <w:r>
        <w:rPr>
          <w:rFonts w:eastAsia="仿宋_GB2312"/>
          <w:sz w:val="32"/>
          <w:szCs w:val="32"/>
        </w:rPr>
        <w:t>万元，主要用于：实施养老保险制度由单位缴纳的基本养老保险支出。</w:t>
      </w:r>
    </w:p>
    <w:p w14:paraId="15CBE645">
      <w:pPr>
        <w:snapToGrid w:val="0"/>
        <w:spacing w:line="576" w:lineRule="exact"/>
        <w:ind w:firstLine="640" w:firstLineChars="200"/>
        <w:rPr>
          <w:rFonts w:eastAsia="仿宋_GB2312"/>
          <w:sz w:val="32"/>
          <w:szCs w:val="32"/>
        </w:rPr>
      </w:pPr>
      <w:r>
        <w:rPr>
          <w:rFonts w:hint="eastAsia" w:eastAsia="仿宋_GB2312"/>
          <w:sz w:val="32"/>
          <w:szCs w:val="32"/>
        </w:rPr>
        <w:t>12</w:t>
      </w:r>
      <w:r>
        <w:rPr>
          <w:rFonts w:eastAsia="仿宋_GB2312"/>
          <w:sz w:val="32"/>
          <w:szCs w:val="32"/>
        </w:rPr>
        <w:t>、社会保障和就业（类）</w:t>
      </w:r>
      <w:r>
        <w:rPr>
          <w:rFonts w:hint="eastAsia" w:eastAsia="仿宋_GB2312"/>
          <w:sz w:val="32"/>
          <w:szCs w:val="32"/>
        </w:rPr>
        <w:t>其他社会保障和就业</w:t>
      </w:r>
      <w:r>
        <w:rPr>
          <w:rFonts w:eastAsia="仿宋_GB2312"/>
          <w:sz w:val="32"/>
          <w:szCs w:val="32"/>
        </w:rPr>
        <w:t>支出支出（款）</w:t>
      </w:r>
      <w:r>
        <w:rPr>
          <w:rFonts w:hint="eastAsia" w:eastAsia="仿宋_GB2312"/>
          <w:sz w:val="32"/>
          <w:szCs w:val="32"/>
        </w:rPr>
        <w:t>其他社会保障和就业</w:t>
      </w:r>
      <w:r>
        <w:rPr>
          <w:rFonts w:eastAsia="仿宋_GB2312"/>
          <w:sz w:val="32"/>
          <w:szCs w:val="32"/>
        </w:rPr>
        <w:t>支出（项）2021年决算数为</w:t>
      </w:r>
      <w:r>
        <w:rPr>
          <w:rFonts w:hint="eastAsia" w:eastAsia="仿宋_GB2312"/>
          <w:sz w:val="32"/>
          <w:szCs w:val="32"/>
        </w:rPr>
        <w:t>4.51</w:t>
      </w:r>
      <w:r>
        <w:rPr>
          <w:rFonts w:eastAsia="仿宋_GB2312"/>
          <w:sz w:val="32"/>
          <w:szCs w:val="32"/>
        </w:rPr>
        <w:t>万元，主要用于</w:t>
      </w:r>
      <w:r>
        <w:rPr>
          <w:rFonts w:hint="eastAsia" w:eastAsia="仿宋_GB2312"/>
          <w:sz w:val="32"/>
          <w:szCs w:val="32"/>
        </w:rPr>
        <w:t>其他社会保障和就业</w:t>
      </w:r>
      <w:r>
        <w:rPr>
          <w:rFonts w:eastAsia="仿宋_GB2312"/>
          <w:sz w:val="32"/>
          <w:szCs w:val="32"/>
        </w:rPr>
        <w:t>支出支出。</w:t>
      </w:r>
    </w:p>
    <w:p w14:paraId="35975364">
      <w:pPr>
        <w:snapToGrid w:val="0"/>
        <w:spacing w:line="576" w:lineRule="exact"/>
        <w:ind w:firstLine="640" w:firstLineChars="200"/>
        <w:rPr>
          <w:rFonts w:eastAsia="仿宋_GB2312"/>
          <w:sz w:val="32"/>
          <w:szCs w:val="32"/>
        </w:rPr>
      </w:pPr>
      <w:r>
        <w:rPr>
          <w:rFonts w:hint="eastAsia" w:eastAsia="仿宋_GB2312"/>
          <w:sz w:val="32"/>
          <w:szCs w:val="32"/>
        </w:rPr>
        <w:t>13、</w:t>
      </w:r>
      <w:r>
        <w:rPr>
          <w:rFonts w:eastAsia="仿宋_GB2312"/>
          <w:sz w:val="32"/>
          <w:szCs w:val="32"/>
        </w:rPr>
        <w:t>卫生健康（类）</w:t>
      </w:r>
      <w:r>
        <w:rPr>
          <w:rFonts w:hint="eastAsia" w:eastAsia="仿宋_GB2312"/>
          <w:sz w:val="32"/>
          <w:szCs w:val="32"/>
        </w:rPr>
        <w:t>卫生健康管理事务</w:t>
      </w:r>
      <w:r>
        <w:rPr>
          <w:rFonts w:eastAsia="仿宋_GB2312"/>
          <w:sz w:val="32"/>
          <w:szCs w:val="32"/>
        </w:rPr>
        <w:t>（款）</w:t>
      </w:r>
      <w:r>
        <w:rPr>
          <w:rFonts w:hint="eastAsia" w:eastAsia="仿宋_GB2312"/>
          <w:sz w:val="32"/>
          <w:szCs w:val="32"/>
        </w:rPr>
        <w:t>行政运行</w:t>
      </w:r>
      <w:r>
        <w:rPr>
          <w:rFonts w:eastAsia="仿宋_GB2312"/>
          <w:sz w:val="32"/>
          <w:szCs w:val="32"/>
        </w:rPr>
        <w:t>（项）2021年决算数为</w:t>
      </w:r>
      <w:r>
        <w:rPr>
          <w:rFonts w:hint="eastAsia" w:eastAsia="仿宋_GB2312"/>
          <w:sz w:val="32"/>
          <w:szCs w:val="32"/>
        </w:rPr>
        <w:t>15.07</w:t>
      </w:r>
      <w:r>
        <w:rPr>
          <w:rFonts w:eastAsia="仿宋_GB2312"/>
          <w:sz w:val="32"/>
          <w:szCs w:val="32"/>
        </w:rPr>
        <w:t>万元，主要用于：</w:t>
      </w:r>
      <w:r>
        <w:rPr>
          <w:rFonts w:hint="eastAsia" w:eastAsia="仿宋_GB2312"/>
          <w:sz w:val="32"/>
          <w:szCs w:val="32"/>
        </w:rPr>
        <w:t>卫生健康管理事务行政运行</w:t>
      </w:r>
      <w:r>
        <w:rPr>
          <w:rFonts w:eastAsia="仿宋_GB2312"/>
          <w:sz w:val="32"/>
          <w:szCs w:val="32"/>
        </w:rPr>
        <w:t>。</w:t>
      </w:r>
    </w:p>
    <w:p w14:paraId="1E4225E4">
      <w:pPr>
        <w:snapToGrid w:val="0"/>
        <w:spacing w:line="576" w:lineRule="exact"/>
        <w:ind w:firstLine="640" w:firstLineChars="200"/>
        <w:rPr>
          <w:rFonts w:eastAsia="仿宋_GB2312"/>
          <w:sz w:val="32"/>
          <w:szCs w:val="32"/>
        </w:rPr>
      </w:pPr>
      <w:r>
        <w:rPr>
          <w:rFonts w:hint="eastAsia" w:eastAsia="仿宋_GB2312"/>
          <w:sz w:val="32"/>
          <w:szCs w:val="32"/>
        </w:rPr>
        <w:t>14、</w:t>
      </w:r>
      <w:r>
        <w:rPr>
          <w:rFonts w:eastAsia="仿宋_GB2312"/>
          <w:sz w:val="32"/>
          <w:szCs w:val="32"/>
        </w:rPr>
        <w:t>卫生健康（类）行政事业单位医疗（款）行政单位医疗（项）2021年决算数为</w:t>
      </w:r>
      <w:r>
        <w:rPr>
          <w:rFonts w:hint="eastAsia" w:eastAsia="仿宋_GB2312"/>
          <w:sz w:val="32"/>
          <w:szCs w:val="32"/>
        </w:rPr>
        <w:t>20.16</w:t>
      </w:r>
      <w:r>
        <w:rPr>
          <w:rFonts w:eastAsia="仿宋_GB2312"/>
          <w:sz w:val="32"/>
          <w:szCs w:val="32"/>
        </w:rPr>
        <w:t>万元，主要用于：机关及参公管理事业单位按规定由单位缴纳的基本医疗保险支出部门下属事业单位按规定由单位缴纳的基本医疗保险支出。</w:t>
      </w:r>
    </w:p>
    <w:p w14:paraId="6352804C">
      <w:pPr>
        <w:snapToGrid w:val="0"/>
        <w:spacing w:line="576" w:lineRule="exact"/>
        <w:ind w:firstLine="640" w:firstLineChars="200"/>
        <w:rPr>
          <w:rFonts w:eastAsia="仿宋_GB2312"/>
          <w:sz w:val="32"/>
          <w:szCs w:val="32"/>
        </w:rPr>
      </w:pPr>
      <w:r>
        <w:rPr>
          <w:rFonts w:hint="eastAsia" w:eastAsia="仿宋_GB2312"/>
          <w:sz w:val="32"/>
          <w:szCs w:val="32"/>
        </w:rPr>
        <w:t>15、</w:t>
      </w:r>
      <w:r>
        <w:rPr>
          <w:rFonts w:eastAsia="仿宋_GB2312"/>
          <w:sz w:val="32"/>
          <w:szCs w:val="32"/>
        </w:rPr>
        <w:t>卫生健康（类）行政事业单位医疗（款）</w:t>
      </w:r>
      <w:r>
        <w:rPr>
          <w:rFonts w:hint="eastAsia" w:eastAsia="仿宋_GB2312"/>
          <w:sz w:val="32"/>
          <w:szCs w:val="32"/>
        </w:rPr>
        <w:t>事业</w:t>
      </w:r>
      <w:r>
        <w:rPr>
          <w:rFonts w:eastAsia="仿宋_GB2312"/>
          <w:sz w:val="32"/>
          <w:szCs w:val="32"/>
        </w:rPr>
        <w:t>单位医疗（项）2021年决算数为</w:t>
      </w:r>
      <w:r>
        <w:rPr>
          <w:rFonts w:hint="eastAsia" w:eastAsia="仿宋_GB2312"/>
          <w:sz w:val="32"/>
          <w:szCs w:val="32"/>
        </w:rPr>
        <w:t>26.03</w:t>
      </w:r>
      <w:r>
        <w:rPr>
          <w:rFonts w:eastAsia="仿宋_GB2312"/>
          <w:sz w:val="32"/>
          <w:szCs w:val="32"/>
        </w:rPr>
        <w:t>万元，主要用于：机关及参公管理事业单位按规定由单位缴纳的基本医疗保险支出部门下属事业单位按规定由单位缴纳的基本医疗保险支出。</w:t>
      </w:r>
    </w:p>
    <w:p w14:paraId="0A145407">
      <w:pPr>
        <w:snapToGrid w:val="0"/>
        <w:spacing w:line="576" w:lineRule="exact"/>
        <w:ind w:firstLine="640" w:firstLineChars="200"/>
        <w:rPr>
          <w:rFonts w:eastAsia="仿宋_GB2312"/>
          <w:sz w:val="32"/>
          <w:szCs w:val="32"/>
        </w:rPr>
      </w:pPr>
      <w:r>
        <w:rPr>
          <w:rFonts w:hint="eastAsia" w:eastAsia="仿宋_GB2312"/>
          <w:sz w:val="32"/>
          <w:szCs w:val="32"/>
        </w:rPr>
        <w:t>16、城乡社区</w:t>
      </w:r>
      <w:r>
        <w:rPr>
          <w:rFonts w:eastAsia="仿宋_GB2312"/>
          <w:sz w:val="32"/>
          <w:szCs w:val="32"/>
        </w:rPr>
        <w:t>（类）</w:t>
      </w:r>
      <w:r>
        <w:rPr>
          <w:rFonts w:hint="eastAsia" w:eastAsia="仿宋_GB2312"/>
          <w:sz w:val="32"/>
          <w:szCs w:val="32"/>
        </w:rPr>
        <w:t>城乡社区管理事务</w:t>
      </w:r>
      <w:r>
        <w:rPr>
          <w:rFonts w:eastAsia="仿宋_GB2312"/>
          <w:sz w:val="32"/>
          <w:szCs w:val="32"/>
        </w:rPr>
        <w:t>（款）</w:t>
      </w:r>
      <w:r>
        <w:rPr>
          <w:rFonts w:hint="eastAsia" w:eastAsia="仿宋_GB2312"/>
          <w:sz w:val="32"/>
          <w:szCs w:val="32"/>
        </w:rPr>
        <w:t>行政</w:t>
      </w:r>
      <w:r>
        <w:rPr>
          <w:rFonts w:eastAsia="仿宋_GB2312"/>
          <w:sz w:val="32"/>
          <w:szCs w:val="32"/>
        </w:rPr>
        <w:t>运行（项）2021年决算数为</w:t>
      </w:r>
      <w:r>
        <w:rPr>
          <w:rFonts w:hint="eastAsia" w:eastAsia="仿宋_GB2312"/>
          <w:sz w:val="32"/>
          <w:szCs w:val="32"/>
        </w:rPr>
        <w:t>22.43</w:t>
      </w:r>
      <w:r>
        <w:rPr>
          <w:rFonts w:eastAsia="仿宋_GB2312"/>
          <w:sz w:val="32"/>
          <w:szCs w:val="32"/>
        </w:rPr>
        <w:t>万元，主要用于行政单位基本支出，包括基本工资、津贴补贴等人员经费以及办公费、印刷费、水电费等日常公用经费,保障部门正常运转。</w:t>
      </w:r>
    </w:p>
    <w:p w14:paraId="3F8E874E">
      <w:pPr>
        <w:snapToGrid w:val="0"/>
        <w:spacing w:line="576" w:lineRule="exact"/>
        <w:ind w:firstLine="640" w:firstLineChars="200"/>
        <w:rPr>
          <w:rFonts w:eastAsia="仿宋_GB2312"/>
          <w:sz w:val="32"/>
          <w:szCs w:val="32"/>
        </w:rPr>
      </w:pPr>
      <w:r>
        <w:rPr>
          <w:rFonts w:hint="eastAsia" w:eastAsia="仿宋_GB2312"/>
          <w:sz w:val="32"/>
          <w:szCs w:val="32"/>
        </w:rPr>
        <w:t>17、</w:t>
      </w:r>
      <w:r>
        <w:rPr>
          <w:rFonts w:eastAsia="仿宋_GB2312"/>
          <w:sz w:val="32"/>
          <w:szCs w:val="32"/>
        </w:rPr>
        <w:t>农林水支出（类）农业农村（款）</w:t>
      </w:r>
      <w:r>
        <w:rPr>
          <w:rFonts w:hint="eastAsia" w:eastAsia="仿宋_GB2312"/>
          <w:sz w:val="32"/>
          <w:szCs w:val="32"/>
        </w:rPr>
        <w:t>行政</w:t>
      </w:r>
      <w:r>
        <w:rPr>
          <w:rFonts w:eastAsia="仿宋_GB2312"/>
          <w:sz w:val="32"/>
          <w:szCs w:val="32"/>
        </w:rPr>
        <w:t>运行（项）2021年决算数为</w:t>
      </w:r>
      <w:r>
        <w:rPr>
          <w:rFonts w:hint="eastAsia" w:eastAsia="仿宋_GB2312"/>
          <w:sz w:val="32"/>
          <w:szCs w:val="32"/>
        </w:rPr>
        <w:t>19.58</w:t>
      </w:r>
      <w:r>
        <w:rPr>
          <w:rFonts w:eastAsia="仿宋_GB2312"/>
          <w:sz w:val="32"/>
          <w:szCs w:val="32"/>
        </w:rPr>
        <w:t>万元，主要用于行政单位基本支出，包括基本工资、津贴补贴等人员经费以及办公费、印刷费、水电费等日常公用经费,保障部门正常运转。</w:t>
      </w:r>
    </w:p>
    <w:p w14:paraId="288C170D">
      <w:pPr>
        <w:snapToGrid w:val="0"/>
        <w:spacing w:line="576" w:lineRule="exact"/>
        <w:ind w:firstLine="640" w:firstLineChars="200"/>
        <w:rPr>
          <w:rFonts w:eastAsia="仿宋_GB2312"/>
          <w:sz w:val="32"/>
          <w:szCs w:val="32"/>
        </w:rPr>
      </w:pPr>
      <w:r>
        <w:rPr>
          <w:rFonts w:hint="eastAsia" w:eastAsia="仿宋_GB2312"/>
          <w:sz w:val="32"/>
          <w:szCs w:val="32"/>
        </w:rPr>
        <w:t>18、</w:t>
      </w:r>
      <w:r>
        <w:rPr>
          <w:rFonts w:eastAsia="仿宋_GB2312"/>
          <w:sz w:val="32"/>
          <w:szCs w:val="32"/>
        </w:rPr>
        <w:t>农林水支出（类）农业农村（款）事业运行（项）2021年决算数为</w:t>
      </w:r>
      <w:r>
        <w:rPr>
          <w:rFonts w:hint="eastAsia" w:eastAsia="仿宋_GB2312"/>
          <w:sz w:val="32"/>
          <w:szCs w:val="32"/>
        </w:rPr>
        <w:t>40.82</w:t>
      </w:r>
      <w:r>
        <w:rPr>
          <w:rFonts w:eastAsia="仿宋_GB2312"/>
          <w:sz w:val="32"/>
          <w:szCs w:val="32"/>
        </w:rPr>
        <w:t>万元，主要用于行政单位基本支出，包括基本工资、津贴补贴等人员经费以及办公费、印刷费、水电费等日常公用经费,保障部门正常运转。</w:t>
      </w:r>
    </w:p>
    <w:p w14:paraId="41B05443">
      <w:pPr>
        <w:snapToGrid w:val="0"/>
        <w:spacing w:line="576" w:lineRule="exact"/>
        <w:ind w:firstLine="640" w:firstLineChars="200"/>
        <w:rPr>
          <w:rFonts w:eastAsia="仿宋_GB2312"/>
          <w:sz w:val="32"/>
          <w:szCs w:val="32"/>
        </w:rPr>
      </w:pPr>
      <w:r>
        <w:rPr>
          <w:rFonts w:hint="eastAsia" w:eastAsia="仿宋_GB2312"/>
          <w:sz w:val="32"/>
          <w:szCs w:val="32"/>
        </w:rPr>
        <w:t>19、</w:t>
      </w:r>
      <w:r>
        <w:rPr>
          <w:rFonts w:eastAsia="仿宋_GB2312"/>
          <w:sz w:val="32"/>
          <w:szCs w:val="32"/>
        </w:rPr>
        <w:t>农林水支出（类）</w:t>
      </w:r>
      <w:r>
        <w:rPr>
          <w:rFonts w:hint="eastAsia" w:eastAsia="仿宋_GB2312"/>
          <w:sz w:val="32"/>
          <w:szCs w:val="32"/>
        </w:rPr>
        <w:t>林业和草原</w:t>
      </w:r>
      <w:r>
        <w:rPr>
          <w:rFonts w:eastAsia="仿宋_GB2312"/>
          <w:sz w:val="32"/>
          <w:szCs w:val="32"/>
        </w:rPr>
        <w:t>（款）</w:t>
      </w:r>
      <w:r>
        <w:rPr>
          <w:rFonts w:hint="eastAsia" w:eastAsia="仿宋_GB2312"/>
          <w:sz w:val="32"/>
          <w:szCs w:val="32"/>
        </w:rPr>
        <w:t>行政</w:t>
      </w:r>
      <w:r>
        <w:rPr>
          <w:rFonts w:eastAsia="仿宋_GB2312"/>
          <w:sz w:val="32"/>
          <w:szCs w:val="32"/>
        </w:rPr>
        <w:t>运行（项）2021年决算数为</w:t>
      </w:r>
      <w:r>
        <w:rPr>
          <w:rFonts w:hint="eastAsia" w:eastAsia="仿宋_GB2312"/>
          <w:sz w:val="32"/>
          <w:szCs w:val="32"/>
        </w:rPr>
        <w:t>8.47</w:t>
      </w:r>
      <w:r>
        <w:rPr>
          <w:rFonts w:eastAsia="仿宋_GB2312"/>
          <w:sz w:val="32"/>
          <w:szCs w:val="32"/>
        </w:rPr>
        <w:t>万元，主要用于行政单位基本支出，包括基本工资、津贴补贴等人员经费以及办公费、印刷费、水电费等日常公用经费,保障部门正常运转。</w:t>
      </w:r>
    </w:p>
    <w:p w14:paraId="7AE9A7BE">
      <w:pPr>
        <w:snapToGrid w:val="0"/>
        <w:spacing w:line="576" w:lineRule="exact"/>
        <w:ind w:firstLine="640" w:firstLineChars="200"/>
        <w:rPr>
          <w:rFonts w:eastAsia="仿宋_GB2312"/>
          <w:sz w:val="32"/>
          <w:szCs w:val="32"/>
        </w:rPr>
      </w:pPr>
      <w:r>
        <w:rPr>
          <w:rFonts w:hint="eastAsia" w:eastAsia="仿宋_GB2312"/>
          <w:sz w:val="32"/>
          <w:szCs w:val="32"/>
        </w:rPr>
        <w:t>20、</w:t>
      </w:r>
      <w:r>
        <w:rPr>
          <w:rFonts w:eastAsia="仿宋_GB2312"/>
          <w:sz w:val="32"/>
          <w:szCs w:val="32"/>
        </w:rPr>
        <w:t>农林水支出（类）</w:t>
      </w:r>
      <w:r>
        <w:rPr>
          <w:rFonts w:hint="eastAsia" w:eastAsia="仿宋_GB2312"/>
          <w:sz w:val="32"/>
          <w:szCs w:val="32"/>
        </w:rPr>
        <w:t>扶贫</w:t>
      </w:r>
      <w:r>
        <w:rPr>
          <w:rFonts w:eastAsia="仿宋_GB2312"/>
          <w:sz w:val="32"/>
          <w:szCs w:val="32"/>
        </w:rPr>
        <w:t>（款）</w:t>
      </w:r>
      <w:r>
        <w:rPr>
          <w:rFonts w:hint="eastAsia" w:eastAsia="仿宋_GB2312"/>
          <w:sz w:val="32"/>
          <w:szCs w:val="32"/>
        </w:rPr>
        <w:t>行政运行</w:t>
      </w:r>
      <w:r>
        <w:rPr>
          <w:rFonts w:eastAsia="仿宋_GB2312"/>
          <w:sz w:val="32"/>
          <w:szCs w:val="32"/>
        </w:rPr>
        <w:t>（项）2021年决算数为</w:t>
      </w:r>
      <w:r>
        <w:rPr>
          <w:rFonts w:hint="eastAsia" w:eastAsia="仿宋_GB2312"/>
          <w:sz w:val="32"/>
          <w:szCs w:val="32"/>
        </w:rPr>
        <w:t>6.88</w:t>
      </w:r>
      <w:r>
        <w:rPr>
          <w:rFonts w:eastAsia="仿宋_GB2312"/>
          <w:sz w:val="32"/>
          <w:szCs w:val="32"/>
        </w:rPr>
        <w:t>万元，主要用于行政单位基本支出，包括基本工资、津贴补贴等人员经费以及办公费、印刷费、水电费等日常公用经费,保障部门正常运转。</w:t>
      </w:r>
    </w:p>
    <w:p w14:paraId="65CE1122">
      <w:pPr>
        <w:snapToGrid w:val="0"/>
        <w:spacing w:line="576" w:lineRule="exact"/>
        <w:ind w:firstLine="640" w:firstLineChars="200"/>
      </w:pPr>
      <w:r>
        <w:rPr>
          <w:rFonts w:hint="eastAsia" w:eastAsia="仿宋_GB2312"/>
          <w:sz w:val="32"/>
          <w:szCs w:val="32"/>
        </w:rPr>
        <w:t>21、</w:t>
      </w:r>
      <w:r>
        <w:rPr>
          <w:rFonts w:eastAsia="仿宋_GB2312"/>
          <w:sz w:val="32"/>
          <w:szCs w:val="32"/>
        </w:rPr>
        <w:t>农林水支出（类）</w:t>
      </w:r>
      <w:r>
        <w:rPr>
          <w:rFonts w:hint="eastAsia" w:eastAsia="仿宋_GB2312"/>
          <w:sz w:val="32"/>
          <w:szCs w:val="32"/>
        </w:rPr>
        <w:t>扶贫</w:t>
      </w:r>
      <w:r>
        <w:rPr>
          <w:rFonts w:eastAsia="仿宋_GB2312"/>
          <w:sz w:val="32"/>
          <w:szCs w:val="32"/>
        </w:rPr>
        <w:t>（款）</w:t>
      </w:r>
      <w:r>
        <w:rPr>
          <w:rFonts w:hint="eastAsia" w:eastAsia="仿宋_GB2312"/>
          <w:sz w:val="32"/>
          <w:szCs w:val="32"/>
        </w:rPr>
        <w:t>其他扶贫支出</w:t>
      </w:r>
      <w:r>
        <w:rPr>
          <w:rFonts w:eastAsia="仿宋_GB2312"/>
          <w:sz w:val="32"/>
          <w:szCs w:val="32"/>
        </w:rPr>
        <w:t>（项）2021年决算数为</w:t>
      </w:r>
      <w:r>
        <w:rPr>
          <w:rFonts w:hint="eastAsia" w:eastAsia="仿宋_GB2312"/>
          <w:sz w:val="32"/>
          <w:szCs w:val="32"/>
        </w:rPr>
        <w:t>23.93</w:t>
      </w:r>
      <w:r>
        <w:rPr>
          <w:rFonts w:eastAsia="仿宋_GB2312"/>
          <w:sz w:val="32"/>
          <w:szCs w:val="32"/>
        </w:rPr>
        <w:t>万元，主要用于</w:t>
      </w:r>
      <w:r>
        <w:rPr>
          <w:rFonts w:hint="eastAsia" w:eastAsia="仿宋_GB2312"/>
          <w:sz w:val="32"/>
          <w:szCs w:val="32"/>
        </w:rPr>
        <w:t>其他扶贫支出。</w:t>
      </w:r>
    </w:p>
    <w:p w14:paraId="778BADF7">
      <w:pPr>
        <w:snapToGrid w:val="0"/>
        <w:spacing w:line="576" w:lineRule="exact"/>
        <w:ind w:firstLine="640" w:firstLineChars="200"/>
        <w:rPr>
          <w:rFonts w:eastAsia="仿宋_GB2312"/>
          <w:sz w:val="32"/>
          <w:szCs w:val="32"/>
        </w:rPr>
      </w:pPr>
      <w:r>
        <w:rPr>
          <w:rFonts w:hint="eastAsia" w:eastAsia="仿宋_GB2312"/>
          <w:sz w:val="32"/>
          <w:szCs w:val="32"/>
        </w:rPr>
        <w:t>22、</w:t>
      </w:r>
      <w:r>
        <w:rPr>
          <w:rFonts w:eastAsia="仿宋_GB2312"/>
          <w:sz w:val="32"/>
          <w:szCs w:val="32"/>
        </w:rPr>
        <w:t>农林水支出（类）农村综合改革（款）对村民委员会和村党支部的补助（项）2021年决算数为</w:t>
      </w:r>
      <w:r>
        <w:rPr>
          <w:rFonts w:hint="eastAsia" w:eastAsia="仿宋_GB2312"/>
          <w:sz w:val="32"/>
          <w:szCs w:val="32"/>
        </w:rPr>
        <w:t>564.64</w:t>
      </w:r>
      <w:r>
        <w:rPr>
          <w:rFonts w:eastAsia="仿宋_GB2312"/>
          <w:sz w:val="32"/>
          <w:szCs w:val="32"/>
        </w:rPr>
        <w:t>万元，主要用于村（社区）社干部生活补助、村（社区）日常公用经费及农村公共运行维护支出。</w:t>
      </w:r>
    </w:p>
    <w:p w14:paraId="18D1CC27">
      <w:pPr>
        <w:snapToGrid w:val="0"/>
        <w:spacing w:line="576" w:lineRule="exact"/>
        <w:ind w:firstLine="640" w:firstLineChars="200"/>
        <w:rPr>
          <w:rFonts w:eastAsia="仿宋_GB2312"/>
          <w:sz w:val="32"/>
          <w:szCs w:val="32"/>
        </w:rPr>
      </w:pPr>
      <w:r>
        <w:rPr>
          <w:rFonts w:hint="eastAsia" w:eastAsia="仿宋_GB2312"/>
          <w:sz w:val="32"/>
          <w:szCs w:val="32"/>
        </w:rPr>
        <w:t>23、</w:t>
      </w:r>
      <w:r>
        <w:rPr>
          <w:rFonts w:eastAsia="仿宋_GB2312"/>
          <w:sz w:val="32"/>
          <w:szCs w:val="32"/>
        </w:rPr>
        <w:t>住房保障（类）住房改革支出（款）住房公积金（项）2021年决算数为</w:t>
      </w:r>
      <w:r>
        <w:rPr>
          <w:rFonts w:hint="eastAsia" w:eastAsia="仿宋_GB2312"/>
          <w:sz w:val="32"/>
          <w:szCs w:val="32"/>
        </w:rPr>
        <w:t>86.35</w:t>
      </w:r>
      <w:r>
        <w:rPr>
          <w:rFonts w:eastAsia="仿宋_GB2312"/>
          <w:sz w:val="32"/>
          <w:szCs w:val="32"/>
        </w:rPr>
        <w:t>万元，主要用于：部门按规定为职工缴纳的住房公积金支出。</w:t>
      </w:r>
    </w:p>
    <w:p w14:paraId="1639415C">
      <w:pPr>
        <w:pStyle w:val="4"/>
        <w:snapToGrid w:val="0"/>
        <w:spacing w:before="0" w:after="0" w:line="576" w:lineRule="exact"/>
        <w:ind w:firstLine="640" w:firstLineChars="200"/>
        <w:rPr>
          <w:rFonts w:ascii="黑体" w:hAnsi="黑体" w:eastAsia="黑体" w:cs="黑体"/>
          <w:b w:val="0"/>
        </w:rPr>
      </w:pPr>
      <w:bookmarkStart w:id="49" w:name="_Toc15396608"/>
      <w:bookmarkStart w:id="50" w:name="_Toc15377214"/>
      <w:bookmarkStart w:id="51" w:name="_Toc3138"/>
      <w:r>
        <w:rPr>
          <w:rFonts w:ascii="黑体" w:hAnsi="黑体" w:eastAsia="黑体" w:cs="黑体"/>
          <w:b w:val="0"/>
        </w:rPr>
        <w:t>六、一般公共决算财政拨款基本支出决算情况说明</w:t>
      </w:r>
      <w:bookmarkEnd w:id="49"/>
      <w:bookmarkEnd w:id="50"/>
      <w:bookmarkEnd w:id="51"/>
      <w:r>
        <w:rPr>
          <w:rFonts w:ascii="黑体" w:hAnsi="黑体" w:eastAsia="黑体" w:cs="黑体"/>
          <w:b w:val="0"/>
        </w:rPr>
        <w:tab/>
      </w:r>
    </w:p>
    <w:p w14:paraId="4539A001">
      <w:pPr>
        <w:snapToGrid w:val="0"/>
        <w:spacing w:line="576" w:lineRule="exact"/>
        <w:ind w:firstLine="640" w:firstLineChars="200"/>
        <w:rPr>
          <w:rFonts w:eastAsia="仿宋_GB2312"/>
          <w:sz w:val="32"/>
          <w:szCs w:val="32"/>
        </w:rPr>
      </w:pPr>
      <w:r>
        <w:rPr>
          <w:rFonts w:eastAsia="仿宋_GB2312"/>
          <w:sz w:val="32"/>
          <w:szCs w:val="32"/>
        </w:rPr>
        <w:t>2021年一般公共决算财政拨款基本支出</w:t>
      </w:r>
      <w:r>
        <w:rPr>
          <w:rFonts w:hint="eastAsia" w:eastAsia="仿宋_GB2312"/>
          <w:sz w:val="32"/>
          <w:szCs w:val="32"/>
        </w:rPr>
        <w:t>1648.96</w:t>
      </w:r>
      <w:r>
        <w:rPr>
          <w:rFonts w:eastAsia="仿宋_GB2312"/>
          <w:sz w:val="32"/>
          <w:szCs w:val="32"/>
        </w:rPr>
        <w:t>万元，其中：人员经费</w:t>
      </w:r>
      <w:r>
        <w:rPr>
          <w:rFonts w:hint="eastAsia" w:eastAsia="仿宋_GB2312"/>
          <w:sz w:val="32"/>
          <w:szCs w:val="32"/>
        </w:rPr>
        <w:t>1382.69</w:t>
      </w:r>
      <w:r>
        <w:rPr>
          <w:rFonts w:eastAsia="仿宋_GB2312"/>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1088AE14">
      <w:pPr>
        <w:snapToGrid w:val="0"/>
        <w:spacing w:line="576" w:lineRule="exact"/>
        <w:ind w:firstLine="640" w:firstLineChars="200"/>
        <w:rPr>
          <w:rFonts w:eastAsia="仿宋_GB2312"/>
          <w:sz w:val="32"/>
          <w:szCs w:val="32"/>
        </w:rPr>
      </w:pPr>
      <w:r>
        <w:rPr>
          <w:rFonts w:eastAsia="仿宋_GB2312"/>
          <w:sz w:val="32"/>
          <w:szCs w:val="32"/>
        </w:rPr>
        <w:t>公用经费</w:t>
      </w:r>
      <w:r>
        <w:rPr>
          <w:rFonts w:hint="eastAsia" w:eastAsia="仿宋_GB2312"/>
          <w:sz w:val="32"/>
          <w:szCs w:val="32"/>
        </w:rPr>
        <w:t>266.27</w:t>
      </w:r>
      <w:r>
        <w:rPr>
          <w:rFonts w:eastAsia="仿宋_GB2312"/>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721FE958">
      <w:pPr>
        <w:pStyle w:val="4"/>
        <w:snapToGrid w:val="0"/>
        <w:spacing w:before="0" w:after="0" w:line="576" w:lineRule="exact"/>
        <w:ind w:firstLine="640" w:firstLineChars="200"/>
        <w:rPr>
          <w:rFonts w:ascii="黑体" w:hAnsi="黑体" w:eastAsia="黑体" w:cs="黑体"/>
          <w:b w:val="0"/>
        </w:rPr>
      </w:pPr>
      <w:bookmarkStart w:id="52" w:name="_Toc15377215"/>
      <w:bookmarkStart w:id="53" w:name="_Toc24779"/>
      <w:bookmarkStart w:id="54" w:name="_Toc15396609"/>
      <w:r>
        <w:rPr>
          <w:rFonts w:ascii="黑体" w:hAnsi="黑体" w:eastAsia="黑体" w:cs="黑体"/>
          <w:b w:val="0"/>
        </w:rPr>
        <w:t>七、“三公”经费财政拨款支出决算情况说明</w:t>
      </w:r>
      <w:bookmarkEnd w:id="52"/>
      <w:bookmarkEnd w:id="53"/>
      <w:bookmarkEnd w:id="54"/>
    </w:p>
    <w:p w14:paraId="54B3E499">
      <w:pPr>
        <w:snapToGrid w:val="0"/>
        <w:spacing w:line="576" w:lineRule="exact"/>
        <w:ind w:firstLine="643" w:firstLineChars="200"/>
        <w:outlineLvl w:val="2"/>
        <w:rPr>
          <w:rFonts w:eastAsia="仿宋_GB2312"/>
          <w:b/>
          <w:sz w:val="32"/>
          <w:szCs w:val="32"/>
        </w:rPr>
      </w:pPr>
      <w:bookmarkStart w:id="55" w:name="_Toc15377216"/>
      <w:r>
        <w:rPr>
          <w:rFonts w:eastAsia="仿宋_GB2312"/>
          <w:b/>
          <w:sz w:val="32"/>
          <w:szCs w:val="32"/>
        </w:rPr>
        <w:t>（一）“三公”经费财政拨款支出决算总体情况说明</w:t>
      </w:r>
      <w:bookmarkEnd w:id="55"/>
    </w:p>
    <w:p w14:paraId="1885CF7F">
      <w:pPr>
        <w:widowControl/>
        <w:shd w:val="clear" w:color="auto" w:fill="FFFFFF"/>
        <w:snapToGrid w:val="0"/>
        <w:spacing w:line="576" w:lineRule="exact"/>
        <w:ind w:firstLine="640" w:firstLineChars="200"/>
        <w:rPr>
          <w:rFonts w:eastAsia="仿宋_GB2312"/>
          <w:sz w:val="32"/>
          <w:szCs w:val="32"/>
        </w:rPr>
      </w:pPr>
      <w:r>
        <w:rPr>
          <w:rFonts w:eastAsia="仿宋_GB2312"/>
          <w:sz w:val="32"/>
          <w:szCs w:val="32"/>
        </w:rPr>
        <w:t>2021年“三公”经费财政拨款支出决算为</w:t>
      </w:r>
      <w:r>
        <w:rPr>
          <w:rFonts w:hint="eastAsia" w:eastAsia="仿宋_GB2312"/>
          <w:sz w:val="32"/>
          <w:szCs w:val="32"/>
        </w:rPr>
        <w:t>23.60</w:t>
      </w:r>
      <w:r>
        <w:rPr>
          <w:rFonts w:eastAsia="仿宋_GB2312"/>
          <w:sz w:val="32"/>
          <w:szCs w:val="32"/>
        </w:rPr>
        <w:t>万元，完成预算100%，决算数</w:t>
      </w:r>
      <w:r>
        <w:rPr>
          <w:rFonts w:hint="eastAsia" w:eastAsia="仿宋_GB2312"/>
          <w:sz w:val="32"/>
          <w:szCs w:val="32"/>
        </w:rPr>
        <w:t>比2020年增加3万元，增长原因主要是脱贫攻坚验收等其他工作检查增加</w:t>
      </w:r>
      <w:r>
        <w:rPr>
          <w:rFonts w:eastAsia="仿宋_GB2312"/>
          <w:sz w:val="32"/>
          <w:szCs w:val="32"/>
        </w:rPr>
        <w:t>。2021年本单位未在政府性基金预算拨款安排</w:t>
      </w:r>
      <w:r>
        <w:rPr>
          <w:rFonts w:hint="eastAsia" w:eastAsia="仿宋_GB2312"/>
          <w:sz w:val="32"/>
          <w:szCs w:val="32"/>
          <w:lang w:eastAsia="zh-CN"/>
        </w:rPr>
        <w:t>“三公”经费</w:t>
      </w:r>
      <w:r>
        <w:rPr>
          <w:rFonts w:eastAsia="仿宋_GB2312"/>
          <w:sz w:val="32"/>
          <w:szCs w:val="32"/>
        </w:rPr>
        <w:t>支出。</w:t>
      </w:r>
    </w:p>
    <w:p w14:paraId="7570BB55">
      <w:pPr>
        <w:snapToGrid w:val="0"/>
        <w:spacing w:line="576" w:lineRule="exact"/>
        <w:ind w:firstLine="643" w:firstLineChars="200"/>
        <w:rPr>
          <w:rFonts w:eastAsia="仿宋_GB2312"/>
          <w:b/>
          <w:sz w:val="32"/>
          <w:szCs w:val="32"/>
        </w:rPr>
      </w:pPr>
      <w:r>
        <w:rPr>
          <w:rFonts w:eastAsia="仿宋_GB2312"/>
          <w:b/>
          <w:sz w:val="32"/>
          <w:szCs w:val="32"/>
        </w:rPr>
        <w:t>（注：上述“决算”口径为调整决算数，包括一般公共决算和政府性基金决算财政拨款支出决算情况。）</w:t>
      </w:r>
    </w:p>
    <w:p w14:paraId="267811B5">
      <w:pPr>
        <w:snapToGrid w:val="0"/>
        <w:spacing w:line="576" w:lineRule="exact"/>
        <w:ind w:firstLine="643" w:firstLineChars="200"/>
        <w:outlineLvl w:val="2"/>
        <w:rPr>
          <w:rFonts w:eastAsia="仿宋_GB2312"/>
          <w:b/>
          <w:sz w:val="32"/>
          <w:szCs w:val="32"/>
        </w:rPr>
      </w:pPr>
      <w:bookmarkStart w:id="56" w:name="_Toc15377217"/>
      <w:r>
        <w:rPr>
          <w:rFonts w:eastAsia="仿宋_GB2312"/>
          <w:b/>
          <w:sz w:val="32"/>
          <w:szCs w:val="32"/>
        </w:rPr>
        <w:t>（二）“三公”经费财政拨款支出决算具体情况说明</w:t>
      </w:r>
      <w:bookmarkEnd w:id="56"/>
    </w:p>
    <w:p w14:paraId="7042F4B7">
      <w:pPr>
        <w:snapToGrid w:val="0"/>
        <w:spacing w:line="576" w:lineRule="exact"/>
        <w:ind w:firstLine="640" w:firstLineChars="200"/>
        <w:rPr>
          <w:rFonts w:eastAsia="仿宋_GB2312"/>
          <w:sz w:val="32"/>
          <w:szCs w:val="32"/>
        </w:rPr>
      </w:pPr>
      <w:r>
        <w:rPr>
          <w:rFonts w:eastAsia="仿宋_GB2312"/>
          <w:sz w:val="32"/>
          <w:szCs w:val="32"/>
        </w:rPr>
        <w:t>2021年“三公”经费财政拨款支出决算中，因公出国（境）费支出决算0万元，占0%；公务用车购置及运行维护费支出决算0万元，占0%；公务接待费支出决算</w:t>
      </w:r>
      <w:r>
        <w:rPr>
          <w:rFonts w:hint="eastAsia" w:eastAsia="仿宋_GB2312"/>
          <w:sz w:val="32"/>
          <w:szCs w:val="32"/>
        </w:rPr>
        <w:t>23.60</w:t>
      </w:r>
      <w:r>
        <w:rPr>
          <w:rFonts w:eastAsia="仿宋_GB2312"/>
          <w:sz w:val="32"/>
          <w:szCs w:val="32"/>
        </w:rPr>
        <w:t>万元，占100%.具体情况如下：</w:t>
      </w:r>
      <w:r>
        <w:rPr>
          <w:rFonts w:ascii="仿宋" w:hAnsi="仿宋" w:eastAsia="仿宋"/>
          <w:color w:val="000000"/>
          <w:sz w:val="32"/>
          <w:szCs w:val="32"/>
          <w:shd w:val="pct10" w:color="auto" w:fill="FFFFFF"/>
        </w:rPr>
        <w:pict>
          <v:shape id="_x0000_s1036" o:spid="_x0000_s1036" o:spt="75" type="#_x0000_t75" style="position:absolute;left:0pt;margin-left:19.6pt;margin-top:10.45pt;height:170.3pt;width:396.9pt;mso-wrap-distance-bottom:0pt;mso-wrap-distance-top:0pt;z-index:251664384;mso-width-relative:page;mso-height-relative:page;" o:ole="t" filled="f" o:preferrelative="t" stroked="f" coordsize="21600,21600">
            <v:path/>
            <v:fill on="f" focussize="0,0"/>
            <v:stroke on="f" joinstyle="miter"/>
            <v:imagedata r:id="rId19" o:title=""/>
            <o:lock v:ext="edit" aspectratio="t"/>
            <w10:wrap type="topAndBottom"/>
          </v:shape>
          <o:OLEObject Type="Embed" ProgID="Excel.Chart.8" ShapeID="_x0000_s1036" DrawAspect="Content" ObjectID="_1468075731" r:id="rId18">
            <o:LockedField>false</o:LockedField>
          </o:OLEObject>
        </w:pict>
      </w:r>
    </w:p>
    <w:p w14:paraId="0B4646BB">
      <w:pPr>
        <w:snapToGrid w:val="0"/>
        <w:spacing w:line="576" w:lineRule="exact"/>
        <w:ind w:firstLine="640" w:firstLineChars="200"/>
        <w:rPr>
          <w:rFonts w:eastAsia="仿宋_GB2312"/>
          <w:sz w:val="32"/>
          <w:szCs w:val="32"/>
        </w:rPr>
      </w:pPr>
      <w:r>
        <w:rPr>
          <w:rFonts w:eastAsia="仿宋_GB2312"/>
          <w:sz w:val="32"/>
          <w:szCs w:val="32"/>
        </w:rPr>
        <w:t>（图7：“三公”经费财政拨款支出结构）（饼状图）</w:t>
      </w:r>
    </w:p>
    <w:p w14:paraId="0671E1A8">
      <w:pPr>
        <w:snapToGrid w:val="0"/>
        <w:spacing w:line="576" w:lineRule="exact"/>
        <w:ind w:firstLine="643" w:firstLineChars="200"/>
        <w:rPr>
          <w:rFonts w:eastAsia="仿宋_GB2312"/>
          <w:sz w:val="32"/>
          <w:szCs w:val="32"/>
        </w:rPr>
      </w:pPr>
      <w:r>
        <w:rPr>
          <w:rFonts w:eastAsia="仿宋_GB2312"/>
          <w:b/>
          <w:sz w:val="32"/>
          <w:szCs w:val="32"/>
        </w:rPr>
        <w:t>1.因公出国（境）经费支出</w:t>
      </w:r>
      <w:r>
        <w:rPr>
          <w:rFonts w:eastAsia="仿宋_GB2312"/>
          <w:sz w:val="32"/>
          <w:szCs w:val="32"/>
        </w:rPr>
        <w:t>0万元，年初未安排预算</w:t>
      </w:r>
      <w:r>
        <w:rPr>
          <w:rFonts w:hint="eastAsia" w:eastAsia="仿宋_GB2312"/>
          <w:lang w:val="en-US" w:eastAsia="zh-CN"/>
        </w:rPr>
        <w:t>。</w:t>
      </w:r>
      <w:r>
        <w:rPr>
          <w:rFonts w:eastAsia="仿宋_GB2312"/>
          <w:sz w:val="32"/>
          <w:szCs w:val="32"/>
        </w:rPr>
        <w:t>全年安排因公出国（境）团组0次，出国（境）0人因公出国（境）支出决算较2021年无变化。</w:t>
      </w:r>
    </w:p>
    <w:p w14:paraId="016F3954">
      <w:pPr>
        <w:snapToGrid w:val="0"/>
        <w:spacing w:line="576" w:lineRule="exact"/>
        <w:ind w:firstLine="643" w:firstLineChars="200"/>
        <w:rPr>
          <w:rFonts w:eastAsia="仿宋_GB2312"/>
          <w:sz w:val="32"/>
          <w:szCs w:val="32"/>
        </w:rPr>
      </w:pPr>
      <w:r>
        <w:rPr>
          <w:rFonts w:eastAsia="仿宋_GB2312"/>
          <w:b/>
          <w:sz w:val="32"/>
          <w:szCs w:val="32"/>
        </w:rPr>
        <w:t>2.公务用车购置及运行维护费支出</w:t>
      </w:r>
      <w:r>
        <w:rPr>
          <w:rFonts w:eastAsia="仿宋_GB2312"/>
          <w:sz w:val="32"/>
          <w:szCs w:val="32"/>
        </w:rPr>
        <w:t>0万元</w:t>
      </w:r>
      <w:r>
        <w:rPr>
          <w:rFonts w:hint="eastAsia" w:eastAsia="仿宋_GB2312"/>
          <w:sz w:val="32"/>
          <w:szCs w:val="32"/>
        </w:rPr>
        <w:t>，</w:t>
      </w:r>
      <w:r>
        <w:rPr>
          <w:rFonts w:eastAsia="仿宋_GB2312"/>
          <w:sz w:val="32"/>
          <w:szCs w:val="32"/>
        </w:rPr>
        <w:t>年初未安排预算且无公务用车编制</w:t>
      </w:r>
      <w:r>
        <w:rPr>
          <w:rFonts w:eastAsia="仿宋_GB2312"/>
        </w:rPr>
        <w:t>。</w:t>
      </w:r>
    </w:p>
    <w:p w14:paraId="521741C8">
      <w:pPr>
        <w:snapToGrid w:val="0"/>
        <w:spacing w:line="576" w:lineRule="exact"/>
        <w:ind w:firstLine="640" w:firstLineChars="200"/>
        <w:rPr>
          <w:rFonts w:eastAsia="仿宋_GB2312"/>
          <w:b/>
          <w:sz w:val="32"/>
          <w:szCs w:val="32"/>
        </w:rPr>
      </w:pPr>
      <w:r>
        <w:rPr>
          <w:rFonts w:eastAsia="仿宋_GB2312"/>
          <w:sz w:val="32"/>
          <w:szCs w:val="32"/>
        </w:rPr>
        <w:t>其中：</w:t>
      </w:r>
      <w:r>
        <w:rPr>
          <w:rFonts w:eastAsia="仿宋_GB2312"/>
          <w:b/>
          <w:sz w:val="32"/>
          <w:szCs w:val="32"/>
        </w:rPr>
        <w:t>公务用车购置支出</w:t>
      </w:r>
      <w:r>
        <w:rPr>
          <w:rFonts w:eastAsia="仿宋_GB2312"/>
          <w:sz w:val="32"/>
          <w:szCs w:val="32"/>
        </w:rPr>
        <w:t>0万元。</w:t>
      </w:r>
    </w:p>
    <w:p w14:paraId="15238E57">
      <w:pPr>
        <w:snapToGrid w:val="0"/>
        <w:spacing w:line="576" w:lineRule="exact"/>
        <w:ind w:firstLine="643" w:firstLineChars="200"/>
        <w:rPr>
          <w:rFonts w:eastAsia="仿宋_GB2312"/>
          <w:sz w:val="32"/>
          <w:szCs w:val="32"/>
        </w:rPr>
      </w:pPr>
      <w:r>
        <w:rPr>
          <w:rFonts w:eastAsia="仿宋_GB2312"/>
          <w:b/>
          <w:sz w:val="32"/>
          <w:szCs w:val="32"/>
        </w:rPr>
        <w:t>公务用车运行维护费支出</w:t>
      </w:r>
      <w:r>
        <w:rPr>
          <w:rFonts w:eastAsia="仿宋_GB2312"/>
          <w:sz w:val="32"/>
          <w:szCs w:val="32"/>
        </w:rPr>
        <w:t>0万元。</w:t>
      </w:r>
    </w:p>
    <w:p w14:paraId="6D3DB996">
      <w:pPr>
        <w:snapToGrid w:val="0"/>
        <w:spacing w:line="576" w:lineRule="exact"/>
        <w:ind w:firstLine="643" w:firstLineChars="200"/>
        <w:rPr>
          <w:rFonts w:eastAsia="仿宋_GB2312"/>
          <w:sz w:val="32"/>
          <w:szCs w:val="32"/>
        </w:rPr>
      </w:pPr>
      <w:r>
        <w:rPr>
          <w:rFonts w:eastAsia="仿宋_GB2312"/>
          <w:b/>
          <w:sz w:val="32"/>
          <w:szCs w:val="32"/>
        </w:rPr>
        <w:t>3.公务接待费支出</w:t>
      </w:r>
      <w:r>
        <w:rPr>
          <w:rFonts w:hint="eastAsia" w:eastAsia="仿宋_GB2312"/>
          <w:sz w:val="32"/>
          <w:szCs w:val="32"/>
        </w:rPr>
        <w:t>23.60</w:t>
      </w:r>
      <w:r>
        <w:rPr>
          <w:rFonts w:eastAsia="仿宋_GB2312"/>
          <w:sz w:val="32"/>
          <w:szCs w:val="32"/>
        </w:rPr>
        <w:t>万元，</w:t>
      </w:r>
      <w:r>
        <w:rPr>
          <w:rStyle w:val="18"/>
          <w:rFonts w:eastAsia="仿宋_GB2312"/>
          <w:b w:val="0"/>
          <w:bCs/>
          <w:sz w:val="32"/>
          <w:szCs w:val="32"/>
        </w:rPr>
        <w:t>完成预算100%。</w:t>
      </w:r>
      <w:r>
        <w:rPr>
          <w:rFonts w:eastAsia="仿宋_GB2312"/>
          <w:sz w:val="32"/>
          <w:szCs w:val="32"/>
        </w:rPr>
        <w:t>公务接待费支出决算比2020年年</w:t>
      </w:r>
      <w:r>
        <w:rPr>
          <w:rFonts w:hint="eastAsia" w:eastAsia="仿宋_GB2312"/>
          <w:sz w:val="32"/>
          <w:szCs w:val="32"/>
        </w:rPr>
        <w:t>增加3</w:t>
      </w:r>
      <w:r>
        <w:rPr>
          <w:rFonts w:eastAsia="仿宋_GB2312"/>
          <w:sz w:val="32"/>
          <w:szCs w:val="32"/>
        </w:rPr>
        <w:t>万元。</w:t>
      </w:r>
    </w:p>
    <w:p w14:paraId="27F7A606">
      <w:pPr>
        <w:widowControl/>
        <w:shd w:val="clear" w:color="auto" w:fill="FFFFFF"/>
        <w:snapToGrid w:val="0"/>
        <w:spacing w:line="576" w:lineRule="exact"/>
        <w:ind w:firstLine="640" w:firstLineChars="200"/>
        <w:rPr>
          <w:rFonts w:eastAsia="仿宋_GB2312"/>
          <w:sz w:val="32"/>
          <w:szCs w:val="32"/>
        </w:rPr>
      </w:pPr>
      <w:r>
        <w:rPr>
          <w:rFonts w:eastAsia="仿宋_GB2312"/>
          <w:sz w:val="32"/>
          <w:szCs w:val="32"/>
        </w:rPr>
        <w:t>国内公务接待支出</w:t>
      </w:r>
      <w:r>
        <w:rPr>
          <w:rFonts w:hint="eastAsia" w:eastAsia="仿宋_GB2312"/>
          <w:sz w:val="32"/>
          <w:szCs w:val="32"/>
        </w:rPr>
        <w:t>23.60</w:t>
      </w:r>
      <w:r>
        <w:rPr>
          <w:rFonts w:eastAsia="仿宋_GB2312"/>
          <w:sz w:val="32"/>
          <w:szCs w:val="32"/>
        </w:rPr>
        <w:t>万元，</w:t>
      </w:r>
      <w:bookmarkStart w:id="57" w:name="_Toc15396610"/>
      <w:bookmarkStart w:id="58" w:name="_Toc15377218"/>
      <w:r>
        <w:rPr>
          <w:rFonts w:eastAsia="仿宋_GB2312"/>
          <w:sz w:val="32"/>
          <w:szCs w:val="32"/>
        </w:rPr>
        <w:t>主要用于执行公务、开展业务活动开支的交通费、住宿费、用餐费等。国内公务接待</w:t>
      </w:r>
      <w:r>
        <w:rPr>
          <w:rFonts w:hint="eastAsia" w:eastAsia="仿宋_GB2312"/>
          <w:sz w:val="32"/>
          <w:szCs w:val="32"/>
        </w:rPr>
        <w:t>450</w:t>
      </w:r>
      <w:r>
        <w:rPr>
          <w:rFonts w:eastAsia="仿宋_GB2312"/>
          <w:sz w:val="32"/>
          <w:szCs w:val="32"/>
        </w:rPr>
        <w:t>批次</w:t>
      </w:r>
      <w:r>
        <w:rPr>
          <w:rFonts w:hint="eastAsia" w:eastAsia="仿宋_GB2312"/>
          <w:sz w:val="32"/>
          <w:szCs w:val="32"/>
        </w:rPr>
        <w:t>4500</w:t>
      </w:r>
      <w:r>
        <w:rPr>
          <w:rFonts w:eastAsia="仿宋_GB2312"/>
          <w:sz w:val="32"/>
          <w:szCs w:val="32"/>
        </w:rPr>
        <w:t>人次（不包括陪同人员），共计支出</w:t>
      </w:r>
      <w:r>
        <w:rPr>
          <w:rFonts w:hint="eastAsia" w:eastAsia="仿宋_GB2312"/>
          <w:sz w:val="32"/>
          <w:szCs w:val="32"/>
        </w:rPr>
        <w:t>23.60</w:t>
      </w:r>
      <w:r>
        <w:rPr>
          <w:rFonts w:eastAsia="仿宋_GB2312"/>
          <w:sz w:val="32"/>
          <w:szCs w:val="32"/>
        </w:rPr>
        <w:t>万元，具体内容包括：生活费</w:t>
      </w:r>
      <w:r>
        <w:rPr>
          <w:rFonts w:hint="eastAsia" w:eastAsia="仿宋_GB2312"/>
          <w:sz w:val="32"/>
          <w:szCs w:val="32"/>
        </w:rPr>
        <w:t>23.60</w:t>
      </w:r>
      <w:r>
        <w:rPr>
          <w:rFonts w:eastAsia="仿宋_GB2312"/>
          <w:sz w:val="32"/>
          <w:szCs w:val="32"/>
        </w:rPr>
        <w:t>万元，住宿费0万元。</w:t>
      </w:r>
    </w:p>
    <w:p w14:paraId="75FD4E7D">
      <w:pPr>
        <w:pStyle w:val="4"/>
        <w:snapToGrid w:val="0"/>
        <w:spacing w:before="0" w:after="0" w:line="576" w:lineRule="exact"/>
        <w:ind w:firstLine="640" w:firstLineChars="200"/>
        <w:rPr>
          <w:rFonts w:ascii="黑体" w:hAnsi="黑体" w:eastAsia="黑体" w:cs="黑体"/>
          <w:b w:val="0"/>
        </w:rPr>
      </w:pPr>
      <w:bookmarkStart w:id="59" w:name="_Toc25205"/>
      <w:r>
        <w:rPr>
          <w:rFonts w:ascii="黑体" w:hAnsi="黑体" w:eastAsia="黑体" w:cs="黑体"/>
          <w:b w:val="0"/>
        </w:rPr>
        <w:t>八、政府性基金决算支出决算情况说明</w:t>
      </w:r>
      <w:bookmarkEnd w:id="57"/>
      <w:bookmarkEnd w:id="58"/>
      <w:bookmarkEnd w:id="59"/>
    </w:p>
    <w:p w14:paraId="34AD6C56">
      <w:pPr>
        <w:snapToGrid w:val="0"/>
        <w:spacing w:line="576" w:lineRule="exact"/>
        <w:ind w:firstLine="640" w:firstLineChars="200"/>
        <w:rPr>
          <w:rFonts w:eastAsia="仿宋_GB2312"/>
          <w:sz w:val="32"/>
          <w:szCs w:val="32"/>
        </w:rPr>
      </w:pPr>
      <w:r>
        <w:rPr>
          <w:rFonts w:eastAsia="仿宋_GB2312"/>
          <w:sz w:val="32"/>
          <w:szCs w:val="32"/>
        </w:rPr>
        <w:t>2021年政府性基金决算财政拨款支出0万元。</w:t>
      </w:r>
    </w:p>
    <w:p w14:paraId="63526DF2">
      <w:pPr>
        <w:pStyle w:val="4"/>
        <w:snapToGrid w:val="0"/>
        <w:spacing w:before="0" w:after="0" w:line="576" w:lineRule="exact"/>
        <w:ind w:firstLine="640" w:firstLineChars="200"/>
        <w:rPr>
          <w:rFonts w:ascii="黑体" w:hAnsi="黑体" w:eastAsia="黑体" w:cs="黑体"/>
          <w:b w:val="0"/>
        </w:rPr>
      </w:pPr>
      <w:bookmarkStart w:id="60" w:name="_Toc15377219"/>
      <w:bookmarkStart w:id="61" w:name="_Toc28630"/>
      <w:bookmarkStart w:id="62" w:name="_Toc15396611"/>
      <w:r>
        <w:rPr>
          <w:rFonts w:hint="eastAsia" w:ascii="黑体" w:hAnsi="黑体" w:eastAsia="黑体" w:cs="黑体"/>
          <w:b w:val="0"/>
        </w:rPr>
        <w:t>九、</w:t>
      </w:r>
      <w:r>
        <w:rPr>
          <w:rFonts w:ascii="黑体" w:hAnsi="黑体" w:eastAsia="黑体" w:cs="黑体"/>
          <w:b w:val="0"/>
        </w:rPr>
        <w:t>国有资本经营决算支出决算情况说明</w:t>
      </w:r>
      <w:bookmarkEnd w:id="60"/>
      <w:bookmarkEnd w:id="61"/>
      <w:bookmarkEnd w:id="62"/>
    </w:p>
    <w:p w14:paraId="55B1FA96">
      <w:pPr>
        <w:snapToGrid w:val="0"/>
        <w:spacing w:line="576" w:lineRule="exact"/>
        <w:ind w:firstLine="640" w:firstLineChars="200"/>
        <w:rPr>
          <w:rFonts w:eastAsia="仿宋_GB2312"/>
          <w:sz w:val="44"/>
          <w:szCs w:val="44"/>
        </w:rPr>
      </w:pPr>
      <w:r>
        <w:rPr>
          <w:rFonts w:eastAsia="仿宋_GB2312"/>
          <w:sz w:val="32"/>
          <w:szCs w:val="32"/>
        </w:rPr>
        <w:t>2021年国有资本经营决算财政拨款支出0万元。</w:t>
      </w:r>
    </w:p>
    <w:p w14:paraId="60B01FD1">
      <w:pPr>
        <w:pStyle w:val="4"/>
        <w:snapToGrid w:val="0"/>
        <w:spacing w:before="0" w:after="0" w:line="576" w:lineRule="exact"/>
        <w:ind w:firstLine="640" w:firstLineChars="200"/>
        <w:rPr>
          <w:rFonts w:ascii="黑体" w:hAnsi="黑体" w:eastAsia="黑体" w:cs="黑体"/>
          <w:b w:val="0"/>
        </w:rPr>
      </w:pPr>
      <w:bookmarkStart w:id="63" w:name="_Toc8203"/>
      <w:bookmarkStart w:id="64" w:name="_Toc15377221"/>
      <w:bookmarkStart w:id="65" w:name="_Toc15396612"/>
      <w:r>
        <w:rPr>
          <w:rFonts w:hint="eastAsia" w:ascii="黑体" w:hAnsi="黑体" w:eastAsia="黑体" w:cs="黑体"/>
          <w:b w:val="0"/>
        </w:rPr>
        <w:t>十、</w:t>
      </w:r>
      <w:r>
        <w:rPr>
          <w:rFonts w:ascii="黑体" w:hAnsi="黑体" w:eastAsia="黑体" w:cs="黑体"/>
          <w:b w:val="0"/>
        </w:rPr>
        <w:t>决算绩效管理情况</w:t>
      </w:r>
      <w:bookmarkEnd w:id="63"/>
    </w:p>
    <w:p w14:paraId="1AE0A4BB">
      <w:pPr>
        <w:snapToGrid w:val="0"/>
        <w:spacing w:line="576" w:lineRule="exact"/>
        <w:ind w:firstLine="640" w:firstLineChars="200"/>
        <w:rPr>
          <w:rFonts w:eastAsia="仿宋_GB2312"/>
          <w:sz w:val="32"/>
          <w:szCs w:val="32"/>
        </w:rPr>
      </w:pPr>
      <w:r>
        <w:rPr>
          <w:rFonts w:eastAsia="仿宋_GB2312"/>
          <w:sz w:val="32"/>
          <w:szCs w:val="32"/>
        </w:rPr>
        <w:t>根据预算绩效管理要求，本部门对2021年</w:t>
      </w:r>
      <w:r>
        <w:rPr>
          <w:rFonts w:hint="eastAsia" w:eastAsia="仿宋_GB2312"/>
          <w:sz w:val="32"/>
          <w:szCs w:val="32"/>
        </w:rPr>
        <w:t>17</w:t>
      </w:r>
      <w:r>
        <w:rPr>
          <w:rFonts w:eastAsia="仿宋_GB2312"/>
          <w:sz w:val="32"/>
          <w:szCs w:val="32"/>
        </w:rPr>
        <w:t>村</w:t>
      </w:r>
      <w:r>
        <w:rPr>
          <w:rFonts w:hint="eastAsia" w:eastAsia="仿宋_GB2312"/>
          <w:sz w:val="32"/>
          <w:szCs w:val="32"/>
        </w:rPr>
        <w:t>及</w:t>
      </w:r>
      <w:r>
        <w:rPr>
          <w:rFonts w:eastAsia="仿宋_GB2312"/>
          <w:sz w:val="32"/>
          <w:szCs w:val="32"/>
        </w:rPr>
        <w:t>社区公共运行维护经费</w:t>
      </w:r>
      <w:r>
        <w:rPr>
          <w:rFonts w:hint="eastAsia" w:eastAsia="仿宋_GB2312"/>
          <w:sz w:val="32"/>
          <w:szCs w:val="32"/>
        </w:rPr>
        <w:t>142.93</w:t>
      </w:r>
      <w:r>
        <w:rPr>
          <w:rFonts w:eastAsia="仿宋_GB2312"/>
          <w:sz w:val="32"/>
          <w:szCs w:val="32"/>
        </w:rPr>
        <w:t>万元的项目支出进行了自我评价，总体情况运行良好。但有个别村未按计划要求实施，扩大资金使用范围和用途。我乡已要求相关村进行整改，对来年的公共运行维护经费提出更高的要求和标准，并制定了相关的奖惩办法。</w:t>
      </w:r>
    </w:p>
    <w:p w14:paraId="2D95EF7A">
      <w:pPr>
        <w:snapToGrid w:val="0"/>
        <w:spacing w:line="576" w:lineRule="exact"/>
        <w:ind w:firstLine="640" w:firstLineChars="200"/>
        <w:rPr>
          <w:rFonts w:eastAsia="仿宋_GB2312"/>
          <w:sz w:val="32"/>
          <w:szCs w:val="32"/>
        </w:rPr>
      </w:pPr>
      <w:r>
        <w:rPr>
          <w:rFonts w:eastAsia="仿宋_GB2312"/>
          <w:sz w:val="32"/>
          <w:szCs w:val="32"/>
        </w:rPr>
        <w:t>按照预算绩效管理要求，本部门对2021年整体支出开展绩效自评，自评得分96分，存在的问题：一是对绩效评价的认识还有待提高，仍然存在对绩效评价重视不够的问题，认为资金支付出去了，绩效评价可有可无；二是对预算执行的重视仍然不到位，对预算约束力的约束性仍然未能适应，部门领导和职员对财务上执行的预算管理行为仍然存在不理解不支持等各种误会；三是对内控制度的执行不够，执行效果不理想，对资金使用管理的</w:t>
      </w:r>
      <w:r>
        <w:rPr>
          <w:rFonts w:hint="eastAsia" w:eastAsia="仿宋_GB2312"/>
          <w:sz w:val="32"/>
          <w:szCs w:val="32"/>
          <w:lang w:eastAsia="zh-CN"/>
        </w:rPr>
        <w:t>“三重一大”制度</w:t>
      </w:r>
      <w:r>
        <w:rPr>
          <w:rFonts w:eastAsia="仿宋_GB2312"/>
          <w:sz w:val="32"/>
          <w:szCs w:val="32"/>
        </w:rPr>
        <w:t>执行不到位，对个别项目资金的安排拨付通过</w:t>
      </w:r>
      <w:r>
        <w:rPr>
          <w:rFonts w:hint="eastAsia" w:eastAsia="仿宋_GB2312"/>
          <w:sz w:val="32"/>
          <w:szCs w:val="32"/>
          <w:lang w:eastAsia="zh-CN"/>
        </w:rPr>
        <w:t>“三重一大”制度</w:t>
      </w:r>
      <w:r>
        <w:rPr>
          <w:rFonts w:eastAsia="仿宋_GB2312"/>
          <w:sz w:val="32"/>
          <w:szCs w:val="32"/>
        </w:rPr>
        <w:t>上会的工作还有待加强。下一步改进措施：一是不断学习业务，加强对项目和部门绩效评价的认识和重视程度，要把绩效管理与项目建设、部门支出管理等有机结合；二是认真学习预算法，加大宣传力度，严格执行预算，加强预算管理，让预算切实深深融入到日常业务工作当中去，让预算约束性真实体现在财政管理之中；三是认真加强内控制度的执行，加强财务人员的技能水平，严格按照内控制度的要求执行各种管理环节，切实把内控制度落实好，把资金管理的日常业务做到最好，确保国家财政资金的经济效益和社会效益。</w:t>
      </w:r>
    </w:p>
    <w:p w14:paraId="68866289">
      <w:pPr>
        <w:pStyle w:val="4"/>
        <w:snapToGrid w:val="0"/>
        <w:spacing w:before="0" w:after="0" w:line="576" w:lineRule="exact"/>
        <w:ind w:firstLine="640" w:firstLineChars="200"/>
        <w:rPr>
          <w:rFonts w:ascii="黑体" w:hAnsi="黑体" w:eastAsia="黑体" w:cs="黑体"/>
          <w:b w:val="0"/>
        </w:rPr>
      </w:pPr>
      <w:bookmarkStart w:id="66" w:name="_Toc6160"/>
      <w:r>
        <w:rPr>
          <w:rFonts w:hint="eastAsia" w:ascii="黑体" w:hAnsi="黑体" w:eastAsia="黑体" w:cs="黑体"/>
          <w:b w:val="0"/>
        </w:rPr>
        <w:t>十一、</w:t>
      </w:r>
      <w:r>
        <w:rPr>
          <w:rFonts w:ascii="黑体" w:hAnsi="黑体" w:eastAsia="黑体" w:cs="黑体"/>
          <w:b w:val="0"/>
        </w:rPr>
        <w:t>其他重要事项的情况说明</w:t>
      </w:r>
      <w:bookmarkEnd w:id="64"/>
      <w:bookmarkEnd w:id="65"/>
      <w:bookmarkEnd w:id="66"/>
    </w:p>
    <w:p w14:paraId="7C53615F">
      <w:pPr>
        <w:snapToGrid w:val="0"/>
        <w:spacing w:line="576" w:lineRule="exact"/>
        <w:ind w:firstLine="643" w:firstLineChars="200"/>
        <w:outlineLvl w:val="2"/>
        <w:rPr>
          <w:rFonts w:eastAsia="仿宋_GB2312"/>
          <w:sz w:val="32"/>
          <w:szCs w:val="32"/>
        </w:rPr>
      </w:pPr>
      <w:bookmarkStart w:id="67" w:name="_Toc15377222"/>
      <w:r>
        <w:rPr>
          <w:rFonts w:eastAsia="仿宋_GB2312"/>
          <w:b/>
          <w:sz w:val="32"/>
          <w:szCs w:val="32"/>
        </w:rPr>
        <w:t>（一）机关运行经费支出情况</w:t>
      </w:r>
      <w:bookmarkEnd w:id="67"/>
    </w:p>
    <w:p w14:paraId="681D126D">
      <w:pPr>
        <w:snapToGrid w:val="0"/>
        <w:spacing w:line="576" w:lineRule="exact"/>
        <w:ind w:firstLine="640" w:firstLineChars="200"/>
        <w:rPr>
          <w:rFonts w:eastAsia="仿宋_GB2312"/>
          <w:sz w:val="32"/>
          <w:szCs w:val="32"/>
        </w:rPr>
      </w:pPr>
      <w:r>
        <w:rPr>
          <w:rFonts w:eastAsia="仿宋_GB2312"/>
          <w:sz w:val="32"/>
          <w:szCs w:val="32"/>
        </w:rPr>
        <w:t>2021年，卫子镇人民政府机关运行经费支出</w:t>
      </w:r>
      <w:r>
        <w:rPr>
          <w:rFonts w:hint="eastAsia" w:eastAsia="仿宋_GB2312"/>
          <w:sz w:val="32"/>
          <w:szCs w:val="32"/>
        </w:rPr>
        <w:t>266.27</w:t>
      </w:r>
      <w:r>
        <w:rPr>
          <w:rFonts w:eastAsia="仿宋_GB2312"/>
          <w:sz w:val="32"/>
          <w:szCs w:val="32"/>
        </w:rPr>
        <w:t>万元，比2020年年增加4.56万元，增长7.51%.</w:t>
      </w:r>
      <w:bookmarkStart w:id="68" w:name="_Toc15377223"/>
      <w:r>
        <w:rPr>
          <w:rFonts w:eastAsia="仿宋_GB2312"/>
          <w:sz w:val="32"/>
          <w:szCs w:val="32"/>
        </w:rPr>
        <w:t>主要原因是</w:t>
      </w:r>
      <w:r>
        <w:rPr>
          <w:rFonts w:hint="eastAsia" w:eastAsia="仿宋_GB2312"/>
          <w:sz w:val="32"/>
          <w:szCs w:val="32"/>
        </w:rPr>
        <w:t>人员变动</w:t>
      </w:r>
      <w:r>
        <w:rPr>
          <w:rFonts w:eastAsia="仿宋_GB2312"/>
          <w:sz w:val="32"/>
          <w:szCs w:val="32"/>
        </w:rPr>
        <w:t>。</w:t>
      </w:r>
    </w:p>
    <w:p w14:paraId="089FE36A">
      <w:pPr>
        <w:snapToGrid w:val="0"/>
        <w:spacing w:line="576" w:lineRule="exact"/>
        <w:ind w:firstLine="643" w:firstLineChars="200"/>
        <w:rPr>
          <w:rFonts w:eastAsia="仿宋_GB2312"/>
          <w:b/>
          <w:sz w:val="32"/>
          <w:szCs w:val="32"/>
        </w:rPr>
      </w:pPr>
      <w:r>
        <w:rPr>
          <w:rFonts w:eastAsia="仿宋_GB2312"/>
          <w:b/>
          <w:sz w:val="32"/>
          <w:szCs w:val="32"/>
        </w:rPr>
        <w:t>（二）政府采购支出情况</w:t>
      </w:r>
      <w:bookmarkEnd w:id="68"/>
    </w:p>
    <w:p w14:paraId="330231EC">
      <w:pPr>
        <w:widowControl/>
        <w:shd w:val="clear" w:color="auto" w:fill="FFFFFF"/>
        <w:snapToGrid w:val="0"/>
        <w:spacing w:line="576" w:lineRule="exact"/>
        <w:ind w:firstLine="640" w:firstLineChars="200"/>
        <w:rPr>
          <w:rFonts w:eastAsia="仿宋_GB2312"/>
          <w:sz w:val="32"/>
          <w:szCs w:val="32"/>
        </w:rPr>
      </w:pPr>
      <w:r>
        <w:rPr>
          <w:rFonts w:eastAsia="仿宋_GB2312"/>
          <w:sz w:val="32"/>
          <w:szCs w:val="32"/>
        </w:rPr>
        <w:t>2021年，政府采购支出总额0万元，年初未安排预算</w:t>
      </w:r>
      <w:r>
        <w:rPr>
          <w:rFonts w:hint="eastAsia" w:eastAsia="仿宋_GB2312"/>
          <w:lang w:val="en-US" w:eastAsia="zh-CN"/>
        </w:rPr>
        <w:t>。</w:t>
      </w:r>
      <w:r>
        <w:rPr>
          <w:rFonts w:eastAsia="仿宋_GB2312"/>
          <w:sz w:val="32"/>
          <w:szCs w:val="32"/>
        </w:rPr>
        <w:t>其中：政府采购货物支出0万元、政府采购工程支出0万元、政府采购服务支出0万元。授予中小企业合同金额0万元，占政府采购支出总额的0%，其中：授予小微企业合同金额0万元，占政府采购支出总额的0%。</w:t>
      </w:r>
    </w:p>
    <w:p w14:paraId="2AB8903A">
      <w:pPr>
        <w:autoSpaceDE w:val="0"/>
        <w:autoSpaceDN w:val="0"/>
        <w:adjustRightInd w:val="0"/>
        <w:snapToGrid w:val="0"/>
        <w:spacing w:line="576" w:lineRule="exact"/>
        <w:ind w:firstLine="643" w:firstLineChars="200"/>
        <w:jc w:val="left"/>
        <w:outlineLvl w:val="2"/>
        <w:rPr>
          <w:rFonts w:eastAsia="仿宋_GB2312"/>
          <w:b/>
          <w:sz w:val="32"/>
          <w:szCs w:val="32"/>
        </w:rPr>
      </w:pPr>
      <w:bookmarkStart w:id="69" w:name="_Toc15377224"/>
      <w:r>
        <w:rPr>
          <w:rFonts w:eastAsia="仿宋_GB2312"/>
          <w:b/>
          <w:sz w:val="32"/>
          <w:szCs w:val="32"/>
        </w:rPr>
        <w:t>（三）国有资产占有使用情况</w:t>
      </w:r>
      <w:bookmarkEnd w:id="69"/>
    </w:p>
    <w:p w14:paraId="4CFB5C38">
      <w:pPr>
        <w:autoSpaceDE w:val="0"/>
        <w:autoSpaceDN w:val="0"/>
        <w:adjustRightInd w:val="0"/>
        <w:snapToGrid w:val="0"/>
        <w:spacing w:line="576" w:lineRule="exact"/>
        <w:ind w:firstLine="640" w:firstLineChars="200"/>
        <w:jc w:val="left"/>
        <w:rPr>
          <w:rFonts w:eastAsia="仿宋_GB2312"/>
          <w:sz w:val="32"/>
          <w:szCs w:val="32"/>
        </w:rPr>
      </w:pPr>
      <w:r>
        <w:rPr>
          <w:rFonts w:eastAsia="仿宋_GB2312"/>
          <w:sz w:val="32"/>
          <w:szCs w:val="32"/>
        </w:rPr>
        <w:t>截至2021年12月31日，卫子镇人民政府共有车辆0辆，其中：主要领导干部用车0辆、机要通信用车0辆、应急保障用车0辆、其他用车0辆，单价50万元以上通用设备0台（套），单价100万元以上专用设备0台（套）。</w:t>
      </w:r>
    </w:p>
    <w:p w14:paraId="38D744F2">
      <w:pPr>
        <w:pStyle w:val="3"/>
        <w:snapToGrid w:val="0"/>
        <w:spacing w:beforeLines="50" w:afterLines="50" w:line="576" w:lineRule="exact"/>
        <w:jc w:val="center"/>
        <w:rPr>
          <w:rFonts w:ascii="方正小标宋简体" w:hAnsi="方正小标宋简体" w:eastAsia="方正小标宋简体" w:cs="方正小标宋简体"/>
          <w:b w:val="0"/>
        </w:rPr>
      </w:pPr>
      <w:bookmarkStart w:id="70" w:name="_Toc15377225"/>
      <w:bookmarkStart w:id="71" w:name="_Toc15396613"/>
      <w:bookmarkStart w:id="72" w:name="_Toc8447"/>
      <w:r>
        <w:rPr>
          <w:rFonts w:hint="eastAsia" w:ascii="方正小标宋简体" w:hAnsi="方正小标宋简体" w:eastAsia="方正小标宋简体" w:cs="方正小标宋简体"/>
          <w:b w:val="0"/>
        </w:rPr>
        <w:t xml:space="preserve">第四部分  </w:t>
      </w:r>
      <w:r>
        <w:rPr>
          <w:rFonts w:ascii="方正小标宋简体" w:hAnsi="方正小标宋简体" w:eastAsia="方正小标宋简体" w:cs="方正小标宋简体"/>
          <w:b w:val="0"/>
        </w:rPr>
        <w:t>名词解释</w:t>
      </w:r>
      <w:bookmarkEnd w:id="70"/>
      <w:bookmarkEnd w:id="71"/>
      <w:bookmarkEnd w:id="72"/>
    </w:p>
    <w:p w14:paraId="77CE3FB8">
      <w:pPr>
        <w:pStyle w:val="2"/>
        <w:snapToGrid w:val="0"/>
        <w:spacing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黑体" w:cs="Times New Roman"/>
          <w:bCs/>
          <w:color w:val="auto"/>
          <w:kern w:val="2"/>
          <w:sz w:val="32"/>
          <w:szCs w:val="32"/>
        </w:rPr>
        <w:t>1.财政拨款收入：</w:t>
      </w:r>
      <w:r>
        <w:rPr>
          <w:rFonts w:ascii="Times New Roman" w:hAnsi="Times New Roman" w:eastAsia="仿宋_GB2312" w:cs="Times New Roman"/>
          <w:color w:val="auto"/>
          <w:sz w:val="32"/>
          <w:szCs w:val="32"/>
        </w:rPr>
        <w:t>指单位从同级财政部门取得的财政决算资金。</w:t>
      </w:r>
    </w:p>
    <w:p w14:paraId="11ECC2A0">
      <w:pPr>
        <w:pStyle w:val="2"/>
        <w:snapToGrid w:val="0"/>
        <w:spacing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黑体" w:cs="Times New Roman"/>
          <w:bCs/>
          <w:color w:val="auto"/>
          <w:kern w:val="2"/>
          <w:sz w:val="32"/>
          <w:szCs w:val="32"/>
        </w:rPr>
        <w:t>2.事业收入：</w:t>
      </w:r>
      <w:r>
        <w:rPr>
          <w:rFonts w:ascii="Times New Roman" w:hAnsi="Times New Roman" w:eastAsia="仿宋_GB2312" w:cs="Times New Roman"/>
          <w:color w:val="auto"/>
          <w:sz w:val="32"/>
          <w:szCs w:val="32"/>
        </w:rPr>
        <w:t>指事业单位开展专业业务活动及辅助活动取得的收入。</w:t>
      </w:r>
    </w:p>
    <w:p w14:paraId="6272C21A">
      <w:pPr>
        <w:pStyle w:val="2"/>
        <w:snapToGrid w:val="0"/>
        <w:spacing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黑体" w:cs="Times New Roman"/>
          <w:bCs/>
          <w:color w:val="auto"/>
          <w:kern w:val="2"/>
          <w:sz w:val="32"/>
          <w:szCs w:val="32"/>
        </w:rPr>
        <w:t>3.经营收入：</w:t>
      </w:r>
      <w:r>
        <w:rPr>
          <w:rFonts w:ascii="Times New Roman" w:hAnsi="Times New Roman" w:eastAsia="仿宋_GB2312" w:cs="Times New Roman"/>
          <w:color w:val="auto"/>
          <w:sz w:val="32"/>
          <w:szCs w:val="32"/>
        </w:rPr>
        <w:t>指事业单位在专业业务活动及其辅助活动外开展非独立核算经营活动取得的收入。</w:t>
      </w:r>
    </w:p>
    <w:p w14:paraId="155F3259">
      <w:pPr>
        <w:pStyle w:val="2"/>
        <w:snapToGrid w:val="0"/>
        <w:spacing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黑体" w:cs="Times New Roman"/>
          <w:bCs/>
          <w:color w:val="auto"/>
          <w:kern w:val="2"/>
          <w:sz w:val="32"/>
          <w:szCs w:val="32"/>
        </w:rPr>
        <w:t>4.其他收入：</w:t>
      </w:r>
      <w:r>
        <w:rPr>
          <w:rFonts w:ascii="Times New Roman" w:hAnsi="Times New Roman" w:eastAsia="仿宋_GB2312" w:cs="Times New Roman"/>
          <w:color w:val="auto"/>
          <w:sz w:val="32"/>
          <w:szCs w:val="32"/>
        </w:rPr>
        <w:t>指单位取得的除上述收入以外的各项收入。</w:t>
      </w:r>
    </w:p>
    <w:p w14:paraId="03B5CFAA">
      <w:pPr>
        <w:pStyle w:val="2"/>
        <w:snapToGrid w:val="0"/>
        <w:spacing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黑体" w:cs="Times New Roman"/>
          <w:bCs/>
          <w:color w:val="auto"/>
          <w:kern w:val="2"/>
          <w:sz w:val="32"/>
          <w:szCs w:val="32"/>
        </w:rPr>
        <w:t>5.使用非财政拨款结余：</w:t>
      </w:r>
      <w:r>
        <w:rPr>
          <w:rFonts w:ascii="Times New Roman" w:hAnsi="Times New Roman" w:eastAsia="仿宋_GB2312" w:cs="Times New Roman"/>
          <w:color w:val="auto"/>
          <w:sz w:val="32"/>
          <w:szCs w:val="32"/>
        </w:rPr>
        <w:t>指事业单位使用以前年度积累的非财政拨款结余弥补当年收支差额的金额。</w:t>
      </w:r>
    </w:p>
    <w:p w14:paraId="58189623">
      <w:pPr>
        <w:pStyle w:val="2"/>
        <w:snapToGrid w:val="0"/>
        <w:spacing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黑体" w:cs="Times New Roman"/>
          <w:bCs/>
          <w:color w:val="auto"/>
          <w:kern w:val="2"/>
          <w:sz w:val="32"/>
          <w:szCs w:val="32"/>
        </w:rPr>
        <w:t>6.年初结转和结余：</w:t>
      </w:r>
      <w:r>
        <w:rPr>
          <w:rFonts w:ascii="Times New Roman" w:hAnsi="Times New Roman" w:eastAsia="仿宋_GB2312" w:cs="Times New Roman"/>
          <w:color w:val="auto"/>
          <w:sz w:val="32"/>
          <w:szCs w:val="32"/>
        </w:rPr>
        <w:t>指以前年度尚未完成、结转到本年按有关规定继续使用的资金。</w:t>
      </w:r>
    </w:p>
    <w:p w14:paraId="093E0BCE">
      <w:pPr>
        <w:pStyle w:val="2"/>
        <w:snapToGrid w:val="0"/>
        <w:spacing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黑体" w:cs="Times New Roman"/>
          <w:bCs/>
          <w:color w:val="auto"/>
          <w:kern w:val="2"/>
          <w:sz w:val="32"/>
          <w:szCs w:val="32"/>
        </w:rPr>
        <w:t>7.结余分配：</w:t>
      </w:r>
      <w:r>
        <w:rPr>
          <w:rFonts w:ascii="Times New Roman" w:hAnsi="Times New Roman" w:eastAsia="仿宋_GB2312" w:cs="Times New Roman"/>
          <w:color w:val="auto"/>
          <w:sz w:val="32"/>
          <w:szCs w:val="32"/>
        </w:rPr>
        <w:t>指事业单位按照会计制度规定缴纳的所得税、提取的专用结余以及转入非财政拨款结余的金额等。</w:t>
      </w:r>
    </w:p>
    <w:p w14:paraId="4B4CFF0E">
      <w:pPr>
        <w:pStyle w:val="2"/>
        <w:snapToGrid w:val="0"/>
        <w:spacing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黑体" w:cs="Times New Roman"/>
          <w:bCs/>
          <w:color w:val="auto"/>
          <w:kern w:val="2"/>
          <w:sz w:val="32"/>
          <w:szCs w:val="32"/>
        </w:rPr>
        <w:t>8、年末结转和结余</w:t>
      </w:r>
      <w:r>
        <w:rPr>
          <w:rFonts w:ascii="Times New Roman" w:hAnsi="Times New Roman" w:eastAsia="仿宋_GB2312" w:cs="Times New Roman"/>
          <w:color w:val="auto"/>
          <w:sz w:val="32"/>
          <w:szCs w:val="32"/>
        </w:rPr>
        <w:t>：指单位按有关规定结转到下年或以后年度继续使用的资金。</w:t>
      </w:r>
    </w:p>
    <w:p w14:paraId="66D73280">
      <w:pPr>
        <w:pStyle w:val="2"/>
        <w:snapToGrid w:val="0"/>
        <w:spacing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黑体" w:cs="Times New Roman"/>
          <w:bCs/>
          <w:color w:val="auto"/>
          <w:kern w:val="2"/>
          <w:sz w:val="32"/>
          <w:szCs w:val="32"/>
        </w:rPr>
        <w:t>9、一般公共服务（类）人大事务（款）行政运行（项）</w:t>
      </w:r>
      <w:r>
        <w:rPr>
          <w:rFonts w:ascii="Times New Roman" w:hAnsi="Times New Roman" w:eastAsia="仿宋_GB2312" w:cs="Times New Roman"/>
          <w:color w:val="auto"/>
          <w:sz w:val="32"/>
          <w:szCs w:val="32"/>
        </w:rPr>
        <w:t>指用于人大的基本支出，包括基本工资、津贴补贴等人员经费以及办公费、印刷费、水电费等日常公用经费,保障部门正常运转的支出。      </w:t>
      </w:r>
    </w:p>
    <w:p w14:paraId="1FDDC1C6">
      <w:pPr>
        <w:pStyle w:val="2"/>
        <w:snapToGrid w:val="0"/>
        <w:spacing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黑体" w:cs="Times New Roman"/>
          <w:bCs/>
          <w:color w:val="auto"/>
          <w:kern w:val="2"/>
          <w:sz w:val="32"/>
          <w:szCs w:val="32"/>
        </w:rPr>
        <w:t>10、一般公共服务（类）政府办公厅（室）及相关机构事务（款）行政运行（项）</w:t>
      </w:r>
      <w:r>
        <w:rPr>
          <w:rFonts w:ascii="Times New Roman" w:hAnsi="Times New Roman" w:eastAsia="仿宋_GB2312" w:cs="Times New Roman"/>
          <w:color w:val="auto"/>
          <w:sz w:val="32"/>
          <w:szCs w:val="32"/>
        </w:rPr>
        <w:t>指用于</w:t>
      </w:r>
      <w:r>
        <w:rPr>
          <w:rFonts w:hint="eastAsia" w:ascii="Times New Roman" w:hAnsi="Times New Roman" w:eastAsia="仿宋_GB2312" w:cs="Times New Roman"/>
          <w:color w:val="auto"/>
          <w:sz w:val="32"/>
          <w:szCs w:val="32"/>
          <w:lang w:eastAsia="zh-CN"/>
        </w:rPr>
        <w:t>镇政府办公室</w:t>
      </w:r>
      <w:r>
        <w:rPr>
          <w:rFonts w:ascii="Times New Roman" w:hAnsi="Times New Roman" w:eastAsia="仿宋_GB2312" w:cs="Times New Roman"/>
          <w:color w:val="auto"/>
          <w:sz w:val="32"/>
          <w:szCs w:val="32"/>
        </w:rPr>
        <w:t>及相关机构正常运转的基本支出，包括基本工资、津贴补贴等人员经费以及办公费、印刷费、水电费等日常公用经费,保障部门正常运转。</w:t>
      </w:r>
    </w:p>
    <w:p w14:paraId="1BAE9ECC">
      <w:pPr>
        <w:pStyle w:val="2"/>
        <w:snapToGrid w:val="0"/>
        <w:spacing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黑体" w:cs="Times New Roman"/>
          <w:bCs/>
          <w:color w:val="auto"/>
          <w:kern w:val="2"/>
          <w:sz w:val="32"/>
          <w:szCs w:val="32"/>
        </w:rPr>
        <w:t>11、一般公共服务（类）财政事务(款)行政运行(项)</w:t>
      </w:r>
      <w:r>
        <w:rPr>
          <w:rFonts w:ascii="Times New Roman" w:hAnsi="Times New Roman" w:eastAsia="仿宋_GB2312" w:cs="Times New Roman"/>
          <w:color w:val="auto"/>
          <w:sz w:val="32"/>
          <w:szCs w:val="32"/>
        </w:rPr>
        <w:t>指用于财政基本支出，包括基本工资、津贴补贴等人员经费以及办公费、印刷费、水电费等日常公用经费,保障部门正常运转。</w:t>
      </w:r>
    </w:p>
    <w:p w14:paraId="2259E6B6">
      <w:pPr>
        <w:pStyle w:val="2"/>
        <w:snapToGrid w:val="0"/>
        <w:spacing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黑体" w:cs="Times New Roman"/>
          <w:bCs/>
          <w:color w:val="auto"/>
          <w:kern w:val="2"/>
          <w:sz w:val="32"/>
          <w:szCs w:val="32"/>
        </w:rPr>
        <w:t>12、一般公共服务（类）纪检监察事务（款）行政运行（项）</w:t>
      </w:r>
      <w:r>
        <w:rPr>
          <w:rFonts w:ascii="Times New Roman" w:hAnsi="Times New Roman" w:eastAsia="仿宋_GB2312" w:cs="Times New Roman"/>
          <w:color w:val="auto"/>
          <w:sz w:val="32"/>
          <w:szCs w:val="32"/>
        </w:rPr>
        <w:t>指用于纪律检查、党风廉政建设工作等支出。</w:t>
      </w:r>
    </w:p>
    <w:p w14:paraId="1AF4BC69">
      <w:pPr>
        <w:pStyle w:val="2"/>
        <w:snapToGrid w:val="0"/>
        <w:spacing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黑体" w:cs="Times New Roman"/>
          <w:bCs/>
          <w:color w:val="auto"/>
          <w:kern w:val="2"/>
          <w:sz w:val="32"/>
          <w:szCs w:val="32"/>
        </w:rPr>
        <w:t>13、一般公共服务（类）组织事务（款）行政运行（项）</w:t>
      </w:r>
      <w:r>
        <w:rPr>
          <w:rFonts w:ascii="Times New Roman" w:hAnsi="Times New Roman" w:eastAsia="仿宋_GB2312" w:cs="Times New Roman"/>
          <w:color w:val="auto"/>
          <w:sz w:val="32"/>
          <w:szCs w:val="32"/>
        </w:rPr>
        <w:t>指用于组织事务工作等支出。</w:t>
      </w:r>
    </w:p>
    <w:p w14:paraId="777529F8">
      <w:pPr>
        <w:pStyle w:val="4"/>
        <w:snapToGrid w:val="0"/>
        <w:spacing w:before="0" w:after="0" w:line="576" w:lineRule="exact"/>
        <w:ind w:firstLine="640" w:firstLineChars="200"/>
        <w:rPr>
          <w:rFonts w:ascii="Times New Roman" w:hAnsi="Times New Roman" w:eastAsia="仿宋_GB2312" w:cs="Times New Roman"/>
          <w:b w:val="0"/>
          <w:bCs w:val="0"/>
        </w:rPr>
      </w:pPr>
      <w:bookmarkStart w:id="73" w:name="_Toc21097"/>
      <w:r>
        <w:rPr>
          <w:rFonts w:ascii="Times New Roman" w:hAnsi="Times New Roman" w:eastAsia="黑体" w:cs="Times New Roman"/>
          <w:b w:val="0"/>
        </w:rPr>
        <w:t>14、一般公共服务（类）党委办公厅（室）及相关机构事务（款）行政运行（项）</w:t>
      </w:r>
      <w:r>
        <w:rPr>
          <w:rFonts w:ascii="Times New Roman" w:hAnsi="Times New Roman" w:eastAsia="仿宋_GB2312" w:cs="Times New Roman"/>
          <w:b w:val="0"/>
          <w:bCs w:val="0"/>
        </w:rPr>
        <w:t>指用于党委办公厅（室）的基本支出，包括基本工资、津贴补贴等人员经费以及办公费、印刷费、水电费等日常公用经费,保障部门正常运转。</w:t>
      </w:r>
      <w:bookmarkEnd w:id="73"/>
    </w:p>
    <w:p w14:paraId="5E7AFC45">
      <w:pPr>
        <w:pStyle w:val="2"/>
        <w:snapToGrid w:val="0"/>
        <w:spacing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黑体" w:cs="Times New Roman"/>
          <w:bCs/>
          <w:color w:val="auto"/>
          <w:kern w:val="2"/>
          <w:sz w:val="32"/>
          <w:szCs w:val="32"/>
        </w:rPr>
        <w:t>15、社会保障和就业（类）人力资源和社会保障管理事务（款）事业运行（项）</w:t>
      </w:r>
      <w:r>
        <w:rPr>
          <w:rFonts w:ascii="Times New Roman" w:hAnsi="Times New Roman" w:eastAsia="仿宋_GB2312" w:cs="Times New Roman"/>
          <w:color w:val="auto"/>
          <w:sz w:val="32"/>
          <w:szCs w:val="32"/>
        </w:rPr>
        <w:t>指用于社会保障部门的基本支出，包括基本工资、津贴补贴等人员经费以及办公费、印刷费、水电费等日常公用经费,保障部门正常运转。</w:t>
      </w:r>
    </w:p>
    <w:p w14:paraId="2BF84D23">
      <w:pPr>
        <w:pStyle w:val="2"/>
        <w:snapToGrid w:val="0"/>
        <w:spacing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黑体" w:cs="Times New Roman"/>
          <w:bCs/>
          <w:color w:val="auto"/>
          <w:kern w:val="2"/>
          <w:sz w:val="32"/>
          <w:szCs w:val="32"/>
        </w:rPr>
        <w:t>16、社会保障和就业（类）行政事业单位养老支出（款）机关事业单位基本养老保险缴费支出（项）</w:t>
      </w:r>
      <w:r>
        <w:rPr>
          <w:rFonts w:ascii="Times New Roman" w:hAnsi="Times New Roman" w:eastAsia="仿宋_GB2312" w:cs="Times New Roman"/>
          <w:color w:val="auto"/>
          <w:sz w:val="32"/>
          <w:szCs w:val="32"/>
        </w:rPr>
        <w:t>指用于实施养老保险制度由单位缴纳的基本养老保险支出。</w:t>
      </w:r>
    </w:p>
    <w:p w14:paraId="574BD385">
      <w:pPr>
        <w:pStyle w:val="2"/>
        <w:snapToGrid w:val="0"/>
        <w:spacing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黑体" w:cs="Times New Roman"/>
          <w:bCs/>
          <w:color w:val="auto"/>
          <w:kern w:val="2"/>
          <w:sz w:val="32"/>
          <w:szCs w:val="32"/>
        </w:rPr>
        <w:t>17.卫生健康（类）行政事业单位医疗（款）行政单位医疗（项）</w:t>
      </w:r>
      <w:r>
        <w:rPr>
          <w:rFonts w:ascii="Times New Roman" w:hAnsi="Times New Roman" w:eastAsia="仿宋_GB2312" w:cs="Times New Roman"/>
          <w:color w:val="auto"/>
          <w:sz w:val="32"/>
          <w:szCs w:val="32"/>
        </w:rPr>
        <w:t>指用于机关及参公管理事业单位按规定由单位缴纳的基本医疗保险支出部门下属事业单位按规定由单位缴纳的基本医疗保险支出。</w:t>
      </w:r>
    </w:p>
    <w:p w14:paraId="4023770E">
      <w:pPr>
        <w:pStyle w:val="2"/>
        <w:snapToGrid w:val="0"/>
        <w:spacing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黑体" w:cs="Times New Roman"/>
          <w:bCs/>
          <w:color w:val="auto"/>
          <w:kern w:val="2"/>
          <w:sz w:val="32"/>
          <w:szCs w:val="32"/>
        </w:rPr>
        <w:t>18.农林水支出（类）农业农村（款）事业运行（项）</w:t>
      </w:r>
      <w:r>
        <w:rPr>
          <w:rFonts w:ascii="Times New Roman" w:hAnsi="Times New Roman" w:eastAsia="仿宋_GB2312" w:cs="Times New Roman"/>
          <w:color w:val="auto"/>
          <w:sz w:val="32"/>
          <w:szCs w:val="32"/>
        </w:rPr>
        <w:t>指用于行政单位基本支出，包括基本工资、津贴补贴等人员经费以及办公费、印刷费、水电费等日常公用经费,保障部门正常运转。</w:t>
      </w:r>
    </w:p>
    <w:p w14:paraId="70971AEC">
      <w:pPr>
        <w:pStyle w:val="2"/>
        <w:snapToGrid w:val="0"/>
        <w:spacing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黑体" w:cs="Times New Roman"/>
          <w:bCs/>
          <w:color w:val="auto"/>
          <w:kern w:val="2"/>
          <w:sz w:val="32"/>
          <w:szCs w:val="32"/>
        </w:rPr>
        <w:t>19.农林水支出（类）农业农村（款）对高校毕业生到机场任职补助（项）</w:t>
      </w:r>
      <w:r>
        <w:rPr>
          <w:rFonts w:ascii="Times New Roman" w:hAnsi="Times New Roman" w:eastAsia="仿宋_GB2312" w:cs="Times New Roman"/>
          <w:color w:val="auto"/>
          <w:sz w:val="32"/>
          <w:szCs w:val="32"/>
        </w:rPr>
        <w:t>指用于高校毕业生到机场任职补助。</w:t>
      </w:r>
    </w:p>
    <w:p w14:paraId="51487A4E">
      <w:pPr>
        <w:pStyle w:val="2"/>
        <w:snapToGrid w:val="0"/>
        <w:spacing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黑体" w:cs="Times New Roman"/>
          <w:bCs/>
          <w:color w:val="auto"/>
          <w:kern w:val="2"/>
          <w:sz w:val="32"/>
          <w:szCs w:val="32"/>
        </w:rPr>
        <w:t>20.农业农村（类）林业和草原（款）行政运行（项）</w:t>
      </w:r>
      <w:r>
        <w:rPr>
          <w:rFonts w:ascii="Times New Roman" w:hAnsi="Times New Roman" w:eastAsia="仿宋_GB2312" w:cs="Times New Roman"/>
          <w:color w:val="auto"/>
          <w:sz w:val="32"/>
          <w:szCs w:val="32"/>
        </w:rPr>
        <w:t>指用于行政单位基本支出，包括基本工资、津贴补贴等人员经费以及办公费、印刷费、水电费等日常公用经费,保障部门正常运转。</w:t>
      </w:r>
    </w:p>
    <w:p w14:paraId="4769309C">
      <w:pPr>
        <w:pStyle w:val="2"/>
        <w:snapToGrid w:val="0"/>
        <w:spacing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黑体" w:cs="Times New Roman"/>
          <w:bCs/>
          <w:color w:val="auto"/>
          <w:kern w:val="2"/>
          <w:sz w:val="32"/>
          <w:szCs w:val="32"/>
        </w:rPr>
        <w:t>21.农林水支出（类）农村综合改革（款）对村民委员会和村党支部的补助（项）</w:t>
      </w:r>
      <w:r>
        <w:rPr>
          <w:rFonts w:ascii="Times New Roman" w:hAnsi="Times New Roman" w:eastAsia="仿宋_GB2312" w:cs="Times New Roman"/>
          <w:color w:val="auto"/>
          <w:sz w:val="32"/>
          <w:szCs w:val="32"/>
        </w:rPr>
        <w:t>指用于村（社区）社干部生活补助、村（社区）日常公用经费及农村公共运行维护支出。</w:t>
      </w:r>
    </w:p>
    <w:p w14:paraId="01E2DA77">
      <w:pPr>
        <w:pStyle w:val="2"/>
        <w:snapToGrid w:val="0"/>
        <w:spacing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黑体" w:cs="Times New Roman"/>
          <w:bCs/>
          <w:color w:val="auto"/>
          <w:kern w:val="2"/>
          <w:sz w:val="32"/>
          <w:szCs w:val="32"/>
        </w:rPr>
        <w:t>22.住房保障（类）住房改革支出（款）住房公积金（项）</w:t>
      </w:r>
      <w:r>
        <w:rPr>
          <w:rFonts w:ascii="Times New Roman" w:hAnsi="Times New Roman" w:eastAsia="仿宋_GB2312" w:cs="Times New Roman"/>
          <w:color w:val="auto"/>
          <w:sz w:val="32"/>
          <w:szCs w:val="32"/>
        </w:rPr>
        <w:t>指用于部门按规定为职工缴纳的住房公积金支出。</w:t>
      </w:r>
    </w:p>
    <w:p w14:paraId="0F528619">
      <w:pPr>
        <w:snapToGrid w:val="0"/>
        <w:spacing w:line="576" w:lineRule="exact"/>
        <w:ind w:firstLine="640" w:firstLineChars="200"/>
        <w:rPr>
          <w:rFonts w:eastAsia="仿宋_GB2312"/>
          <w:sz w:val="32"/>
          <w:szCs w:val="32"/>
        </w:rPr>
      </w:pPr>
      <w:r>
        <w:rPr>
          <w:rFonts w:eastAsia="黑体"/>
          <w:bCs/>
          <w:sz w:val="32"/>
          <w:szCs w:val="32"/>
        </w:rPr>
        <w:t>23.基本支出：</w:t>
      </w:r>
      <w:r>
        <w:rPr>
          <w:rFonts w:eastAsia="仿宋_GB2312"/>
          <w:sz w:val="32"/>
          <w:szCs w:val="32"/>
        </w:rPr>
        <w:t>指为保障机构正常运转、完成日常工作任务而发生的人员支出和公用支出。</w:t>
      </w:r>
    </w:p>
    <w:p w14:paraId="66A00E80">
      <w:pPr>
        <w:snapToGrid w:val="0"/>
        <w:spacing w:line="576" w:lineRule="exact"/>
        <w:ind w:firstLine="640" w:firstLineChars="200"/>
        <w:rPr>
          <w:rFonts w:eastAsia="仿宋_GB2312"/>
          <w:sz w:val="32"/>
          <w:szCs w:val="32"/>
        </w:rPr>
      </w:pPr>
      <w:r>
        <w:rPr>
          <w:rFonts w:eastAsia="黑体"/>
          <w:bCs/>
          <w:sz w:val="32"/>
          <w:szCs w:val="32"/>
        </w:rPr>
        <w:t>24.项目支出：</w:t>
      </w:r>
      <w:r>
        <w:rPr>
          <w:rFonts w:eastAsia="仿宋_GB2312"/>
          <w:sz w:val="32"/>
          <w:szCs w:val="32"/>
        </w:rPr>
        <w:t>指在基本支出之外为完成特定行政任务和事业发展目标所发生的支出。</w:t>
      </w:r>
    </w:p>
    <w:p w14:paraId="711C920D">
      <w:pPr>
        <w:snapToGrid w:val="0"/>
        <w:spacing w:line="576" w:lineRule="exact"/>
        <w:ind w:firstLine="640" w:firstLineChars="200"/>
        <w:rPr>
          <w:rFonts w:eastAsia="仿宋_GB2312"/>
          <w:sz w:val="32"/>
          <w:szCs w:val="32"/>
        </w:rPr>
      </w:pPr>
      <w:r>
        <w:rPr>
          <w:rFonts w:eastAsia="黑体"/>
          <w:bCs/>
          <w:sz w:val="32"/>
          <w:szCs w:val="32"/>
        </w:rPr>
        <w:t>25.经营支出：</w:t>
      </w:r>
      <w:r>
        <w:rPr>
          <w:rFonts w:eastAsia="仿宋_GB2312"/>
          <w:sz w:val="32"/>
          <w:szCs w:val="32"/>
        </w:rPr>
        <w:t>指事业单位在专业业务活动及其辅助活动之外开展非独立核算经营活动发生的支出。</w:t>
      </w:r>
    </w:p>
    <w:p w14:paraId="28C36C21">
      <w:pPr>
        <w:pStyle w:val="2"/>
        <w:snapToGrid w:val="0"/>
        <w:spacing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黑体" w:cs="Times New Roman"/>
          <w:bCs/>
          <w:color w:val="auto"/>
          <w:kern w:val="2"/>
          <w:sz w:val="32"/>
          <w:szCs w:val="32"/>
        </w:rPr>
        <w:t>26.“三公”经费：</w:t>
      </w:r>
      <w:r>
        <w:rPr>
          <w:rFonts w:ascii="Times New Roman" w:hAnsi="Times New Roman" w:eastAsia="仿宋_GB2312" w:cs="Times New Roman"/>
          <w:color w:val="auto"/>
          <w:sz w:val="32"/>
          <w:szCs w:val="32"/>
        </w:rPr>
        <w:t>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4A3E064">
      <w:pPr>
        <w:pStyle w:val="2"/>
        <w:snapToGrid w:val="0"/>
        <w:spacing w:line="576" w:lineRule="exact"/>
        <w:ind w:firstLine="640" w:firstLineChars="200"/>
        <w:rPr>
          <w:rFonts w:ascii="Times New Roman" w:hAnsi="Times New Roman" w:eastAsia="仿宋_GB2312" w:cs="Times New Roman"/>
          <w:color w:val="auto"/>
          <w:sz w:val="32"/>
          <w:szCs w:val="32"/>
        </w:rPr>
      </w:pPr>
      <w:r>
        <w:rPr>
          <w:rFonts w:ascii="Times New Roman" w:hAnsi="Times New Roman" w:eastAsia="黑体" w:cs="Times New Roman"/>
          <w:bCs/>
          <w:color w:val="auto"/>
          <w:kern w:val="2"/>
          <w:sz w:val="32"/>
          <w:szCs w:val="32"/>
        </w:rPr>
        <w:t>27.机关运行经费：</w:t>
      </w:r>
      <w:r>
        <w:rPr>
          <w:rFonts w:ascii="Times New Roman" w:hAnsi="Times New Roman" w:eastAsia="仿宋_GB2312" w:cs="Times New Roman"/>
          <w:color w:val="auto"/>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4CCCD52">
      <w:pPr>
        <w:snapToGrid w:val="0"/>
        <w:spacing w:line="576" w:lineRule="exact"/>
        <w:ind w:firstLine="880" w:firstLineChars="200"/>
        <w:jc w:val="center"/>
        <w:rPr>
          <w:rFonts w:eastAsia="仿宋_GB2312"/>
          <w:sz w:val="44"/>
          <w:szCs w:val="44"/>
        </w:rPr>
      </w:pPr>
      <w:bookmarkStart w:id="74" w:name="_Toc15396614"/>
      <w:bookmarkStart w:id="75" w:name="_Toc15377226"/>
    </w:p>
    <w:p w14:paraId="7171FB8E">
      <w:pPr>
        <w:snapToGrid w:val="0"/>
        <w:spacing w:line="576" w:lineRule="exact"/>
        <w:ind w:firstLine="880" w:firstLineChars="200"/>
        <w:jc w:val="center"/>
        <w:rPr>
          <w:rFonts w:eastAsia="仿宋_GB2312"/>
          <w:sz w:val="44"/>
          <w:szCs w:val="44"/>
        </w:rPr>
      </w:pPr>
    </w:p>
    <w:p w14:paraId="0F8161A4">
      <w:pPr>
        <w:snapToGrid w:val="0"/>
        <w:spacing w:line="576" w:lineRule="exact"/>
        <w:ind w:firstLine="880" w:firstLineChars="200"/>
        <w:jc w:val="center"/>
        <w:rPr>
          <w:rFonts w:eastAsia="仿宋_GB2312"/>
          <w:sz w:val="44"/>
          <w:szCs w:val="44"/>
        </w:rPr>
      </w:pPr>
    </w:p>
    <w:p w14:paraId="60B9F0E5">
      <w:pPr>
        <w:snapToGrid w:val="0"/>
        <w:spacing w:line="576" w:lineRule="exact"/>
        <w:ind w:firstLine="880" w:firstLineChars="200"/>
        <w:jc w:val="center"/>
        <w:rPr>
          <w:rFonts w:eastAsia="仿宋_GB2312"/>
          <w:sz w:val="44"/>
          <w:szCs w:val="44"/>
        </w:rPr>
      </w:pPr>
    </w:p>
    <w:p w14:paraId="180A206E">
      <w:pPr>
        <w:snapToGrid w:val="0"/>
        <w:spacing w:line="576" w:lineRule="exact"/>
        <w:ind w:firstLine="880" w:firstLineChars="200"/>
        <w:jc w:val="center"/>
        <w:rPr>
          <w:rFonts w:eastAsia="仿宋_GB2312"/>
          <w:sz w:val="44"/>
          <w:szCs w:val="44"/>
        </w:rPr>
      </w:pPr>
    </w:p>
    <w:p w14:paraId="7EE6BD02">
      <w:pPr>
        <w:pStyle w:val="6"/>
        <w:spacing w:before="93"/>
        <w:rPr>
          <w:rFonts w:ascii="Times New Roman"/>
          <w:sz w:val="44"/>
          <w:szCs w:val="44"/>
        </w:rPr>
      </w:pPr>
    </w:p>
    <w:p w14:paraId="7586DF9C">
      <w:pPr>
        <w:pStyle w:val="6"/>
        <w:spacing w:before="93"/>
        <w:rPr>
          <w:rFonts w:ascii="Times New Roman"/>
          <w:sz w:val="44"/>
          <w:szCs w:val="44"/>
        </w:rPr>
      </w:pPr>
    </w:p>
    <w:p w14:paraId="0A4CBE64">
      <w:pPr>
        <w:snapToGrid w:val="0"/>
        <w:spacing w:line="576" w:lineRule="exact"/>
        <w:ind w:firstLine="880" w:firstLineChars="200"/>
        <w:jc w:val="center"/>
        <w:rPr>
          <w:rFonts w:eastAsia="仿宋_GB2312"/>
          <w:sz w:val="44"/>
          <w:szCs w:val="44"/>
        </w:rPr>
      </w:pPr>
    </w:p>
    <w:p w14:paraId="6D658E23">
      <w:pPr>
        <w:pStyle w:val="3"/>
        <w:snapToGrid w:val="0"/>
        <w:spacing w:beforeLines="50" w:afterLines="50" w:line="576" w:lineRule="exact"/>
        <w:jc w:val="center"/>
        <w:rPr>
          <w:rFonts w:ascii="方正小标宋简体" w:hAnsi="方正小标宋简体" w:eastAsia="方正小标宋简体" w:cs="方正小标宋简体"/>
          <w:b w:val="0"/>
        </w:rPr>
      </w:pPr>
      <w:bookmarkStart w:id="76" w:name="_Toc15353"/>
      <w:r>
        <w:rPr>
          <w:rFonts w:ascii="方正小标宋简体" w:hAnsi="方正小标宋简体" w:eastAsia="方正小标宋简体" w:cs="方正小标宋简体"/>
          <w:b w:val="0"/>
        </w:rPr>
        <w:t>第四部分</w:t>
      </w:r>
      <w:r>
        <w:rPr>
          <w:rFonts w:hint="eastAsia" w:ascii="方正小标宋简体" w:hAnsi="方正小标宋简体" w:eastAsia="方正小标宋简体" w:cs="方正小标宋简体"/>
          <w:b w:val="0"/>
        </w:rPr>
        <w:t xml:space="preserve">  </w:t>
      </w:r>
      <w:r>
        <w:rPr>
          <w:rFonts w:ascii="方正小标宋简体" w:hAnsi="方正小标宋简体" w:eastAsia="方正小标宋简体" w:cs="方正小标宋简体"/>
          <w:b w:val="0"/>
        </w:rPr>
        <w:t>附件</w:t>
      </w:r>
      <w:bookmarkEnd w:id="74"/>
      <w:bookmarkEnd w:id="76"/>
    </w:p>
    <w:p w14:paraId="50DDC6BF">
      <w:pPr>
        <w:snapToGrid w:val="0"/>
        <w:spacing w:line="576" w:lineRule="exact"/>
        <w:jc w:val="both"/>
        <w:outlineLvl w:val="1"/>
        <w:rPr>
          <w:rFonts w:eastAsia="仿宋_GB2312"/>
          <w:sz w:val="32"/>
          <w:szCs w:val="32"/>
        </w:rPr>
      </w:pPr>
      <w:bookmarkStart w:id="77" w:name="_Toc7824"/>
      <w:r>
        <w:rPr>
          <w:rFonts w:eastAsia="仿宋_GB2312"/>
          <w:sz w:val="32"/>
          <w:szCs w:val="32"/>
        </w:rPr>
        <w:t>附件</w:t>
      </w:r>
      <w:bookmarkEnd w:id="77"/>
      <w:r>
        <w:rPr>
          <w:rFonts w:hint="eastAsia" w:eastAsia="仿宋_GB2312"/>
          <w:sz w:val="32"/>
          <w:szCs w:val="32"/>
          <w:lang w:val="en-US" w:eastAsia="zh-CN"/>
        </w:rPr>
        <w:t xml:space="preserve">         </w:t>
      </w:r>
      <w:r>
        <w:rPr>
          <w:rFonts w:hint="eastAsia" w:ascii="宋体" w:hAnsi="宋体" w:eastAsia="宋体" w:cs="宋体"/>
          <w:b/>
          <w:i w:val="0"/>
          <w:color w:val="auto"/>
          <w:sz w:val="32"/>
          <w:szCs w:val="32"/>
          <w:highlight w:val="none"/>
          <w:u w:val="none"/>
          <w:lang w:val="en-US" w:eastAsia="zh-CN"/>
        </w:rPr>
        <w:t>2021年部门预算项目绩效目标自评</w:t>
      </w:r>
    </w:p>
    <w:tbl>
      <w:tblPr>
        <w:tblStyle w:val="16"/>
        <w:tblpPr w:leftFromText="180" w:rightFromText="180" w:vertAnchor="text" w:horzAnchor="margin" w:tblpXSpec="center" w:tblpY="300"/>
        <w:tblOverlap w:val="never"/>
        <w:tblW w:w="108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1049"/>
        <w:gridCol w:w="2036"/>
        <w:gridCol w:w="868"/>
        <w:gridCol w:w="321"/>
        <w:gridCol w:w="970"/>
        <w:gridCol w:w="254"/>
        <w:gridCol w:w="1022"/>
        <w:gridCol w:w="2506"/>
        <w:gridCol w:w="187"/>
      </w:tblGrid>
      <w:tr w14:paraId="62444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87" w:type="dxa"/>
          <w:trHeight w:val="254" w:hRule="atLeast"/>
          <w:jc w:val="center"/>
        </w:trPr>
        <w:tc>
          <w:tcPr>
            <w:tcW w:w="2717" w:type="dxa"/>
            <w:gridSpan w:val="2"/>
            <w:tcBorders>
              <w:tl2br w:val="nil"/>
              <w:tr2bl w:val="nil"/>
            </w:tcBorders>
            <w:shd w:val="clear" w:color="auto" w:fill="auto"/>
            <w:vAlign w:val="center"/>
          </w:tcPr>
          <w:p w14:paraId="76ADBE41">
            <w:pPr>
              <w:widowControl/>
              <w:snapToGrid w:val="0"/>
              <w:spacing w:line="300" w:lineRule="exact"/>
              <w:jc w:val="center"/>
              <w:textAlignment w:val="center"/>
              <w:rPr>
                <w:rFonts w:eastAsiaTheme="minorEastAsia"/>
                <w:sz w:val="24"/>
              </w:rPr>
            </w:pPr>
            <w:r>
              <w:rPr>
                <w:rFonts w:eastAsiaTheme="minorEastAsia"/>
                <w:kern w:val="0"/>
                <w:sz w:val="24"/>
              </w:rPr>
              <w:t>主管部门及代码</w:t>
            </w:r>
          </w:p>
        </w:tc>
        <w:tc>
          <w:tcPr>
            <w:tcW w:w="4195" w:type="dxa"/>
            <w:gridSpan w:val="4"/>
            <w:tcBorders>
              <w:tl2br w:val="nil"/>
              <w:tr2bl w:val="nil"/>
            </w:tcBorders>
            <w:shd w:val="clear" w:color="auto" w:fill="auto"/>
            <w:vAlign w:val="center"/>
          </w:tcPr>
          <w:p w14:paraId="54C65C5E">
            <w:pPr>
              <w:snapToGrid w:val="0"/>
              <w:spacing w:line="300" w:lineRule="exact"/>
              <w:jc w:val="center"/>
              <w:rPr>
                <w:rFonts w:eastAsiaTheme="minorEastAsia"/>
                <w:sz w:val="24"/>
              </w:rPr>
            </w:pPr>
            <w:r>
              <w:rPr>
                <w:rFonts w:eastAsiaTheme="minorEastAsia"/>
                <w:color w:val="000000"/>
                <w:sz w:val="22"/>
                <w:szCs w:val="22"/>
              </w:rPr>
              <w:t>昭化区财政局</w:t>
            </w:r>
          </w:p>
        </w:tc>
        <w:tc>
          <w:tcPr>
            <w:tcW w:w="1276" w:type="dxa"/>
            <w:gridSpan w:val="2"/>
            <w:tcBorders>
              <w:tl2br w:val="nil"/>
              <w:tr2bl w:val="nil"/>
            </w:tcBorders>
            <w:shd w:val="clear" w:color="auto" w:fill="auto"/>
            <w:vAlign w:val="center"/>
          </w:tcPr>
          <w:p w14:paraId="46B7989D">
            <w:pPr>
              <w:widowControl/>
              <w:snapToGrid w:val="0"/>
              <w:spacing w:line="300" w:lineRule="exact"/>
              <w:jc w:val="center"/>
              <w:textAlignment w:val="center"/>
              <w:rPr>
                <w:rFonts w:eastAsiaTheme="minorEastAsia"/>
                <w:sz w:val="24"/>
              </w:rPr>
            </w:pPr>
            <w:r>
              <w:rPr>
                <w:rFonts w:eastAsiaTheme="minorEastAsia"/>
                <w:kern w:val="0"/>
                <w:sz w:val="24"/>
              </w:rPr>
              <w:t>实施单位</w:t>
            </w:r>
          </w:p>
        </w:tc>
        <w:tc>
          <w:tcPr>
            <w:tcW w:w="2506" w:type="dxa"/>
            <w:tcBorders>
              <w:tl2br w:val="nil"/>
              <w:tr2bl w:val="nil"/>
            </w:tcBorders>
            <w:shd w:val="clear" w:color="auto" w:fill="auto"/>
            <w:vAlign w:val="center"/>
          </w:tcPr>
          <w:p w14:paraId="23062E45">
            <w:pPr>
              <w:snapToGrid w:val="0"/>
              <w:spacing w:line="300" w:lineRule="exact"/>
              <w:jc w:val="center"/>
              <w:rPr>
                <w:rFonts w:eastAsiaTheme="minorEastAsia"/>
                <w:sz w:val="24"/>
              </w:rPr>
            </w:pPr>
            <w:r>
              <w:rPr>
                <w:rFonts w:eastAsiaTheme="minorEastAsia"/>
                <w:color w:val="000000"/>
                <w:sz w:val="22"/>
                <w:szCs w:val="22"/>
              </w:rPr>
              <w:t>广元市昭化区卫子镇人民政府</w:t>
            </w:r>
          </w:p>
        </w:tc>
      </w:tr>
      <w:tr w14:paraId="6A17B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87" w:type="dxa"/>
          <w:trHeight w:val="341" w:hRule="atLeast"/>
          <w:jc w:val="center"/>
        </w:trPr>
        <w:tc>
          <w:tcPr>
            <w:tcW w:w="2717" w:type="dxa"/>
            <w:gridSpan w:val="2"/>
            <w:vMerge w:val="restart"/>
            <w:tcBorders>
              <w:tl2br w:val="nil"/>
              <w:tr2bl w:val="nil"/>
            </w:tcBorders>
            <w:shd w:val="clear" w:color="auto" w:fill="auto"/>
            <w:vAlign w:val="center"/>
          </w:tcPr>
          <w:p w14:paraId="53BC4851">
            <w:pPr>
              <w:widowControl/>
              <w:snapToGrid w:val="0"/>
              <w:spacing w:line="300" w:lineRule="exact"/>
              <w:jc w:val="center"/>
              <w:textAlignment w:val="center"/>
              <w:rPr>
                <w:rFonts w:eastAsiaTheme="minorEastAsia"/>
                <w:sz w:val="24"/>
              </w:rPr>
            </w:pPr>
            <w:r>
              <w:rPr>
                <w:rFonts w:eastAsiaTheme="minorEastAsia"/>
                <w:kern w:val="0"/>
                <w:sz w:val="24"/>
              </w:rPr>
              <w:t>项目预算</w:t>
            </w:r>
            <w:r>
              <w:rPr>
                <w:rFonts w:eastAsiaTheme="minorEastAsia"/>
                <w:kern w:val="0"/>
                <w:sz w:val="24"/>
              </w:rPr>
              <w:br w:type="textWrapping"/>
            </w:r>
            <w:r>
              <w:rPr>
                <w:rFonts w:eastAsiaTheme="minorEastAsia"/>
                <w:kern w:val="0"/>
                <w:sz w:val="24"/>
              </w:rPr>
              <w:t>执行情况</w:t>
            </w:r>
            <w:r>
              <w:rPr>
                <w:rFonts w:eastAsiaTheme="minorEastAsia"/>
                <w:kern w:val="0"/>
                <w:sz w:val="24"/>
              </w:rPr>
              <w:br w:type="textWrapping"/>
            </w:r>
            <w:r>
              <w:rPr>
                <w:rFonts w:eastAsiaTheme="minorEastAsia"/>
                <w:kern w:val="0"/>
                <w:sz w:val="24"/>
              </w:rPr>
              <w:t>（万元）</w:t>
            </w:r>
          </w:p>
        </w:tc>
        <w:tc>
          <w:tcPr>
            <w:tcW w:w="2904" w:type="dxa"/>
            <w:gridSpan w:val="2"/>
            <w:tcBorders>
              <w:tl2br w:val="nil"/>
              <w:tr2bl w:val="nil"/>
            </w:tcBorders>
            <w:shd w:val="clear" w:color="auto" w:fill="auto"/>
            <w:vAlign w:val="center"/>
          </w:tcPr>
          <w:p w14:paraId="64756F07">
            <w:pPr>
              <w:widowControl/>
              <w:snapToGrid w:val="0"/>
              <w:spacing w:line="300" w:lineRule="exact"/>
              <w:jc w:val="center"/>
              <w:textAlignment w:val="center"/>
              <w:rPr>
                <w:rFonts w:eastAsiaTheme="minorEastAsia"/>
                <w:sz w:val="24"/>
              </w:rPr>
            </w:pPr>
            <w:r>
              <w:rPr>
                <w:rFonts w:eastAsiaTheme="minorEastAsia"/>
                <w:kern w:val="0"/>
                <w:sz w:val="24"/>
              </w:rPr>
              <w:t>预算数：</w:t>
            </w:r>
          </w:p>
        </w:tc>
        <w:tc>
          <w:tcPr>
            <w:tcW w:w="1291" w:type="dxa"/>
            <w:gridSpan w:val="2"/>
            <w:tcBorders>
              <w:tl2br w:val="nil"/>
              <w:tr2bl w:val="nil"/>
            </w:tcBorders>
            <w:shd w:val="clear" w:color="auto" w:fill="auto"/>
            <w:vAlign w:val="center"/>
          </w:tcPr>
          <w:p w14:paraId="3703F25E">
            <w:pPr>
              <w:widowControl/>
              <w:snapToGrid w:val="0"/>
              <w:spacing w:line="300" w:lineRule="exact"/>
              <w:jc w:val="center"/>
              <w:textAlignment w:val="center"/>
              <w:rPr>
                <w:rFonts w:eastAsiaTheme="minorEastAsia"/>
                <w:sz w:val="24"/>
              </w:rPr>
            </w:pPr>
            <w:r>
              <w:rPr>
                <w:rFonts w:hint="eastAsia" w:eastAsiaTheme="minorEastAsia"/>
                <w:sz w:val="24"/>
              </w:rPr>
              <w:t>142.93万元</w:t>
            </w:r>
          </w:p>
        </w:tc>
        <w:tc>
          <w:tcPr>
            <w:tcW w:w="1276" w:type="dxa"/>
            <w:gridSpan w:val="2"/>
            <w:tcBorders>
              <w:tl2br w:val="nil"/>
              <w:tr2bl w:val="nil"/>
            </w:tcBorders>
            <w:shd w:val="clear" w:color="auto" w:fill="auto"/>
            <w:vAlign w:val="center"/>
          </w:tcPr>
          <w:p w14:paraId="2E01BF9E">
            <w:pPr>
              <w:widowControl/>
              <w:snapToGrid w:val="0"/>
              <w:spacing w:line="300" w:lineRule="exact"/>
              <w:jc w:val="center"/>
              <w:textAlignment w:val="center"/>
              <w:rPr>
                <w:rFonts w:eastAsiaTheme="minorEastAsia"/>
                <w:sz w:val="24"/>
              </w:rPr>
            </w:pPr>
            <w:r>
              <w:rPr>
                <w:rFonts w:eastAsiaTheme="minorEastAsia"/>
                <w:kern w:val="0"/>
                <w:sz w:val="24"/>
              </w:rPr>
              <w:t>执行数：</w:t>
            </w:r>
          </w:p>
        </w:tc>
        <w:tc>
          <w:tcPr>
            <w:tcW w:w="2506" w:type="dxa"/>
            <w:tcBorders>
              <w:tl2br w:val="nil"/>
              <w:tr2bl w:val="nil"/>
            </w:tcBorders>
            <w:shd w:val="clear" w:color="auto" w:fill="auto"/>
            <w:vAlign w:val="center"/>
          </w:tcPr>
          <w:p w14:paraId="00F7ADC8">
            <w:pPr>
              <w:widowControl/>
              <w:snapToGrid w:val="0"/>
              <w:spacing w:line="300" w:lineRule="exact"/>
              <w:jc w:val="center"/>
              <w:textAlignment w:val="center"/>
              <w:rPr>
                <w:rFonts w:eastAsiaTheme="minorEastAsia"/>
                <w:sz w:val="24"/>
              </w:rPr>
            </w:pPr>
            <w:r>
              <w:rPr>
                <w:rFonts w:hint="eastAsia" w:eastAsiaTheme="minorEastAsia"/>
                <w:sz w:val="24"/>
              </w:rPr>
              <w:t>142.93万元</w:t>
            </w:r>
          </w:p>
        </w:tc>
      </w:tr>
      <w:tr w14:paraId="2780B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87" w:type="dxa"/>
          <w:trHeight w:val="555" w:hRule="atLeast"/>
          <w:jc w:val="center"/>
        </w:trPr>
        <w:tc>
          <w:tcPr>
            <w:tcW w:w="2717" w:type="dxa"/>
            <w:gridSpan w:val="2"/>
            <w:vMerge w:val="continue"/>
            <w:tcBorders>
              <w:tl2br w:val="nil"/>
              <w:tr2bl w:val="nil"/>
            </w:tcBorders>
            <w:shd w:val="clear" w:color="auto" w:fill="auto"/>
            <w:vAlign w:val="center"/>
          </w:tcPr>
          <w:p w14:paraId="2CE76804">
            <w:pPr>
              <w:snapToGrid w:val="0"/>
              <w:spacing w:line="300" w:lineRule="exact"/>
              <w:jc w:val="center"/>
              <w:rPr>
                <w:rFonts w:eastAsiaTheme="minorEastAsia"/>
                <w:sz w:val="24"/>
              </w:rPr>
            </w:pPr>
          </w:p>
        </w:tc>
        <w:tc>
          <w:tcPr>
            <w:tcW w:w="2904" w:type="dxa"/>
            <w:gridSpan w:val="2"/>
            <w:tcBorders>
              <w:tl2br w:val="nil"/>
              <w:tr2bl w:val="nil"/>
            </w:tcBorders>
            <w:shd w:val="clear" w:color="auto" w:fill="auto"/>
            <w:vAlign w:val="center"/>
          </w:tcPr>
          <w:p w14:paraId="0592AC7D">
            <w:pPr>
              <w:widowControl/>
              <w:snapToGrid w:val="0"/>
              <w:spacing w:line="300" w:lineRule="exact"/>
              <w:jc w:val="center"/>
              <w:textAlignment w:val="center"/>
              <w:rPr>
                <w:rFonts w:eastAsiaTheme="minorEastAsia"/>
                <w:kern w:val="0"/>
                <w:sz w:val="24"/>
              </w:rPr>
            </w:pPr>
            <w:r>
              <w:rPr>
                <w:rFonts w:eastAsiaTheme="minorEastAsia"/>
                <w:kern w:val="0"/>
                <w:sz w:val="24"/>
              </w:rPr>
              <w:t>其中：</w:t>
            </w:r>
          </w:p>
          <w:p w14:paraId="7F97FB76">
            <w:pPr>
              <w:widowControl/>
              <w:snapToGrid w:val="0"/>
              <w:spacing w:line="300" w:lineRule="exact"/>
              <w:jc w:val="center"/>
              <w:textAlignment w:val="center"/>
              <w:rPr>
                <w:rFonts w:eastAsiaTheme="minorEastAsia"/>
                <w:sz w:val="24"/>
              </w:rPr>
            </w:pPr>
            <w:r>
              <w:rPr>
                <w:rFonts w:eastAsiaTheme="minorEastAsia"/>
                <w:kern w:val="0"/>
                <w:sz w:val="24"/>
              </w:rPr>
              <w:t>财政拨款</w:t>
            </w:r>
          </w:p>
        </w:tc>
        <w:tc>
          <w:tcPr>
            <w:tcW w:w="1291" w:type="dxa"/>
            <w:gridSpan w:val="2"/>
            <w:tcBorders>
              <w:tl2br w:val="nil"/>
              <w:tr2bl w:val="nil"/>
            </w:tcBorders>
            <w:shd w:val="clear" w:color="auto" w:fill="auto"/>
            <w:vAlign w:val="center"/>
          </w:tcPr>
          <w:p w14:paraId="0E842790">
            <w:pPr>
              <w:widowControl/>
              <w:snapToGrid w:val="0"/>
              <w:spacing w:line="300" w:lineRule="exact"/>
              <w:jc w:val="center"/>
              <w:textAlignment w:val="center"/>
              <w:rPr>
                <w:rFonts w:eastAsiaTheme="minorEastAsia"/>
                <w:sz w:val="24"/>
              </w:rPr>
            </w:pPr>
            <w:r>
              <w:rPr>
                <w:rFonts w:hint="eastAsia" w:eastAsiaTheme="minorEastAsia"/>
                <w:sz w:val="24"/>
              </w:rPr>
              <w:t>142.93万元</w:t>
            </w:r>
          </w:p>
        </w:tc>
        <w:tc>
          <w:tcPr>
            <w:tcW w:w="1276" w:type="dxa"/>
            <w:gridSpan w:val="2"/>
            <w:tcBorders>
              <w:tl2br w:val="nil"/>
              <w:tr2bl w:val="nil"/>
            </w:tcBorders>
            <w:shd w:val="clear" w:color="auto" w:fill="auto"/>
            <w:vAlign w:val="center"/>
          </w:tcPr>
          <w:p w14:paraId="414E222D">
            <w:pPr>
              <w:widowControl/>
              <w:snapToGrid w:val="0"/>
              <w:spacing w:line="300" w:lineRule="exact"/>
              <w:jc w:val="center"/>
              <w:textAlignment w:val="center"/>
              <w:rPr>
                <w:rFonts w:eastAsiaTheme="minorEastAsia"/>
                <w:kern w:val="0"/>
                <w:sz w:val="24"/>
              </w:rPr>
            </w:pPr>
            <w:r>
              <w:rPr>
                <w:rFonts w:eastAsiaTheme="minorEastAsia"/>
                <w:kern w:val="0"/>
                <w:sz w:val="24"/>
              </w:rPr>
              <w:t>其中：</w:t>
            </w:r>
          </w:p>
          <w:p w14:paraId="5E2E3187">
            <w:pPr>
              <w:widowControl/>
              <w:snapToGrid w:val="0"/>
              <w:spacing w:line="300" w:lineRule="exact"/>
              <w:jc w:val="center"/>
              <w:textAlignment w:val="center"/>
              <w:rPr>
                <w:rFonts w:eastAsiaTheme="minorEastAsia"/>
                <w:sz w:val="24"/>
              </w:rPr>
            </w:pPr>
            <w:r>
              <w:rPr>
                <w:rFonts w:eastAsiaTheme="minorEastAsia"/>
                <w:kern w:val="0"/>
                <w:sz w:val="24"/>
              </w:rPr>
              <w:t>财政拨款</w:t>
            </w:r>
          </w:p>
        </w:tc>
        <w:tc>
          <w:tcPr>
            <w:tcW w:w="2506" w:type="dxa"/>
            <w:tcBorders>
              <w:tl2br w:val="nil"/>
              <w:tr2bl w:val="nil"/>
            </w:tcBorders>
            <w:shd w:val="clear" w:color="auto" w:fill="auto"/>
            <w:vAlign w:val="center"/>
          </w:tcPr>
          <w:p w14:paraId="69243D7D">
            <w:pPr>
              <w:widowControl/>
              <w:snapToGrid w:val="0"/>
              <w:spacing w:line="300" w:lineRule="exact"/>
              <w:jc w:val="center"/>
              <w:textAlignment w:val="center"/>
              <w:rPr>
                <w:rFonts w:eastAsiaTheme="minorEastAsia"/>
                <w:sz w:val="24"/>
              </w:rPr>
            </w:pPr>
            <w:r>
              <w:rPr>
                <w:rFonts w:hint="eastAsia" w:eastAsiaTheme="minorEastAsia"/>
                <w:sz w:val="24"/>
              </w:rPr>
              <w:t>142.93万元</w:t>
            </w:r>
          </w:p>
        </w:tc>
      </w:tr>
      <w:tr w14:paraId="35080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87" w:type="dxa"/>
          <w:trHeight w:val="341" w:hRule="atLeast"/>
          <w:jc w:val="center"/>
        </w:trPr>
        <w:tc>
          <w:tcPr>
            <w:tcW w:w="2717" w:type="dxa"/>
            <w:gridSpan w:val="2"/>
            <w:vMerge w:val="continue"/>
            <w:tcBorders>
              <w:tl2br w:val="nil"/>
              <w:tr2bl w:val="nil"/>
            </w:tcBorders>
            <w:shd w:val="clear" w:color="auto" w:fill="auto"/>
            <w:vAlign w:val="center"/>
          </w:tcPr>
          <w:p w14:paraId="78CF40AC">
            <w:pPr>
              <w:snapToGrid w:val="0"/>
              <w:spacing w:line="300" w:lineRule="exact"/>
              <w:jc w:val="center"/>
              <w:rPr>
                <w:rFonts w:eastAsiaTheme="minorEastAsia"/>
                <w:sz w:val="24"/>
              </w:rPr>
            </w:pPr>
          </w:p>
        </w:tc>
        <w:tc>
          <w:tcPr>
            <w:tcW w:w="2904" w:type="dxa"/>
            <w:gridSpan w:val="2"/>
            <w:tcBorders>
              <w:tl2br w:val="nil"/>
              <w:tr2bl w:val="nil"/>
            </w:tcBorders>
            <w:shd w:val="clear" w:color="auto" w:fill="auto"/>
            <w:vAlign w:val="center"/>
          </w:tcPr>
          <w:p w14:paraId="214ABD03">
            <w:pPr>
              <w:widowControl/>
              <w:snapToGrid w:val="0"/>
              <w:spacing w:line="300" w:lineRule="exact"/>
              <w:jc w:val="center"/>
              <w:textAlignment w:val="center"/>
              <w:rPr>
                <w:rFonts w:eastAsiaTheme="minorEastAsia"/>
                <w:sz w:val="24"/>
              </w:rPr>
            </w:pPr>
            <w:r>
              <w:rPr>
                <w:rFonts w:eastAsiaTheme="minorEastAsia"/>
                <w:kern w:val="0"/>
                <w:sz w:val="24"/>
              </w:rPr>
              <w:t>其他资金</w:t>
            </w:r>
          </w:p>
        </w:tc>
        <w:tc>
          <w:tcPr>
            <w:tcW w:w="1291" w:type="dxa"/>
            <w:gridSpan w:val="2"/>
            <w:tcBorders>
              <w:tl2br w:val="nil"/>
              <w:tr2bl w:val="nil"/>
            </w:tcBorders>
            <w:shd w:val="clear" w:color="auto" w:fill="auto"/>
            <w:vAlign w:val="center"/>
          </w:tcPr>
          <w:p w14:paraId="1AEF93D3">
            <w:pPr>
              <w:widowControl/>
              <w:snapToGrid w:val="0"/>
              <w:spacing w:line="300" w:lineRule="exact"/>
              <w:jc w:val="center"/>
              <w:textAlignment w:val="center"/>
              <w:rPr>
                <w:rFonts w:eastAsiaTheme="minorEastAsia"/>
                <w:sz w:val="24"/>
              </w:rPr>
            </w:pPr>
          </w:p>
        </w:tc>
        <w:tc>
          <w:tcPr>
            <w:tcW w:w="1276" w:type="dxa"/>
            <w:gridSpan w:val="2"/>
            <w:tcBorders>
              <w:tl2br w:val="nil"/>
              <w:tr2bl w:val="nil"/>
            </w:tcBorders>
            <w:shd w:val="clear" w:color="auto" w:fill="auto"/>
            <w:vAlign w:val="center"/>
          </w:tcPr>
          <w:p w14:paraId="018C8CF7">
            <w:pPr>
              <w:widowControl/>
              <w:snapToGrid w:val="0"/>
              <w:spacing w:line="300" w:lineRule="exact"/>
              <w:jc w:val="center"/>
              <w:textAlignment w:val="center"/>
              <w:rPr>
                <w:rFonts w:eastAsiaTheme="minorEastAsia"/>
                <w:sz w:val="24"/>
              </w:rPr>
            </w:pPr>
            <w:r>
              <w:rPr>
                <w:rFonts w:eastAsiaTheme="minorEastAsia"/>
                <w:kern w:val="0"/>
                <w:sz w:val="24"/>
              </w:rPr>
              <w:t>其他资金</w:t>
            </w:r>
          </w:p>
        </w:tc>
        <w:tc>
          <w:tcPr>
            <w:tcW w:w="2506" w:type="dxa"/>
            <w:tcBorders>
              <w:tl2br w:val="nil"/>
              <w:tr2bl w:val="nil"/>
            </w:tcBorders>
            <w:shd w:val="clear" w:color="auto" w:fill="auto"/>
            <w:vAlign w:val="center"/>
          </w:tcPr>
          <w:p w14:paraId="0E377620">
            <w:pPr>
              <w:widowControl/>
              <w:snapToGrid w:val="0"/>
              <w:spacing w:line="300" w:lineRule="exact"/>
              <w:jc w:val="center"/>
              <w:textAlignment w:val="center"/>
              <w:rPr>
                <w:rFonts w:eastAsiaTheme="minorEastAsia"/>
                <w:sz w:val="24"/>
              </w:rPr>
            </w:pPr>
          </w:p>
        </w:tc>
      </w:tr>
      <w:tr w14:paraId="2CF55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 w:hRule="atLeast"/>
          <w:jc w:val="center"/>
        </w:trPr>
        <w:tc>
          <w:tcPr>
            <w:tcW w:w="1668" w:type="dxa"/>
            <w:vMerge w:val="restart"/>
            <w:tcBorders>
              <w:tl2br w:val="nil"/>
              <w:tr2bl w:val="nil"/>
            </w:tcBorders>
            <w:shd w:val="clear" w:color="auto" w:fill="auto"/>
            <w:vAlign w:val="center"/>
          </w:tcPr>
          <w:p w14:paraId="248C64A4">
            <w:pPr>
              <w:widowControl/>
              <w:snapToGrid w:val="0"/>
              <w:spacing w:line="300" w:lineRule="exact"/>
              <w:jc w:val="center"/>
              <w:textAlignment w:val="center"/>
              <w:rPr>
                <w:rFonts w:eastAsiaTheme="minorEastAsia"/>
                <w:kern w:val="0"/>
                <w:sz w:val="24"/>
              </w:rPr>
            </w:pPr>
            <w:r>
              <w:rPr>
                <w:rFonts w:eastAsiaTheme="minorEastAsia"/>
                <w:kern w:val="0"/>
                <w:sz w:val="24"/>
              </w:rPr>
              <w:t>年度总体目标</w:t>
            </w:r>
          </w:p>
          <w:p w14:paraId="4F34752D">
            <w:pPr>
              <w:widowControl/>
              <w:snapToGrid w:val="0"/>
              <w:spacing w:line="300" w:lineRule="exact"/>
              <w:jc w:val="center"/>
              <w:textAlignment w:val="center"/>
              <w:rPr>
                <w:rFonts w:eastAsiaTheme="minorEastAsia"/>
                <w:sz w:val="24"/>
              </w:rPr>
            </w:pPr>
            <w:r>
              <w:rPr>
                <w:rFonts w:eastAsiaTheme="minorEastAsia"/>
                <w:kern w:val="0"/>
                <w:sz w:val="24"/>
              </w:rPr>
              <w:t>完成情况</w:t>
            </w:r>
          </w:p>
        </w:tc>
        <w:tc>
          <w:tcPr>
            <w:tcW w:w="4274" w:type="dxa"/>
            <w:gridSpan w:val="4"/>
            <w:tcBorders>
              <w:tl2br w:val="nil"/>
              <w:tr2bl w:val="nil"/>
            </w:tcBorders>
            <w:shd w:val="clear" w:color="auto" w:fill="auto"/>
            <w:vAlign w:val="center"/>
          </w:tcPr>
          <w:p w14:paraId="7067DA91">
            <w:pPr>
              <w:widowControl/>
              <w:snapToGrid w:val="0"/>
              <w:spacing w:line="300" w:lineRule="exact"/>
              <w:jc w:val="center"/>
              <w:textAlignment w:val="center"/>
              <w:rPr>
                <w:rFonts w:eastAsiaTheme="minorEastAsia"/>
                <w:sz w:val="24"/>
              </w:rPr>
            </w:pPr>
            <w:r>
              <w:rPr>
                <w:rFonts w:eastAsiaTheme="minorEastAsia"/>
                <w:kern w:val="0"/>
                <w:sz w:val="24"/>
              </w:rPr>
              <w:t>预期目标</w:t>
            </w:r>
          </w:p>
        </w:tc>
        <w:tc>
          <w:tcPr>
            <w:tcW w:w="4939" w:type="dxa"/>
            <w:gridSpan w:val="5"/>
            <w:tcBorders>
              <w:tl2br w:val="nil"/>
              <w:tr2bl w:val="nil"/>
            </w:tcBorders>
            <w:shd w:val="clear" w:color="auto" w:fill="auto"/>
            <w:vAlign w:val="center"/>
          </w:tcPr>
          <w:p w14:paraId="51180D51">
            <w:pPr>
              <w:widowControl/>
              <w:snapToGrid w:val="0"/>
              <w:spacing w:line="300" w:lineRule="exact"/>
              <w:jc w:val="center"/>
              <w:textAlignment w:val="center"/>
              <w:rPr>
                <w:rFonts w:eastAsiaTheme="minorEastAsia"/>
                <w:sz w:val="24"/>
              </w:rPr>
            </w:pPr>
            <w:r>
              <w:rPr>
                <w:rFonts w:eastAsiaTheme="minorEastAsia"/>
                <w:kern w:val="0"/>
                <w:sz w:val="24"/>
              </w:rPr>
              <w:t>目标实际完成情况</w:t>
            </w:r>
          </w:p>
        </w:tc>
      </w:tr>
      <w:tr w14:paraId="1C434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7" w:hRule="atLeast"/>
          <w:jc w:val="center"/>
        </w:trPr>
        <w:tc>
          <w:tcPr>
            <w:tcW w:w="1668" w:type="dxa"/>
            <w:vMerge w:val="continue"/>
            <w:tcBorders>
              <w:tl2br w:val="nil"/>
              <w:tr2bl w:val="nil"/>
            </w:tcBorders>
            <w:shd w:val="clear" w:color="auto" w:fill="auto"/>
            <w:vAlign w:val="center"/>
          </w:tcPr>
          <w:p w14:paraId="27CEB069">
            <w:pPr>
              <w:snapToGrid w:val="0"/>
              <w:spacing w:line="300" w:lineRule="exact"/>
              <w:jc w:val="center"/>
              <w:rPr>
                <w:rFonts w:eastAsiaTheme="minorEastAsia"/>
                <w:sz w:val="24"/>
              </w:rPr>
            </w:pPr>
          </w:p>
        </w:tc>
        <w:tc>
          <w:tcPr>
            <w:tcW w:w="4274" w:type="dxa"/>
            <w:gridSpan w:val="4"/>
            <w:tcBorders>
              <w:tl2br w:val="nil"/>
              <w:tr2bl w:val="nil"/>
            </w:tcBorders>
            <w:shd w:val="clear" w:color="auto" w:fill="auto"/>
            <w:vAlign w:val="center"/>
          </w:tcPr>
          <w:tbl>
            <w:tblPr>
              <w:tblStyle w:val="16"/>
              <w:tblW w:w="4082" w:type="dxa"/>
              <w:tblInd w:w="0" w:type="dxa"/>
              <w:tblLayout w:type="fixed"/>
              <w:tblCellMar>
                <w:top w:w="0" w:type="dxa"/>
                <w:left w:w="108" w:type="dxa"/>
                <w:bottom w:w="0" w:type="dxa"/>
                <w:right w:w="108" w:type="dxa"/>
              </w:tblCellMar>
            </w:tblPr>
            <w:tblGrid>
              <w:gridCol w:w="4082"/>
            </w:tblGrid>
            <w:tr w14:paraId="6B08820D">
              <w:tblPrEx>
                <w:tblCellMar>
                  <w:top w:w="0" w:type="dxa"/>
                  <w:left w:w="108" w:type="dxa"/>
                  <w:bottom w:w="0" w:type="dxa"/>
                  <w:right w:w="108" w:type="dxa"/>
                </w:tblCellMar>
              </w:tblPrEx>
              <w:trPr>
                <w:trHeight w:val="720" w:hRule="atLeast"/>
              </w:trPr>
              <w:tc>
                <w:tcPr>
                  <w:tcW w:w="40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1564A">
                  <w:pPr>
                    <w:widowControl/>
                    <w:jc w:val="left"/>
                    <w:textAlignment w:val="center"/>
                    <w:rPr>
                      <w:rFonts w:ascii="宋体" w:hAnsi="宋体" w:cs="宋体"/>
                      <w:color w:val="000000"/>
                      <w:sz w:val="18"/>
                      <w:szCs w:val="18"/>
                    </w:rPr>
                  </w:pPr>
                  <w:r>
                    <w:rPr>
                      <w:rStyle w:val="36"/>
                      <w:rFonts w:hint="default"/>
                    </w:rPr>
                    <w:t>加强基层组织建设，提高公共运行服务保障水平和社会治理能力，按照《广元市昭化区基层活动和公共服务运行经费使用管理办法》，开展组织活动每村每月1次，党员干部培训每村每月1次，产业培训每村每季度1次，走访慰问每村全年不少于10次，完成17个村（居）组织活动场所维护、基础设施维护，维持17个村(居）日常办公运转。</w:t>
                  </w:r>
                </w:p>
              </w:tc>
            </w:tr>
            <w:tr w14:paraId="75F901F4">
              <w:tblPrEx>
                <w:tblCellMar>
                  <w:top w:w="0" w:type="dxa"/>
                  <w:left w:w="108" w:type="dxa"/>
                  <w:bottom w:w="0" w:type="dxa"/>
                  <w:right w:w="108" w:type="dxa"/>
                </w:tblCellMar>
              </w:tblPrEx>
              <w:trPr>
                <w:trHeight w:val="600" w:hRule="atLeast"/>
              </w:trPr>
              <w:tc>
                <w:tcPr>
                  <w:tcW w:w="4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B015D">
                  <w:pPr>
                    <w:jc w:val="left"/>
                    <w:rPr>
                      <w:rFonts w:ascii="宋体" w:hAnsi="宋体" w:cs="宋体"/>
                      <w:color w:val="000000"/>
                      <w:sz w:val="18"/>
                      <w:szCs w:val="18"/>
                    </w:rPr>
                  </w:pPr>
                </w:p>
              </w:tc>
            </w:tr>
            <w:tr w14:paraId="6278A378">
              <w:tblPrEx>
                <w:tblCellMar>
                  <w:top w:w="0" w:type="dxa"/>
                  <w:left w:w="108" w:type="dxa"/>
                  <w:bottom w:w="0" w:type="dxa"/>
                  <w:right w:w="108" w:type="dxa"/>
                </w:tblCellMar>
              </w:tblPrEx>
              <w:trPr>
                <w:trHeight w:val="600" w:hRule="atLeast"/>
              </w:trPr>
              <w:tc>
                <w:tcPr>
                  <w:tcW w:w="4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B7E19">
                  <w:pPr>
                    <w:jc w:val="left"/>
                    <w:rPr>
                      <w:rFonts w:ascii="宋体" w:hAnsi="宋体" w:cs="宋体"/>
                      <w:color w:val="000000"/>
                      <w:sz w:val="18"/>
                      <w:szCs w:val="18"/>
                    </w:rPr>
                  </w:pPr>
                </w:p>
              </w:tc>
            </w:tr>
            <w:tr w14:paraId="6BD9380E">
              <w:tblPrEx>
                <w:tblCellMar>
                  <w:top w:w="0" w:type="dxa"/>
                  <w:left w:w="108" w:type="dxa"/>
                  <w:bottom w:w="0" w:type="dxa"/>
                  <w:right w:w="108" w:type="dxa"/>
                </w:tblCellMar>
              </w:tblPrEx>
              <w:trPr>
                <w:trHeight w:val="799" w:hRule="atLeast"/>
              </w:trPr>
              <w:tc>
                <w:tcPr>
                  <w:tcW w:w="4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20311">
                  <w:pPr>
                    <w:jc w:val="left"/>
                    <w:rPr>
                      <w:rFonts w:ascii="宋体" w:hAnsi="宋体" w:cs="宋体"/>
                      <w:color w:val="000000"/>
                      <w:sz w:val="18"/>
                      <w:szCs w:val="18"/>
                    </w:rPr>
                  </w:pPr>
                </w:p>
              </w:tc>
            </w:tr>
            <w:tr w14:paraId="0AE1C7FC">
              <w:tblPrEx>
                <w:tblCellMar>
                  <w:top w:w="0" w:type="dxa"/>
                  <w:left w:w="108" w:type="dxa"/>
                  <w:bottom w:w="0" w:type="dxa"/>
                  <w:right w:w="108" w:type="dxa"/>
                </w:tblCellMar>
              </w:tblPrEx>
              <w:trPr>
                <w:trHeight w:val="600" w:hRule="atLeast"/>
              </w:trPr>
              <w:tc>
                <w:tcPr>
                  <w:tcW w:w="4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554FB">
                  <w:pPr>
                    <w:jc w:val="left"/>
                    <w:rPr>
                      <w:rFonts w:ascii="宋体" w:hAnsi="宋体" w:cs="宋体"/>
                      <w:color w:val="000000"/>
                      <w:sz w:val="18"/>
                      <w:szCs w:val="18"/>
                    </w:rPr>
                  </w:pPr>
                </w:p>
              </w:tc>
            </w:tr>
            <w:tr w14:paraId="3477716B">
              <w:tblPrEx>
                <w:tblCellMar>
                  <w:top w:w="0" w:type="dxa"/>
                  <w:left w:w="108" w:type="dxa"/>
                  <w:bottom w:w="0" w:type="dxa"/>
                  <w:right w:w="108" w:type="dxa"/>
                </w:tblCellMar>
              </w:tblPrEx>
              <w:trPr>
                <w:trHeight w:val="600" w:hRule="atLeast"/>
              </w:trPr>
              <w:tc>
                <w:tcPr>
                  <w:tcW w:w="4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54092">
                  <w:pPr>
                    <w:jc w:val="left"/>
                    <w:rPr>
                      <w:rFonts w:ascii="宋体" w:hAnsi="宋体" w:cs="宋体"/>
                      <w:color w:val="000000"/>
                      <w:sz w:val="18"/>
                      <w:szCs w:val="18"/>
                    </w:rPr>
                  </w:pPr>
                </w:p>
              </w:tc>
            </w:tr>
            <w:tr w14:paraId="43EAECDE">
              <w:tblPrEx>
                <w:tblCellMar>
                  <w:top w:w="0" w:type="dxa"/>
                  <w:left w:w="108" w:type="dxa"/>
                  <w:bottom w:w="0" w:type="dxa"/>
                  <w:right w:w="108" w:type="dxa"/>
                </w:tblCellMar>
              </w:tblPrEx>
              <w:trPr>
                <w:trHeight w:val="600" w:hRule="atLeast"/>
              </w:trPr>
              <w:tc>
                <w:tcPr>
                  <w:tcW w:w="4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B7F82">
                  <w:pPr>
                    <w:jc w:val="left"/>
                    <w:rPr>
                      <w:rFonts w:ascii="宋体" w:hAnsi="宋体" w:cs="宋体"/>
                      <w:color w:val="000000"/>
                      <w:sz w:val="18"/>
                      <w:szCs w:val="18"/>
                    </w:rPr>
                  </w:pPr>
                </w:p>
              </w:tc>
            </w:tr>
            <w:tr w14:paraId="66864909">
              <w:tblPrEx>
                <w:tblCellMar>
                  <w:top w:w="0" w:type="dxa"/>
                  <w:left w:w="108" w:type="dxa"/>
                  <w:bottom w:w="0" w:type="dxa"/>
                  <w:right w:w="108" w:type="dxa"/>
                </w:tblCellMar>
              </w:tblPrEx>
              <w:trPr>
                <w:trHeight w:val="600" w:hRule="atLeast"/>
              </w:trPr>
              <w:tc>
                <w:tcPr>
                  <w:tcW w:w="4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1FEFC">
                  <w:pPr>
                    <w:jc w:val="left"/>
                    <w:rPr>
                      <w:rFonts w:ascii="宋体" w:hAnsi="宋体" w:cs="宋体"/>
                      <w:color w:val="000000"/>
                      <w:sz w:val="18"/>
                      <w:szCs w:val="18"/>
                    </w:rPr>
                  </w:pPr>
                </w:p>
              </w:tc>
            </w:tr>
            <w:tr w14:paraId="6D768961">
              <w:tblPrEx>
                <w:tblCellMar>
                  <w:top w:w="0" w:type="dxa"/>
                  <w:left w:w="108" w:type="dxa"/>
                  <w:bottom w:w="0" w:type="dxa"/>
                  <w:right w:w="108" w:type="dxa"/>
                </w:tblCellMar>
              </w:tblPrEx>
              <w:trPr>
                <w:trHeight w:val="600" w:hRule="atLeast"/>
              </w:trPr>
              <w:tc>
                <w:tcPr>
                  <w:tcW w:w="4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1CA67">
                  <w:pPr>
                    <w:jc w:val="left"/>
                    <w:rPr>
                      <w:rFonts w:ascii="宋体" w:hAnsi="宋体" w:cs="宋体"/>
                      <w:color w:val="000000"/>
                      <w:sz w:val="18"/>
                      <w:szCs w:val="18"/>
                    </w:rPr>
                  </w:pPr>
                </w:p>
              </w:tc>
            </w:tr>
          </w:tbl>
          <w:p w14:paraId="701C9103">
            <w:pPr>
              <w:snapToGrid w:val="0"/>
              <w:spacing w:line="300" w:lineRule="exact"/>
              <w:rPr>
                <w:rFonts w:eastAsiaTheme="minorEastAsia"/>
                <w:color w:val="FF0000"/>
                <w:sz w:val="24"/>
              </w:rPr>
            </w:pPr>
          </w:p>
        </w:tc>
        <w:tc>
          <w:tcPr>
            <w:tcW w:w="4939" w:type="dxa"/>
            <w:gridSpan w:val="5"/>
            <w:tcBorders>
              <w:tl2br w:val="nil"/>
              <w:tr2bl w:val="nil"/>
            </w:tcBorders>
            <w:shd w:val="clear" w:color="auto" w:fill="auto"/>
            <w:vAlign w:val="center"/>
          </w:tcPr>
          <w:tbl>
            <w:tblPr>
              <w:tblStyle w:val="16"/>
              <w:tblW w:w="4713" w:type="dxa"/>
              <w:tblInd w:w="0" w:type="dxa"/>
              <w:tblLayout w:type="fixed"/>
              <w:tblCellMar>
                <w:top w:w="0" w:type="dxa"/>
                <w:left w:w="108" w:type="dxa"/>
                <w:bottom w:w="0" w:type="dxa"/>
                <w:right w:w="108" w:type="dxa"/>
              </w:tblCellMar>
            </w:tblPr>
            <w:tblGrid>
              <w:gridCol w:w="4713"/>
            </w:tblGrid>
            <w:tr w14:paraId="4F296BE2">
              <w:tblPrEx>
                <w:tblCellMar>
                  <w:top w:w="0" w:type="dxa"/>
                  <w:left w:w="108" w:type="dxa"/>
                  <w:bottom w:w="0" w:type="dxa"/>
                  <w:right w:w="108" w:type="dxa"/>
                </w:tblCellMar>
              </w:tblPrEx>
              <w:trPr>
                <w:trHeight w:val="720" w:hRule="atLeast"/>
              </w:trPr>
              <w:tc>
                <w:tcPr>
                  <w:tcW w:w="4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05910">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加强基层组织建设，提高公共运行服务保障水平和社会治理能力，按照《广元市昭化区基层活动和公共服务运行经费使用管理办法》，开展组织活动每村每月1次，党员干部培训每村每月1次，产业培训每村每季度1次，走访慰问每村全年不少于10次，完成17个村（居）组织活动场所维护、基础设施维护，维持17个村(居）日常办公运转。</w:t>
                  </w:r>
                </w:p>
              </w:tc>
            </w:tr>
            <w:tr w14:paraId="6BBBF0F0">
              <w:tblPrEx>
                <w:tblCellMar>
                  <w:top w:w="0" w:type="dxa"/>
                  <w:left w:w="108" w:type="dxa"/>
                  <w:bottom w:w="0" w:type="dxa"/>
                  <w:right w:w="108" w:type="dxa"/>
                </w:tblCellMar>
              </w:tblPrEx>
              <w:trPr>
                <w:trHeight w:val="600" w:hRule="atLeast"/>
              </w:trPr>
              <w:tc>
                <w:tcPr>
                  <w:tcW w:w="4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88B05">
                  <w:pPr>
                    <w:jc w:val="left"/>
                    <w:rPr>
                      <w:rFonts w:ascii="宋体" w:hAnsi="宋体" w:cs="宋体"/>
                      <w:color w:val="000000"/>
                      <w:sz w:val="18"/>
                      <w:szCs w:val="18"/>
                    </w:rPr>
                  </w:pPr>
                </w:p>
              </w:tc>
            </w:tr>
            <w:tr w14:paraId="22B08F0E">
              <w:tblPrEx>
                <w:tblCellMar>
                  <w:top w:w="0" w:type="dxa"/>
                  <w:left w:w="108" w:type="dxa"/>
                  <w:bottom w:w="0" w:type="dxa"/>
                  <w:right w:w="108" w:type="dxa"/>
                </w:tblCellMar>
              </w:tblPrEx>
              <w:trPr>
                <w:trHeight w:val="600" w:hRule="atLeast"/>
              </w:trPr>
              <w:tc>
                <w:tcPr>
                  <w:tcW w:w="4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A996F">
                  <w:pPr>
                    <w:jc w:val="left"/>
                    <w:rPr>
                      <w:rFonts w:ascii="宋体" w:hAnsi="宋体" w:cs="宋体"/>
                      <w:color w:val="000000"/>
                      <w:sz w:val="18"/>
                      <w:szCs w:val="18"/>
                    </w:rPr>
                  </w:pPr>
                </w:p>
              </w:tc>
            </w:tr>
            <w:tr w14:paraId="63F7924B">
              <w:tblPrEx>
                <w:tblCellMar>
                  <w:top w:w="0" w:type="dxa"/>
                  <w:left w:w="108" w:type="dxa"/>
                  <w:bottom w:w="0" w:type="dxa"/>
                  <w:right w:w="108" w:type="dxa"/>
                </w:tblCellMar>
              </w:tblPrEx>
              <w:trPr>
                <w:trHeight w:val="799" w:hRule="atLeast"/>
              </w:trPr>
              <w:tc>
                <w:tcPr>
                  <w:tcW w:w="4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638FE">
                  <w:pPr>
                    <w:jc w:val="left"/>
                    <w:rPr>
                      <w:rFonts w:ascii="宋体" w:hAnsi="宋体" w:cs="宋体"/>
                      <w:color w:val="000000"/>
                      <w:sz w:val="18"/>
                      <w:szCs w:val="18"/>
                    </w:rPr>
                  </w:pPr>
                </w:p>
              </w:tc>
            </w:tr>
            <w:tr w14:paraId="65B72402">
              <w:tblPrEx>
                <w:tblCellMar>
                  <w:top w:w="0" w:type="dxa"/>
                  <w:left w:w="108" w:type="dxa"/>
                  <w:bottom w:w="0" w:type="dxa"/>
                  <w:right w:w="108" w:type="dxa"/>
                </w:tblCellMar>
              </w:tblPrEx>
              <w:trPr>
                <w:trHeight w:val="600" w:hRule="atLeast"/>
              </w:trPr>
              <w:tc>
                <w:tcPr>
                  <w:tcW w:w="4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374F8">
                  <w:pPr>
                    <w:jc w:val="left"/>
                    <w:rPr>
                      <w:rFonts w:ascii="宋体" w:hAnsi="宋体" w:cs="宋体"/>
                      <w:color w:val="000000"/>
                      <w:sz w:val="18"/>
                      <w:szCs w:val="18"/>
                    </w:rPr>
                  </w:pPr>
                </w:p>
              </w:tc>
            </w:tr>
            <w:tr w14:paraId="62C94AB9">
              <w:tblPrEx>
                <w:tblCellMar>
                  <w:top w:w="0" w:type="dxa"/>
                  <w:left w:w="108" w:type="dxa"/>
                  <w:bottom w:w="0" w:type="dxa"/>
                  <w:right w:w="108" w:type="dxa"/>
                </w:tblCellMar>
              </w:tblPrEx>
              <w:trPr>
                <w:trHeight w:val="600" w:hRule="atLeast"/>
              </w:trPr>
              <w:tc>
                <w:tcPr>
                  <w:tcW w:w="4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8FE20">
                  <w:pPr>
                    <w:jc w:val="left"/>
                    <w:rPr>
                      <w:rFonts w:ascii="宋体" w:hAnsi="宋体" w:cs="宋体"/>
                      <w:color w:val="000000"/>
                      <w:sz w:val="18"/>
                      <w:szCs w:val="18"/>
                    </w:rPr>
                  </w:pPr>
                </w:p>
              </w:tc>
            </w:tr>
            <w:tr w14:paraId="5B505FE9">
              <w:tblPrEx>
                <w:tblCellMar>
                  <w:top w:w="0" w:type="dxa"/>
                  <w:left w:w="108" w:type="dxa"/>
                  <w:bottom w:w="0" w:type="dxa"/>
                  <w:right w:w="108" w:type="dxa"/>
                </w:tblCellMar>
              </w:tblPrEx>
              <w:trPr>
                <w:trHeight w:val="600" w:hRule="atLeast"/>
              </w:trPr>
              <w:tc>
                <w:tcPr>
                  <w:tcW w:w="4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2EE72">
                  <w:pPr>
                    <w:jc w:val="left"/>
                    <w:rPr>
                      <w:rFonts w:ascii="宋体" w:hAnsi="宋体" w:cs="宋体"/>
                      <w:color w:val="000000"/>
                      <w:sz w:val="18"/>
                      <w:szCs w:val="18"/>
                    </w:rPr>
                  </w:pPr>
                </w:p>
              </w:tc>
            </w:tr>
            <w:tr w14:paraId="268C2CD6">
              <w:tblPrEx>
                <w:tblCellMar>
                  <w:top w:w="0" w:type="dxa"/>
                  <w:left w:w="108" w:type="dxa"/>
                  <w:bottom w:w="0" w:type="dxa"/>
                  <w:right w:w="108" w:type="dxa"/>
                </w:tblCellMar>
              </w:tblPrEx>
              <w:trPr>
                <w:trHeight w:val="600" w:hRule="atLeast"/>
              </w:trPr>
              <w:tc>
                <w:tcPr>
                  <w:tcW w:w="4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DCFCE">
                  <w:pPr>
                    <w:jc w:val="left"/>
                    <w:rPr>
                      <w:rFonts w:ascii="宋体" w:hAnsi="宋体" w:cs="宋体"/>
                      <w:color w:val="000000"/>
                      <w:sz w:val="18"/>
                      <w:szCs w:val="18"/>
                    </w:rPr>
                  </w:pPr>
                </w:p>
              </w:tc>
            </w:tr>
            <w:tr w14:paraId="1FFF60F6">
              <w:tblPrEx>
                <w:tblCellMar>
                  <w:top w:w="0" w:type="dxa"/>
                  <w:left w:w="108" w:type="dxa"/>
                  <w:bottom w:w="0" w:type="dxa"/>
                  <w:right w:w="108" w:type="dxa"/>
                </w:tblCellMar>
              </w:tblPrEx>
              <w:trPr>
                <w:trHeight w:val="600" w:hRule="atLeast"/>
              </w:trPr>
              <w:tc>
                <w:tcPr>
                  <w:tcW w:w="4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37A4C">
                  <w:pPr>
                    <w:jc w:val="left"/>
                    <w:rPr>
                      <w:rFonts w:ascii="宋体" w:hAnsi="宋体" w:cs="宋体"/>
                      <w:color w:val="000000"/>
                      <w:sz w:val="18"/>
                      <w:szCs w:val="18"/>
                    </w:rPr>
                  </w:pPr>
                </w:p>
              </w:tc>
            </w:tr>
          </w:tbl>
          <w:p w14:paraId="780FA1F6">
            <w:pPr>
              <w:snapToGrid w:val="0"/>
              <w:spacing w:line="300" w:lineRule="exact"/>
              <w:rPr>
                <w:rFonts w:eastAsiaTheme="minorEastAsia"/>
                <w:color w:val="FF0000"/>
                <w:sz w:val="24"/>
              </w:rPr>
            </w:pPr>
          </w:p>
        </w:tc>
      </w:tr>
      <w:tr w14:paraId="0F013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1668" w:type="dxa"/>
            <w:vMerge w:val="restart"/>
            <w:tcBorders>
              <w:tl2br w:val="nil"/>
              <w:tr2bl w:val="nil"/>
            </w:tcBorders>
            <w:shd w:val="clear" w:color="auto" w:fill="auto"/>
            <w:vAlign w:val="center"/>
          </w:tcPr>
          <w:p w14:paraId="75BD6C8C">
            <w:pPr>
              <w:widowControl/>
              <w:snapToGrid w:val="0"/>
              <w:spacing w:line="300" w:lineRule="exact"/>
              <w:jc w:val="center"/>
              <w:textAlignment w:val="center"/>
              <w:rPr>
                <w:rFonts w:eastAsiaTheme="minorEastAsia"/>
                <w:sz w:val="28"/>
                <w:szCs w:val="28"/>
              </w:rPr>
            </w:pPr>
            <w:r>
              <w:rPr>
                <w:rFonts w:eastAsiaTheme="minorEastAsia"/>
                <w:kern w:val="0"/>
                <w:sz w:val="28"/>
                <w:szCs w:val="28"/>
              </w:rPr>
              <w:t>年度绩效指标完成情况</w:t>
            </w:r>
          </w:p>
        </w:tc>
        <w:tc>
          <w:tcPr>
            <w:tcW w:w="1049" w:type="dxa"/>
            <w:tcBorders>
              <w:tl2br w:val="nil"/>
              <w:tr2bl w:val="nil"/>
            </w:tcBorders>
            <w:shd w:val="clear" w:color="auto" w:fill="auto"/>
            <w:vAlign w:val="center"/>
          </w:tcPr>
          <w:p w14:paraId="0171CDF0">
            <w:pPr>
              <w:widowControl/>
              <w:snapToGrid w:val="0"/>
              <w:spacing w:line="300" w:lineRule="exact"/>
              <w:jc w:val="center"/>
              <w:textAlignment w:val="center"/>
              <w:rPr>
                <w:rFonts w:eastAsiaTheme="minorEastAsia"/>
                <w:kern w:val="0"/>
                <w:sz w:val="28"/>
                <w:szCs w:val="28"/>
              </w:rPr>
            </w:pPr>
            <w:r>
              <w:rPr>
                <w:rFonts w:eastAsiaTheme="minorEastAsia"/>
                <w:kern w:val="0"/>
                <w:sz w:val="28"/>
                <w:szCs w:val="28"/>
              </w:rPr>
              <w:t>一级</w:t>
            </w:r>
          </w:p>
          <w:p w14:paraId="50D63F5A">
            <w:pPr>
              <w:widowControl/>
              <w:snapToGrid w:val="0"/>
              <w:spacing w:line="300" w:lineRule="exact"/>
              <w:jc w:val="center"/>
              <w:textAlignment w:val="center"/>
              <w:rPr>
                <w:rFonts w:eastAsiaTheme="minorEastAsia"/>
                <w:sz w:val="28"/>
                <w:szCs w:val="28"/>
              </w:rPr>
            </w:pPr>
            <w:r>
              <w:rPr>
                <w:rFonts w:eastAsiaTheme="minorEastAsia"/>
                <w:kern w:val="0"/>
                <w:sz w:val="28"/>
                <w:szCs w:val="28"/>
              </w:rPr>
              <w:t>指标</w:t>
            </w:r>
          </w:p>
        </w:tc>
        <w:tc>
          <w:tcPr>
            <w:tcW w:w="2036" w:type="dxa"/>
            <w:tcBorders>
              <w:tl2br w:val="nil"/>
              <w:tr2bl w:val="nil"/>
            </w:tcBorders>
            <w:shd w:val="clear" w:color="auto" w:fill="auto"/>
            <w:vAlign w:val="center"/>
          </w:tcPr>
          <w:p w14:paraId="1ECB2829">
            <w:pPr>
              <w:widowControl/>
              <w:snapToGrid w:val="0"/>
              <w:spacing w:line="300" w:lineRule="exact"/>
              <w:jc w:val="center"/>
              <w:textAlignment w:val="center"/>
              <w:rPr>
                <w:rFonts w:eastAsiaTheme="minorEastAsia"/>
                <w:kern w:val="0"/>
                <w:sz w:val="28"/>
                <w:szCs w:val="28"/>
              </w:rPr>
            </w:pPr>
            <w:r>
              <w:rPr>
                <w:rFonts w:eastAsiaTheme="minorEastAsia"/>
                <w:kern w:val="0"/>
                <w:sz w:val="28"/>
                <w:szCs w:val="28"/>
              </w:rPr>
              <w:t>二级</w:t>
            </w:r>
          </w:p>
          <w:p w14:paraId="5306B585">
            <w:pPr>
              <w:widowControl/>
              <w:snapToGrid w:val="0"/>
              <w:spacing w:line="300" w:lineRule="exact"/>
              <w:jc w:val="center"/>
              <w:textAlignment w:val="center"/>
              <w:rPr>
                <w:rFonts w:eastAsiaTheme="minorEastAsia"/>
                <w:sz w:val="28"/>
                <w:szCs w:val="28"/>
              </w:rPr>
            </w:pPr>
            <w:r>
              <w:rPr>
                <w:rFonts w:eastAsiaTheme="minorEastAsia"/>
                <w:kern w:val="0"/>
                <w:sz w:val="28"/>
                <w:szCs w:val="28"/>
              </w:rPr>
              <w:t>指标</w:t>
            </w:r>
          </w:p>
        </w:tc>
        <w:tc>
          <w:tcPr>
            <w:tcW w:w="1189" w:type="dxa"/>
            <w:gridSpan w:val="2"/>
            <w:tcBorders>
              <w:tl2br w:val="nil"/>
              <w:tr2bl w:val="nil"/>
            </w:tcBorders>
            <w:shd w:val="clear" w:color="auto" w:fill="auto"/>
            <w:vAlign w:val="center"/>
          </w:tcPr>
          <w:p w14:paraId="05C21F49">
            <w:pPr>
              <w:widowControl/>
              <w:snapToGrid w:val="0"/>
              <w:spacing w:line="300" w:lineRule="exact"/>
              <w:jc w:val="center"/>
              <w:textAlignment w:val="center"/>
              <w:rPr>
                <w:rFonts w:eastAsiaTheme="minorEastAsia"/>
                <w:kern w:val="0"/>
                <w:sz w:val="28"/>
                <w:szCs w:val="28"/>
              </w:rPr>
            </w:pPr>
            <w:r>
              <w:rPr>
                <w:rFonts w:eastAsiaTheme="minorEastAsia"/>
                <w:kern w:val="0"/>
                <w:sz w:val="28"/>
                <w:szCs w:val="28"/>
              </w:rPr>
              <w:t>三级</w:t>
            </w:r>
          </w:p>
          <w:p w14:paraId="4EEE0E49">
            <w:pPr>
              <w:widowControl/>
              <w:snapToGrid w:val="0"/>
              <w:spacing w:line="300" w:lineRule="exact"/>
              <w:jc w:val="center"/>
              <w:textAlignment w:val="center"/>
              <w:rPr>
                <w:rFonts w:eastAsiaTheme="minorEastAsia"/>
                <w:sz w:val="28"/>
                <w:szCs w:val="28"/>
              </w:rPr>
            </w:pPr>
            <w:r>
              <w:rPr>
                <w:rFonts w:eastAsiaTheme="minorEastAsia"/>
                <w:kern w:val="0"/>
                <w:sz w:val="28"/>
                <w:szCs w:val="28"/>
              </w:rPr>
              <w:t>指标</w:t>
            </w:r>
          </w:p>
        </w:tc>
        <w:tc>
          <w:tcPr>
            <w:tcW w:w="1224" w:type="dxa"/>
            <w:gridSpan w:val="2"/>
            <w:tcBorders>
              <w:tl2br w:val="nil"/>
              <w:tr2bl w:val="nil"/>
            </w:tcBorders>
            <w:shd w:val="clear" w:color="auto" w:fill="auto"/>
            <w:vAlign w:val="center"/>
          </w:tcPr>
          <w:p w14:paraId="43118AE6">
            <w:pPr>
              <w:widowControl/>
              <w:snapToGrid w:val="0"/>
              <w:spacing w:line="300" w:lineRule="exact"/>
              <w:jc w:val="center"/>
              <w:textAlignment w:val="center"/>
              <w:rPr>
                <w:rFonts w:eastAsiaTheme="minorEastAsia"/>
                <w:sz w:val="28"/>
                <w:szCs w:val="28"/>
              </w:rPr>
            </w:pPr>
            <w:r>
              <w:rPr>
                <w:rFonts w:eastAsiaTheme="minorEastAsia"/>
                <w:kern w:val="0"/>
                <w:sz w:val="28"/>
                <w:szCs w:val="28"/>
              </w:rPr>
              <w:t>预期指标值</w:t>
            </w:r>
          </w:p>
        </w:tc>
        <w:tc>
          <w:tcPr>
            <w:tcW w:w="3715" w:type="dxa"/>
            <w:gridSpan w:val="3"/>
            <w:tcBorders>
              <w:tl2br w:val="nil"/>
              <w:tr2bl w:val="nil"/>
            </w:tcBorders>
            <w:shd w:val="clear" w:color="auto" w:fill="auto"/>
            <w:vAlign w:val="center"/>
          </w:tcPr>
          <w:p w14:paraId="6AE2F867">
            <w:pPr>
              <w:widowControl/>
              <w:snapToGrid w:val="0"/>
              <w:spacing w:line="300" w:lineRule="exact"/>
              <w:jc w:val="center"/>
              <w:textAlignment w:val="center"/>
              <w:rPr>
                <w:rFonts w:eastAsiaTheme="minorEastAsia"/>
                <w:sz w:val="28"/>
                <w:szCs w:val="28"/>
              </w:rPr>
            </w:pPr>
            <w:r>
              <w:rPr>
                <w:rFonts w:eastAsiaTheme="minorEastAsia"/>
                <w:kern w:val="0"/>
                <w:sz w:val="28"/>
                <w:szCs w:val="28"/>
              </w:rPr>
              <w:t>实际完成指标值</w:t>
            </w:r>
          </w:p>
        </w:tc>
      </w:tr>
      <w:tr w14:paraId="12FBE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1668" w:type="dxa"/>
            <w:vMerge w:val="continue"/>
            <w:tcBorders>
              <w:tl2br w:val="nil"/>
              <w:tr2bl w:val="nil"/>
            </w:tcBorders>
            <w:shd w:val="clear" w:color="auto" w:fill="auto"/>
            <w:vAlign w:val="center"/>
          </w:tcPr>
          <w:p w14:paraId="3E48734B">
            <w:pPr>
              <w:snapToGrid w:val="0"/>
              <w:spacing w:line="300" w:lineRule="exact"/>
              <w:jc w:val="center"/>
              <w:rPr>
                <w:rFonts w:eastAsiaTheme="minorEastAsia"/>
                <w:sz w:val="28"/>
                <w:szCs w:val="28"/>
              </w:rPr>
            </w:pPr>
          </w:p>
        </w:tc>
        <w:tc>
          <w:tcPr>
            <w:tcW w:w="1049" w:type="dxa"/>
            <w:vMerge w:val="restart"/>
            <w:tcBorders>
              <w:tl2br w:val="nil"/>
              <w:tr2bl w:val="nil"/>
            </w:tcBorders>
            <w:shd w:val="clear" w:color="auto" w:fill="auto"/>
            <w:vAlign w:val="center"/>
          </w:tcPr>
          <w:p w14:paraId="71BB1C7C">
            <w:pPr>
              <w:widowControl/>
              <w:snapToGrid w:val="0"/>
              <w:spacing w:line="300" w:lineRule="exact"/>
              <w:jc w:val="center"/>
              <w:textAlignment w:val="bottom"/>
              <w:rPr>
                <w:rFonts w:eastAsiaTheme="minorEastAsia"/>
                <w:kern w:val="0"/>
                <w:sz w:val="28"/>
                <w:szCs w:val="28"/>
              </w:rPr>
            </w:pPr>
            <w:r>
              <w:rPr>
                <w:rFonts w:eastAsiaTheme="minorEastAsia"/>
                <w:kern w:val="0"/>
                <w:sz w:val="28"/>
                <w:szCs w:val="28"/>
              </w:rPr>
              <w:t>完成</w:t>
            </w:r>
          </w:p>
          <w:p w14:paraId="2416752B">
            <w:pPr>
              <w:widowControl/>
              <w:snapToGrid w:val="0"/>
              <w:spacing w:line="300" w:lineRule="exact"/>
              <w:jc w:val="center"/>
              <w:textAlignment w:val="bottom"/>
              <w:rPr>
                <w:rFonts w:eastAsiaTheme="minorEastAsia"/>
                <w:sz w:val="28"/>
                <w:szCs w:val="28"/>
              </w:rPr>
            </w:pPr>
            <w:r>
              <w:rPr>
                <w:rFonts w:eastAsiaTheme="minorEastAsia"/>
                <w:kern w:val="0"/>
                <w:sz w:val="28"/>
                <w:szCs w:val="28"/>
              </w:rPr>
              <w:t>指标</w:t>
            </w:r>
          </w:p>
        </w:tc>
        <w:tc>
          <w:tcPr>
            <w:tcW w:w="2036" w:type="dxa"/>
            <w:tcBorders>
              <w:tl2br w:val="nil"/>
              <w:tr2bl w:val="nil"/>
            </w:tcBorders>
            <w:shd w:val="clear" w:color="auto" w:fill="auto"/>
            <w:vAlign w:val="center"/>
          </w:tcPr>
          <w:p w14:paraId="4E5D3C67">
            <w:pPr>
              <w:widowControl/>
              <w:snapToGrid w:val="0"/>
              <w:spacing w:line="300" w:lineRule="exact"/>
              <w:jc w:val="center"/>
              <w:textAlignment w:val="bottom"/>
              <w:rPr>
                <w:rFonts w:eastAsiaTheme="minorEastAsia"/>
                <w:sz w:val="28"/>
                <w:szCs w:val="28"/>
              </w:rPr>
            </w:pPr>
            <w:r>
              <w:rPr>
                <w:rFonts w:eastAsiaTheme="minorEastAsia"/>
                <w:kern w:val="0"/>
                <w:sz w:val="28"/>
                <w:szCs w:val="28"/>
              </w:rPr>
              <w:t>数量指标</w:t>
            </w:r>
          </w:p>
        </w:tc>
        <w:tc>
          <w:tcPr>
            <w:tcW w:w="1189" w:type="dxa"/>
            <w:gridSpan w:val="2"/>
            <w:tcBorders>
              <w:tl2br w:val="nil"/>
              <w:tr2bl w:val="nil"/>
            </w:tcBorders>
            <w:shd w:val="clear" w:color="auto" w:fill="auto"/>
            <w:vAlign w:val="center"/>
          </w:tcPr>
          <w:p w14:paraId="34C73192">
            <w:pPr>
              <w:snapToGrid w:val="0"/>
              <w:spacing w:line="300" w:lineRule="exact"/>
              <w:jc w:val="center"/>
              <w:rPr>
                <w:rFonts w:eastAsiaTheme="minorEastAsia"/>
                <w:color w:val="000000"/>
                <w:sz w:val="22"/>
                <w:szCs w:val="22"/>
              </w:rPr>
            </w:pPr>
            <w:r>
              <w:rPr>
                <w:rFonts w:eastAsiaTheme="minorEastAsia"/>
                <w:color w:val="000000"/>
                <w:sz w:val="22"/>
                <w:szCs w:val="22"/>
              </w:rPr>
              <w:t>党员干部培训、脱贫攻坚成果巩固培训次数</w:t>
            </w:r>
          </w:p>
        </w:tc>
        <w:tc>
          <w:tcPr>
            <w:tcW w:w="1224" w:type="dxa"/>
            <w:gridSpan w:val="2"/>
            <w:tcBorders>
              <w:tl2br w:val="nil"/>
              <w:tr2bl w:val="nil"/>
            </w:tcBorders>
            <w:shd w:val="clear" w:color="auto" w:fill="auto"/>
            <w:vAlign w:val="center"/>
          </w:tcPr>
          <w:p w14:paraId="1EFDBAC5">
            <w:pPr>
              <w:snapToGrid w:val="0"/>
              <w:spacing w:line="300" w:lineRule="exact"/>
              <w:jc w:val="center"/>
              <w:rPr>
                <w:rFonts w:eastAsiaTheme="minorEastAsia"/>
                <w:color w:val="000000"/>
                <w:sz w:val="22"/>
                <w:szCs w:val="22"/>
              </w:rPr>
            </w:pPr>
            <w:r>
              <w:rPr>
                <w:rFonts w:eastAsiaTheme="minorEastAsia"/>
                <w:color w:val="000000"/>
                <w:sz w:val="22"/>
                <w:szCs w:val="22"/>
              </w:rPr>
              <w:t>4次</w:t>
            </w:r>
          </w:p>
        </w:tc>
        <w:tc>
          <w:tcPr>
            <w:tcW w:w="3715" w:type="dxa"/>
            <w:gridSpan w:val="3"/>
            <w:tcBorders>
              <w:tl2br w:val="nil"/>
              <w:tr2bl w:val="nil"/>
            </w:tcBorders>
            <w:shd w:val="clear" w:color="auto" w:fill="auto"/>
            <w:vAlign w:val="center"/>
          </w:tcPr>
          <w:p w14:paraId="661E0335">
            <w:pPr>
              <w:widowControl/>
              <w:snapToGrid w:val="0"/>
              <w:spacing w:line="300" w:lineRule="exact"/>
              <w:jc w:val="center"/>
              <w:textAlignment w:val="bottom"/>
              <w:rPr>
                <w:rFonts w:eastAsiaTheme="minorEastAsia"/>
                <w:sz w:val="28"/>
                <w:szCs w:val="28"/>
              </w:rPr>
            </w:pPr>
            <w:r>
              <w:rPr>
                <w:rFonts w:eastAsiaTheme="minorEastAsia"/>
                <w:color w:val="000000"/>
                <w:sz w:val="22"/>
                <w:szCs w:val="22"/>
              </w:rPr>
              <w:t>4次</w:t>
            </w:r>
          </w:p>
        </w:tc>
      </w:tr>
      <w:tr w14:paraId="22794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1668" w:type="dxa"/>
            <w:vMerge w:val="continue"/>
            <w:tcBorders>
              <w:tl2br w:val="nil"/>
              <w:tr2bl w:val="nil"/>
            </w:tcBorders>
            <w:shd w:val="clear" w:color="auto" w:fill="auto"/>
            <w:vAlign w:val="center"/>
          </w:tcPr>
          <w:p w14:paraId="7429A8C4">
            <w:pPr>
              <w:snapToGrid w:val="0"/>
              <w:spacing w:line="300" w:lineRule="exact"/>
              <w:jc w:val="center"/>
              <w:rPr>
                <w:rFonts w:eastAsiaTheme="minorEastAsia"/>
                <w:sz w:val="28"/>
                <w:szCs w:val="28"/>
              </w:rPr>
            </w:pPr>
          </w:p>
        </w:tc>
        <w:tc>
          <w:tcPr>
            <w:tcW w:w="1049" w:type="dxa"/>
            <w:vMerge w:val="continue"/>
            <w:tcBorders>
              <w:tl2br w:val="nil"/>
              <w:tr2bl w:val="nil"/>
            </w:tcBorders>
            <w:shd w:val="clear" w:color="auto" w:fill="auto"/>
            <w:vAlign w:val="center"/>
          </w:tcPr>
          <w:p w14:paraId="7B085A1A">
            <w:pPr>
              <w:snapToGrid w:val="0"/>
              <w:spacing w:line="300" w:lineRule="exact"/>
              <w:jc w:val="center"/>
              <w:rPr>
                <w:rFonts w:eastAsiaTheme="minorEastAsia"/>
                <w:sz w:val="28"/>
                <w:szCs w:val="28"/>
              </w:rPr>
            </w:pPr>
          </w:p>
        </w:tc>
        <w:tc>
          <w:tcPr>
            <w:tcW w:w="2036" w:type="dxa"/>
            <w:tcBorders>
              <w:tl2br w:val="nil"/>
              <w:tr2bl w:val="nil"/>
            </w:tcBorders>
            <w:shd w:val="clear" w:color="auto" w:fill="auto"/>
            <w:vAlign w:val="center"/>
          </w:tcPr>
          <w:p w14:paraId="515B2ADD">
            <w:pPr>
              <w:widowControl/>
              <w:snapToGrid w:val="0"/>
              <w:spacing w:line="300" w:lineRule="exact"/>
              <w:jc w:val="center"/>
              <w:textAlignment w:val="bottom"/>
              <w:rPr>
                <w:rFonts w:eastAsiaTheme="minorEastAsia"/>
                <w:kern w:val="0"/>
                <w:sz w:val="28"/>
                <w:szCs w:val="28"/>
              </w:rPr>
            </w:pPr>
            <w:r>
              <w:rPr>
                <w:rFonts w:eastAsiaTheme="minorEastAsia"/>
                <w:kern w:val="0"/>
                <w:sz w:val="28"/>
                <w:szCs w:val="28"/>
              </w:rPr>
              <w:t>数量指标</w:t>
            </w:r>
          </w:p>
        </w:tc>
        <w:tc>
          <w:tcPr>
            <w:tcW w:w="1189" w:type="dxa"/>
            <w:gridSpan w:val="2"/>
            <w:tcBorders>
              <w:tl2br w:val="nil"/>
              <w:tr2bl w:val="nil"/>
            </w:tcBorders>
            <w:shd w:val="clear" w:color="auto" w:fill="auto"/>
            <w:vAlign w:val="center"/>
          </w:tcPr>
          <w:p w14:paraId="21158AE0">
            <w:pPr>
              <w:snapToGrid w:val="0"/>
              <w:spacing w:line="300" w:lineRule="exact"/>
              <w:jc w:val="center"/>
              <w:rPr>
                <w:rFonts w:eastAsiaTheme="minorEastAsia"/>
                <w:color w:val="000000"/>
                <w:sz w:val="22"/>
                <w:szCs w:val="22"/>
              </w:rPr>
            </w:pPr>
            <w:r>
              <w:rPr>
                <w:rFonts w:eastAsiaTheme="minorEastAsia"/>
                <w:color w:val="000000"/>
                <w:sz w:val="22"/>
                <w:szCs w:val="22"/>
              </w:rPr>
              <w:t>全村组织文化体检及健身活动开展次数</w:t>
            </w:r>
          </w:p>
        </w:tc>
        <w:tc>
          <w:tcPr>
            <w:tcW w:w="1224" w:type="dxa"/>
            <w:gridSpan w:val="2"/>
            <w:tcBorders>
              <w:tl2br w:val="nil"/>
              <w:tr2bl w:val="nil"/>
            </w:tcBorders>
            <w:shd w:val="clear" w:color="auto" w:fill="auto"/>
            <w:vAlign w:val="center"/>
          </w:tcPr>
          <w:p w14:paraId="75C3B166">
            <w:pPr>
              <w:snapToGrid w:val="0"/>
              <w:spacing w:line="300" w:lineRule="exact"/>
              <w:jc w:val="center"/>
              <w:rPr>
                <w:rFonts w:eastAsiaTheme="minorEastAsia"/>
                <w:color w:val="000000"/>
                <w:sz w:val="22"/>
                <w:szCs w:val="22"/>
              </w:rPr>
            </w:pPr>
            <w:r>
              <w:rPr>
                <w:rFonts w:eastAsiaTheme="minorEastAsia"/>
                <w:color w:val="000000"/>
                <w:sz w:val="22"/>
                <w:szCs w:val="22"/>
              </w:rPr>
              <w:t>12次</w:t>
            </w:r>
          </w:p>
        </w:tc>
        <w:tc>
          <w:tcPr>
            <w:tcW w:w="3715" w:type="dxa"/>
            <w:gridSpan w:val="3"/>
            <w:tcBorders>
              <w:tl2br w:val="nil"/>
              <w:tr2bl w:val="nil"/>
            </w:tcBorders>
            <w:shd w:val="clear" w:color="auto" w:fill="auto"/>
            <w:vAlign w:val="center"/>
          </w:tcPr>
          <w:p w14:paraId="423E7077">
            <w:pPr>
              <w:widowControl/>
              <w:snapToGrid w:val="0"/>
              <w:spacing w:line="300" w:lineRule="exact"/>
              <w:jc w:val="center"/>
              <w:textAlignment w:val="bottom"/>
              <w:rPr>
                <w:rFonts w:eastAsiaTheme="minorEastAsia"/>
                <w:sz w:val="28"/>
                <w:szCs w:val="28"/>
              </w:rPr>
            </w:pPr>
            <w:r>
              <w:rPr>
                <w:rFonts w:eastAsiaTheme="minorEastAsia"/>
                <w:color w:val="000000"/>
                <w:sz w:val="22"/>
                <w:szCs w:val="22"/>
              </w:rPr>
              <w:t>12次</w:t>
            </w:r>
          </w:p>
        </w:tc>
      </w:tr>
      <w:tr w14:paraId="462DD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1668" w:type="dxa"/>
            <w:vMerge w:val="continue"/>
            <w:tcBorders>
              <w:tl2br w:val="nil"/>
              <w:tr2bl w:val="nil"/>
            </w:tcBorders>
            <w:shd w:val="clear" w:color="auto" w:fill="auto"/>
            <w:vAlign w:val="center"/>
          </w:tcPr>
          <w:p w14:paraId="2C035761">
            <w:pPr>
              <w:snapToGrid w:val="0"/>
              <w:spacing w:line="300" w:lineRule="exact"/>
              <w:jc w:val="center"/>
              <w:rPr>
                <w:rFonts w:eastAsiaTheme="minorEastAsia"/>
                <w:sz w:val="28"/>
                <w:szCs w:val="28"/>
              </w:rPr>
            </w:pPr>
          </w:p>
        </w:tc>
        <w:tc>
          <w:tcPr>
            <w:tcW w:w="1049" w:type="dxa"/>
            <w:vMerge w:val="continue"/>
            <w:tcBorders>
              <w:tl2br w:val="nil"/>
              <w:tr2bl w:val="nil"/>
            </w:tcBorders>
            <w:shd w:val="clear" w:color="auto" w:fill="auto"/>
            <w:vAlign w:val="center"/>
          </w:tcPr>
          <w:p w14:paraId="44DAEBB7">
            <w:pPr>
              <w:snapToGrid w:val="0"/>
              <w:spacing w:line="300" w:lineRule="exact"/>
              <w:jc w:val="center"/>
              <w:rPr>
                <w:rFonts w:eastAsiaTheme="minorEastAsia"/>
                <w:sz w:val="28"/>
                <w:szCs w:val="28"/>
              </w:rPr>
            </w:pPr>
          </w:p>
        </w:tc>
        <w:tc>
          <w:tcPr>
            <w:tcW w:w="2036" w:type="dxa"/>
            <w:tcBorders>
              <w:tl2br w:val="nil"/>
              <w:tr2bl w:val="nil"/>
            </w:tcBorders>
            <w:shd w:val="clear" w:color="auto" w:fill="auto"/>
            <w:vAlign w:val="center"/>
          </w:tcPr>
          <w:p w14:paraId="544D3400">
            <w:pPr>
              <w:widowControl/>
              <w:snapToGrid w:val="0"/>
              <w:spacing w:line="300" w:lineRule="exact"/>
              <w:jc w:val="center"/>
              <w:textAlignment w:val="bottom"/>
              <w:rPr>
                <w:rFonts w:eastAsiaTheme="minorEastAsia"/>
                <w:kern w:val="0"/>
                <w:sz w:val="28"/>
                <w:szCs w:val="28"/>
              </w:rPr>
            </w:pPr>
            <w:r>
              <w:rPr>
                <w:rFonts w:eastAsiaTheme="minorEastAsia"/>
                <w:kern w:val="0"/>
                <w:sz w:val="28"/>
                <w:szCs w:val="28"/>
              </w:rPr>
              <w:t>数量指标</w:t>
            </w:r>
          </w:p>
        </w:tc>
        <w:tc>
          <w:tcPr>
            <w:tcW w:w="1189" w:type="dxa"/>
            <w:gridSpan w:val="2"/>
            <w:tcBorders>
              <w:tl2br w:val="nil"/>
              <w:tr2bl w:val="nil"/>
            </w:tcBorders>
            <w:shd w:val="clear" w:color="auto" w:fill="auto"/>
            <w:vAlign w:val="center"/>
          </w:tcPr>
          <w:p w14:paraId="16A9E318">
            <w:pPr>
              <w:snapToGrid w:val="0"/>
              <w:spacing w:line="300" w:lineRule="exact"/>
              <w:jc w:val="center"/>
              <w:rPr>
                <w:rFonts w:eastAsiaTheme="minorEastAsia"/>
                <w:color w:val="000000"/>
                <w:sz w:val="22"/>
                <w:szCs w:val="22"/>
              </w:rPr>
            </w:pPr>
            <w:r>
              <w:rPr>
                <w:rFonts w:eastAsiaTheme="minorEastAsia"/>
                <w:color w:val="000000"/>
                <w:sz w:val="22"/>
                <w:szCs w:val="22"/>
              </w:rPr>
              <w:t>走访慰问次数</w:t>
            </w:r>
          </w:p>
        </w:tc>
        <w:tc>
          <w:tcPr>
            <w:tcW w:w="1224" w:type="dxa"/>
            <w:gridSpan w:val="2"/>
            <w:tcBorders>
              <w:tl2br w:val="nil"/>
              <w:tr2bl w:val="nil"/>
            </w:tcBorders>
            <w:shd w:val="clear" w:color="auto" w:fill="auto"/>
            <w:vAlign w:val="center"/>
          </w:tcPr>
          <w:p w14:paraId="18BB155D">
            <w:pPr>
              <w:snapToGrid w:val="0"/>
              <w:spacing w:line="300" w:lineRule="exact"/>
              <w:jc w:val="center"/>
              <w:rPr>
                <w:rFonts w:eastAsiaTheme="minorEastAsia"/>
                <w:color w:val="000000"/>
                <w:sz w:val="22"/>
                <w:szCs w:val="22"/>
              </w:rPr>
            </w:pPr>
            <w:r>
              <w:rPr>
                <w:rFonts w:eastAsiaTheme="minorEastAsia"/>
                <w:color w:val="000000"/>
                <w:sz w:val="22"/>
                <w:szCs w:val="22"/>
              </w:rPr>
              <w:t>10次</w:t>
            </w:r>
          </w:p>
        </w:tc>
        <w:tc>
          <w:tcPr>
            <w:tcW w:w="3715" w:type="dxa"/>
            <w:gridSpan w:val="3"/>
            <w:tcBorders>
              <w:tl2br w:val="nil"/>
              <w:tr2bl w:val="nil"/>
            </w:tcBorders>
            <w:shd w:val="clear" w:color="auto" w:fill="auto"/>
            <w:vAlign w:val="center"/>
          </w:tcPr>
          <w:p w14:paraId="0115D3EC">
            <w:pPr>
              <w:widowControl/>
              <w:snapToGrid w:val="0"/>
              <w:spacing w:line="300" w:lineRule="exact"/>
              <w:jc w:val="center"/>
              <w:textAlignment w:val="bottom"/>
              <w:rPr>
                <w:rFonts w:eastAsiaTheme="minorEastAsia"/>
                <w:sz w:val="28"/>
                <w:szCs w:val="28"/>
              </w:rPr>
            </w:pPr>
            <w:r>
              <w:rPr>
                <w:rFonts w:eastAsiaTheme="minorEastAsia"/>
                <w:color w:val="000000"/>
                <w:sz w:val="22"/>
                <w:szCs w:val="22"/>
              </w:rPr>
              <w:t>10次</w:t>
            </w:r>
          </w:p>
        </w:tc>
      </w:tr>
      <w:tr w14:paraId="2F9FB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1668" w:type="dxa"/>
            <w:vMerge w:val="continue"/>
            <w:tcBorders>
              <w:tl2br w:val="nil"/>
              <w:tr2bl w:val="nil"/>
            </w:tcBorders>
            <w:shd w:val="clear" w:color="auto" w:fill="auto"/>
            <w:vAlign w:val="center"/>
          </w:tcPr>
          <w:p w14:paraId="12D57875">
            <w:pPr>
              <w:snapToGrid w:val="0"/>
              <w:spacing w:line="300" w:lineRule="exact"/>
              <w:jc w:val="center"/>
              <w:rPr>
                <w:rFonts w:eastAsiaTheme="minorEastAsia"/>
                <w:sz w:val="28"/>
                <w:szCs w:val="28"/>
              </w:rPr>
            </w:pPr>
          </w:p>
        </w:tc>
        <w:tc>
          <w:tcPr>
            <w:tcW w:w="1049" w:type="dxa"/>
            <w:vMerge w:val="continue"/>
            <w:tcBorders>
              <w:tl2br w:val="nil"/>
              <w:tr2bl w:val="nil"/>
            </w:tcBorders>
            <w:shd w:val="clear" w:color="auto" w:fill="auto"/>
            <w:vAlign w:val="center"/>
          </w:tcPr>
          <w:p w14:paraId="3B072A33">
            <w:pPr>
              <w:snapToGrid w:val="0"/>
              <w:spacing w:line="300" w:lineRule="exact"/>
              <w:jc w:val="center"/>
              <w:rPr>
                <w:rFonts w:eastAsiaTheme="minorEastAsia"/>
                <w:sz w:val="28"/>
                <w:szCs w:val="28"/>
              </w:rPr>
            </w:pPr>
          </w:p>
        </w:tc>
        <w:tc>
          <w:tcPr>
            <w:tcW w:w="2036" w:type="dxa"/>
            <w:tcBorders>
              <w:tl2br w:val="nil"/>
              <w:tr2bl w:val="nil"/>
            </w:tcBorders>
            <w:shd w:val="clear" w:color="auto" w:fill="auto"/>
            <w:vAlign w:val="center"/>
          </w:tcPr>
          <w:p w14:paraId="448EDA8B">
            <w:pPr>
              <w:widowControl/>
              <w:snapToGrid w:val="0"/>
              <w:spacing w:line="300" w:lineRule="exact"/>
              <w:jc w:val="center"/>
              <w:textAlignment w:val="bottom"/>
              <w:rPr>
                <w:rFonts w:eastAsiaTheme="minorEastAsia"/>
                <w:kern w:val="0"/>
                <w:sz w:val="28"/>
                <w:szCs w:val="28"/>
              </w:rPr>
            </w:pPr>
            <w:r>
              <w:rPr>
                <w:rFonts w:eastAsiaTheme="minorEastAsia"/>
                <w:kern w:val="0"/>
                <w:sz w:val="28"/>
                <w:szCs w:val="28"/>
              </w:rPr>
              <w:t>数量指标</w:t>
            </w:r>
          </w:p>
        </w:tc>
        <w:tc>
          <w:tcPr>
            <w:tcW w:w="1189" w:type="dxa"/>
            <w:gridSpan w:val="2"/>
            <w:tcBorders>
              <w:tl2br w:val="nil"/>
              <w:tr2bl w:val="nil"/>
            </w:tcBorders>
            <w:shd w:val="clear" w:color="auto" w:fill="auto"/>
            <w:vAlign w:val="center"/>
          </w:tcPr>
          <w:p w14:paraId="47718FE5">
            <w:pPr>
              <w:snapToGrid w:val="0"/>
              <w:spacing w:line="300" w:lineRule="exact"/>
              <w:jc w:val="center"/>
              <w:rPr>
                <w:rFonts w:eastAsiaTheme="minorEastAsia"/>
                <w:color w:val="000000"/>
                <w:sz w:val="22"/>
                <w:szCs w:val="22"/>
              </w:rPr>
            </w:pPr>
            <w:r>
              <w:rPr>
                <w:rFonts w:eastAsiaTheme="minorEastAsia"/>
                <w:color w:val="000000"/>
                <w:sz w:val="22"/>
                <w:szCs w:val="22"/>
              </w:rPr>
              <w:t>村组织活动场所维护个数</w:t>
            </w:r>
          </w:p>
        </w:tc>
        <w:tc>
          <w:tcPr>
            <w:tcW w:w="1224" w:type="dxa"/>
            <w:gridSpan w:val="2"/>
            <w:tcBorders>
              <w:tl2br w:val="nil"/>
              <w:tr2bl w:val="nil"/>
            </w:tcBorders>
            <w:shd w:val="clear" w:color="auto" w:fill="auto"/>
            <w:vAlign w:val="center"/>
          </w:tcPr>
          <w:p w14:paraId="4DFB3445">
            <w:pPr>
              <w:snapToGrid w:val="0"/>
              <w:spacing w:line="300" w:lineRule="exact"/>
              <w:jc w:val="center"/>
              <w:rPr>
                <w:rFonts w:eastAsiaTheme="minorEastAsia"/>
                <w:color w:val="000000"/>
                <w:sz w:val="22"/>
                <w:szCs w:val="22"/>
              </w:rPr>
            </w:pPr>
            <w:r>
              <w:rPr>
                <w:rFonts w:eastAsiaTheme="minorEastAsia"/>
                <w:color w:val="000000"/>
                <w:sz w:val="22"/>
                <w:szCs w:val="22"/>
              </w:rPr>
              <w:t>5个</w:t>
            </w:r>
          </w:p>
        </w:tc>
        <w:tc>
          <w:tcPr>
            <w:tcW w:w="3715" w:type="dxa"/>
            <w:gridSpan w:val="3"/>
            <w:tcBorders>
              <w:tl2br w:val="nil"/>
              <w:tr2bl w:val="nil"/>
            </w:tcBorders>
            <w:shd w:val="clear" w:color="auto" w:fill="auto"/>
            <w:vAlign w:val="center"/>
          </w:tcPr>
          <w:p w14:paraId="41D025A5">
            <w:pPr>
              <w:widowControl/>
              <w:snapToGrid w:val="0"/>
              <w:spacing w:line="300" w:lineRule="exact"/>
              <w:jc w:val="center"/>
              <w:textAlignment w:val="bottom"/>
              <w:rPr>
                <w:rFonts w:eastAsiaTheme="minorEastAsia"/>
                <w:sz w:val="28"/>
                <w:szCs w:val="28"/>
              </w:rPr>
            </w:pPr>
            <w:r>
              <w:rPr>
                <w:rFonts w:eastAsiaTheme="minorEastAsia"/>
                <w:color w:val="000000"/>
                <w:sz w:val="22"/>
                <w:szCs w:val="22"/>
              </w:rPr>
              <w:t>5个</w:t>
            </w:r>
          </w:p>
        </w:tc>
      </w:tr>
      <w:tr w14:paraId="79247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1668" w:type="dxa"/>
            <w:vMerge w:val="continue"/>
            <w:tcBorders>
              <w:tl2br w:val="nil"/>
              <w:tr2bl w:val="nil"/>
            </w:tcBorders>
            <w:shd w:val="clear" w:color="auto" w:fill="auto"/>
            <w:vAlign w:val="center"/>
          </w:tcPr>
          <w:p w14:paraId="77DDBC48">
            <w:pPr>
              <w:snapToGrid w:val="0"/>
              <w:spacing w:line="300" w:lineRule="exact"/>
              <w:jc w:val="center"/>
              <w:rPr>
                <w:rFonts w:eastAsiaTheme="minorEastAsia"/>
                <w:sz w:val="28"/>
                <w:szCs w:val="28"/>
              </w:rPr>
            </w:pPr>
          </w:p>
        </w:tc>
        <w:tc>
          <w:tcPr>
            <w:tcW w:w="1049" w:type="dxa"/>
            <w:vMerge w:val="continue"/>
            <w:tcBorders>
              <w:tl2br w:val="nil"/>
              <w:tr2bl w:val="nil"/>
            </w:tcBorders>
            <w:shd w:val="clear" w:color="auto" w:fill="auto"/>
            <w:vAlign w:val="center"/>
          </w:tcPr>
          <w:p w14:paraId="388C294C">
            <w:pPr>
              <w:snapToGrid w:val="0"/>
              <w:spacing w:line="300" w:lineRule="exact"/>
              <w:jc w:val="center"/>
              <w:rPr>
                <w:rFonts w:eastAsiaTheme="minorEastAsia"/>
                <w:sz w:val="28"/>
                <w:szCs w:val="28"/>
              </w:rPr>
            </w:pPr>
          </w:p>
        </w:tc>
        <w:tc>
          <w:tcPr>
            <w:tcW w:w="2036" w:type="dxa"/>
            <w:tcBorders>
              <w:tl2br w:val="nil"/>
              <w:tr2bl w:val="nil"/>
            </w:tcBorders>
            <w:shd w:val="clear" w:color="auto" w:fill="auto"/>
            <w:vAlign w:val="center"/>
          </w:tcPr>
          <w:p w14:paraId="0519EC35">
            <w:pPr>
              <w:widowControl/>
              <w:snapToGrid w:val="0"/>
              <w:spacing w:line="300" w:lineRule="exact"/>
              <w:jc w:val="center"/>
              <w:textAlignment w:val="bottom"/>
              <w:rPr>
                <w:rFonts w:eastAsiaTheme="minorEastAsia"/>
                <w:sz w:val="28"/>
                <w:szCs w:val="28"/>
              </w:rPr>
            </w:pPr>
            <w:r>
              <w:rPr>
                <w:rFonts w:eastAsiaTheme="minorEastAsia"/>
                <w:kern w:val="0"/>
                <w:sz w:val="28"/>
                <w:szCs w:val="28"/>
              </w:rPr>
              <w:t>质量指标</w:t>
            </w:r>
          </w:p>
        </w:tc>
        <w:tc>
          <w:tcPr>
            <w:tcW w:w="1189" w:type="dxa"/>
            <w:gridSpan w:val="2"/>
            <w:tcBorders>
              <w:tl2br w:val="nil"/>
              <w:tr2bl w:val="nil"/>
            </w:tcBorders>
            <w:shd w:val="clear" w:color="auto" w:fill="auto"/>
            <w:vAlign w:val="center"/>
          </w:tcPr>
          <w:p w14:paraId="10FA0937">
            <w:pPr>
              <w:snapToGrid w:val="0"/>
              <w:spacing w:line="300" w:lineRule="exact"/>
              <w:jc w:val="center"/>
              <w:rPr>
                <w:rFonts w:eastAsiaTheme="minorEastAsia"/>
                <w:color w:val="000000"/>
                <w:sz w:val="22"/>
                <w:szCs w:val="22"/>
              </w:rPr>
            </w:pPr>
            <w:r>
              <w:rPr>
                <w:rFonts w:eastAsiaTheme="minorEastAsia"/>
                <w:color w:val="000000"/>
                <w:sz w:val="22"/>
                <w:szCs w:val="22"/>
              </w:rPr>
              <w:t>村容村貌良好基础设施设备基本完成</w:t>
            </w:r>
          </w:p>
          <w:p w14:paraId="0C9B1F8E">
            <w:pPr>
              <w:widowControl/>
              <w:snapToGrid w:val="0"/>
              <w:spacing w:line="300" w:lineRule="exact"/>
              <w:jc w:val="center"/>
              <w:textAlignment w:val="bottom"/>
              <w:rPr>
                <w:rFonts w:eastAsiaTheme="minorEastAsia"/>
                <w:sz w:val="28"/>
                <w:szCs w:val="28"/>
              </w:rPr>
            </w:pPr>
          </w:p>
        </w:tc>
        <w:tc>
          <w:tcPr>
            <w:tcW w:w="1224" w:type="dxa"/>
            <w:gridSpan w:val="2"/>
            <w:tcBorders>
              <w:tl2br w:val="nil"/>
              <w:tr2bl w:val="nil"/>
            </w:tcBorders>
            <w:shd w:val="clear" w:color="auto" w:fill="auto"/>
            <w:vAlign w:val="center"/>
          </w:tcPr>
          <w:p w14:paraId="1E4C0BE3">
            <w:pPr>
              <w:snapToGrid w:val="0"/>
              <w:spacing w:line="300" w:lineRule="exact"/>
              <w:jc w:val="center"/>
              <w:rPr>
                <w:rFonts w:eastAsiaTheme="minorEastAsia"/>
                <w:color w:val="000000"/>
                <w:sz w:val="22"/>
                <w:szCs w:val="22"/>
              </w:rPr>
            </w:pPr>
            <w:r>
              <w:rPr>
                <w:rFonts w:eastAsiaTheme="minorEastAsia"/>
                <w:color w:val="000000"/>
                <w:sz w:val="22"/>
                <w:szCs w:val="22"/>
              </w:rPr>
              <w:t>98%</w:t>
            </w:r>
          </w:p>
        </w:tc>
        <w:tc>
          <w:tcPr>
            <w:tcW w:w="3715" w:type="dxa"/>
            <w:gridSpan w:val="3"/>
            <w:tcBorders>
              <w:tl2br w:val="nil"/>
              <w:tr2bl w:val="nil"/>
            </w:tcBorders>
            <w:shd w:val="clear" w:color="auto" w:fill="auto"/>
            <w:vAlign w:val="center"/>
          </w:tcPr>
          <w:p w14:paraId="13100129">
            <w:pPr>
              <w:widowControl/>
              <w:snapToGrid w:val="0"/>
              <w:spacing w:line="300" w:lineRule="exact"/>
              <w:jc w:val="center"/>
              <w:textAlignment w:val="bottom"/>
              <w:rPr>
                <w:rFonts w:eastAsiaTheme="minorEastAsia"/>
                <w:sz w:val="28"/>
                <w:szCs w:val="28"/>
              </w:rPr>
            </w:pPr>
            <w:r>
              <w:rPr>
                <w:rFonts w:eastAsiaTheme="minorEastAsia"/>
                <w:color w:val="000000"/>
                <w:sz w:val="22"/>
                <w:szCs w:val="22"/>
              </w:rPr>
              <w:t>98%</w:t>
            </w:r>
          </w:p>
        </w:tc>
      </w:tr>
      <w:tr w14:paraId="67BFC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1668" w:type="dxa"/>
            <w:vMerge w:val="continue"/>
            <w:tcBorders>
              <w:tl2br w:val="nil"/>
              <w:tr2bl w:val="nil"/>
            </w:tcBorders>
            <w:shd w:val="clear" w:color="auto" w:fill="auto"/>
            <w:vAlign w:val="center"/>
          </w:tcPr>
          <w:p w14:paraId="0034D856">
            <w:pPr>
              <w:snapToGrid w:val="0"/>
              <w:spacing w:line="300" w:lineRule="exact"/>
              <w:jc w:val="center"/>
              <w:rPr>
                <w:rFonts w:eastAsiaTheme="minorEastAsia"/>
                <w:sz w:val="28"/>
                <w:szCs w:val="28"/>
              </w:rPr>
            </w:pPr>
          </w:p>
        </w:tc>
        <w:tc>
          <w:tcPr>
            <w:tcW w:w="1049" w:type="dxa"/>
            <w:vMerge w:val="continue"/>
            <w:tcBorders>
              <w:tl2br w:val="nil"/>
              <w:tr2bl w:val="nil"/>
            </w:tcBorders>
            <w:shd w:val="clear" w:color="auto" w:fill="auto"/>
            <w:vAlign w:val="center"/>
          </w:tcPr>
          <w:p w14:paraId="4CDA2100">
            <w:pPr>
              <w:snapToGrid w:val="0"/>
              <w:spacing w:line="300" w:lineRule="exact"/>
              <w:jc w:val="center"/>
              <w:rPr>
                <w:rFonts w:eastAsiaTheme="minorEastAsia"/>
                <w:sz w:val="28"/>
                <w:szCs w:val="28"/>
              </w:rPr>
            </w:pPr>
          </w:p>
        </w:tc>
        <w:tc>
          <w:tcPr>
            <w:tcW w:w="2036" w:type="dxa"/>
            <w:tcBorders>
              <w:tl2br w:val="nil"/>
              <w:tr2bl w:val="nil"/>
            </w:tcBorders>
            <w:shd w:val="clear" w:color="auto" w:fill="auto"/>
            <w:vAlign w:val="center"/>
          </w:tcPr>
          <w:p w14:paraId="496FD589">
            <w:pPr>
              <w:widowControl/>
              <w:snapToGrid w:val="0"/>
              <w:spacing w:line="300" w:lineRule="exact"/>
              <w:jc w:val="center"/>
              <w:textAlignment w:val="bottom"/>
              <w:rPr>
                <w:rFonts w:eastAsiaTheme="minorEastAsia"/>
                <w:sz w:val="28"/>
                <w:szCs w:val="28"/>
              </w:rPr>
            </w:pPr>
            <w:r>
              <w:rPr>
                <w:rFonts w:eastAsiaTheme="minorEastAsia"/>
                <w:kern w:val="0"/>
                <w:sz w:val="28"/>
                <w:szCs w:val="28"/>
              </w:rPr>
              <w:t>时效指标</w:t>
            </w:r>
          </w:p>
        </w:tc>
        <w:tc>
          <w:tcPr>
            <w:tcW w:w="1189" w:type="dxa"/>
            <w:gridSpan w:val="2"/>
            <w:tcBorders>
              <w:tl2br w:val="nil"/>
              <w:tr2bl w:val="nil"/>
            </w:tcBorders>
            <w:shd w:val="clear" w:color="auto" w:fill="auto"/>
            <w:vAlign w:val="center"/>
          </w:tcPr>
          <w:p w14:paraId="14C7FBE8">
            <w:pPr>
              <w:snapToGrid w:val="0"/>
              <w:spacing w:line="300" w:lineRule="exact"/>
              <w:jc w:val="center"/>
              <w:rPr>
                <w:rFonts w:eastAsiaTheme="minorEastAsia"/>
                <w:color w:val="000000"/>
                <w:sz w:val="22"/>
                <w:szCs w:val="22"/>
              </w:rPr>
            </w:pPr>
            <w:r>
              <w:rPr>
                <w:rFonts w:eastAsiaTheme="minorEastAsia"/>
                <w:color w:val="000000"/>
                <w:sz w:val="22"/>
                <w:szCs w:val="22"/>
              </w:rPr>
              <w:t>资金支付及时率</w:t>
            </w:r>
          </w:p>
        </w:tc>
        <w:tc>
          <w:tcPr>
            <w:tcW w:w="1224" w:type="dxa"/>
            <w:gridSpan w:val="2"/>
            <w:tcBorders>
              <w:tl2br w:val="nil"/>
              <w:tr2bl w:val="nil"/>
            </w:tcBorders>
            <w:shd w:val="clear" w:color="auto" w:fill="auto"/>
            <w:vAlign w:val="center"/>
          </w:tcPr>
          <w:p w14:paraId="6542BD19">
            <w:pPr>
              <w:snapToGrid w:val="0"/>
              <w:spacing w:line="300" w:lineRule="exact"/>
              <w:jc w:val="center"/>
              <w:rPr>
                <w:rFonts w:eastAsiaTheme="minorEastAsia"/>
                <w:color w:val="000000"/>
                <w:sz w:val="22"/>
                <w:szCs w:val="22"/>
              </w:rPr>
            </w:pPr>
            <w:r>
              <w:rPr>
                <w:rFonts w:eastAsiaTheme="minorEastAsia"/>
                <w:color w:val="000000"/>
                <w:sz w:val="22"/>
                <w:szCs w:val="22"/>
              </w:rPr>
              <w:t>100%</w:t>
            </w:r>
          </w:p>
        </w:tc>
        <w:tc>
          <w:tcPr>
            <w:tcW w:w="3715" w:type="dxa"/>
            <w:gridSpan w:val="3"/>
            <w:tcBorders>
              <w:tl2br w:val="nil"/>
              <w:tr2bl w:val="nil"/>
            </w:tcBorders>
            <w:shd w:val="clear" w:color="auto" w:fill="auto"/>
            <w:vAlign w:val="center"/>
          </w:tcPr>
          <w:p w14:paraId="0972501E">
            <w:pPr>
              <w:widowControl/>
              <w:snapToGrid w:val="0"/>
              <w:spacing w:line="300" w:lineRule="exact"/>
              <w:jc w:val="center"/>
              <w:textAlignment w:val="bottom"/>
              <w:rPr>
                <w:rFonts w:eastAsiaTheme="minorEastAsia"/>
                <w:sz w:val="28"/>
                <w:szCs w:val="28"/>
              </w:rPr>
            </w:pPr>
            <w:r>
              <w:rPr>
                <w:rFonts w:eastAsiaTheme="minorEastAsia"/>
                <w:color w:val="000000"/>
                <w:sz w:val="22"/>
                <w:szCs w:val="22"/>
              </w:rPr>
              <w:t>100%</w:t>
            </w:r>
          </w:p>
        </w:tc>
      </w:tr>
      <w:tr w14:paraId="7D775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1668" w:type="dxa"/>
            <w:vMerge w:val="continue"/>
            <w:tcBorders>
              <w:tl2br w:val="nil"/>
              <w:tr2bl w:val="nil"/>
            </w:tcBorders>
            <w:shd w:val="clear" w:color="auto" w:fill="auto"/>
            <w:vAlign w:val="center"/>
          </w:tcPr>
          <w:p w14:paraId="2FB99241">
            <w:pPr>
              <w:snapToGrid w:val="0"/>
              <w:spacing w:line="300" w:lineRule="exact"/>
              <w:jc w:val="center"/>
              <w:rPr>
                <w:rFonts w:eastAsiaTheme="minorEastAsia"/>
                <w:sz w:val="28"/>
                <w:szCs w:val="28"/>
              </w:rPr>
            </w:pPr>
          </w:p>
        </w:tc>
        <w:tc>
          <w:tcPr>
            <w:tcW w:w="1049" w:type="dxa"/>
            <w:vMerge w:val="continue"/>
            <w:tcBorders>
              <w:tl2br w:val="nil"/>
              <w:tr2bl w:val="nil"/>
            </w:tcBorders>
            <w:shd w:val="clear" w:color="auto" w:fill="auto"/>
            <w:vAlign w:val="center"/>
          </w:tcPr>
          <w:p w14:paraId="0ED1C45A">
            <w:pPr>
              <w:snapToGrid w:val="0"/>
              <w:spacing w:line="300" w:lineRule="exact"/>
              <w:jc w:val="center"/>
              <w:rPr>
                <w:rFonts w:eastAsiaTheme="minorEastAsia"/>
                <w:sz w:val="28"/>
                <w:szCs w:val="28"/>
              </w:rPr>
            </w:pPr>
          </w:p>
        </w:tc>
        <w:tc>
          <w:tcPr>
            <w:tcW w:w="2036" w:type="dxa"/>
            <w:tcBorders>
              <w:tl2br w:val="nil"/>
              <w:tr2bl w:val="nil"/>
            </w:tcBorders>
            <w:shd w:val="clear" w:color="auto" w:fill="auto"/>
            <w:vAlign w:val="center"/>
          </w:tcPr>
          <w:p w14:paraId="0EAFA66C">
            <w:pPr>
              <w:widowControl/>
              <w:snapToGrid w:val="0"/>
              <w:spacing w:line="300" w:lineRule="exact"/>
              <w:jc w:val="center"/>
              <w:textAlignment w:val="bottom"/>
              <w:rPr>
                <w:rFonts w:eastAsiaTheme="minorEastAsia"/>
                <w:kern w:val="0"/>
                <w:sz w:val="28"/>
                <w:szCs w:val="28"/>
              </w:rPr>
            </w:pPr>
            <w:r>
              <w:rPr>
                <w:rFonts w:eastAsiaTheme="minorEastAsia"/>
                <w:kern w:val="0"/>
                <w:sz w:val="28"/>
                <w:szCs w:val="28"/>
              </w:rPr>
              <w:t>时效指标</w:t>
            </w:r>
          </w:p>
        </w:tc>
        <w:tc>
          <w:tcPr>
            <w:tcW w:w="1189" w:type="dxa"/>
            <w:gridSpan w:val="2"/>
            <w:tcBorders>
              <w:tl2br w:val="nil"/>
              <w:tr2bl w:val="nil"/>
            </w:tcBorders>
            <w:shd w:val="clear" w:color="auto" w:fill="auto"/>
            <w:vAlign w:val="center"/>
          </w:tcPr>
          <w:p w14:paraId="54DB86DB">
            <w:pPr>
              <w:snapToGrid w:val="0"/>
              <w:spacing w:line="300" w:lineRule="exact"/>
              <w:jc w:val="center"/>
              <w:rPr>
                <w:rFonts w:eastAsiaTheme="minorEastAsia"/>
                <w:color w:val="000000"/>
                <w:sz w:val="22"/>
                <w:szCs w:val="22"/>
              </w:rPr>
            </w:pPr>
            <w:r>
              <w:rPr>
                <w:rFonts w:eastAsiaTheme="minorEastAsia"/>
                <w:color w:val="000000"/>
                <w:sz w:val="22"/>
                <w:szCs w:val="22"/>
              </w:rPr>
              <w:t>各类项目完成及时情况</w:t>
            </w:r>
          </w:p>
        </w:tc>
        <w:tc>
          <w:tcPr>
            <w:tcW w:w="1224" w:type="dxa"/>
            <w:gridSpan w:val="2"/>
            <w:tcBorders>
              <w:tl2br w:val="nil"/>
              <w:tr2bl w:val="nil"/>
            </w:tcBorders>
            <w:shd w:val="clear" w:color="auto" w:fill="auto"/>
            <w:vAlign w:val="center"/>
          </w:tcPr>
          <w:p w14:paraId="3518A454">
            <w:pPr>
              <w:snapToGrid w:val="0"/>
              <w:spacing w:line="300" w:lineRule="exact"/>
              <w:jc w:val="center"/>
              <w:rPr>
                <w:rFonts w:eastAsiaTheme="minorEastAsia"/>
                <w:color w:val="000000"/>
                <w:sz w:val="22"/>
                <w:szCs w:val="22"/>
              </w:rPr>
            </w:pPr>
            <w:r>
              <w:rPr>
                <w:rFonts w:eastAsiaTheme="minorEastAsia"/>
                <w:color w:val="000000"/>
                <w:sz w:val="22"/>
                <w:szCs w:val="22"/>
              </w:rPr>
              <w:t>100%</w:t>
            </w:r>
          </w:p>
        </w:tc>
        <w:tc>
          <w:tcPr>
            <w:tcW w:w="3715" w:type="dxa"/>
            <w:gridSpan w:val="3"/>
            <w:tcBorders>
              <w:tl2br w:val="nil"/>
              <w:tr2bl w:val="nil"/>
            </w:tcBorders>
            <w:shd w:val="clear" w:color="auto" w:fill="auto"/>
            <w:vAlign w:val="center"/>
          </w:tcPr>
          <w:p w14:paraId="4B44EC53">
            <w:pPr>
              <w:widowControl/>
              <w:snapToGrid w:val="0"/>
              <w:spacing w:line="300" w:lineRule="exact"/>
              <w:jc w:val="center"/>
              <w:textAlignment w:val="bottom"/>
              <w:rPr>
                <w:rFonts w:eastAsiaTheme="minorEastAsia"/>
                <w:sz w:val="28"/>
                <w:szCs w:val="28"/>
              </w:rPr>
            </w:pPr>
            <w:r>
              <w:rPr>
                <w:rFonts w:eastAsiaTheme="minorEastAsia"/>
                <w:color w:val="000000"/>
                <w:sz w:val="22"/>
                <w:szCs w:val="22"/>
              </w:rPr>
              <w:t>100%</w:t>
            </w:r>
          </w:p>
        </w:tc>
      </w:tr>
      <w:tr w14:paraId="63AC7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1668" w:type="dxa"/>
            <w:vMerge w:val="continue"/>
            <w:tcBorders>
              <w:tl2br w:val="nil"/>
              <w:tr2bl w:val="nil"/>
            </w:tcBorders>
            <w:shd w:val="clear" w:color="auto" w:fill="auto"/>
            <w:vAlign w:val="center"/>
          </w:tcPr>
          <w:p w14:paraId="59D0F5C6">
            <w:pPr>
              <w:snapToGrid w:val="0"/>
              <w:spacing w:line="300" w:lineRule="exact"/>
              <w:jc w:val="center"/>
              <w:rPr>
                <w:rFonts w:eastAsiaTheme="minorEastAsia"/>
                <w:sz w:val="28"/>
                <w:szCs w:val="28"/>
              </w:rPr>
            </w:pPr>
          </w:p>
        </w:tc>
        <w:tc>
          <w:tcPr>
            <w:tcW w:w="1049" w:type="dxa"/>
            <w:vMerge w:val="continue"/>
            <w:tcBorders>
              <w:tl2br w:val="nil"/>
              <w:tr2bl w:val="nil"/>
            </w:tcBorders>
            <w:shd w:val="clear" w:color="auto" w:fill="auto"/>
            <w:vAlign w:val="center"/>
          </w:tcPr>
          <w:p w14:paraId="3673AFA6">
            <w:pPr>
              <w:snapToGrid w:val="0"/>
              <w:spacing w:line="300" w:lineRule="exact"/>
              <w:jc w:val="center"/>
              <w:rPr>
                <w:rFonts w:eastAsiaTheme="minorEastAsia"/>
                <w:sz w:val="28"/>
                <w:szCs w:val="28"/>
              </w:rPr>
            </w:pPr>
          </w:p>
        </w:tc>
        <w:tc>
          <w:tcPr>
            <w:tcW w:w="2036" w:type="dxa"/>
            <w:tcBorders>
              <w:tl2br w:val="nil"/>
              <w:tr2bl w:val="nil"/>
            </w:tcBorders>
            <w:shd w:val="clear" w:color="auto" w:fill="auto"/>
            <w:vAlign w:val="center"/>
          </w:tcPr>
          <w:p w14:paraId="34BBF484">
            <w:pPr>
              <w:widowControl/>
              <w:snapToGrid w:val="0"/>
              <w:spacing w:line="300" w:lineRule="exact"/>
              <w:jc w:val="center"/>
              <w:textAlignment w:val="bottom"/>
              <w:rPr>
                <w:rFonts w:eastAsiaTheme="minorEastAsia"/>
                <w:sz w:val="28"/>
                <w:szCs w:val="28"/>
              </w:rPr>
            </w:pPr>
            <w:r>
              <w:rPr>
                <w:rFonts w:eastAsiaTheme="minorEastAsia"/>
                <w:kern w:val="0"/>
                <w:sz w:val="28"/>
                <w:szCs w:val="28"/>
              </w:rPr>
              <w:t>成本指标</w:t>
            </w:r>
          </w:p>
        </w:tc>
        <w:tc>
          <w:tcPr>
            <w:tcW w:w="1189" w:type="dxa"/>
            <w:gridSpan w:val="2"/>
            <w:tcBorders>
              <w:tl2br w:val="nil"/>
              <w:tr2bl w:val="nil"/>
            </w:tcBorders>
            <w:shd w:val="clear" w:color="auto" w:fill="auto"/>
            <w:vAlign w:val="center"/>
          </w:tcPr>
          <w:p w14:paraId="57D4DA50">
            <w:pPr>
              <w:snapToGrid w:val="0"/>
              <w:spacing w:line="300" w:lineRule="exact"/>
              <w:jc w:val="center"/>
              <w:rPr>
                <w:rFonts w:eastAsiaTheme="minorEastAsia"/>
                <w:color w:val="000000"/>
                <w:sz w:val="22"/>
                <w:szCs w:val="22"/>
              </w:rPr>
            </w:pPr>
            <w:r>
              <w:rPr>
                <w:rFonts w:eastAsiaTheme="minorEastAsia"/>
                <w:color w:val="000000"/>
                <w:sz w:val="22"/>
                <w:szCs w:val="22"/>
              </w:rPr>
              <w:t>村农公运资本成本概算</w:t>
            </w:r>
          </w:p>
          <w:p w14:paraId="49212E65">
            <w:pPr>
              <w:widowControl/>
              <w:snapToGrid w:val="0"/>
              <w:spacing w:line="300" w:lineRule="exact"/>
              <w:jc w:val="center"/>
              <w:textAlignment w:val="bottom"/>
              <w:rPr>
                <w:rFonts w:eastAsiaTheme="minorEastAsia"/>
                <w:sz w:val="28"/>
                <w:szCs w:val="28"/>
              </w:rPr>
            </w:pPr>
          </w:p>
        </w:tc>
        <w:tc>
          <w:tcPr>
            <w:tcW w:w="1224" w:type="dxa"/>
            <w:gridSpan w:val="2"/>
            <w:tcBorders>
              <w:tl2br w:val="nil"/>
              <w:tr2bl w:val="nil"/>
            </w:tcBorders>
            <w:shd w:val="clear" w:color="auto" w:fill="auto"/>
            <w:vAlign w:val="center"/>
          </w:tcPr>
          <w:p w14:paraId="724124C9">
            <w:pPr>
              <w:snapToGrid w:val="0"/>
              <w:spacing w:line="300" w:lineRule="exact"/>
              <w:jc w:val="center"/>
              <w:rPr>
                <w:rFonts w:eastAsiaTheme="minorEastAsia"/>
                <w:color w:val="000000"/>
                <w:sz w:val="22"/>
                <w:szCs w:val="22"/>
              </w:rPr>
            </w:pPr>
            <w:r>
              <w:rPr>
                <w:rFonts w:hint="eastAsia" w:eastAsiaTheme="minorEastAsia"/>
                <w:color w:val="000000"/>
                <w:sz w:val="22"/>
                <w:szCs w:val="22"/>
              </w:rPr>
              <w:t>142.93</w:t>
            </w:r>
            <w:r>
              <w:rPr>
                <w:rFonts w:eastAsiaTheme="minorEastAsia"/>
                <w:color w:val="000000"/>
                <w:sz w:val="22"/>
                <w:szCs w:val="22"/>
              </w:rPr>
              <w:t>万元</w:t>
            </w:r>
          </w:p>
        </w:tc>
        <w:tc>
          <w:tcPr>
            <w:tcW w:w="3715" w:type="dxa"/>
            <w:gridSpan w:val="3"/>
            <w:tcBorders>
              <w:tl2br w:val="nil"/>
              <w:tr2bl w:val="nil"/>
            </w:tcBorders>
            <w:shd w:val="clear" w:color="auto" w:fill="auto"/>
            <w:vAlign w:val="center"/>
          </w:tcPr>
          <w:p w14:paraId="4996D6D0">
            <w:pPr>
              <w:widowControl/>
              <w:snapToGrid w:val="0"/>
              <w:spacing w:line="300" w:lineRule="exact"/>
              <w:jc w:val="center"/>
              <w:textAlignment w:val="bottom"/>
              <w:rPr>
                <w:rFonts w:eastAsiaTheme="minorEastAsia"/>
                <w:sz w:val="28"/>
                <w:szCs w:val="28"/>
              </w:rPr>
            </w:pPr>
            <w:r>
              <w:rPr>
                <w:rFonts w:hint="eastAsia" w:eastAsiaTheme="minorEastAsia"/>
                <w:color w:val="000000"/>
                <w:sz w:val="22"/>
                <w:szCs w:val="22"/>
              </w:rPr>
              <w:t>142.93</w:t>
            </w:r>
            <w:r>
              <w:rPr>
                <w:rFonts w:eastAsiaTheme="minorEastAsia"/>
                <w:color w:val="000000"/>
                <w:sz w:val="22"/>
                <w:szCs w:val="22"/>
              </w:rPr>
              <w:t>万元</w:t>
            </w:r>
          </w:p>
        </w:tc>
      </w:tr>
      <w:tr w14:paraId="510F9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1668" w:type="dxa"/>
            <w:vMerge w:val="continue"/>
            <w:tcBorders>
              <w:tl2br w:val="nil"/>
              <w:tr2bl w:val="nil"/>
            </w:tcBorders>
            <w:shd w:val="clear" w:color="auto" w:fill="auto"/>
            <w:vAlign w:val="center"/>
          </w:tcPr>
          <w:p w14:paraId="307EE65D">
            <w:pPr>
              <w:snapToGrid w:val="0"/>
              <w:spacing w:line="300" w:lineRule="exact"/>
              <w:jc w:val="center"/>
              <w:rPr>
                <w:rFonts w:eastAsiaTheme="minorEastAsia"/>
                <w:sz w:val="28"/>
                <w:szCs w:val="28"/>
              </w:rPr>
            </w:pPr>
          </w:p>
        </w:tc>
        <w:tc>
          <w:tcPr>
            <w:tcW w:w="1049" w:type="dxa"/>
            <w:vMerge w:val="continue"/>
            <w:tcBorders>
              <w:tl2br w:val="nil"/>
              <w:tr2bl w:val="nil"/>
            </w:tcBorders>
            <w:shd w:val="clear" w:color="auto" w:fill="auto"/>
            <w:vAlign w:val="center"/>
          </w:tcPr>
          <w:p w14:paraId="7845595A">
            <w:pPr>
              <w:snapToGrid w:val="0"/>
              <w:spacing w:line="300" w:lineRule="exact"/>
              <w:jc w:val="center"/>
              <w:rPr>
                <w:rFonts w:eastAsiaTheme="minorEastAsia"/>
                <w:sz w:val="28"/>
                <w:szCs w:val="28"/>
              </w:rPr>
            </w:pPr>
          </w:p>
        </w:tc>
        <w:tc>
          <w:tcPr>
            <w:tcW w:w="2036" w:type="dxa"/>
            <w:tcBorders>
              <w:tl2br w:val="nil"/>
              <w:tr2bl w:val="nil"/>
            </w:tcBorders>
            <w:shd w:val="clear" w:color="auto" w:fill="auto"/>
            <w:vAlign w:val="center"/>
          </w:tcPr>
          <w:p w14:paraId="3C7A9D6E">
            <w:pPr>
              <w:widowControl/>
              <w:snapToGrid w:val="0"/>
              <w:spacing w:line="300" w:lineRule="exact"/>
              <w:jc w:val="center"/>
              <w:textAlignment w:val="bottom"/>
              <w:rPr>
                <w:rFonts w:eastAsiaTheme="minorEastAsia"/>
                <w:sz w:val="28"/>
                <w:szCs w:val="28"/>
              </w:rPr>
            </w:pPr>
            <w:r>
              <w:rPr>
                <w:rFonts w:eastAsiaTheme="minorEastAsia"/>
                <w:kern w:val="0"/>
                <w:sz w:val="28"/>
                <w:szCs w:val="28"/>
              </w:rPr>
              <w:t>社会效益指标</w:t>
            </w:r>
          </w:p>
        </w:tc>
        <w:tc>
          <w:tcPr>
            <w:tcW w:w="1189" w:type="dxa"/>
            <w:gridSpan w:val="2"/>
            <w:tcBorders>
              <w:tl2br w:val="nil"/>
              <w:tr2bl w:val="nil"/>
            </w:tcBorders>
            <w:shd w:val="clear" w:color="auto" w:fill="auto"/>
            <w:vAlign w:val="center"/>
          </w:tcPr>
          <w:p w14:paraId="2CDEE7F1">
            <w:pPr>
              <w:snapToGrid w:val="0"/>
              <w:spacing w:line="300" w:lineRule="exact"/>
              <w:jc w:val="center"/>
              <w:rPr>
                <w:rFonts w:eastAsiaTheme="minorEastAsia"/>
                <w:sz w:val="22"/>
                <w:szCs w:val="22"/>
              </w:rPr>
            </w:pPr>
            <w:r>
              <w:rPr>
                <w:rFonts w:eastAsiaTheme="minorEastAsia"/>
                <w:sz w:val="22"/>
                <w:szCs w:val="22"/>
              </w:rPr>
              <w:t>覆盖村民数量</w:t>
            </w:r>
          </w:p>
        </w:tc>
        <w:tc>
          <w:tcPr>
            <w:tcW w:w="1224" w:type="dxa"/>
            <w:gridSpan w:val="2"/>
            <w:tcBorders>
              <w:tl2br w:val="nil"/>
              <w:tr2bl w:val="nil"/>
            </w:tcBorders>
            <w:shd w:val="clear" w:color="auto" w:fill="auto"/>
            <w:vAlign w:val="center"/>
          </w:tcPr>
          <w:p w14:paraId="4B6898A7">
            <w:pPr>
              <w:snapToGrid w:val="0"/>
              <w:spacing w:line="300" w:lineRule="exact"/>
              <w:jc w:val="center"/>
              <w:rPr>
                <w:rFonts w:eastAsiaTheme="minorEastAsia"/>
                <w:sz w:val="22"/>
                <w:szCs w:val="22"/>
              </w:rPr>
            </w:pPr>
            <w:r>
              <w:rPr>
                <w:rFonts w:eastAsiaTheme="minorEastAsia"/>
                <w:sz w:val="22"/>
                <w:szCs w:val="22"/>
              </w:rPr>
              <w:t>100%</w:t>
            </w:r>
          </w:p>
        </w:tc>
        <w:tc>
          <w:tcPr>
            <w:tcW w:w="3715" w:type="dxa"/>
            <w:gridSpan w:val="3"/>
            <w:tcBorders>
              <w:tl2br w:val="nil"/>
              <w:tr2bl w:val="nil"/>
            </w:tcBorders>
            <w:shd w:val="clear" w:color="auto" w:fill="auto"/>
            <w:vAlign w:val="center"/>
          </w:tcPr>
          <w:p w14:paraId="2B491DB3">
            <w:pPr>
              <w:widowControl/>
              <w:snapToGrid w:val="0"/>
              <w:spacing w:line="300" w:lineRule="exact"/>
              <w:jc w:val="center"/>
              <w:textAlignment w:val="bottom"/>
              <w:rPr>
                <w:rFonts w:eastAsiaTheme="minorEastAsia"/>
                <w:sz w:val="28"/>
                <w:szCs w:val="28"/>
              </w:rPr>
            </w:pPr>
            <w:r>
              <w:rPr>
                <w:rFonts w:eastAsiaTheme="minorEastAsia"/>
                <w:sz w:val="22"/>
                <w:szCs w:val="22"/>
              </w:rPr>
              <w:t>100%</w:t>
            </w:r>
          </w:p>
        </w:tc>
      </w:tr>
      <w:tr w14:paraId="4B3E7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jc w:val="center"/>
        </w:trPr>
        <w:tc>
          <w:tcPr>
            <w:tcW w:w="1668" w:type="dxa"/>
            <w:vMerge w:val="continue"/>
            <w:tcBorders>
              <w:tl2br w:val="nil"/>
              <w:tr2bl w:val="nil"/>
            </w:tcBorders>
            <w:shd w:val="clear" w:color="auto" w:fill="auto"/>
            <w:vAlign w:val="center"/>
          </w:tcPr>
          <w:p w14:paraId="2B1F992B">
            <w:pPr>
              <w:snapToGrid w:val="0"/>
              <w:spacing w:line="300" w:lineRule="exact"/>
              <w:jc w:val="center"/>
              <w:rPr>
                <w:rFonts w:eastAsiaTheme="minorEastAsia"/>
                <w:sz w:val="28"/>
                <w:szCs w:val="28"/>
              </w:rPr>
            </w:pPr>
          </w:p>
        </w:tc>
        <w:tc>
          <w:tcPr>
            <w:tcW w:w="1049" w:type="dxa"/>
            <w:vMerge w:val="continue"/>
            <w:tcBorders>
              <w:tl2br w:val="nil"/>
              <w:tr2bl w:val="nil"/>
            </w:tcBorders>
            <w:shd w:val="clear" w:color="auto" w:fill="auto"/>
            <w:vAlign w:val="center"/>
          </w:tcPr>
          <w:p w14:paraId="4923AD74">
            <w:pPr>
              <w:snapToGrid w:val="0"/>
              <w:spacing w:line="300" w:lineRule="exact"/>
              <w:jc w:val="center"/>
              <w:rPr>
                <w:rFonts w:eastAsiaTheme="minorEastAsia"/>
                <w:sz w:val="28"/>
                <w:szCs w:val="28"/>
              </w:rPr>
            </w:pPr>
          </w:p>
        </w:tc>
        <w:tc>
          <w:tcPr>
            <w:tcW w:w="2036" w:type="dxa"/>
            <w:tcBorders>
              <w:tl2br w:val="nil"/>
              <w:tr2bl w:val="nil"/>
            </w:tcBorders>
            <w:shd w:val="clear" w:color="auto" w:fill="auto"/>
            <w:vAlign w:val="center"/>
          </w:tcPr>
          <w:p w14:paraId="4A4539D3">
            <w:pPr>
              <w:widowControl/>
              <w:snapToGrid w:val="0"/>
              <w:spacing w:line="300" w:lineRule="exact"/>
              <w:jc w:val="center"/>
              <w:textAlignment w:val="bottom"/>
              <w:rPr>
                <w:rFonts w:eastAsiaTheme="minorEastAsia"/>
                <w:sz w:val="28"/>
                <w:szCs w:val="28"/>
              </w:rPr>
            </w:pPr>
            <w:r>
              <w:rPr>
                <w:rFonts w:eastAsiaTheme="minorEastAsia"/>
                <w:kern w:val="0"/>
                <w:sz w:val="28"/>
                <w:szCs w:val="28"/>
              </w:rPr>
              <w:t>生态效益指标</w:t>
            </w:r>
          </w:p>
        </w:tc>
        <w:tc>
          <w:tcPr>
            <w:tcW w:w="1189" w:type="dxa"/>
            <w:gridSpan w:val="2"/>
            <w:tcBorders>
              <w:tl2br w:val="nil"/>
              <w:tr2bl w:val="nil"/>
            </w:tcBorders>
            <w:shd w:val="clear" w:color="auto" w:fill="auto"/>
            <w:vAlign w:val="center"/>
          </w:tcPr>
          <w:p w14:paraId="22005E92">
            <w:pPr>
              <w:snapToGrid w:val="0"/>
              <w:spacing w:line="300" w:lineRule="exact"/>
              <w:jc w:val="center"/>
              <w:rPr>
                <w:rFonts w:eastAsiaTheme="minorEastAsia"/>
                <w:sz w:val="22"/>
                <w:szCs w:val="22"/>
              </w:rPr>
            </w:pPr>
            <w:r>
              <w:rPr>
                <w:rFonts w:eastAsiaTheme="minorEastAsia"/>
                <w:sz w:val="22"/>
                <w:szCs w:val="22"/>
              </w:rPr>
              <w:t>环境卫生、村容村貌达标率</w:t>
            </w:r>
          </w:p>
        </w:tc>
        <w:tc>
          <w:tcPr>
            <w:tcW w:w="1224" w:type="dxa"/>
            <w:gridSpan w:val="2"/>
            <w:tcBorders>
              <w:tl2br w:val="nil"/>
              <w:tr2bl w:val="nil"/>
            </w:tcBorders>
            <w:shd w:val="clear" w:color="auto" w:fill="auto"/>
            <w:vAlign w:val="center"/>
          </w:tcPr>
          <w:p w14:paraId="4E76E328">
            <w:pPr>
              <w:snapToGrid w:val="0"/>
              <w:spacing w:line="300" w:lineRule="exact"/>
              <w:jc w:val="center"/>
              <w:rPr>
                <w:rFonts w:eastAsiaTheme="minorEastAsia"/>
                <w:sz w:val="22"/>
                <w:szCs w:val="22"/>
              </w:rPr>
            </w:pPr>
            <w:r>
              <w:rPr>
                <w:rFonts w:eastAsiaTheme="minorEastAsia"/>
                <w:sz w:val="22"/>
                <w:szCs w:val="22"/>
              </w:rPr>
              <w:t>100%</w:t>
            </w:r>
          </w:p>
        </w:tc>
        <w:tc>
          <w:tcPr>
            <w:tcW w:w="3715" w:type="dxa"/>
            <w:gridSpan w:val="3"/>
            <w:tcBorders>
              <w:tl2br w:val="nil"/>
              <w:tr2bl w:val="nil"/>
            </w:tcBorders>
            <w:shd w:val="clear" w:color="auto" w:fill="auto"/>
            <w:vAlign w:val="center"/>
          </w:tcPr>
          <w:p w14:paraId="1256FAE9">
            <w:pPr>
              <w:snapToGrid w:val="0"/>
              <w:spacing w:line="300" w:lineRule="exact"/>
              <w:jc w:val="center"/>
              <w:rPr>
                <w:rFonts w:eastAsiaTheme="minorEastAsia"/>
                <w:sz w:val="22"/>
                <w:szCs w:val="22"/>
              </w:rPr>
            </w:pPr>
            <w:r>
              <w:rPr>
                <w:rFonts w:eastAsiaTheme="minorEastAsia"/>
                <w:sz w:val="22"/>
                <w:szCs w:val="22"/>
              </w:rPr>
              <w:t>100%</w:t>
            </w:r>
          </w:p>
        </w:tc>
      </w:tr>
      <w:tr w14:paraId="4235F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jc w:val="center"/>
        </w:trPr>
        <w:tc>
          <w:tcPr>
            <w:tcW w:w="1668" w:type="dxa"/>
            <w:vMerge w:val="continue"/>
            <w:tcBorders>
              <w:tl2br w:val="nil"/>
              <w:tr2bl w:val="nil"/>
            </w:tcBorders>
            <w:shd w:val="clear" w:color="auto" w:fill="auto"/>
            <w:vAlign w:val="center"/>
          </w:tcPr>
          <w:p w14:paraId="72F017AE">
            <w:pPr>
              <w:snapToGrid w:val="0"/>
              <w:spacing w:line="300" w:lineRule="exact"/>
              <w:jc w:val="center"/>
              <w:rPr>
                <w:rFonts w:eastAsiaTheme="minorEastAsia"/>
                <w:sz w:val="28"/>
                <w:szCs w:val="28"/>
              </w:rPr>
            </w:pPr>
          </w:p>
        </w:tc>
        <w:tc>
          <w:tcPr>
            <w:tcW w:w="1049" w:type="dxa"/>
            <w:vMerge w:val="continue"/>
            <w:tcBorders>
              <w:tl2br w:val="nil"/>
              <w:tr2bl w:val="nil"/>
            </w:tcBorders>
            <w:shd w:val="clear" w:color="auto" w:fill="auto"/>
            <w:vAlign w:val="center"/>
          </w:tcPr>
          <w:p w14:paraId="09051D3A">
            <w:pPr>
              <w:snapToGrid w:val="0"/>
              <w:spacing w:line="300" w:lineRule="exact"/>
              <w:jc w:val="center"/>
              <w:rPr>
                <w:rFonts w:eastAsiaTheme="minorEastAsia"/>
                <w:sz w:val="28"/>
                <w:szCs w:val="28"/>
              </w:rPr>
            </w:pPr>
          </w:p>
        </w:tc>
        <w:tc>
          <w:tcPr>
            <w:tcW w:w="2036" w:type="dxa"/>
            <w:tcBorders>
              <w:tl2br w:val="nil"/>
              <w:tr2bl w:val="nil"/>
            </w:tcBorders>
            <w:shd w:val="clear" w:color="auto" w:fill="auto"/>
            <w:vAlign w:val="center"/>
          </w:tcPr>
          <w:p w14:paraId="0B3FFBB9">
            <w:pPr>
              <w:widowControl/>
              <w:snapToGrid w:val="0"/>
              <w:spacing w:line="300" w:lineRule="exact"/>
              <w:jc w:val="center"/>
              <w:textAlignment w:val="bottom"/>
              <w:rPr>
                <w:rFonts w:eastAsiaTheme="minorEastAsia"/>
                <w:kern w:val="0"/>
                <w:sz w:val="28"/>
                <w:szCs w:val="28"/>
              </w:rPr>
            </w:pPr>
            <w:r>
              <w:rPr>
                <w:rFonts w:eastAsiaTheme="minorEastAsia"/>
                <w:kern w:val="0"/>
                <w:sz w:val="28"/>
                <w:szCs w:val="28"/>
              </w:rPr>
              <w:t>生态效益指标</w:t>
            </w:r>
          </w:p>
        </w:tc>
        <w:tc>
          <w:tcPr>
            <w:tcW w:w="1189" w:type="dxa"/>
            <w:gridSpan w:val="2"/>
            <w:tcBorders>
              <w:tl2br w:val="nil"/>
              <w:tr2bl w:val="nil"/>
            </w:tcBorders>
            <w:shd w:val="clear" w:color="auto" w:fill="auto"/>
            <w:vAlign w:val="center"/>
          </w:tcPr>
          <w:p w14:paraId="4220A77E">
            <w:pPr>
              <w:snapToGrid w:val="0"/>
              <w:spacing w:line="300" w:lineRule="exact"/>
              <w:jc w:val="center"/>
              <w:rPr>
                <w:rFonts w:eastAsiaTheme="minorEastAsia"/>
                <w:sz w:val="22"/>
                <w:szCs w:val="22"/>
              </w:rPr>
            </w:pPr>
            <w:r>
              <w:rPr>
                <w:rFonts w:eastAsiaTheme="minorEastAsia"/>
                <w:sz w:val="22"/>
                <w:szCs w:val="22"/>
              </w:rPr>
              <w:t>森林防火无事故、确保生态安全率</w:t>
            </w:r>
          </w:p>
        </w:tc>
        <w:tc>
          <w:tcPr>
            <w:tcW w:w="1224" w:type="dxa"/>
            <w:gridSpan w:val="2"/>
            <w:tcBorders>
              <w:tl2br w:val="nil"/>
              <w:tr2bl w:val="nil"/>
            </w:tcBorders>
            <w:shd w:val="clear" w:color="auto" w:fill="auto"/>
            <w:vAlign w:val="center"/>
          </w:tcPr>
          <w:p w14:paraId="06DEF82F">
            <w:pPr>
              <w:snapToGrid w:val="0"/>
              <w:spacing w:line="300" w:lineRule="exact"/>
              <w:jc w:val="center"/>
              <w:rPr>
                <w:rFonts w:eastAsiaTheme="minorEastAsia"/>
                <w:color w:val="000000"/>
                <w:sz w:val="22"/>
                <w:szCs w:val="22"/>
              </w:rPr>
            </w:pPr>
            <w:r>
              <w:rPr>
                <w:rFonts w:eastAsiaTheme="minorEastAsia"/>
                <w:color w:val="000000"/>
                <w:sz w:val="22"/>
                <w:szCs w:val="22"/>
              </w:rPr>
              <w:t>100%</w:t>
            </w:r>
          </w:p>
        </w:tc>
        <w:tc>
          <w:tcPr>
            <w:tcW w:w="3715" w:type="dxa"/>
            <w:gridSpan w:val="3"/>
            <w:tcBorders>
              <w:tl2br w:val="nil"/>
              <w:tr2bl w:val="nil"/>
            </w:tcBorders>
            <w:shd w:val="clear" w:color="auto" w:fill="auto"/>
            <w:vAlign w:val="center"/>
          </w:tcPr>
          <w:p w14:paraId="2FA644DF">
            <w:pPr>
              <w:snapToGrid w:val="0"/>
              <w:spacing w:line="300" w:lineRule="exact"/>
              <w:jc w:val="center"/>
              <w:rPr>
                <w:rFonts w:eastAsiaTheme="minorEastAsia"/>
                <w:color w:val="000000"/>
                <w:sz w:val="22"/>
                <w:szCs w:val="22"/>
              </w:rPr>
            </w:pPr>
            <w:r>
              <w:rPr>
                <w:rFonts w:eastAsiaTheme="minorEastAsia"/>
                <w:color w:val="000000"/>
                <w:sz w:val="22"/>
                <w:szCs w:val="22"/>
              </w:rPr>
              <w:t>100%</w:t>
            </w:r>
          </w:p>
        </w:tc>
      </w:tr>
      <w:tr w14:paraId="61E98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1668" w:type="dxa"/>
            <w:vMerge w:val="continue"/>
            <w:tcBorders>
              <w:tl2br w:val="nil"/>
              <w:tr2bl w:val="nil"/>
            </w:tcBorders>
            <w:shd w:val="clear" w:color="auto" w:fill="auto"/>
            <w:vAlign w:val="center"/>
          </w:tcPr>
          <w:p w14:paraId="35FF2499">
            <w:pPr>
              <w:snapToGrid w:val="0"/>
              <w:spacing w:line="300" w:lineRule="exact"/>
              <w:jc w:val="center"/>
              <w:rPr>
                <w:rFonts w:eastAsiaTheme="minorEastAsia"/>
                <w:sz w:val="28"/>
                <w:szCs w:val="28"/>
              </w:rPr>
            </w:pPr>
          </w:p>
        </w:tc>
        <w:tc>
          <w:tcPr>
            <w:tcW w:w="1049" w:type="dxa"/>
            <w:vMerge w:val="continue"/>
            <w:tcBorders>
              <w:tl2br w:val="nil"/>
              <w:tr2bl w:val="nil"/>
            </w:tcBorders>
            <w:shd w:val="clear" w:color="auto" w:fill="auto"/>
            <w:vAlign w:val="center"/>
          </w:tcPr>
          <w:p w14:paraId="563FDAD1">
            <w:pPr>
              <w:snapToGrid w:val="0"/>
              <w:spacing w:line="300" w:lineRule="exact"/>
              <w:jc w:val="center"/>
              <w:rPr>
                <w:rFonts w:eastAsiaTheme="minorEastAsia"/>
                <w:sz w:val="28"/>
                <w:szCs w:val="28"/>
              </w:rPr>
            </w:pPr>
          </w:p>
        </w:tc>
        <w:tc>
          <w:tcPr>
            <w:tcW w:w="2036" w:type="dxa"/>
            <w:tcBorders>
              <w:tl2br w:val="nil"/>
              <w:tr2bl w:val="nil"/>
            </w:tcBorders>
            <w:shd w:val="clear" w:color="auto" w:fill="auto"/>
            <w:vAlign w:val="center"/>
          </w:tcPr>
          <w:p w14:paraId="09A9A620">
            <w:pPr>
              <w:widowControl/>
              <w:snapToGrid w:val="0"/>
              <w:spacing w:line="300" w:lineRule="exact"/>
              <w:jc w:val="center"/>
              <w:textAlignment w:val="bottom"/>
              <w:rPr>
                <w:rFonts w:eastAsiaTheme="minorEastAsia"/>
                <w:sz w:val="28"/>
                <w:szCs w:val="28"/>
              </w:rPr>
            </w:pPr>
            <w:r>
              <w:rPr>
                <w:rFonts w:eastAsiaTheme="minorEastAsia"/>
                <w:kern w:val="0"/>
                <w:sz w:val="28"/>
                <w:szCs w:val="28"/>
              </w:rPr>
              <w:t>可持续影响指标</w:t>
            </w:r>
          </w:p>
        </w:tc>
        <w:tc>
          <w:tcPr>
            <w:tcW w:w="1189" w:type="dxa"/>
            <w:gridSpan w:val="2"/>
            <w:tcBorders>
              <w:tl2br w:val="nil"/>
              <w:tr2bl w:val="nil"/>
            </w:tcBorders>
            <w:shd w:val="clear" w:color="auto" w:fill="auto"/>
            <w:vAlign w:val="center"/>
          </w:tcPr>
          <w:p w14:paraId="229BC1AD">
            <w:pPr>
              <w:snapToGrid w:val="0"/>
              <w:spacing w:line="300" w:lineRule="exact"/>
              <w:jc w:val="center"/>
              <w:rPr>
                <w:rFonts w:eastAsiaTheme="minorEastAsia"/>
                <w:color w:val="000000"/>
                <w:sz w:val="22"/>
                <w:szCs w:val="22"/>
              </w:rPr>
            </w:pPr>
            <w:r>
              <w:rPr>
                <w:rFonts w:eastAsiaTheme="minorEastAsia"/>
                <w:color w:val="000000"/>
                <w:sz w:val="22"/>
                <w:szCs w:val="22"/>
              </w:rPr>
              <w:t>项目使用年限</w:t>
            </w:r>
          </w:p>
        </w:tc>
        <w:tc>
          <w:tcPr>
            <w:tcW w:w="1224" w:type="dxa"/>
            <w:gridSpan w:val="2"/>
            <w:tcBorders>
              <w:tl2br w:val="nil"/>
              <w:tr2bl w:val="nil"/>
            </w:tcBorders>
            <w:shd w:val="clear" w:color="auto" w:fill="auto"/>
            <w:vAlign w:val="center"/>
          </w:tcPr>
          <w:p w14:paraId="4592C172">
            <w:pPr>
              <w:snapToGrid w:val="0"/>
              <w:spacing w:line="300" w:lineRule="exact"/>
              <w:jc w:val="center"/>
              <w:rPr>
                <w:rFonts w:eastAsiaTheme="minorEastAsia"/>
                <w:color w:val="000000"/>
                <w:sz w:val="22"/>
                <w:szCs w:val="22"/>
              </w:rPr>
            </w:pPr>
            <w:r>
              <w:rPr>
                <w:rFonts w:eastAsiaTheme="minorEastAsia"/>
                <w:color w:val="000000"/>
                <w:sz w:val="22"/>
                <w:szCs w:val="22"/>
              </w:rPr>
              <w:t>1年</w:t>
            </w:r>
          </w:p>
        </w:tc>
        <w:tc>
          <w:tcPr>
            <w:tcW w:w="3715" w:type="dxa"/>
            <w:gridSpan w:val="3"/>
            <w:tcBorders>
              <w:tl2br w:val="nil"/>
              <w:tr2bl w:val="nil"/>
            </w:tcBorders>
            <w:shd w:val="clear" w:color="auto" w:fill="auto"/>
            <w:vAlign w:val="center"/>
          </w:tcPr>
          <w:p w14:paraId="2B0EC7B5">
            <w:pPr>
              <w:snapToGrid w:val="0"/>
              <w:spacing w:line="300" w:lineRule="exact"/>
              <w:jc w:val="center"/>
              <w:rPr>
                <w:rFonts w:eastAsiaTheme="minorEastAsia"/>
                <w:color w:val="000000"/>
                <w:sz w:val="22"/>
                <w:szCs w:val="22"/>
              </w:rPr>
            </w:pPr>
            <w:r>
              <w:rPr>
                <w:rFonts w:eastAsiaTheme="minorEastAsia"/>
                <w:color w:val="000000"/>
                <w:sz w:val="22"/>
                <w:szCs w:val="22"/>
              </w:rPr>
              <w:t>1年</w:t>
            </w:r>
          </w:p>
        </w:tc>
      </w:tr>
      <w:tr w14:paraId="39E41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1668" w:type="dxa"/>
            <w:vMerge w:val="continue"/>
            <w:tcBorders>
              <w:tl2br w:val="nil"/>
              <w:tr2bl w:val="nil"/>
            </w:tcBorders>
            <w:shd w:val="clear" w:color="auto" w:fill="auto"/>
            <w:vAlign w:val="center"/>
          </w:tcPr>
          <w:p w14:paraId="5B07F52B">
            <w:pPr>
              <w:snapToGrid w:val="0"/>
              <w:spacing w:line="300" w:lineRule="exact"/>
              <w:jc w:val="center"/>
              <w:rPr>
                <w:rFonts w:eastAsiaTheme="minorEastAsia"/>
                <w:sz w:val="28"/>
                <w:szCs w:val="28"/>
              </w:rPr>
            </w:pPr>
          </w:p>
        </w:tc>
        <w:tc>
          <w:tcPr>
            <w:tcW w:w="1049" w:type="dxa"/>
            <w:tcBorders>
              <w:tl2br w:val="nil"/>
              <w:tr2bl w:val="nil"/>
            </w:tcBorders>
            <w:shd w:val="clear" w:color="auto" w:fill="auto"/>
            <w:vAlign w:val="center"/>
          </w:tcPr>
          <w:p w14:paraId="25B1D3EA">
            <w:pPr>
              <w:widowControl/>
              <w:snapToGrid w:val="0"/>
              <w:spacing w:line="300" w:lineRule="exact"/>
              <w:jc w:val="center"/>
              <w:textAlignment w:val="bottom"/>
              <w:rPr>
                <w:rFonts w:eastAsiaTheme="minorEastAsia"/>
                <w:sz w:val="28"/>
                <w:szCs w:val="28"/>
              </w:rPr>
            </w:pPr>
          </w:p>
        </w:tc>
        <w:tc>
          <w:tcPr>
            <w:tcW w:w="2036" w:type="dxa"/>
            <w:tcBorders>
              <w:tl2br w:val="nil"/>
              <w:tr2bl w:val="nil"/>
            </w:tcBorders>
            <w:shd w:val="clear" w:color="auto" w:fill="auto"/>
            <w:vAlign w:val="center"/>
          </w:tcPr>
          <w:p w14:paraId="109EC44B">
            <w:pPr>
              <w:widowControl/>
              <w:snapToGrid w:val="0"/>
              <w:spacing w:line="300" w:lineRule="exact"/>
              <w:jc w:val="center"/>
              <w:textAlignment w:val="bottom"/>
              <w:rPr>
                <w:rFonts w:eastAsiaTheme="minorEastAsia"/>
                <w:kern w:val="0"/>
                <w:sz w:val="28"/>
                <w:szCs w:val="28"/>
              </w:rPr>
            </w:pPr>
            <w:r>
              <w:rPr>
                <w:rFonts w:eastAsiaTheme="minorEastAsia"/>
                <w:kern w:val="0"/>
                <w:sz w:val="28"/>
                <w:szCs w:val="28"/>
              </w:rPr>
              <w:t>满意度</w:t>
            </w:r>
          </w:p>
          <w:p w14:paraId="1670FCE3">
            <w:pPr>
              <w:widowControl/>
              <w:snapToGrid w:val="0"/>
              <w:spacing w:line="300" w:lineRule="exact"/>
              <w:jc w:val="center"/>
              <w:textAlignment w:val="bottom"/>
              <w:rPr>
                <w:rFonts w:eastAsiaTheme="minorEastAsia"/>
                <w:sz w:val="28"/>
                <w:szCs w:val="28"/>
              </w:rPr>
            </w:pPr>
            <w:r>
              <w:rPr>
                <w:rFonts w:eastAsiaTheme="minorEastAsia"/>
                <w:kern w:val="0"/>
                <w:sz w:val="28"/>
                <w:szCs w:val="28"/>
              </w:rPr>
              <w:t>指标</w:t>
            </w:r>
          </w:p>
        </w:tc>
        <w:tc>
          <w:tcPr>
            <w:tcW w:w="1189" w:type="dxa"/>
            <w:gridSpan w:val="2"/>
            <w:tcBorders>
              <w:tl2br w:val="nil"/>
              <w:tr2bl w:val="nil"/>
            </w:tcBorders>
            <w:shd w:val="clear" w:color="auto" w:fill="auto"/>
            <w:vAlign w:val="center"/>
          </w:tcPr>
          <w:p w14:paraId="47897978">
            <w:pPr>
              <w:snapToGrid w:val="0"/>
              <w:spacing w:line="300" w:lineRule="exact"/>
              <w:jc w:val="center"/>
              <w:rPr>
                <w:rFonts w:eastAsiaTheme="minorEastAsia"/>
                <w:color w:val="000000"/>
                <w:sz w:val="22"/>
                <w:szCs w:val="22"/>
              </w:rPr>
            </w:pPr>
            <w:r>
              <w:rPr>
                <w:rFonts w:eastAsiaTheme="minorEastAsia"/>
                <w:color w:val="000000"/>
                <w:sz w:val="22"/>
                <w:szCs w:val="22"/>
              </w:rPr>
              <w:t>群众满意率</w:t>
            </w:r>
          </w:p>
        </w:tc>
        <w:tc>
          <w:tcPr>
            <w:tcW w:w="1224" w:type="dxa"/>
            <w:gridSpan w:val="2"/>
            <w:tcBorders>
              <w:tl2br w:val="nil"/>
              <w:tr2bl w:val="nil"/>
            </w:tcBorders>
            <w:shd w:val="clear" w:color="auto" w:fill="auto"/>
            <w:vAlign w:val="center"/>
          </w:tcPr>
          <w:p w14:paraId="05CD52AD">
            <w:pPr>
              <w:widowControl/>
              <w:snapToGrid w:val="0"/>
              <w:spacing w:line="300" w:lineRule="exact"/>
              <w:jc w:val="center"/>
              <w:textAlignment w:val="bottom"/>
              <w:rPr>
                <w:rFonts w:eastAsiaTheme="minorEastAsia"/>
                <w:sz w:val="28"/>
                <w:szCs w:val="28"/>
              </w:rPr>
            </w:pPr>
            <w:r>
              <w:rPr>
                <w:rFonts w:eastAsiaTheme="minorEastAsia"/>
                <w:sz w:val="28"/>
                <w:szCs w:val="28"/>
              </w:rPr>
              <w:t>100%</w:t>
            </w:r>
          </w:p>
        </w:tc>
        <w:tc>
          <w:tcPr>
            <w:tcW w:w="3715" w:type="dxa"/>
            <w:gridSpan w:val="3"/>
            <w:tcBorders>
              <w:tl2br w:val="nil"/>
              <w:tr2bl w:val="nil"/>
            </w:tcBorders>
            <w:shd w:val="clear" w:color="auto" w:fill="auto"/>
            <w:vAlign w:val="center"/>
          </w:tcPr>
          <w:p w14:paraId="2533B9AA">
            <w:pPr>
              <w:widowControl/>
              <w:snapToGrid w:val="0"/>
              <w:spacing w:line="300" w:lineRule="exact"/>
              <w:jc w:val="center"/>
              <w:textAlignment w:val="bottom"/>
              <w:rPr>
                <w:rFonts w:eastAsiaTheme="minorEastAsia"/>
                <w:sz w:val="28"/>
                <w:szCs w:val="28"/>
              </w:rPr>
            </w:pPr>
            <w:r>
              <w:rPr>
                <w:rFonts w:eastAsiaTheme="minorEastAsia"/>
                <w:sz w:val="28"/>
                <w:szCs w:val="28"/>
              </w:rPr>
              <w:t>100%</w:t>
            </w:r>
          </w:p>
        </w:tc>
      </w:tr>
    </w:tbl>
    <w:p w14:paraId="248B1C1B">
      <w:pPr>
        <w:pStyle w:val="6"/>
        <w:snapToGrid w:val="0"/>
        <w:spacing w:beforeLines="0" w:line="576" w:lineRule="exact"/>
        <w:ind w:firstLine="600" w:firstLineChars="200"/>
        <w:jc w:val="center"/>
        <w:rPr>
          <w:rFonts w:ascii="Times New Roman"/>
        </w:rPr>
      </w:pPr>
    </w:p>
    <w:p w14:paraId="75BA8E8E">
      <w:pPr>
        <w:pStyle w:val="6"/>
        <w:snapToGrid w:val="0"/>
        <w:spacing w:beforeLines="0" w:line="576" w:lineRule="exact"/>
        <w:ind w:firstLine="600" w:firstLineChars="200"/>
        <w:jc w:val="center"/>
        <w:rPr>
          <w:rFonts w:ascii="Times New Roman"/>
        </w:rPr>
      </w:pPr>
    </w:p>
    <w:p w14:paraId="28D885CD">
      <w:pPr>
        <w:pStyle w:val="3"/>
        <w:snapToGrid w:val="0"/>
        <w:spacing w:beforeLines="50" w:afterLines="50" w:line="576" w:lineRule="exact"/>
        <w:jc w:val="center"/>
        <w:rPr>
          <w:rFonts w:ascii="方正小标宋简体" w:hAnsi="方正小标宋简体" w:eastAsia="方正小标宋简体" w:cs="方正小标宋简体"/>
          <w:b w:val="0"/>
        </w:rPr>
      </w:pPr>
      <w:bookmarkStart w:id="78" w:name="_Toc15396618"/>
      <w:bookmarkStart w:id="79" w:name="_Toc25911"/>
      <w:r>
        <w:rPr>
          <w:rFonts w:ascii="方正小标宋简体" w:hAnsi="方正小标宋简体" w:eastAsia="方正小标宋简体" w:cs="方正小标宋简体"/>
          <w:b w:val="0"/>
        </w:rPr>
        <w:t>第五部分</w:t>
      </w:r>
      <w:r>
        <w:rPr>
          <w:rFonts w:hint="eastAsia" w:ascii="方正小标宋简体" w:hAnsi="方正小标宋简体" w:eastAsia="方正小标宋简体" w:cs="方正小标宋简体"/>
          <w:b w:val="0"/>
        </w:rPr>
        <w:t xml:space="preserve">  </w:t>
      </w:r>
      <w:r>
        <w:rPr>
          <w:rFonts w:ascii="方正小标宋简体" w:hAnsi="方正小标宋简体" w:eastAsia="方正小标宋简体" w:cs="方正小标宋简体"/>
          <w:b w:val="0"/>
        </w:rPr>
        <w:t>附表</w:t>
      </w:r>
      <w:bookmarkEnd w:id="75"/>
      <w:bookmarkEnd w:id="78"/>
      <w:bookmarkEnd w:id="79"/>
      <w:bookmarkStart w:id="80" w:name="_Toc15396619"/>
    </w:p>
    <w:p w14:paraId="5079086F">
      <w:pPr>
        <w:pStyle w:val="4"/>
        <w:snapToGrid w:val="0"/>
        <w:spacing w:before="0" w:after="0" w:line="576" w:lineRule="exact"/>
        <w:ind w:firstLine="640" w:firstLineChars="200"/>
        <w:rPr>
          <w:rFonts w:ascii="黑体" w:hAnsi="黑体" w:eastAsia="黑体" w:cs="黑体"/>
          <w:b w:val="0"/>
        </w:rPr>
      </w:pPr>
      <w:bookmarkStart w:id="81" w:name="_Toc21311"/>
      <w:r>
        <w:rPr>
          <w:rFonts w:ascii="黑体" w:hAnsi="黑体" w:eastAsia="黑体" w:cs="黑体"/>
          <w:b w:val="0"/>
        </w:rPr>
        <w:t>一、收入支出决算总表</w:t>
      </w:r>
      <w:bookmarkEnd w:id="80"/>
      <w:bookmarkEnd w:id="81"/>
    </w:p>
    <w:p w14:paraId="6989029C">
      <w:pPr>
        <w:pStyle w:val="4"/>
        <w:snapToGrid w:val="0"/>
        <w:spacing w:before="0" w:after="0" w:line="576" w:lineRule="exact"/>
        <w:ind w:firstLine="640" w:firstLineChars="200"/>
        <w:rPr>
          <w:rFonts w:ascii="黑体" w:hAnsi="黑体" w:eastAsia="黑体" w:cs="黑体"/>
          <w:b w:val="0"/>
        </w:rPr>
      </w:pPr>
      <w:bookmarkStart w:id="82" w:name="_Toc15396620"/>
      <w:bookmarkStart w:id="83" w:name="_Toc26703"/>
      <w:r>
        <w:rPr>
          <w:rFonts w:ascii="黑体" w:hAnsi="黑体" w:eastAsia="黑体" w:cs="黑体"/>
          <w:b w:val="0"/>
        </w:rPr>
        <w:t>二、收入决算表</w:t>
      </w:r>
      <w:bookmarkEnd w:id="82"/>
      <w:bookmarkEnd w:id="83"/>
    </w:p>
    <w:p w14:paraId="257361E1">
      <w:pPr>
        <w:pStyle w:val="4"/>
        <w:snapToGrid w:val="0"/>
        <w:spacing w:before="0" w:after="0" w:line="576" w:lineRule="exact"/>
        <w:ind w:firstLine="640" w:firstLineChars="200"/>
        <w:rPr>
          <w:rFonts w:ascii="黑体" w:hAnsi="黑体" w:eastAsia="黑体" w:cs="黑体"/>
          <w:b w:val="0"/>
        </w:rPr>
      </w:pPr>
      <w:bookmarkStart w:id="84" w:name="_Toc1815"/>
      <w:bookmarkStart w:id="85" w:name="_Toc15396621"/>
      <w:r>
        <w:rPr>
          <w:rFonts w:ascii="黑体" w:hAnsi="黑体" w:eastAsia="黑体" w:cs="黑体"/>
          <w:b w:val="0"/>
        </w:rPr>
        <w:t>三、支出决算表</w:t>
      </w:r>
      <w:bookmarkEnd w:id="84"/>
      <w:bookmarkEnd w:id="85"/>
    </w:p>
    <w:p w14:paraId="473CA4B1">
      <w:pPr>
        <w:pStyle w:val="4"/>
        <w:snapToGrid w:val="0"/>
        <w:spacing w:before="0" w:after="0" w:line="576" w:lineRule="exact"/>
        <w:ind w:firstLine="640" w:firstLineChars="200"/>
        <w:rPr>
          <w:rFonts w:ascii="黑体" w:hAnsi="黑体" w:eastAsia="黑体" w:cs="黑体"/>
          <w:b w:val="0"/>
        </w:rPr>
      </w:pPr>
      <w:bookmarkStart w:id="86" w:name="_Toc24200"/>
      <w:bookmarkStart w:id="87" w:name="_Toc15396622"/>
      <w:r>
        <w:rPr>
          <w:rFonts w:ascii="黑体" w:hAnsi="黑体" w:eastAsia="黑体" w:cs="黑体"/>
          <w:b w:val="0"/>
        </w:rPr>
        <w:t>四、财政拨款收入支出决算总表</w:t>
      </w:r>
      <w:bookmarkEnd w:id="86"/>
      <w:bookmarkEnd w:id="87"/>
    </w:p>
    <w:p w14:paraId="323809F0">
      <w:pPr>
        <w:pStyle w:val="4"/>
        <w:snapToGrid w:val="0"/>
        <w:spacing w:before="0" w:after="0" w:line="576" w:lineRule="exact"/>
        <w:ind w:firstLine="640" w:firstLineChars="200"/>
        <w:rPr>
          <w:rFonts w:ascii="黑体" w:hAnsi="黑体" w:eastAsia="黑体" w:cs="黑体"/>
          <w:b w:val="0"/>
        </w:rPr>
      </w:pPr>
      <w:bookmarkStart w:id="88" w:name="_Toc15396623"/>
      <w:bookmarkStart w:id="89" w:name="_Toc5066"/>
      <w:r>
        <w:rPr>
          <w:rFonts w:ascii="黑体" w:hAnsi="黑体" w:eastAsia="黑体" w:cs="黑体"/>
          <w:b w:val="0"/>
        </w:rPr>
        <w:t>五、财政拨款支出决算明细表</w:t>
      </w:r>
      <w:bookmarkEnd w:id="88"/>
      <w:bookmarkEnd w:id="89"/>
      <w:bookmarkStart w:id="90" w:name="_Toc15396624"/>
    </w:p>
    <w:p w14:paraId="1AC753C8">
      <w:pPr>
        <w:pStyle w:val="4"/>
        <w:snapToGrid w:val="0"/>
        <w:spacing w:before="0" w:after="0" w:line="576" w:lineRule="exact"/>
        <w:ind w:firstLine="640" w:firstLineChars="200"/>
        <w:rPr>
          <w:rFonts w:ascii="黑体" w:hAnsi="黑体" w:eastAsia="黑体" w:cs="黑体"/>
          <w:b w:val="0"/>
        </w:rPr>
      </w:pPr>
      <w:bookmarkStart w:id="91" w:name="_Toc31860"/>
      <w:r>
        <w:rPr>
          <w:rFonts w:ascii="黑体" w:hAnsi="黑体" w:eastAsia="黑体" w:cs="黑体"/>
          <w:b w:val="0"/>
        </w:rPr>
        <w:t>六、一般公共决算财政拨款支出决算表</w:t>
      </w:r>
      <w:bookmarkEnd w:id="90"/>
      <w:bookmarkEnd w:id="91"/>
    </w:p>
    <w:p w14:paraId="3FB0384F">
      <w:pPr>
        <w:pStyle w:val="4"/>
        <w:snapToGrid w:val="0"/>
        <w:spacing w:before="0" w:after="0" w:line="576" w:lineRule="exact"/>
        <w:ind w:firstLine="640" w:firstLineChars="200"/>
        <w:rPr>
          <w:rFonts w:ascii="黑体" w:hAnsi="黑体" w:eastAsia="黑体" w:cs="黑体"/>
          <w:b w:val="0"/>
        </w:rPr>
      </w:pPr>
      <w:bookmarkStart w:id="92" w:name="_Toc15396625"/>
      <w:bookmarkStart w:id="93" w:name="_Toc14228"/>
      <w:r>
        <w:rPr>
          <w:rFonts w:ascii="黑体" w:hAnsi="黑体" w:eastAsia="黑体" w:cs="黑体"/>
          <w:b w:val="0"/>
        </w:rPr>
        <w:t>七、一般公共决算财政拨款支出决算明细表</w:t>
      </w:r>
      <w:bookmarkEnd w:id="92"/>
      <w:bookmarkEnd w:id="93"/>
    </w:p>
    <w:p w14:paraId="455C092D">
      <w:pPr>
        <w:pStyle w:val="4"/>
        <w:snapToGrid w:val="0"/>
        <w:spacing w:before="0" w:after="0" w:line="576" w:lineRule="exact"/>
        <w:ind w:firstLine="640" w:firstLineChars="200"/>
        <w:rPr>
          <w:rFonts w:ascii="黑体" w:hAnsi="黑体" w:eastAsia="黑体" w:cs="黑体"/>
          <w:b w:val="0"/>
        </w:rPr>
      </w:pPr>
      <w:bookmarkStart w:id="94" w:name="_Toc15396626"/>
      <w:bookmarkStart w:id="95" w:name="_Toc15245"/>
      <w:r>
        <w:rPr>
          <w:rFonts w:ascii="黑体" w:hAnsi="黑体" w:eastAsia="黑体" w:cs="黑体"/>
          <w:b w:val="0"/>
        </w:rPr>
        <w:t>八、一般公共决算财政拨款基本支出决算表</w:t>
      </w:r>
      <w:bookmarkEnd w:id="94"/>
      <w:bookmarkEnd w:id="95"/>
    </w:p>
    <w:p w14:paraId="21C36FA2">
      <w:pPr>
        <w:pStyle w:val="4"/>
        <w:snapToGrid w:val="0"/>
        <w:spacing w:before="0" w:after="0" w:line="576" w:lineRule="exact"/>
        <w:ind w:firstLine="640" w:firstLineChars="200"/>
        <w:rPr>
          <w:rFonts w:ascii="黑体" w:hAnsi="黑体" w:eastAsia="黑体" w:cs="黑体"/>
          <w:b w:val="0"/>
        </w:rPr>
      </w:pPr>
      <w:bookmarkStart w:id="96" w:name="_Toc15396627"/>
      <w:bookmarkStart w:id="97" w:name="_Toc4491"/>
      <w:r>
        <w:rPr>
          <w:rFonts w:ascii="黑体" w:hAnsi="黑体" w:eastAsia="黑体" w:cs="黑体"/>
          <w:b w:val="0"/>
        </w:rPr>
        <w:t>九、一般公共决算财政拨款项目支出决算表</w:t>
      </w:r>
      <w:bookmarkEnd w:id="96"/>
      <w:bookmarkEnd w:id="97"/>
    </w:p>
    <w:p w14:paraId="2136F76E">
      <w:pPr>
        <w:pStyle w:val="4"/>
        <w:snapToGrid w:val="0"/>
        <w:spacing w:before="0" w:after="0" w:line="576" w:lineRule="exact"/>
        <w:ind w:firstLine="640" w:firstLineChars="200"/>
        <w:rPr>
          <w:rFonts w:ascii="黑体" w:hAnsi="黑体" w:eastAsia="黑体" w:cs="黑体"/>
          <w:b w:val="0"/>
        </w:rPr>
      </w:pPr>
      <w:bookmarkStart w:id="98" w:name="_Toc9222"/>
      <w:bookmarkStart w:id="99" w:name="_Toc15396628"/>
      <w:r>
        <w:rPr>
          <w:rFonts w:ascii="黑体" w:hAnsi="黑体" w:eastAsia="黑体" w:cs="黑体"/>
          <w:b w:val="0"/>
        </w:rPr>
        <w:t>十、一般公共决算财政拨款“三公”经费支出决算表</w:t>
      </w:r>
      <w:bookmarkEnd w:id="98"/>
      <w:bookmarkEnd w:id="99"/>
    </w:p>
    <w:p w14:paraId="1BD1084A">
      <w:pPr>
        <w:pStyle w:val="4"/>
        <w:snapToGrid w:val="0"/>
        <w:spacing w:before="0" w:after="0" w:line="576" w:lineRule="exact"/>
        <w:ind w:firstLine="640" w:firstLineChars="200"/>
        <w:rPr>
          <w:rFonts w:ascii="黑体" w:hAnsi="黑体" w:eastAsia="黑体" w:cs="黑体"/>
          <w:b w:val="0"/>
        </w:rPr>
      </w:pPr>
      <w:bookmarkStart w:id="100" w:name="_Toc16547"/>
      <w:bookmarkStart w:id="101" w:name="_Toc15396629"/>
      <w:r>
        <w:rPr>
          <w:rFonts w:ascii="黑体" w:hAnsi="黑体" w:eastAsia="黑体" w:cs="黑体"/>
          <w:b w:val="0"/>
        </w:rPr>
        <w:t>十一、政府性基金决算财政拨款收入支出决算表</w:t>
      </w:r>
      <w:bookmarkEnd w:id="100"/>
      <w:bookmarkEnd w:id="101"/>
    </w:p>
    <w:p w14:paraId="7D3B8C6B">
      <w:pPr>
        <w:pStyle w:val="4"/>
        <w:snapToGrid w:val="0"/>
        <w:spacing w:before="0" w:after="0" w:line="576" w:lineRule="exact"/>
        <w:ind w:firstLine="640" w:firstLineChars="200"/>
        <w:rPr>
          <w:rFonts w:ascii="黑体" w:hAnsi="黑体" w:eastAsia="黑体" w:cs="黑体"/>
          <w:b w:val="0"/>
        </w:rPr>
      </w:pPr>
      <w:bookmarkStart w:id="102" w:name="_Toc15396630"/>
      <w:bookmarkStart w:id="103" w:name="_Toc31311"/>
      <w:r>
        <w:rPr>
          <w:rFonts w:ascii="黑体" w:hAnsi="黑体" w:eastAsia="黑体" w:cs="黑体"/>
          <w:b w:val="0"/>
        </w:rPr>
        <w:t>十二、政府性基金决算财政拨款“三公”经费支出决算表</w:t>
      </w:r>
      <w:bookmarkEnd w:id="102"/>
      <w:bookmarkEnd w:id="103"/>
    </w:p>
    <w:p w14:paraId="71039A3F">
      <w:pPr>
        <w:pStyle w:val="4"/>
        <w:snapToGrid w:val="0"/>
        <w:spacing w:before="0" w:after="0" w:line="576" w:lineRule="exact"/>
        <w:ind w:firstLine="640" w:firstLineChars="200"/>
        <w:rPr>
          <w:rFonts w:ascii="黑体" w:hAnsi="黑体" w:eastAsia="黑体" w:cs="黑体"/>
          <w:b w:val="0"/>
        </w:rPr>
      </w:pPr>
      <w:bookmarkStart w:id="104" w:name="_Toc15396631"/>
      <w:bookmarkStart w:id="105" w:name="_Toc15282"/>
      <w:r>
        <w:rPr>
          <w:rFonts w:ascii="黑体" w:hAnsi="黑体" w:eastAsia="黑体" w:cs="黑体"/>
          <w:b w:val="0"/>
        </w:rPr>
        <w:t>十三、国有资本经营决算财政拨款收入支出决算表</w:t>
      </w:r>
      <w:bookmarkEnd w:id="104"/>
      <w:bookmarkEnd w:id="105"/>
    </w:p>
    <w:p w14:paraId="54B7CA5C">
      <w:pPr>
        <w:pStyle w:val="4"/>
        <w:snapToGrid w:val="0"/>
        <w:spacing w:before="0" w:after="0" w:line="576" w:lineRule="exact"/>
        <w:ind w:firstLine="640" w:firstLineChars="200"/>
        <w:rPr>
          <w:rFonts w:ascii="黑体" w:hAnsi="黑体" w:eastAsia="黑体" w:cs="黑体"/>
          <w:b w:val="0"/>
        </w:rPr>
      </w:pPr>
      <w:bookmarkStart w:id="106" w:name="_Toc5504"/>
      <w:r>
        <w:rPr>
          <w:rFonts w:ascii="黑体" w:hAnsi="黑体" w:eastAsia="黑体" w:cs="黑体"/>
          <w:b w:val="0"/>
        </w:rPr>
        <w:t>十四、国有资本经营决算财政拨款支出决算表</w:t>
      </w:r>
      <w:bookmarkEnd w:id="106"/>
    </w:p>
    <w:sectPr>
      <w:headerReference r:id="rId3" w:type="default"/>
      <w:footerReference r:id="rId4" w:type="default"/>
      <w:pgSz w:w="11906" w:h="16838"/>
      <w:pgMar w:top="2098" w:right="1474" w:bottom="1984" w:left="1587"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206C9DF9">
        <w:pPr>
          <w:pStyle w:val="10"/>
          <w:jc w:val="center"/>
        </w:pPr>
        <w:r>
          <w:fldChar w:fldCharType="begin"/>
        </w:r>
        <w:r>
          <w:instrText xml:space="preserve">PAGE   \* MERGEFORMAT</w:instrText>
        </w:r>
        <w:r>
          <w:fldChar w:fldCharType="separate"/>
        </w:r>
        <w:r>
          <w:rPr>
            <w:lang w:val="zh-CN"/>
          </w:rPr>
          <w:t>24</w:t>
        </w:r>
        <w:r>
          <w:fldChar w:fldCharType="end"/>
        </w:r>
      </w:p>
    </w:sdtContent>
  </w:sdt>
  <w:p w14:paraId="402D12AA">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677B4">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hNDkwMzU5OTU1YzVkMDUwMzJmMTIzZjE5OWNiNmYifQ=="/>
  </w:docVars>
  <w:rsids>
    <w:rsidRoot w:val="00F1361C"/>
    <w:rsid w:val="00016327"/>
    <w:rsid w:val="000222C6"/>
    <w:rsid w:val="0002549F"/>
    <w:rsid w:val="000468DB"/>
    <w:rsid w:val="0006487A"/>
    <w:rsid w:val="00065F8F"/>
    <w:rsid w:val="00070A43"/>
    <w:rsid w:val="00071797"/>
    <w:rsid w:val="000768F2"/>
    <w:rsid w:val="000828C4"/>
    <w:rsid w:val="0009184B"/>
    <w:rsid w:val="00094236"/>
    <w:rsid w:val="0009593C"/>
    <w:rsid w:val="00097322"/>
    <w:rsid w:val="000A6A92"/>
    <w:rsid w:val="000B047F"/>
    <w:rsid w:val="000B0A0C"/>
    <w:rsid w:val="000B5014"/>
    <w:rsid w:val="000B5923"/>
    <w:rsid w:val="000B5A48"/>
    <w:rsid w:val="000B6FF3"/>
    <w:rsid w:val="000C33E2"/>
    <w:rsid w:val="000C3467"/>
    <w:rsid w:val="000C3CA6"/>
    <w:rsid w:val="000C6F01"/>
    <w:rsid w:val="000D1267"/>
    <w:rsid w:val="000D1D50"/>
    <w:rsid w:val="000D35E8"/>
    <w:rsid w:val="000D5782"/>
    <w:rsid w:val="000E6613"/>
    <w:rsid w:val="000E7119"/>
    <w:rsid w:val="000F3C9E"/>
    <w:rsid w:val="00107B09"/>
    <w:rsid w:val="00114E9B"/>
    <w:rsid w:val="00122F47"/>
    <w:rsid w:val="00133417"/>
    <w:rsid w:val="001335D0"/>
    <w:rsid w:val="00135135"/>
    <w:rsid w:val="0013624C"/>
    <w:rsid w:val="00142216"/>
    <w:rsid w:val="00143E48"/>
    <w:rsid w:val="00144D6A"/>
    <w:rsid w:val="0014729F"/>
    <w:rsid w:val="00157BAB"/>
    <w:rsid w:val="0016405B"/>
    <w:rsid w:val="001654D1"/>
    <w:rsid w:val="00174518"/>
    <w:rsid w:val="0018106D"/>
    <w:rsid w:val="001877A7"/>
    <w:rsid w:val="00191536"/>
    <w:rsid w:val="00192159"/>
    <w:rsid w:val="00196687"/>
    <w:rsid w:val="001A5CB9"/>
    <w:rsid w:val="001A7621"/>
    <w:rsid w:val="001B5CE1"/>
    <w:rsid w:val="001C0962"/>
    <w:rsid w:val="001D7531"/>
    <w:rsid w:val="001E0C01"/>
    <w:rsid w:val="001E3E73"/>
    <w:rsid w:val="001E6C0E"/>
    <w:rsid w:val="001E737D"/>
    <w:rsid w:val="001F0592"/>
    <w:rsid w:val="001F7506"/>
    <w:rsid w:val="002006CD"/>
    <w:rsid w:val="00202B36"/>
    <w:rsid w:val="00204B7A"/>
    <w:rsid w:val="00204CDE"/>
    <w:rsid w:val="0021101A"/>
    <w:rsid w:val="00220536"/>
    <w:rsid w:val="00223922"/>
    <w:rsid w:val="00233526"/>
    <w:rsid w:val="00235629"/>
    <w:rsid w:val="00236AAB"/>
    <w:rsid w:val="00243DF4"/>
    <w:rsid w:val="002465A7"/>
    <w:rsid w:val="002607C0"/>
    <w:rsid w:val="00260C38"/>
    <w:rsid w:val="002616C0"/>
    <w:rsid w:val="00265372"/>
    <w:rsid w:val="002662AA"/>
    <w:rsid w:val="0027754B"/>
    <w:rsid w:val="00280496"/>
    <w:rsid w:val="00294DC9"/>
    <w:rsid w:val="00295495"/>
    <w:rsid w:val="002A31DE"/>
    <w:rsid w:val="002B0543"/>
    <w:rsid w:val="002B2613"/>
    <w:rsid w:val="002D5175"/>
    <w:rsid w:val="002D6D05"/>
    <w:rsid w:val="002E6B0C"/>
    <w:rsid w:val="002F1818"/>
    <w:rsid w:val="002F567B"/>
    <w:rsid w:val="003006D3"/>
    <w:rsid w:val="003204F3"/>
    <w:rsid w:val="003216A9"/>
    <w:rsid w:val="0033382E"/>
    <w:rsid w:val="00335A74"/>
    <w:rsid w:val="00356489"/>
    <w:rsid w:val="0036561B"/>
    <w:rsid w:val="0037013F"/>
    <w:rsid w:val="00380C92"/>
    <w:rsid w:val="003935A1"/>
    <w:rsid w:val="00395427"/>
    <w:rsid w:val="003A0D37"/>
    <w:rsid w:val="003A484F"/>
    <w:rsid w:val="003A4883"/>
    <w:rsid w:val="003A6E83"/>
    <w:rsid w:val="003B0BE0"/>
    <w:rsid w:val="003B0C1B"/>
    <w:rsid w:val="003B688C"/>
    <w:rsid w:val="003C0291"/>
    <w:rsid w:val="003C2D8D"/>
    <w:rsid w:val="003C39AE"/>
    <w:rsid w:val="003C7B60"/>
    <w:rsid w:val="003D0C0F"/>
    <w:rsid w:val="003D1FB2"/>
    <w:rsid w:val="003D66DA"/>
    <w:rsid w:val="003E08AF"/>
    <w:rsid w:val="003E1310"/>
    <w:rsid w:val="003E6F55"/>
    <w:rsid w:val="004027A3"/>
    <w:rsid w:val="00406254"/>
    <w:rsid w:val="0041068D"/>
    <w:rsid w:val="004223DE"/>
    <w:rsid w:val="00434489"/>
    <w:rsid w:val="00437085"/>
    <w:rsid w:val="00443880"/>
    <w:rsid w:val="00443C30"/>
    <w:rsid w:val="004464F4"/>
    <w:rsid w:val="00463292"/>
    <w:rsid w:val="00463856"/>
    <w:rsid w:val="00471401"/>
    <w:rsid w:val="00473F31"/>
    <w:rsid w:val="004744D6"/>
    <w:rsid w:val="0048263A"/>
    <w:rsid w:val="00487E5D"/>
    <w:rsid w:val="00490F7C"/>
    <w:rsid w:val="004A0B1D"/>
    <w:rsid w:val="004A2549"/>
    <w:rsid w:val="004A711F"/>
    <w:rsid w:val="004B17DF"/>
    <w:rsid w:val="004B199D"/>
    <w:rsid w:val="004B4690"/>
    <w:rsid w:val="004D1822"/>
    <w:rsid w:val="004D3D7C"/>
    <w:rsid w:val="004E0971"/>
    <w:rsid w:val="004E0A2D"/>
    <w:rsid w:val="004E206B"/>
    <w:rsid w:val="004E6849"/>
    <w:rsid w:val="004E6DF7"/>
    <w:rsid w:val="004F0FBD"/>
    <w:rsid w:val="004F6A74"/>
    <w:rsid w:val="00505A47"/>
    <w:rsid w:val="005114E3"/>
    <w:rsid w:val="00512FDA"/>
    <w:rsid w:val="00520DA0"/>
    <w:rsid w:val="005375E7"/>
    <w:rsid w:val="00552099"/>
    <w:rsid w:val="005664BB"/>
    <w:rsid w:val="00566FFA"/>
    <w:rsid w:val="0057481D"/>
    <w:rsid w:val="0058486E"/>
    <w:rsid w:val="00585B33"/>
    <w:rsid w:val="0059014D"/>
    <w:rsid w:val="00595952"/>
    <w:rsid w:val="005A732C"/>
    <w:rsid w:val="005B5C64"/>
    <w:rsid w:val="005C5337"/>
    <w:rsid w:val="005C6BD0"/>
    <w:rsid w:val="005D1C8B"/>
    <w:rsid w:val="005D468D"/>
    <w:rsid w:val="005D5CED"/>
    <w:rsid w:val="005E01C8"/>
    <w:rsid w:val="005E3CF0"/>
    <w:rsid w:val="005F1A4C"/>
    <w:rsid w:val="00601C18"/>
    <w:rsid w:val="00605688"/>
    <w:rsid w:val="006070AF"/>
    <w:rsid w:val="00607E6C"/>
    <w:rsid w:val="006101B1"/>
    <w:rsid w:val="006130F0"/>
    <w:rsid w:val="00614E44"/>
    <w:rsid w:val="0062270A"/>
    <w:rsid w:val="00622830"/>
    <w:rsid w:val="006234C0"/>
    <w:rsid w:val="00623DA0"/>
    <w:rsid w:val="006249F0"/>
    <w:rsid w:val="006259F3"/>
    <w:rsid w:val="00625E59"/>
    <w:rsid w:val="00630AEF"/>
    <w:rsid w:val="006325F8"/>
    <w:rsid w:val="00633463"/>
    <w:rsid w:val="00634C9A"/>
    <w:rsid w:val="006440E4"/>
    <w:rsid w:val="00646E1F"/>
    <w:rsid w:val="0065421F"/>
    <w:rsid w:val="0066343B"/>
    <w:rsid w:val="00664777"/>
    <w:rsid w:val="006748A4"/>
    <w:rsid w:val="00681A31"/>
    <w:rsid w:val="00683E73"/>
    <w:rsid w:val="006A3141"/>
    <w:rsid w:val="006A5E34"/>
    <w:rsid w:val="006B2422"/>
    <w:rsid w:val="006B2B9A"/>
    <w:rsid w:val="006C1937"/>
    <w:rsid w:val="006E094F"/>
    <w:rsid w:val="006F020C"/>
    <w:rsid w:val="00703989"/>
    <w:rsid w:val="00710249"/>
    <w:rsid w:val="007127B7"/>
    <w:rsid w:val="0071798E"/>
    <w:rsid w:val="007416B6"/>
    <w:rsid w:val="00744644"/>
    <w:rsid w:val="00746F48"/>
    <w:rsid w:val="0074749E"/>
    <w:rsid w:val="0075404D"/>
    <w:rsid w:val="007544A0"/>
    <w:rsid w:val="00756FEB"/>
    <w:rsid w:val="0076182A"/>
    <w:rsid w:val="00761918"/>
    <w:rsid w:val="00767B7E"/>
    <w:rsid w:val="00772D40"/>
    <w:rsid w:val="00773871"/>
    <w:rsid w:val="007770C3"/>
    <w:rsid w:val="00784D24"/>
    <w:rsid w:val="00785FBA"/>
    <w:rsid w:val="00786E4A"/>
    <w:rsid w:val="007875EB"/>
    <w:rsid w:val="0079426B"/>
    <w:rsid w:val="007D1682"/>
    <w:rsid w:val="007D312A"/>
    <w:rsid w:val="007D3F19"/>
    <w:rsid w:val="007E1820"/>
    <w:rsid w:val="007E23B0"/>
    <w:rsid w:val="007E23E5"/>
    <w:rsid w:val="007F1991"/>
    <w:rsid w:val="007F2C2F"/>
    <w:rsid w:val="007F55FC"/>
    <w:rsid w:val="007F5665"/>
    <w:rsid w:val="00800112"/>
    <w:rsid w:val="00803B90"/>
    <w:rsid w:val="00813348"/>
    <w:rsid w:val="00817D88"/>
    <w:rsid w:val="008253BB"/>
    <w:rsid w:val="0083706E"/>
    <w:rsid w:val="008408F6"/>
    <w:rsid w:val="008423A5"/>
    <w:rsid w:val="00850625"/>
    <w:rsid w:val="00853718"/>
    <w:rsid w:val="00855221"/>
    <w:rsid w:val="00860645"/>
    <w:rsid w:val="00866D5D"/>
    <w:rsid w:val="00871F71"/>
    <w:rsid w:val="00872FD8"/>
    <w:rsid w:val="00880E9A"/>
    <w:rsid w:val="00885AF4"/>
    <w:rsid w:val="008939CD"/>
    <w:rsid w:val="008A6F37"/>
    <w:rsid w:val="008B768C"/>
    <w:rsid w:val="008C4DB1"/>
    <w:rsid w:val="008C4EAF"/>
    <w:rsid w:val="008C5176"/>
    <w:rsid w:val="008C7FD0"/>
    <w:rsid w:val="008D5C09"/>
    <w:rsid w:val="008E1DE7"/>
    <w:rsid w:val="008E707C"/>
    <w:rsid w:val="00900B08"/>
    <w:rsid w:val="00902155"/>
    <w:rsid w:val="00902FA3"/>
    <w:rsid w:val="00906C7B"/>
    <w:rsid w:val="00923564"/>
    <w:rsid w:val="0092392E"/>
    <w:rsid w:val="009315F9"/>
    <w:rsid w:val="00933499"/>
    <w:rsid w:val="00935C98"/>
    <w:rsid w:val="00936870"/>
    <w:rsid w:val="00944BB0"/>
    <w:rsid w:val="00945050"/>
    <w:rsid w:val="00946945"/>
    <w:rsid w:val="00947655"/>
    <w:rsid w:val="00950C4E"/>
    <w:rsid w:val="00951248"/>
    <w:rsid w:val="0095152F"/>
    <w:rsid w:val="00952D84"/>
    <w:rsid w:val="00954C49"/>
    <w:rsid w:val="00955E37"/>
    <w:rsid w:val="00964836"/>
    <w:rsid w:val="0097099F"/>
    <w:rsid w:val="00971997"/>
    <w:rsid w:val="00971FFC"/>
    <w:rsid w:val="00983064"/>
    <w:rsid w:val="0098660A"/>
    <w:rsid w:val="00987F9B"/>
    <w:rsid w:val="009931C3"/>
    <w:rsid w:val="00993F71"/>
    <w:rsid w:val="009B2C43"/>
    <w:rsid w:val="009B4EAE"/>
    <w:rsid w:val="009B7573"/>
    <w:rsid w:val="009C22F4"/>
    <w:rsid w:val="009C2A4B"/>
    <w:rsid w:val="009C2E98"/>
    <w:rsid w:val="009C5E38"/>
    <w:rsid w:val="009C611F"/>
    <w:rsid w:val="009D3447"/>
    <w:rsid w:val="009D4711"/>
    <w:rsid w:val="009E53AF"/>
    <w:rsid w:val="009F1185"/>
    <w:rsid w:val="009F18CD"/>
    <w:rsid w:val="009F2A13"/>
    <w:rsid w:val="009F3E64"/>
    <w:rsid w:val="009F7527"/>
    <w:rsid w:val="00A04EB0"/>
    <w:rsid w:val="00A122A2"/>
    <w:rsid w:val="00A132A7"/>
    <w:rsid w:val="00A13CC1"/>
    <w:rsid w:val="00A16847"/>
    <w:rsid w:val="00A237D8"/>
    <w:rsid w:val="00A241ED"/>
    <w:rsid w:val="00A24F97"/>
    <w:rsid w:val="00A25B71"/>
    <w:rsid w:val="00A268C4"/>
    <w:rsid w:val="00A307CD"/>
    <w:rsid w:val="00A3083F"/>
    <w:rsid w:val="00A3280B"/>
    <w:rsid w:val="00A331C8"/>
    <w:rsid w:val="00A40A00"/>
    <w:rsid w:val="00A4142F"/>
    <w:rsid w:val="00A422EB"/>
    <w:rsid w:val="00A44353"/>
    <w:rsid w:val="00A45BB7"/>
    <w:rsid w:val="00A469B2"/>
    <w:rsid w:val="00A56DF2"/>
    <w:rsid w:val="00A56E6E"/>
    <w:rsid w:val="00A67AB5"/>
    <w:rsid w:val="00A70386"/>
    <w:rsid w:val="00A733B2"/>
    <w:rsid w:val="00A741C2"/>
    <w:rsid w:val="00A76562"/>
    <w:rsid w:val="00A803B6"/>
    <w:rsid w:val="00A81F5A"/>
    <w:rsid w:val="00A8715C"/>
    <w:rsid w:val="00A91760"/>
    <w:rsid w:val="00A93B00"/>
    <w:rsid w:val="00A93C21"/>
    <w:rsid w:val="00AA550F"/>
    <w:rsid w:val="00AB64C9"/>
    <w:rsid w:val="00AC3C6A"/>
    <w:rsid w:val="00AD5620"/>
    <w:rsid w:val="00AD656B"/>
    <w:rsid w:val="00AD7C1B"/>
    <w:rsid w:val="00AE16BA"/>
    <w:rsid w:val="00AE1EBE"/>
    <w:rsid w:val="00B01546"/>
    <w:rsid w:val="00B03C9D"/>
    <w:rsid w:val="00B060AE"/>
    <w:rsid w:val="00B10517"/>
    <w:rsid w:val="00B14E76"/>
    <w:rsid w:val="00B161B8"/>
    <w:rsid w:val="00B2048C"/>
    <w:rsid w:val="00B27D9D"/>
    <w:rsid w:val="00B310B9"/>
    <w:rsid w:val="00B35F3F"/>
    <w:rsid w:val="00B36CBB"/>
    <w:rsid w:val="00B425CD"/>
    <w:rsid w:val="00B425E0"/>
    <w:rsid w:val="00B440AA"/>
    <w:rsid w:val="00B44B70"/>
    <w:rsid w:val="00B461EE"/>
    <w:rsid w:val="00B46CAF"/>
    <w:rsid w:val="00B50B27"/>
    <w:rsid w:val="00B53C56"/>
    <w:rsid w:val="00B57DAF"/>
    <w:rsid w:val="00B630C7"/>
    <w:rsid w:val="00B7743E"/>
    <w:rsid w:val="00B77EA6"/>
    <w:rsid w:val="00B81598"/>
    <w:rsid w:val="00B841F1"/>
    <w:rsid w:val="00B943F8"/>
    <w:rsid w:val="00B944D6"/>
    <w:rsid w:val="00B964DE"/>
    <w:rsid w:val="00BA177F"/>
    <w:rsid w:val="00BA55C1"/>
    <w:rsid w:val="00BB4DF0"/>
    <w:rsid w:val="00BB50A7"/>
    <w:rsid w:val="00BC289F"/>
    <w:rsid w:val="00BC2D50"/>
    <w:rsid w:val="00BC5361"/>
    <w:rsid w:val="00BC5460"/>
    <w:rsid w:val="00BC6B50"/>
    <w:rsid w:val="00BD0E25"/>
    <w:rsid w:val="00BF2D77"/>
    <w:rsid w:val="00BF5BD6"/>
    <w:rsid w:val="00C03E31"/>
    <w:rsid w:val="00C203C7"/>
    <w:rsid w:val="00C219CD"/>
    <w:rsid w:val="00C272AB"/>
    <w:rsid w:val="00C33E72"/>
    <w:rsid w:val="00C354B2"/>
    <w:rsid w:val="00C35554"/>
    <w:rsid w:val="00C4012E"/>
    <w:rsid w:val="00C42709"/>
    <w:rsid w:val="00C533CC"/>
    <w:rsid w:val="00C5751C"/>
    <w:rsid w:val="00C61BFC"/>
    <w:rsid w:val="00C62B85"/>
    <w:rsid w:val="00C65438"/>
    <w:rsid w:val="00C656BD"/>
    <w:rsid w:val="00C7155E"/>
    <w:rsid w:val="00C87FD8"/>
    <w:rsid w:val="00C91381"/>
    <w:rsid w:val="00C91CBB"/>
    <w:rsid w:val="00CA5478"/>
    <w:rsid w:val="00CA5A06"/>
    <w:rsid w:val="00CA652C"/>
    <w:rsid w:val="00CB18B9"/>
    <w:rsid w:val="00CB4E70"/>
    <w:rsid w:val="00CC09B6"/>
    <w:rsid w:val="00CC666F"/>
    <w:rsid w:val="00CD1E3F"/>
    <w:rsid w:val="00CE03E2"/>
    <w:rsid w:val="00CE283E"/>
    <w:rsid w:val="00CE44F6"/>
    <w:rsid w:val="00CE49DA"/>
    <w:rsid w:val="00CE7B61"/>
    <w:rsid w:val="00D00095"/>
    <w:rsid w:val="00D114F0"/>
    <w:rsid w:val="00D13667"/>
    <w:rsid w:val="00D15369"/>
    <w:rsid w:val="00D20620"/>
    <w:rsid w:val="00D22FDD"/>
    <w:rsid w:val="00D254F7"/>
    <w:rsid w:val="00D26091"/>
    <w:rsid w:val="00D2685C"/>
    <w:rsid w:val="00D3393E"/>
    <w:rsid w:val="00D34E7C"/>
    <w:rsid w:val="00D35489"/>
    <w:rsid w:val="00D36AFE"/>
    <w:rsid w:val="00D510B0"/>
    <w:rsid w:val="00D51276"/>
    <w:rsid w:val="00D51B10"/>
    <w:rsid w:val="00D6795D"/>
    <w:rsid w:val="00D7035F"/>
    <w:rsid w:val="00D74E4E"/>
    <w:rsid w:val="00D93065"/>
    <w:rsid w:val="00D958EB"/>
    <w:rsid w:val="00DA634F"/>
    <w:rsid w:val="00DA65AC"/>
    <w:rsid w:val="00DB1913"/>
    <w:rsid w:val="00DC410D"/>
    <w:rsid w:val="00DC5A81"/>
    <w:rsid w:val="00DC68CA"/>
    <w:rsid w:val="00DC7CBA"/>
    <w:rsid w:val="00DD73B7"/>
    <w:rsid w:val="00DE11CB"/>
    <w:rsid w:val="00DE5627"/>
    <w:rsid w:val="00DE68B2"/>
    <w:rsid w:val="00DF28BC"/>
    <w:rsid w:val="00DF2E81"/>
    <w:rsid w:val="00DF34B9"/>
    <w:rsid w:val="00E01053"/>
    <w:rsid w:val="00E02053"/>
    <w:rsid w:val="00E07ACF"/>
    <w:rsid w:val="00E331A1"/>
    <w:rsid w:val="00E33202"/>
    <w:rsid w:val="00E336A9"/>
    <w:rsid w:val="00E44A6D"/>
    <w:rsid w:val="00E46CC3"/>
    <w:rsid w:val="00E472B1"/>
    <w:rsid w:val="00E50624"/>
    <w:rsid w:val="00E50832"/>
    <w:rsid w:val="00E568DF"/>
    <w:rsid w:val="00E64269"/>
    <w:rsid w:val="00E70F0C"/>
    <w:rsid w:val="00E82267"/>
    <w:rsid w:val="00E853CE"/>
    <w:rsid w:val="00E867B6"/>
    <w:rsid w:val="00EA010F"/>
    <w:rsid w:val="00EB06FA"/>
    <w:rsid w:val="00EC1FCA"/>
    <w:rsid w:val="00EC551D"/>
    <w:rsid w:val="00ED1B63"/>
    <w:rsid w:val="00ED3C1F"/>
    <w:rsid w:val="00ED4085"/>
    <w:rsid w:val="00ED420E"/>
    <w:rsid w:val="00ED6FBE"/>
    <w:rsid w:val="00EE2F57"/>
    <w:rsid w:val="00EF373B"/>
    <w:rsid w:val="00EF4C34"/>
    <w:rsid w:val="00EF77C6"/>
    <w:rsid w:val="00F05438"/>
    <w:rsid w:val="00F075BA"/>
    <w:rsid w:val="00F1361C"/>
    <w:rsid w:val="00F156F0"/>
    <w:rsid w:val="00F160C7"/>
    <w:rsid w:val="00F16762"/>
    <w:rsid w:val="00F2408F"/>
    <w:rsid w:val="00F240E9"/>
    <w:rsid w:val="00F36D8F"/>
    <w:rsid w:val="00F417B1"/>
    <w:rsid w:val="00F42DF9"/>
    <w:rsid w:val="00F45853"/>
    <w:rsid w:val="00F5171A"/>
    <w:rsid w:val="00F53C02"/>
    <w:rsid w:val="00F602DF"/>
    <w:rsid w:val="00F754A1"/>
    <w:rsid w:val="00F810F6"/>
    <w:rsid w:val="00F81FD9"/>
    <w:rsid w:val="00F83B83"/>
    <w:rsid w:val="00F841AA"/>
    <w:rsid w:val="00F84A94"/>
    <w:rsid w:val="00F87E96"/>
    <w:rsid w:val="00F91B1F"/>
    <w:rsid w:val="00F93903"/>
    <w:rsid w:val="00F941F0"/>
    <w:rsid w:val="00F9606F"/>
    <w:rsid w:val="00FA058E"/>
    <w:rsid w:val="00FA23E8"/>
    <w:rsid w:val="00FA773B"/>
    <w:rsid w:val="00FD3CC1"/>
    <w:rsid w:val="00FD5CE5"/>
    <w:rsid w:val="00FE0596"/>
    <w:rsid w:val="00FF1E02"/>
    <w:rsid w:val="00FF30B4"/>
    <w:rsid w:val="095458AA"/>
    <w:rsid w:val="0A2032A3"/>
    <w:rsid w:val="0B0A4727"/>
    <w:rsid w:val="0B0B3DEE"/>
    <w:rsid w:val="0B8A37D8"/>
    <w:rsid w:val="0D4E1A83"/>
    <w:rsid w:val="10C055FF"/>
    <w:rsid w:val="118107EC"/>
    <w:rsid w:val="11DD6519"/>
    <w:rsid w:val="16BB723D"/>
    <w:rsid w:val="18015F3F"/>
    <w:rsid w:val="19F52E15"/>
    <w:rsid w:val="1BE8440E"/>
    <w:rsid w:val="1D155CEE"/>
    <w:rsid w:val="1E3E43A4"/>
    <w:rsid w:val="20F57F95"/>
    <w:rsid w:val="240371BF"/>
    <w:rsid w:val="25C741E6"/>
    <w:rsid w:val="27704A89"/>
    <w:rsid w:val="27842671"/>
    <w:rsid w:val="29FD04D3"/>
    <w:rsid w:val="2ABE7A3E"/>
    <w:rsid w:val="2B1332EA"/>
    <w:rsid w:val="2EFA178C"/>
    <w:rsid w:val="30B46D73"/>
    <w:rsid w:val="30DE672D"/>
    <w:rsid w:val="319F7F4E"/>
    <w:rsid w:val="31F75DB5"/>
    <w:rsid w:val="340B78F6"/>
    <w:rsid w:val="356E7B0F"/>
    <w:rsid w:val="39AE70AB"/>
    <w:rsid w:val="39E7003F"/>
    <w:rsid w:val="3C0C0783"/>
    <w:rsid w:val="3C912849"/>
    <w:rsid w:val="3EC67F27"/>
    <w:rsid w:val="3F795B0E"/>
    <w:rsid w:val="3F9F3A96"/>
    <w:rsid w:val="493C27E9"/>
    <w:rsid w:val="496F39ED"/>
    <w:rsid w:val="49FF41D3"/>
    <w:rsid w:val="4A185DC8"/>
    <w:rsid w:val="4BE068DB"/>
    <w:rsid w:val="4BF6002B"/>
    <w:rsid w:val="4ECE2238"/>
    <w:rsid w:val="51DB4B86"/>
    <w:rsid w:val="5316457F"/>
    <w:rsid w:val="55333C3E"/>
    <w:rsid w:val="58775378"/>
    <w:rsid w:val="5B33067D"/>
    <w:rsid w:val="5BF75B91"/>
    <w:rsid w:val="61901303"/>
    <w:rsid w:val="640047C5"/>
    <w:rsid w:val="64CA39A1"/>
    <w:rsid w:val="66E55C01"/>
    <w:rsid w:val="6C4A05C8"/>
    <w:rsid w:val="6C8959DC"/>
    <w:rsid w:val="6D003795"/>
    <w:rsid w:val="72734D90"/>
    <w:rsid w:val="74E366CA"/>
    <w:rsid w:val="76DF266D"/>
    <w:rsid w:val="79E7B28D"/>
    <w:rsid w:val="7AE23923"/>
    <w:rsid w:val="7BCC2476"/>
    <w:rsid w:val="7C4C1868"/>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6">
    <w:name w:val="Body Text"/>
    <w:basedOn w:val="1"/>
    <w:next w:val="1"/>
    <w:link w:val="25"/>
    <w:qFormat/>
    <w:uiPriority w:val="99"/>
    <w:pPr>
      <w:spacing w:beforeLines="30"/>
    </w:pPr>
    <w:rPr>
      <w:rFonts w:ascii="仿宋_GB2312" w:eastAsia="仿宋_GB2312"/>
      <w:kern w:val="0"/>
      <w:sz w:val="30"/>
    </w:rPr>
  </w:style>
  <w:style w:type="paragraph" w:styleId="7">
    <w:name w:val="Body Text Indent"/>
    <w:basedOn w:val="1"/>
    <w:qFormat/>
    <w:uiPriority w:val="0"/>
    <w:pPr>
      <w:ind w:firstLine="200" w:firstLineChars="200"/>
    </w:pPr>
    <w:rPr>
      <w:rFonts w:ascii="仿宋_GB2312" w:hAnsi="Calibri" w:eastAsia="仿宋_GB2312"/>
      <w:sz w:val="30"/>
      <w:szCs w:val="2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w:basedOn w:val="6"/>
    <w:link w:val="33"/>
    <w:qFormat/>
    <w:uiPriority w:val="99"/>
    <w:pPr>
      <w:spacing w:beforeLines="0" w:after="120"/>
      <w:ind w:firstLine="420" w:firstLineChars="100"/>
    </w:pPr>
    <w:rPr>
      <w:rFonts w:ascii="Calibri" w:hAnsi="Calibri" w:eastAsia="宋体" w:cs="宋体"/>
      <w:kern w:val="2"/>
      <w:sz w:val="21"/>
    </w:rPr>
  </w:style>
  <w:style w:type="paragraph" w:styleId="15">
    <w:name w:val="Body Text First Indent 2"/>
    <w:basedOn w:val="7"/>
    <w:next w:val="1"/>
    <w:qFormat/>
    <w:uiPriority w:val="0"/>
    <w:pPr>
      <w:ind w:firstLine="42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6"/>
    <w:qFormat/>
    <w:locked/>
    <w:uiPriority w:val="99"/>
    <w:rPr>
      <w:rFonts w:ascii="仿宋_GB2312" w:hAnsi="Times New Roman" w:eastAsia="仿宋_GB2312"/>
      <w:sz w:val="24"/>
    </w:rPr>
  </w:style>
  <w:style w:type="paragraph" w:styleId="26">
    <w:name w:val="List Paragraph"/>
    <w:basedOn w:val="1"/>
    <w:qFormat/>
    <w:uiPriority w:val="34"/>
    <w:pPr>
      <w:ind w:firstLine="420" w:firstLineChars="200"/>
    </w:pPr>
  </w:style>
  <w:style w:type="character" w:customStyle="1" w:styleId="27">
    <w:name w:val="标题 1 Char"/>
    <w:basedOn w:val="17"/>
    <w:link w:val="3"/>
    <w:qFormat/>
    <w:uiPriority w:val="9"/>
    <w:rPr>
      <w:rFonts w:ascii="Times New Roman" w:hAnsi="Times New Roman"/>
      <w:b/>
      <w:bCs/>
      <w:kern w:val="44"/>
      <w:sz w:val="44"/>
      <w:szCs w:val="44"/>
    </w:rPr>
  </w:style>
  <w:style w:type="character" w:customStyle="1" w:styleId="28">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17"/>
    <w:link w:val="9"/>
    <w:semiHidden/>
    <w:qFormat/>
    <w:uiPriority w:val="99"/>
    <w:rPr>
      <w:rFonts w:ascii="Times New Roman" w:hAnsi="Times New Roman"/>
      <w:kern w:val="2"/>
      <w:sz w:val="18"/>
      <w:szCs w:val="18"/>
    </w:rPr>
  </w:style>
  <w:style w:type="character" w:customStyle="1" w:styleId="31">
    <w:name w:val="标题 3 Char"/>
    <w:basedOn w:val="17"/>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正文首行缩进 Char"/>
    <w:basedOn w:val="25"/>
    <w:link w:val="14"/>
    <w:qFormat/>
    <w:uiPriority w:val="99"/>
    <w:rPr>
      <w:rFonts w:ascii="Calibri" w:hAnsi="Calibri" w:eastAsia="宋体" w:cs="宋体"/>
      <w:kern w:val="2"/>
      <w:sz w:val="21"/>
      <w:szCs w:val="24"/>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paragraph" w:customStyle="1" w:styleId="35">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36">
    <w:name w:val="font11"/>
    <w:basedOn w:val="1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9"/>
    <customShpInfo spid="_x0000_s1030"/>
    <customShpInfo spid="_x0000_s1031"/>
    <customShpInfo spid="_x0000_s1033"/>
    <customShpInfo spid="_x0000_s1034"/>
    <customShpInfo spid="_x0000_s1039"/>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27</Pages>
  <Words>2818</Words>
  <Characters>2908</Characters>
  <Lines>115</Lines>
  <Paragraphs>32</Paragraphs>
  <TotalTime>3</TotalTime>
  <ScaleCrop>false</ScaleCrop>
  <LinksUpToDate>false</LinksUpToDate>
  <CharactersWithSpaces>3031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昭化融媒体</cp:lastModifiedBy>
  <cp:lastPrinted>2022-08-06T02:23:00Z</cp:lastPrinted>
  <dcterms:modified xsi:type="dcterms:W3CDTF">2025-06-24T03:29:11Z</dcterms:modified>
  <dc:title>四川省***</dc:title>
  <cp:revision>311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BB0B863F21524D3588385EA8B0089D65</vt:lpwstr>
  </property>
  <property fmtid="{D5CDD505-2E9C-101B-9397-08002B2CF9AE}" pid="4" name="KSOTemplateDocerSaveRecord">
    <vt:lpwstr>eyJoZGlkIjoiMGVhYTg4NGNkZWJkODFjNzcyZDRjM2M4Y2UzNjI5ZmUiLCJ1c2VySWQiOiI2MTE2MzEwMDYifQ==</vt:lpwstr>
  </property>
</Properties>
</file>