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D9848">
      <w:pPr>
        <w:pStyle w:val="9"/>
        <w:keepNext w:val="0"/>
        <w:keepLines w:val="0"/>
        <w:widowControl w:val="0"/>
        <w:shd w:val="clear" w:color="auto" w:fill="auto"/>
        <w:bidi w:val="0"/>
        <w:spacing w:before="0" w:after="0"/>
        <w:ind w:left="0" w:right="0" w:firstLine="0"/>
        <w:jc w:val="center"/>
        <w:rPr>
          <w:rFonts w:hint="eastAsia" w:ascii="宋体" w:hAnsi="宋体" w:eastAsia="宋体" w:cs="宋体"/>
          <w:color w:val="auto"/>
        </w:rPr>
      </w:pPr>
      <w:r>
        <w:rPr>
          <w:rFonts w:hint="eastAsia" w:ascii="宋体" w:hAnsi="宋体" w:eastAsia="宋体" w:cs="宋体"/>
          <w:color w:val="auto"/>
          <w:spacing w:val="0"/>
          <w:w w:val="100"/>
          <w:position w:val="0"/>
        </w:rPr>
        <w:t>2020</w:t>
      </w:r>
      <w:r>
        <w:rPr>
          <w:rFonts w:hint="eastAsia" w:ascii="宋体" w:hAnsi="宋体" w:eastAsia="宋体" w:cs="宋体"/>
          <w:color w:val="auto"/>
          <w:spacing w:val="0"/>
          <w:w w:val="100"/>
          <w:position w:val="0"/>
          <w:lang w:val="zh-TW" w:eastAsia="zh-TW" w:bidi="zh-TW"/>
        </w:rPr>
        <w:t>年度</w:t>
      </w:r>
    </w:p>
    <w:p w14:paraId="4E991615">
      <w:pPr>
        <w:pStyle w:val="10"/>
        <w:keepNext w:val="0"/>
        <w:keepLines w:val="0"/>
        <w:widowControl w:val="0"/>
        <w:shd w:val="clear" w:color="auto" w:fill="auto"/>
        <w:bidi w:val="0"/>
        <w:spacing w:before="0" w:after="0"/>
        <w:ind w:left="0" w:right="0" w:firstLine="0"/>
        <w:jc w:val="center"/>
        <w:outlineLvl w:val="0"/>
        <w:rPr>
          <w:rFonts w:hint="eastAsia" w:ascii="宋体" w:hAnsi="宋体" w:eastAsia="宋体" w:cs="宋体"/>
          <w:color w:val="auto"/>
        </w:rPr>
        <w:sectPr>
          <w:footerReference r:id="rId5" w:type="default"/>
          <w:footnotePr>
            <w:numFmt w:val="decimal"/>
          </w:footnotePr>
          <w:pgSz w:w="11900" w:h="16840"/>
          <w:pgMar w:top="1440" w:right="1800" w:bottom="1440" w:left="1800" w:header="3783" w:footer="3783" w:gutter="0"/>
          <w:pgNumType w:start="1"/>
          <w:cols w:space="720" w:num="1"/>
          <w:rtlGutter w:val="0"/>
          <w:docGrid w:linePitch="360" w:charSpace="0"/>
        </w:sectPr>
      </w:pPr>
      <w:bookmarkStart w:id="0" w:name="_Toc28761"/>
      <w:r>
        <w:rPr>
          <w:rFonts w:hint="eastAsia" w:ascii="宋体" w:hAnsi="宋体" w:eastAsia="宋体" w:cs="宋体"/>
          <w:color w:val="auto"/>
          <w:spacing w:val="0"/>
          <w:w w:val="100"/>
          <w:position w:val="0"/>
        </w:rPr>
        <w:t>四川省广元市昭化区卫子镇人民政府部门</w:t>
      </w:r>
      <w:bookmarkEnd w:id="0"/>
    </w:p>
    <w:sdt>
      <w:sdtPr>
        <w:rPr>
          <w:rFonts w:hint="eastAsia" w:ascii="宋体" w:hAnsi="宋体" w:eastAsia="宋体" w:cs="宋体"/>
          <w:color w:val="000000"/>
          <w:spacing w:val="0"/>
          <w:w w:val="100"/>
          <w:position w:val="0"/>
          <w:sz w:val="30"/>
          <w:szCs w:val="30"/>
          <w:shd w:val="clear" w:color="auto" w:fill="auto"/>
          <w:lang w:val="en-US" w:eastAsia="en-US" w:bidi="en-US"/>
        </w:rPr>
        <w:id w:val="147481147"/>
        <w15:color w:val="DBDBDB"/>
        <w:docPartObj>
          <w:docPartGallery w:val="Table of Contents"/>
          <w:docPartUnique/>
        </w:docPartObj>
      </w:sdtPr>
      <w:sdtEndPr>
        <w:rPr>
          <w:rFonts w:hint="eastAsia" w:ascii="宋体" w:hAnsi="宋体" w:eastAsia="宋体" w:cs="宋体"/>
          <w:b/>
          <w:color w:val="auto"/>
          <w:spacing w:val="0"/>
          <w:w w:val="100"/>
          <w:position w:val="0"/>
          <w:sz w:val="24"/>
          <w:szCs w:val="48"/>
          <w:shd w:val="clear" w:color="auto" w:fill="auto"/>
          <w:lang w:val="en-US" w:eastAsia="en-US" w:bidi="en-US"/>
        </w:rPr>
      </w:sdtEndPr>
      <w:sdtContent>
        <w:p w14:paraId="2D25A16C">
          <w:pPr>
            <w:spacing w:before="0" w:beforeLines="0" w:after="0" w:afterLines="0" w:line="240" w:lineRule="auto"/>
            <w:ind w:left="0" w:leftChars="0" w:right="0" w:rightChars="0" w:firstLine="0" w:firstLineChars="0"/>
            <w:jc w:val="center"/>
            <w:rPr>
              <w:rFonts w:hint="eastAsia" w:ascii="微软雅黑" w:hAnsi="微软雅黑" w:eastAsia="微软雅黑" w:cs="微软雅黑"/>
              <w:b w:val="0"/>
              <w:bCs w:val="0"/>
              <w:sz w:val="52"/>
              <w:szCs w:val="52"/>
            </w:rPr>
          </w:pPr>
          <w:r>
            <w:rPr>
              <w:rFonts w:hint="eastAsia" w:ascii="微软雅黑" w:hAnsi="微软雅黑" w:eastAsia="微软雅黑" w:cs="微软雅黑"/>
              <w:b w:val="0"/>
              <w:bCs w:val="0"/>
              <w:sz w:val="52"/>
              <w:szCs w:val="52"/>
            </w:rPr>
            <w:t>目</w:t>
          </w:r>
          <w:r>
            <w:rPr>
              <w:rFonts w:hint="eastAsia" w:ascii="微软雅黑" w:hAnsi="微软雅黑" w:eastAsia="微软雅黑" w:cs="微软雅黑"/>
              <w:b w:val="0"/>
              <w:bCs w:val="0"/>
              <w:sz w:val="52"/>
              <w:szCs w:val="52"/>
              <w:lang w:val="en-US" w:eastAsia="zh-CN"/>
            </w:rPr>
            <w:t xml:space="preserve">   </w:t>
          </w:r>
          <w:r>
            <w:rPr>
              <w:rFonts w:hint="eastAsia" w:ascii="微软雅黑" w:hAnsi="微软雅黑" w:eastAsia="微软雅黑" w:cs="微软雅黑"/>
              <w:b w:val="0"/>
              <w:bCs w:val="0"/>
              <w:sz w:val="52"/>
              <w:szCs w:val="52"/>
            </w:rPr>
            <w:t>录</w:t>
          </w:r>
        </w:p>
        <w:p w14:paraId="0C39E75E">
          <w:pPr>
            <w:pStyle w:val="5"/>
            <w:jc w:val="center"/>
            <w:rPr>
              <w:rFonts w:hint="eastAsia" w:ascii="宋体" w:hAnsi="宋体" w:eastAsia="宋体" w:cs="宋体"/>
              <w:color w:val="auto"/>
              <w:sz w:val="30"/>
              <w:szCs w:val="30"/>
            </w:rPr>
          </w:pPr>
          <w:r>
            <w:rPr>
              <w:rFonts w:hint="eastAsia" w:ascii="宋体" w:hAnsi="宋体" w:eastAsia="宋体" w:cs="宋体"/>
              <w:color w:val="auto"/>
              <w:sz w:val="30"/>
              <w:szCs w:val="30"/>
            </w:rPr>
            <w:t>公开时间：2021年</w:t>
          </w:r>
          <w:r>
            <w:rPr>
              <w:rFonts w:hint="eastAsia" w:ascii="宋体" w:hAnsi="宋体" w:eastAsia="宋体" w:cs="宋体"/>
              <w:color w:val="auto"/>
              <w:sz w:val="30"/>
              <w:szCs w:val="30"/>
              <w:lang w:val="en-US" w:eastAsia="zh-CN"/>
            </w:rPr>
            <w:t>9</w:t>
          </w:r>
          <w:r>
            <w:rPr>
              <w:rFonts w:hint="eastAsia" w:ascii="宋体" w:hAnsi="宋体" w:eastAsia="宋体" w:cs="宋体"/>
              <w:color w:val="auto"/>
              <w:sz w:val="30"/>
              <w:szCs w:val="30"/>
            </w:rPr>
            <w:t>月</w:t>
          </w:r>
          <w:r>
            <w:rPr>
              <w:rFonts w:hint="eastAsia" w:ascii="宋体" w:hAnsi="宋体" w:eastAsia="宋体" w:cs="宋体"/>
              <w:color w:val="auto"/>
              <w:sz w:val="30"/>
              <w:szCs w:val="30"/>
              <w:lang w:val="en-US" w:eastAsia="zh-CN"/>
            </w:rPr>
            <w:t>30</w:t>
          </w:r>
          <w:r>
            <w:rPr>
              <w:rFonts w:hint="eastAsia" w:ascii="宋体" w:hAnsi="宋体" w:eastAsia="宋体" w:cs="宋体"/>
              <w:color w:val="auto"/>
              <w:sz w:val="30"/>
              <w:szCs w:val="30"/>
            </w:rPr>
            <w:t>日</w:t>
          </w:r>
        </w:p>
        <w:p w14:paraId="610C12E6">
          <w:pPr>
            <w:pStyle w:val="2"/>
            <w:jc w:val="left"/>
            <w:rPr>
              <w:rFonts w:hint="eastAsia" w:ascii="宋体" w:hAnsi="宋体" w:eastAsia="宋体" w:cs="宋体"/>
              <w:sz w:val="30"/>
              <w:szCs w:val="30"/>
            </w:rPr>
          </w:pPr>
        </w:p>
        <w:p w14:paraId="4404C7AE">
          <w:pPr>
            <w:pStyle w:val="5"/>
            <w:tabs>
              <w:tab w:val="right" w:leader="dot" w:pos="8300"/>
              <w:tab w:val="clear" w:pos="8296"/>
            </w:tabs>
            <w:rPr>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TOC \o "1-2" \h \u </w:instrText>
          </w:r>
          <w:r>
            <w:rPr>
              <w:rFonts w:hint="eastAsia" w:ascii="宋体" w:hAnsi="宋体" w:eastAsia="宋体" w:cs="宋体"/>
              <w:color w:val="auto"/>
              <w:sz w:val="30"/>
              <w:szCs w:val="30"/>
            </w:rPr>
            <w:fldChar w:fldCharType="separate"/>
          </w:r>
        </w:p>
        <w:p w14:paraId="4146C2C8">
          <w:pPr>
            <w:pStyle w:val="5"/>
            <w:keepNext w:val="0"/>
            <w:keepLines w:val="0"/>
            <w:pageBreakBefore w:val="0"/>
            <w:widowControl w:val="0"/>
            <w:tabs>
              <w:tab w:val="right" w:leader="dot" w:pos="830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_Toc5653 </w:instrText>
          </w:r>
          <w:r>
            <w:rPr>
              <w:rFonts w:hint="eastAsia" w:ascii="宋体" w:hAnsi="宋体" w:eastAsia="宋体" w:cs="宋体"/>
              <w:sz w:val="30"/>
              <w:szCs w:val="30"/>
            </w:rPr>
            <w:fldChar w:fldCharType="separate"/>
          </w:r>
          <w:r>
            <w:rPr>
              <w:rFonts w:hint="eastAsia" w:ascii="宋体" w:hAnsi="宋体" w:eastAsia="宋体" w:cs="宋体"/>
              <w:bCs/>
              <w:sz w:val="30"/>
              <w:szCs w:val="30"/>
            </w:rPr>
            <w:t>第一部分部门概况</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_Toc5653 \h </w:instrText>
          </w:r>
          <w:r>
            <w:rPr>
              <w:rFonts w:hint="eastAsia" w:ascii="宋体" w:hAnsi="宋体" w:eastAsia="宋体" w:cs="宋体"/>
              <w:sz w:val="30"/>
              <w:szCs w:val="30"/>
            </w:rPr>
            <w:fldChar w:fldCharType="separate"/>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040D54E6">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_Toc13349 </w:instrText>
          </w:r>
          <w:r>
            <w:rPr>
              <w:rFonts w:hint="eastAsia" w:ascii="宋体" w:hAnsi="宋体" w:eastAsia="宋体" w:cs="宋体"/>
              <w:sz w:val="30"/>
              <w:szCs w:val="30"/>
            </w:rPr>
            <w:fldChar w:fldCharType="separate"/>
          </w:r>
          <w:r>
            <w:rPr>
              <w:rFonts w:hint="eastAsia" w:ascii="宋体" w:hAnsi="宋体" w:eastAsia="宋体" w:cs="宋体"/>
              <w:sz w:val="30"/>
              <w:szCs w:val="30"/>
            </w:rPr>
            <w:t>一、基本职能及主要工作</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_Toc13349 \h </w:instrText>
          </w:r>
          <w:r>
            <w:rPr>
              <w:rFonts w:hint="eastAsia" w:ascii="宋体" w:hAnsi="宋体" w:eastAsia="宋体" w:cs="宋体"/>
              <w:sz w:val="30"/>
              <w:szCs w:val="30"/>
            </w:rPr>
            <w:fldChar w:fldCharType="separate"/>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5F1B05BD">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_Toc25433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二、机构设置</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_Toc25433 \h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49466056">
          <w:pPr>
            <w:pStyle w:val="5"/>
            <w:keepNext w:val="0"/>
            <w:keepLines w:val="0"/>
            <w:pageBreakBefore w:val="0"/>
            <w:widowControl w:val="0"/>
            <w:tabs>
              <w:tab w:val="right" w:leader="dot" w:pos="830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_Toc21505 </w:instrText>
          </w:r>
          <w:r>
            <w:rPr>
              <w:rFonts w:hint="eastAsia" w:ascii="宋体" w:hAnsi="宋体" w:eastAsia="宋体" w:cs="宋体"/>
              <w:sz w:val="30"/>
              <w:szCs w:val="30"/>
            </w:rPr>
            <w:fldChar w:fldCharType="separate"/>
          </w:r>
          <w:r>
            <w:rPr>
              <w:rFonts w:hint="eastAsia" w:ascii="宋体" w:hAnsi="宋体" w:eastAsia="宋体" w:cs="宋体"/>
              <w:bCs/>
              <w:spacing w:val="0"/>
              <w:w w:val="100"/>
              <w:position w:val="0"/>
              <w:sz w:val="30"/>
              <w:szCs w:val="30"/>
            </w:rPr>
            <w:t>第二部分2020年度部门决算情况说明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_Toc21505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746F2373">
          <w:pPr>
            <w:pStyle w:val="6"/>
            <w:keepNext w:val="0"/>
            <w:keepLines w:val="0"/>
            <w:pageBreakBefore w:val="0"/>
            <w:widowControl w:val="0"/>
            <w:tabs>
              <w:tab w:val="right" w:pos="3200"/>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_Toc30699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一、</w:t>
          </w:r>
          <w:r>
            <w:rPr>
              <w:rFonts w:hint="eastAsia" w:ascii="宋体" w:hAnsi="宋体" w:eastAsia="宋体" w:cs="宋体"/>
              <w:spacing w:val="0"/>
              <w:w w:val="100"/>
              <w:position w:val="0"/>
              <w:sz w:val="30"/>
              <w:szCs w:val="30"/>
            </w:rPr>
            <w:tab/>
          </w:r>
          <w:r>
            <w:rPr>
              <w:rFonts w:hint="eastAsia" w:ascii="宋体" w:hAnsi="宋体" w:eastAsia="宋体" w:cs="宋体"/>
              <w:spacing w:val="0"/>
              <w:w w:val="100"/>
              <w:position w:val="0"/>
              <w:sz w:val="30"/>
              <w:szCs w:val="30"/>
            </w:rPr>
            <w:t>收入支出决算总体情况说明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_Toc30699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1BC2C723">
          <w:pPr>
            <w:pStyle w:val="6"/>
            <w:keepNext w:val="0"/>
            <w:keepLines w:val="0"/>
            <w:pageBreakBefore w:val="0"/>
            <w:widowControl w:val="0"/>
            <w:tabs>
              <w:tab w:val="right" w:pos="3200"/>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_Toc6261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二、</w:t>
          </w:r>
          <w:r>
            <w:rPr>
              <w:rFonts w:hint="eastAsia" w:ascii="宋体" w:hAnsi="宋体" w:eastAsia="宋体" w:cs="宋体"/>
              <w:spacing w:val="0"/>
              <w:w w:val="100"/>
              <w:position w:val="0"/>
              <w:sz w:val="30"/>
              <w:szCs w:val="30"/>
            </w:rPr>
            <w:tab/>
          </w:r>
          <w:r>
            <w:rPr>
              <w:rFonts w:hint="eastAsia" w:ascii="宋体" w:hAnsi="宋体" w:eastAsia="宋体" w:cs="宋体"/>
              <w:spacing w:val="0"/>
              <w:w w:val="100"/>
              <w:position w:val="0"/>
              <w:sz w:val="30"/>
              <w:szCs w:val="30"/>
            </w:rPr>
            <w:t>收入决算情况说明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_Toc6261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42AF875E">
          <w:pPr>
            <w:pStyle w:val="6"/>
            <w:keepNext w:val="0"/>
            <w:keepLines w:val="0"/>
            <w:pageBreakBefore w:val="0"/>
            <w:widowControl w:val="0"/>
            <w:tabs>
              <w:tab w:val="right" w:pos="3200"/>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_Toc2096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三、</w:t>
          </w:r>
          <w:r>
            <w:rPr>
              <w:rFonts w:hint="eastAsia" w:ascii="宋体" w:hAnsi="宋体" w:eastAsia="宋体" w:cs="宋体"/>
              <w:spacing w:val="0"/>
              <w:w w:val="100"/>
              <w:position w:val="0"/>
              <w:sz w:val="30"/>
              <w:szCs w:val="30"/>
            </w:rPr>
            <w:tab/>
          </w:r>
          <w:r>
            <w:rPr>
              <w:rFonts w:hint="eastAsia" w:ascii="宋体" w:hAnsi="宋体" w:eastAsia="宋体" w:cs="宋体"/>
              <w:spacing w:val="0"/>
              <w:w w:val="100"/>
              <w:position w:val="0"/>
              <w:sz w:val="30"/>
              <w:szCs w:val="30"/>
            </w:rPr>
            <w:t>支出决算情况说明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_Toc2096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0EA1CAA6">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_Toc8806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四、财政拨款收入支出决算总体情况说明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_Toc8806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17B2B882">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_Toc16195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五、一般公共预算财政拨款支出决算情况说明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_Toc16195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76FAAFEA">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_Toc28451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六、一般公共预算财政拨款基本支出决算情况说明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_Toc28451 \h </w:instrText>
          </w:r>
          <w:r>
            <w:rPr>
              <w:rFonts w:hint="eastAsia" w:ascii="宋体" w:hAnsi="宋体" w:eastAsia="宋体" w:cs="宋体"/>
              <w:sz w:val="30"/>
              <w:szCs w:val="30"/>
            </w:rPr>
            <w:fldChar w:fldCharType="separate"/>
          </w:r>
          <w:r>
            <w:rPr>
              <w:rFonts w:hint="eastAsia" w:ascii="宋体" w:hAnsi="宋体" w:eastAsia="宋体" w:cs="宋体"/>
              <w:sz w:val="30"/>
              <w:szCs w:val="30"/>
            </w:rPr>
            <w:t>9</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1BF3F7C2">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_Toc12621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七、</w:t>
          </w:r>
          <w:r>
            <w:rPr>
              <w:rFonts w:hint="eastAsia" w:ascii="宋体" w:hAnsi="宋体" w:eastAsia="宋体" w:cs="宋体"/>
              <w:spacing w:val="0"/>
              <w:w w:val="100"/>
              <w:position w:val="0"/>
              <w:sz w:val="30"/>
              <w:szCs w:val="30"/>
              <w:lang w:val="zh-CN" w:eastAsia="zh-CN" w:bidi="zh-CN"/>
            </w:rPr>
            <w:t>“三</w:t>
          </w:r>
          <w:r>
            <w:rPr>
              <w:rFonts w:hint="eastAsia" w:ascii="宋体" w:hAnsi="宋体" w:eastAsia="宋体" w:cs="宋体"/>
              <w:spacing w:val="0"/>
              <w:w w:val="100"/>
              <w:position w:val="0"/>
              <w:sz w:val="30"/>
              <w:szCs w:val="30"/>
            </w:rPr>
            <w:t>公”经费财政拨款支出决算情况说明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_Toc12621 \h </w:instrText>
          </w:r>
          <w:r>
            <w:rPr>
              <w:rFonts w:hint="eastAsia" w:ascii="宋体" w:hAnsi="宋体" w:eastAsia="宋体" w:cs="宋体"/>
              <w:sz w:val="30"/>
              <w:szCs w:val="30"/>
            </w:rPr>
            <w:fldChar w:fldCharType="separate"/>
          </w:r>
          <w:r>
            <w:rPr>
              <w:rFonts w:hint="eastAsia" w:ascii="宋体" w:hAnsi="宋体" w:eastAsia="宋体" w:cs="宋体"/>
              <w:sz w:val="30"/>
              <w:szCs w:val="30"/>
            </w:rPr>
            <w:t>9</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6002C493">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_Toc1507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八、政府性基金预算支出决算情况说明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_Toc1507 \h </w:instrText>
          </w:r>
          <w:r>
            <w:rPr>
              <w:rFonts w:hint="eastAsia" w:ascii="宋体" w:hAnsi="宋体" w:eastAsia="宋体" w:cs="宋体"/>
              <w:sz w:val="30"/>
              <w:szCs w:val="30"/>
            </w:rPr>
            <w:fldChar w:fldCharType="separate"/>
          </w:r>
          <w:r>
            <w:rPr>
              <w:rFonts w:hint="eastAsia" w:ascii="宋体" w:hAnsi="宋体" w:eastAsia="宋体" w:cs="宋体"/>
              <w:sz w:val="30"/>
              <w:szCs w:val="30"/>
            </w:rPr>
            <w:t>11</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35567FB1">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_Toc17813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九、国有资本经营预算支出决算情况说明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_Toc17813 \h </w:instrText>
          </w:r>
          <w:r>
            <w:rPr>
              <w:rFonts w:hint="eastAsia" w:ascii="宋体" w:hAnsi="宋体" w:eastAsia="宋体" w:cs="宋体"/>
              <w:sz w:val="30"/>
              <w:szCs w:val="30"/>
            </w:rPr>
            <w:fldChar w:fldCharType="separate"/>
          </w:r>
          <w:r>
            <w:rPr>
              <w:rFonts w:hint="eastAsia" w:ascii="宋体" w:hAnsi="宋体" w:eastAsia="宋体" w:cs="宋体"/>
              <w:sz w:val="30"/>
              <w:szCs w:val="30"/>
            </w:rPr>
            <w:t>11</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4EC09D28">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_Toc25105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十、其他重要事项的情况说明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_Toc25105 \h </w:instrText>
          </w:r>
          <w:r>
            <w:rPr>
              <w:rFonts w:hint="eastAsia" w:ascii="宋体" w:hAnsi="宋体" w:eastAsia="宋体" w:cs="宋体"/>
              <w:sz w:val="30"/>
              <w:szCs w:val="30"/>
            </w:rPr>
            <w:fldChar w:fldCharType="separate"/>
          </w:r>
          <w:r>
            <w:rPr>
              <w:rFonts w:hint="eastAsia" w:ascii="宋体" w:hAnsi="宋体" w:eastAsia="宋体" w:cs="宋体"/>
              <w:sz w:val="30"/>
              <w:szCs w:val="30"/>
            </w:rPr>
            <w:t>11</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315EECBD">
          <w:pPr>
            <w:pStyle w:val="5"/>
            <w:keepNext w:val="0"/>
            <w:keepLines w:val="0"/>
            <w:pageBreakBefore w:val="0"/>
            <w:widowControl w:val="0"/>
            <w:tabs>
              <w:tab w:val="right" w:leader="dot" w:pos="830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_Toc32274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第三部分</w:t>
          </w:r>
          <w:r>
            <w:rPr>
              <w:rFonts w:hint="eastAsia" w:ascii="宋体" w:hAnsi="宋体" w:eastAsia="宋体" w:cs="宋体"/>
              <w:spacing w:val="0"/>
              <w:w w:val="100"/>
              <w:position w:val="0"/>
              <w:sz w:val="30"/>
              <w:szCs w:val="30"/>
              <w:lang w:val="en-US" w:eastAsia="zh-CN"/>
            </w:rPr>
            <w:t xml:space="preserve"> </w:t>
          </w:r>
          <w:r>
            <w:rPr>
              <w:rFonts w:hint="eastAsia" w:ascii="宋体" w:hAnsi="宋体" w:eastAsia="宋体" w:cs="宋体"/>
              <w:spacing w:val="0"/>
              <w:w w:val="100"/>
              <w:position w:val="0"/>
              <w:sz w:val="30"/>
              <w:szCs w:val="30"/>
            </w:rPr>
            <w:t>名词解释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_Toc32274 \h </w:instrText>
          </w:r>
          <w:r>
            <w:rPr>
              <w:rFonts w:hint="eastAsia" w:ascii="宋体" w:hAnsi="宋体" w:eastAsia="宋体" w:cs="宋体"/>
              <w:sz w:val="30"/>
              <w:szCs w:val="30"/>
            </w:rPr>
            <w:fldChar w:fldCharType="separate"/>
          </w:r>
          <w:r>
            <w:rPr>
              <w:rFonts w:hint="eastAsia" w:ascii="宋体" w:hAnsi="宋体" w:eastAsia="宋体" w:cs="宋体"/>
              <w:sz w:val="30"/>
              <w:szCs w:val="30"/>
            </w:rPr>
            <w:t>17</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3A3D5461">
          <w:pPr>
            <w:pStyle w:val="5"/>
            <w:keepNext w:val="0"/>
            <w:keepLines w:val="0"/>
            <w:pageBreakBefore w:val="0"/>
            <w:widowControl w:val="0"/>
            <w:tabs>
              <w:tab w:val="right" w:leader="dot" w:pos="830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_Toc28582 </w:instrText>
          </w:r>
          <w:r>
            <w:rPr>
              <w:rFonts w:hint="eastAsia" w:ascii="宋体" w:hAnsi="宋体" w:eastAsia="宋体" w:cs="宋体"/>
              <w:sz w:val="30"/>
              <w:szCs w:val="30"/>
            </w:rPr>
            <w:fldChar w:fldCharType="separate"/>
          </w:r>
          <w:r>
            <w:rPr>
              <w:rFonts w:hint="eastAsia" w:ascii="宋体" w:hAnsi="宋体" w:eastAsia="宋体" w:cs="宋体"/>
              <w:bCs/>
              <w:spacing w:val="0"/>
              <w:w w:val="100"/>
              <w:position w:val="0"/>
              <w:sz w:val="30"/>
              <w:szCs w:val="30"/>
            </w:rPr>
            <w:t>第四部分附件</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_Toc28582 \h </w:instrText>
          </w:r>
          <w:r>
            <w:rPr>
              <w:rFonts w:hint="eastAsia" w:ascii="宋体" w:hAnsi="宋体" w:eastAsia="宋体" w:cs="宋体"/>
              <w:sz w:val="30"/>
              <w:szCs w:val="30"/>
            </w:rPr>
            <w:fldChar w:fldCharType="separate"/>
          </w:r>
          <w:r>
            <w:rPr>
              <w:rFonts w:hint="eastAsia" w:ascii="宋体" w:hAnsi="宋体" w:eastAsia="宋体" w:cs="宋体"/>
              <w:sz w:val="30"/>
              <w:szCs w:val="30"/>
            </w:rPr>
            <w:t>20</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4FB90072">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_Toc9570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附件</w:t>
          </w:r>
          <w:r>
            <w:rPr>
              <w:rFonts w:hint="eastAsia" w:ascii="宋体" w:hAnsi="宋体" w:eastAsia="宋体" w:cs="宋体"/>
              <w:spacing w:val="0"/>
              <w:w w:val="100"/>
              <w:position w:val="0"/>
              <w:sz w:val="30"/>
              <w:szCs w:val="30"/>
              <w:lang w:val="zh-CN" w:eastAsia="zh-CN" w:bidi="zh-CN"/>
            </w:rPr>
            <w:t>1</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_Toc9570 \h </w:instrText>
          </w:r>
          <w:r>
            <w:rPr>
              <w:rFonts w:hint="eastAsia" w:ascii="宋体" w:hAnsi="宋体" w:eastAsia="宋体" w:cs="宋体"/>
              <w:sz w:val="30"/>
              <w:szCs w:val="30"/>
            </w:rPr>
            <w:fldChar w:fldCharType="separate"/>
          </w:r>
          <w:r>
            <w:rPr>
              <w:rFonts w:hint="eastAsia" w:ascii="宋体" w:hAnsi="宋体" w:eastAsia="宋体" w:cs="宋体"/>
              <w:sz w:val="30"/>
              <w:szCs w:val="30"/>
            </w:rPr>
            <w:t>20</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56BE0652">
          <w:pPr>
            <w:pStyle w:val="5"/>
            <w:keepNext w:val="0"/>
            <w:keepLines w:val="0"/>
            <w:pageBreakBefore w:val="0"/>
            <w:widowControl w:val="0"/>
            <w:tabs>
              <w:tab w:val="right" w:leader="dot" w:pos="830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_Toc12611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卫子镇2020年部门整体支出绩效评价报告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_Toc12611 \h </w:instrText>
          </w:r>
          <w:r>
            <w:rPr>
              <w:rFonts w:hint="eastAsia" w:ascii="宋体" w:hAnsi="宋体" w:eastAsia="宋体" w:cs="宋体"/>
              <w:sz w:val="30"/>
              <w:szCs w:val="30"/>
            </w:rPr>
            <w:fldChar w:fldCharType="separate"/>
          </w:r>
          <w:r>
            <w:rPr>
              <w:rFonts w:hint="eastAsia" w:ascii="宋体" w:hAnsi="宋体" w:eastAsia="宋体" w:cs="宋体"/>
              <w:sz w:val="30"/>
              <w:szCs w:val="30"/>
            </w:rPr>
            <w:t>20</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799FC5E2">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_Toc29461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一、基本情况</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_Toc29461 \h </w:instrText>
          </w:r>
          <w:r>
            <w:rPr>
              <w:rFonts w:hint="eastAsia" w:ascii="宋体" w:hAnsi="宋体" w:eastAsia="宋体" w:cs="宋体"/>
              <w:sz w:val="30"/>
              <w:szCs w:val="30"/>
            </w:rPr>
            <w:fldChar w:fldCharType="separate"/>
          </w:r>
          <w:r>
            <w:rPr>
              <w:rFonts w:hint="eastAsia" w:ascii="宋体" w:hAnsi="宋体" w:eastAsia="宋体" w:cs="宋体"/>
              <w:sz w:val="30"/>
              <w:szCs w:val="30"/>
            </w:rPr>
            <w:t>20</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31BAE028">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_Toc30508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二、部门财政支出管理情况</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_Toc30508 \h </w:instrText>
          </w:r>
          <w:r>
            <w:rPr>
              <w:rFonts w:hint="eastAsia" w:ascii="宋体" w:hAnsi="宋体" w:eastAsia="宋体" w:cs="宋体"/>
              <w:sz w:val="30"/>
              <w:szCs w:val="30"/>
            </w:rPr>
            <w:fldChar w:fldCharType="separate"/>
          </w:r>
          <w:r>
            <w:rPr>
              <w:rFonts w:hint="eastAsia" w:ascii="宋体" w:hAnsi="宋体" w:eastAsia="宋体" w:cs="宋体"/>
              <w:sz w:val="30"/>
              <w:szCs w:val="30"/>
            </w:rPr>
            <w:t>20</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292A1481">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_Toc24683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三、评价结论及建议</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_Toc24683 \h </w:instrText>
          </w:r>
          <w:r>
            <w:rPr>
              <w:rFonts w:hint="eastAsia" w:ascii="宋体" w:hAnsi="宋体" w:eastAsia="宋体" w:cs="宋体"/>
              <w:sz w:val="30"/>
              <w:szCs w:val="30"/>
            </w:rPr>
            <w:fldChar w:fldCharType="separate"/>
          </w:r>
          <w:r>
            <w:rPr>
              <w:rFonts w:hint="eastAsia" w:ascii="宋体" w:hAnsi="宋体" w:eastAsia="宋体" w:cs="宋体"/>
              <w:sz w:val="30"/>
              <w:szCs w:val="30"/>
            </w:rPr>
            <w:t>24</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2D531214">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_Toc9570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附件</w:t>
          </w:r>
          <w:r>
            <w:rPr>
              <w:rFonts w:hint="eastAsia" w:ascii="宋体" w:hAnsi="宋体" w:eastAsia="宋体" w:cs="宋体"/>
              <w:spacing w:val="0"/>
              <w:w w:val="100"/>
              <w:position w:val="0"/>
              <w:sz w:val="30"/>
              <w:szCs w:val="30"/>
              <w:lang w:val="en-US" w:eastAsia="zh-CN" w:bidi="zh-CN"/>
            </w:rPr>
            <w:t>2</w:t>
          </w:r>
          <w:r>
            <w:rPr>
              <w:rFonts w:hint="eastAsia" w:ascii="宋体" w:hAnsi="宋体" w:eastAsia="宋体" w:cs="宋体"/>
              <w:sz w:val="30"/>
              <w:szCs w:val="30"/>
            </w:rPr>
            <w:tab/>
          </w:r>
          <w:r>
            <w:rPr>
              <w:rFonts w:hint="eastAsia" w:ascii="宋体" w:hAnsi="宋体" w:eastAsia="宋体" w:cs="宋体"/>
              <w:sz w:val="30"/>
              <w:szCs w:val="30"/>
              <w:lang w:val="en-US" w:eastAsia="zh-CN"/>
            </w:rPr>
            <w:t>2</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lang w:val="en-US" w:eastAsia="zh-CN"/>
            </w:rPr>
            <w:t>6</w:t>
          </w:r>
        </w:p>
        <w:p w14:paraId="05E4814A">
          <w:pPr>
            <w:pStyle w:val="5"/>
            <w:keepNext w:val="0"/>
            <w:keepLines w:val="0"/>
            <w:pageBreakBefore w:val="0"/>
            <w:widowControl w:val="0"/>
            <w:tabs>
              <w:tab w:val="right" w:leader="dot" w:pos="830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_Toc3476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卫子镇基层组织活动和公共服务运行项目2020年绩效评价报告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_Toc3476 \h </w:instrText>
          </w:r>
          <w:r>
            <w:rPr>
              <w:rFonts w:hint="eastAsia" w:ascii="宋体" w:hAnsi="宋体" w:eastAsia="宋体" w:cs="宋体"/>
              <w:sz w:val="30"/>
              <w:szCs w:val="30"/>
            </w:rPr>
            <w:fldChar w:fldCharType="separate"/>
          </w:r>
          <w:r>
            <w:rPr>
              <w:rFonts w:hint="eastAsia" w:ascii="宋体" w:hAnsi="宋体" w:eastAsia="宋体" w:cs="宋体"/>
              <w:sz w:val="30"/>
              <w:szCs w:val="30"/>
            </w:rPr>
            <w:t>26</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5BFECA10">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一、项目基本情况</w:t>
          </w:r>
          <w:r>
            <w:rPr>
              <w:rFonts w:hint="eastAsia" w:ascii="宋体" w:hAnsi="宋体" w:eastAsia="宋体" w:cs="宋体"/>
              <w:sz w:val="30"/>
              <w:szCs w:val="30"/>
            </w:rPr>
            <w:tab/>
          </w:r>
          <w:r>
            <w:rPr>
              <w:rFonts w:hint="eastAsia" w:ascii="宋体" w:hAnsi="宋体" w:eastAsia="宋体" w:cs="宋体"/>
              <w:sz w:val="30"/>
              <w:szCs w:val="30"/>
              <w:lang w:val="en-US" w:eastAsia="zh-CN"/>
            </w:rPr>
            <w:t>26</w:t>
          </w:r>
        </w:p>
        <w:p w14:paraId="39447437">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_Toc12058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二、项目资金申报及使用情况</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_Toc12058 \h </w:instrText>
          </w:r>
          <w:r>
            <w:rPr>
              <w:rFonts w:hint="eastAsia" w:ascii="宋体" w:hAnsi="宋体" w:eastAsia="宋体" w:cs="宋体"/>
              <w:sz w:val="30"/>
              <w:szCs w:val="30"/>
            </w:rPr>
            <w:fldChar w:fldCharType="separate"/>
          </w:r>
          <w:r>
            <w:rPr>
              <w:rFonts w:hint="eastAsia" w:ascii="宋体" w:hAnsi="宋体" w:eastAsia="宋体" w:cs="宋体"/>
              <w:sz w:val="30"/>
              <w:szCs w:val="30"/>
            </w:rPr>
            <w:t>26</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352702F5">
          <w:pPr>
            <w:pStyle w:val="6"/>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_Toc25719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三、项目实施及管理情况</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_Toc25719 \h </w:instrText>
          </w:r>
          <w:r>
            <w:rPr>
              <w:rFonts w:hint="eastAsia" w:ascii="宋体" w:hAnsi="宋体" w:eastAsia="宋体" w:cs="宋体"/>
              <w:sz w:val="30"/>
              <w:szCs w:val="30"/>
            </w:rPr>
            <w:fldChar w:fldCharType="separate"/>
          </w:r>
          <w:r>
            <w:rPr>
              <w:rFonts w:hint="eastAsia" w:ascii="宋体" w:hAnsi="宋体" w:eastAsia="宋体" w:cs="宋体"/>
              <w:sz w:val="30"/>
              <w:szCs w:val="30"/>
            </w:rPr>
            <w:t>27</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223D1AAE">
          <w:pPr>
            <w:pStyle w:val="6"/>
            <w:keepNext w:val="0"/>
            <w:keepLines w:val="0"/>
            <w:pageBreakBefore w:val="0"/>
            <w:widowControl w:val="0"/>
            <w:tabs>
              <w:tab w:val="right" w:pos="3200"/>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_Toc30659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四、项目绩效情况</w:t>
          </w:r>
          <w:r>
            <w:rPr>
              <w:rFonts w:hint="eastAsia" w:ascii="宋体" w:hAnsi="宋体" w:eastAsia="宋体" w:cs="宋体"/>
              <w:sz w:val="30"/>
              <w:szCs w:val="30"/>
            </w:rPr>
            <w:tab/>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_Toc30659 \h </w:instrText>
          </w:r>
          <w:r>
            <w:rPr>
              <w:rFonts w:hint="eastAsia" w:ascii="宋体" w:hAnsi="宋体" w:eastAsia="宋体" w:cs="宋体"/>
              <w:sz w:val="30"/>
              <w:szCs w:val="30"/>
            </w:rPr>
            <w:fldChar w:fldCharType="separate"/>
          </w:r>
          <w:r>
            <w:rPr>
              <w:rFonts w:hint="eastAsia" w:ascii="宋体" w:hAnsi="宋体" w:eastAsia="宋体" w:cs="宋体"/>
              <w:sz w:val="30"/>
              <w:szCs w:val="30"/>
            </w:rPr>
            <w:t>27</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1B9D7BB5">
          <w:pPr>
            <w:pStyle w:val="6"/>
            <w:keepNext w:val="0"/>
            <w:keepLines w:val="0"/>
            <w:pageBreakBefore w:val="0"/>
            <w:widowControl w:val="0"/>
            <w:tabs>
              <w:tab w:val="right" w:pos="3200"/>
              <w:tab w:val="right" w:leader="dot" w:pos="8300"/>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_Toc24610 </w:instrText>
          </w:r>
          <w:r>
            <w:rPr>
              <w:rFonts w:hint="eastAsia" w:ascii="宋体" w:hAnsi="宋体" w:eastAsia="宋体" w:cs="宋体"/>
              <w:sz w:val="30"/>
              <w:szCs w:val="30"/>
            </w:rPr>
            <w:fldChar w:fldCharType="separate"/>
          </w:r>
          <w:r>
            <w:rPr>
              <w:rFonts w:hint="eastAsia" w:ascii="宋体" w:hAnsi="宋体" w:eastAsia="宋体" w:cs="宋体"/>
              <w:spacing w:val="0"/>
              <w:w w:val="100"/>
              <w:position w:val="0"/>
              <w:sz w:val="30"/>
              <w:szCs w:val="30"/>
            </w:rPr>
            <w:t>五、评价结论及建议</w:t>
          </w:r>
          <w:r>
            <w:rPr>
              <w:rFonts w:hint="eastAsia" w:ascii="宋体" w:hAnsi="宋体" w:eastAsia="宋体" w:cs="宋体"/>
              <w:sz w:val="30"/>
              <w:szCs w:val="30"/>
            </w:rPr>
            <w:tab/>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_Toc24610 \h </w:instrText>
          </w:r>
          <w:r>
            <w:rPr>
              <w:rFonts w:hint="eastAsia" w:ascii="宋体" w:hAnsi="宋体" w:eastAsia="宋体" w:cs="宋体"/>
              <w:sz w:val="30"/>
              <w:szCs w:val="30"/>
            </w:rPr>
            <w:fldChar w:fldCharType="separate"/>
          </w:r>
          <w:r>
            <w:rPr>
              <w:rFonts w:hint="eastAsia" w:ascii="宋体" w:hAnsi="宋体" w:eastAsia="宋体" w:cs="宋体"/>
              <w:sz w:val="30"/>
              <w:szCs w:val="30"/>
            </w:rPr>
            <w:t>27</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3F604330">
          <w:pPr>
            <w:pStyle w:val="5"/>
            <w:keepNext w:val="0"/>
            <w:keepLines w:val="0"/>
            <w:pageBreakBefore w:val="0"/>
            <w:widowControl w:val="0"/>
            <w:tabs>
              <w:tab w:val="right" w:leader="dot" w:pos="8300"/>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color w:val="auto"/>
              <w:sz w:val="30"/>
              <w:szCs w:val="30"/>
            </w:rPr>
            <w:fldChar w:fldCharType="begin"/>
          </w:r>
          <w:r>
            <w:rPr>
              <w:rFonts w:hint="eastAsia" w:ascii="宋体" w:hAnsi="宋体" w:eastAsia="宋体" w:cs="宋体"/>
              <w:sz w:val="30"/>
              <w:szCs w:val="30"/>
            </w:rPr>
            <w:instrText xml:space="preserve"> HYPERLINK \l _Toc19181 </w:instrText>
          </w:r>
          <w:r>
            <w:rPr>
              <w:rFonts w:hint="eastAsia" w:ascii="宋体" w:hAnsi="宋体" w:eastAsia="宋体" w:cs="宋体"/>
              <w:sz w:val="30"/>
              <w:szCs w:val="30"/>
            </w:rPr>
            <w:fldChar w:fldCharType="separate"/>
          </w:r>
          <w:r>
            <w:rPr>
              <w:rFonts w:hint="eastAsia" w:ascii="宋体" w:hAnsi="宋体" w:eastAsia="宋体" w:cs="宋体"/>
              <w:bCs/>
              <w:spacing w:val="0"/>
              <w:w w:val="100"/>
              <w:position w:val="0"/>
              <w:sz w:val="30"/>
              <w:szCs w:val="30"/>
            </w:rPr>
            <w:t>第五部分附表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_Toc19181 \h </w:instrText>
          </w:r>
          <w:r>
            <w:rPr>
              <w:rFonts w:hint="eastAsia" w:ascii="宋体" w:hAnsi="宋体" w:eastAsia="宋体" w:cs="宋体"/>
              <w:sz w:val="30"/>
              <w:szCs w:val="30"/>
            </w:rPr>
            <w:fldChar w:fldCharType="separate"/>
          </w:r>
          <w:r>
            <w:rPr>
              <w:rFonts w:hint="eastAsia" w:ascii="宋体" w:hAnsi="宋体" w:eastAsia="宋体" w:cs="宋体"/>
              <w:sz w:val="30"/>
              <w:szCs w:val="30"/>
            </w:rPr>
            <w:t>29</w:t>
          </w:r>
          <w:r>
            <w:rPr>
              <w:rFonts w:hint="eastAsia" w:ascii="宋体" w:hAnsi="宋体" w:eastAsia="宋体" w:cs="宋体"/>
              <w:sz w:val="30"/>
              <w:szCs w:val="30"/>
            </w:rPr>
            <w:fldChar w:fldCharType="end"/>
          </w:r>
          <w:r>
            <w:rPr>
              <w:rFonts w:hint="eastAsia" w:ascii="宋体" w:hAnsi="宋体" w:eastAsia="宋体" w:cs="宋体"/>
              <w:color w:val="auto"/>
              <w:sz w:val="30"/>
              <w:szCs w:val="30"/>
            </w:rPr>
            <w:fldChar w:fldCharType="end"/>
          </w:r>
        </w:p>
        <w:p w14:paraId="6C83E0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48"/>
              <w:szCs w:val="48"/>
            </w:rPr>
            <w:sectPr>
              <w:footerReference r:id="rId6" w:type="default"/>
              <w:footnotePr>
                <w:numFmt w:val="decimal"/>
              </w:footnotePr>
              <w:pgSz w:w="11900" w:h="16840"/>
              <w:pgMar w:top="1440" w:right="1800" w:bottom="1440" w:left="1800" w:header="2467" w:footer="567" w:gutter="0"/>
              <w:cols w:space="720" w:num="1"/>
              <w:rtlGutter w:val="0"/>
              <w:docGrid w:linePitch="360" w:charSpace="0"/>
            </w:sectPr>
          </w:pPr>
          <w:r>
            <w:rPr>
              <w:rFonts w:hint="eastAsia" w:ascii="宋体" w:hAnsi="宋体" w:eastAsia="宋体" w:cs="宋体"/>
              <w:color w:val="auto"/>
              <w:sz w:val="30"/>
              <w:szCs w:val="30"/>
            </w:rPr>
            <w:fldChar w:fldCharType="end"/>
          </w:r>
        </w:p>
      </w:sdtContent>
    </w:sdt>
    <w:p w14:paraId="2C35F061">
      <w:pPr>
        <w:jc w:val="center"/>
        <w:outlineLvl w:val="0"/>
        <w:rPr>
          <w:rFonts w:hint="eastAsia" w:ascii="宋体" w:hAnsi="宋体" w:eastAsia="宋体" w:cs="宋体"/>
          <w:b/>
          <w:bCs/>
          <w:color w:val="auto"/>
          <w:sz w:val="44"/>
          <w:szCs w:val="44"/>
        </w:rPr>
      </w:pPr>
      <w:bookmarkStart w:id="1" w:name="bookmark21"/>
      <w:bookmarkStart w:id="2" w:name="bookmark20"/>
      <w:bookmarkStart w:id="3" w:name="_Toc5653"/>
      <w:bookmarkStart w:id="4" w:name="bookmark22"/>
      <w:r>
        <w:rPr>
          <w:rFonts w:hint="eastAsia" w:ascii="宋体" w:hAnsi="宋体" w:eastAsia="宋体" w:cs="宋体"/>
          <w:b/>
          <w:bCs/>
          <w:color w:val="auto"/>
          <w:sz w:val="44"/>
          <w:szCs w:val="44"/>
        </w:rPr>
        <w:t>第一部分部门概况</w:t>
      </w:r>
      <w:bookmarkEnd w:id="1"/>
      <w:bookmarkEnd w:id="2"/>
      <w:bookmarkEnd w:id="3"/>
      <w:bookmarkEnd w:id="4"/>
    </w:p>
    <w:p w14:paraId="5E25FFB8">
      <w:pPr>
        <w:jc w:val="left"/>
        <w:outlineLvl w:val="1"/>
        <w:rPr>
          <w:rFonts w:hint="eastAsia" w:ascii="宋体" w:hAnsi="宋体" w:eastAsia="宋体" w:cs="宋体"/>
          <w:color w:val="auto"/>
          <w:sz w:val="32"/>
          <w:szCs w:val="32"/>
        </w:rPr>
      </w:pPr>
    </w:p>
    <w:p w14:paraId="7F1B75D5">
      <w:pPr>
        <w:jc w:val="left"/>
        <w:outlineLvl w:val="1"/>
        <w:rPr>
          <w:rFonts w:hint="eastAsia" w:ascii="宋体" w:hAnsi="宋体" w:eastAsia="宋体" w:cs="宋体"/>
          <w:color w:val="auto"/>
          <w:sz w:val="32"/>
          <w:szCs w:val="32"/>
        </w:rPr>
      </w:pPr>
      <w:bookmarkStart w:id="5" w:name="_Toc13349"/>
      <w:r>
        <w:rPr>
          <w:rFonts w:hint="eastAsia" w:ascii="宋体" w:hAnsi="宋体" w:eastAsia="宋体" w:cs="宋体"/>
          <w:color w:val="auto"/>
          <w:sz w:val="32"/>
          <w:szCs w:val="32"/>
        </w:rPr>
        <w:t>一、基本职能及主要工作</w:t>
      </w:r>
      <w:bookmarkEnd w:id="5"/>
    </w:p>
    <w:p w14:paraId="47AE4526">
      <w:pPr>
        <w:pStyle w:val="13"/>
        <w:keepNext w:val="0"/>
        <w:keepLines w:val="0"/>
        <w:widowControl w:val="0"/>
        <w:shd w:val="clear" w:color="auto" w:fill="auto"/>
        <w:bidi w:val="0"/>
        <w:spacing w:before="0" w:after="0" w:line="577" w:lineRule="exact"/>
        <w:ind w:left="0" w:right="0" w:firstLine="474" w:firstLineChars="158"/>
        <w:jc w:val="left"/>
        <w:rPr>
          <w:rFonts w:hint="eastAsia" w:ascii="宋体" w:hAnsi="宋体" w:eastAsia="宋体" w:cs="宋体"/>
          <w:color w:val="auto"/>
        </w:rPr>
      </w:pPr>
      <w:r>
        <w:rPr>
          <w:rFonts w:hint="eastAsia" w:ascii="宋体" w:hAnsi="宋体" w:eastAsia="宋体" w:cs="宋体"/>
          <w:color w:val="auto"/>
          <w:spacing w:val="0"/>
          <w:w w:val="100"/>
          <w:position w:val="0"/>
        </w:rPr>
        <w:t>（一）主要职能。</w:t>
      </w:r>
    </w:p>
    <w:p w14:paraId="543E41C3">
      <w:pPr>
        <w:pStyle w:val="13"/>
        <w:keepNext w:val="0"/>
        <w:keepLines w:val="0"/>
        <w:widowControl w:val="0"/>
        <w:numPr>
          <w:ilvl w:val="0"/>
          <w:numId w:val="1"/>
        </w:numPr>
        <w:shd w:val="clear" w:color="auto" w:fill="auto"/>
        <w:tabs>
          <w:tab w:val="left" w:pos="1025"/>
        </w:tabs>
        <w:bidi w:val="0"/>
        <w:spacing w:before="0" w:after="0" w:line="577" w:lineRule="exact"/>
        <w:ind w:left="0" w:right="0" w:firstLine="620"/>
        <w:jc w:val="left"/>
        <w:rPr>
          <w:rFonts w:hint="eastAsia" w:ascii="宋体" w:hAnsi="宋体" w:eastAsia="宋体" w:cs="宋体"/>
          <w:color w:val="auto"/>
        </w:rPr>
      </w:pPr>
      <w:bookmarkStart w:id="6" w:name="bookmark23"/>
      <w:bookmarkEnd w:id="6"/>
      <w:r>
        <w:rPr>
          <w:rFonts w:hint="eastAsia" w:ascii="宋体" w:hAnsi="宋体" w:eastAsia="宋体" w:cs="宋体"/>
          <w:color w:val="auto"/>
          <w:spacing w:val="0"/>
          <w:w w:val="100"/>
          <w:position w:val="0"/>
        </w:rPr>
        <w:t>制定和组织实施经济、科技和社会发展计划，制定资源开发技术改造和产业结构调整方案，组织指导好各业生产，搞好商品流通，协调好本办事处与外地区的经济交流与合作，抓好招商引资，人才引进项目开发，不断培育市场体系，组织经济运行,促进经济发展。</w:t>
      </w:r>
    </w:p>
    <w:p w14:paraId="7D030612">
      <w:pPr>
        <w:pStyle w:val="13"/>
        <w:keepNext w:val="0"/>
        <w:keepLines w:val="0"/>
        <w:widowControl w:val="0"/>
        <w:numPr>
          <w:ilvl w:val="0"/>
          <w:numId w:val="1"/>
        </w:numPr>
        <w:shd w:val="clear" w:color="auto" w:fill="auto"/>
        <w:tabs>
          <w:tab w:val="left" w:pos="1010"/>
        </w:tabs>
        <w:bidi w:val="0"/>
        <w:spacing w:before="0" w:after="0" w:line="592" w:lineRule="exact"/>
        <w:ind w:left="0" w:right="0" w:firstLine="620"/>
        <w:jc w:val="left"/>
        <w:rPr>
          <w:rFonts w:hint="eastAsia" w:ascii="宋体" w:hAnsi="宋体" w:eastAsia="宋体" w:cs="宋体"/>
          <w:color w:val="auto"/>
        </w:rPr>
      </w:pPr>
      <w:bookmarkStart w:id="7" w:name="bookmark24"/>
      <w:bookmarkEnd w:id="7"/>
      <w:r>
        <w:rPr>
          <w:rFonts w:hint="eastAsia" w:ascii="宋体" w:hAnsi="宋体" w:eastAsia="宋体" w:cs="宋体"/>
          <w:color w:val="auto"/>
          <w:spacing w:val="0"/>
          <w:w w:val="100"/>
          <w:position w:val="0"/>
        </w:rPr>
        <w:t>制定并组织实施村镇建设规划，部署重点工程建设，地方道路建设及公共设施，水利设施的管理，负责土地、林木、水等自然资源和生态环境的保护，做好护林防火工作。</w:t>
      </w:r>
    </w:p>
    <w:p w14:paraId="063AFCB7">
      <w:pPr>
        <w:pStyle w:val="13"/>
        <w:keepNext w:val="0"/>
        <w:keepLines w:val="0"/>
        <w:widowControl w:val="0"/>
        <w:numPr>
          <w:ilvl w:val="0"/>
          <w:numId w:val="1"/>
        </w:numPr>
        <w:shd w:val="clear" w:color="auto" w:fill="auto"/>
        <w:tabs>
          <w:tab w:val="left" w:pos="1010"/>
        </w:tabs>
        <w:bidi w:val="0"/>
        <w:spacing w:before="0" w:after="0" w:line="580" w:lineRule="exact"/>
        <w:ind w:left="0" w:right="0" w:firstLine="620"/>
        <w:jc w:val="left"/>
        <w:rPr>
          <w:rFonts w:hint="eastAsia" w:ascii="宋体" w:hAnsi="宋体" w:eastAsia="宋体" w:cs="宋体"/>
          <w:color w:val="auto"/>
        </w:rPr>
      </w:pPr>
      <w:bookmarkStart w:id="8" w:name="bookmark25"/>
      <w:bookmarkEnd w:id="8"/>
      <w:r>
        <w:rPr>
          <w:rFonts w:hint="eastAsia" w:ascii="宋体" w:hAnsi="宋体" w:eastAsia="宋体" w:cs="宋体"/>
          <w:color w:val="auto"/>
          <w:spacing w:val="0"/>
          <w:w w:val="100"/>
          <w:position w:val="0"/>
        </w:rPr>
        <w:t>负责本行政区域内的民政、计划生育、文化教育、卫生、体育等社会公益事业的综合性工作，维护一切经济单位和个人的正当经济权益，取缔非法经济活动，调解和处理民事纠纷，打击刑事犯罪维护社会稳定。</w:t>
      </w:r>
    </w:p>
    <w:p w14:paraId="2B41AC60">
      <w:pPr>
        <w:pStyle w:val="13"/>
        <w:keepNext w:val="0"/>
        <w:keepLines w:val="0"/>
        <w:widowControl w:val="0"/>
        <w:numPr>
          <w:ilvl w:val="0"/>
          <w:numId w:val="1"/>
        </w:numPr>
        <w:shd w:val="clear" w:color="auto" w:fill="auto"/>
        <w:tabs>
          <w:tab w:val="left" w:pos="1010"/>
        </w:tabs>
        <w:bidi w:val="0"/>
        <w:spacing w:before="0" w:after="0" w:line="580" w:lineRule="exact"/>
        <w:ind w:left="0" w:right="0" w:firstLine="620"/>
        <w:jc w:val="left"/>
        <w:rPr>
          <w:rFonts w:hint="eastAsia" w:ascii="宋体" w:hAnsi="宋体" w:eastAsia="宋体" w:cs="宋体"/>
          <w:color w:val="auto"/>
          <w:spacing w:val="0"/>
          <w:w w:val="100"/>
          <w:position w:val="0"/>
        </w:rPr>
      </w:pPr>
      <w:bookmarkStart w:id="9" w:name="bookmark26"/>
      <w:bookmarkEnd w:id="9"/>
      <w:r>
        <w:rPr>
          <w:rFonts w:hint="eastAsia" w:ascii="宋体" w:hAnsi="宋体" w:eastAsia="宋体" w:cs="宋体"/>
          <w:color w:val="auto"/>
          <w:spacing w:val="0"/>
          <w:w w:val="100"/>
          <w:position w:val="0"/>
        </w:rPr>
        <w:t>按计划组织本级财政收入和地方税的征收，完成国家财政计划，不断培植税源，管好财政资金，增强财政实力。</w:t>
      </w:r>
    </w:p>
    <w:p w14:paraId="0DE6194D">
      <w:pPr>
        <w:pStyle w:val="13"/>
        <w:keepNext w:val="0"/>
        <w:keepLines w:val="0"/>
        <w:widowControl w:val="0"/>
        <w:numPr>
          <w:ilvl w:val="0"/>
          <w:numId w:val="1"/>
        </w:numPr>
        <w:shd w:val="clear" w:color="auto" w:fill="auto"/>
        <w:tabs>
          <w:tab w:val="left" w:pos="1010"/>
        </w:tabs>
        <w:bidi w:val="0"/>
        <w:spacing w:before="0" w:after="0" w:line="580" w:lineRule="exact"/>
        <w:ind w:left="0" w:right="0" w:firstLine="620"/>
        <w:jc w:val="left"/>
        <w:rPr>
          <w:rFonts w:hint="eastAsia" w:ascii="宋体" w:hAnsi="宋体" w:eastAsia="宋体" w:cs="宋体"/>
          <w:color w:val="auto"/>
          <w:spacing w:val="0"/>
          <w:w w:val="100"/>
          <w:position w:val="0"/>
        </w:rPr>
      </w:pPr>
      <w:bookmarkStart w:id="10" w:name="bookmark27"/>
      <w:bookmarkEnd w:id="10"/>
      <w:r>
        <w:rPr>
          <w:rFonts w:hint="eastAsia" w:ascii="宋体" w:hAnsi="宋体" w:eastAsia="宋体" w:cs="宋体"/>
          <w:color w:val="auto"/>
          <w:spacing w:val="0"/>
          <w:w w:val="100"/>
          <w:position w:val="0"/>
        </w:rPr>
        <w:t>抓好精神文明建设，丰富群众文化生活，提倡移风易俗，反对封建迷信，破除陈规陋习，树立社会主义新风尚。执行本级人民代表大会的决议和上级国家行政机关的决定和命令，发布决定和命令。</w:t>
      </w:r>
    </w:p>
    <w:p w14:paraId="2C757E7E">
      <w:pPr>
        <w:pStyle w:val="13"/>
        <w:keepNext w:val="0"/>
        <w:keepLines w:val="0"/>
        <w:widowControl w:val="0"/>
        <w:numPr>
          <w:ilvl w:val="0"/>
          <w:numId w:val="1"/>
        </w:numPr>
        <w:shd w:val="clear" w:color="auto" w:fill="auto"/>
        <w:tabs>
          <w:tab w:val="left" w:pos="1010"/>
        </w:tabs>
        <w:bidi w:val="0"/>
        <w:spacing w:before="0" w:after="0" w:line="580" w:lineRule="exact"/>
        <w:ind w:left="0" w:right="0" w:firstLine="620"/>
        <w:jc w:val="left"/>
        <w:rPr>
          <w:rFonts w:hint="eastAsia" w:ascii="宋体" w:hAnsi="宋体" w:eastAsia="宋体" w:cs="宋体"/>
          <w:color w:val="auto"/>
          <w:spacing w:val="0"/>
          <w:w w:val="100"/>
          <w:position w:val="0"/>
        </w:rPr>
      </w:pPr>
      <w:bookmarkStart w:id="11" w:name="bookmark28"/>
      <w:bookmarkEnd w:id="11"/>
      <w:r>
        <w:rPr>
          <w:rFonts w:hint="eastAsia" w:ascii="宋体" w:hAnsi="宋体" w:eastAsia="宋体" w:cs="宋体"/>
          <w:color w:val="auto"/>
          <w:spacing w:val="0"/>
          <w:w w:val="100"/>
          <w:position w:val="0"/>
        </w:rPr>
        <w:t>执行本行政区域内的经济和社会发展计划、预算。管理本行政区域内的经济、教育、科学、文化、卫生、体育事业和财政、民政、公安、司法行政、计划生育等行政工作。</w:t>
      </w:r>
    </w:p>
    <w:p w14:paraId="2325C39D">
      <w:pPr>
        <w:pStyle w:val="13"/>
        <w:keepNext w:val="0"/>
        <w:keepLines w:val="0"/>
        <w:widowControl w:val="0"/>
        <w:numPr>
          <w:ilvl w:val="0"/>
          <w:numId w:val="1"/>
        </w:numPr>
        <w:shd w:val="clear" w:color="auto" w:fill="auto"/>
        <w:tabs>
          <w:tab w:val="left" w:pos="1010"/>
        </w:tabs>
        <w:bidi w:val="0"/>
        <w:spacing w:before="0" w:after="0" w:line="580" w:lineRule="exact"/>
        <w:ind w:left="0" w:right="0" w:firstLine="620"/>
        <w:jc w:val="left"/>
        <w:rPr>
          <w:rFonts w:hint="eastAsia" w:ascii="宋体" w:hAnsi="宋体" w:eastAsia="宋体" w:cs="宋体"/>
          <w:color w:val="auto"/>
          <w:spacing w:val="0"/>
          <w:w w:val="100"/>
          <w:position w:val="0"/>
        </w:rPr>
      </w:pPr>
      <w:bookmarkStart w:id="12" w:name="bookmark29"/>
      <w:bookmarkEnd w:id="12"/>
      <w:r>
        <w:rPr>
          <w:rFonts w:hint="eastAsia" w:ascii="宋体" w:hAnsi="宋体" w:eastAsia="宋体" w:cs="宋体"/>
          <w:color w:val="auto"/>
          <w:spacing w:val="0"/>
          <w:w w:val="100"/>
          <w:position w:val="0"/>
        </w:rPr>
        <w:t>保护好社会主义全民所有的财产和劳动群众集体所有财产，保护公民私有的合法财产，维护社会秩序，保障公民的人身权利、民主权利和其他权利。</w:t>
      </w:r>
    </w:p>
    <w:p w14:paraId="2D9122FD">
      <w:pPr>
        <w:pStyle w:val="13"/>
        <w:keepNext w:val="0"/>
        <w:keepLines w:val="0"/>
        <w:widowControl w:val="0"/>
        <w:numPr>
          <w:ilvl w:val="0"/>
          <w:numId w:val="1"/>
        </w:numPr>
        <w:shd w:val="clear" w:color="auto" w:fill="auto"/>
        <w:tabs>
          <w:tab w:val="left" w:pos="1010"/>
        </w:tabs>
        <w:bidi w:val="0"/>
        <w:spacing w:before="0" w:after="0" w:line="580" w:lineRule="exact"/>
        <w:ind w:left="0" w:right="0" w:firstLine="620"/>
        <w:jc w:val="left"/>
        <w:rPr>
          <w:rFonts w:hint="eastAsia" w:ascii="宋体" w:hAnsi="宋体" w:eastAsia="宋体" w:cs="宋体"/>
          <w:color w:val="auto"/>
          <w:spacing w:val="0"/>
          <w:w w:val="100"/>
          <w:position w:val="0"/>
        </w:rPr>
      </w:pPr>
      <w:bookmarkStart w:id="13" w:name="bookmark30"/>
      <w:bookmarkEnd w:id="13"/>
      <w:r>
        <w:rPr>
          <w:rFonts w:hint="eastAsia" w:ascii="宋体" w:hAnsi="宋体" w:eastAsia="宋体" w:cs="宋体"/>
          <w:color w:val="auto"/>
          <w:spacing w:val="0"/>
          <w:w w:val="100"/>
          <w:position w:val="0"/>
        </w:rPr>
        <w:t>保障农村集体经济组织应有的自主权。</w:t>
      </w:r>
    </w:p>
    <w:p w14:paraId="61A03C1A">
      <w:pPr>
        <w:pStyle w:val="13"/>
        <w:keepNext w:val="0"/>
        <w:keepLines w:val="0"/>
        <w:widowControl w:val="0"/>
        <w:numPr>
          <w:ilvl w:val="0"/>
          <w:numId w:val="1"/>
        </w:numPr>
        <w:shd w:val="clear" w:color="auto" w:fill="auto"/>
        <w:tabs>
          <w:tab w:val="left" w:pos="1010"/>
        </w:tabs>
        <w:bidi w:val="0"/>
        <w:spacing w:before="0" w:after="0" w:line="580" w:lineRule="exact"/>
        <w:ind w:left="0" w:right="0" w:firstLine="620"/>
        <w:jc w:val="left"/>
        <w:rPr>
          <w:rFonts w:hint="eastAsia" w:ascii="宋体" w:hAnsi="宋体" w:eastAsia="宋体" w:cs="宋体"/>
          <w:color w:val="auto"/>
          <w:spacing w:val="0"/>
          <w:w w:val="100"/>
          <w:position w:val="0"/>
        </w:rPr>
      </w:pPr>
      <w:bookmarkStart w:id="14" w:name="bookmark31"/>
      <w:bookmarkEnd w:id="14"/>
      <w:r>
        <w:rPr>
          <w:rFonts w:hint="eastAsia" w:ascii="宋体" w:hAnsi="宋体" w:eastAsia="宋体" w:cs="宋体"/>
          <w:color w:val="auto"/>
          <w:spacing w:val="0"/>
          <w:w w:val="100"/>
          <w:position w:val="0"/>
        </w:rPr>
        <w:t>保障少数民族的权利和尊重少数民族的风俗习惯。</w:t>
      </w:r>
    </w:p>
    <w:p w14:paraId="1EE96B5A">
      <w:pPr>
        <w:pStyle w:val="13"/>
        <w:keepNext w:val="0"/>
        <w:keepLines w:val="0"/>
        <w:widowControl w:val="0"/>
        <w:numPr>
          <w:ilvl w:val="0"/>
          <w:numId w:val="1"/>
        </w:numPr>
        <w:shd w:val="clear" w:color="auto" w:fill="auto"/>
        <w:tabs>
          <w:tab w:val="left" w:pos="1010"/>
        </w:tabs>
        <w:bidi w:val="0"/>
        <w:spacing w:before="0" w:after="0" w:line="580" w:lineRule="exact"/>
        <w:ind w:left="0" w:right="0" w:firstLine="620"/>
        <w:jc w:val="left"/>
        <w:rPr>
          <w:rFonts w:hint="eastAsia" w:ascii="宋体" w:hAnsi="宋体" w:eastAsia="宋体" w:cs="宋体"/>
          <w:color w:val="auto"/>
          <w:spacing w:val="0"/>
          <w:w w:val="100"/>
          <w:position w:val="0"/>
        </w:rPr>
      </w:pPr>
      <w:bookmarkStart w:id="15" w:name="bookmark32"/>
      <w:bookmarkEnd w:id="15"/>
      <w:r>
        <w:rPr>
          <w:rFonts w:hint="eastAsia" w:ascii="宋体" w:hAnsi="宋体" w:eastAsia="宋体" w:cs="宋体"/>
          <w:color w:val="auto"/>
          <w:spacing w:val="0"/>
          <w:w w:val="100"/>
          <w:position w:val="0"/>
        </w:rPr>
        <w:t>完成和办理上级人民政府交办的其他事项。</w:t>
      </w:r>
    </w:p>
    <w:p w14:paraId="21451DA9">
      <w:pPr>
        <w:pStyle w:val="13"/>
        <w:keepNext w:val="0"/>
        <w:keepLines w:val="0"/>
        <w:widowControl w:val="0"/>
        <w:shd w:val="clear" w:color="auto" w:fill="auto"/>
        <w:bidi w:val="0"/>
        <w:spacing w:before="0" w:after="80" w:line="580" w:lineRule="exact"/>
        <w:ind w:left="0" w:right="0" w:firstLine="160"/>
        <w:jc w:val="left"/>
        <w:rPr>
          <w:rFonts w:hint="eastAsia" w:ascii="宋体" w:hAnsi="宋体" w:eastAsia="宋体" w:cs="宋体"/>
          <w:color w:val="auto"/>
        </w:rPr>
      </w:pPr>
      <w:r>
        <w:rPr>
          <w:rFonts w:hint="eastAsia" w:ascii="宋体" w:hAnsi="宋体" w:eastAsia="宋体" w:cs="宋体"/>
          <w:color w:val="auto"/>
          <w:spacing w:val="0"/>
          <w:w w:val="100"/>
          <w:position w:val="0"/>
        </w:rPr>
        <w:t>（二）2020年重点工作完成情况。</w:t>
      </w:r>
    </w:p>
    <w:p w14:paraId="222DD4F5">
      <w:pPr>
        <w:pStyle w:val="13"/>
        <w:keepNext w:val="0"/>
        <w:keepLines w:val="0"/>
        <w:widowControl w:val="0"/>
        <w:numPr>
          <w:ilvl w:val="0"/>
          <w:numId w:val="2"/>
        </w:numPr>
        <w:shd w:val="clear" w:color="auto" w:fill="auto"/>
        <w:tabs>
          <w:tab w:val="left" w:pos="1015"/>
        </w:tabs>
        <w:bidi w:val="0"/>
        <w:spacing w:before="0" w:after="0" w:line="396" w:lineRule="auto"/>
        <w:ind w:left="0" w:right="0" w:firstLine="62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一是农业产业持续提升。我镇是传统农业大镇，行政区划调整划转我镇的乡镇和村农业基础都较好，原乡镇的领导和干部围绕农业产业发展做了大量工作，成效明显。在良好发展基础上，今年我们重点发展生猪、猫猴桃、剑门关土鸡、蔬菜和肉牛羊、笋用竹等六大产业，有力带动了全镇经济发展和群众增收。</w:t>
      </w:r>
    </w:p>
    <w:p w14:paraId="3BD43AD6">
      <w:pPr>
        <w:pStyle w:val="13"/>
        <w:keepNext w:val="0"/>
        <w:keepLines w:val="0"/>
        <w:widowControl w:val="0"/>
        <w:numPr>
          <w:ilvl w:val="0"/>
          <w:numId w:val="2"/>
        </w:numPr>
        <w:shd w:val="clear" w:color="auto" w:fill="auto"/>
        <w:tabs>
          <w:tab w:val="left" w:pos="1015"/>
        </w:tabs>
        <w:bidi w:val="0"/>
        <w:spacing w:before="0" w:after="0" w:line="396" w:lineRule="auto"/>
        <w:ind w:left="0" w:right="0" w:firstLine="62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二是工业经济扎实推进。工业经济是我镇的薄弱环节。全镇原有工业企业6家，分别为木材加工厂4家，砖厂1家、食品加工厂1家。今年以来，我们着眼补齐短板、优化结构，加大工业领域招商引资力度，成功引进建材加工厂1家，到9月底，该企业的</w:t>
      </w:r>
      <w:r>
        <w:rPr>
          <w:rFonts w:hint="eastAsia" w:ascii="宋体" w:hAnsi="宋体" w:eastAsia="宋体" w:cs="宋体"/>
          <w:color w:val="auto"/>
          <w:spacing w:val="0"/>
          <w:w w:val="100"/>
          <w:position w:val="0"/>
          <w:lang w:val="zh-CN" w:eastAsia="zh-CN"/>
        </w:rPr>
        <w:t>8</w:t>
      </w:r>
      <w:r>
        <w:rPr>
          <w:rFonts w:hint="eastAsia" w:ascii="宋体" w:hAnsi="宋体" w:eastAsia="宋体" w:cs="宋体"/>
          <w:color w:val="auto"/>
          <w:spacing w:val="0"/>
          <w:w w:val="100"/>
          <w:position w:val="0"/>
        </w:rPr>
        <w:t>条砂石生产线现已全部投入生产。为促进企业发展，我镇出台了《卫子镇班子成员联系服务企业和项目制度》，对镇域内每家企业和在建重大项目均落实1</w:t>
      </w:r>
      <w:r>
        <w:rPr>
          <w:rFonts w:hint="eastAsia" w:ascii="宋体" w:hAnsi="宋体" w:eastAsia="宋体" w:cs="宋体"/>
          <w:color w:val="auto"/>
          <w:spacing w:val="0"/>
          <w:w w:val="100"/>
          <w:position w:val="0"/>
          <w:lang w:val="en-US" w:eastAsia="zh-CN"/>
        </w:rPr>
        <w:t>-</w:t>
      </w:r>
      <w:r>
        <w:rPr>
          <w:rFonts w:hint="eastAsia" w:ascii="宋体" w:hAnsi="宋体" w:eastAsia="宋体" w:cs="宋体"/>
          <w:color w:val="auto"/>
          <w:spacing w:val="0"/>
          <w:w w:val="100"/>
          <w:position w:val="0"/>
        </w:rPr>
        <w:t>2名班子成员联系服务，努力帮助企业克服疫情影响、为项目推进提供优质服务。商贸服务大幅发展。卫子镇地处昭化区中部腹心地带，商贸服务发展总体较好。乡镇行政区划调整后，大卫子镇人气、商气迅速聚集，卫子商贸进入了飞速发展期。</w:t>
      </w:r>
    </w:p>
    <w:p w14:paraId="02CAF527">
      <w:pPr>
        <w:pStyle w:val="13"/>
        <w:keepNext w:val="0"/>
        <w:keepLines w:val="0"/>
        <w:widowControl w:val="0"/>
        <w:numPr>
          <w:ilvl w:val="0"/>
          <w:numId w:val="2"/>
        </w:numPr>
        <w:shd w:val="clear" w:color="auto" w:fill="auto"/>
        <w:tabs>
          <w:tab w:val="left" w:pos="1015"/>
        </w:tabs>
        <w:bidi w:val="0"/>
        <w:spacing w:before="0" w:after="0" w:line="396" w:lineRule="auto"/>
        <w:ind w:left="0" w:right="0" w:firstLine="620"/>
        <w:jc w:val="left"/>
        <w:rPr>
          <w:rFonts w:hint="eastAsia" w:ascii="宋体" w:hAnsi="宋体" w:eastAsia="宋体" w:cs="宋体"/>
          <w:color w:val="auto"/>
        </w:rPr>
      </w:pPr>
      <w:r>
        <w:rPr>
          <w:rFonts w:hint="eastAsia" w:ascii="宋体" w:hAnsi="宋体" w:eastAsia="宋体" w:cs="宋体"/>
          <w:color w:val="auto"/>
          <w:spacing w:val="0"/>
          <w:w w:val="100"/>
          <w:position w:val="0"/>
        </w:rPr>
        <w:t>三是社会事业持续巩固。扎实推动医疗保障和义务教育各项政策落实落地。推动卫生健康服务能力提升，有序引导群众基层就医和依规转诊，深入开展爱国卫生运动，倡导健康文明的生活方式，预防和控制重大疾病。全力办好人民满意教育，优化中、小学校园环境，持续开展</w:t>
      </w:r>
      <w:r>
        <w:rPr>
          <w:rFonts w:hint="eastAsia" w:ascii="宋体" w:hAnsi="宋体" w:eastAsia="宋体" w:cs="宋体"/>
          <w:color w:val="auto"/>
          <w:spacing w:val="0"/>
          <w:w w:val="100"/>
          <w:position w:val="0"/>
          <w:lang w:val="zh-CN" w:eastAsia="zh-CN"/>
        </w:rPr>
        <w:t>“控辍</w:t>
      </w:r>
      <w:r>
        <w:rPr>
          <w:rFonts w:hint="eastAsia" w:ascii="宋体" w:hAnsi="宋体" w:eastAsia="宋体" w:cs="宋体"/>
          <w:color w:val="auto"/>
          <w:spacing w:val="0"/>
          <w:w w:val="100"/>
          <w:position w:val="0"/>
        </w:rPr>
        <w:t>保学”行动，全镇义务教育阶段学生零辍学。广泛开展全民健身运动和经常性群众文化活动，继续推进</w:t>
      </w:r>
      <w:r>
        <w:rPr>
          <w:rFonts w:hint="eastAsia" w:ascii="宋体" w:hAnsi="宋体" w:eastAsia="宋体" w:cs="宋体"/>
          <w:color w:val="auto"/>
          <w:spacing w:val="0"/>
          <w:w w:val="100"/>
          <w:position w:val="0"/>
          <w:lang w:val="zh-CN" w:eastAsia="zh-CN"/>
        </w:rPr>
        <w:t>“农</w:t>
      </w:r>
      <w:r>
        <w:rPr>
          <w:rFonts w:hint="eastAsia" w:ascii="宋体" w:hAnsi="宋体" w:eastAsia="宋体" w:cs="宋体"/>
          <w:color w:val="auto"/>
          <w:spacing w:val="0"/>
          <w:w w:val="100"/>
          <w:position w:val="0"/>
        </w:rPr>
        <w:t>村公益</w:t>
      </w:r>
      <w:r>
        <w:rPr>
          <w:rFonts w:hint="eastAsia" w:ascii="宋体" w:hAnsi="宋体" w:eastAsia="宋体" w:cs="宋体"/>
          <w:color w:val="auto"/>
          <w:spacing w:val="0"/>
          <w:w w:val="100"/>
          <w:position w:val="0"/>
          <w:lang w:val="zh-CN" w:eastAsia="zh-CN"/>
        </w:rPr>
        <w:t>电影”</w:t>
      </w:r>
      <w:r>
        <w:rPr>
          <w:rFonts w:hint="eastAsia" w:ascii="宋体" w:hAnsi="宋体" w:eastAsia="宋体" w:cs="宋体"/>
          <w:color w:val="auto"/>
          <w:spacing w:val="0"/>
          <w:w w:val="100"/>
          <w:position w:val="0"/>
        </w:rPr>
        <w:t>项目，因戶因人落实好低保、特困人员救助、公益性岗位等社会救助政策。</w:t>
      </w:r>
      <w:bookmarkStart w:id="16" w:name="bookmark33"/>
    </w:p>
    <w:p w14:paraId="54815C9D">
      <w:pPr>
        <w:pStyle w:val="13"/>
        <w:keepNext w:val="0"/>
        <w:keepLines w:val="0"/>
        <w:widowControl w:val="0"/>
        <w:numPr>
          <w:ilvl w:val="0"/>
          <w:numId w:val="0"/>
        </w:numPr>
        <w:shd w:val="clear" w:color="auto" w:fill="auto"/>
        <w:tabs>
          <w:tab w:val="left" w:pos="1015"/>
        </w:tabs>
        <w:bidi w:val="0"/>
        <w:spacing w:before="0" w:after="0" w:line="396" w:lineRule="auto"/>
        <w:ind w:left="620" w:leftChars="0" w:right="0" w:rightChars="0"/>
        <w:jc w:val="left"/>
        <w:outlineLvl w:val="1"/>
        <w:rPr>
          <w:rFonts w:hint="eastAsia" w:ascii="宋体" w:hAnsi="宋体" w:eastAsia="宋体" w:cs="宋体"/>
          <w:color w:val="auto"/>
        </w:rPr>
      </w:pPr>
      <w:bookmarkStart w:id="17" w:name="_Toc25433"/>
      <w:r>
        <w:rPr>
          <w:rFonts w:hint="eastAsia" w:ascii="宋体" w:hAnsi="宋体" w:eastAsia="宋体" w:cs="宋体"/>
          <w:color w:val="auto"/>
          <w:spacing w:val="0"/>
          <w:w w:val="100"/>
          <w:position w:val="0"/>
        </w:rPr>
        <w:t>二</w:t>
      </w:r>
      <w:bookmarkEnd w:id="16"/>
      <w:r>
        <w:rPr>
          <w:rFonts w:hint="eastAsia" w:ascii="宋体" w:hAnsi="宋体" w:eastAsia="宋体" w:cs="宋体"/>
          <w:color w:val="auto"/>
          <w:spacing w:val="0"/>
          <w:w w:val="100"/>
          <w:position w:val="0"/>
        </w:rPr>
        <w:t>、机构设置</w:t>
      </w:r>
      <w:bookmarkEnd w:id="17"/>
    </w:p>
    <w:p w14:paraId="5D073BFE">
      <w:pPr>
        <w:pStyle w:val="13"/>
        <w:keepNext w:val="0"/>
        <w:keepLines w:val="0"/>
        <w:widowControl w:val="0"/>
        <w:numPr>
          <w:ilvl w:val="0"/>
          <w:numId w:val="2"/>
        </w:numPr>
        <w:shd w:val="clear" w:color="auto" w:fill="auto"/>
        <w:tabs>
          <w:tab w:val="left" w:pos="1015"/>
        </w:tabs>
        <w:bidi w:val="0"/>
        <w:spacing w:before="0" w:after="0" w:line="396" w:lineRule="auto"/>
        <w:ind w:left="0" w:right="0" w:firstLine="620"/>
        <w:jc w:val="left"/>
        <w:rPr>
          <w:rFonts w:hint="eastAsia" w:ascii="宋体" w:hAnsi="宋体" w:eastAsia="宋体" w:cs="宋体"/>
          <w:color w:val="auto"/>
          <w:spacing w:val="0"/>
          <w:w w:val="100"/>
          <w:position w:val="0"/>
        </w:rPr>
        <w:sectPr>
          <w:footerReference r:id="rId8" w:type="first"/>
          <w:footerReference r:id="rId7" w:type="default"/>
          <w:footnotePr>
            <w:numFmt w:val="decimal"/>
          </w:footnotePr>
          <w:pgSz w:w="11900" w:h="16840"/>
          <w:pgMar w:top="1440" w:right="1800" w:bottom="1440" w:left="1800" w:header="0" w:footer="567" w:gutter="0"/>
          <w:cols w:space="720" w:num="1"/>
          <w:titlePg/>
          <w:rtlGutter w:val="0"/>
          <w:docGrid w:linePitch="360" w:charSpace="0"/>
        </w:sectPr>
      </w:pPr>
      <w:r>
        <w:rPr>
          <w:rFonts w:hint="eastAsia" w:ascii="宋体" w:hAnsi="宋体" w:eastAsia="宋体" w:cs="宋体"/>
          <w:color w:val="auto"/>
          <w:spacing w:val="0"/>
          <w:w w:val="100"/>
          <w:position w:val="0"/>
        </w:rPr>
        <w:t>卫子镇人民政府属于一级预算单位，政府单位机构数1个，其中行政单位8个，参照公务员法管理的事业单位0个，其他事业单位5个。</w:t>
      </w:r>
    </w:p>
    <w:p w14:paraId="0FDF4D79">
      <w:pPr>
        <w:pStyle w:val="14"/>
        <w:keepNext/>
        <w:keepLines/>
        <w:widowControl w:val="0"/>
        <w:shd w:val="clear" w:color="auto" w:fill="auto"/>
        <w:bidi w:val="0"/>
        <w:spacing w:before="720" w:after="860" w:line="240" w:lineRule="auto"/>
        <w:ind w:left="0" w:right="0" w:firstLine="0"/>
        <w:jc w:val="center"/>
        <w:rPr>
          <w:rFonts w:hint="eastAsia" w:ascii="宋体" w:hAnsi="宋体" w:eastAsia="宋体" w:cs="宋体"/>
          <w:b/>
          <w:bCs/>
          <w:color w:val="auto"/>
        </w:rPr>
      </w:pPr>
      <w:bookmarkStart w:id="18" w:name="bookmark34"/>
      <w:bookmarkStart w:id="19" w:name="bookmark36"/>
      <w:bookmarkStart w:id="20" w:name="bookmark35"/>
      <w:bookmarkStart w:id="21" w:name="_Toc21505"/>
      <w:r>
        <w:rPr>
          <w:rFonts w:hint="eastAsia" w:ascii="宋体" w:hAnsi="宋体" w:eastAsia="宋体" w:cs="宋体"/>
          <w:b/>
          <w:bCs/>
          <w:color w:val="auto"/>
          <w:spacing w:val="0"/>
          <w:w w:val="100"/>
          <w:position w:val="0"/>
        </w:rPr>
        <w:t>第二部分</w:t>
      </w:r>
      <w:r>
        <w:rPr>
          <w:rFonts w:hint="eastAsia" w:ascii="宋体" w:hAnsi="宋体" w:eastAsia="宋体" w:cs="宋体"/>
          <w:b/>
          <w:bCs/>
          <w:color w:val="auto"/>
          <w:spacing w:val="0"/>
          <w:w w:val="100"/>
          <w:position w:val="0"/>
          <w:sz w:val="42"/>
          <w:szCs w:val="42"/>
        </w:rPr>
        <w:t>2020</w:t>
      </w:r>
      <w:r>
        <w:rPr>
          <w:rFonts w:hint="eastAsia" w:ascii="宋体" w:hAnsi="宋体" w:eastAsia="宋体" w:cs="宋体"/>
          <w:b/>
          <w:bCs/>
          <w:color w:val="auto"/>
          <w:spacing w:val="0"/>
          <w:w w:val="100"/>
          <w:position w:val="0"/>
        </w:rPr>
        <w:t>年度部门决算情况说明</w:t>
      </w:r>
      <w:bookmarkEnd w:id="18"/>
      <w:bookmarkEnd w:id="19"/>
      <w:bookmarkEnd w:id="20"/>
      <w:bookmarkEnd w:id="21"/>
    </w:p>
    <w:p w14:paraId="74908B7C">
      <w:pPr>
        <w:pStyle w:val="13"/>
        <w:keepNext w:val="0"/>
        <w:keepLines w:val="0"/>
        <w:widowControl w:val="0"/>
        <w:shd w:val="clear" w:color="auto" w:fill="auto"/>
        <w:tabs>
          <w:tab w:val="left" w:pos="1325"/>
        </w:tabs>
        <w:bidi w:val="0"/>
        <w:spacing w:before="0" w:after="0" w:line="580" w:lineRule="exact"/>
        <w:ind w:left="0" w:right="0" w:firstLine="600"/>
        <w:jc w:val="left"/>
        <w:outlineLvl w:val="1"/>
        <w:rPr>
          <w:rFonts w:hint="eastAsia" w:ascii="宋体" w:hAnsi="宋体" w:eastAsia="宋体" w:cs="宋体"/>
          <w:color w:val="auto"/>
        </w:rPr>
      </w:pPr>
      <w:bookmarkStart w:id="22" w:name="bookmark37"/>
      <w:bookmarkStart w:id="23" w:name="_Toc30699"/>
      <w:r>
        <w:rPr>
          <w:rFonts w:hint="eastAsia" w:ascii="宋体" w:hAnsi="宋体" w:eastAsia="宋体" w:cs="宋体"/>
          <w:color w:val="auto"/>
          <w:spacing w:val="0"/>
          <w:w w:val="100"/>
          <w:position w:val="0"/>
        </w:rPr>
        <w:t>一</w:t>
      </w:r>
      <w:bookmarkEnd w:id="22"/>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收入支出决算总体情况说明</w:t>
      </w:r>
      <w:bookmarkEnd w:id="23"/>
    </w:p>
    <w:p w14:paraId="5000C69B">
      <w:pPr>
        <w:pStyle w:val="13"/>
        <w:keepNext w:val="0"/>
        <w:keepLines w:val="0"/>
        <w:widowControl w:val="0"/>
        <w:shd w:val="clear" w:color="auto" w:fill="auto"/>
        <w:tabs>
          <w:tab w:val="left" w:pos="1325"/>
        </w:tabs>
        <w:bidi w:val="0"/>
        <w:spacing w:before="0" w:after="0" w:line="580" w:lineRule="exact"/>
        <w:ind w:left="0" w:right="0" w:firstLine="60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2020年度收、支总计1</w:t>
      </w:r>
      <w:r>
        <w:rPr>
          <w:rFonts w:hint="eastAsia" w:ascii="宋体" w:hAnsi="宋体" w:eastAsia="宋体" w:cs="宋体"/>
          <w:color w:val="auto"/>
          <w:spacing w:val="0"/>
          <w:w w:val="100"/>
          <w:position w:val="0"/>
          <w:lang w:val="en-US" w:eastAsia="en-US"/>
        </w:rPr>
        <w:t>784.</w:t>
      </w:r>
      <w:r>
        <w:rPr>
          <w:rFonts w:hint="eastAsia" w:ascii="宋体" w:hAnsi="宋体" w:eastAsia="宋体" w:cs="宋体"/>
          <w:color w:val="auto"/>
          <w:spacing w:val="0"/>
          <w:w w:val="100"/>
          <w:position w:val="0"/>
        </w:rPr>
        <w:t>67万元。与2019年相比，收、支总计各增加1</w:t>
      </w:r>
      <w:r>
        <w:rPr>
          <w:rFonts w:hint="eastAsia" w:ascii="宋体" w:hAnsi="宋体" w:eastAsia="宋体" w:cs="宋体"/>
          <w:color w:val="auto"/>
          <w:spacing w:val="0"/>
          <w:w w:val="100"/>
          <w:position w:val="0"/>
          <w:lang w:val="en-US" w:eastAsia="en-US"/>
        </w:rPr>
        <w:t>185.9</w:t>
      </w:r>
      <w:r>
        <w:rPr>
          <w:rFonts w:hint="eastAsia" w:ascii="宋体" w:hAnsi="宋体" w:eastAsia="宋体" w:cs="宋体"/>
          <w:color w:val="auto"/>
          <w:spacing w:val="0"/>
          <w:w w:val="100"/>
          <w:position w:val="0"/>
        </w:rPr>
        <w:t>万元，增长66%</w:t>
      </w:r>
      <w:r>
        <w:rPr>
          <w:rFonts w:hint="eastAsia" w:ascii="宋体" w:hAnsi="宋体" w:eastAsia="宋体" w:cs="宋体"/>
          <w:color w:val="auto"/>
          <w:spacing w:val="0"/>
          <w:w w:val="100"/>
          <w:position w:val="0"/>
          <w:lang w:eastAsia="zh-CN"/>
        </w:rPr>
        <w:t>。</w:t>
      </w:r>
      <w:r>
        <w:rPr>
          <w:rFonts w:hint="eastAsia" w:ascii="宋体" w:hAnsi="宋体" w:eastAsia="宋体" w:cs="宋体"/>
          <w:color w:val="auto"/>
          <w:spacing w:val="0"/>
          <w:w w:val="100"/>
          <w:position w:val="0"/>
        </w:rPr>
        <w:t>主要变动原因是行政区划调整。</w:t>
      </w:r>
    </w:p>
    <w:p w14:paraId="065FA655">
      <w:pPr>
        <w:pStyle w:val="13"/>
        <w:keepNext w:val="0"/>
        <w:keepLines w:val="0"/>
        <w:widowControl w:val="0"/>
        <w:shd w:val="clear" w:color="auto" w:fill="auto"/>
        <w:tabs>
          <w:tab w:val="left" w:pos="1325"/>
        </w:tabs>
        <w:bidi w:val="0"/>
        <w:spacing w:before="0" w:after="0" w:line="580" w:lineRule="exact"/>
        <w:ind w:left="0" w:right="0" w:firstLine="600"/>
        <w:jc w:val="left"/>
        <w:outlineLvl w:val="1"/>
        <w:rPr>
          <w:rFonts w:hint="eastAsia" w:ascii="宋体" w:hAnsi="宋体" w:eastAsia="宋体" w:cs="宋体"/>
          <w:color w:val="auto"/>
          <w:spacing w:val="0"/>
          <w:w w:val="100"/>
          <w:position w:val="0"/>
        </w:rPr>
      </w:pPr>
      <w:bookmarkStart w:id="24" w:name="bookmark38"/>
      <w:bookmarkStart w:id="25" w:name="_Toc6261"/>
      <w:r>
        <w:rPr>
          <w:rFonts w:hint="eastAsia" w:ascii="宋体" w:hAnsi="宋体" w:eastAsia="宋体" w:cs="宋体"/>
          <w:color w:val="auto"/>
          <w:spacing w:val="0"/>
          <w:w w:val="100"/>
          <w:position w:val="0"/>
        </w:rPr>
        <w:t>二</w:t>
      </w:r>
      <w:bookmarkEnd w:id="24"/>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收入决算情况说明</w:t>
      </w:r>
      <w:bookmarkEnd w:id="25"/>
    </w:p>
    <w:p w14:paraId="15BEEC96">
      <w:pPr>
        <w:pStyle w:val="13"/>
        <w:keepNext w:val="0"/>
        <w:keepLines w:val="0"/>
        <w:widowControl w:val="0"/>
        <w:shd w:val="clear" w:color="auto" w:fill="auto"/>
        <w:tabs>
          <w:tab w:val="left" w:pos="1325"/>
        </w:tabs>
        <w:bidi w:val="0"/>
        <w:spacing w:before="0" w:after="0" w:line="580" w:lineRule="exact"/>
        <w:ind w:left="0" w:right="0" w:firstLine="60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2020年本年收入合计1</w:t>
      </w:r>
      <w:r>
        <w:rPr>
          <w:rFonts w:hint="eastAsia" w:ascii="宋体" w:hAnsi="宋体" w:eastAsia="宋体" w:cs="宋体"/>
          <w:color w:val="auto"/>
          <w:spacing w:val="0"/>
          <w:w w:val="100"/>
          <w:position w:val="0"/>
          <w:lang w:val="en-US" w:eastAsia="en-US"/>
        </w:rPr>
        <w:t>784.</w:t>
      </w:r>
      <w:r>
        <w:rPr>
          <w:rFonts w:hint="eastAsia" w:ascii="宋体" w:hAnsi="宋体" w:eastAsia="宋体" w:cs="宋体"/>
          <w:color w:val="auto"/>
          <w:spacing w:val="0"/>
          <w:w w:val="100"/>
          <w:position w:val="0"/>
        </w:rPr>
        <w:t>67万元，其中：一般公共预算财政拨款收入</w:t>
      </w:r>
      <w:r>
        <w:rPr>
          <w:rFonts w:hint="eastAsia" w:ascii="宋体" w:hAnsi="宋体" w:eastAsia="宋体" w:cs="宋体"/>
          <w:color w:val="auto"/>
          <w:spacing w:val="0"/>
          <w:w w:val="100"/>
          <w:position w:val="0"/>
          <w:lang w:val="en-US" w:eastAsia="en-US"/>
        </w:rPr>
        <w:t>1766.67</w:t>
      </w:r>
      <w:r>
        <w:rPr>
          <w:rFonts w:hint="eastAsia" w:ascii="宋体" w:hAnsi="宋体" w:eastAsia="宋体" w:cs="宋体"/>
          <w:color w:val="auto"/>
          <w:spacing w:val="0"/>
          <w:w w:val="100"/>
          <w:position w:val="0"/>
        </w:rPr>
        <w:t>万元，占99%；政府性基金预算财政拨款收入18万元，占1%；上级补助收入0万元，占0%;事业收入0万元，占0%;经营收入0万元，占0%;附属单位上缴收入0万元，占0%；其他收入0万元，占0%。</w:t>
      </w:r>
    </w:p>
    <w:p w14:paraId="79B1F1F8">
      <w:pPr>
        <w:pStyle w:val="13"/>
        <w:keepNext w:val="0"/>
        <w:keepLines w:val="0"/>
        <w:widowControl w:val="0"/>
        <w:shd w:val="clear" w:color="auto" w:fill="auto"/>
        <w:tabs>
          <w:tab w:val="left" w:pos="1325"/>
        </w:tabs>
        <w:bidi w:val="0"/>
        <w:spacing w:before="0" w:after="0" w:line="577" w:lineRule="exact"/>
        <w:ind w:left="0" w:right="0" w:firstLine="600"/>
        <w:jc w:val="left"/>
        <w:outlineLvl w:val="1"/>
        <w:rPr>
          <w:rFonts w:hint="eastAsia" w:ascii="宋体" w:hAnsi="宋体" w:eastAsia="宋体" w:cs="宋体"/>
          <w:color w:val="auto"/>
        </w:rPr>
      </w:pPr>
      <w:bookmarkStart w:id="26" w:name="bookmark39"/>
      <w:bookmarkStart w:id="27" w:name="_Toc2096"/>
      <w:r>
        <w:rPr>
          <w:rFonts w:hint="eastAsia" w:ascii="宋体" w:hAnsi="宋体" w:eastAsia="宋体" w:cs="宋体"/>
          <w:color w:val="auto"/>
          <w:spacing w:val="0"/>
          <w:w w:val="100"/>
          <w:position w:val="0"/>
        </w:rPr>
        <w:t>三</w:t>
      </w:r>
      <w:bookmarkEnd w:id="26"/>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支出决算情况说明</w:t>
      </w:r>
      <w:bookmarkEnd w:id="27"/>
    </w:p>
    <w:p w14:paraId="63CF2BFB">
      <w:pPr>
        <w:pStyle w:val="13"/>
        <w:keepNext w:val="0"/>
        <w:keepLines w:val="0"/>
        <w:widowControl w:val="0"/>
        <w:shd w:val="clear" w:color="auto" w:fill="auto"/>
        <w:tabs>
          <w:tab w:val="left" w:pos="1325"/>
        </w:tabs>
        <w:bidi w:val="0"/>
        <w:spacing w:before="0" w:after="0" w:line="580" w:lineRule="exact"/>
        <w:ind w:left="0" w:right="0" w:firstLine="600"/>
        <w:jc w:val="left"/>
        <w:rPr>
          <w:rFonts w:hint="eastAsia" w:ascii="宋体" w:hAnsi="宋体" w:eastAsia="宋体" w:cs="宋体"/>
          <w:color w:val="auto"/>
          <w:spacing w:val="0"/>
          <w:w w:val="100"/>
          <w:position w:val="0"/>
          <w:lang w:eastAsia="zh-CN"/>
        </w:rPr>
      </w:pPr>
      <w:r>
        <w:rPr>
          <w:rFonts w:hint="eastAsia" w:ascii="宋体" w:hAnsi="宋体" w:eastAsia="宋体" w:cs="宋体"/>
          <w:color w:val="auto"/>
          <w:spacing w:val="0"/>
          <w:w w:val="100"/>
          <w:position w:val="0"/>
        </w:rPr>
        <w:t>2020年本年支出合计</w:t>
      </w:r>
      <w:r>
        <w:rPr>
          <w:rFonts w:hint="eastAsia" w:ascii="宋体" w:hAnsi="宋体" w:eastAsia="宋体" w:cs="宋体"/>
          <w:color w:val="auto"/>
          <w:spacing w:val="0"/>
          <w:w w:val="100"/>
          <w:position w:val="0"/>
          <w:lang w:val="en-US" w:eastAsia="en-US"/>
        </w:rPr>
        <w:t>1784.</w:t>
      </w:r>
      <w:r>
        <w:rPr>
          <w:rFonts w:hint="eastAsia" w:ascii="宋体" w:hAnsi="宋体" w:eastAsia="宋体" w:cs="宋体"/>
          <w:color w:val="auto"/>
          <w:spacing w:val="0"/>
          <w:w w:val="100"/>
          <w:position w:val="0"/>
        </w:rPr>
        <w:t>67万元，其中：基本支出</w:t>
      </w:r>
      <w:r>
        <w:rPr>
          <w:rFonts w:hint="eastAsia" w:ascii="宋体" w:hAnsi="宋体" w:eastAsia="宋体" w:cs="宋体"/>
          <w:color w:val="auto"/>
          <w:spacing w:val="0"/>
          <w:w w:val="100"/>
          <w:position w:val="0"/>
          <w:lang w:val="en-US" w:eastAsia="en-US"/>
        </w:rPr>
        <w:t>1612.3</w:t>
      </w:r>
      <w:r>
        <w:rPr>
          <w:rFonts w:hint="eastAsia" w:ascii="宋体" w:hAnsi="宋体" w:eastAsia="宋体" w:cs="宋体"/>
          <w:color w:val="auto"/>
          <w:spacing w:val="0"/>
          <w:w w:val="100"/>
          <w:position w:val="0"/>
        </w:rPr>
        <w:t>万元，占90%；项目支出</w:t>
      </w:r>
      <w:r>
        <w:rPr>
          <w:rFonts w:hint="eastAsia" w:ascii="宋体" w:hAnsi="宋体" w:eastAsia="宋体" w:cs="宋体"/>
          <w:color w:val="auto"/>
          <w:spacing w:val="0"/>
          <w:w w:val="100"/>
          <w:position w:val="0"/>
          <w:lang w:val="en-US" w:eastAsia="en-US"/>
        </w:rPr>
        <w:t>172.</w:t>
      </w:r>
      <w:r>
        <w:rPr>
          <w:rFonts w:hint="eastAsia" w:ascii="宋体" w:hAnsi="宋体" w:eastAsia="宋体" w:cs="宋体"/>
          <w:color w:val="auto"/>
          <w:spacing w:val="0"/>
          <w:w w:val="100"/>
          <w:position w:val="0"/>
        </w:rPr>
        <w:t>37万元，占10%；上缴上级支出0万元，占0%;经营支出0万元，占0%;对附属单位补助支出0万元，占0%</w:t>
      </w:r>
      <w:r>
        <w:rPr>
          <w:rFonts w:hint="eastAsia" w:ascii="宋体" w:hAnsi="宋体" w:eastAsia="宋体" w:cs="宋体"/>
          <w:color w:val="auto"/>
          <w:spacing w:val="0"/>
          <w:w w:val="100"/>
          <w:position w:val="0"/>
          <w:lang w:eastAsia="zh-CN"/>
        </w:rPr>
        <w:t>。</w:t>
      </w:r>
    </w:p>
    <w:p w14:paraId="19756D4C">
      <w:pPr>
        <w:pStyle w:val="13"/>
        <w:keepNext w:val="0"/>
        <w:keepLines w:val="0"/>
        <w:widowControl w:val="0"/>
        <w:shd w:val="clear" w:color="auto" w:fill="auto"/>
        <w:tabs>
          <w:tab w:val="left" w:pos="1325"/>
        </w:tabs>
        <w:bidi w:val="0"/>
        <w:spacing w:before="0" w:after="0" w:line="580" w:lineRule="exact"/>
        <w:ind w:left="0" w:right="0" w:firstLine="600"/>
        <w:jc w:val="left"/>
        <w:outlineLvl w:val="1"/>
        <w:rPr>
          <w:rFonts w:hint="eastAsia" w:ascii="宋体" w:hAnsi="宋体" w:eastAsia="宋体" w:cs="宋体"/>
          <w:color w:val="auto"/>
          <w:spacing w:val="0"/>
          <w:w w:val="100"/>
          <w:position w:val="0"/>
        </w:rPr>
      </w:pPr>
      <w:bookmarkStart w:id="28" w:name="bookmark40"/>
      <w:bookmarkStart w:id="29" w:name="_Toc8806"/>
      <w:r>
        <w:rPr>
          <w:rFonts w:hint="eastAsia" w:ascii="宋体" w:hAnsi="宋体" w:eastAsia="宋体" w:cs="宋体"/>
          <w:color w:val="auto"/>
          <w:spacing w:val="0"/>
          <w:w w:val="100"/>
          <w:position w:val="0"/>
        </w:rPr>
        <w:t>四</w:t>
      </w:r>
      <w:bookmarkEnd w:id="28"/>
      <w:r>
        <w:rPr>
          <w:rFonts w:hint="eastAsia" w:ascii="宋体" w:hAnsi="宋体" w:eastAsia="宋体" w:cs="宋体"/>
          <w:color w:val="auto"/>
          <w:spacing w:val="0"/>
          <w:w w:val="100"/>
          <w:position w:val="0"/>
        </w:rPr>
        <w:t>、财政拨款收入支出决算总体情况说明</w:t>
      </w:r>
      <w:bookmarkEnd w:id="29"/>
    </w:p>
    <w:p w14:paraId="44090FF4">
      <w:pPr>
        <w:pStyle w:val="13"/>
        <w:keepNext w:val="0"/>
        <w:keepLines w:val="0"/>
        <w:widowControl w:val="0"/>
        <w:shd w:val="clear" w:color="auto" w:fill="auto"/>
        <w:tabs>
          <w:tab w:val="left" w:pos="1325"/>
        </w:tabs>
        <w:bidi w:val="0"/>
        <w:spacing w:before="0" w:after="0" w:line="580" w:lineRule="exact"/>
        <w:ind w:left="0" w:right="0" w:firstLine="600"/>
        <w:jc w:val="left"/>
        <w:rPr>
          <w:rFonts w:hint="eastAsia" w:ascii="宋体" w:hAnsi="宋体" w:eastAsia="宋体" w:cs="宋体"/>
          <w:color w:val="auto"/>
          <w:spacing w:val="0"/>
          <w:w w:val="100"/>
          <w:position w:val="0"/>
          <w:lang w:eastAsia="zh-CN"/>
        </w:rPr>
      </w:pPr>
      <w:r>
        <w:rPr>
          <w:rFonts w:hint="eastAsia" w:ascii="宋体" w:hAnsi="宋体" w:eastAsia="宋体" w:cs="宋体"/>
          <w:color w:val="auto"/>
          <w:spacing w:val="0"/>
          <w:w w:val="100"/>
          <w:position w:val="0"/>
        </w:rPr>
        <w:t>2020年财政拨款收、支总计</w:t>
      </w:r>
      <w:r>
        <w:rPr>
          <w:rFonts w:hint="eastAsia" w:ascii="宋体" w:hAnsi="宋体" w:eastAsia="宋体" w:cs="宋体"/>
          <w:color w:val="auto"/>
          <w:spacing w:val="0"/>
          <w:w w:val="100"/>
          <w:position w:val="0"/>
          <w:lang w:val="en-US" w:eastAsia="en-US"/>
        </w:rPr>
        <w:t>1784.</w:t>
      </w:r>
      <w:r>
        <w:rPr>
          <w:rFonts w:hint="eastAsia" w:ascii="宋体" w:hAnsi="宋体" w:eastAsia="宋体" w:cs="宋体"/>
          <w:color w:val="auto"/>
          <w:spacing w:val="0"/>
          <w:w w:val="100"/>
          <w:position w:val="0"/>
        </w:rPr>
        <w:t>67万元。与2019年相比，财政拨款收、支总计各增加1</w:t>
      </w:r>
      <w:r>
        <w:rPr>
          <w:rFonts w:hint="eastAsia" w:ascii="宋体" w:hAnsi="宋体" w:eastAsia="宋体" w:cs="宋体"/>
          <w:color w:val="auto"/>
          <w:spacing w:val="0"/>
          <w:w w:val="100"/>
          <w:position w:val="0"/>
          <w:lang w:val="en-US" w:eastAsia="en-US"/>
        </w:rPr>
        <w:t>185.9</w:t>
      </w:r>
      <w:r>
        <w:rPr>
          <w:rFonts w:hint="eastAsia" w:ascii="宋体" w:hAnsi="宋体" w:eastAsia="宋体" w:cs="宋体"/>
          <w:color w:val="auto"/>
          <w:spacing w:val="0"/>
          <w:w w:val="100"/>
          <w:position w:val="0"/>
        </w:rPr>
        <w:t>万元，增长66%</w:t>
      </w:r>
      <w:r>
        <w:rPr>
          <w:rFonts w:hint="eastAsia" w:ascii="宋体" w:hAnsi="宋体" w:eastAsia="宋体" w:cs="宋体"/>
          <w:color w:val="auto"/>
          <w:spacing w:val="0"/>
          <w:w w:val="100"/>
          <w:position w:val="0"/>
          <w:lang w:val="en-US" w:eastAsia="zh-CN"/>
        </w:rPr>
        <w:t>。</w:t>
      </w:r>
      <w:r>
        <w:rPr>
          <w:rFonts w:hint="eastAsia" w:ascii="宋体" w:hAnsi="宋体" w:eastAsia="宋体" w:cs="宋体"/>
          <w:color w:val="auto"/>
          <w:spacing w:val="0"/>
          <w:w w:val="100"/>
          <w:position w:val="0"/>
        </w:rPr>
        <w:t>主要变动原因是行政区划调整</w:t>
      </w:r>
      <w:r>
        <w:rPr>
          <w:rFonts w:hint="eastAsia" w:ascii="宋体" w:hAnsi="宋体" w:eastAsia="宋体" w:cs="宋体"/>
          <w:color w:val="auto"/>
          <w:spacing w:val="0"/>
          <w:w w:val="100"/>
          <w:position w:val="0"/>
          <w:lang w:eastAsia="zh-CN"/>
        </w:rPr>
        <w:t>。</w:t>
      </w:r>
    </w:p>
    <w:p w14:paraId="6FB41878">
      <w:pPr>
        <w:pStyle w:val="13"/>
        <w:keepNext w:val="0"/>
        <w:keepLines w:val="0"/>
        <w:widowControl w:val="0"/>
        <w:shd w:val="clear" w:color="auto" w:fill="auto"/>
        <w:bidi w:val="0"/>
        <w:spacing w:before="0" w:after="0" w:line="577" w:lineRule="exact"/>
        <w:ind w:left="0" w:right="0" w:firstLine="600"/>
        <w:jc w:val="left"/>
        <w:outlineLvl w:val="1"/>
        <w:rPr>
          <w:rFonts w:hint="eastAsia" w:ascii="宋体" w:hAnsi="宋体" w:eastAsia="宋体" w:cs="宋体"/>
          <w:color w:val="auto"/>
        </w:rPr>
      </w:pPr>
      <w:bookmarkStart w:id="30" w:name="bookmark41"/>
      <w:bookmarkStart w:id="31" w:name="_Toc16195"/>
      <w:r>
        <w:rPr>
          <w:rFonts w:hint="eastAsia" w:ascii="宋体" w:hAnsi="宋体" w:eastAsia="宋体" w:cs="宋体"/>
          <w:color w:val="auto"/>
          <w:spacing w:val="0"/>
          <w:w w:val="100"/>
          <w:position w:val="0"/>
        </w:rPr>
        <w:t>五</w:t>
      </w:r>
      <w:bookmarkEnd w:id="30"/>
      <w:r>
        <w:rPr>
          <w:rFonts w:hint="eastAsia" w:ascii="宋体" w:hAnsi="宋体" w:eastAsia="宋体" w:cs="宋体"/>
          <w:color w:val="auto"/>
          <w:spacing w:val="0"/>
          <w:w w:val="100"/>
          <w:position w:val="0"/>
        </w:rPr>
        <w:t>、一般公共预算财政拨款支出决算情况说明</w:t>
      </w:r>
      <w:bookmarkEnd w:id="31"/>
    </w:p>
    <w:p w14:paraId="5E1922C1">
      <w:pPr>
        <w:pStyle w:val="13"/>
        <w:keepNext w:val="0"/>
        <w:keepLines w:val="0"/>
        <w:widowControl w:val="0"/>
        <w:shd w:val="clear" w:color="auto" w:fill="auto"/>
        <w:tabs>
          <w:tab w:val="left" w:pos="1595"/>
        </w:tabs>
        <w:bidi w:val="0"/>
        <w:spacing w:before="0" w:after="0" w:line="577" w:lineRule="exact"/>
        <w:ind w:left="0" w:right="0" w:firstLine="780"/>
        <w:jc w:val="left"/>
        <w:rPr>
          <w:rFonts w:hint="eastAsia" w:ascii="宋体" w:hAnsi="宋体" w:eastAsia="宋体" w:cs="宋体"/>
          <w:color w:val="auto"/>
        </w:rPr>
      </w:pPr>
      <w:bookmarkStart w:id="32" w:name="bookmark42"/>
      <w:r>
        <w:rPr>
          <w:rFonts w:hint="eastAsia" w:ascii="宋体" w:hAnsi="宋体" w:eastAsia="宋体" w:cs="宋体"/>
          <w:color w:val="auto"/>
          <w:spacing w:val="0"/>
          <w:w w:val="100"/>
          <w:position w:val="0"/>
        </w:rPr>
        <w:t>（</w:t>
      </w:r>
      <w:bookmarkEnd w:id="32"/>
      <w:r>
        <w:rPr>
          <w:rFonts w:hint="eastAsia" w:ascii="宋体" w:hAnsi="宋体" w:eastAsia="宋体" w:cs="宋体"/>
          <w:color w:val="auto"/>
          <w:spacing w:val="0"/>
          <w:w w:val="100"/>
          <w:position w:val="0"/>
        </w:rPr>
        <w:t>一）一般公共预算财政拨款支出决算总体情况</w:t>
      </w:r>
    </w:p>
    <w:p w14:paraId="7998161F">
      <w:pPr>
        <w:pStyle w:val="13"/>
        <w:keepNext w:val="0"/>
        <w:keepLines w:val="0"/>
        <w:widowControl w:val="0"/>
        <w:shd w:val="clear" w:color="auto" w:fill="auto"/>
        <w:bidi w:val="0"/>
        <w:spacing w:before="0" w:after="0" w:line="577" w:lineRule="exact"/>
        <w:ind w:left="0" w:right="0" w:firstLine="620"/>
        <w:jc w:val="left"/>
        <w:rPr>
          <w:rFonts w:hint="eastAsia" w:ascii="宋体" w:hAnsi="宋体" w:eastAsia="宋体" w:cs="宋体"/>
          <w:color w:val="auto"/>
          <w:lang w:eastAsia="zh-CN"/>
        </w:rPr>
      </w:pPr>
      <w:r>
        <w:rPr>
          <w:rFonts w:hint="eastAsia" w:ascii="宋体" w:hAnsi="宋体" w:eastAsia="宋体" w:cs="宋体"/>
          <w:color w:val="auto"/>
          <w:spacing w:val="0"/>
          <w:w w:val="100"/>
          <w:position w:val="0"/>
        </w:rPr>
        <w:t>2020年一般公共预算财政拨款支出1</w:t>
      </w:r>
      <w:r>
        <w:rPr>
          <w:rFonts w:hint="eastAsia" w:ascii="宋体" w:hAnsi="宋体" w:eastAsia="宋体" w:cs="宋体"/>
          <w:color w:val="auto"/>
          <w:spacing w:val="0"/>
          <w:w w:val="100"/>
          <w:position w:val="0"/>
          <w:lang w:val="en-US" w:eastAsia="en-US"/>
        </w:rPr>
        <w:t>784.</w:t>
      </w:r>
      <w:r>
        <w:rPr>
          <w:rFonts w:hint="eastAsia" w:ascii="宋体" w:hAnsi="宋体" w:eastAsia="宋体" w:cs="宋体"/>
          <w:color w:val="auto"/>
          <w:spacing w:val="0"/>
          <w:w w:val="100"/>
          <w:position w:val="0"/>
        </w:rPr>
        <w:t>67万元，占本年支出合计的100%。与2019年相比，一般公共预算财政拨款增加</w:t>
      </w:r>
      <w:r>
        <w:rPr>
          <w:rFonts w:hint="eastAsia" w:ascii="宋体" w:hAnsi="宋体" w:eastAsia="宋体" w:cs="宋体"/>
          <w:color w:val="auto"/>
          <w:spacing w:val="0"/>
          <w:w w:val="100"/>
          <w:position w:val="0"/>
          <w:lang w:val="en-US" w:eastAsia="en-US"/>
        </w:rPr>
        <w:t>1185.9</w:t>
      </w:r>
      <w:r>
        <w:rPr>
          <w:rFonts w:hint="eastAsia" w:ascii="宋体" w:hAnsi="宋体" w:eastAsia="宋体" w:cs="宋体"/>
          <w:color w:val="auto"/>
          <w:spacing w:val="0"/>
          <w:w w:val="100"/>
          <w:position w:val="0"/>
        </w:rPr>
        <w:t>万元，增长66%</w:t>
      </w:r>
      <w:r>
        <w:rPr>
          <w:rFonts w:hint="eastAsia" w:ascii="宋体" w:hAnsi="宋体" w:eastAsia="宋体" w:cs="宋体"/>
          <w:color w:val="auto"/>
          <w:spacing w:val="0"/>
          <w:w w:val="100"/>
          <w:position w:val="0"/>
          <w:lang w:val="en-US" w:eastAsia="zh-CN"/>
        </w:rPr>
        <w:t>。</w:t>
      </w:r>
      <w:r>
        <w:rPr>
          <w:rFonts w:hint="eastAsia" w:ascii="宋体" w:hAnsi="宋体" w:eastAsia="宋体" w:cs="宋体"/>
          <w:color w:val="auto"/>
          <w:spacing w:val="0"/>
          <w:w w:val="100"/>
          <w:position w:val="0"/>
        </w:rPr>
        <w:t>主要变动原因是行政区划调整</w:t>
      </w:r>
      <w:r>
        <w:rPr>
          <w:rFonts w:hint="eastAsia" w:ascii="宋体" w:hAnsi="宋体" w:eastAsia="宋体" w:cs="宋体"/>
          <w:color w:val="auto"/>
          <w:spacing w:val="0"/>
          <w:w w:val="100"/>
          <w:position w:val="0"/>
          <w:lang w:eastAsia="zh-CN"/>
        </w:rPr>
        <w:t>。</w:t>
      </w:r>
    </w:p>
    <w:p w14:paraId="52B805EA">
      <w:pPr>
        <w:pStyle w:val="13"/>
        <w:keepNext w:val="0"/>
        <w:keepLines w:val="0"/>
        <w:widowControl w:val="0"/>
        <w:shd w:val="clear" w:color="auto" w:fill="auto"/>
        <w:tabs>
          <w:tab w:val="left" w:pos="1595"/>
        </w:tabs>
        <w:bidi w:val="0"/>
        <w:spacing w:before="0" w:after="0" w:line="577" w:lineRule="exact"/>
        <w:ind w:left="0" w:right="0" w:firstLine="780"/>
        <w:jc w:val="left"/>
        <w:rPr>
          <w:rFonts w:hint="eastAsia" w:ascii="宋体" w:hAnsi="宋体" w:eastAsia="宋体" w:cs="宋体"/>
          <w:color w:val="auto"/>
        </w:rPr>
      </w:pPr>
      <w:bookmarkStart w:id="33" w:name="bookmark43"/>
      <w:r>
        <w:rPr>
          <w:rFonts w:hint="eastAsia" w:ascii="宋体" w:hAnsi="宋体" w:eastAsia="宋体" w:cs="宋体"/>
          <w:color w:val="auto"/>
          <w:spacing w:val="0"/>
          <w:w w:val="100"/>
          <w:position w:val="0"/>
        </w:rPr>
        <w:t>（</w:t>
      </w:r>
      <w:bookmarkEnd w:id="33"/>
      <w:r>
        <w:rPr>
          <w:rFonts w:hint="eastAsia" w:ascii="宋体" w:hAnsi="宋体" w:eastAsia="宋体" w:cs="宋体"/>
          <w:color w:val="auto"/>
          <w:spacing w:val="0"/>
          <w:w w:val="100"/>
          <w:position w:val="0"/>
        </w:rPr>
        <w:t>二）一般公共预算财政拨款支出决算结构情况</w:t>
      </w:r>
    </w:p>
    <w:p w14:paraId="0C306B77">
      <w:pPr>
        <w:pStyle w:val="13"/>
        <w:keepNext w:val="0"/>
        <w:keepLines w:val="0"/>
        <w:widowControl w:val="0"/>
        <w:shd w:val="clear" w:color="auto" w:fill="auto"/>
        <w:bidi w:val="0"/>
        <w:spacing w:before="0" w:after="0" w:line="577" w:lineRule="exact"/>
        <w:ind w:left="0" w:right="0" w:firstLine="620"/>
        <w:jc w:val="left"/>
        <w:rPr>
          <w:rFonts w:hint="eastAsia" w:ascii="宋体" w:hAnsi="宋体" w:eastAsia="宋体" w:cs="宋体"/>
          <w:color w:val="auto"/>
          <w:spacing w:val="0"/>
          <w:w w:val="100"/>
          <w:position w:val="0"/>
          <w:lang w:eastAsia="zh-CN"/>
        </w:rPr>
      </w:pPr>
      <w:r>
        <w:rPr>
          <w:rFonts w:hint="eastAsia" w:ascii="宋体" w:hAnsi="宋体" w:eastAsia="宋体" w:cs="宋体"/>
          <w:color w:val="auto"/>
          <w:spacing w:val="0"/>
          <w:w w:val="100"/>
          <w:position w:val="0"/>
        </w:rPr>
        <w:t>2020年一般公共预算财政拨款支出1</w:t>
      </w:r>
      <w:r>
        <w:rPr>
          <w:rFonts w:hint="eastAsia" w:ascii="宋体" w:hAnsi="宋体" w:eastAsia="宋体" w:cs="宋体"/>
          <w:color w:val="auto"/>
          <w:spacing w:val="0"/>
          <w:w w:val="100"/>
          <w:position w:val="0"/>
          <w:lang w:val="en-US" w:eastAsia="en-US"/>
        </w:rPr>
        <w:t>784.</w:t>
      </w:r>
      <w:r>
        <w:rPr>
          <w:rFonts w:hint="eastAsia" w:ascii="宋体" w:hAnsi="宋体" w:eastAsia="宋体" w:cs="宋体"/>
          <w:color w:val="auto"/>
          <w:spacing w:val="0"/>
          <w:w w:val="100"/>
          <w:position w:val="0"/>
        </w:rPr>
        <w:t>67万元，主要用于以下方面：一般公共服务（类）支出</w:t>
      </w:r>
      <w:r>
        <w:rPr>
          <w:rFonts w:hint="eastAsia" w:ascii="宋体" w:hAnsi="宋体" w:eastAsia="宋体" w:cs="宋体"/>
          <w:color w:val="auto"/>
          <w:spacing w:val="0"/>
          <w:w w:val="100"/>
          <w:position w:val="0"/>
          <w:lang w:val="en-US" w:eastAsia="en-US"/>
        </w:rPr>
        <w:t>668.32</w:t>
      </w:r>
      <w:r>
        <w:rPr>
          <w:rFonts w:hint="eastAsia" w:ascii="宋体" w:hAnsi="宋体" w:eastAsia="宋体" w:cs="宋体"/>
          <w:color w:val="auto"/>
          <w:spacing w:val="0"/>
          <w:w w:val="100"/>
          <w:position w:val="0"/>
        </w:rPr>
        <w:t>万元，占37%；公共安全支出（类</w:t>
      </w:r>
      <w:r>
        <w:rPr>
          <w:rFonts w:hint="eastAsia" w:ascii="宋体" w:hAnsi="宋体" w:eastAsia="宋体" w:cs="宋体"/>
          <w:color w:val="auto"/>
          <w:spacing w:val="0"/>
          <w:w w:val="100"/>
          <w:position w:val="0"/>
          <w:lang w:val="en-US" w:eastAsia="en-US"/>
        </w:rPr>
        <w:t>）6.</w:t>
      </w:r>
      <w:r>
        <w:rPr>
          <w:rFonts w:hint="eastAsia" w:ascii="宋体" w:hAnsi="宋体" w:eastAsia="宋体" w:cs="宋体"/>
          <w:color w:val="auto"/>
          <w:spacing w:val="0"/>
          <w:w w:val="100"/>
          <w:position w:val="0"/>
        </w:rPr>
        <w:t>79万元，占0.4%；社会保障和就业支出（类）支出</w:t>
      </w:r>
      <w:r>
        <w:rPr>
          <w:rFonts w:hint="eastAsia" w:ascii="宋体" w:hAnsi="宋体" w:eastAsia="宋体" w:cs="宋体"/>
          <w:color w:val="auto"/>
          <w:spacing w:val="0"/>
          <w:w w:val="100"/>
          <w:position w:val="0"/>
          <w:lang w:val="en-US" w:eastAsia="en-US"/>
        </w:rPr>
        <w:t>92.79</w:t>
      </w:r>
      <w:r>
        <w:rPr>
          <w:rFonts w:hint="eastAsia" w:ascii="宋体" w:hAnsi="宋体" w:eastAsia="宋体" w:cs="宋体"/>
          <w:color w:val="auto"/>
          <w:spacing w:val="0"/>
          <w:w w:val="100"/>
          <w:position w:val="0"/>
        </w:rPr>
        <w:t>万元，占</w:t>
      </w:r>
      <w:r>
        <w:rPr>
          <w:rFonts w:hint="eastAsia" w:ascii="宋体" w:hAnsi="宋体" w:eastAsia="宋体" w:cs="宋体"/>
          <w:color w:val="auto"/>
          <w:spacing w:val="0"/>
          <w:w w:val="100"/>
          <w:position w:val="0"/>
          <w:lang w:val="en-US" w:eastAsia="en-US"/>
        </w:rPr>
        <w:t>5.</w:t>
      </w:r>
      <w:r>
        <w:rPr>
          <w:rFonts w:hint="eastAsia" w:ascii="宋体" w:hAnsi="宋体" w:eastAsia="宋体" w:cs="宋体"/>
          <w:color w:val="auto"/>
          <w:spacing w:val="0"/>
          <w:w w:val="100"/>
          <w:position w:val="0"/>
        </w:rPr>
        <w:t>3%；卫生健康支出（类）支出</w:t>
      </w:r>
      <w:r>
        <w:rPr>
          <w:rFonts w:hint="eastAsia" w:ascii="宋体" w:hAnsi="宋体" w:eastAsia="宋体" w:cs="宋体"/>
          <w:color w:val="auto"/>
          <w:spacing w:val="0"/>
          <w:w w:val="100"/>
          <w:position w:val="0"/>
          <w:lang w:val="en-US" w:eastAsia="en-US"/>
        </w:rPr>
        <w:t>68.</w:t>
      </w:r>
      <w:r>
        <w:rPr>
          <w:rFonts w:hint="eastAsia" w:ascii="宋体" w:hAnsi="宋体" w:eastAsia="宋体" w:cs="宋体"/>
          <w:color w:val="auto"/>
          <w:spacing w:val="0"/>
          <w:w w:val="100"/>
          <w:position w:val="0"/>
        </w:rPr>
        <w:t>71万元，占</w:t>
      </w:r>
      <w:r>
        <w:rPr>
          <w:rFonts w:hint="eastAsia" w:ascii="宋体" w:hAnsi="宋体" w:eastAsia="宋体" w:cs="宋体"/>
          <w:color w:val="auto"/>
          <w:spacing w:val="0"/>
          <w:w w:val="100"/>
          <w:position w:val="0"/>
          <w:lang w:val="en-US" w:eastAsia="en-US"/>
        </w:rPr>
        <w:t>4.</w:t>
      </w:r>
      <w:r>
        <w:rPr>
          <w:rFonts w:hint="eastAsia" w:ascii="宋体" w:hAnsi="宋体" w:eastAsia="宋体" w:cs="宋体"/>
          <w:color w:val="auto"/>
          <w:spacing w:val="0"/>
          <w:w w:val="100"/>
          <w:position w:val="0"/>
        </w:rPr>
        <w:t>1%；城乡社区支出（类）支出</w:t>
      </w:r>
      <w:r>
        <w:rPr>
          <w:rFonts w:hint="eastAsia" w:ascii="宋体" w:hAnsi="宋体" w:eastAsia="宋体" w:cs="宋体"/>
          <w:color w:val="auto"/>
          <w:spacing w:val="0"/>
          <w:w w:val="100"/>
          <w:position w:val="0"/>
          <w:lang w:val="en-US" w:eastAsia="en-US"/>
        </w:rPr>
        <w:t>28.26</w:t>
      </w:r>
      <w:r>
        <w:rPr>
          <w:rFonts w:hint="eastAsia" w:ascii="宋体" w:hAnsi="宋体" w:eastAsia="宋体" w:cs="宋体"/>
          <w:color w:val="auto"/>
          <w:spacing w:val="0"/>
          <w:w w:val="100"/>
          <w:position w:val="0"/>
        </w:rPr>
        <w:t>万元，占</w:t>
      </w:r>
      <w:r>
        <w:rPr>
          <w:rFonts w:hint="eastAsia" w:ascii="宋体" w:hAnsi="宋体" w:eastAsia="宋体" w:cs="宋体"/>
          <w:color w:val="auto"/>
          <w:spacing w:val="0"/>
          <w:w w:val="100"/>
          <w:position w:val="0"/>
          <w:lang w:val="en-US" w:eastAsia="en-US"/>
        </w:rPr>
        <w:t>2.</w:t>
      </w:r>
      <w:r>
        <w:rPr>
          <w:rFonts w:hint="eastAsia" w:ascii="宋体" w:hAnsi="宋体" w:eastAsia="宋体" w:cs="宋体"/>
          <w:color w:val="auto"/>
          <w:spacing w:val="0"/>
          <w:w w:val="100"/>
          <w:position w:val="0"/>
        </w:rPr>
        <w:t>1%；农林水支出</w:t>
      </w:r>
      <w:r>
        <w:rPr>
          <w:rFonts w:hint="eastAsia" w:ascii="宋体" w:hAnsi="宋体" w:eastAsia="宋体" w:cs="宋体"/>
          <w:color w:val="auto"/>
          <w:spacing w:val="0"/>
          <w:w w:val="100"/>
          <w:position w:val="0"/>
          <w:lang w:val="en-US" w:eastAsia="en-US"/>
        </w:rPr>
        <w:t>821.</w:t>
      </w:r>
      <w:r>
        <w:rPr>
          <w:rFonts w:hint="eastAsia" w:ascii="宋体" w:hAnsi="宋体" w:eastAsia="宋体" w:cs="宋体"/>
          <w:color w:val="auto"/>
          <w:spacing w:val="0"/>
          <w:w w:val="100"/>
          <w:position w:val="0"/>
        </w:rPr>
        <w:t>12万元，占46%；住房保障支出</w:t>
      </w:r>
      <w:r>
        <w:rPr>
          <w:rFonts w:hint="eastAsia" w:ascii="宋体" w:hAnsi="宋体" w:eastAsia="宋体" w:cs="宋体"/>
          <w:color w:val="auto"/>
          <w:spacing w:val="0"/>
          <w:w w:val="100"/>
          <w:position w:val="0"/>
          <w:lang w:val="en-US" w:eastAsia="en-US"/>
        </w:rPr>
        <w:t>80.69</w:t>
      </w:r>
      <w:r>
        <w:rPr>
          <w:rFonts w:hint="eastAsia" w:ascii="宋体" w:hAnsi="宋体" w:eastAsia="宋体" w:cs="宋体"/>
          <w:color w:val="auto"/>
          <w:spacing w:val="0"/>
          <w:w w:val="100"/>
          <w:position w:val="0"/>
        </w:rPr>
        <w:t>万元，占</w:t>
      </w:r>
      <w:r>
        <w:rPr>
          <w:rFonts w:hint="eastAsia" w:ascii="宋体" w:hAnsi="宋体" w:eastAsia="宋体" w:cs="宋体"/>
          <w:color w:val="auto"/>
          <w:spacing w:val="0"/>
          <w:w w:val="100"/>
          <w:position w:val="0"/>
          <w:lang w:val="en-US" w:eastAsia="en-US"/>
        </w:rPr>
        <w:t>5.l%</w:t>
      </w:r>
      <w:r>
        <w:rPr>
          <w:rFonts w:hint="eastAsia" w:ascii="宋体" w:hAnsi="宋体" w:eastAsia="宋体" w:cs="宋体"/>
          <w:color w:val="auto"/>
          <w:spacing w:val="0"/>
          <w:w w:val="100"/>
          <w:position w:val="0"/>
          <w:lang w:val="en-US" w:eastAsia="zh-CN"/>
        </w:rPr>
        <w:t>。</w:t>
      </w:r>
    </w:p>
    <w:p w14:paraId="51FD2B8C">
      <w:pPr>
        <w:pStyle w:val="13"/>
        <w:keepNext w:val="0"/>
        <w:keepLines w:val="0"/>
        <w:widowControl w:val="0"/>
        <w:shd w:val="clear" w:color="auto" w:fill="auto"/>
        <w:bidi w:val="0"/>
        <w:spacing w:before="0" w:after="0" w:line="577" w:lineRule="exact"/>
        <w:ind w:left="0" w:right="0" w:firstLine="600" w:firstLineChars="200"/>
        <w:jc w:val="left"/>
        <w:rPr>
          <w:rFonts w:hint="eastAsia" w:ascii="宋体" w:hAnsi="宋体" w:eastAsia="宋体" w:cs="宋体"/>
          <w:color w:val="auto"/>
        </w:rPr>
      </w:pPr>
      <w:r>
        <w:rPr>
          <w:rFonts w:hint="eastAsia" w:ascii="宋体" w:hAnsi="宋体" w:eastAsia="宋体" w:cs="宋体"/>
          <w:color w:val="auto"/>
          <w:spacing w:val="0"/>
          <w:w w:val="100"/>
          <w:position w:val="0"/>
        </w:rPr>
        <w:t>（三）一般公共预算财政拨款支出决算具体情况</w:t>
      </w:r>
    </w:p>
    <w:p w14:paraId="05FA0C6C">
      <w:pPr>
        <w:pStyle w:val="13"/>
        <w:keepNext w:val="0"/>
        <w:keepLines w:val="0"/>
        <w:widowControl w:val="0"/>
        <w:shd w:val="clear" w:color="auto" w:fill="auto"/>
        <w:bidi w:val="0"/>
        <w:spacing w:before="0" w:after="0" w:line="600" w:lineRule="exact"/>
        <w:ind w:left="0" w:right="0" w:firstLine="620"/>
        <w:jc w:val="left"/>
        <w:rPr>
          <w:rFonts w:hint="eastAsia" w:ascii="宋体" w:hAnsi="宋体" w:eastAsia="宋体" w:cs="宋体"/>
          <w:color w:val="auto"/>
        </w:rPr>
      </w:pPr>
      <w:r>
        <w:rPr>
          <w:rFonts w:hint="eastAsia" w:ascii="宋体" w:hAnsi="宋体" w:eastAsia="宋体" w:cs="宋体"/>
          <w:color w:val="auto"/>
          <w:spacing w:val="0"/>
          <w:w w:val="100"/>
          <w:position w:val="0"/>
        </w:rPr>
        <w:t>2020年一般公共预算支出决算数为</w:t>
      </w:r>
      <w:r>
        <w:rPr>
          <w:rFonts w:hint="eastAsia" w:ascii="宋体" w:hAnsi="宋体" w:eastAsia="宋体" w:cs="宋体"/>
          <w:color w:val="auto"/>
          <w:spacing w:val="0"/>
          <w:w w:val="100"/>
          <w:position w:val="0"/>
          <w:lang w:val="en-US" w:eastAsia="en-US" w:bidi="en-US"/>
        </w:rPr>
        <w:t>1766.</w:t>
      </w:r>
      <w:r>
        <w:rPr>
          <w:rFonts w:hint="eastAsia" w:ascii="宋体" w:hAnsi="宋体" w:eastAsia="宋体" w:cs="宋体"/>
          <w:color w:val="auto"/>
          <w:spacing w:val="0"/>
          <w:w w:val="100"/>
          <w:position w:val="0"/>
        </w:rPr>
        <w:t>67完成预算100%。其中：</w:t>
      </w:r>
    </w:p>
    <w:p w14:paraId="6EC67DC5">
      <w:pPr>
        <w:pStyle w:val="13"/>
        <w:keepNext w:val="0"/>
        <w:keepLines w:val="0"/>
        <w:widowControl w:val="0"/>
        <w:numPr>
          <w:ilvl w:val="0"/>
          <w:numId w:val="3"/>
        </w:numPr>
        <w:shd w:val="clear" w:color="auto" w:fill="auto"/>
        <w:tabs>
          <w:tab w:val="left" w:pos="1025"/>
        </w:tabs>
        <w:bidi w:val="0"/>
        <w:spacing w:before="0" w:after="240" w:line="570" w:lineRule="exact"/>
        <w:ind w:left="0" w:right="0" w:firstLine="620"/>
        <w:jc w:val="left"/>
        <w:rPr>
          <w:rFonts w:hint="eastAsia" w:ascii="宋体" w:hAnsi="宋体" w:eastAsia="宋体" w:cs="宋体"/>
          <w:color w:val="auto"/>
        </w:rPr>
      </w:pPr>
      <w:bookmarkStart w:id="34" w:name="bookmark44"/>
      <w:bookmarkEnd w:id="34"/>
      <w:r>
        <w:rPr>
          <w:rFonts w:hint="eastAsia" w:ascii="宋体" w:hAnsi="宋体" w:eastAsia="宋体" w:cs="宋体"/>
          <w:color w:val="auto"/>
          <w:spacing w:val="0"/>
          <w:w w:val="100"/>
          <w:position w:val="0"/>
        </w:rPr>
        <w:t>一般公共服务（类）：支出决算为</w:t>
      </w:r>
      <w:r>
        <w:rPr>
          <w:rFonts w:hint="eastAsia" w:ascii="宋体" w:hAnsi="宋体" w:eastAsia="宋体" w:cs="宋体"/>
          <w:color w:val="auto"/>
          <w:spacing w:val="0"/>
          <w:w w:val="100"/>
          <w:position w:val="0"/>
          <w:lang w:val="en-US" w:eastAsia="en-US"/>
        </w:rPr>
        <w:t>668.32</w:t>
      </w:r>
      <w:r>
        <w:rPr>
          <w:rFonts w:hint="eastAsia" w:ascii="宋体" w:hAnsi="宋体" w:eastAsia="宋体" w:cs="宋体"/>
          <w:color w:val="auto"/>
          <w:spacing w:val="0"/>
          <w:w w:val="100"/>
          <w:position w:val="0"/>
        </w:rPr>
        <w:t>万元，完成预算100%,决算数等于预算数。</w:t>
      </w:r>
    </w:p>
    <w:p w14:paraId="4CF5BCEA">
      <w:pPr>
        <w:pStyle w:val="13"/>
        <w:keepNext w:val="0"/>
        <w:keepLines w:val="0"/>
        <w:widowControl w:val="0"/>
        <w:numPr>
          <w:ilvl w:val="0"/>
          <w:numId w:val="3"/>
        </w:numPr>
        <w:shd w:val="clear" w:color="auto" w:fill="auto"/>
        <w:tabs>
          <w:tab w:val="left" w:pos="1010"/>
        </w:tabs>
        <w:bidi w:val="0"/>
        <w:spacing w:before="0" w:after="0" w:line="418" w:lineRule="auto"/>
        <w:ind w:left="0" w:right="0" w:firstLine="620"/>
        <w:jc w:val="left"/>
        <w:rPr>
          <w:rFonts w:hint="eastAsia" w:ascii="宋体" w:hAnsi="宋体" w:eastAsia="宋体" w:cs="宋体"/>
          <w:color w:val="auto"/>
        </w:rPr>
      </w:pPr>
      <w:bookmarkStart w:id="35" w:name="bookmark45"/>
      <w:bookmarkEnd w:id="35"/>
      <w:r>
        <w:rPr>
          <w:rFonts w:hint="eastAsia" w:ascii="宋体" w:hAnsi="宋体" w:eastAsia="宋体" w:cs="宋体"/>
          <w:color w:val="auto"/>
          <w:spacing w:val="0"/>
          <w:w w:val="100"/>
          <w:position w:val="0"/>
        </w:rPr>
        <w:t>公共安全支出（类）：支出决算为</w:t>
      </w:r>
      <w:r>
        <w:rPr>
          <w:rFonts w:hint="eastAsia" w:ascii="宋体" w:hAnsi="宋体" w:eastAsia="宋体" w:cs="宋体"/>
          <w:color w:val="auto"/>
          <w:spacing w:val="0"/>
          <w:w w:val="100"/>
          <w:position w:val="0"/>
          <w:lang w:val="en-US" w:eastAsia="en-US"/>
        </w:rPr>
        <w:t>6.</w:t>
      </w:r>
      <w:r>
        <w:rPr>
          <w:rFonts w:hint="eastAsia" w:ascii="宋体" w:hAnsi="宋体" w:eastAsia="宋体" w:cs="宋体"/>
          <w:color w:val="auto"/>
          <w:spacing w:val="0"/>
          <w:w w:val="100"/>
          <w:position w:val="0"/>
        </w:rPr>
        <w:t>79万元，完成预算100%,决算数等于预算数。</w:t>
      </w:r>
    </w:p>
    <w:p w14:paraId="3F873735">
      <w:pPr>
        <w:pStyle w:val="13"/>
        <w:keepNext w:val="0"/>
        <w:keepLines w:val="0"/>
        <w:widowControl w:val="0"/>
        <w:numPr>
          <w:ilvl w:val="0"/>
          <w:numId w:val="3"/>
        </w:numPr>
        <w:shd w:val="clear" w:color="auto" w:fill="auto"/>
        <w:tabs>
          <w:tab w:val="left" w:pos="1045"/>
        </w:tabs>
        <w:bidi w:val="0"/>
        <w:spacing w:before="0" w:after="120" w:line="401" w:lineRule="auto"/>
        <w:ind w:left="0" w:right="0" w:firstLine="620"/>
        <w:jc w:val="left"/>
        <w:rPr>
          <w:rFonts w:hint="eastAsia" w:ascii="宋体" w:hAnsi="宋体" w:eastAsia="宋体" w:cs="宋体"/>
          <w:color w:val="auto"/>
        </w:rPr>
      </w:pPr>
      <w:bookmarkStart w:id="36" w:name="bookmark46"/>
      <w:bookmarkEnd w:id="36"/>
      <w:r>
        <w:rPr>
          <w:rFonts w:hint="eastAsia" w:ascii="宋体" w:hAnsi="宋体" w:eastAsia="宋体" w:cs="宋体"/>
          <w:color w:val="auto"/>
          <w:spacing w:val="0"/>
          <w:w w:val="100"/>
          <w:position w:val="0"/>
        </w:rPr>
        <w:t>社会保障和就业支出（类）：支出决算为</w:t>
      </w:r>
      <w:r>
        <w:rPr>
          <w:rFonts w:hint="eastAsia" w:ascii="宋体" w:hAnsi="宋体" w:eastAsia="宋体" w:cs="宋体"/>
          <w:color w:val="auto"/>
          <w:spacing w:val="0"/>
          <w:w w:val="100"/>
          <w:position w:val="0"/>
          <w:lang w:val="en-US" w:eastAsia="en-US" w:bidi="en-US"/>
        </w:rPr>
        <w:t>92.</w:t>
      </w:r>
      <w:r>
        <w:rPr>
          <w:rFonts w:hint="eastAsia" w:ascii="宋体" w:hAnsi="宋体" w:eastAsia="宋体" w:cs="宋体"/>
          <w:color w:val="auto"/>
          <w:spacing w:val="0"/>
          <w:w w:val="100"/>
          <w:position w:val="0"/>
        </w:rPr>
        <w:t>79万元，完成预算100%,决算数等于预算数。</w:t>
      </w:r>
    </w:p>
    <w:p w14:paraId="52FFD684">
      <w:pPr>
        <w:pStyle w:val="13"/>
        <w:keepNext w:val="0"/>
        <w:keepLines w:val="0"/>
        <w:widowControl w:val="0"/>
        <w:numPr>
          <w:ilvl w:val="0"/>
          <w:numId w:val="4"/>
        </w:numPr>
        <w:shd w:val="clear" w:color="auto" w:fill="auto"/>
        <w:tabs>
          <w:tab w:val="left" w:pos="1010"/>
        </w:tabs>
        <w:bidi w:val="0"/>
        <w:spacing w:before="0" w:after="0" w:line="585" w:lineRule="exact"/>
        <w:ind w:left="0" w:right="0" w:firstLine="640"/>
        <w:jc w:val="left"/>
        <w:rPr>
          <w:rFonts w:hint="eastAsia" w:ascii="宋体" w:hAnsi="宋体" w:eastAsia="宋体" w:cs="宋体"/>
          <w:color w:val="auto"/>
        </w:rPr>
      </w:pPr>
      <w:bookmarkStart w:id="37" w:name="bookmark47"/>
      <w:bookmarkEnd w:id="37"/>
      <w:r>
        <w:rPr>
          <w:rFonts w:hint="eastAsia" w:ascii="宋体" w:hAnsi="宋体" w:eastAsia="宋体" w:cs="宋体"/>
          <w:color w:val="auto"/>
          <w:spacing w:val="0"/>
          <w:w w:val="100"/>
          <w:position w:val="0"/>
        </w:rPr>
        <w:t>卫生健康支出（类）：支出决算为</w:t>
      </w:r>
      <w:r>
        <w:rPr>
          <w:rFonts w:hint="eastAsia" w:ascii="宋体" w:hAnsi="宋体" w:eastAsia="宋体" w:cs="宋体"/>
          <w:color w:val="auto"/>
          <w:spacing w:val="0"/>
          <w:w w:val="100"/>
          <w:position w:val="0"/>
          <w:lang w:val="en-US" w:eastAsia="en-US" w:bidi="en-US"/>
        </w:rPr>
        <w:t>68.</w:t>
      </w:r>
      <w:r>
        <w:rPr>
          <w:rFonts w:hint="eastAsia" w:ascii="宋体" w:hAnsi="宋体" w:eastAsia="宋体" w:cs="宋体"/>
          <w:color w:val="auto"/>
          <w:spacing w:val="0"/>
          <w:w w:val="100"/>
          <w:position w:val="0"/>
        </w:rPr>
        <w:t>71万元，完成预算100%,决算数等于预算数。</w:t>
      </w:r>
    </w:p>
    <w:p w14:paraId="35E12D0F">
      <w:pPr>
        <w:pStyle w:val="13"/>
        <w:keepNext w:val="0"/>
        <w:keepLines w:val="0"/>
        <w:widowControl w:val="0"/>
        <w:numPr>
          <w:ilvl w:val="0"/>
          <w:numId w:val="4"/>
        </w:numPr>
        <w:shd w:val="clear" w:color="auto" w:fill="auto"/>
        <w:tabs>
          <w:tab w:val="left" w:pos="1025"/>
        </w:tabs>
        <w:bidi w:val="0"/>
        <w:spacing w:before="0" w:after="0" w:line="600" w:lineRule="exact"/>
        <w:ind w:left="0" w:right="0" w:firstLine="640"/>
        <w:jc w:val="left"/>
        <w:rPr>
          <w:rFonts w:hint="eastAsia" w:ascii="宋体" w:hAnsi="宋体" w:eastAsia="宋体" w:cs="宋体"/>
          <w:color w:val="auto"/>
        </w:rPr>
      </w:pPr>
      <w:bookmarkStart w:id="38" w:name="bookmark48"/>
      <w:bookmarkEnd w:id="38"/>
      <w:r>
        <w:rPr>
          <w:rFonts w:hint="eastAsia" w:ascii="宋体" w:hAnsi="宋体" w:eastAsia="宋体" w:cs="宋体"/>
          <w:color w:val="auto"/>
          <w:spacing w:val="0"/>
          <w:w w:val="100"/>
          <w:position w:val="0"/>
        </w:rPr>
        <w:t>城乡社区支出：支出决算为</w:t>
      </w:r>
      <w:r>
        <w:rPr>
          <w:rFonts w:hint="eastAsia" w:ascii="宋体" w:hAnsi="宋体" w:eastAsia="宋体" w:cs="宋体"/>
          <w:color w:val="auto"/>
          <w:spacing w:val="0"/>
          <w:w w:val="100"/>
          <w:position w:val="0"/>
          <w:lang w:val="en-US" w:eastAsia="en-US" w:bidi="en-US"/>
        </w:rPr>
        <w:t>28.26</w:t>
      </w:r>
      <w:r>
        <w:rPr>
          <w:rFonts w:hint="eastAsia" w:ascii="宋体" w:hAnsi="宋体" w:eastAsia="宋体" w:cs="宋体"/>
          <w:color w:val="auto"/>
          <w:spacing w:val="0"/>
          <w:w w:val="100"/>
          <w:position w:val="0"/>
        </w:rPr>
        <w:t>万元，完成预算100%,决算数等于预算数。</w:t>
      </w:r>
    </w:p>
    <w:p w14:paraId="5125969A">
      <w:pPr>
        <w:pStyle w:val="13"/>
        <w:keepNext w:val="0"/>
        <w:keepLines w:val="0"/>
        <w:widowControl w:val="0"/>
        <w:numPr>
          <w:ilvl w:val="0"/>
          <w:numId w:val="4"/>
        </w:numPr>
        <w:shd w:val="clear" w:color="auto" w:fill="auto"/>
        <w:tabs>
          <w:tab w:val="left" w:pos="1025"/>
        </w:tabs>
        <w:bidi w:val="0"/>
        <w:spacing w:before="0" w:after="0" w:line="600" w:lineRule="exact"/>
        <w:ind w:left="0" w:right="0" w:firstLine="640"/>
        <w:jc w:val="left"/>
        <w:rPr>
          <w:rFonts w:hint="eastAsia" w:ascii="宋体" w:hAnsi="宋体" w:eastAsia="宋体" w:cs="宋体"/>
          <w:color w:val="auto"/>
        </w:rPr>
      </w:pPr>
      <w:bookmarkStart w:id="39" w:name="bookmark49"/>
      <w:bookmarkEnd w:id="39"/>
      <w:r>
        <w:rPr>
          <w:rFonts w:hint="eastAsia" w:ascii="宋体" w:hAnsi="宋体" w:eastAsia="宋体" w:cs="宋体"/>
          <w:color w:val="auto"/>
          <w:spacing w:val="0"/>
          <w:w w:val="100"/>
          <w:position w:val="0"/>
        </w:rPr>
        <w:t>农林水支出：支出决算为</w:t>
      </w:r>
      <w:r>
        <w:rPr>
          <w:rFonts w:hint="eastAsia" w:ascii="宋体" w:hAnsi="宋体" w:eastAsia="宋体" w:cs="宋体"/>
          <w:color w:val="auto"/>
          <w:spacing w:val="0"/>
          <w:w w:val="100"/>
          <w:position w:val="0"/>
          <w:lang w:val="en-US" w:eastAsia="en-US" w:bidi="en-US"/>
        </w:rPr>
        <w:t>821.</w:t>
      </w:r>
      <w:r>
        <w:rPr>
          <w:rFonts w:hint="eastAsia" w:ascii="宋体" w:hAnsi="宋体" w:eastAsia="宋体" w:cs="宋体"/>
          <w:color w:val="auto"/>
          <w:spacing w:val="0"/>
          <w:w w:val="100"/>
          <w:position w:val="0"/>
        </w:rPr>
        <w:t>12万元，完成预算100%,决算数等于预算数。</w:t>
      </w:r>
    </w:p>
    <w:p w14:paraId="150ED356">
      <w:pPr>
        <w:pStyle w:val="13"/>
        <w:keepNext w:val="0"/>
        <w:keepLines w:val="0"/>
        <w:widowControl w:val="0"/>
        <w:numPr>
          <w:ilvl w:val="0"/>
          <w:numId w:val="4"/>
        </w:numPr>
        <w:shd w:val="clear" w:color="auto" w:fill="auto"/>
        <w:tabs>
          <w:tab w:val="left" w:pos="1040"/>
        </w:tabs>
        <w:bidi w:val="0"/>
        <w:spacing w:before="0" w:after="0" w:line="600" w:lineRule="exact"/>
        <w:ind w:left="0" w:right="0" w:firstLine="640"/>
        <w:jc w:val="left"/>
        <w:rPr>
          <w:rFonts w:hint="eastAsia" w:ascii="宋体" w:hAnsi="宋体" w:eastAsia="宋体" w:cs="宋体"/>
          <w:color w:val="auto"/>
        </w:rPr>
      </w:pPr>
      <w:bookmarkStart w:id="40" w:name="bookmark50"/>
      <w:bookmarkEnd w:id="40"/>
      <w:r>
        <w:rPr>
          <w:rFonts w:hint="eastAsia" w:ascii="宋体" w:hAnsi="宋体" w:eastAsia="宋体" w:cs="宋体"/>
          <w:color w:val="auto"/>
          <w:spacing w:val="0"/>
          <w:w w:val="100"/>
          <w:position w:val="0"/>
        </w:rPr>
        <w:t>住房保障支出：支出决算数为</w:t>
      </w:r>
      <w:r>
        <w:rPr>
          <w:rFonts w:hint="eastAsia" w:ascii="宋体" w:hAnsi="宋体" w:eastAsia="宋体" w:cs="宋体"/>
          <w:color w:val="auto"/>
          <w:spacing w:val="0"/>
          <w:w w:val="100"/>
          <w:position w:val="0"/>
          <w:lang w:val="en-US" w:eastAsia="en-US" w:bidi="en-US"/>
        </w:rPr>
        <w:t>80.</w:t>
      </w:r>
      <w:r>
        <w:rPr>
          <w:rFonts w:hint="eastAsia" w:ascii="宋体" w:hAnsi="宋体" w:eastAsia="宋体" w:cs="宋体"/>
          <w:color w:val="auto"/>
          <w:spacing w:val="0"/>
          <w:w w:val="100"/>
          <w:position w:val="0"/>
        </w:rPr>
        <w:t>69万元，完成预算100%,决算数等于预算数</w:t>
      </w:r>
    </w:p>
    <w:p w14:paraId="22005886">
      <w:pPr>
        <w:pStyle w:val="13"/>
        <w:keepNext w:val="0"/>
        <w:keepLines w:val="0"/>
        <w:widowControl w:val="0"/>
        <w:shd w:val="clear" w:color="auto" w:fill="auto"/>
        <w:bidi w:val="0"/>
        <w:spacing w:before="0" w:after="0" w:line="585" w:lineRule="exact"/>
        <w:ind w:left="0" w:right="0" w:firstLine="600" w:firstLineChars="200"/>
        <w:jc w:val="left"/>
        <w:outlineLvl w:val="1"/>
        <w:rPr>
          <w:rFonts w:hint="eastAsia" w:ascii="宋体" w:hAnsi="宋体" w:eastAsia="宋体" w:cs="宋体"/>
          <w:color w:val="auto"/>
        </w:rPr>
      </w:pPr>
      <w:bookmarkStart w:id="41" w:name="bookmark51"/>
      <w:bookmarkStart w:id="42" w:name="_Toc28451"/>
      <w:r>
        <w:rPr>
          <w:rFonts w:hint="eastAsia" w:ascii="宋体" w:hAnsi="宋体" w:eastAsia="宋体" w:cs="宋体"/>
          <w:color w:val="auto"/>
          <w:spacing w:val="0"/>
          <w:w w:val="100"/>
          <w:position w:val="0"/>
        </w:rPr>
        <w:t>六</w:t>
      </w:r>
      <w:bookmarkEnd w:id="41"/>
      <w:r>
        <w:rPr>
          <w:rFonts w:hint="eastAsia" w:ascii="宋体" w:hAnsi="宋体" w:eastAsia="宋体" w:cs="宋体"/>
          <w:color w:val="auto"/>
          <w:spacing w:val="0"/>
          <w:w w:val="100"/>
          <w:position w:val="0"/>
        </w:rPr>
        <w:t>、一般公共预算财政拨款基本支出决算情况说明</w:t>
      </w:r>
      <w:bookmarkEnd w:id="42"/>
    </w:p>
    <w:p w14:paraId="0EF69905">
      <w:pPr>
        <w:pStyle w:val="13"/>
        <w:keepNext w:val="0"/>
        <w:keepLines w:val="0"/>
        <w:widowControl w:val="0"/>
        <w:shd w:val="clear" w:color="auto" w:fill="auto"/>
        <w:bidi w:val="0"/>
        <w:spacing w:before="0" w:after="0" w:line="585" w:lineRule="exact"/>
        <w:ind w:left="0" w:leftChars="0" w:right="0" w:firstLine="600" w:firstLineChars="200"/>
        <w:jc w:val="left"/>
        <w:rPr>
          <w:rFonts w:hint="eastAsia" w:ascii="宋体" w:hAnsi="宋体" w:eastAsia="宋体" w:cs="宋体"/>
          <w:color w:val="auto"/>
        </w:rPr>
      </w:pPr>
      <w:r>
        <w:rPr>
          <w:rFonts w:hint="eastAsia" w:ascii="宋体" w:hAnsi="宋体" w:eastAsia="宋体" w:cs="宋体"/>
          <w:color w:val="auto"/>
          <w:spacing w:val="0"/>
          <w:w w:val="100"/>
          <w:position w:val="0"/>
        </w:rPr>
        <w:t>2020年一般公共预算财政拨款基本支出</w:t>
      </w:r>
      <w:r>
        <w:rPr>
          <w:rFonts w:hint="eastAsia" w:ascii="宋体" w:hAnsi="宋体" w:eastAsia="宋体" w:cs="宋体"/>
          <w:color w:val="auto"/>
          <w:spacing w:val="0"/>
          <w:w w:val="100"/>
          <w:position w:val="0"/>
          <w:lang w:val="en-US" w:eastAsia="en-US" w:bidi="en-US"/>
        </w:rPr>
        <w:t>1612.3</w:t>
      </w:r>
      <w:r>
        <w:rPr>
          <w:rFonts w:hint="eastAsia" w:ascii="宋体" w:hAnsi="宋体" w:eastAsia="宋体" w:cs="宋体"/>
          <w:color w:val="auto"/>
          <w:spacing w:val="0"/>
          <w:w w:val="100"/>
          <w:position w:val="0"/>
        </w:rPr>
        <w:t>万元，其中：人员经费1</w:t>
      </w:r>
      <w:r>
        <w:rPr>
          <w:rFonts w:hint="eastAsia" w:ascii="宋体" w:hAnsi="宋体" w:eastAsia="宋体" w:cs="宋体"/>
          <w:color w:val="auto"/>
          <w:spacing w:val="0"/>
          <w:w w:val="100"/>
          <w:position w:val="0"/>
          <w:lang w:val="en-US" w:eastAsia="en-US" w:bidi="en-US"/>
        </w:rPr>
        <w:t>326.</w:t>
      </w:r>
      <w:r>
        <w:rPr>
          <w:rFonts w:hint="eastAsia" w:ascii="宋体" w:hAnsi="宋体" w:eastAsia="宋体" w:cs="宋体"/>
          <w:color w:val="auto"/>
          <w:spacing w:val="0"/>
          <w:w w:val="100"/>
          <w:position w:val="0"/>
        </w:rPr>
        <w:t>46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4087F56">
      <w:pPr>
        <w:pStyle w:val="13"/>
        <w:keepNext w:val="0"/>
        <w:keepLines w:val="0"/>
        <w:widowControl w:val="0"/>
        <w:shd w:val="clear" w:color="auto" w:fill="auto"/>
        <w:bidi w:val="0"/>
        <w:spacing w:before="0" w:after="0" w:line="582" w:lineRule="exact"/>
        <w:ind w:left="0" w:right="0" w:firstLine="780"/>
        <w:jc w:val="left"/>
        <w:rPr>
          <w:rFonts w:hint="eastAsia" w:ascii="宋体" w:hAnsi="宋体" w:eastAsia="宋体" w:cs="宋体"/>
          <w:color w:val="auto"/>
        </w:rPr>
      </w:pPr>
      <w:r>
        <w:rPr>
          <w:rFonts w:hint="eastAsia" w:ascii="宋体" w:hAnsi="宋体" w:eastAsia="宋体" w:cs="宋体"/>
          <w:color w:val="auto"/>
          <w:spacing w:val="0"/>
          <w:w w:val="100"/>
          <w:position w:val="0"/>
        </w:rPr>
        <w:t>日常公用经费</w:t>
      </w:r>
      <w:r>
        <w:rPr>
          <w:rFonts w:hint="eastAsia" w:ascii="宋体" w:hAnsi="宋体" w:eastAsia="宋体" w:cs="宋体"/>
          <w:color w:val="auto"/>
          <w:spacing w:val="0"/>
          <w:w w:val="100"/>
          <w:position w:val="0"/>
          <w:lang w:val="en-US" w:eastAsia="en-US" w:bidi="en-US"/>
        </w:rPr>
        <w:t>285.</w:t>
      </w:r>
      <w:r>
        <w:rPr>
          <w:rFonts w:hint="eastAsia" w:ascii="宋体" w:hAnsi="宋体" w:eastAsia="宋体" w:cs="宋体"/>
          <w:color w:val="auto"/>
          <w:spacing w:val="0"/>
          <w:w w:val="100"/>
          <w:position w:val="0"/>
        </w:rPr>
        <w:t>84万元，主要包括：办公</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、印刷费、咨询</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、手续费、水费、电费、邮电费、取暖</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、物业管理费、差旅庚、因公出国（境）</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用、维修（护）费、租赁</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、会议费、培训费、公务接待</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、劳务费、委托业务</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、工会经费、福利费、公务用车运行维护费、其他交通费、税金及附加费用、其他商品和服务支出、办公设备购置、专用设备购置、信息网络及软件购置更新、其他资本性支出等。</w:t>
      </w:r>
    </w:p>
    <w:p w14:paraId="656F3878">
      <w:pPr>
        <w:pStyle w:val="13"/>
        <w:keepNext w:val="0"/>
        <w:keepLines w:val="0"/>
        <w:widowControl w:val="0"/>
        <w:shd w:val="clear" w:color="auto" w:fill="auto"/>
        <w:bidi w:val="0"/>
        <w:spacing w:before="0" w:after="0" w:line="570" w:lineRule="exact"/>
        <w:ind w:left="0" w:right="0" w:firstLine="780"/>
        <w:jc w:val="left"/>
        <w:outlineLvl w:val="1"/>
        <w:rPr>
          <w:rFonts w:hint="eastAsia" w:ascii="宋体" w:hAnsi="宋体" w:eastAsia="宋体" w:cs="宋体"/>
          <w:color w:val="auto"/>
        </w:rPr>
      </w:pPr>
      <w:bookmarkStart w:id="43" w:name="bookmark52"/>
      <w:bookmarkStart w:id="44" w:name="_Toc12621"/>
      <w:r>
        <w:rPr>
          <w:rFonts w:hint="eastAsia" w:ascii="宋体" w:hAnsi="宋体" w:eastAsia="宋体" w:cs="宋体"/>
          <w:color w:val="auto"/>
          <w:spacing w:val="0"/>
          <w:w w:val="100"/>
          <w:position w:val="0"/>
        </w:rPr>
        <w:t>七</w:t>
      </w:r>
      <w:bookmarkEnd w:id="43"/>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lang w:val="zh-CN" w:eastAsia="zh-CN" w:bidi="zh-CN"/>
        </w:rPr>
        <w:t>“三</w:t>
      </w:r>
      <w:r>
        <w:rPr>
          <w:rFonts w:hint="eastAsia" w:ascii="宋体" w:hAnsi="宋体" w:eastAsia="宋体" w:cs="宋体"/>
          <w:color w:val="auto"/>
          <w:spacing w:val="0"/>
          <w:w w:val="100"/>
          <w:position w:val="0"/>
        </w:rPr>
        <w:t>公”经费财政拨款支出决算情况说明</w:t>
      </w:r>
      <w:bookmarkEnd w:id="44"/>
    </w:p>
    <w:p w14:paraId="1FFD241A">
      <w:pPr>
        <w:pStyle w:val="13"/>
        <w:keepNext w:val="0"/>
        <w:keepLines w:val="0"/>
        <w:widowControl w:val="0"/>
        <w:shd w:val="clear" w:color="auto" w:fill="auto"/>
        <w:tabs>
          <w:tab w:val="left" w:pos="1595"/>
        </w:tabs>
        <w:bidi w:val="0"/>
        <w:spacing w:before="0" w:after="0" w:line="570" w:lineRule="exact"/>
        <w:ind w:left="0" w:right="0" w:firstLine="780"/>
        <w:jc w:val="left"/>
        <w:rPr>
          <w:rFonts w:hint="eastAsia" w:ascii="宋体" w:hAnsi="宋体" w:eastAsia="宋体" w:cs="宋体"/>
          <w:color w:val="auto"/>
        </w:rPr>
      </w:pPr>
      <w:bookmarkStart w:id="45" w:name="bookmark53"/>
      <w:r>
        <w:rPr>
          <w:rFonts w:hint="eastAsia" w:ascii="宋体" w:hAnsi="宋体" w:eastAsia="宋体" w:cs="宋体"/>
          <w:color w:val="auto"/>
          <w:spacing w:val="0"/>
          <w:w w:val="100"/>
          <w:position w:val="0"/>
        </w:rPr>
        <w:t>（</w:t>
      </w:r>
      <w:bookmarkEnd w:id="45"/>
      <w:r>
        <w:rPr>
          <w:rFonts w:hint="eastAsia" w:ascii="宋体" w:hAnsi="宋体" w:eastAsia="宋体" w:cs="宋体"/>
          <w:color w:val="auto"/>
          <w:spacing w:val="0"/>
          <w:w w:val="100"/>
          <w:position w:val="0"/>
        </w:rPr>
        <w:t>一）</w:t>
      </w:r>
      <w:r>
        <w:rPr>
          <w:rFonts w:hint="eastAsia" w:ascii="宋体" w:hAnsi="宋体" w:eastAsia="宋体" w:cs="宋体"/>
          <w:color w:val="auto"/>
          <w:spacing w:val="0"/>
          <w:w w:val="100"/>
          <w:position w:val="0"/>
          <w:lang w:val="zh-CN" w:eastAsia="zh-CN" w:bidi="zh-CN"/>
        </w:rPr>
        <w:t>“三</w:t>
      </w:r>
      <w:r>
        <w:rPr>
          <w:rFonts w:hint="eastAsia" w:ascii="宋体" w:hAnsi="宋体" w:eastAsia="宋体" w:cs="宋体"/>
          <w:color w:val="auto"/>
          <w:spacing w:val="0"/>
          <w:w w:val="100"/>
          <w:position w:val="0"/>
        </w:rPr>
        <w:t>公”经费财政拨款支出决算总体情况说明</w:t>
      </w:r>
    </w:p>
    <w:p w14:paraId="5E82FCD9">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2020年“三公“经</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财政拨款支出决算为</w:t>
      </w:r>
      <w:r>
        <w:rPr>
          <w:rFonts w:hint="eastAsia" w:ascii="宋体" w:hAnsi="宋体" w:eastAsia="宋体" w:cs="宋体"/>
          <w:color w:val="auto"/>
          <w:spacing w:val="0"/>
          <w:w w:val="100"/>
          <w:position w:val="0"/>
          <w:lang w:val="en-US" w:eastAsia="en-US"/>
        </w:rPr>
        <w:t>20.</w:t>
      </w:r>
      <w:r>
        <w:rPr>
          <w:rFonts w:hint="eastAsia" w:ascii="宋体" w:hAnsi="宋体" w:eastAsia="宋体" w:cs="宋体"/>
          <w:color w:val="auto"/>
          <w:spacing w:val="0"/>
          <w:w w:val="100"/>
          <w:position w:val="0"/>
        </w:rPr>
        <w:t>6万元，完成预算100%,决算数与预算数持平。</w:t>
      </w:r>
    </w:p>
    <w:p w14:paraId="304A7C53">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bookmarkStart w:id="46" w:name="bookmark54"/>
      <w:r>
        <w:rPr>
          <w:rFonts w:hint="eastAsia" w:ascii="宋体" w:hAnsi="宋体" w:eastAsia="宋体" w:cs="宋体"/>
          <w:color w:val="auto"/>
          <w:spacing w:val="0"/>
          <w:w w:val="100"/>
          <w:position w:val="0"/>
        </w:rPr>
        <w:t>（</w:t>
      </w:r>
      <w:bookmarkEnd w:id="46"/>
      <w:r>
        <w:rPr>
          <w:rFonts w:hint="eastAsia" w:ascii="宋体" w:hAnsi="宋体" w:eastAsia="宋体" w:cs="宋体"/>
          <w:color w:val="auto"/>
          <w:spacing w:val="0"/>
          <w:w w:val="100"/>
          <w:position w:val="0"/>
        </w:rPr>
        <w:t>二）</w:t>
      </w:r>
      <w:r>
        <w:rPr>
          <w:rFonts w:hint="eastAsia" w:ascii="宋体" w:hAnsi="宋体" w:eastAsia="宋体" w:cs="宋体"/>
          <w:color w:val="auto"/>
          <w:spacing w:val="0"/>
          <w:w w:val="100"/>
          <w:position w:val="0"/>
          <w:lang w:val="zh-CN" w:eastAsia="zh-CN"/>
        </w:rPr>
        <w:t>“三</w:t>
      </w:r>
      <w:r>
        <w:rPr>
          <w:rFonts w:hint="eastAsia" w:ascii="宋体" w:hAnsi="宋体" w:eastAsia="宋体" w:cs="宋体"/>
          <w:color w:val="auto"/>
          <w:spacing w:val="0"/>
          <w:w w:val="100"/>
          <w:position w:val="0"/>
        </w:rPr>
        <w:t>公”经费财政拨款支出决算具体情况说明</w:t>
      </w:r>
    </w:p>
    <w:p w14:paraId="05452EED">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2020年</w:t>
      </w:r>
      <w:r>
        <w:rPr>
          <w:rFonts w:hint="eastAsia" w:ascii="宋体" w:hAnsi="宋体" w:eastAsia="宋体" w:cs="宋体"/>
          <w:color w:val="auto"/>
          <w:spacing w:val="0"/>
          <w:w w:val="100"/>
          <w:position w:val="0"/>
          <w:lang w:val="zh-CN" w:eastAsia="zh-CN"/>
        </w:rPr>
        <w:t>“三公</w:t>
      </w:r>
      <w:r>
        <w:rPr>
          <w:rFonts w:hint="eastAsia" w:ascii="宋体" w:hAnsi="宋体" w:eastAsia="宋体" w:cs="宋体"/>
          <w:color w:val="auto"/>
          <w:spacing w:val="0"/>
          <w:w w:val="100"/>
          <w:position w:val="0"/>
          <w:lang w:val="en-US" w:eastAsia="en-US"/>
        </w:rPr>
        <w:t>"</w:t>
      </w:r>
      <w:r>
        <w:rPr>
          <w:rFonts w:hint="eastAsia" w:ascii="宋体" w:hAnsi="宋体" w:eastAsia="宋体" w:cs="宋体"/>
          <w:color w:val="auto"/>
          <w:spacing w:val="0"/>
          <w:w w:val="100"/>
          <w:position w:val="0"/>
        </w:rPr>
        <w:t>经费财政拨款支出决算中，因公出国（境）费支出决算0万元，</w:t>
      </w:r>
      <w:r>
        <w:rPr>
          <w:rFonts w:hint="eastAsia" w:ascii="宋体" w:hAnsi="宋体" w:eastAsia="宋体" w:cs="宋体"/>
          <w:color w:val="auto"/>
          <w:spacing w:val="0"/>
          <w:w w:val="100"/>
          <w:position w:val="0"/>
          <w:lang w:eastAsia="zh-CN"/>
        </w:rPr>
        <w:t>年初未安排预算</w:t>
      </w:r>
      <w:r>
        <w:rPr>
          <w:rFonts w:hint="eastAsia" w:ascii="宋体" w:hAnsi="宋体" w:eastAsia="宋体" w:cs="宋体"/>
          <w:color w:val="auto"/>
          <w:spacing w:val="0"/>
          <w:w w:val="100"/>
          <w:position w:val="0"/>
        </w:rPr>
        <w:t>;公务用车购置及运行维护费支出决算0万元，</w:t>
      </w:r>
      <w:r>
        <w:rPr>
          <w:rFonts w:hint="eastAsia" w:ascii="宋体" w:hAnsi="宋体" w:eastAsia="宋体" w:cs="宋体"/>
          <w:color w:val="auto"/>
          <w:spacing w:val="0"/>
          <w:w w:val="100"/>
          <w:position w:val="0"/>
          <w:lang w:eastAsia="zh-CN"/>
        </w:rPr>
        <w:t>年初未安排预算</w:t>
      </w:r>
      <w:r>
        <w:rPr>
          <w:rFonts w:hint="eastAsia" w:ascii="宋体" w:hAnsi="宋体" w:eastAsia="宋体" w:cs="宋体"/>
          <w:color w:val="auto"/>
          <w:spacing w:val="0"/>
          <w:w w:val="100"/>
          <w:position w:val="0"/>
        </w:rPr>
        <w:t>;公务接待</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支出决算</w:t>
      </w:r>
      <w:r>
        <w:rPr>
          <w:rFonts w:hint="eastAsia" w:ascii="宋体" w:hAnsi="宋体" w:eastAsia="宋体" w:cs="宋体"/>
          <w:color w:val="auto"/>
          <w:spacing w:val="0"/>
          <w:w w:val="100"/>
          <w:position w:val="0"/>
          <w:lang w:val="en-US" w:eastAsia="en-US"/>
        </w:rPr>
        <w:t>20.6</w:t>
      </w:r>
      <w:r>
        <w:rPr>
          <w:rFonts w:hint="eastAsia" w:ascii="宋体" w:hAnsi="宋体" w:eastAsia="宋体" w:cs="宋体"/>
          <w:color w:val="auto"/>
          <w:spacing w:val="0"/>
          <w:w w:val="100"/>
          <w:position w:val="0"/>
        </w:rPr>
        <w:t>万元，占100%。具体情况如下：</w:t>
      </w:r>
    </w:p>
    <w:p w14:paraId="324A3BEE">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bookmarkStart w:id="47" w:name="bookmark55"/>
      <w:bookmarkEnd w:id="47"/>
      <w:r>
        <w:rPr>
          <w:rFonts w:hint="eastAsia" w:ascii="宋体" w:hAnsi="宋体" w:eastAsia="宋体" w:cs="宋体"/>
          <w:color w:val="auto"/>
          <w:spacing w:val="0"/>
          <w:w w:val="100"/>
          <w:position w:val="0"/>
        </w:rPr>
        <w:t>因公出国（境）经费支出0万元，</w:t>
      </w:r>
      <w:r>
        <w:rPr>
          <w:rFonts w:hint="eastAsia" w:ascii="宋体" w:hAnsi="宋体" w:eastAsia="宋体" w:cs="宋体"/>
          <w:color w:val="auto"/>
          <w:spacing w:val="0"/>
          <w:w w:val="100"/>
          <w:position w:val="0"/>
          <w:lang w:eastAsia="zh-CN"/>
        </w:rPr>
        <w:t>年初未安排预算</w:t>
      </w:r>
      <w:r>
        <w:rPr>
          <w:rFonts w:hint="eastAsia" w:ascii="宋体" w:hAnsi="宋体" w:eastAsia="宋体" w:cs="宋体"/>
          <w:color w:val="auto"/>
          <w:spacing w:val="0"/>
          <w:w w:val="100"/>
          <w:position w:val="0"/>
        </w:rPr>
        <w:t>。全年安排因公出国（境）团组0次，出国（境0人。因公出国（境）支出决算比2019年增加0万元，增长0%。</w:t>
      </w:r>
    </w:p>
    <w:p w14:paraId="4F10035A">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lang w:eastAsia="zh-CN"/>
        </w:rPr>
      </w:pPr>
      <w:bookmarkStart w:id="48" w:name="bookmark56"/>
      <w:bookmarkEnd w:id="48"/>
      <w:r>
        <w:rPr>
          <w:rFonts w:hint="eastAsia" w:ascii="宋体" w:hAnsi="宋体" w:eastAsia="宋体" w:cs="宋体"/>
          <w:color w:val="auto"/>
          <w:spacing w:val="0"/>
          <w:w w:val="100"/>
          <w:position w:val="0"/>
        </w:rPr>
        <w:t>公务用车购置及运行维护费支出0万元，</w:t>
      </w:r>
      <w:r>
        <w:rPr>
          <w:rFonts w:hint="eastAsia" w:ascii="宋体" w:hAnsi="宋体" w:eastAsia="宋体" w:cs="宋体"/>
          <w:color w:val="auto"/>
          <w:spacing w:val="0"/>
          <w:w w:val="100"/>
          <w:position w:val="0"/>
          <w:lang w:eastAsia="zh-CN"/>
        </w:rPr>
        <w:t>年初未安排预算</w:t>
      </w:r>
      <w:r>
        <w:rPr>
          <w:rFonts w:hint="eastAsia" w:ascii="宋体" w:hAnsi="宋体" w:eastAsia="宋体" w:cs="宋体"/>
          <w:color w:val="auto"/>
          <w:spacing w:val="0"/>
          <w:w w:val="100"/>
          <w:position w:val="0"/>
        </w:rPr>
        <w:t>。公务用车购置及运行维护费支出决算比2019年增加0万元，增长</w:t>
      </w:r>
      <w:r>
        <w:rPr>
          <w:rFonts w:hint="eastAsia" w:ascii="宋体" w:hAnsi="宋体" w:eastAsia="宋体" w:cs="宋体"/>
          <w:color w:val="auto"/>
          <w:spacing w:val="0"/>
          <w:w w:val="100"/>
          <w:position w:val="0"/>
          <w:lang w:val="en-US" w:eastAsia="en-US"/>
        </w:rPr>
        <w:t>0%</w:t>
      </w:r>
      <w:r>
        <w:rPr>
          <w:rFonts w:hint="eastAsia" w:ascii="宋体" w:hAnsi="宋体" w:eastAsia="宋体" w:cs="宋体"/>
          <w:color w:val="auto"/>
          <w:spacing w:val="0"/>
          <w:w w:val="100"/>
          <w:position w:val="0"/>
          <w:lang w:val="en-US" w:eastAsia="zh-CN"/>
        </w:rPr>
        <w:t>。</w:t>
      </w:r>
    </w:p>
    <w:p w14:paraId="4288C18B">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其中：公务用车购置支出</w:t>
      </w:r>
      <w:r>
        <w:rPr>
          <w:rFonts w:hint="eastAsia" w:ascii="宋体" w:hAnsi="宋体" w:eastAsia="宋体" w:cs="宋体"/>
          <w:color w:val="auto"/>
          <w:spacing w:val="0"/>
          <w:w w:val="100"/>
          <w:position w:val="0"/>
          <w:lang w:val="en-US" w:eastAsia="zh-CN"/>
        </w:rPr>
        <w:t>0</w:t>
      </w:r>
      <w:r>
        <w:rPr>
          <w:rFonts w:hint="eastAsia" w:ascii="宋体" w:hAnsi="宋体" w:eastAsia="宋体" w:cs="宋体"/>
          <w:color w:val="auto"/>
          <w:spacing w:val="0"/>
          <w:w w:val="100"/>
          <w:position w:val="0"/>
          <w:lang w:val="zh-CN" w:eastAsia="zh-CN"/>
        </w:rPr>
        <w:t>万元，</w:t>
      </w:r>
      <w:r>
        <w:rPr>
          <w:rFonts w:hint="eastAsia" w:ascii="宋体" w:hAnsi="宋体" w:eastAsia="宋体" w:cs="宋体"/>
          <w:color w:val="auto"/>
          <w:spacing w:val="0"/>
          <w:w w:val="100"/>
          <w:position w:val="0"/>
          <w:lang w:eastAsia="zh-CN"/>
        </w:rPr>
        <w:t>年初未安排预算</w:t>
      </w:r>
      <w:r>
        <w:rPr>
          <w:rFonts w:hint="eastAsia" w:ascii="宋体" w:hAnsi="宋体" w:eastAsia="宋体" w:cs="宋体"/>
          <w:color w:val="auto"/>
          <w:spacing w:val="0"/>
          <w:w w:val="100"/>
          <w:position w:val="0"/>
        </w:rPr>
        <w:t>。全年按规定更新购置公务用车0辆，其中：轿车0辆、金额0万元，越野车0辆、金额0万元，载客汽车0辆、金额0万元。截至2020年12月底，单位共有公务用车0辆，其中：轿车0辆、越野车0辆、载客汽车0辆。</w:t>
      </w:r>
    </w:p>
    <w:p w14:paraId="2A355D3C">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公务用车运行维护费支出0万元</w:t>
      </w:r>
      <w:r>
        <w:rPr>
          <w:rFonts w:hint="eastAsia" w:ascii="宋体" w:hAnsi="宋体" w:eastAsia="宋体" w:cs="宋体"/>
          <w:color w:val="auto"/>
          <w:spacing w:val="0"/>
          <w:w w:val="100"/>
          <w:position w:val="0"/>
          <w:lang w:eastAsia="zh-CN"/>
        </w:rPr>
        <w:t>，年初未安排预算</w:t>
      </w:r>
      <w:r>
        <w:rPr>
          <w:rFonts w:hint="eastAsia" w:ascii="宋体" w:hAnsi="宋体" w:eastAsia="宋体" w:cs="宋体"/>
          <w:color w:val="auto"/>
          <w:spacing w:val="0"/>
          <w:w w:val="100"/>
          <w:position w:val="0"/>
        </w:rPr>
        <w:t>。</w:t>
      </w:r>
    </w:p>
    <w:p w14:paraId="443BA5FA">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bookmarkStart w:id="49" w:name="bookmark57"/>
      <w:bookmarkEnd w:id="49"/>
      <w:r>
        <w:rPr>
          <w:rFonts w:hint="eastAsia" w:ascii="宋体" w:hAnsi="宋体" w:eastAsia="宋体" w:cs="宋体"/>
          <w:color w:val="auto"/>
          <w:spacing w:val="0"/>
          <w:w w:val="100"/>
          <w:position w:val="0"/>
        </w:rPr>
        <w:t>公务接待费支出</w:t>
      </w:r>
      <w:r>
        <w:rPr>
          <w:rFonts w:hint="eastAsia" w:ascii="宋体" w:hAnsi="宋体" w:eastAsia="宋体" w:cs="宋体"/>
          <w:color w:val="auto"/>
          <w:spacing w:val="0"/>
          <w:w w:val="100"/>
          <w:position w:val="0"/>
          <w:lang w:val="en-US" w:eastAsia="en-US"/>
        </w:rPr>
        <w:t>20.</w:t>
      </w:r>
      <w:r>
        <w:rPr>
          <w:rFonts w:hint="eastAsia" w:ascii="宋体" w:hAnsi="宋体" w:eastAsia="宋体" w:cs="宋体"/>
          <w:color w:val="auto"/>
          <w:spacing w:val="0"/>
          <w:w w:val="100"/>
          <w:position w:val="0"/>
          <w:lang w:val="zh-CN" w:eastAsia="zh-CN"/>
        </w:rPr>
        <w:t>6</w:t>
      </w:r>
      <w:r>
        <w:rPr>
          <w:rFonts w:hint="eastAsia" w:ascii="宋体" w:hAnsi="宋体" w:eastAsia="宋体" w:cs="宋体"/>
          <w:color w:val="auto"/>
          <w:spacing w:val="0"/>
          <w:w w:val="100"/>
          <w:position w:val="0"/>
        </w:rPr>
        <w:t>万元，完成预算100%。公务接待</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支出决算比2019年增加15万元，增长73%</w:t>
      </w:r>
      <w:r>
        <w:rPr>
          <w:rFonts w:hint="eastAsia" w:ascii="宋体" w:hAnsi="宋体" w:eastAsia="宋体" w:cs="宋体"/>
          <w:color w:val="auto"/>
          <w:spacing w:val="0"/>
          <w:w w:val="100"/>
          <w:position w:val="0"/>
          <w:lang w:val="en-US" w:eastAsia="zh-CN"/>
        </w:rPr>
        <w:t>。</w:t>
      </w:r>
      <w:r>
        <w:rPr>
          <w:rFonts w:hint="eastAsia" w:ascii="宋体" w:hAnsi="宋体" w:eastAsia="宋体" w:cs="宋体"/>
          <w:color w:val="auto"/>
          <w:spacing w:val="0"/>
          <w:w w:val="100"/>
          <w:position w:val="0"/>
        </w:rPr>
        <w:t>主要原因是行政区划调整。其中：</w:t>
      </w:r>
    </w:p>
    <w:p w14:paraId="5E3E7B46">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国内公务接待支出</w:t>
      </w:r>
      <w:r>
        <w:rPr>
          <w:rFonts w:hint="eastAsia" w:ascii="宋体" w:hAnsi="宋体" w:eastAsia="宋体" w:cs="宋体"/>
          <w:color w:val="auto"/>
          <w:spacing w:val="0"/>
          <w:w w:val="100"/>
          <w:position w:val="0"/>
          <w:lang w:val="en-US" w:eastAsia="en-US"/>
        </w:rPr>
        <w:t>20.6</w:t>
      </w:r>
      <w:r>
        <w:rPr>
          <w:rFonts w:hint="eastAsia" w:ascii="宋体" w:hAnsi="宋体" w:eastAsia="宋体" w:cs="宋体"/>
          <w:color w:val="auto"/>
          <w:spacing w:val="0"/>
          <w:w w:val="100"/>
          <w:position w:val="0"/>
        </w:rPr>
        <w:t>万元，主要用于执行公务、开展业务活动开支的交通费、住宿费、用餐</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等。国内公务接待1200批次，10500人次（不包括陪同人员），共计支出</w:t>
      </w:r>
      <w:r>
        <w:rPr>
          <w:rFonts w:hint="eastAsia" w:ascii="宋体" w:hAnsi="宋体" w:eastAsia="宋体" w:cs="宋体"/>
          <w:color w:val="auto"/>
          <w:spacing w:val="0"/>
          <w:w w:val="100"/>
          <w:position w:val="0"/>
          <w:lang w:val="en-US" w:eastAsia="en-US"/>
        </w:rPr>
        <w:t>20.6</w:t>
      </w:r>
      <w:r>
        <w:rPr>
          <w:rFonts w:hint="eastAsia" w:ascii="宋体" w:hAnsi="宋体" w:eastAsia="宋体" w:cs="宋体"/>
          <w:color w:val="auto"/>
          <w:spacing w:val="0"/>
          <w:w w:val="100"/>
          <w:position w:val="0"/>
        </w:rPr>
        <w:t>万元，具体内容包括：上级部门到镇检查指导工作余</w:t>
      </w:r>
      <w:r>
        <w:rPr>
          <w:rFonts w:hint="eastAsia" w:ascii="宋体" w:hAnsi="宋体" w:eastAsia="宋体" w:cs="宋体"/>
          <w:color w:val="auto"/>
          <w:spacing w:val="0"/>
          <w:w w:val="100"/>
          <w:position w:val="0"/>
          <w:lang w:val="en-US" w:eastAsia="en-US"/>
        </w:rPr>
        <w:t>6.</w:t>
      </w:r>
      <w:r>
        <w:rPr>
          <w:rFonts w:hint="eastAsia" w:ascii="宋体" w:hAnsi="宋体" w:eastAsia="宋体" w:cs="宋体"/>
          <w:color w:val="auto"/>
          <w:spacing w:val="0"/>
          <w:w w:val="100"/>
          <w:position w:val="0"/>
        </w:rPr>
        <w:t>6万元、脱贫攻坚迎检余14万元。</w:t>
      </w:r>
    </w:p>
    <w:p w14:paraId="45223DF7">
      <w:pPr>
        <w:pStyle w:val="13"/>
        <w:keepNext w:val="0"/>
        <w:keepLines w:val="0"/>
        <w:widowControl w:val="0"/>
        <w:shd w:val="clear" w:color="auto" w:fill="auto"/>
        <w:tabs>
          <w:tab w:val="left" w:pos="1595"/>
        </w:tabs>
        <w:bidi w:val="0"/>
        <w:spacing w:before="0" w:after="0" w:line="576" w:lineRule="exact"/>
        <w:ind w:left="0" w:right="0" w:firstLine="780"/>
        <w:jc w:val="left"/>
        <w:outlineLvl w:val="1"/>
        <w:rPr>
          <w:rFonts w:hint="eastAsia" w:ascii="宋体" w:hAnsi="宋体" w:eastAsia="宋体" w:cs="宋体"/>
          <w:color w:val="auto"/>
          <w:spacing w:val="0"/>
          <w:w w:val="100"/>
          <w:position w:val="0"/>
        </w:rPr>
      </w:pPr>
      <w:bookmarkStart w:id="50" w:name="bookmark58"/>
      <w:bookmarkStart w:id="51" w:name="_Toc1507"/>
      <w:r>
        <w:rPr>
          <w:rFonts w:hint="eastAsia" w:ascii="宋体" w:hAnsi="宋体" w:eastAsia="宋体" w:cs="宋体"/>
          <w:color w:val="auto"/>
          <w:spacing w:val="0"/>
          <w:w w:val="100"/>
          <w:position w:val="0"/>
        </w:rPr>
        <w:t>八</w:t>
      </w:r>
      <w:bookmarkEnd w:id="50"/>
      <w:r>
        <w:rPr>
          <w:rFonts w:hint="eastAsia" w:ascii="宋体" w:hAnsi="宋体" w:eastAsia="宋体" w:cs="宋体"/>
          <w:color w:val="auto"/>
          <w:spacing w:val="0"/>
          <w:w w:val="100"/>
          <w:position w:val="0"/>
        </w:rPr>
        <w:t>、政府性基金预算支出决算情况说明</w:t>
      </w:r>
      <w:bookmarkEnd w:id="51"/>
    </w:p>
    <w:p w14:paraId="1C5B2460">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2020年政府性基金预算拨款支出0万元</w:t>
      </w:r>
      <w:r>
        <w:rPr>
          <w:rFonts w:hint="eastAsia" w:ascii="宋体" w:hAnsi="宋体" w:eastAsia="宋体" w:cs="宋体"/>
          <w:color w:val="auto"/>
          <w:spacing w:val="0"/>
          <w:w w:val="100"/>
          <w:position w:val="0"/>
          <w:lang w:eastAsia="zh-CN"/>
        </w:rPr>
        <w:t>，年初未安排预算</w:t>
      </w:r>
      <w:r>
        <w:rPr>
          <w:rFonts w:hint="eastAsia" w:ascii="宋体" w:hAnsi="宋体" w:eastAsia="宋体" w:cs="宋体"/>
          <w:color w:val="auto"/>
          <w:spacing w:val="0"/>
          <w:w w:val="100"/>
          <w:position w:val="0"/>
        </w:rPr>
        <w:t>。</w:t>
      </w:r>
    </w:p>
    <w:p w14:paraId="6480E816">
      <w:pPr>
        <w:pStyle w:val="13"/>
        <w:keepNext w:val="0"/>
        <w:keepLines w:val="0"/>
        <w:widowControl w:val="0"/>
        <w:shd w:val="clear" w:color="auto" w:fill="auto"/>
        <w:tabs>
          <w:tab w:val="left" w:pos="1595"/>
        </w:tabs>
        <w:bidi w:val="0"/>
        <w:spacing w:before="0" w:after="0" w:line="576" w:lineRule="exact"/>
        <w:ind w:left="0" w:right="0" w:firstLine="780"/>
        <w:jc w:val="left"/>
        <w:outlineLvl w:val="1"/>
        <w:rPr>
          <w:rFonts w:hint="eastAsia" w:ascii="宋体" w:hAnsi="宋体" w:eastAsia="宋体" w:cs="宋体"/>
          <w:color w:val="auto"/>
          <w:spacing w:val="0"/>
          <w:w w:val="100"/>
          <w:position w:val="0"/>
        </w:rPr>
      </w:pPr>
      <w:bookmarkStart w:id="52" w:name="bookmark59"/>
      <w:bookmarkStart w:id="53" w:name="_Toc17813"/>
      <w:r>
        <w:rPr>
          <w:rFonts w:hint="eastAsia" w:ascii="宋体" w:hAnsi="宋体" w:eastAsia="宋体" w:cs="宋体"/>
          <w:color w:val="auto"/>
          <w:spacing w:val="0"/>
          <w:w w:val="100"/>
          <w:position w:val="0"/>
        </w:rPr>
        <w:t>九</w:t>
      </w:r>
      <w:bookmarkEnd w:id="52"/>
      <w:r>
        <w:rPr>
          <w:rFonts w:hint="eastAsia" w:ascii="宋体" w:hAnsi="宋体" w:eastAsia="宋体" w:cs="宋体"/>
          <w:color w:val="auto"/>
          <w:spacing w:val="0"/>
          <w:w w:val="100"/>
          <w:position w:val="0"/>
        </w:rPr>
        <w:t>、国有资本经营预算支出决算情况说明</w:t>
      </w:r>
      <w:bookmarkEnd w:id="53"/>
    </w:p>
    <w:p w14:paraId="134D4868">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2020年国有资本经营预算拨款支出0万元</w:t>
      </w:r>
      <w:r>
        <w:rPr>
          <w:rFonts w:hint="eastAsia" w:ascii="宋体" w:hAnsi="宋体" w:eastAsia="宋体" w:cs="宋体"/>
          <w:color w:val="auto"/>
          <w:spacing w:val="0"/>
          <w:w w:val="100"/>
          <w:position w:val="0"/>
          <w:lang w:eastAsia="zh-CN"/>
        </w:rPr>
        <w:t>，年初未安排预算</w:t>
      </w:r>
      <w:r>
        <w:rPr>
          <w:rFonts w:hint="eastAsia" w:ascii="宋体" w:hAnsi="宋体" w:eastAsia="宋体" w:cs="宋体"/>
          <w:color w:val="auto"/>
          <w:spacing w:val="0"/>
          <w:w w:val="100"/>
          <w:position w:val="0"/>
        </w:rPr>
        <w:t>。</w:t>
      </w:r>
    </w:p>
    <w:p w14:paraId="612562BC">
      <w:pPr>
        <w:pStyle w:val="13"/>
        <w:keepNext w:val="0"/>
        <w:keepLines w:val="0"/>
        <w:widowControl w:val="0"/>
        <w:shd w:val="clear" w:color="auto" w:fill="auto"/>
        <w:bidi w:val="0"/>
        <w:spacing w:before="0" w:after="0" w:line="581" w:lineRule="exact"/>
        <w:ind w:left="0" w:right="0" w:firstLine="780"/>
        <w:jc w:val="left"/>
        <w:outlineLvl w:val="1"/>
        <w:rPr>
          <w:rFonts w:hint="eastAsia" w:ascii="宋体" w:hAnsi="宋体" w:eastAsia="宋体" w:cs="宋体"/>
          <w:color w:val="auto"/>
        </w:rPr>
      </w:pPr>
      <w:bookmarkStart w:id="54" w:name="_Toc25105"/>
      <w:r>
        <w:rPr>
          <w:rFonts w:hint="eastAsia" w:ascii="宋体" w:hAnsi="宋体" w:eastAsia="宋体" w:cs="宋体"/>
          <w:color w:val="auto"/>
          <w:spacing w:val="0"/>
          <w:w w:val="100"/>
          <w:position w:val="0"/>
        </w:rPr>
        <w:t>十、其他重要事项的情况说明</w:t>
      </w:r>
      <w:bookmarkEnd w:id="54"/>
    </w:p>
    <w:p w14:paraId="7FF9D2F7">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bookmarkStart w:id="55" w:name="bookmark60"/>
      <w:r>
        <w:rPr>
          <w:rFonts w:hint="eastAsia" w:ascii="宋体" w:hAnsi="宋体" w:eastAsia="宋体" w:cs="宋体"/>
          <w:color w:val="auto"/>
          <w:spacing w:val="0"/>
          <w:w w:val="100"/>
          <w:position w:val="0"/>
        </w:rPr>
        <w:t>（</w:t>
      </w:r>
      <w:bookmarkEnd w:id="55"/>
      <w:r>
        <w:rPr>
          <w:rFonts w:hint="eastAsia" w:ascii="宋体" w:hAnsi="宋体" w:eastAsia="宋体" w:cs="宋体"/>
          <w:color w:val="auto"/>
          <w:spacing w:val="0"/>
          <w:w w:val="100"/>
          <w:position w:val="0"/>
        </w:rPr>
        <w:t>一）机关运行经费支出情况</w:t>
      </w:r>
    </w:p>
    <w:p w14:paraId="65BD1397">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2020年，卫子镇机关运行经</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支出</w:t>
      </w:r>
      <w:r>
        <w:rPr>
          <w:rFonts w:hint="eastAsia" w:ascii="宋体" w:hAnsi="宋体" w:eastAsia="宋体" w:cs="宋体"/>
          <w:color w:val="auto"/>
          <w:spacing w:val="0"/>
          <w:w w:val="100"/>
          <w:position w:val="0"/>
          <w:lang w:val="en-US" w:eastAsia="en-US"/>
        </w:rPr>
        <w:t>285.</w:t>
      </w:r>
      <w:r>
        <w:rPr>
          <w:rFonts w:hint="eastAsia" w:ascii="宋体" w:hAnsi="宋体" w:eastAsia="宋体" w:cs="宋体"/>
          <w:color w:val="auto"/>
          <w:spacing w:val="0"/>
          <w:w w:val="100"/>
          <w:position w:val="0"/>
        </w:rPr>
        <w:t>84万元，比2019年增加</w:t>
      </w:r>
      <w:r>
        <w:rPr>
          <w:rFonts w:hint="eastAsia" w:ascii="宋体" w:hAnsi="宋体" w:eastAsia="宋体" w:cs="宋体"/>
          <w:color w:val="auto"/>
          <w:spacing w:val="0"/>
          <w:w w:val="100"/>
          <w:position w:val="0"/>
          <w:lang w:val="en-US" w:eastAsia="en-US"/>
        </w:rPr>
        <w:t>103.</w:t>
      </w:r>
      <w:r>
        <w:rPr>
          <w:rFonts w:hint="eastAsia" w:ascii="宋体" w:hAnsi="宋体" w:eastAsia="宋体" w:cs="宋体"/>
          <w:color w:val="auto"/>
          <w:spacing w:val="0"/>
          <w:w w:val="100"/>
          <w:position w:val="0"/>
        </w:rPr>
        <w:t>91万元，增长36.4%。主要原因是行政区划调整。</w:t>
      </w:r>
    </w:p>
    <w:p w14:paraId="6C539FA9">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bookmarkStart w:id="56" w:name="bookmark61"/>
      <w:r>
        <w:rPr>
          <w:rFonts w:hint="eastAsia" w:ascii="宋体" w:hAnsi="宋体" w:eastAsia="宋体" w:cs="宋体"/>
          <w:color w:val="auto"/>
          <w:spacing w:val="0"/>
          <w:w w:val="100"/>
          <w:position w:val="0"/>
        </w:rPr>
        <w:t>（</w:t>
      </w:r>
      <w:bookmarkEnd w:id="56"/>
      <w:r>
        <w:rPr>
          <w:rFonts w:hint="eastAsia" w:ascii="宋体" w:hAnsi="宋体" w:eastAsia="宋体" w:cs="宋体"/>
          <w:color w:val="auto"/>
          <w:spacing w:val="0"/>
          <w:w w:val="100"/>
          <w:position w:val="0"/>
        </w:rPr>
        <w:t>二）政府采购支出情况</w:t>
      </w:r>
    </w:p>
    <w:p w14:paraId="06DEC85A">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2020年，卫子政府</w:t>
      </w:r>
      <w:r>
        <w:rPr>
          <w:rFonts w:hint="eastAsia" w:cs="宋体"/>
          <w:color w:val="auto"/>
          <w:spacing w:val="0"/>
          <w:w w:val="100"/>
          <w:position w:val="0"/>
          <w:lang w:val="en-US" w:eastAsia="zh-CN"/>
        </w:rPr>
        <w:t>采</w:t>
      </w:r>
      <w:r>
        <w:rPr>
          <w:rFonts w:hint="eastAsia" w:ascii="宋体" w:hAnsi="宋体" w:eastAsia="宋体" w:cs="宋体"/>
          <w:color w:val="auto"/>
          <w:spacing w:val="0"/>
          <w:w w:val="100"/>
          <w:position w:val="0"/>
        </w:rPr>
        <w:t>购支出总额0万元</w:t>
      </w:r>
      <w:r>
        <w:rPr>
          <w:rFonts w:hint="eastAsia" w:ascii="宋体" w:hAnsi="宋体" w:eastAsia="宋体" w:cs="宋体"/>
          <w:color w:val="auto"/>
          <w:spacing w:val="0"/>
          <w:w w:val="100"/>
          <w:position w:val="0"/>
          <w:lang w:eastAsia="zh-CN"/>
        </w:rPr>
        <w:t>，年初未安排预算</w:t>
      </w:r>
      <w:r>
        <w:rPr>
          <w:rFonts w:hint="eastAsia" w:ascii="宋体" w:hAnsi="宋体" w:eastAsia="宋体" w:cs="宋体"/>
          <w:color w:val="auto"/>
          <w:spacing w:val="0"/>
          <w:w w:val="100"/>
          <w:position w:val="0"/>
        </w:rPr>
        <w:t>，其中：</w:t>
      </w:r>
      <w:r>
        <w:rPr>
          <w:rFonts w:hint="eastAsia" w:cs="宋体"/>
          <w:color w:val="auto"/>
          <w:spacing w:val="0"/>
          <w:w w:val="100"/>
          <w:position w:val="0"/>
          <w:lang w:eastAsia="zh-CN"/>
        </w:rPr>
        <w:t>政府采购</w:t>
      </w:r>
      <w:r>
        <w:rPr>
          <w:rFonts w:hint="eastAsia" w:ascii="宋体" w:hAnsi="宋体" w:eastAsia="宋体" w:cs="宋体"/>
          <w:color w:val="auto"/>
          <w:spacing w:val="0"/>
          <w:w w:val="100"/>
          <w:position w:val="0"/>
        </w:rPr>
        <w:t>货物支出0万元、</w:t>
      </w:r>
      <w:r>
        <w:rPr>
          <w:rFonts w:hint="eastAsia" w:cs="宋体"/>
          <w:color w:val="auto"/>
          <w:spacing w:val="0"/>
          <w:w w:val="100"/>
          <w:position w:val="0"/>
          <w:lang w:eastAsia="zh-CN"/>
        </w:rPr>
        <w:t>政府采购</w:t>
      </w:r>
      <w:r>
        <w:rPr>
          <w:rFonts w:hint="eastAsia" w:ascii="宋体" w:hAnsi="宋体" w:eastAsia="宋体" w:cs="宋体"/>
          <w:color w:val="auto"/>
          <w:spacing w:val="0"/>
          <w:w w:val="100"/>
          <w:position w:val="0"/>
        </w:rPr>
        <w:t>工程支出0万元、</w:t>
      </w:r>
      <w:r>
        <w:rPr>
          <w:rFonts w:hint="eastAsia" w:cs="宋体"/>
          <w:color w:val="auto"/>
          <w:spacing w:val="0"/>
          <w:w w:val="100"/>
          <w:position w:val="0"/>
          <w:lang w:eastAsia="zh-CN"/>
        </w:rPr>
        <w:t>政府采购</w:t>
      </w:r>
      <w:r>
        <w:rPr>
          <w:rFonts w:hint="eastAsia" w:ascii="宋体" w:hAnsi="宋体" w:eastAsia="宋体" w:cs="宋体"/>
          <w:color w:val="auto"/>
          <w:spacing w:val="0"/>
          <w:w w:val="100"/>
          <w:position w:val="0"/>
        </w:rPr>
        <w:t>服务支出0万元。授予中小企业合同金额0万元，占</w:t>
      </w:r>
      <w:r>
        <w:rPr>
          <w:rFonts w:hint="eastAsia" w:cs="宋体"/>
          <w:color w:val="auto"/>
          <w:spacing w:val="0"/>
          <w:w w:val="100"/>
          <w:position w:val="0"/>
          <w:lang w:eastAsia="zh-CN"/>
        </w:rPr>
        <w:t>政府采购</w:t>
      </w:r>
      <w:r>
        <w:rPr>
          <w:rFonts w:hint="eastAsia" w:ascii="宋体" w:hAnsi="宋体" w:eastAsia="宋体" w:cs="宋体"/>
          <w:color w:val="auto"/>
          <w:spacing w:val="0"/>
          <w:w w:val="100"/>
          <w:position w:val="0"/>
        </w:rPr>
        <w:t>支出总额的0%,其中：授予小微企业合同金额0万元，占</w:t>
      </w:r>
      <w:r>
        <w:rPr>
          <w:rFonts w:hint="eastAsia" w:cs="宋体"/>
          <w:color w:val="auto"/>
          <w:spacing w:val="0"/>
          <w:w w:val="100"/>
          <w:position w:val="0"/>
          <w:lang w:eastAsia="zh-CN"/>
        </w:rPr>
        <w:t>政府采购</w:t>
      </w:r>
      <w:r>
        <w:rPr>
          <w:rFonts w:hint="eastAsia" w:ascii="宋体" w:hAnsi="宋体" w:eastAsia="宋体" w:cs="宋体"/>
          <w:color w:val="auto"/>
          <w:spacing w:val="0"/>
          <w:w w:val="100"/>
          <w:position w:val="0"/>
        </w:rPr>
        <w:t>支出总额的0%。</w:t>
      </w:r>
    </w:p>
    <w:p w14:paraId="39B455E8">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bookmarkStart w:id="57" w:name="bookmark62"/>
      <w:r>
        <w:rPr>
          <w:rFonts w:hint="eastAsia" w:ascii="宋体" w:hAnsi="宋体" w:eastAsia="宋体" w:cs="宋体"/>
          <w:color w:val="auto"/>
          <w:spacing w:val="0"/>
          <w:w w:val="100"/>
          <w:position w:val="0"/>
        </w:rPr>
        <w:t>（</w:t>
      </w:r>
      <w:bookmarkEnd w:id="57"/>
      <w:r>
        <w:rPr>
          <w:rFonts w:hint="eastAsia" w:ascii="宋体" w:hAnsi="宋体" w:eastAsia="宋体" w:cs="宋体"/>
          <w:color w:val="auto"/>
          <w:spacing w:val="0"/>
          <w:w w:val="100"/>
          <w:position w:val="0"/>
        </w:rPr>
        <w:t>三）国有资产占有使用情况</w:t>
      </w:r>
    </w:p>
    <w:p w14:paraId="127A9DE0">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截至2020年12月31</w:t>
      </w:r>
      <w:r>
        <w:rPr>
          <w:rFonts w:hint="eastAsia" w:ascii="宋体" w:hAnsi="宋体" w:eastAsia="宋体" w:cs="宋体"/>
          <w:color w:val="auto"/>
          <w:spacing w:val="0"/>
          <w:w w:val="100"/>
          <w:position w:val="0"/>
          <w:lang w:eastAsia="zh-CN"/>
        </w:rPr>
        <w:t>日</w:t>
      </w:r>
      <w:r>
        <w:rPr>
          <w:rFonts w:hint="eastAsia" w:ascii="宋体" w:hAnsi="宋体" w:eastAsia="宋体" w:cs="宋体"/>
          <w:color w:val="auto"/>
          <w:spacing w:val="0"/>
          <w:w w:val="100"/>
          <w:position w:val="0"/>
        </w:rPr>
        <w:t>,卫子镇共有车辆0辆，其中：主要领导干部用车0辆、机要通信用车0</w:t>
      </w:r>
      <w:bookmarkStart w:id="155" w:name="_GoBack"/>
      <w:bookmarkEnd w:id="155"/>
      <w:r>
        <w:rPr>
          <w:rFonts w:hint="eastAsia" w:ascii="宋体" w:hAnsi="宋体" w:eastAsia="宋体" w:cs="宋体"/>
          <w:color w:val="auto"/>
          <w:spacing w:val="0"/>
          <w:w w:val="100"/>
          <w:position w:val="0"/>
        </w:rPr>
        <w:t>辆、应急保障用车0辆、其他用车0辆。</w:t>
      </w:r>
    </w:p>
    <w:p w14:paraId="6C230DFC">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bookmarkStart w:id="58" w:name="bookmark63"/>
      <w:r>
        <w:rPr>
          <w:rFonts w:hint="eastAsia" w:ascii="宋体" w:hAnsi="宋体" w:eastAsia="宋体" w:cs="宋体"/>
          <w:color w:val="auto"/>
          <w:spacing w:val="0"/>
          <w:w w:val="100"/>
          <w:position w:val="0"/>
        </w:rPr>
        <w:t>（</w:t>
      </w:r>
      <w:bookmarkEnd w:id="58"/>
      <w:r>
        <w:rPr>
          <w:rFonts w:hint="eastAsia" w:ascii="宋体" w:hAnsi="宋体" w:eastAsia="宋体" w:cs="宋体"/>
          <w:color w:val="auto"/>
          <w:spacing w:val="0"/>
          <w:w w:val="100"/>
          <w:position w:val="0"/>
        </w:rPr>
        <w:t>四）预算绩效管理情况。</w:t>
      </w:r>
    </w:p>
    <w:p w14:paraId="084C86F9">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根据预算绩效管理要求，本</w:t>
      </w:r>
      <w:r>
        <w:rPr>
          <w:rFonts w:hint="eastAsia" w:ascii="宋体" w:hAnsi="宋体" w:eastAsia="宋体" w:cs="宋体"/>
          <w:color w:val="auto"/>
          <w:spacing w:val="0"/>
          <w:w w:val="100"/>
          <w:position w:val="0"/>
          <w:lang w:val="en-US" w:eastAsia="zh-CN"/>
        </w:rPr>
        <w:t>部门</w:t>
      </w:r>
      <w:r>
        <w:rPr>
          <w:rFonts w:hint="eastAsia" w:ascii="宋体" w:hAnsi="宋体" w:eastAsia="宋体" w:cs="宋体"/>
          <w:color w:val="auto"/>
          <w:spacing w:val="0"/>
          <w:w w:val="100"/>
          <w:position w:val="0"/>
        </w:rPr>
        <w:t>在年初预算编制阶段，组织对2020年度农村公共运行维护项目开展了预算事前绩效评估，对1个项目编制了绩效目标，预算执行过程中，选取1个项目开展绩效监控，年终执行完毕后，对1个项目开展了绩效目标完成情况自评。</w:t>
      </w:r>
    </w:p>
    <w:p w14:paraId="51939831">
      <w:pPr>
        <w:pStyle w:val="13"/>
        <w:keepNext w:val="0"/>
        <w:keepLines w:val="0"/>
        <w:widowControl w:val="0"/>
        <w:shd w:val="clear" w:color="auto" w:fill="auto"/>
        <w:tabs>
          <w:tab w:val="left" w:pos="1595"/>
        </w:tabs>
        <w:bidi w:val="0"/>
        <w:spacing w:before="0" w:after="0" w:line="576" w:lineRule="exact"/>
        <w:ind w:left="0" w:leftChars="0" w:right="0" w:firstLine="600" w:firstLineChars="20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本部门按要求对2020年部门整体支出开展绩效自评，从评价情况来看本部门按要求对2020年部门整体支出开展绩效自评，从评价情况来看卫子镇2020年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2020年基本完成，在保障机关运转、履行职能职责上整体情况良好。通过对卫子镇2020年部门财务管理三级指标的分析考评，卫子镇2020年部门财务管理绩效评价得分为92分，综合评价结果为良级。本部门还自行组织了1个项目绩效评价，从评价情况来看基层组织活动和公共运行维护资金的实施，在项目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基层组织活动和公共运行维护资金三级指标的分析考评，该项目的绩效评价得分为98分（具体指标分值见附件），综合评价结果为优级。</w:t>
      </w:r>
    </w:p>
    <w:p w14:paraId="21894B79">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lang w:val="en-US" w:eastAsia="en-US"/>
        </w:rPr>
        <w:t>1.</w:t>
      </w:r>
      <w:r>
        <w:rPr>
          <w:rFonts w:hint="eastAsia" w:ascii="宋体" w:hAnsi="宋体" w:eastAsia="宋体" w:cs="宋体"/>
          <w:color w:val="auto"/>
          <w:spacing w:val="0"/>
          <w:w w:val="100"/>
          <w:position w:val="0"/>
        </w:rPr>
        <w:t>项目绩效目标完成情况。</w:t>
      </w:r>
    </w:p>
    <w:p w14:paraId="40AFD5FC">
      <w:pPr>
        <w:pStyle w:val="13"/>
        <w:keepNext w:val="0"/>
        <w:keepLines w:val="0"/>
        <w:widowControl w:val="0"/>
        <w:shd w:val="clear" w:color="auto" w:fill="auto"/>
        <w:tabs>
          <w:tab w:val="left" w:pos="1595"/>
        </w:tabs>
        <w:bidi w:val="0"/>
        <w:spacing w:before="0" w:after="0" w:line="576" w:lineRule="exact"/>
        <w:ind w:left="0" w:right="0" w:firstLine="780"/>
        <w:jc w:val="left"/>
        <w:rPr>
          <w:rFonts w:hint="eastAsia" w:ascii="宋体" w:hAnsi="宋体" w:eastAsia="宋体" w:cs="宋体"/>
          <w:color w:val="auto"/>
        </w:rPr>
        <w:sectPr>
          <w:footerReference r:id="rId9" w:type="default"/>
          <w:footnotePr>
            <w:numFmt w:val="decimal"/>
          </w:footnotePr>
          <w:pgSz w:w="11900" w:h="16840"/>
          <w:pgMar w:top="1440" w:right="1800" w:bottom="1440" w:left="1800" w:header="1605" w:footer="567" w:gutter="0"/>
          <w:cols w:space="720" w:num="1"/>
          <w:rtlGutter w:val="0"/>
          <w:docGrid w:linePitch="360" w:charSpace="0"/>
        </w:sectPr>
      </w:pPr>
      <w:r>
        <w:rPr>
          <w:rFonts w:hint="eastAsia" w:ascii="宋体" w:hAnsi="宋体" w:eastAsia="宋体" w:cs="宋体"/>
          <w:color w:val="auto"/>
          <w:spacing w:val="0"/>
          <w:w w:val="100"/>
          <w:position w:val="0"/>
        </w:rPr>
        <w:t>本部门在2020年度部门决算中反映农村公共运行维护资金等1个项目绩效目标实际完成情况。广元市昭化区卫子镇人民政府农村公共运行维护资金项目绩效目标完成情况综述。项目全年预算数126万元，执行数为126万元，完成预算的100%。通过项目实施，保障了加强基层组织建设，提高基层公共服务保障水平和社会治理能力，完成17个村（居）基础设施维护，维持17个村（居）正常运行等。发现的主要问题：一是村社干部及农户对农村公共服务运行维护机制建设认识尚不到位，存在重建设、轻管理消极思想，对既有的建设成果不珍惜，不能长时间保持与维护。二是项目申报、实施、管理等系列程序尚缺乏一套完整、详细、有效的制度和奖惩措施，导致在项目实施过程中，存在有些具体细节不好把握的问题，如有待规范规定维护项目应有保质期标准等。三是资金存在严重不足，如有些村有道路由于遭受过暴雨毁损，没有足够的资金进行维护，个别山坪塘漏水无资金维修，日常道路保洁因为资金受限，工资太低，无人愿意清扫等问题。下一步改进措施：一是规范性出台一套项目管理的奖惩制度，促进村社及农户对维护项目成果的珍惜和保持。二是进一步完善法规程序，加强公开透明，避免民主参与流于形式。三是加大项目资金整合力度，促进到村项目由分散使用向综合投入转变。</w:t>
      </w:r>
    </w:p>
    <w:p w14:paraId="5B73D2CD">
      <w:pPr>
        <w:pStyle w:val="15"/>
        <w:keepNext w:val="0"/>
        <w:keepLines w:val="0"/>
        <w:widowControl w:val="0"/>
        <w:shd w:val="clear" w:color="auto" w:fill="auto"/>
        <w:bidi w:val="0"/>
        <w:spacing w:before="0" w:line="240" w:lineRule="auto"/>
        <w:ind w:left="0" w:right="0" w:firstLine="0"/>
        <w:jc w:val="center"/>
        <w:rPr>
          <w:rFonts w:hint="eastAsia" w:ascii="宋体" w:hAnsi="宋体" w:eastAsia="宋体" w:cs="宋体"/>
          <w:b/>
          <w:bCs/>
          <w:color w:val="auto"/>
        </w:rPr>
      </w:pPr>
      <w:r>
        <w:rPr>
          <w:rFonts w:hint="eastAsia" w:ascii="宋体" w:hAnsi="宋体" w:eastAsia="宋体" w:cs="宋体"/>
          <w:b/>
          <w:bCs/>
          <w:color w:val="auto"/>
          <w:spacing w:val="0"/>
          <w:w w:val="100"/>
          <w:position w:val="0"/>
        </w:rPr>
        <w:t>项目绩效目标完成情况表</w:t>
      </w:r>
      <w:r>
        <w:rPr>
          <w:rFonts w:hint="eastAsia" w:ascii="宋体" w:hAnsi="宋体" w:eastAsia="宋体" w:cs="宋体"/>
          <w:b/>
          <w:bCs/>
          <w:color w:val="auto"/>
          <w:spacing w:val="0"/>
          <w:w w:val="100"/>
          <w:position w:val="0"/>
        </w:rPr>
        <w:fldChar w:fldCharType="begin"/>
      </w:r>
      <w:r>
        <w:rPr>
          <w:rFonts w:hint="eastAsia" w:ascii="宋体" w:hAnsi="宋体" w:eastAsia="宋体" w:cs="宋体"/>
          <w:b/>
          <w:bCs/>
          <w:color w:val="auto"/>
          <w:spacing w:val="0"/>
          <w:w w:val="100"/>
          <w:position w:val="0"/>
        </w:rPr>
        <w:instrText xml:space="preserve"> XE "项目绩效目标完成情况表" </w:instrText>
      </w:r>
      <w:r>
        <w:rPr>
          <w:rFonts w:hint="eastAsia" w:ascii="宋体" w:hAnsi="宋体" w:eastAsia="宋体" w:cs="宋体"/>
          <w:b/>
          <w:bCs/>
          <w:color w:val="auto"/>
          <w:spacing w:val="0"/>
          <w:w w:val="100"/>
          <w:position w:val="0"/>
        </w:rPr>
        <w:fldChar w:fldCharType="end"/>
      </w:r>
    </w:p>
    <w:p w14:paraId="68CE9B3D">
      <w:pPr>
        <w:pStyle w:val="16"/>
        <w:keepNext w:val="0"/>
        <w:keepLines w:val="0"/>
        <w:widowControl w:val="0"/>
        <w:shd w:val="clear" w:color="auto" w:fill="auto"/>
        <w:bidi w:val="0"/>
        <w:spacing w:before="0" w:line="240" w:lineRule="auto"/>
        <w:ind w:left="0" w:right="0" w:firstLine="0"/>
        <w:jc w:val="center"/>
        <w:rPr>
          <w:rFonts w:hint="eastAsia" w:ascii="宋体" w:hAnsi="宋体" w:eastAsia="宋体" w:cs="宋体"/>
          <w:b/>
          <w:bCs/>
          <w:color w:val="auto"/>
          <w:sz w:val="34"/>
          <w:szCs w:val="34"/>
        </w:rPr>
      </w:pPr>
      <w:r>
        <w:rPr>
          <w:rFonts w:hint="eastAsia" w:ascii="宋体" w:hAnsi="宋体" w:eastAsia="宋体" w:cs="宋体"/>
          <w:b/>
          <w:bCs/>
          <w:color w:val="auto"/>
          <w:spacing w:val="0"/>
          <w:w w:val="100"/>
          <w:position w:val="0"/>
          <w:sz w:val="30"/>
          <w:szCs w:val="30"/>
        </w:rPr>
        <w:t>（2020</w:t>
      </w:r>
      <w:r>
        <w:rPr>
          <w:rFonts w:hint="eastAsia" w:ascii="宋体" w:hAnsi="宋体" w:eastAsia="宋体" w:cs="宋体"/>
          <w:b/>
          <w:bCs/>
          <w:color w:val="auto"/>
          <w:spacing w:val="0"/>
          <w:w w:val="100"/>
          <w:position w:val="0"/>
          <w:sz w:val="34"/>
          <w:szCs w:val="34"/>
        </w:rPr>
        <w:t>年度）</w:t>
      </w:r>
    </w:p>
    <w:tbl>
      <w:tblPr>
        <w:tblStyle w:val="7"/>
        <w:tblW w:w="9975" w:type="dxa"/>
        <w:jc w:val="center"/>
        <w:tblLayout w:type="fixed"/>
        <w:tblCellMar>
          <w:top w:w="0" w:type="dxa"/>
          <w:left w:w="10" w:type="dxa"/>
          <w:bottom w:w="0" w:type="dxa"/>
          <w:right w:w="10" w:type="dxa"/>
        </w:tblCellMar>
      </w:tblPr>
      <w:tblGrid>
        <w:gridCol w:w="858"/>
        <w:gridCol w:w="2412"/>
        <w:gridCol w:w="2370"/>
        <w:gridCol w:w="2085"/>
        <w:gridCol w:w="2250"/>
      </w:tblGrid>
      <w:tr w14:paraId="4DAE6A34">
        <w:tblPrEx>
          <w:tblCellMar>
            <w:top w:w="0" w:type="dxa"/>
            <w:left w:w="10" w:type="dxa"/>
            <w:bottom w:w="0" w:type="dxa"/>
            <w:right w:w="10" w:type="dxa"/>
          </w:tblCellMar>
        </w:tblPrEx>
        <w:trPr>
          <w:trHeight w:val="600" w:hRule="exact"/>
          <w:jc w:val="center"/>
        </w:trPr>
        <w:tc>
          <w:tcPr>
            <w:gridSpan w:val="2"/>
            <w:tcBorders>
              <w:top w:val="single" w:color="auto" w:sz="4" w:space="0"/>
              <w:left w:val="single" w:color="auto" w:sz="4" w:space="0"/>
            </w:tcBorders>
            <w:shd w:val="clear" w:color="auto" w:fill="FFFFFF"/>
            <w:vAlign w:val="center"/>
          </w:tcPr>
          <w:p w14:paraId="4FE2182F">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项目名称</w:t>
            </w:r>
          </w:p>
        </w:tc>
        <w:tc>
          <w:tcPr>
            <w:gridSpan w:val="3"/>
            <w:tcBorders>
              <w:top w:val="single" w:color="auto" w:sz="4" w:space="0"/>
              <w:left w:val="single" w:color="auto" w:sz="4" w:space="0"/>
              <w:right w:val="single" w:color="auto" w:sz="4" w:space="0"/>
            </w:tcBorders>
            <w:shd w:val="clear" w:color="auto" w:fill="FFFFFF"/>
            <w:vAlign w:val="center"/>
          </w:tcPr>
          <w:p w14:paraId="0A74653E">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基层活动和公共服务运行经费</w:t>
            </w:r>
          </w:p>
        </w:tc>
      </w:tr>
      <w:tr w14:paraId="0223E42C">
        <w:tblPrEx>
          <w:tblCellMar>
            <w:top w:w="0" w:type="dxa"/>
            <w:left w:w="10" w:type="dxa"/>
            <w:bottom w:w="0" w:type="dxa"/>
            <w:right w:w="10" w:type="dxa"/>
          </w:tblCellMar>
        </w:tblPrEx>
        <w:trPr>
          <w:trHeight w:val="600" w:hRule="exact"/>
          <w:jc w:val="center"/>
        </w:trPr>
        <w:tc>
          <w:tcPr>
            <w:gridSpan w:val="2"/>
            <w:tcBorders>
              <w:top w:val="single" w:color="auto" w:sz="4" w:space="0"/>
              <w:left w:val="single" w:color="auto" w:sz="4" w:space="0"/>
            </w:tcBorders>
            <w:shd w:val="clear" w:color="auto" w:fill="FFFFFF"/>
            <w:vAlign w:val="center"/>
          </w:tcPr>
          <w:p w14:paraId="5A0250D5">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预算单位</w:t>
            </w:r>
          </w:p>
        </w:tc>
        <w:tc>
          <w:tcPr>
            <w:gridSpan w:val="3"/>
            <w:tcBorders>
              <w:top w:val="single" w:color="auto" w:sz="4" w:space="0"/>
              <w:left w:val="single" w:color="auto" w:sz="4" w:space="0"/>
              <w:right w:val="single" w:color="auto" w:sz="4" w:space="0"/>
            </w:tcBorders>
            <w:shd w:val="clear" w:color="auto" w:fill="FFFFFF"/>
            <w:vAlign w:val="center"/>
          </w:tcPr>
          <w:p w14:paraId="6C235AE1">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广元市昭化区卫子镇人民政府</w:t>
            </w:r>
          </w:p>
        </w:tc>
      </w:tr>
      <w:tr w14:paraId="73EAFC3A">
        <w:tblPrEx>
          <w:tblCellMar>
            <w:top w:w="0" w:type="dxa"/>
            <w:left w:w="10" w:type="dxa"/>
            <w:bottom w:w="0" w:type="dxa"/>
            <w:right w:w="10" w:type="dxa"/>
          </w:tblCellMar>
        </w:tblPrEx>
        <w:trPr>
          <w:trHeight w:val="615" w:hRule="exact"/>
          <w:jc w:val="center"/>
        </w:trPr>
        <w:tc>
          <w:tcPr>
            <w:tcW w:w="858" w:type="dxa"/>
            <w:vMerge w:val="restart"/>
            <w:tcBorders>
              <w:top w:val="single" w:color="auto" w:sz="4" w:space="0"/>
              <w:left w:val="single" w:color="auto" w:sz="4" w:space="0"/>
            </w:tcBorders>
            <w:shd w:val="clear" w:color="auto" w:fill="FFFFFF"/>
            <w:vAlign w:val="center"/>
          </w:tcPr>
          <w:p w14:paraId="1400858C">
            <w:pPr>
              <w:pStyle w:val="17"/>
              <w:keepNext w:val="0"/>
              <w:keepLines w:val="0"/>
              <w:widowControl w:val="0"/>
              <w:shd w:val="clear" w:color="auto" w:fill="auto"/>
              <w:bidi w:val="0"/>
              <w:spacing w:before="0" w:after="0" w:line="572" w:lineRule="exact"/>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预算执行情况（万元）</w:t>
            </w:r>
          </w:p>
        </w:tc>
        <w:tc>
          <w:tcPr>
            <w:tcW w:w="2412" w:type="dxa"/>
            <w:tcBorders>
              <w:top w:val="single" w:color="auto" w:sz="4" w:space="0"/>
              <w:left w:val="single" w:color="auto" w:sz="4" w:space="0"/>
            </w:tcBorders>
            <w:shd w:val="clear" w:color="auto" w:fill="FFFFFF"/>
            <w:vAlign w:val="center"/>
          </w:tcPr>
          <w:p w14:paraId="17B7B3AD">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预算数：</w:t>
            </w:r>
          </w:p>
        </w:tc>
        <w:tc>
          <w:tcPr>
            <w:tcBorders>
              <w:top w:val="single" w:color="auto" w:sz="4" w:space="0"/>
              <w:left w:val="single" w:color="auto" w:sz="4" w:space="0"/>
            </w:tcBorders>
            <w:shd w:val="clear" w:color="auto" w:fill="FFFFFF"/>
            <w:vAlign w:val="center"/>
          </w:tcPr>
          <w:p w14:paraId="3DCFE85B">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126</w:t>
            </w:r>
            <w:r>
              <w:rPr>
                <w:rFonts w:hint="eastAsia" w:ascii="宋体" w:hAnsi="宋体" w:eastAsia="宋体" w:cs="宋体"/>
                <w:color w:val="auto"/>
                <w:spacing w:val="0"/>
                <w:w w:val="100"/>
                <w:position w:val="0"/>
                <w:sz w:val="20"/>
                <w:szCs w:val="20"/>
              </w:rPr>
              <w:t>万元</w:t>
            </w:r>
          </w:p>
        </w:tc>
        <w:tc>
          <w:tcPr>
            <w:tcBorders>
              <w:top w:val="single" w:color="auto" w:sz="4" w:space="0"/>
              <w:left w:val="single" w:color="auto" w:sz="4" w:space="0"/>
            </w:tcBorders>
            <w:shd w:val="clear" w:color="auto" w:fill="FFFFFF"/>
            <w:vAlign w:val="center"/>
          </w:tcPr>
          <w:p w14:paraId="7690019A">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执行数：</w:t>
            </w:r>
          </w:p>
        </w:tc>
        <w:tc>
          <w:tcPr>
            <w:tcBorders>
              <w:top w:val="single" w:color="auto" w:sz="4" w:space="0"/>
              <w:left w:val="single" w:color="auto" w:sz="4" w:space="0"/>
              <w:right w:val="single" w:color="auto" w:sz="4" w:space="0"/>
            </w:tcBorders>
            <w:shd w:val="clear" w:color="auto" w:fill="FFFFFF"/>
            <w:vAlign w:val="center"/>
          </w:tcPr>
          <w:p w14:paraId="44CB2253">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lang w:val="en-US" w:eastAsia="en-US" w:bidi="en-US"/>
              </w:rPr>
              <w:t>119.1086</w:t>
            </w:r>
            <w:r>
              <w:rPr>
                <w:rFonts w:hint="eastAsia" w:ascii="宋体" w:hAnsi="宋体" w:eastAsia="宋体" w:cs="宋体"/>
                <w:color w:val="auto"/>
                <w:spacing w:val="0"/>
                <w:w w:val="100"/>
                <w:position w:val="0"/>
                <w:sz w:val="20"/>
                <w:szCs w:val="20"/>
              </w:rPr>
              <w:t>万元</w:t>
            </w:r>
          </w:p>
        </w:tc>
      </w:tr>
      <w:tr w14:paraId="48C7CD7A">
        <w:tblPrEx>
          <w:tblCellMar>
            <w:top w:w="0" w:type="dxa"/>
            <w:left w:w="10" w:type="dxa"/>
            <w:bottom w:w="0" w:type="dxa"/>
            <w:right w:w="10" w:type="dxa"/>
          </w:tblCellMar>
        </w:tblPrEx>
        <w:trPr>
          <w:trHeight w:val="600" w:hRule="exact"/>
          <w:jc w:val="center"/>
        </w:trPr>
        <w:tc>
          <w:tcPr>
            <w:tcW w:w="858" w:type="dxa"/>
            <w:vMerge w:val="continue"/>
            <w:tcBorders>
              <w:left w:val="single" w:color="auto" w:sz="4" w:space="0"/>
            </w:tcBorders>
            <w:shd w:val="clear" w:color="auto" w:fill="FFFFFF"/>
            <w:vAlign w:val="center"/>
          </w:tcPr>
          <w:p w14:paraId="74B2B85A">
            <w:pPr>
              <w:jc w:val="left"/>
              <w:rPr>
                <w:rFonts w:hint="eastAsia" w:ascii="宋体" w:hAnsi="宋体" w:eastAsia="宋体" w:cs="宋体"/>
                <w:color w:val="auto"/>
              </w:rPr>
            </w:pPr>
          </w:p>
        </w:tc>
        <w:tc>
          <w:tcPr>
            <w:tcW w:w="2412" w:type="dxa"/>
            <w:tcBorders>
              <w:top w:val="single" w:color="auto" w:sz="4" w:space="0"/>
              <w:left w:val="single" w:color="auto" w:sz="4" w:space="0"/>
            </w:tcBorders>
            <w:shd w:val="clear" w:color="auto" w:fill="FFFFFF"/>
            <w:vAlign w:val="center"/>
          </w:tcPr>
          <w:p w14:paraId="55D4F85E">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其中-财政拨款：</w:t>
            </w:r>
          </w:p>
        </w:tc>
        <w:tc>
          <w:tcPr>
            <w:tcBorders>
              <w:top w:val="single" w:color="auto" w:sz="4" w:space="0"/>
              <w:left w:val="single" w:color="auto" w:sz="4" w:space="0"/>
            </w:tcBorders>
            <w:shd w:val="clear" w:color="auto" w:fill="FFFFFF"/>
            <w:vAlign w:val="center"/>
          </w:tcPr>
          <w:p w14:paraId="694B3D5C">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lang w:val="en-US" w:eastAsia="en-US" w:bidi="en-US"/>
              </w:rPr>
              <w:t>119.1086</w:t>
            </w:r>
            <w:r>
              <w:rPr>
                <w:rFonts w:hint="eastAsia" w:ascii="宋体" w:hAnsi="宋体" w:eastAsia="宋体" w:cs="宋体"/>
                <w:color w:val="auto"/>
                <w:spacing w:val="0"/>
                <w:w w:val="100"/>
                <w:position w:val="0"/>
                <w:sz w:val="20"/>
                <w:szCs w:val="20"/>
              </w:rPr>
              <w:t>万元</w:t>
            </w:r>
          </w:p>
        </w:tc>
        <w:tc>
          <w:tcPr>
            <w:tcBorders>
              <w:top w:val="single" w:color="auto" w:sz="4" w:space="0"/>
              <w:left w:val="single" w:color="auto" w:sz="4" w:space="0"/>
            </w:tcBorders>
            <w:shd w:val="clear" w:color="auto" w:fill="FFFFFF"/>
            <w:vAlign w:val="center"/>
          </w:tcPr>
          <w:p w14:paraId="32C772CE">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其中-财政拨款：</w:t>
            </w:r>
          </w:p>
        </w:tc>
        <w:tc>
          <w:tcPr>
            <w:tcBorders>
              <w:top w:val="single" w:color="auto" w:sz="4" w:space="0"/>
              <w:left w:val="single" w:color="auto" w:sz="4" w:space="0"/>
              <w:right w:val="single" w:color="auto" w:sz="4" w:space="0"/>
            </w:tcBorders>
            <w:shd w:val="clear" w:color="auto" w:fill="FFFFFF"/>
            <w:vAlign w:val="center"/>
          </w:tcPr>
          <w:p w14:paraId="2CD66D5C">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lang w:val="en-US" w:eastAsia="en-US" w:bidi="en-US"/>
              </w:rPr>
              <w:t>119.1086</w:t>
            </w:r>
            <w:r>
              <w:rPr>
                <w:rFonts w:hint="eastAsia" w:ascii="宋体" w:hAnsi="宋体" w:eastAsia="宋体" w:cs="宋体"/>
                <w:color w:val="auto"/>
                <w:spacing w:val="0"/>
                <w:w w:val="100"/>
                <w:position w:val="0"/>
                <w:sz w:val="20"/>
                <w:szCs w:val="20"/>
              </w:rPr>
              <w:t>万元</w:t>
            </w:r>
          </w:p>
        </w:tc>
      </w:tr>
      <w:tr w14:paraId="5688455B">
        <w:tblPrEx>
          <w:tblCellMar>
            <w:top w:w="0" w:type="dxa"/>
            <w:left w:w="10" w:type="dxa"/>
            <w:bottom w:w="0" w:type="dxa"/>
            <w:right w:w="10" w:type="dxa"/>
          </w:tblCellMar>
        </w:tblPrEx>
        <w:trPr>
          <w:trHeight w:val="1920" w:hRule="exact"/>
          <w:jc w:val="center"/>
        </w:trPr>
        <w:tc>
          <w:tcPr>
            <w:tcW w:w="858" w:type="dxa"/>
            <w:vMerge w:val="continue"/>
            <w:tcBorders>
              <w:left w:val="single" w:color="auto" w:sz="4" w:space="0"/>
            </w:tcBorders>
            <w:shd w:val="clear" w:color="auto" w:fill="FFFFFF"/>
            <w:vAlign w:val="center"/>
          </w:tcPr>
          <w:p w14:paraId="00A17DAC">
            <w:pPr>
              <w:jc w:val="left"/>
              <w:rPr>
                <w:rFonts w:hint="eastAsia" w:ascii="宋体" w:hAnsi="宋体" w:eastAsia="宋体" w:cs="宋体"/>
                <w:color w:val="auto"/>
              </w:rPr>
            </w:pPr>
          </w:p>
        </w:tc>
        <w:tc>
          <w:tcPr>
            <w:tcW w:w="2412" w:type="dxa"/>
            <w:tcBorders>
              <w:top w:val="single" w:color="auto" w:sz="4" w:space="0"/>
              <w:left w:val="single" w:color="auto" w:sz="4" w:space="0"/>
            </w:tcBorders>
            <w:shd w:val="clear" w:color="auto" w:fill="FFFFFF"/>
            <w:vAlign w:val="center"/>
          </w:tcPr>
          <w:p w14:paraId="193E3FD5">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其它资金：</w:t>
            </w:r>
          </w:p>
        </w:tc>
        <w:tc>
          <w:tcPr>
            <w:tcBorders>
              <w:top w:val="single" w:color="auto" w:sz="4" w:space="0"/>
              <w:left w:val="single" w:color="auto" w:sz="4" w:space="0"/>
            </w:tcBorders>
            <w:shd w:val="clear" w:color="auto" w:fill="FFFFFF"/>
            <w:vAlign w:val="center"/>
          </w:tcPr>
          <w:p w14:paraId="6B1AF83E">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0</w:t>
            </w:r>
          </w:p>
        </w:tc>
        <w:tc>
          <w:tcPr>
            <w:tcBorders>
              <w:top w:val="single" w:color="auto" w:sz="4" w:space="0"/>
              <w:left w:val="single" w:color="auto" w:sz="4" w:space="0"/>
            </w:tcBorders>
            <w:shd w:val="clear" w:color="auto" w:fill="FFFFFF"/>
            <w:vAlign w:val="center"/>
          </w:tcPr>
          <w:p w14:paraId="666587D4">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其它资金：</w:t>
            </w:r>
          </w:p>
        </w:tc>
        <w:tc>
          <w:tcPr>
            <w:tcBorders>
              <w:top w:val="single" w:color="auto" w:sz="4" w:space="0"/>
              <w:left w:val="single" w:color="auto" w:sz="4" w:space="0"/>
              <w:right w:val="single" w:color="auto" w:sz="4" w:space="0"/>
            </w:tcBorders>
            <w:shd w:val="clear" w:color="auto" w:fill="FFFFFF"/>
            <w:vAlign w:val="center"/>
          </w:tcPr>
          <w:p w14:paraId="0712D27B">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0</w:t>
            </w:r>
          </w:p>
        </w:tc>
      </w:tr>
      <w:tr w14:paraId="71A8F084">
        <w:tblPrEx>
          <w:tblCellMar>
            <w:top w:w="0" w:type="dxa"/>
            <w:left w:w="10" w:type="dxa"/>
            <w:bottom w:w="0" w:type="dxa"/>
            <w:right w:w="10" w:type="dxa"/>
          </w:tblCellMar>
        </w:tblPrEx>
        <w:trPr>
          <w:trHeight w:val="600" w:hRule="exact"/>
          <w:jc w:val="center"/>
        </w:trPr>
        <w:tc>
          <w:tcPr>
            <w:tcW w:w="858" w:type="dxa"/>
            <w:vMerge w:val="restart"/>
            <w:tcBorders>
              <w:top w:val="single" w:color="auto" w:sz="4" w:space="0"/>
              <w:left w:val="single" w:color="auto" w:sz="4" w:space="0"/>
            </w:tcBorders>
            <w:shd w:val="clear" w:color="auto" w:fill="FFFFFF"/>
            <w:vAlign w:val="center"/>
          </w:tcPr>
          <w:p w14:paraId="373073A5">
            <w:pPr>
              <w:pStyle w:val="17"/>
              <w:keepNext w:val="0"/>
              <w:keepLines w:val="0"/>
              <w:widowControl w:val="0"/>
              <w:shd w:val="clear" w:color="auto" w:fill="auto"/>
              <w:bidi w:val="0"/>
              <w:spacing w:before="0" w:after="0" w:line="575" w:lineRule="exact"/>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年度目标</w:t>
            </w:r>
          </w:p>
          <w:p w14:paraId="48679C6D">
            <w:pPr>
              <w:pStyle w:val="17"/>
              <w:keepNext w:val="0"/>
              <w:keepLines w:val="0"/>
              <w:widowControl w:val="0"/>
              <w:shd w:val="clear" w:color="auto" w:fill="auto"/>
              <w:bidi w:val="0"/>
              <w:spacing w:before="0" w:after="0" w:line="575" w:lineRule="exact"/>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完成情况</w:t>
            </w:r>
          </w:p>
        </w:tc>
        <w:tc>
          <w:tcPr>
            <w:tcW w:w="4782" w:type="dxa"/>
            <w:gridSpan w:val="2"/>
            <w:tcBorders>
              <w:top w:val="single" w:color="auto" w:sz="4" w:space="0"/>
              <w:left w:val="single" w:color="auto" w:sz="4" w:space="0"/>
            </w:tcBorders>
            <w:shd w:val="clear" w:color="auto" w:fill="FFFFFF"/>
            <w:vAlign w:val="center"/>
          </w:tcPr>
          <w:p w14:paraId="68EBB23F">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预期目标</w:t>
            </w:r>
          </w:p>
        </w:tc>
        <w:tc>
          <w:tcPr>
            <w:gridSpan w:val="2"/>
            <w:tcBorders>
              <w:top w:val="single" w:color="auto" w:sz="4" w:space="0"/>
              <w:left w:val="single" w:color="auto" w:sz="4" w:space="0"/>
              <w:right w:val="single" w:color="auto" w:sz="4" w:space="0"/>
            </w:tcBorders>
            <w:shd w:val="clear" w:color="auto" w:fill="FFFFFF"/>
            <w:vAlign w:val="center"/>
          </w:tcPr>
          <w:p w14:paraId="68D6FF84">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实际完成目标</w:t>
            </w:r>
          </w:p>
        </w:tc>
      </w:tr>
      <w:tr w14:paraId="1252B536">
        <w:tblPrEx>
          <w:tblCellMar>
            <w:top w:w="0" w:type="dxa"/>
            <w:left w:w="10" w:type="dxa"/>
            <w:bottom w:w="0" w:type="dxa"/>
            <w:right w:w="10" w:type="dxa"/>
          </w:tblCellMar>
        </w:tblPrEx>
        <w:trPr>
          <w:trHeight w:val="4035" w:hRule="exact"/>
          <w:jc w:val="center"/>
        </w:trPr>
        <w:tc>
          <w:tcPr>
            <w:tcW w:w="858" w:type="dxa"/>
            <w:vMerge w:val="continue"/>
            <w:tcBorders>
              <w:left w:val="single" w:color="auto" w:sz="4" w:space="0"/>
              <w:bottom w:val="single" w:color="auto" w:sz="4" w:space="0"/>
            </w:tcBorders>
            <w:shd w:val="clear" w:color="auto" w:fill="FFFFFF"/>
            <w:vAlign w:val="center"/>
          </w:tcPr>
          <w:p w14:paraId="298422B6">
            <w:pPr>
              <w:jc w:val="left"/>
              <w:rPr>
                <w:rFonts w:hint="eastAsia" w:ascii="宋体" w:hAnsi="宋体" w:eastAsia="宋体" w:cs="宋体"/>
                <w:color w:val="auto"/>
              </w:rPr>
            </w:pPr>
          </w:p>
        </w:tc>
        <w:tc>
          <w:tcPr>
            <w:tcW w:w="4782" w:type="dxa"/>
            <w:gridSpan w:val="2"/>
            <w:tcBorders>
              <w:top w:val="single" w:color="auto" w:sz="4" w:space="0"/>
              <w:left w:val="single" w:color="auto" w:sz="4" w:space="0"/>
              <w:bottom w:val="single" w:color="auto" w:sz="4" w:space="0"/>
            </w:tcBorders>
            <w:shd w:val="clear" w:color="auto" w:fill="FFFFFF"/>
            <w:vAlign w:val="center"/>
          </w:tcPr>
          <w:p w14:paraId="3E028DD6">
            <w:pPr>
              <w:pStyle w:val="17"/>
              <w:keepNext w:val="0"/>
              <w:keepLines w:val="0"/>
              <w:widowControl w:val="0"/>
              <w:shd w:val="clear" w:color="auto" w:fill="auto"/>
              <w:bidi w:val="0"/>
              <w:spacing w:before="0" w:after="0" w:line="315" w:lineRule="exact"/>
              <w:ind w:left="0" w:right="0" w:firstLine="0"/>
              <w:jc w:val="left"/>
              <w:rPr>
                <w:rFonts w:hint="eastAsia" w:ascii="宋体" w:hAnsi="宋体" w:eastAsia="宋体" w:cs="宋体"/>
                <w:color w:val="auto"/>
                <w:sz w:val="18"/>
                <w:szCs w:val="18"/>
              </w:rPr>
            </w:pPr>
            <w:r>
              <w:rPr>
                <w:rFonts w:hint="eastAsia" w:ascii="宋体" w:hAnsi="宋体" w:eastAsia="宋体" w:cs="宋体"/>
                <w:color w:val="auto"/>
                <w:spacing w:val="0"/>
                <w:w w:val="100"/>
                <w:position w:val="0"/>
                <w:sz w:val="17"/>
                <w:szCs w:val="17"/>
              </w:rPr>
              <w:t>2020</w:t>
            </w:r>
            <w:r>
              <w:rPr>
                <w:rFonts w:hint="eastAsia" w:ascii="宋体" w:hAnsi="宋体" w:eastAsia="宋体" w:cs="宋体"/>
                <w:color w:val="auto"/>
                <w:spacing w:val="0"/>
                <w:w w:val="100"/>
                <w:position w:val="0"/>
                <w:sz w:val="20"/>
                <w:szCs w:val="20"/>
              </w:rPr>
              <w:t>年</w:t>
            </w:r>
            <w:r>
              <w:rPr>
                <w:rFonts w:hint="eastAsia" w:ascii="宋体" w:hAnsi="宋体" w:eastAsia="宋体" w:cs="宋体"/>
                <w:color w:val="auto"/>
                <w:spacing w:val="0"/>
                <w:w w:val="100"/>
                <w:position w:val="0"/>
                <w:sz w:val="17"/>
                <w:szCs w:val="17"/>
              </w:rPr>
              <w:t>12</w:t>
            </w:r>
            <w:r>
              <w:rPr>
                <w:rFonts w:hint="eastAsia" w:ascii="宋体" w:hAnsi="宋体" w:eastAsia="宋体" w:cs="宋体"/>
                <w:color w:val="auto"/>
                <w:spacing w:val="0"/>
                <w:w w:val="100"/>
                <w:position w:val="0"/>
                <w:sz w:val="20"/>
                <w:szCs w:val="20"/>
              </w:rPr>
              <w:t>月底前全面完成</w:t>
            </w:r>
            <w:r>
              <w:rPr>
                <w:rFonts w:hint="eastAsia" w:ascii="宋体" w:hAnsi="宋体" w:eastAsia="宋体" w:cs="宋体"/>
                <w:color w:val="auto"/>
                <w:spacing w:val="0"/>
                <w:w w:val="100"/>
                <w:position w:val="0"/>
                <w:sz w:val="17"/>
                <w:szCs w:val="17"/>
              </w:rPr>
              <w:t>17</w:t>
            </w:r>
            <w:r>
              <w:rPr>
                <w:rFonts w:hint="eastAsia" w:ascii="宋体" w:hAnsi="宋体" w:eastAsia="宋体" w:cs="宋体"/>
                <w:color w:val="auto"/>
                <w:spacing w:val="0"/>
                <w:w w:val="100"/>
                <w:position w:val="0"/>
                <w:sz w:val="20"/>
                <w:szCs w:val="20"/>
              </w:rPr>
              <w:t>个村（社区）组织活动场所維护，基础设施維护，环境卫生整治等</w:t>
            </w:r>
            <w:r>
              <w:rPr>
                <w:rFonts w:hint="eastAsia" w:ascii="宋体" w:hAnsi="宋体" w:eastAsia="宋体" w:cs="宋体"/>
                <w:color w:val="auto"/>
                <w:spacing w:val="0"/>
                <w:w w:val="100"/>
                <w:position w:val="0"/>
                <w:sz w:val="20"/>
                <w:szCs w:val="20"/>
                <w:lang w:eastAsia="zh-CN"/>
              </w:rPr>
              <w:t>涉及</w:t>
            </w:r>
            <w:r>
              <w:rPr>
                <w:rFonts w:hint="eastAsia" w:ascii="宋体" w:hAnsi="宋体" w:eastAsia="宋体" w:cs="宋体"/>
                <w:color w:val="auto"/>
                <w:spacing w:val="0"/>
                <w:w w:val="100"/>
                <w:position w:val="0"/>
                <w:sz w:val="17"/>
                <w:szCs w:val="17"/>
              </w:rPr>
              <w:t>17</w:t>
            </w:r>
            <w:r>
              <w:rPr>
                <w:rFonts w:hint="eastAsia" w:ascii="宋体" w:hAnsi="宋体" w:eastAsia="宋体" w:cs="宋体"/>
                <w:color w:val="auto"/>
                <w:spacing w:val="0"/>
                <w:w w:val="100"/>
                <w:position w:val="0"/>
                <w:sz w:val="20"/>
                <w:szCs w:val="20"/>
              </w:rPr>
              <w:t>个村（居）、覆盖</w:t>
            </w:r>
            <w:r>
              <w:rPr>
                <w:rFonts w:hint="eastAsia" w:ascii="宋体" w:hAnsi="宋体" w:eastAsia="宋体" w:cs="宋体"/>
                <w:color w:val="auto"/>
                <w:spacing w:val="0"/>
                <w:w w:val="100"/>
                <w:position w:val="0"/>
                <w:sz w:val="17"/>
                <w:szCs w:val="17"/>
              </w:rPr>
              <w:t>114</w:t>
            </w:r>
            <w:r>
              <w:rPr>
                <w:rFonts w:hint="eastAsia" w:ascii="宋体" w:hAnsi="宋体" w:eastAsia="宋体" w:cs="宋体"/>
                <w:color w:val="auto"/>
                <w:spacing w:val="0"/>
                <w:w w:val="100"/>
                <w:position w:val="0"/>
                <w:sz w:val="20"/>
                <w:szCs w:val="20"/>
              </w:rPr>
              <w:t>个村民小组、群众</w:t>
            </w:r>
            <w:r>
              <w:rPr>
                <w:rFonts w:hint="eastAsia" w:ascii="宋体" w:hAnsi="宋体" w:eastAsia="宋体" w:cs="宋体"/>
                <w:color w:val="auto"/>
                <w:spacing w:val="0"/>
                <w:w w:val="100"/>
                <w:position w:val="0"/>
                <w:sz w:val="17"/>
                <w:szCs w:val="17"/>
                <w:lang w:val="en-US" w:eastAsia="en-US" w:bidi="en-US"/>
              </w:rPr>
              <w:t>2785</w:t>
            </w:r>
            <w:r>
              <w:rPr>
                <w:rFonts w:hint="eastAsia" w:ascii="宋体" w:hAnsi="宋体" w:eastAsia="宋体" w:cs="宋体"/>
                <w:color w:val="auto"/>
                <w:spacing w:val="0"/>
                <w:w w:val="100"/>
                <w:position w:val="0"/>
                <w:sz w:val="17"/>
                <w:szCs w:val="17"/>
                <w:lang w:val="en-US" w:eastAsia="zh-CN" w:bidi="en-US"/>
              </w:rPr>
              <w:t>0</w:t>
            </w:r>
            <w:r>
              <w:rPr>
                <w:rFonts w:hint="eastAsia" w:ascii="宋体" w:hAnsi="宋体" w:eastAsia="宋体" w:cs="宋体"/>
                <w:color w:val="auto"/>
                <w:spacing w:val="0"/>
                <w:w w:val="100"/>
                <w:position w:val="0"/>
                <w:sz w:val="20"/>
                <w:szCs w:val="20"/>
              </w:rPr>
              <w:t>人、党员</w:t>
            </w:r>
            <w:r>
              <w:rPr>
                <w:rFonts w:hint="eastAsia" w:ascii="宋体" w:hAnsi="宋体" w:eastAsia="宋体" w:cs="宋体"/>
                <w:color w:val="auto"/>
                <w:spacing w:val="0"/>
                <w:w w:val="100"/>
                <w:position w:val="0"/>
                <w:sz w:val="17"/>
                <w:szCs w:val="17"/>
              </w:rPr>
              <w:t>1095</w:t>
            </w:r>
            <w:r>
              <w:rPr>
                <w:rFonts w:hint="eastAsia" w:ascii="宋体" w:hAnsi="宋体" w:eastAsia="宋体" w:cs="宋体"/>
                <w:i/>
                <w:iCs/>
                <w:color w:val="auto"/>
                <w:spacing w:val="0"/>
                <w:w w:val="100"/>
                <w:position w:val="0"/>
                <w:sz w:val="18"/>
                <w:szCs w:val="18"/>
              </w:rPr>
              <w:t>名。</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0E33B4">
            <w:pPr>
              <w:pStyle w:val="17"/>
              <w:keepNext w:val="0"/>
              <w:keepLines w:val="0"/>
              <w:widowControl w:val="0"/>
              <w:shd w:val="clear" w:color="auto" w:fill="auto"/>
              <w:bidi w:val="0"/>
              <w:spacing w:before="0" w:after="0" w:line="575" w:lineRule="exact"/>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2020</w:t>
            </w:r>
            <w:r>
              <w:rPr>
                <w:rFonts w:hint="eastAsia" w:ascii="宋体" w:hAnsi="宋体" w:eastAsia="宋体" w:cs="宋体"/>
                <w:color w:val="auto"/>
                <w:spacing w:val="0"/>
                <w:w w:val="100"/>
                <w:position w:val="0"/>
                <w:sz w:val="20"/>
                <w:szCs w:val="20"/>
              </w:rPr>
              <w:t>年</w:t>
            </w:r>
            <w:r>
              <w:rPr>
                <w:rFonts w:hint="eastAsia" w:ascii="宋体" w:hAnsi="宋体" w:eastAsia="宋体" w:cs="宋体"/>
                <w:color w:val="auto"/>
                <w:spacing w:val="0"/>
                <w:w w:val="100"/>
                <w:position w:val="0"/>
                <w:sz w:val="17"/>
                <w:szCs w:val="17"/>
              </w:rPr>
              <w:t>12</w:t>
            </w:r>
            <w:r>
              <w:rPr>
                <w:rFonts w:hint="eastAsia" w:ascii="宋体" w:hAnsi="宋体" w:eastAsia="宋体" w:cs="宋体"/>
                <w:color w:val="auto"/>
                <w:spacing w:val="0"/>
                <w:w w:val="100"/>
                <w:position w:val="0"/>
                <w:sz w:val="20"/>
                <w:szCs w:val="20"/>
              </w:rPr>
              <w:t>月底前全面完成</w:t>
            </w:r>
            <w:r>
              <w:rPr>
                <w:rFonts w:hint="eastAsia" w:ascii="宋体" w:hAnsi="宋体" w:eastAsia="宋体" w:cs="宋体"/>
                <w:color w:val="auto"/>
                <w:spacing w:val="0"/>
                <w:w w:val="100"/>
                <w:position w:val="0"/>
                <w:sz w:val="17"/>
                <w:szCs w:val="17"/>
              </w:rPr>
              <w:t>17</w:t>
            </w:r>
            <w:r>
              <w:rPr>
                <w:rFonts w:hint="eastAsia" w:ascii="宋体" w:hAnsi="宋体" w:eastAsia="宋体" w:cs="宋体"/>
                <w:color w:val="auto"/>
                <w:spacing w:val="0"/>
                <w:w w:val="100"/>
                <w:position w:val="0"/>
                <w:sz w:val="20"/>
                <w:szCs w:val="20"/>
              </w:rPr>
              <w:t>个村（社区）组织活动场所維护，基础设施維护，环境卫生整治等</w:t>
            </w:r>
            <w:r>
              <w:rPr>
                <w:rFonts w:hint="eastAsia" w:ascii="宋体" w:hAnsi="宋体" w:eastAsia="宋体" w:cs="宋体"/>
                <w:color w:val="auto"/>
                <w:spacing w:val="0"/>
                <w:w w:val="100"/>
                <w:position w:val="0"/>
                <w:sz w:val="20"/>
                <w:szCs w:val="20"/>
                <w:lang w:eastAsia="zh-CN"/>
              </w:rPr>
              <w:t>涉及</w:t>
            </w:r>
            <w:r>
              <w:rPr>
                <w:rFonts w:hint="eastAsia" w:ascii="宋体" w:hAnsi="宋体" w:eastAsia="宋体" w:cs="宋体"/>
                <w:color w:val="auto"/>
                <w:spacing w:val="0"/>
                <w:w w:val="100"/>
                <w:position w:val="0"/>
                <w:sz w:val="17"/>
                <w:szCs w:val="17"/>
              </w:rPr>
              <w:t>17</w:t>
            </w:r>
            <w:r>
              <w:rPr>
                <w:rFonts w:hint="eastAsia" w:ascii="宋体" w:hAnsi="宋体" w:eastAsia="宋体" w:cs="宋体"/>
                <w:color w:val="auto"/>
                <w:spacing w:val="0"/>
                <w:w w:val="100"/>
                <w:position w:val="0"/>
                <w:sz w:val="20"/>
                <w:szCs w:val="20"/>
              </w:rPr>
              <w:t>个村（居）、覆盖</w:t>
            </w:r>
            <w:r>
              <w:rPr>
                <w:rFonts w:hint="eastAsia" w:ascii="宋体" w:hAnsi="宋体" w:eastAsia="宋体" w:cs="宋体"/>
                <w:color w:val="auto"/>
                <w:spacing w:val="0"/>
                <w:w w:val="100"/>
                <w:position w:val="0"/>
                <w:sz w:val="17"/>
                <w:szCs w:val="17"/>
              </w:rPr>
              <w:t>114</w:t>
            </w:r>
            <w:r>
              <w:rPr>
                <w:rFonts w:hint="eastAsia" w:ascii="宋体" w:hAnsi="宋体" w:eastAsia="宋体" w:cs="宋体"/>
                <w:color w:val="auto"/>
                <w:spacing w:val="0"/>
                <w:w w:val="100"/>
                <w:position w:val="0"/>
                <w:sz w:val="20"/>
                <w:szCs w:val="20"/>
              </w:rPr>
              <w:t>个村民小组、群众</w:t>
            </w:r>
            <w:r>
              <w:rPr>
                <w:rFonts w:hint="eastAsia" w:ascii="宋体" w:hAnsi="宋体" w:eastAsia="宋体" w:cs="宋体"/>
                <w:color w:val="auto"/>
                <w:spacing w:val="0"/>
                <w:w w:val="100"/>
                <w:position w:val="0"/>
                <w:sz w:val="17"/>
                <w:szCs w:val="17"/>
                <w:lang w:val="en-US" w:eastAsia="en-US" w:bidi="en-US"/>
              </w:rPr>
              <w:t>2785</w:t>
            </w:r>
            <w:r>
              <w:rPr>
                <w:rFonts w:hint="eastAsia" w:ascii="宋体" w:hAnsi="宋体" w:eastAsia="宋体" w:cs="宋体"/>
                <w:color w:val="auto"/>
                <w:spacing w:val="0"/>
                <w:w w:val="100"/>
                <w:position w:val="0"/>
                <w:sz w:val="17"/>
                <w:szCs w:val="17"/>
                <w:lang w:val="en-US" w:eastAsia="zh-CN" w:bidi="en-US"/>
              </w:rPr>
              <w:t>0</w:t>
            </w:r>
            <w:r>
              <w:rPr>
                <w:rFonts w:hint="eastAsia" w:ascii="宋体" w:hAnsi="宋体" w:eastAsia="宋体" w:cs="宋体"/>
                <w:color w:val="auto"/>
                <w:spacing w:val="0"/>
                <w:w w:val="100"/>
                <w:position w:val="0"/>
                <w:sz w:val="20"/>
                <w:szCs w:val="20"/>
              </w:rPr>
              <w:t>人、党员</w:t>
            </w:r>
            <w:r>
              <w:rPr>
                <w:rFonts w:hint="eastAsia" w:ascii="宋体" w:hAnsi="宋体" w:eastAsia="宋体" w:cs="宋体"/>
                <w:color w:val="auto"/>
                <w:spacing w:val="0"/>
                <w:w w:val="100"/>
                <w:position w:val="0"/>
                <w:sz w:val="17"/>
                <w:szCs w:val="17"/>
              </w:rPr>
              <w:t>1095</w:t>
            </w:r>
            <w:r>
              <w:rPr>
                <w:rFonts w:hint="eastAsia" w:ascii="宋体" w:hAnsi="宋体" w:eastAsia="宋体" w:cs="宋体"/>
                <w:i/>
                <w:iCs/>
                <w:color w:val="auto"/>
                <w:spacing w:val="0"/>
                <w:w w:val="100"/>
                <w:position w:val="0"/>
                <w:sz w:val="18"/>
                <w:szCs w:val="18"/>
              </w:rPr>
              <w:t>名。</w:t>
            </w:r>
          </w:p>
        </w:tc>
      </w:tr>
    </w:tbl>
    <w:p w14:paraId="04B571AA">
      <w:pPr>
        <w:spacing w:line="1" w:lineRule="exact"/>
        <w:jc w:val="left"/>
        <w:rPr>
          <w:rFonts w:hint="eastAsia" w:ascii="宋体" w:hAnsi="宋体" w:eastAsia="宋体" w:cs="宋体"/>
          <w:color w:val="auto"/>
          <w:sz w:val="2"/>
          <w:szCs w:val="2"/>
        </w:rPr>
      </w:pPr>
      <w:r>
        <w:rPr>
          <w:rFonts w:hint="eastAsia" w:ascii="宋体" w:hAnsi="宋体" w:eastAsia="宋体" w:cs="宋体"/>
          <w:color w:val="auto"/>
        </w:rPr>
        <w:br w:type="page"/>
      </w:r>
    </w:p>
    <w:tbl>
      <w:tblPr>
        <w:tblStyle w:val="7"/>
        <w:tblW w:w="0" w:type="auto"/>
        <w:jc w:val="center"/>
        <w:tblLayout w:type="fixed"/>
        <w:tblCellMar>
          <w:top w:w="0" w:type="dxa"/>
          <w:left w:w="10" w:type="dxa"/>
          <w:bottom w:w="0" w:type="dxa"/>
          <w:right w:w="10" w:type="dxa"/>
        </w:tblCellMar>
      </w:tblPr>
      <w:tblGrid>
        <w:gridCol w:w="390"/>
        <w:gridCol w:w="1530"/>
        <w:gridCol w:w="1350"/>
        <w:gridCol w:w="2385"/>
        <w:gridCol w:w="2070"/>
        <w:gridCol w:w="2250"/>
      </w:tblGrid>
      <w:tr w14:paraId="541DB576">
        <w:tblPrEx>
          <w:tblCellMar>
            <w:top w:w="0" w:type="dxa"/>
            <w:left w:w="10" w:type="dxa"/>
            <w:bottom w:w="0" w:type="dxa"/>
            <w:right w:w="10" w:type="dxa"/>
          </w:tblCellMar>
        </w:tblPrEx>
        <w:trPr>
          <w:trHeight w:val="1185" w:hRule="exact"/>
          <w:jc w:val="center"/>
        </w:trPr>
        <w:tc>
          <w:tcPr>
            <w:vMerge w:val="restart"/>
            <w:tcBorders>
              <w:top w:val="single" w:color="auto" w:sz="4" w:space="0"/>
              <w:left w:val="single" w:color="auto" w:sz="4" w:space="0"/>
            </w:tcBorders>
            <w:shd w:val="clear" w:color="auto" w:fill="FFFFFF"/>
            <w:vAlign w:val="top"/>
          </w:tcPr>
          <w:p w14:paraId="0309A6E9">
            <w:pPr>
              <w:pStyle w:val="17"/>
              <w:keepNext w:val="0"/>
              <w:keepLines w:val="0"/>
              <w:widowControl w:val="0"/>
              <w:shd w:val="clear" w:color="auto" w:fill="auto"/>
              <w:bidi w:val="0"/>
              <w:spacing w:before="1760" w:after="30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绩</w:t>
            </w:r>
          </w:p>
          <w:p w14:paraId="0C7209BC">
            <w:pPr>
              <w:pStyle w:val="17"/>
              <w:keepNext w:val="0"/>
              <w:keepLines w:val="0"/>
              <w:widowControl w:val="0"/>
              <w:shd w:val="clear" w:color="auto" w:fill="auto"/>
              <w:bidi w:val="0"/>
              <w:spacing w:before="0" w:after="30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效</w:t>
            </w:r>
          </w:p>
          <w:p w14:paraId="713BA068">
            <w:pPr>
              <w:pStyle w:val="17"/>
              <w:keepNext w:val="0"/>
              <w:keepLines w:val="0"/>
              <w:widowControl w:val="0"/>
              <w:shd w:val="clear" w:color="auto" w:fill="auto"/>
              <w:bidi w:val="0"/>
              <w:spacing w:before="0" w:after="30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指</w:t>
            </w:r>
          </w:p>
          <w:p w14:paraId="56BED6A4">
            <w:pPr>
              <w:pStyle w:val="17"/>
              <w:keepNext w:val="0"/>
              <w:keepLines w:val="0"/>
              <w:widowControl w:val="0"/>
              <w:shd w:val="clear" w:color="auto" w:fill="auto"/>
              <w:bidi w:val="0"/>
              <w:spacing w:before="0" w:after="30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标</w:t>
            </w:r>
          </w:p>
          <w:p w14:paraId="00481881">
            <w:pPr>
              <w:pStyle w:val="17"/>
              <w:keepNext w:val="0"/>
              <w:keepLines w:val="0"/>
              <w:widowControl w:val="0"/>
              <w:shd w:val="clear" w:color="auto" w:fill="auto"/>
              <w:bidi w:val="0"/>
              <w:spacing w:before="0" w:after="30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完</w:t>
            </w:r>
          </w:p>
          <w:p w14:paraId="51D88698">
            <w:pPr>
              <w:pStyle w:val="17"/>
              <w:keepNext w:val="0"/>
              <w:keepLines w:val="0"/>
              <w:widowControl w:val="0"/>
              <w:shd w:val="clear" w:color="auto" w:fill="auto"/>
              <w:bidi w:val="0"/>
              <w:spacing w:before="0" w:after="30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成</w:t>
            </w:r>
          </w:p>
          <w:p w14:paraId="138274FA">
            <w:pPr>
              <w:pStyle w:val="17"/>
              <w:keepNext w:val="0"/>
              <w:keepLines w:val="0"/>
              <w:widowControl w:val="0"/>
              <w:shd w:val="clear" w:color="auto" w:fill="auto"/>
              <w:bidi w:val="0"/>
              <w:spacing w:before="0" w:after="30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情</w:t>
            </w:r>
          </w:p>
          <w:p w14:paraId="53A6B91A">
            <w:pPr>
              <w:pStyle w:val="17"/>
              <w:keepNext w:val="0"/>
              <w:keepLines w:val="0"/>
              <w:widowControl w:val="0"/>
              <w:shd w:val="clear" w:color="auto" w:fill="auto"/>
              <w:bidi w:val="0"/>
              <w:spacing w:before="0" w:after="30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况</w:t>
            </w:r>
          </w:p>
        </w:tc>
        <w:tc>
          <w:tcPr>
            <w:tcBorders>
              <w:top w:val="single" w:color="auto" w:sz="4" w:space="0"/>
              <w:left w:val="single" w:color="auto" w:sz="4" w:space="0"/>
            </w:tcBorders>
            <w:shd w:val="clear" w:color="auto" w:fill="FFFFFF"/>
            <w:vAlign w:val="center"/>
          </w:tcPr>
          <w:p w14:paraId="53006E41">
            <w:pPr>
              <w:pStyle w:val="17"/>
              <w:keepNext w:val="0"/>
              <w:keepLines w:val="0"/>
              <w:widowControl w:val="0"/>
              <w:shd w:val="clear" w:color="auto" w:fill="auto"/>
              <w:bidi w:val="0"/>
              <w:spacing w:before="0" w:after="0" w:line="240" w:lineRule="auto"/>
              <w:ind w:left="0" w:right="0" w:firstLine="2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一级指标</w:t>
            </w:r>
          </w:p>
        </w:tc>
        <w:tc>
          <w:tcPr>
            <w:tcBorders>
              <w:top w:val="single" w:color="auto" w:sz="4" w:space="0"/>
              <w:left w:val="single" w:color="auto" w:sz="4" w:space="0"/>
            </w:tcBorders>
            <w:shd w:val="clear" w:color="auto" w:fill="FFFFFF"/>
            <w:vAlign w:val="center"/>
          </w:tcPr>
          <w:p w14:paraId="65712D01">
            <w:pPr>
              <w:pStyle w:val="17"/>
              <w:keepNext w:val="0"/>
              <w:keepLines w:val="0"/>
              <w:widowControl w:val="0"/>
              <w:shd w:val="clear" w:color="auto" w:fill="auto"/>
              <w:bidi w:val="0"/>
              <w:spacing w:before="0" w:after="0" w:line="240" w:lineRule="auto"/>
              <w:ind w:left="0" w:right="0" w:firstLine="1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二级指标</w:t>
            </w:r>
          </w:p>
        </w:tc>
        <w:tc>
          <w:tcPr>
            <w:tcBorders>
              <w:top w:val="single" w:color="auto" w:sz="4" w:space="0"/>
              <w:left w:val="single" w:color="auto" w:sz="4" w:space="0"/>
            </w:tcBorders>
            <w:shd w:val="clear" w:color="auto" w:fill="FFFFFF"/>
            <w:vAlign w:val="center"/>
          </w:tcPr>
          <w:p w14:paraId="7CE5D522">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三级指标</w:t>
            </w:r>
          </w:p>
        </w:tc>
        <w:tc>
          <w:tcPr>
            <w:tcBorders>
              <w:top w:val="single" w:color="auto" w:sz="4" w:space="0"/>
              <w:left w:val="single" w:color="auto" w:sz="4" w:space="0"/>
            </w:tcBorders>
            <w:shd w:val="clear" w:color="auto" w:fill="FFFFFF"/>
            <w:vAlign w:val="center"/>
          </w:tcPr>
          <w:p w14:paraId="6DA7668B">
            <w:pPr>
              <w:pStyle w:val="17"/>
              <w:keepNext w:val="0"/>
              <w:keepLines w:val="0"/>
              <w:widowControl w:val="0"/>
              <w:shd w:val="clear" w:color="auto" w:fill="auto"/>
              <w:bidi w:val="0"/>
              <w:spacing w:before="0" w:after="30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预期指标值（包含数</w:t>
            </w:r>
          </w:p>
          <w:p w14:paraId="07A0BCCA">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字及文字描述）</w:t>
            </w:r>
          </w:p>
        </w:tc>
        <w:tc>
          <w:tcPr>
            <w:tcBorders>
              <w:top w:val="single" w:color="auto" w:sz="4" w:space="0"/>
              <w:left w:val="single" w:color="auto" w:sz="4" w:space="0"/>
              <w:right w:val="single" w:color="auto" w:sz="4" w:space="0"/>
            </w:tcBorders>
            <w:shd w:val="clear" w:color="auto" w:fill="FFFFFF"/>
            <w:vAlign w:val="center"/>
          </w:tcPr>
          <w:p w14:paraId="3D821985">
            <w:pPr>
              <w:pStyle w:val="17"/>
              <w:keepNext w:val="0"/>
              <w:keepLines w:val="0"/>
              <w:widowControl w:val="0"/>
              <w:shd w:val="clear" w:color="auto" w:fill="auto"/>
              <w:bidi w:val="0"/>
              <w:spacing w:before="0" w:after="30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实际完成指标值（包</w:t>
            </w:r>
          </w:p>
          <w:p w14:paraId="7F9CF0E2">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含数字及文字描述）</w:t>
            </w:r>
          </w:p>
        </w:tc>
      </w:tr>
      <w:tr w14:paraId="77E8BA82">
        <w:tblPrEx>
          <w:tblCellMar>
            <w:top w:w="0" w:type="dxa"/>
            <w:left w:w="10" w:type="dxa"/>
            <w:bottom w:w="0" w:type="dxa"/>
            <w:right w:w="10" w:type="dxa"/>
          </w:tblCellMar>
        </w:tblPrEx>
        <w:trPr>
          <w:trHeight w:val="1170" w:hRule="exact"/>
          <w:jc w:val="center"/>
        </w:trPr>
        <w:tc>
          <w:tcPr>
            <w:vMerge w:val="continue"/>
            <w:tcBorders>
              <w:left w:val="single" w:color="auto" w:sz="4" w:space="0"/>
            </w:tcBorders>
            <w:shd w:val="clear" w:color="auto" w:fill="FFFFFF"/>
            <w:vAlign w:val="top"/>
          </w:tcPr>
          <w:p w14:paraId="059B7A78">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18721482">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项目完成指标</w:t>
            </w:r>
          </w:p>
        </w:tc>
        <w:tc>
          <w:tcPr>
            <w:tcBorders>
              <w:top w:val="single" w:color="auto" w:sz="4" w:space="0"/>
              <w:left w:val="single" w:color="auto" w:sz="4" w:space="0"/>
            </w:tcBorders>
            <w:shd w:val="clear" w:color="auto" w:fill="FFFFFF"/>
            <w:vAlign w:val="top"/>
          </w:tcPr>
          <w:p w14:paraId="3FED8BE0">
            <w:pPr>
              <w:pStyle w:val="17"/>
              <w:keepNext w:val="0"/>
              <w:keepLines w:val="0"/>
              <w:widowControl w:val="0"/>
              <w:shd w:val="clear" w:color="auto" w:fill="auto"/>
              <w:bidi w:val="0"/>
              <w:spacing w:before="200" w:after="0" w:line="240" w:lineRule="auto"/>
              <w:ind w:left="0" w:right="0" w:firstLine="1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数量指标</w:t>
            </w:r>
          </w:p>
        </w:tc>
        <w:tc>
          <w:tcPr>
            <w:tcBorders>
              <w:top w:val="single" w:color="auto" w:sz="4" w:space="0"/>
              <w:left w:val="single" w:color="auto" w:sz="4" w:space="0"/>
            </w:tcBorders>
            <w:shd w:val="clear" w:color="auto" w:fill="FFFFFF"/>
            <w:vAlign w:val="center"/>
          </w:tcPr>
          <w:p w14:paraId="1CC32601">
            <w:pPr>
              <w:pStyle w:val="17"/>
              <w:keepNext w:val="0"/>
              <w:keepLines w:val="0"/>
              <w:widowControl w:val="0"/>
              <w:shd w:val="clear" w:color="auto" w:fill="auto"/>
              <w:bidi w:val="0"/>
              <w:spacing w:before="0" w:after="34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村组织活动场所、基础设施建</w:t>
            </w:r>
          </w:p>
          <w:p w14:paraId="504CABF3">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设维护个数</w:t>
            </w:r>
          </w:p>
        </w:tc>
        <w:tc>
          <w:tcPr>
            <w:tcBorders>
              <w:top w:val="single" w:color="auto" w:sz="4" w:space="0"/>
              <w:left w:val="single" w:color="auto" w:sz="4" w:space="0"/>
            </w:tcBorders>
            <w:shd w:val="clear" w:color="auto" w:fill="FFFFFF"/>
            <w:vAlign w:val="center"/>
          </w:tcPr>
          <w:p w14:paraId="35296944">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17</w:t>
            </w:r>
            <w:r>
              <w:rPr>
                <w:rFonts w:hint="eastAsia" w:ascii="宋体" w:hAnsi="宋体" w:eastAsia="宋体" w:cs="宋体"/>
                <w:color w:val="auto"/>
                <w:spacing w:val="0"/>
                <w:w w:val="100"/>
                <w:position w:val="0"/>
                <w:sz w:val="20"/>
                <w:szCs w:val="20"/>
              </w:rPr>
              <w:t>个</w:t>
            </w:r>
          </w:p>
        </w:tc>
        <w:tc>
          <w:tcPr>
            <w:tcBorders>
              <w:top w:val="single" w:color="auto" w:sz="4" w:space="0"/>
              <w:left w:val="single" w:color="auto" w:sz="4" w:space="0"/>
              <w:right w:val="single" w:color="auto" w:sz="4" w:space="0"/>
            </w:tcBorders>
            <w:shd w:val="clear" w:color="auto" w:fill="FFFFFF"/>
            <w:vAlign w:val="center"/>
          </w:tcPr>
          <w:p w14:paraId="37594EB4">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17</w:t>
            </w:r>
            <w:r>
              <w:rPr>
                <w:rFonts w:hint="eastAsia" w:ascii="宋体" w:hAnsi="宋体" w:eastAsia="宋体" w:cs="宋体"/>
                <w:color w:val="auto"/>
                <w:spacing w:val="0"/>
                <w:w w:val="100"/>
                <w:position w:val="0"/>
                <w:sz w:val="20"/>
                <w:szCs w:val="20"/>
              </w:rPr>
              <w:t>个</w:t>
            </w:r>
          </w:p>
        </w:tc>
      </w:tr>
      <w:tr w14:paraId="72FA0AE3">
        <w:tblPrEx>
          <w:tblCellMar>
            <w:top w:w="0" w:type="dxa"/>
            <w:left w:w="10" w:type="dxa"/>
            <w:bottom w:w="0" w:type="dxa"/>
            <w:right w:w="10" w:type="dxa"/>
          </w:tblCellMar>
        </w:tblPrEx>
        <w:trPr>
          <w:trHeight w:val="645" w:hRule="exact"/>
          <w:jc w:val="center"/>
        </w:trPr>
        <w:tc>
          <w:tcPr>
            <w:vMerge w:val="continue"/>
            <w:tcBorders>
              <w:left w:val="single" w:color="auto" w:sz="4" w:space="0"/>
            </w:tcBorders>
            <w:shd w:val="clear" w:color="auto" w:fill="FFFFFF"/>
            <w:vAlign w:val="top"/>
          </w:tcPr>
          <w:p w14:paraId="1FD9725E">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7FC85FD4">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项目完成指标</w:t>
            </w:r>
          </w:p>
        </w:tc>
        <w:tc>
          <w:tcPr>
            <w:tcBorders>
              <w:top w:val="single" w:color="auto" w:sz="4" w:space="0"/>
              <w:left w:val="single" w:color="auto" w:sz="4" w:space="0"/>
            </w:tcBorders>
            <w:shd w:val="clear" w:color="auto" w:fill="FFFFFF"/>
            <w:vAlign w:val="center"/>
          </w:tcPr>
          <w:p w14:paraId="101DABAD">
            <w:pPr>
              <w:pStyle w:val="17"/>
              <w:keepNext w:val="0"/>
              <w:keepLines w:val="0"/>
              <w:widowControl w:val="0"/>
              <w:shd w:val="clear" w:color="auto" w:fill="auto"/>
              <w:bidi w:val="0"/>
              <w:spacing w:before="0" w:after="0" w:line="240" w:lineRule="auto"/>
              <w:ind w:left="0" w:right="0" w:firstLine="1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数量指标</w:t>
            </w:r>
          </w:p>
        </w:tc>
        <w:tc>
          <w:tcPr>
            <w:tcBorders>
              <w:top w:val="single" w:color="auto" w:sz="4" w:space="0"/>
              <w:left w:val="single" w:color="auto" w:sz="4" w:space="0"/>
            </w:tcBorders>
            <w:shd w:val="clear" w:color="auto" w:fill="FFFFFF"/>
            <w:vAlign w:val="center"/>
          </w:tcPr>
          <w:p w14:paraId="72E0F378">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村组织活动开展次数</w:t>
            </w:r>
          </w:p>
        </w:tc>
        <w:tc>
          <w:tcPr>
            <w:tcBorders>
              <w:top w:val="single" w:color="auto" w:sz="4" w:space="0"/>
              <w:left w:val="single" w:color="auto" w:sz="4" w:space="0"/>
            </w:tcBorders>
            <w:shd w:val="clear" w:color="auto" w:fill="FFFFFF"/>
            <w:vAlign w:val="center"/>
          </w:tcPr>
          <w:p w14:paraId="113D0B11">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85</w:t>
            </w:r>
            <w:r>
              <w:rPr>
                <w:rFonts w:hint="eastAsia" w:ascii="宋体" w:hAnsi="宋体" w:eastAsia="宋体" w:cs="宋体"/>
                <w:color w:val="auto"/>
                <w:spacing w:val="0"/>
                <w:w w:val="100"/>
                <w:position w:val="0"/>
                <w:sz w:val="20"/>
                <w:szCs w:val="20"/>
              </w:rPr>
              <w:t>次</w:t>
            </w:r>
          </w:p>
        </w:tc>
        <w:tc>
          <w:tcPr>
            <w:tcBorders>
              <w:top w:val="single" w:color="auto" w:sz="4" w:space="0"/>
              <w:left w:val="single" w:color="auto" w:sz="4" w:space="0"/>
              <w:right w:val="single" w:color="auto" w:sz="4" w:space="0"/>
            </w:tcBorders>
            <w:shd w:val="clear" w:color="auto" w:fill="FFFFFF"/>
            <w:vAlign w:val="center"/>
          </w:tcPr>
          <w:p w14:paraId="746E248D">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85</w:t>
            </w:r>
            <w:r>
              <w:rPr>
                <w:rFonts w:hint="eastAsia" w:ascii="宋体" w:hAnsi="宋体" w:eastAsia="宋体" w:cs="宋体"/>
                <w:color w:val="auto"/>
                <w:spacing w:val="0"/>
                <w:w w:val="100"/>
                <w:position w:val="0"/>
                <w:sz w:val="20"/>
                <w:szCs w:val="20"/>
              </w:rPr>
              <w:t>次</w:t>
            </w:r>
          </w:p>
        </w:tc>
      </w:tr>
      <w:tr w14:paraId="0B8E99CA">
        <w:tblPrEx>
          <w:tblCellMar>
            <w:top w:w="0" w:type="dxa"/>
            <w:left w:w="10" w:type="dxa"/>
            <w:bottom w:w="0" w:type="dxa"/>
            <w:right w:w="10" w:type="dxa"/>
          </w:tblCellMar>
        </w:tblPrEx>
        <w:trPr>
          <w:trHeight w:val="615" w:hRule="exact"/>
          <w:jc w:val="center"/>
        </w:trPr>
        <w:tc>
          <w:tcPr>
            <w:vMerge w:val="continue"/>
            <w:tcBorders>
              <w:left w:val="single" w:color="auto" w:sz="4" w:space="0"/>
            </w:tcBorders>
            <w:shd w:val="clear" w:color="auto" w:fill="FFFFFF"/>
            <w:vAlign w:val="top"/>
          </w:tcPr>
          <w:p w14:paraId="7B710BB3">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2C4609EE">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项目完成指标</w:t>
            </w:r>
          </w:p>
        </w:tc>
        <w:tc>
          <w:tcPr>
            <w:tcBorders>
              <w:top w:val="single" w:color="auto" w:sz="4" w:space="0"/>
              <w:left w:val="single" w:color="auto" w:sz="4" w:space="0"/>
            </w:tcBorders>
            <w:shd w:val="clear" w:color="auto" w:fill="FFFFFF"/>
            <w:vAlign w:val="center"/>
          </w:tcPr>
          <w:p w14:paraId="7BCE1783">
            <w:pPr>
              <w:pStyle w:val="17"/>
              <w:keepNext w:val="0"/>
              <w:keepLines w:val="0"/>
              <w:widowControl w:val="0"/>
              <w:shd w:val="clear" w:color="auto" w:fill="auto"/>
              <w:bidi w:val="0"/>
              <w:spacing w:before="0" w:after="0" w:line="240" w:lineRule="auto"/>
              <w:ind w:left="0" w:right="0" w:firstLine="1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数量指标</w:t>
            </w:r>
          </w:p>
        </w:tc>
        <w:tc>
          <w:tcPr>
            <w:tcBorders>
              <w:top w:val="single" w:color="auto" w:sz="4" w:space="0"/>
              <w:left w:val="single" w:color="auto" w:sz="4" w:space="0"/>
            </w:tcBorders>
            <w:shd w:val="clear" w:color="auto" w:fill="FFFFFF"/>
            <w:vAlign w:val="center"/>
          </w:tcPr>
          <w:p w14:paraId="08D4F234">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垃圾清运次数</w:t>
            </w:r>
          </w:p>
        </w:tc>
        <w:tc>
          <w:tcPr>
            <w:tcBorders>
              <w:top w:val="single" w:color="auto" w:sz="4" w:space="0"/>
              <w:left w:val="single" w:color="auto" w:sz="4" w:space="0"/>
            </w:tcBorders>
            <w:shd w:val="clear" w:color="auto" w:fill="FFFFFF"/>
            <w:vAlign w:val="center"/>
          </w:tcPr>
          <w:p w14:paraId="5F6EBF98">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1700</w:t>
            </w:r>
            <w:r>
              <w:rPr>
                <w:rFonts w:hint="eastAsia" w:ascii="宋体" w:hAnsi="宋体" w:eastAsia="宋体" w:cs="宋体"/>
                <w:color w:val="auto"/>
                <w:spacing w:val="0"/>
                <w:w w:val="100"/>
                <w:position w:val="0"/>
                <w:sz w:val="20"/>
                <w:szCs w:val="20"/>
              </w:rPr>
              <w:t>次</w:t>
            </w:r>
          </w:p>
        </w:tc>
        <w:tc>
          <w:tcPr>
            <w:tcBorders>
              <w:top w:val="single" w:color="auto" w:sz="4" w:space="0"/>
              <w:left w:val="single" w:color="auto" w:sz="4" w:space="0"/>
              <w:right w:val="single" w:color="auto" w:sz="4" w:space="0"/>
            </w:tcBorders>
            <w:shd w:val="clear" w:color="auto" w:fill="FFFFFF"/>
            <w:vAlign w:val="center"/>
          </w:tcPr>
          <w:p w14:paraId="725EF09B">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1700</w:t>
            </w:r>
            <w:r>
              <w:rPr>
                <w:rFonts w:hint="eastAsia" w:ascii="宋体" w:hAnsi="宋体" w:eastAsia="宋体" w:cs="宋体"/>
                <w:color w:val="auto"/>
                <w:spacing w:val="0"/>
                <w:w w:val="100"/>
                <w:position w:val="0"/>
                <w:sz w:val="20"/>
                <w:szCs w:val="20"/>
              </w:rPr>
              <w:t>次</w:t>
            </w:r>
          </w:p>
        </w:tc>
      </w:tr>
      <w:tr w14:paraId="0723EC32">
        <w:tblPrEx>
          <w:tblCellMar>
            <w:top w:w="0" w:type="dxa"/>
            <w:left w:w="10" w:type="dxa"/>
            <w:bottom w:w="0" w:type="dxa"/>
            <w:right w:w="10" w:type="dxa"/>
          </w:tblCellMar>
        </w:tblPrEx>
        <w:trPr>
          <w:trHeight w:val="600" w:hRule="exact"/>
          <w:jc w:val="center"/>
        </w:trPr>
        <w:tc>
          <w:tcPr>
            <w:vMerge w:val="continue"/>
            <w:tcBorders>
              <w:left w:val="single" w:color="auto" w:sz="4" w:space="0"/>
            </w:tcBorders>
            <w:shd w:val="clear" w:color="auto" w:fill="FFFFFF"/>
            <w:vAlign w:val="top"/>
          </w:tcPr>
          <w:p w14:paraId="2FA787FE">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62DFFAFD">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项目完成指标</w:t>
            </w:r>
          </w:p>
        </w:tc>
        <w:tc>
          <w:tcPr>
            <w:tcBorders>
              <w:top w:val="single" w:color="auto" w:sz="4" w:space="0"/>
              <w:left w:val="single" w:color="auto" w:sz="4" w:space="0"/>
            </w:tcBorders>
            <w:shd w:val="clear" w:color="auto" w:fill="FFFFFF"/>
            <w:vAlign w:val="center"/>
          </w:tcPr>
          <w:p w14:paraId="35DAE4A8">
            <w:pPr>
              <w:pStyle w:val="17"/>
              <w:keepNext w:val="0"/>
              <w:keepLines w:val="0"/>
              <w:widowControl w:val="0"/>
              <w:shd w:val="clear" w:color="auto" w:fill="auto"/>
              <w:bidi w:val="0"/>
              <w:spacing w:before="0" w:after="0" w:line="240" w:lineRule="auto"/>
              <w:ind w:left="0" w:right="0" w:firstLine="1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质量指标</w:t>
            </w:r>
          </w:p>
        </w:tc>
        <w:tc>
          <w:tcPr>
            <w:tcBorders>
              <w:top w:val="single" w:color="auto" w:sz="4" w:space="0"/>
              <w:left w:val="single" w:color="auto" w:sz="4" w:space="0"/>
            </w:tcBorders>
            <w:shd w:val="clear" w:color="auto" w:fill="FFFFFF"/>
            <w:vAlign w:val="center"/>
          </w:tcPr>
          <w:p w14:paraId="581F2686">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基础设施建设維护</w:t>
            </w:r>
          </w:p>
        </w:tc>
        <w:tc>
          <w:tcPr>
            <w:tcBorders>
              <w:top w:val="single" w:color="auto" w:sz="4" w:space="0"/>
              <w:left w:val="single" w:color="auto" w:sz="4" w:space="0"/>
            </w:tcBorders>
            <w:shd w:val="clear" w:color="auto" w:fill="FFFFFF"/>
            <w:vAlign w:val="center"/>
          </w:tcPr>
          <w:p w14:paraId="255BAD28">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100%</w:t>
            </w:r>
          </w:p>
        </w:tc>
        <w:tc>
          <w:tcPr>
            <w:tcBorders>
              <w:top w:val="single" w:color="auto" w:sz="4" w:space="0"/>
              <w:left w:val="single" w:color="auto" w:sz="4" w:space="0"/>
              <w:right w:val="single" w:color="auto" w:sz="4" w:space="0"/>
            </w:tcBorders>
            <w:shd w:val="clear" w:color="auto" w:fill="FFFFFF"/>
            <w:vAlign w:val="center"/>
          </w:tcPr>
          <w:p w14:paraId="5DC92EF4">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100%</w:t>
            </w:r>
          </w:p>
        </w:tc>
      </w:tr>
      <w:tr w14:paraId="158CE843">
        <w:tblPrEx>
          <w:tblCellMar>
            <w:top w:w="0" w:type="dxa"/>
            <w:left w:w="10" w:type="dxa"/>
            <w:bottom w:w="0" w:type="dxa"/>
            <w:right w:w="10" w:type="dxa"/>
          </w:tblCellMar>
        </w:tblPrEx>
        <w:trPr>
          <w:trHeight w:val="600" w:hRule="exact"/>
          <w:jc w:val="center"/>
        </w:trPr>
        <w:tc>
          <w:tcPr>
            <w:vMerge w:val="continue"/>
            <w:tcBorders>
              <w:left w:val="single" w:color="auto" w:sz="4" w:space="0"/>
            </w:tcBorders>
            <w:shd w:val="clear" w:color="auto" w:fill="FFFFFF"/>
            <w:vAlign w:val="top"/>
          </w:tcPr>
          <w:p w14:paraId="3570AB83">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679BEEFE">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项目完成指标</w:t>
            </w:r>
          </w:p>
        </w:tc>
        <w:tc>
          <w:tcPr>
            <w:tcBorders>
              <w:top w:val="single" w:color="auto" w:sz="4" w:space="0"/>
              <w:left w:val="single" w:color="auto" w:sz="4" w:space="0"/>
            </w:tcBorders>
            <w:shd w:val="clear" w:color="auto" w:fill="FFFFFF"/>
            <w:vAlign w:val="center"/>
          </w:tcPr>
          <w:p w14:paraId="5BD42C95">
            <w:pPr>
              <w:pStyle w:val="17"/>
              <w:keepNext w:val="0"/>
              <w:keepLines w:val="0"/>
              <w:widowControl w:val="0"/>
              <w:shd w:val="clear" w:color="auto" w:fill="auto"/>
              <w:bidi w:val="0"/>
              <w:spacing w:before="0" w:after="0" w:line="240" w:lineRule="auto"/>
              <w:ind w:left="0" w:right="0" w:firstLine="1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质量指标</w:t>
            </w:r>
          </w:p>
        </w:tc>
        <w:tc>
          <w:tcPr>
            <w:tcBorders>
              <w:top w:val="single" w:color="auto" w:sz="4" w:space="0"/>
              <w:left w:val="single" w:color="auto" w:sz="4" w:space="0"/>
            </w:tcBorders>
            <w:shd w:val="clear" w:color="auto" w:fill="FFFFFF"/>
            <w:vAlign w:val="center"/>
          </w:tcPr>
          <w:p w14:paraId="73E7AAF5">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资金使用合理合规</w:t>
            </w:r>
          </w:p>
        </w:tc>
        <w:tc>
          <w:tcPr>
            <w:tcBorders>
              <w:top w:val="single" w:color="auto" w:sz="4" w:space="0"/>
              <w:left w:val="single" w:color="auto" w:sz="4" w:space="0"/>
            </w:tcBorders>
            <w:shd w:val="clear" w:color="auto" w:fill="FFFFFF"/>
            <w:vAlign w:val="center"/>
          </w:tcPr>
          <w:p w14:paraId="65362F65">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100%</w:t>
            </w:r>
          </w:p>
        </w:tc>
        <w:tc>
          <w:tcPr>
            <w:tcBorders>
              <w:top w:val="single" w:color="auto" w:sz="4" w:space="0"/>
              <w:left w:val="single" w:color="auto" w:sz="4" w:space="0"/>
              <w:right w:val="single" w:color="auto" w:sz="4" w:space="0"/>
            </w:tcBorders>
            <w:shd w:val="clear" w:color="auto" w:fill="FFFFFF"/>
            <w:vAlign w:val="center"/>
          </w:tcPr>
          <w:p w14:paraId="5435A4E7">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100%</w:t>
            </w:r>
          </w:p>
        </w:tc>
      </w:tr>
      <w:tr w14:paraId="367C69F6">
        <w:tblPrEx>
          <w:tblCellMar>
            <w:top w:w="0" w:type="dxa"/>
            <w:left w:w="10" w:type="dxa"/>
            <w:bottom w:w="0" w:type="dxa"/>
            <w:right w:w="10" w:type="dxa"/>
          </w:tblCellMar>
        </w:tblPrEx>
        <w:trPr>
          <w:trHeight w:val="600" w:hRule="exact"/>
          <w:jc w:val="center"/>
        </w:trPr>
        <w:tc>
          <w:tcPr>
            <w:vMerge w:val="continue"/>
            <w:tcBorders>
              <w:left w:val="single" w:color="auto" w:sz="4" w:space="0"/>
            </w:tcBorders>
            <w:shd w:val="clear" w:color="auto" w:fill="FFFFFF"/>
            <w:vAlign w:val="top"/>
          </w:tcPr>
          <w:p w14:paraId="1AC13A08">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3A79A1DF">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项目完成指标</w:t>
            </w:r>
          </w:p>
        </w:tc>
        <w:tc>
          <w:tcPr>
            <w:tcBorders>
              <w:top w:val="single" w:color="auto" w:sz="4" w:space="0"/>
              <w:left w:val="single" w:color="auto" w:sz="4" w:space="0"/>
            </w:tcBorders>
            <w:shd w:val="clear" w:color="auto" w:fill="FFFFFF"/>
            <w:vAlign w:val="center"/>
          </w:tcPr>
          <w:p w14:paraId="314D7039">
            <w:pPr>
              <w:pStyle w:val="17"/>
              <w:keepNext w:val="0"/>
              <w:keepLines w:val="0"/>
              <w:widowControl w:val="0"/>
              <w:shd w:val="clear" w:color="auto" w:fill="auto"/>
              <w:bidi w:val="0"/>
              <w:spacing w:before="0" w:after="0" w:line="240" w:lineRule="auto"/>
              <w:ind w:left="0" w:right="0" w:firstLine="1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质量指标</w:t>
            </w:r>
          </w:p>
        </w:tc>
        <w:tc>
          <w:tcPr>
            <w:tcBorders>
              <w:top w:val="single" w:color="auto" w:sz="4" w:space="0"/>
              <w:left w:val="single" w:color="auto" w:sz="4" w:space="0"/>
            </w:tcBorders>
            <w:shd w:val="clear" w:color="auto" w:fill="FFFFFF"/>
            <w:vAlign w:val="center"/>
          </w:tcPr>
          <w:p w14:paraId="0812B80B">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绩效评价得分</w:t>
            </w:r>
          </w:p>
        </w:tc>
        <w:tc>
          <w:tcPr>
            <w:tcBorders>
              <w:top w:val="single" w:color="auto" w:sz="4" w:space="0"/>
              <w:left w:val="single" w:color="auto" w:sz="4" w:space="0"/>
            </w:tcBorders>
            <w:shd w:val="clear" w:color="auto" w:fill="FFFFFF"/>
            <w:vAlign w:val="center"/>
          </w:tcPr>
          <w:p w14:paraId="23C12BDE">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&gt;95%</w:t>
            </w:r>
          </w:p>
        </w:tc>
        <w:tc>
          <w:tcPr>
            <w:tcBorders>
              <w:top w:val="single" w:color="auto" w:sz="4" w:space="0"/>
              <w:left w:val="single" w:color="auto" w:sz="4" w:space="0"/>
              <w:right w:val="single" w:color="auto" w:sz="4" w:space="0"/>
            </w:tcBorders>
            <w:shd w:val="clear" w:color="auto" w:fill="FFFFFF"/>
            <w:vAlign w:val="center"/>
          </w:tcPr>
          <w:p w14:paraId="3353D6B4">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&gt;95</w:t>
            </w:r>
            <w:r>
              <w:rPr>
                <w:rFonts w:hint="eastAsia" w:ascii="宋体" w:hAnsi="宋体" w:eastAsia="宋体" w:cs="宋体"/>
                <w:color w:val="auto"/>
                <w:spacing w:val="0"/>
                <w:w w:val="100"/>
                <w:position w:val="0"/>
                <w:sz w:val="20"/>
                <w:szCs w:val="20"/>
              </w:rPr>
              <w:t>分</w:t>
            </w:r>
          </w:p>
        </w:tc>
      </w:tr>
      <w:tr w14:paraId="47D88F45">
        <w:tblPrEx>
          <w:tblCellMar>
            <w:top w:w="0" w:type="dxa"/>
            <w:left w:w="10" w:type="dxa"/>
            <w:bottom w:w="0" w:type="dxa"/>
            <w:right w:w="10" w:type="dxa"/>
          </w:tblCellMar>
        </w:tblPrEx>
        <w:trPr>
          <w:trHeight w:val="600" w:hRule="exact"/>
          <w:jc w:val="center"/>
        </w:trPr>
        <w:tc>
          <w:tcPr>
            <w:vMerge w:val="continue"/>
            <w:tcBorders>
              <w:left w:val="single" w:color="auto" w:sz="4" w:space="0"/>
            </w:tcBorders>
            <w:shd w:val="clear" w:color="auto" w:fill="FFFFFF"/>
            <w:vAlign w:val="top"/>
          </w:tcPr>
          <w:p w14:paraId="7C74D1B9">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0ABD3B71">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项目完成指标</w:t>
            </w:r>
          </w:p>
        </w:tc>
        <w:tc>
          <w:tcPr>
            <w:tcBorders>
              <w:top w:val="single" w:color="auto" w:sz="4" w:space="0"/>
              <w:left w:val="single" w:color="auto" w:sz="4" w:space="0"/>
            </w:tcBorders>
            <w:shd w:val="clear" w:color="auto" w:fill="FFFFFF"/>
            <w:vAlign w:val="center"/>
          </w:tcPr>
          <w:p w14:paraId="2F2AD1F6">
            <w:pPr>
              <w:pStyle w:val="17"/>
              <w:keepNext w:val="0"/>
              <w:keepLines w:val="0"/>
              <w:widowControl w:val="0"/>
              <w:shd w:val="clear" w:color="auto" w:fill="auto"/>
              <w:bidi w:val="0"/>
              <w:spacing w:before="0" w:after="0" w:line="240" w:lineRule="auto"/>
              <w:ind w:left="0" w:right="0" w:firstLine="1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时效指标</w:t>
            </w:r>
          </w:p>
        </w:tc>
        <w:tc>
          <w:tcPr>
            <w:tcBorders>
              <w:top w:val="single" w:color="auto" w:sz="4" w:space="0"/>
              <w:left w:val="single" w:color="auto" w:sz="4" w:space="0"/>
            </w:tcBorders>
            <w:shd w:val="clear" w:color="auto" w:fill="FFFFFF"/>
            <w:vAlign w:val="center"/>
          </w:tcPr>
          <w:p w14:paraId="1785E3BF">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完成及时率</w:t>
            </w:r>
          </w:p>
        </w:tc>
        <w:tc>
          <w:tcPr>
            <w:tcBorders>
              <w:top w:val="single" w:color="auto" w:sz="4" w:space="0"/>
              <w:left w:val="single" w:color="auto" w:sz="4" w:space="0"/>
            </w:tcBorders>
            <w:shd w:val="clear" w:color="auto" w:fill="FFFFFF"/>
            <w:vAlign w:val="center"/>
          </w:tcPr>
          <w:p w14:paraId="6E9E3BC7">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100%</w:t>
            </w:r>
          </w:p>
        </w:tc>
        <w:tc>
          <w:tcPr>
            <w:tcBorders>
              <w:top w:val="single" w:color="auto" w:sz="4" w:space="0"/>
              <w:left w:val="single" w:color="auto" w:sz="4" w:space="0"/>
              <w:right w:val="single" w:color="auto" w:sz="4" w:space="0"/>
            </w:tcBorders>
            <w:shd w:val="clear" w:color="auto" w:fill="FFFFFF"/>
            <w:vAlign w:val="center"/>
          </w:tcPr>
          <w:p w14:paraId="110054A5">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100%</w:t>
            </w:r>
          </w:p>
        </w:tc>
      </w:tr>
      <w:tr w14:paraId="5EB860C6">
        <w:tblPrEx>
          <w:tblCellMar>
            <w:top w:w="0" w:type="dxa"/>
            <w:left w:w="10" w:type="dxa"/>
            <w:bottom w:w="0" w:type="dxa"/>
            <w:right w:w="10" w:type="dxa"/>
          </w:tblCellMar>
        </w:tblPrEx>
        <w:trPr>
          <w:trHeight w:val="615" w:hRule="exact"/>
          <w:jc w:val="center"/>
        </w:trPr>
        <w:tc>
          <w:tcPr>
            <w:vMerge w:val="continue"/>
            <w:tcBorders>
              <w:left w:val="single" w:color="auto" w:sz="4" w:space="0"/>
            </w:tcBorders>
            <w:shd w:val="clear" w:color="auto" w:fill="FFFFFF"/>
            <w:vAlign w:val="top"/>
          </w:tcPr>
          <w:p w14:paraId="4FCF1896">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4FA3EB8F">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项目完成指标</w:t>
            </w:r>
          </w:p>
        </w:tc>
        <w:tc>
          <w:tcPr>
            <w:tcBorders>
              <w:top w:val="single" w:color="auto" w:sz="4" w:space="0"/>
              <w:left w:val="single" w:color="auto" w:sz="4" w:space="0"/>
            </w:tcBorders>
            <w:shd w:val="clear" w:color="auto" w:fill="FFFFFF"/>
            <w:vAlign w:val="center"/>
          </w:tcPr>
          <w:p w14:paraId="44ABEEB8">
            <w:pPr>
              <w:pStyle w:val="17"/>
              <w:keepNext w:val="0"/>
              <w:keepLines w:val="0"/>
              <w:widowControl w:val="0"/>
              <w:shd w:val="clear" w:color="auto" w:fill="auto"/>
              <w:bidi w:val="0"/>
              <w:spacing w:before="0" w:after="0" w:line="240" w:lineRule="auto"/>
              <w:ind w:left="0" w:right="0" w:firstLine="1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成本指标</w:t>
            </w:r>
          </w:p>
        </w:tc>
        <w:tc>
          <w:tcPr>
            <w:tcBorders>
              <w:top w:val="single" w:color="auto" w:sz="4" w:space="0"/>
              <w:left w:val="single" w:color="auto" w:sz="4" w:space="0"/>
            </w:tcBorders>
            <w:shd w:val="clear" w:color="auto" w:fill="FFFFFF"/>
            <w:vAlign w:val="center"/>
          </w:tcPr>
          <w:p w14:paraId="52855E3D">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每个村活动场所维护资金概算</w:t>
            </w:r>
          </w:p>
        </w:tc>
        <w:tc>
          <w:tcPr>
            <w:tcBorders>
              <w:top w:val="single" w:color="auto" w:sz="4" w:space="0"/>
              <w:left w:val="single" w:color="auto" w:sz="4" w:space="0"/>
            </w:tcBorders>
            <w:shd w:val="clear" w:color="auto" w:fill="FFFFFF"/>
            <w:vAlign w:val="center"/>
          </w:tcPr>
          <w:p w14:paraId="4D250F47">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lang w:val="en-US" w:eastAsia="en-US" w:bidi="en-US"/>
              </w:rPr>
              <w:t>16.</w:t>
            </w:r>
            <w:r>
              <w:rPr>
                <w:rFonts w:hint="eastAsia" w:ascii="宋体" w:hAnsi="宋体" w:eastAsia="宋体" w:cs="宋体"/>
                <w:color w:val="auto"/>
                <w:spacing w:val="0"/>
                <w:w w:val="100"/>
                <w:position w:val="0"/>
                <w:sz w:val="17"/>
                <w:szCs w:val="17"/>
              </w:rPr>
              <w:t>31</w:t>
            </w:r>
            <w:r>
              <w:rPr>
                <w:rFonts w:hint="eastAsia" w:ascii="宋体" w:hAnsi="宋体" w:eastAsia="宋体" w:cs="宋体"/>
                <w:color w:val="auto"/>
                <w:spacing w:val="0"/>
                <w:w w:val="100"/>
                <w:position w:val="0"/>
                <w:sz w:val="20"/>
                <w:szCs w:val="20"/>
              </w:rPr>
              <w:t>万元</w:t>
            </w:r>
          </w:p>
        </w:tc>
        <w:tc>
          <w:tcPr>
            <w:tcBorders>
              <w:top w:val="single" w:color="auto" w:sz="4" w:space="0"/>
              <w:left w:val="single" w:color="auto" w:sz="4" w:space="0"/>
              <w:right w:val="single" w:color="auto" w:sz="4" w:space="0"/>
            </w:tcBorders>
            <w:shd w:val="clear" w:color="auto" w:fill="FFFFFF"/>
            <w:vAlign w:val="center"/>
          </w:tcPr>
          <w:p w14:paraId="0B7D2DD3">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lang w:val="en-US" w:eastAsia="en-US" w:bidi="en-US"/>
              </w:rPr>
              <w:t>16.</w:t>
            </w:r>
            <w:r>
              <w:rPr>
                <w:rFonts w:hint="eastAsia" w:ascii="宋体" w:hAnsi="宋体" w:eastAsia="宋体" w:cs="宋体"/>
                <w:color w:val="auto"/>
                <w:spacing w:val="0"/>
                <w:w w:val="100"/>
                <w:position w:val="0"/>
                <w:sz w:val="17"/>
                <w:szCs w:val="17"/>
              </w:rPr>
              <w:t>31</w:t>
            </w:r>
            <w:r>
              <w:rPr>
                <w:rFonts w:hint="eastAsia" w:ascii="宋体" w:hAnsi="宋体" w:eastAsia="宋体" w:cs="宋体"/>
                <w:color w:val="auto"/>
                <w:spacing w:val="0"/>
                <w:w w:val="100"/>
                <w:position w:val="0"/>
                <w:sz w:val="20"/>
                <w:szCs w:val="20"/>
              </w:rPr>
              <w:t>万元</w:t>
            </w:r>
          </w:p>
        </w:tc>
      </w:tr>
      <w:tr w14:paraId="516608B2">
        <w:tblPrEx>
          <w:tblCellMar>
            <w:top w:w="0" w:type="dxa"/>
            <w:left w:w="10" w:type="dxa"/>
            <w:bottom w:w="0" w:type="dxa"/>
            <w:right w:w="10" w:type="dxa"/>
          </w:tblCellMar>
        </w:tblPrEx>
        <w:trPr>
          <w:trHeight w:val="615" w:hRule="exact"/>
          <w:jc w:val="center"/>
        </w:trPr>
        <w:tc>
          <w:tcPr>
            <w:vMerge w:val="continue"/>
            <w:tcBorders>
              <w:left w:val="single" w:color="auto" w:sz="4" w:space="0"/>
            </w:tcBorders>
            <w:shd w:val="clear" w:color="auto" w:fill="FFFFFF"/>
            <w:vAlign w:val="top"/>
          </w:tcPr>
          <w:p w14:paraId="28816B1F">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50139AB0">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项目完成指标</w:t>
            </w:r>
          </w:p>
        </w:tc>
        <w:tc>
          <w:tcPr>
            <w:tcBorders>
              <w:top w:val="single" w:color="auto" w:sz="4" w:space="0"/>
              <w:left w:val="single" w:color="auto" w:sz="4" w:space="0"/>
            </w:tcBorders>
            <w:shd w:val="clear" w:color="auto" w:fill="FFFFFF"/>
            <w:vAlign w:val="center"/>
          </w:tcPr>
          <w:p w14:paraId="101F3395">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成本指标</w:t>
            </w:r>
          </w:p>
        </w:tc>
        <w:tc>
          <w:tcPr>
            <w:tcBorders>
              <w:top w:val="single" w:color="auto" w:sz="4" w:space="0"/>
              <w:left w:val="single" w:color="auto" w:sz="4" w:space="0"/>
            </w:tcBorders>
            <w:shd w:val="clear" w:color="auto" w:fill="FFFFFF"/>
            <w:vAlign w:val="center"/>
          </w:tcPr>
          <w:p w14:paraId="723BDA03">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基础设施建设維护</w:t>
            </w:r>
          </w:p>
        </w:tc>
        <w:tc>
          <w:tcPr>
            <w:tcBorders>
              <w:top w:val="single" w:color="auto" w:sz="4" w:space="0"/>
              <w:left w:val="single" w:color="auto" w:sz="4" w:space="0"/>
            </w:tcBorders>
            <w:shd w:val="clear" w:color="auto" w:fill="FFFFFF"/>
            <w:vAlign w:val="center"/>
          </w:tcPr>
          <w:p w14:paraId="04F2AC33">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lang w:val="en-US" w:eastAsia="en-US" w:bidi="en-US"/>
              </w:rPr>
              <w:t>102.</w:t>
            </w:r>
            <w:r>
              <w:rPr>
                <w:rFonts w:hint="eastAsia" w:ascii="宋体" w:hAnsi="宋体" w:eastAsia="宋体" w:cs="宋体"/>
                <w:color w:val="auto"/>
                <w:spacing w:val="0"/>
                <w:w w:val="100"/>
                <w:position w:val="0"/>
                <w:sz w:val="17"/>
                <w:szCs w:val="17"/>
              </w:rPr>
              <w:t>7962</w:t>
            </w:r>
            <w:r>
              <w:rPr>
                <w:rFonts w:hint="eastAsia" w:ascii="宋体" w:hAnsi="宋体" w:eastAsia="宋体" w:cs="宋体"/>
                <w:color w:val="auto"/>
                <w:spacing w:val="0"/>
                <w:w w:val="100"/>
                <w:position w:val="0"/>
                <w:sz w:val="20"/>
                <w:szCs w:val="20"/>
              </w:rPr>
              <w:t>万元</w:t>
            </w:r>
          </w:p>
        </w:tc>
        <w:tc>
          <w:tcPr>
            <w:tcBorders>
              <w:top w:val="single" w:color="auto" w:sz="4" w:space="0"/>
              <w:left w:val="single" w:color="auto" w:sz="4" w:space="0"/>
              <w:right w:val="single" w:color="auto" w:sz="4" w:space="0"/>
            </w:tcBorders>
            <w:shd w:val="clear" w:color="auto" w:fill="FFFFFF"/>
            <w:vAlign w:val="center"/>
          </w:tcPr>
          <w:p w14:paraId="5AD6E2D8">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lang w:val="en-US" w:eastAsia="en-US" w:bidi="en-US"/>
              </w:rPr>
              <w:t>102.</w:t>
            </w:r>
            <w:r>
              <w:rPr>
                <w:rFonts w:hint="eastAsia" w:ascii="宋体" w:hAnsi="宋体" w:eastAsia="宋体" w:cs="宋体"/>
                <w:color w:val="auto"/>
                <w:spacing w:val="0"/>
                <w:w w:val="100"/>
                <w:position w:val="0"/>
                <w:sz w:val="17"/>
                <w:szCs w:val="17"/>
              </w:rPr>
              <w:t>7962</w:t>
            </w:r>
            <w:r>
              <w:rPr>
                <w:rFonts w:hint="eastAsia" w:ascii="宋体" w:hAnsi="宋体" w:eastAsia="宋体" w:cs="宋体"/>
                <w:color w:val="auto"/>
                <w:spacing w:val="0"/>
                <w:w w:val="100"/>
                <w:position w:val="0"/>
                <w:sz w:val="20"/>
                <w:szCs w:val="20"/>
              </w:rPr>
              <w:t>万元</w:t>
            </w:r>
          </w:p>
        </w:tc>
      </w:tr>
      <w:tr w14:paraId="0FCEEEA4">
        <w:tblPrEx>
          <w:tblCellMar>
            <w:top w:w="0" w:type="dxa"/>
            <w:left w:w="10" w:type="dxa"/>
            <w:bottom w:w="0" w:type="dxa"/>
            <w:right w:w="10" w:type="dxa"/>
          </w:tblCellMar>
        </w:tblPrEx>
        <w:trPr>
          <w:trHeight w:val="600" w:hRule="exact"/>
          <w:jc w:val="center"/>
        </w:trPr>
        <w:tc>
          <w:tcPr>
            <w:vMerge w:val="continue"/>
            <w:tcBorders>
              <w:left w:val="single" w:color="auto" w:sz="4" w:space="0"/>
            </w:tcBorders>
            <w:shd w:val="clear" w:color="auto" w:fill="FFFFFF"/>
            <w:vAlign w:val="top"/>
          </w:tcPr>
          <w:p w14:paraId="7F3583C1">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12E23B04">
            <w:pPr>
              <w:pStyle w:val="17"/>
              <w:keepNext w:val="0"/>
              <w:keepLines w:val="0"/>
              <w:widowControl w:val="0"/>
              <w:shd w:val="clear" w:color="auto" w:fill="auto"/>
              <w:bidi w:val="0"/>
              <w:spacing w:before="0" w:after="0" w:line="240" w:lineRule="auto"/>
              <w:ind w:left="0" w:right="0" w:firstLine="2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效益指标</w:t>
            </w:r>
          </w:p>
        </w:tc>
        <w:tc>
          <w:tcPr>
            <w:tcBorders>
              <w:top w:val="single" w:color="auto" w:sz="4" w:space="0"/>
              <w:left w:val="single" w:color="auto" w:sz="4" w:space="0"/>
            </w:tcBorders>
            <w:shd w:val="clear" w:color="auto" w:fill="FFFFFF"/>
            <w:vAlign w:val="center"/>
          </w:tcPr>
          <w:p w14:paraId="15EC5CFC">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社会效益指标</w:t>
            </w:r>
          </w:p>
        </w:tc>
        <w:tc>
          <w:tcPr>
            <w:tcBorders>
              <w:top w:val="single" w:color="auto" w:sz="4" w:space="0"/>
              <w:left w:val="single" w:color="auto" w:sz="4" w:space="0"/>
            </w:tcBorders>
            <w:shd w:val="clear" w:color="auto" w:fill="FFFFFF"/>
            <w:vAlign w:val="center"/>
          </w:tcPr>
          <w:p w14:paraId="52D3D191">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覆盖村小组个数</w:t>
            </w:r>
          </w:p>
        </w:tc>
        <w:tc>
          <w:tcPr>
            <w:tcBorders>
              <w:top w:val="single" w:color="auto" w:sz="4" w:space="0"/>
              <w:left w:val="single" w:color="auto" w:sz="4" w:space="0"/>
            </w:tcBorders>
            <w:shd w:val="clear" w:color="auto" w:fill="FFFFFF"/>
            <w:vAlign w:val="center"/>
          </w:tcPr>
          <w:p w14:paraId="24752783">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114</w:t>
            </w:r>
            <w:r>
              <w:rPr>
                <w:rFonts w:hint="eastAsia" w:ascii="宋体" w:hAnsi="宋体" w:eastAsia="宋体" w:cs="宋体"/>
                <w:color w:val="auto"/>
                <w:spacing w:val="0"/>
                <w:w w:val="100"/>
                <w:position w:val="0"/>
                <w:sz w:val="20"/>
                <w:szCs w:val="20"/>
              </w:rPr>
              <w:t>个</w:t>
            </w:r>
          </w:p>
        </w:tc>
        <w:tc>
          <w:tcPr>
            <w:tcBorders>
              <w:top w:val="single" w:color="auto" w:sz="4" w:space="0"/>
              <w:left w:val="single" w:color="auto" w:sz="4" w:space="0"/>
              <w:right w:val="single" w:color="auto" w:sz="4" w:space="0"/>
            </w:tcBorders>
            <w:shd w:val="clear" w:color="auto" w:fill="FFFFFF"/>
            <w:vAlign w:val="center"/>
          </w:tcPr>
          <w:p w14:paraId="130D9151">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114</w:t>
            </w:r>
            <w:r>
              <w:rPr>
                <w:rFonts w:hint="eastAsia" w:ascii="宋体" w:hAnsi="宋体" w:eastAsia="宋体" w:cs="宋体"/>
                <w:color w:val="auto"/>
                <w:spacing w:val="0"/>
                <w:w w:val="100"/>
                <w:position w:val="0"/>
                <w:sz w:val="20"/>
                <w:szCs w:val="20"/>
              </w:rPr>
              <w:t>个</w:t>
            </w:r>
          </w:p>
        </w:tc>
      </w:tr>
      <w:tr w14:paraId="2BC3228A">
        <w:tblPrEx>
          <w:tblCellMar>
            <w:top w:w="0" w:type="dxa"/>
            <w:left w:w="10" w:type="dxa"/>
            <w:bottom w:w="0" w:type="dxa"/>
            <w:right w:w="10" w:type="dxa"/>
          </w:tblCellMar>
        </w:tblPrEx>
        <w:trPr>
          <w:trHeight w:val="600" w:hRule="exact"/>
          <w:jc w:val="center"/>
        </w:trPr>
        <w:tc>
          <w:tcPr>
            <w:vMerge w:val="continue"/>
            <w:tcBorders>
              <w:left w:val="single" w:color="auto" w:sz="4" w:space="0"/>
            </w:tcBorders>
            <w:shd w:val="clear" w:color="auto" w:fill="FFFFFF"/>
            <w:vAlign w:val="top"/>
          </w:tcPr>
          <w:p w14:paraId="3DAFEDCE">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1CA9B6CB">
            <w:pPr>
              <w:pStyle w:val="17"/>
              <w:keepNext w:val="0"/>
              <w:keepLines w:val="0"/>
              <w:widowControl w:val="0"/>
              <w:shd w:val="clear" w:color="auto" w:fill="auto"/>
              <w:bidi w:val="0"/>
              <w:spacing w:before="0" w:after="0" w:line="240" w:lineRule="auto"/>
              <w:ind w:left="0" w:right="0" w:firstLine="2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效益指标</w:t>
            </w:r>
          </w:p>
        </w:tc>
        <w:tc>
          <w:tcPr>
            <w:tcBorders>
              <w:top w:val="single" w:color="auto" w:sz="4" w:space="0"/>
              <w:left w:val="single" w:color="auto" w:sz="4" w:space="0"/>
            </w:tcBorders>
            <w:shd w:val="clear" w:color="auto" w:fill="FFFFFF"/>
            <w:vAlign w:val="center"/>
          </w:tcPr>
          <w:p w14:paraId="0D2F5222">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社会效益指标</w:t>
            </w:r>
          </w:p>
        </w:tc>
        <w:tc>
          <w:tcPr>
            <w:tcBorders>
              <w:top w:val="single" w:color="auto" w:sz="4" w:space="0"/>
              <w:left w:val="single" w:color="auto" w:sz="4" w:space="0"/>
            </w:tcBorders>
            <w:shd w:val="clear" w:color="auto" w:fill="FFFFFF"/>
            <w:vAlign w:val="center"/>
          </w:tcPr>
          <w:p w14:paraId="54FDC46C">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覆盖党员数</w:t>
            </w:r>
          </w:p>
        </w:tc>
        <w:tc>
          <w:tcPr>
            <w:tcBorders>
              <w:top w:val="single" w:color="auto" w:sz="4" w:space="0"/>
              <w:left w:val="single" w:color="auto" w:sz="4" w:space="0"/>
            </w:tcBorders>
            <w:shd w:val="clear" w:color="auto" w:fill="FFFFFF"/>
            <w:vAlign w:val="center"/>
          </w:tcPr>
          <w:p w14:paraId="2534616C">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1095</w:t>
            </w:r>
            <w:r>
              <w:rPr>
                <w:rFonts w:hint="eastAsia" w:ascii="宋体" w:hAnsi="宋体" w:eastAsia="宋体" w:cs="宋体"/>
                <w:color w:val="auto"/>
                <w:spacing w:val="0"/>
                <w:w w:val="100"/>
                <w:position w:val="0"/>
                <w:sz w:val="20"/>
                <w:szCs w:val="20"/>
              </w:rPr>
              <w:t>人</w:t>
            </w:r>
          </w:p>
        </w:tc>
        <w:tc>
          <w:tcPr>
            <w:tcBorders>
              <w:top w:val="single" w:color="auto" w:sz="4" w:space="0"/>
              <w:left w:val="single" w:color="auto" w:sz="4" w:space="0"/>
              <w:right w:val="single" w:color="auto" w:sz="4" w:space="0"/>
            </w:tcBorders>
            <w:shd w:val="clear" w:color="auto" w:fill="FFFFFF"/>
            <w:vAlign w:val="center"/>
          </w:tcPr>
          <w:p w14:paraId="6756AA16">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1095</w:t>
            </w:r>
            <w:r>
              <w:rPr>
                <w:rFonts w:hint="eastAsia" w:ascii="宋体" w:hAnsi="宋体" w:eastAsia="宋体" w:cs="宋体"/>
                <w:color w:val="auto"/>
                <w:spacing w:val="0"/>
                <w:w w:val="100"/>
                <w:position w:val="0"/>
                <w:sz w:val="20"/>
                <w:szCs w:val="20"/>
              </w:rPr>
              <w:t>人</w:t>
            </w:r>
          </w:p>
        </w:tc>
      </w:tr>
      <w:tr w14:paraId="0D5942C2">
        <w:tblPrEx>
          <w:tblCellMar>
            <w:top w:w="0" w:type="dxa"/>
            <w:left w:w="10" w:type="dxa"/>
            <w:bottom w:w="0" w:type="dxa"/>
            <w:right w:w="10" w:type="dxa"/>
          </w:tblCellMar>
        </w:tblPrEx>
        <w:trPr>
          <w:trHeight w:val="600" w:hRule="exact"/>
          <w:jc w:val="center"/>
        </w:trPr>
        <w:tc>
          <w:tcPr>
            <w:vMerge w:val="continue"/>
            <w:tcBorders>
              <w:left w:val="single" w:color="auto" w:sz="4" w:space="0"/>
            </w:tcBorders>
            <w:shd w:val="clear" w:color="auto" w:fill="FFFFFF"/>
            <w:vAlign w:val="top"/>
          </w:tcPr>
          <w:p w14:paraId="0D03207A">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4B581306">
            <w:pPr>
              <w:pStyle w:val="17"/>
              <w:keepNext w:val="0"/>
              <w:keepLines w:val="0"/>
              <w:widowControl w:val="0"/>
              <w:shd w:val="clear" w:color="auto" w:fill="auto"/>
              <w:bidi w:val="0"/>
              <w:spacing w:before="0" w:after="0" w:line="240" w:lineRule="auto"/>
              <w:ind w:left="0" w:right="0" w:firstLine="24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效益指标</w:t>
            </w:r>
          </w:p>
        </w:tc>
        <w:tc>
          <w:tcPr>
            <w:tcBorders>
              <w:top w:val="single" w:color="auto" w:sz="4" w:space="0"/>
              <w:left w:val="single" w:color="auto" w:sz="4" w:space="0"/>
            </w:tcBorders>
            <w:shd w:val="clear" w:color="auto" w:fill="FFFFFF"/>
            <w:vAlign w:val="center"/>
          </w:tcPr>
          <w:p w14:paraId="6DD7B8A0">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社会效益指标</w:t>
            </w:r>
          </w:p>
        </w:tc>
        <w:tc>
          <w:tcPr>
            <w:tcBorders>
              <w:top w:val="single" w:color="auto" w:sz="4" w:space="0"/>
              <w:left w:val="single" w:color="auto" w:sz="4" w:space="0"/>
            </w:tcBorders>
            <w:shd w:val="clear" w:color="auto" w:fill="FFFFFF"/>
            <w:vAlign w:val="center"/>
          </w:tcPr>
          <w:p w14:paraId="4B79422F">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覆盖村民数</w:t>
            </w:r>
          </w:p>
        </w:tc>
        <w:tc>
          <w:tcPr>
            <w:tcBorders>
              <w:top w:val="single" w:color="auto" w:sz="4" w:space="0"/>
              <w:left w:val="single" w:color="auto" w:sz="4" w:space="0"/>
            </w:tcBorders>
            <w:shd w:val="clear" w:color="auto" w:fill="FFFFFF"/>
            <w:vAlign w:val="center"/>
          </w:tcPr>
          <w:p w14:paraId="196AF91A">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27850</w:t>
            </w:r>
            <w:r>
              <w:rPr>
                <w:rFonts w:hint="eastAsia" w:ascii="宋体" w:hAnsi="宋体" w:eastAsia="宋体" w:cs="宋体"/>
                <w:color w:val="auto"/>
                <w:spacing w:val="0"/>
                <w:w w:val="100"/>
                <w:position w:val="0"/>
                <w:sz w:val="20"/>
                <w:szCs w:val="20"/>
              </w:rPr>
              <w:t>人</w:t>
            </w:r>
          </w:p>
        </w:tc>
        <w:tc>
          <w:tcPr>
            <w:tcBorders>
              <w:top w:val="single" w:color="auto" w:sz="4" w:space="0"/>
              <w:left w:val="single" w:color="auto" w:sz="4" w:space="0"/>
              <w:right w:val="single" w:color="auto" w:sz="4" w:space="0"/>
            </w:tcBorders>
            <w:shd w:val="clear" w:color="auto" w:fill="FFFFFF"/>
            <w:vAlign w:val="center"/>
          </w:tcPr>
          <w:p w14:paraId="522D35D1">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17"/>
                <w:szCs w:val="17"/>
              </w:rPr>
              <w:t>27850</w:t>
            </w:r>
            <w:r>
              <w:rPr>
                <w:rFonts w:hint="eastAsia" w:ascii="宋体" w:hAnsi="宋体" w:eastAsia="宋体" w:cs="宋体"/>
                <w:color w:val="auto"/>
                <w:spacing w:val="0"/>
                <w:w w:val="100"/>
                <w:position w:val="0"/>
                <w:sz w:val="20"/>
                <w:szCs w:val="20"/>
              </w:rPr>
              <w:t>人</w:t>
            </w:r>
          </w:p>
        </w:tc>
      </w:tr>
      <w:tr w14:paraId="590E48A0">
        <w:tblPrEx>
          <w:tblCellMar>
            <w:top w:w="0" w:type="dxa"/>
            <w:left w:w="10" w:type="dxa"/>
            <w:bottom w:w="0" w:type="dxa"/>
            <w:right w:w="10" w:type="dxa"/>
          </w:tblCellMar>
        </w:tblPrEx>
        <w:trPr>
          <w:trHeight w:val="600" w:hRule="exact"/>
          <w:jc w:val="center"/>
        </w:trPr>
        <w:tc>
          <w:tcPr>
            <w:vMerge w:val="continue"/>
            <w:tcBorders>
              <w:left w:val="single" w:color="auto" w:sz="4" w:space="0"/>
            </w:tcBorders>
            <w:shd w:val="clear" w:color="auto" w:fill="FFFFFF"/>
            <w:vAlign w:val="top"/>
          </w:tcPr>
          <w:p w14:paraId="4ADBD8FF">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06D21673">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满意度指标</w:t>
            </w:r>
          </w:p>
        </w:tc>
        <w:tc>
          <w:tcPr>
            <w:tcBorders>
              <w:top w:val="single" w:color="auto" w:sz="4" w:space="0"/>
              <w:left w:val="single" w:color="auto" w:sz="4" w:space="0"/>
            </w:tcBorders>
            <w:shd w:val="clear" w:color="auto" w:fill="FFFFFF"/>
            <w:vAlign w:val="center"/>
          </w:tcPr>
          <w:p w14:paraId="7C1DA2C3">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满意度指标</w:t>
            </w:r>
          </w:p>
        </w:tc>
        <w:tc>
          <w:tcPr>
            <w:tcBorders>
              <w:top w:val="single" w:color="auto" w:sz="4" w:space="0"/>
              <w:left w:val="single" w:color="auto" w:sz="4" w:space="0"/>
            </w:tcBorders>
            <w:shd w:val="clear" w:color="auto" w:fill="FFFFFF"/>
            <w:vAlign w:val="center"/>
          </w:tcPr>
          <w:p w14:paraId="0E460332">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群众满意度</w:t>
            </w:r>
          </w:p>
        </w:tc>
        <w:tc>
          <w:tcPr>
            <w:tcBorders>
              <w:top w:val="single" w:color="auto" w:sz="4" w:space="0"/>
              <w:left w:val="single" w:color="auto" w:sz="4" w:space="0"/>
            </w:tcBorders>
            <w:shd w:val="clear" w:color="auto" w:fill="FFFFFF"/>
            <w:vAlign w:val="center"/>
          </w:tcPr>
          <w:p w14:paraId="74111792">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&gt;95%</w:t>
            </w:r>
          </w:p>
        </w:tc>
        <w:tc>
          <w:tcPr>
            <w:tcBorders>
              <w:top w:val="single" w:color="auto" w:sz="4" w:space="0"/>
              <w:left w:val="single" w:color="auto" w:sz="4" w:space="0"/>
              <w:right w:val="single" w:color="auto" w:sz="4" w:space="0"/>
            </w:tcBorders>
            <w:shd w:val="clear" w:color="auto" w:fill="FFFFFF"/>
            <w:vAlign w:val="center"/>
          </w:tcPr>
          <w:p w14:paraId="5CCCB234">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&gt;95%</w:t>
            </w:r>
          </w:p>
        </w:tc>
      </w:tr>
      <w:tr w14:paraId="0082445A">
        <w:tblPrEx>
          <w:tblCellMar>
            <w:top w:w="0" w:type="dxa"/>
            <w:left w:w="10" w:type="dxa"/>
            <w:bottom w:w="0" w:type="dxa"/>
            <w:right w:w="10" w:type="dxa"/>
          </w:tblCellMar>
        </w:tblPrEx>
        <w:trPr>
          <w:trHeight w:val="600" w:hRule="exact"/>
          <w:jc w:val="center"/>
        </w:trPr>
        <w:tc>
          <w:tcPr>
            <w:vMerge w:val="continue"/>
            <w:tcBorders>
              <w:left w:val="single" w:color="auto" w:sz="4" w:space="0"/>
            </w:tcBorders>
            <w:shd w:val="clear" w:color="auto" w:fill="FFFFFF"/>
            <w:vAlign w:val="top"/>
          </w:tcPr>
          <w:p w14:paraId="66C9426A">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center"/>
          </w:tcPr>
          <w:p w14:paraId="3AB15601">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满意度指标</w:t>
            </w:r>
          </w:p>
        </w:tc>
        <w:tc>
          <w:tcPr>
            <w:tcBorders>
              <w:top w:val="single" w:color="auto" w:sz="4" w:space="0"/>
              <w:left w:val="single" w:color="auto" w:sz="4" w:space="0"/>
            </w:tcBorders>
            <w:shd w:val="clear" w:color="auto" w:fill="FFFFFF"/>
            <w:vAlign w:val="center"/>
          </w:tcPr>
          <w:p w14:paraId="3311D20F">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满意度指标</w:t>
            </w:r>
          </w:p>
        </w:tc>
        <w:tc>
          <w:tcPr>
            <w:tcBorders>
              <w:top w:val="single" w:color="auto" w:sz="4" w:space="0"/>
              <w:left w:val="single" w:color="auto" w:sz="4" w:space="0"/>
            </w:tcBorders>
            <w:shd w:val="clear" w:color="auto" w:fill="FFFFFF"/>
            <w:vAlign w:val="center"/>
          </w:tcPr>
          <w:p w14:paraId="3E72C2E2">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20"/>
                <w:szCs w:val="20"/>
              </w:rPr>
            </w:pPr>
            <w:r>
              <w:rPr>
                <w:rFonts w:hint="eastAsia" w:ascii="宋体" w:hAnsi="宋体" w:eastAsia="宋体" w:cs="宋体"/>
                <w:color w:val="auto"/>
                <w:spacing w:val="0"/>
                <w:w w:val="100"/>
                <w:position w:val="0"/>
                <w:sz w:val="20"/>
                <w:szCs w:val="20"/>
              </w:rPr>
              <w:t>党员满意度</w:t>
            </w:r>
          </w:p>
        </w:tc>
        <w:tc>
          <w:tcPr>
            <w:tcBorders>
              <w:top w:val="single" w:color="auto" w:sz="4" w:space="0"/>
              <w:left w:val="single" w:color="auto" w:sz="4" w:space="0"/>
            </w:tcBorders>
            <w:shd w:val="clear" w:color="auto" w:fill="FFFFFF"/>
            <w:vAlign w:val="center"/>
          </w:tcPr>
          <w:p w14:paraId="5D70E0CC">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&gt;95%</w:t>
            </w:r>
          </w:p>
        </w:tc>
        <w:tc>
          <w:tcPr>
            <w:tcBorders>
              <w:top w:val="single" w:color="auto" w:sz="4" w:space="0"/>
              <w:left w:val="single" w:color="auto" w:sz="4" w:space="0"/>
              <w:right w:val="single" w:color="auto" w:sz="4" w:space="0"/>
            </w:tcBorders>
            <w:shd w:val="clear" w:color="auto" w:fill="FFFFFF"/>
            <w:vAlign w:val="center"/>
          </w:tcPr>
          <w:p w14:paraId="29ACA7EA">
            <w:pPr>
              <w:pStyle w:val="17"/>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z w:val="17"/>
                <w:szCs w:val="17"/>
              </w:rPr>
            </w:pPr>
            <w:r>
              <w:rPr>
                <w:rFonts w:hint="eastAsia" w:ascii="宋体" w:hAnsi="宋体" w:eastAsia="宋体" w:cs="宋体"/>
                <w:color w:val="auto"/>
                <w:spacing w:val="0"/>
                <w:w w:val="100"/>
                <w:position w:val="0"/>
                <w:sz w:val="17"/>
                <w:szCs w:val="17"/>
              </w:rPr>
              <w:t>&gt;95%</w:t>
            </w:r>
          </w:p>
        </w:tc>
      </w:tr>
      <w:tr w14:paraId="05ACB756">
        <w:tblPrEx>
          <w:tblCellMar>
            <w:top w:w="0" w:type="dxa"/>
            <w:left w:w="10" w:type="dxa"/>
            <w:bottom w:w="0" w:type="dxa"/>
            <w:right w:w="10" w:type="dxa"/>
          </w:tblCellMar>
        </w:tblPrEx>
        <w:trPr>
          <w:trHeight w:val="645" w:hRule="exact"/>
          <w:jc w:val="center"/>
        </w:trPr>
        <w:tc>
          <w:tcPr>
            <w:vMerge w:val="continue"/>
            <w:tcBorders>
              <w:left w:val="single" w:color="auto" w:sz="4" w:space="0"/>
            </w:tcBorders>
            <w:shd w:val="clear" w:color="auto" w:fill="FFFFFF"/>
            <w:vAlign w:val="top"/>
          </w:tcPr>
          <w:p w14:paraId="4FD9A074">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top"/>
          </w:tcPr>
          <w:p w14:paraId="526C0790">
            <w:pPr>
              <w:widowControl w:val="0"/>
              <w:jc w:val="left"/>
              <w:rPr>
                <w:rFonts w:hint="eastAsia" w:ascii="宋体" w:hAnsi="宋体" w:eastAsia="宋体" w:cs="宋体"/>
                <w:color w:val="auto"/>
                <w:sz w:val="10"/>
                <w:szCs w:val="10"/>
              </w:rPr>
            </w:pPr>
          </w:p>
        </w:tc>
        <w:tc>
          <w:tcPr>
            <w:tcBorders>
              <w:top w:val="single" w:color="auto" w:sz="4" w:space="0"/>
              <w:left w:val="single" w:color="auto" w:sz="4" w:space="0"/>
            </w:tcBorders>
            <w:shd w:val="clear" w:color="auto" w:fill="FFFFFF"/>
            <w:vAlign w:val="top"/>
          </w:tcPr>
          <w:p w14:paraId="219BCDAC">
            <w:pPr>
              <w:widowControl w:val="0"/>
              <w:jc w:val="left"/>
              <w:rPr>
                <w:rFonts w:hint="eastAsia" w:ascii="宋体" w:hAnsi="宋体" w:eastAsia="宋体" w:cs="宋体"/>
                <w:color w:val="auto"/>
                <w:sz w:val="10"/>
                <w:szCs w:val="10"/>
              </w:rPr>
            </w:pPr>
          </w:p>
        </w:tc>
        <w:tc>
          <w:tcPr>
            <w:tcBorders>
              <w:top w:val="single" w:color="auto" w:sz="4" w:space="0"/>
              <w:left w:val="single" w:color="auto" w:sz="4" w:space="0"/>
            </w:tcBorders>
            <w:shd w:val="clear" w:color="auto" w:fill="FFFFFF"/>
            <w:vAlign w:val="top"/>
          </w:tcPr>
          <w:p w14:paraId="3CC89F74">
            <w:pPr>
              <w:widowControl w:val="0"/>
              <w:jc w:val="left"/>
              <w:rPr>
                <w:rFonts w:hint="eastAsia" w:ascii="宋体" w:hAnsi="宋体" w:eastAsia="宋体" w:cs="宋体"/>
                <w:color w:val="auto"/>
                <w:sz w:val="10"/>
                <w:szCs w:val="10"/>
              </w:rPr>
            </w:pPr>
          </w:p>
        </w:tc>
        <w:tc>
          <w:tcPr>
            <w:tcBorders>
              <w:top w:val="single" w:color="auto" w:sz="4" w:space="0"/>
              <w:left w:val="single" w:color="auto" w:sz="4" w:space="0"/>
            </w:tcBorders>
            <w:shd w:val="clear" w:color="auto" w:fill="FFFFFF"/>
            <w:vAlign w:val="top"/>
          </w:tcPr>
          <w:p w14:paraId="5C10309F">
            <w:pPr>
              <w:widowControl w:val="0"/>
              <w:jc w:val="left"/>
              <w:rPr>
                <w:rFonts w:hint="eastAsia" w:ascii="宋体" w:hAnsi="宋体" w:eastAsia="宋体" w:cs="宋体"/>
                <w:color w:val="auto"/>
                <w:sz w:val="10"/>
                <w:szCs w:val="10"/>
              </w:rPr>
            </w:pPr>
          </w:p>
        </w:tc>
        <w:tc>
          <w:tcPr>
            <w:tcBorders>
              <w:top w:val="single" w:color="auto" w:sz="4" w:space="0"/>
              <w:left w:val="single" w:color="auto" w:sz="4" w:space="0"/>
              <w:right w:val="single" w:color="auto" w:sz="4" w:space="0"/>
            </w:tcBorders>
            <w:shd w:val="clear" w:color="auto" w:fill="FFFFFF"/>
            <w:vAlign w:val="top"/>
          </w:tcPr>
          <w:p w14:paraId="01911341">
            <w:pPr>
              <w:widowControl w:val="0"/>
              <w:jc w:val="left"/>
              <w:rPr>
                <w:rFonts w:hint="eastAsia" w:ascii="宋体" w:hAnsi="宋体" w:eastAsia="宋体" w:cs="宋体"/>
                <w:color w:val="auto"/>
                <w:sz w:val="10"/>
                <w:szCs w:val="10"/>
              </w:rPr>
            </w:pPr>
          </w:p>
        </w:tc>
      </w:tr>
      <w:tr w14:paraId="4D6D2BF1">
        <w:tblPrEx>
          <w:tblCellMar>
            <w:top w:w="0" w:type="dxa"/>
            <w:left w:w="10" w:type="dxa"/>
            <w:bottom w:w="0" w:type="dxa"/>
            <w:right w:w="10" w:type="dxa"/>
          </w:tblCellMar>
        </w:tblPrEx>
        <w:trPr>
          <w:trHeight w:val="600" w:hRule="exact"/>
          <w:jc w:val="center"/>
        </w:trPr>
        <w:tc>
          <w:tcPr>
            <w:vMerge w:val="continue"/>
            <w:tcBorders>
              <w:left w:val="single" w:color="auto" w:sz="4" w:space="0"/>
            </w:tcBorders>
            <w:shd w:val="clear" w:color="auto" w:fill="FFFFFF"/>
            <w:vAlign w:val="top"/>
          </w:tcPr>
          <w:p w14:paraId="04BA193B">
            <w:pPr>
              <w:jc w:val="left"/>
              <w:rPr>
                <w:rFonts w:hint="eastAsia" w:ascii="宋体" w:hAnsi="宋体" w:eastAsia="宋体" w:cs="宋体"/>
                <w:color w:val="auto"/>
              </w:rPr>
            </w:pPr>
          </w:p>
        </w:tc>
        <w:tc>
          <w:tcPr>
            <w:tcBorders>
              <w:top w:val="single" w:color="auto" w:sz="4" w:space="0"/>
              <w:left w:val="single" w:color="auto" w:sz="4" w:space="0"/>
            </w:tcBorders>
            <w:shd w:val="clear" w:color="auto" w:fill="FFFFFF"/>
            <w:vAlign w:val="top"/>
          </w:tcPr>
          <w:p w14:paraId="40A94B41">
            <w:pPr>
              <w:widowControl w:val="0"/>
              <w:jc w:val="left"/>
              <w:rPr>
                <w:rFonts w:hint="eastAsia" w:ascii="宋体" w:hAnsi="宋体" w:eastAsia="宋体" w:cs="宋体"/>
                <w:color w:val="auto"/>
                <w:sz w:val="10"/>
                <w:szCs w:val="10"/>
              </w:rPr>
            </w:pPr>
          </w:p>
        </w:tc>
        <w:tc>
          <w:tcPr>
            <w:tcBorders>
              <w:top w:val="single" w:color="auto" w:sz="4" w:space="0"/>
              <w:left w:val="single" w:color="auto" w:sz="4" w:space="0"/>
            </w:tcBorders>
            <w:shd w:val="clear" w:color="auto" w:fill="FFFFFF"/>
            <w:vAlign w:val="top"/>
          </w:tcPr>
          <w:p w14:paraId="7E304181">
            <w:pPr>
              <w:widowControl w:val="0"/>
              <w:jc w:val="left"/>
              <w:rPr>
                <w:rFonts w:hint="eastAsia" w:ascii="宋体" w:hAnsi="宋体" w:eastAsia="宋体" w:cs="宋体"/>
                <w:color w:val="auto"/>
                <w:sz w:val="10"/>
                <w:szCs w:val="10"/>
              </w:rPr>
            </w:pPr>
          </w:p>
        </w:tc>
        <w:tc>
          <w:tcPr>
            <w:tcBorders>
              <w:top w:val="single" w:color="auto" w:sz="4" w:space="0"/>
              <w:left w:val="single" w:color="auto" w:sz="4" w:space="0"/>
            </w:tcBorders>
            <w:shd w:val="clear" w:color="auto" w:fill="FFFFFF"/>
            <w:vAlign w:val="top"/>
          </w:tcPr>
          <w:p w14:paraId="5A79BCAC">
            <w:pPr>
              <w:widowControl w:val="0"/>
              <w:jc w:val="left"/>
              <w:rPr>
                <w:rFonts w:hint="eastAsia" w:ascii="宋体" w:hAnsi="宋体" w:eastAsia="宋体" w:cs="宋体"/>
                <w:color w:val="auto"/>
                <w:sz w:val="10"/>
                <w:szCs w:val="10"/>
              </w:rPr>
            </w:pPr>
          </w:p>
        </w:tc>
        <w:tc>
          <w:tcPr>
            <w:tcBorders>
              <w:top w:val="single" w:color="auto" w:sz="4" w:space="0"/>
              <w:left w:val="single" w:color="auto" w:sz="4" w:space="0"/>
            </w:tcBorders>
            <w:shd w:val="clear" w:color="auto" w:fill="FFFFFF"/>
            <w:vAlign w:val="top"/>
          </w:tcPr>
          <w:p w14:paraId="06141213">
            <w:pPr>
              <w:widowControl w:val="0"/>
              <w:jc w:val="left"/>
              <w:rPr>
                <w:rFonts w:hint="eastAsia" w:ascii="宋体" w:hAnsi="宋体" w:eastAsia="宋体" w:cs="宋体"/>
                <w:color w:val="auto"/>
                <w:sz w:val="10"/>
                <w:szCs w:val="10"/>
              </w:rPr>
            </w:pPr>
          </w:p>
        </w:tc>
        <w:tc>
          <w:tcPr>
            <w:tcBorders>
              <w:top w:val="single" w:color="auto" w:sz="4" w:space="0"/>
              <w:left w:val="single" w:color="auto" w:sz="4" w:space="0"/>
              <w:right w:val="single" w:color="auto" w:sz="4" w:space="0"/>
            </w:tcBorders>
            <w:shd w:val="clear" w:color="auto" w:fill="FFFFFF"/>
            <w:vAlign w:val="top"/>
          </w:tcPr>
          <w:p w14:paraId="447B8751">
            <w:pPr>
              <w:widowControl w:val="0"/>
              <w:jc w:val="left"/>
              <w:rPr>
                <w:rFonts w:hint="eastAsia" w:ascii="宋体" w:hAnsi="宋体" w:eastAsia="宋体" w:cs="宋体"/>
                <w:color w:val="auto"/>
                <w:sz w:val="10"/>
                <w:szCs w:val="10"/>
              </w:rPr>
            </w:pPr>
          </w:p>
        </w:tc>
      </w:tr>
      <w:tr w14:paraId="1791ABCC">
        <w:tblPrEx>
          <w:tblCellMar>
            <w:top w:w="0" w:type="dxa"/>
            <w:left w:w="10" w:type="dxa"/>
            <w:bottom w:w="0" w:type="dxa"/>
            <w:right w:w="10" w:type="dxa"/>
          </w:tblCellMar>
        </w:tblPrEx>
        <w:trPr>
          <w:trHeight w:val="615" w:hRule="exact"/>
          <w:jc w:val="center"/>
        </w:trPr>
        <w:tc>
          <w:tcPr>
            <w:vMerge w:val="continue"/>
            <w:tcBorders>
              <w:left w:val="single" w:color="auto" w:sz="4" w:space="0"/>
              <w:bottom w:val="single" w:color="auto" w:sz="4" w:space="0"/>
            </w:tcBorders>
            <w:shd w:val="clear" w:color="auto" w:fill="FFFFFF"/>
            <w:vAlign w:val="top"/>
          </w:tcPr>
          <w:p w14:paraId="1105E496">
            <w:pPr>
              <w:jc w:val="left"/>
              <w:rPr>
                <w:rFonts w:hint="eastAsia" w:ascii="宋体" w:hAnsi="宋体" w:eastAsia="宋体" w:cs="宋体"/>
                <w:color w:val="auto"/>
              </w:rPr>
            </w:pPr>
          </w:p>
        </w:tc>
        <w:tc>
          <w:tcPr>
            <w:tcBorders>
              <w:top w:val="single" w:color="auto" w:sz="4" w:space="0"/>
              <w:left w:val="single" w:color="auto" w:sz="4" w:space="0"/>
              <w:bottom w:val="single" w:color="auto" w:sz="4" w:space="0"/>
            </w:tcBorders>
            <w:shd w:val="clear" w:color="auto" w:fill="FFFFFF"/>
            <w:vAlign w:val="top"/>
          </w:tcPr>
          <w:p w14:paraId="7AD28517">
            <w:pPr>
              <w:widowControl w:val="0"/>
              <w:jc w:val="left"/>
              <w:rPr>
                <w:rFonts w:hint="eastAsia" w:ascii="宋体" w:hAnsi="宋体" w:eastAsia="宋体" w:cs="宋体"/>
                <w:color w:val="auto"/>
                <w:sz w:val="10"/>
                <w:szCs w:val="10"/>
              </w:rPr>
            </w:pPr>
          </w:p>
        </w:tc>
        <w:tc>
          <w:tcPr>
            <w:tcBorders>
              <w:top w:val="single" w:color="auto" w:sz="4" w:space="0"/>
              <w:left w:val="single" w:color="auto" w:sz="4" w:space="0"/>
              <w:bottom w:val="single" w:color="auto" w:sz="4" w:space="0"/>
            </w:tcBorders>
            <w:shd w:val="clear" w:color="auto" w:fill="FFFFFF"/>
            <w:vAlign w:val="top"/>
          </w:tcPr>
          <w:p w14:paraId="77AE921A">
            <w:pPr>
              <w:widowControl w:val="0"/>
              <w:jc w:val="left"/>
              <w:rPr>
                <w:rFonts w:hint="eastAsia" w:ascii="宋体" w:hAnsi="宋体" w:eastAsia="宋体" w:cs="宋体"/>
                <w:color w:val="auto"/>
                <w:sz w:val="10"/>
                <w:szCs w:val="10"/>
              </w:rPr>
            </w:pPr>
          </w:p>
        </w:tc>
        <w:tc>
          <w:tcPr>
            <w:tcBorders>
              <w:top w:val="single" w:color="auto" w:sz="4" w:space="0"/>
              <w:left w:val="single" w:color="auto" w:sz="4" w:space="0"/>
              <w:bottom w:val="single" w:color="auto" w:sz="4" w:space="0"/>
            </w:tcBorders>
            <w:shd w:val="clear" w:color="auto" w:fill="FFFFFF"/>
            <w:vAlign w:val="top"/>
          </w:tcPr>
          <w:p w14:paraId="19C84299">
            <w:pPr>
              <w:widowControl w:val="0"/>
              <w:jc w:val="left"/>
              <w:rPr>
                <w:rFonts w:hint="eastAsia" w:ascii="宋体" w:hAnsi="宋体" w:eastAsia="宋体" w:cs="宋体"/>
                <w:color w:val="auto"/>
                <w:sz w:val="10"/>
                <w:szCs w:val="10"/>
              </w:rPr>
            </w:pPr>
          </w:p>
        </w:tc>
        <w:tc>
          <w:tcPr>
            <w:tcBorders>
              <w:top w:val="single" w:color="auto" w:sz="4" w:space="0"/>
              <w:left w:val="single" w:color="auto" w:sz="4" w:space="0"/>
              <w:bottom w:val="single" w:color="auto" w:sz="4" w:space="0"/>
            </w:tcBorders>
            <w:shd w:val="clear" w:color="auto" w:fill="FFFFFF"/>
            <w:vAlign w:val="top"/>
          </w:tcPr>
          <w:p w14:paraId="3FCAC40F">
            <w:pPr>
              <w:widowControl w:val="0"/>
              <w:jc w:val="left"/>
              <w:rPr>
                <w:rFonts w:hint="eastAsia" w:ascii="宋体" w:hAnsi="宋体" w:eastAsia="宋体" w:cs="宋体"/>
                <w:color w:val="auto"/>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14:paraId="168E94D3">
            <w:pPr>
              <w:widowControl w:val="0"/>
              <w:jc w:val="left"/>
              <w:rPr>
                <w:rFonts w:hint="eastAsia" w:ascii="宋体" w:hAnsi="宋体" w:eastAsia="宋体" w:cs="宋体"/>
                <w:color w:val="auto"/>
                <w:sz w:val="10"/>
                <w:szCs w:val="10"/>
              </w:rPr>
            </w:pPr>
          </w:p>
        </w:tc>
      </w:tr>
    </w:tbl>
    <w:p w14:paraId="5BA38C88">
      <w:pPr>
        <w:jc w:val="left"/>
        <w:rPr>
          <w:rFonts w:hint="eastAsia" w:ascii="宋体" w:hAnsi="宋体" w:eastAsia="宋体" w:cs="宋体"/>
          <w:color w:val="auto"/>
        </w:rPr>
        <w:sectPr>
          <w:footnotePr>
            <w:numFmt w:val="decimal"/>
          </w:footnotePr>
          <w:pgSz w:w="11900" w:h="16840"/>
          <w:pgMar w:top="1440" w:right="1800" w:bottom="1440" w:left="1800" w:header="1677" w:footer="567" w:gutter="0"/>
          <w:cols w:space="720" w:num="1"/>
          <w:rtlGutter w:val="0"/>
          <w:docGrid w:linePitch="360" w:charSpace="0"/>
        </w:sectPr>
      </w:pPr>
    </w:p>
    <w:p w14:paraId="32D5CDC1">
      <w:pPr>
        <w:pStyle w:val="13"/>
        <w:keepNext w:val="0"/>
        <w:keepLines w:val="0"/>
        <w:widowControl w:val="0"/>
        <w:numPr>
          <w:ilvl w:val="0"/>
          <w:numId w:val="5"/>
        </w:numPr>
        <w:shd w:val="clear" w:color="auto" w:fill="auto"/>
        <w:bidi w:val="0"/>
        <w:spacing w:before="0" w:after="0" w:line="576" w:lineRule="exact"/>
        <w:ind w:left="0" w:right="0" w:firstLine="620"/>
        <w:jc w:val="left"/>
        <w:rPr>
          <w:rFonts w:hint="eastAsia" w:ascii="宋体" w:hAnsi="宋体" w:eastAsia="宋体" w:cs="宋体"/>
          <w:color w:val="auto"/>
        </w:rPr>
      </w:pPr>
      <w:bookmarkStart w:id="59" w:name="bookmark64"/>
      <w:bookmarkEnd w:id="59"/>
      <w:r>
        <w:rPr>
          <w:rFonts w:hint="eastAsia" w:ascii="宋体" w:hAnsi="宋体" w:eastAsia="宋体" w:cs="宋体"/>
          <w:color w:val="auto"/>
          <w:spacing w:val="0"/>
          <w:w w:val="100"/>
          <w:position w:val="0"/>
        </w:rPr>
        <w:t>部门绩效评价结果。</w:t>
      </w:r>
    </w:p>
    <w:p w14:paraId="732F2204">
      <w:pPr>
        <w:pStyle w:val="13"/>
        <w:keepNext w:val="0"/>
        <w:keepLines w:val="0"/>
        <w:widowControl w:val="0"/>
        <w:shd w:val="clear" w:color="auto" w:fill="auto"/>
        <w:bidi w:val="0"/>
        <w:spacing w:before="0" w:after="0" w:line="576" w:lineRule="exact"/>
        <w:ind w:left="0" w:right="0" w:firstLine="620"/>
        <w:jc w:val="left"/>
        <w:rPr>
          <w:rFonts w:hint="eastAsia" w:ascii="宋体" w:hAnsi="宋体" w:eastAsia="宋体" w:cs="宋体"/>
          <w:color w:val="auto"/>
          <w:spacing w:val="0"/>
          <w:w w:val="100"/>
          <w:position w:val="0"/>
          <w:lang w:val="en-US" w:eastAsia="zh-CN" w:bidi="en-US"/>
        </w:rPr>
      </w:pPr>
      <w:r>
        <w:rPr>
          <w:rFonts w:hint="eastAsia" w:ascii="宋体" w:hAnsi="宋体" w:eastAsia="宋体" w:cs="宋体"/>
          <w:color w:val="auto"/>
          <w:spacing w:val="0"/>
          <w:w w:val="100"/>
          <w:position w:val="0"/>
        </w:rPr>
        <w:t>本部门按要求对2020年部门整体支出绩效评价情况开展自评，《卫子镇2020年部门整体支出绩效评价报告》见附件（附件</w:t>
      </w:r>
      <w:r>
        <w:rPr>
          <w:rFonts w:hint="eastAsia" w:ascii="宋体" w:hAnsi="宋体" w:eastAsia="宋体" w:cs="宋体"/>
          <w:color w:val="auto"/>
          <w:spacing w:val="0"/>
          <w:w w:val="100"/>
          <w:position w:val="0"/>
          <w:lang w:val="en-US" w:eastAsia="zh-CN" w:bidi="en-US"/>
        </w:rPr>
        <w:t>1）。</w:t>
      </w:r>
    </w:p>
    <w:p w14:paraId="12ADC607">
      <w:pPr>
        <w:pStyle w:val="13"/>
        <w:keepNext w:val="0"/>
        <w:keepLines w:val="0"/>
        <w:widowControl w:val="0"/>
        <w:shd w:val="clear" w:color="auto" w:fill="auto"/>
        <w:bidi w:val="0"/>
        <w:spacing w:before="0" w:after="0" w:line="576" w:lineRule="exact"/>
        <w:ind w:left="0" w:right="0" w:firstLine="620"/>
        <w:jc w:val="left"/>
        <w:rPr>
          <w:rFonts w:hint="eastAsia" w:ascii="宋体" w:hAnsi="宋体" w:eastAsia="宋体" w:cs="宋体"/>
          <w:color w:val="auto"/>
        </w:rPr>
        <w:sectPr>
          <w:footerReference r:id="rId10" w:type="default"/>
          <w:footnotePr>
            <w:numFmt w:val="decimal"/>
          </w:footnotePr>
          <w:pgSz w:w="11900" w:h="16840"/>
          <w:pgMar w:top="1440" w:right="1800" w:bottom="1440" w:left="1800" w:header="1617" w:footer="567" w:gutter="0"/>
          <w:cols w:space="720" w:num="1"/>
          <w:rtlGutter w:val="0"/>
          <w:docGrid w:linePitch="360" w:charSpace="0"/>
        </w:sectPr>
      </w:pPr>
      <w:r>
        <w:rPr>
          <w:rFonts w:hint="eastAsia" w:ascii="宋体" w:hAnsi="宋体" w:eastAsia="宋体" w:cs="宋体"/>
          <w:color w:val="auto"/>
          <w:spacing w:val="0"/>
          <w:w w:val="100"/>
          <w:position w:val="0"/>
        </w:rPr>
        <w:t>本部门自行组织对基层组织活动和公共服务运行项目项目、开展了绩效评价，《基层组织活动和公共服务运行项目2020年绩效评价报告》见附件（附件2）。</w:t>
      </w:r>
    </w:p>
    <w:p w14:paraId="0455CC55">
      <w:pPr>
        <w:pStyle w:val="14"/>
        <w:keepNext/>
        <w:keepLines/>
        <w:widowControl w:val="0"/>
        <w:shd w:val="clear" w:color="auto" w:fill="auto"/>
        <w:bidi w:val="0"/>
        <w:spacing w:before="620" w:after="580" w:line="240" w:lineRule="auto"/>
        <w:ind w:left="0" w:right="0" w:firstLine="0"/>
        <w:jc w:val="center"/>
        <w:rPr>
          <w:rFonts w:hint="eastAsia" w:ascii="宋体" w:hAnsi="宋体" w:eastAsia="宋体" w:cs="宋体"/>
          <w:b/>
          <w:bCs/>
          <w:color w:val="auto"/>
        </w:rPr>
      </w:pPr>
      <w:bookmarkStart w:id="60" w:name="bookmark66"/>
      <w:bookmarkStart w:id="61" w:name="_Toc32274"/>
      <w:bookmarkStart w:id="62" w:name="bookmark65"/>
      <w:bookmarkStart w:id="63" w:name="bookmark67"/>
      <w:r>
        <w:rPr>
          <w:rFonts w:hint="eastAsia" w:ascii="宋体" w:hAnsi="宋体" w:eastAsia="宋体" w:cs="宋体"/>
          <w:b/>
          <w:bCs/>
          <w:color w:val="auto"/>
          <w:spacing w:val="0"/>
          <w:w w:val="100"/>
          <w:position w:val="0"/>
        </w:rPr>
        <w:t>第三部分</w:t>
      </w:r>
      <w:r>
        <w:rPr>
          <w:rFonts w:hint="eastAsia" w:cs="宋体"/>
          <w:b/>
          <w:bCs/>
          <w:color w:val="auto"/>
          <w:spacing w:val="0"/>
          <w:w w:val="100"/>
          <w:position w:val="0"/>
          <w:lang w:val="en-US" w:eastAsia="zh-CN"/>
        </w:rPr>
        <w:t xml:space="preserve">  </w:t>
      </w:r>
      <w:r>
        <w:rPr>
          <w:rFonts w:hint="eastAsia" w:ascii="宋体" w:hAnsi="宋体" w:eastAsia="宋体" w:cs="宋体"/>
          <w:b/>
          <w:bCs/>
          <w:color w:val="auto"/>
          <w:spacing w:val="0"/>
          <w:w w:val="100"/>
          <w:position w:val="0"/>
        </w:rPr>
        <w:t>名词解释</w:t>
      </w:r>
      <w:bookmarkEnd w:id="60"/>
      <w:bookmarkEnd w:id="61"/>
      <w:bookmarkEnd w:id="62"/>
      <w:bookmarkEnd w:id="63"/>
    </w:p>
    <w:p w14:paraId="2E804BC1">
      <w:pPr>
        <w:pStyle w:val="13"/>
        <w:keepNext w:val="0"/>
        <w:keepLines w:val="0"/>
        <w:widowControl w:val="0"/>
        <w:numPr>
          <w:ilvl w:val="0"/>
          <w:numId w:val="6"/>
        </w:numPr>
        <w:shd w:val="clear" w:color="auto" w:fill="auto"/>
        <w:tabs>
          <w:tab w:val="left" w:pos="1025"/>
        </w:tabs>
        <w:bidi w:val="0"/>
        <w:spacing w:before="0" w:after="0" w:line="577" w:lineRule="exact"/>
        <w:ind w:left="0" w:right="0" w:firstLine="620"/>
        <w:jc w:val="left"/>
        <w:outlineLvl w:val="1"/>
        <w:rPr>
          <w:rFonts w:hint="eastAsia" w:ascii="宋体" w:hAnsi="宋体" w:eastAsia="宋体" w:cs="宋体"/>
          <w:color w:val="auto"/>
        </w:rPr>
      </w:pPr>
      <w:bookmarkStart w:id="64" w:name="bookmark68"/>
      <w:bookmarkEnd w:id="64"/>
      <w:bookmarkStart w:id="65" w:name="_Toc2333"/>
      <w:r>
        <w:rPr>
          <w:rFonts w:hint="eastAsia" w:ascii="宋体" w:hAnsi="宋体" w:eastAsia="宋体" w:cs="宋体"/>
          <w:color w:val="auto"/>
          <w:spacing w:val="0"/>
          <w:w w:val="100"/>
          <w:position w:val="0"/>
        </w:rPr>
        <w:t>财政拨款收入：指单位从同级财政部门取得的财政预算资金</w:t>
      </w:r>
      <w:r>
        <w:rPr>
          <w:rFonts w:hint="eastAsia" w:ascii="宋体" w:hAnsi="宋体" w:eastAsia="宋体" w:cs="宋体"/>
          <w:color w:val="auto"/>
          <w:spacing w:val="0"/>
          <w:w w:val="100"/>
          <w:position w:val="0"/>
          <w:lang w:val="en-US" w:eastAsia="en-US" w:bidi="en-US"/>
        </w:rPr>
        <w:t>。</w:t>
      </w:r>
      <w:bookmarkEnd w:id="65"/>
    </w:p>
    <w:p w14:paraId="7FEC2482">
      <w:pPr>
        <w:pStyle w:val="13"/>
        <w:keepNext w:val="0"/>
        <w:keepLines w:val="0"/>
        <w:widowControl w:val="0"/>
        <w:numPr>
          <w:ilvl w:val="0"/>
          <w:numId w:val="6"/>
        </w:numPr>
        <w:shd w:val="clear" w:color="auto" w:fill="auto"/>
        <w:tabs>
          <w:tab w:val="left" w:pos="995"/>
        </w:tabs>
        <w:bidi w:val="0"/>
        <w:spacing w:before="0" w:after="0" w:line="577" w:lineRule="exact"/>
        <w:ind w:left="0" w:right="0" w:firstLine="620"/>
        <w:jc w:val="left"/>
        <w:rPr>
          <w:rFonts w:hint="eastAsia" w:ascii="宋体" w:hAnsi="宋体" w:eastAsia="宋体" w:cs="宋体"/>
          <w:color w:val="auto"/>
        </w:rPr>
      </w:pPr>
      <w:bookmarkStart w:id="66" w:name="bookmark69"/>
      <w:bookmarkEnd w:id="66"/>
      <w:r>
        <w:rPr>
          <w:rFonts w:hint="eastAsia" w:ascii="宋体" w:hAnsi="宋体" w:eastAsia="宋体" w:cs="宋体"/>
          <w:color w:val="auto"/>
          <w:spacing w:val="0"/>
          <w:w w:val="100"/>
          <w:position w:val="0"/>
        </w:rPr>
        <w:t>事业收入：指事业单位开展专业业务活动及辅助活动取得的收入。</w:t>
      </w:r>
    </w:p>
    <w:p w14:paraId="20FD1C0E">
      <w:pPr>
        <w:pStyle w:val="13"/>
        <w:keepNext w:val="0"/>
        <w:keepLines w:val="0"/>
        <w:widowControl w:val="0"/>
        <w:numPr>
          <w:ilvl w:val="0"/>
          <w:numId w:val="6"/>
        </w:numPr>
        <w:shd w:val="clear" w:color="auto" w:fill="auto"/>
        <w:tabs>
          <w:tab w:val="left" w:pos="1010"/>
        </w:tabs>
        <w:bidi w:val="0"/>
        <w:spacing w:before="0" w:after="0" w:line="600" w:lineRule="exact"/>
        <w:ind w:left="0" w:right="0" w:firstLine="620"/>
        <w:jc w:val="left"/>
        <w:rPr>
          <w:rFonts w:hint="eastAsia" w:ascii="宋体" w:hAnsi="宋体" w:eastAsia="宋体" w:cs="宋体"/>
          <w:color w:val="auto"/>
        </w:rPr>
      </w:pPr>
      <w:bookmarkStart w:id="67" w:name="bookmark70"/>
      <w:bookmarkEnd w:id="67"/>
      <w:r>
        <w:rPr>
          <w:rFonts w:hint="eastAsia" w:ascii="宋体" w:hAnsi="宋体" w:eastAsia="宋体" w:cs="宋体"/>
          <w:color w:val="auto"/>
          <w:spacing w:val="0"/>
          <w:w w:val="100"/>
          <w:position w:val="0"/>
        </w:rPr>
        <w:t>经营收入：指事业单位在专业业务活动及其辅助活动之外开展非独立核算经营活动取得的收入。</w:t>
      </w:r>
    </w:p>
    <w:p w14:paraId="5A41136A">
      <w:pPr>
        <w:pStyle w:val="13"/>
        <w:keepNext w:val="0"/>
        <w:keepLines w:val="0"/>
        <w:widowControl w:val="0"/>
        <w:numPr>
          <w:ilvl w:val="0"/>
          <w:numId w:val="6"/>
        </w:numPr>
        <w:shd w:val="clear" w:color="auto" w:fill="auto"/>
        <w:tabs>
          <w:tab w:val="left" w:pos="1015"/>
        </w:tabs>
        <w:bidi w:val="0"/>
        <w:spacing w:before="0" w:after="0" w:line="582" w:lineRule="exact"/>
        <w:ind w:left="0" w:right="0" w:firstLine="620"/>
        <w:jc w:val="left"/>
        <w:outlineLvl w:val="1"/>
        <w:rPr>
          <w:rFonts w:hint="eastAsia" w:ascii="宋体" w:hAnsi="宋体" w:eastAsia="宋体" w:cs="宋体"/>
          <w:color w:val="auto"/>
        </w:rPr>
      </w:pPr>
      <w:bookmarkStart w:id="68" w:name="bookmark71"/>
      <w:bookmarkEnd w:id="68"/>
      <w:bookmarkStart w:id="69" w:name="_Toc28805"/>
      <w:r>
        <w:rPr>
          <w:rFonts w:hint="eastAsia" w:ascii="宋体" w:hAnsi="宋体" w:eastAsia="宋体" w:cs="宋体"/>
          <w:color w:val="auto"/>
          <w:spacing w:val="0"/>
          <w:w w:val="100"/>
          <w:position w:val="0"/>
        </w:rPr>
        <w:t>其他收入：指单位取得的除上述收入以外的各项收入。</w:t>
      </w:r>
      <w:bookmarkEnd w:id="69"/>
    </w:p>
    <w:p w14:paraId="6B67B1FC">
      <w:pPr>
        <w:pStyle w:val="13"/>
        <w:keepNext w:val="0"/>
        <w:keepLines w:val="0"/>
        <w:widowControl w:val="0"/>
        <w:numPr>
          <w:ilvl w:val="0"/>
          <w:numId w:val="6"/>
        </w:numPr>
        <w:shd w:val="clear" w:color="auto" w:fill="auto"/>
        <w:tabs>
          <w:tab w:val="left" w:pos="1025"/>
        </w:tabs>
        <w:bidi w:val="0"/>
        <w:spacing w:before="0" w:after="0" w:line="582" w:lineRule="exact"/>
        <w:ind w:left="0" w:right="0" w:firstLine="620"/>
        <w:jc w:val="left"/>
        <w:rPr>
          <w:rFonts w:hint="eastAsia" w:ascii="宋体" w:hAnsi="宋体" w:eastAsia="宋体" w:cs="宋体"/>
          <w:color w:val="auto"/>
        </w:rPr>
      </w:pPr>
      <w:bookmarkStart w:id="70" w:name="bookmark72"/>
      <w:bookmarkEnd w:id="70"/>
      <w:r>
        <w:rPr>
          <w:rFonts w:hint="eastAsia" w:ascii="宋体" w:hAnsi="宋体" w:eastAsia="宋体" w:cs="宋体"/>
          <w:color w:val="auto"/>
          <w:spacing w:val="0"/>
          <w:w w:val="100"/>
          <w:position w:val="0"/>
        </w:rPr>
        <w:t>用事业基金弥补收支差额：指事业单位在当年的财政拨款收入、事业收入、经营收入、其他收入不足以安排当年支出的情况下，使用以前年度积累的事业基金弥补本年度收支缺口的资金</w:t>
      </w:r>
      <w:r>
        <w:rPr>
          <w:rFonts w:hint="eastAsia" w:ascii="宋体" w:hAnsi="宋体" w:eastAsia="宋体" w:cs="宋体"/>
          <w:color w:val="auto"/>
          <w:spacing w:val="0"/>
          <w:w w:val="100"/>
          <w:position w:val="0"/>
          <w:lang w:val="en-US" w:eastAsia="en-US" w:bidi="en-US"/>
        </w:rPr>
        <w:t>。</w:t>
      </w:r>
    </w:p>
    <w:p w14:paraId="656BACE0">
      <w:pPr>
        <w:pStyle w:val="13"/>
        <w:keepNext w:val="0"/>
        <w:keepLines w:val="0"/>
        <w:widowControl w:val="0"/>
        <w:numPr>
          <w:ilvl w:val="0"/>
          <w:numId w:val="6"/>
        </w:numPr>
        <w:shd w:val="clear" w:color="auto" w:fill="auto"/>
        <w:tabs>
          <w:tab w:val="left" w:pos="1010"/>
        </w:tabs>
        <w:bidi w:val="0"/>
        <w:spacing w:before="0" w:after="0" w:line="582" w:lineRule="exact"/>
        <w:ind w:left="0" w:right="0" w:firstLine="620"/>
        <w:jc w:val="left"/>
        <w:rPr>
          <w:rFonts w:hint="eastAsia" w:ascii="宋体" w:hAnsi="宋体" w:eastAsia="宋体" w:cs="宋体"/>
          <w:color w:val="auto"/>
        </w:rPr>
      </w:pPr>
      <w:bookmarkStart w:id="71" w:name="bookmark73"/>
      <w:bookmarkEnd w:id="71"/>
      <w:r>
        <w:rPr>
          <w:rFonts w:hint="eastAsia" w:ascii="宋体" w:hAnsi="宋体" w:eastAsia="宋体" w:cs="宋体"/>
          <w:color w:val="auto"/>
          <w:spacing w:val="0"/>
          <w:w w:val="100"/>
          <w:position w:val="0"/>
        </w:rPr>
        <w:t>年初结转和结余：指以前年度尚未完成、结转到本年按有关规定继续使用的资金。</w:t>
      </w:r>
    </w:p>
    <w:p w14:paraId="4245E467">
      <w:pPr>
        <w:pStyle w:val="13"/>
        <w:keepNext w:val="0"/>
        <w:keepLines w:val="0"/>
        <w:widowControl w:val="0"/>
        <w:numPr>
          <w:ilvl w:val="0"/>
          <w:numId w:val="6"/>
        </w:numPr>
        <w:shd w:val="clear" w:color="auto" w:fill="auto"/>
        <w:tabs>
          <w:tab w:val="left" w:pos="1010"/>
        </w:tabs>
        <w:bidi w:val="0"/>
        <w:spacing w:before="0" w:after="0" w:line="582" w:lineRule="exact"/>
        <w:ind w:left="0" w:right="0" w:firstLine="620"/>
        <w:jc w:val="left"/>
        <w:rPr>
          <w:rFonts w:hint="eastAsia" w:ascii="宋体" w:hAnsi="宋体" w:eastAsia="宋体" w:cs="宋体"/>
          <w:color w:val="auto"/>
          <w:spacing w:val="0"/>
          <w:w w:val="100"/>
          <w:position w:val="0"/>
        </w:rPr>
      </w:pPr>
      <w:bookmarkStart w:id="72" w:name="bookmark74"/>
      <w:bookmarkEnd w:id="72"/>
      <w:r>
        <w:rPr>
          <w:rFonts w:hint="eastAsia" w:ascii="宋体" w:hAnsi="宋体" w:eastAsia="宋体" w:cs="宋体"/>
          <w:color w:val="auto"/>
          <w:spacing w:val="0"/>
          <w:w w:val="100"/>
          <w:position w:val="0"/>
        </w:rPr>
        <w:t>结余分配：指事业单位按照事业单位会计制度的规定从非财政补助结余中分配的事业基金和职工福利基金等。</w:t>
      </w:r>
    </w:p>
    <w:p w14:paraId="41BF421C">
      <w:pPr>
        <w:pStyle w:val="13"/>
        <w:keepNext w:val="0"/>
        <w:keepLines w:val="0"/>
        <w:widowControl w:val="0"/>
        <w:numPr>
          <w:ilvl w:val="0"/>
          <w:numId w:val="6"/>
        </w:numPr>
        <w:shd w:val="clear" w:color="auto" w:fill="auto"/>
        <w:tabs>
          <w:tab w:val="left" w:pos="1010"/>
        </w:tabs>
        <w:bidi w:val="0"/>
        <w:spacing w:before="0" w:after="0" w:line="582" w:lineRule="exact"/>
        <w:ind w:left="0" w:right="0" w:firstLine="620"/>
        <w:jc w:val="left"/>
        <w:rPr>
          <w:rFonts w:hint="eastAsia" w:ascii="宋体" w:hAnsi="宋体" w:eastAsia="宋体" w:cs="宋体"/>
          <w:color w:val="auto"/>
          <w:spacing w:val="0"/>
          <w:w w:val="100"/>
          <w:position w:val="0"/>
        </w:rPr>
      </w:pPr>
      <w:bookmarkStart w:id="73" w:name="bookmark75"/>
      <w:bookmarkEnd w:id="73"/>
      <w:r>
        <w:rPr>
          <w:rFonts w:hint="eastAsia" w:ascii="宋体" w:hAnsi="宋体" w:eastAsia="宋体" w:cs="宋体"/>
          <w:color w:val="auto"/>
          <w:spacing w:val="0"/>
          <w:w w:val="100"/>
          <w:position w:val="0"/>
        </w:rPr>
        <w:t>年末结转和结余：指单位按有关规定结转到下年或以后年度继续使用的资金。</w:t>
      </w:r>
    </w:p>
    <w:p w14:paraId="3016842A">
      <w:pPr>
        <w:pStyle w:val="13"/>
        <w:keepNext w:val="0"/>
        <w:keepLines w:val="0"/>
        <w:widowControl w:val="0"/>
        <w:numPr>
          <w:ilvl w:val="0"/>
          <w:numId w:val="6"/>
        </w:numPr>
        <w:shd w:val="clear" w:color="auto" w:fill="auto"/>
        <w:tabs>
          <w:tab w:val="left" w:pos="1075"/>
        </w:tabs>
        <w:bidi w:val="0"/>
        <w:spacing w:before="0" w:after="0" w:line="582" w:lineRule="exact"/>
        <w:ind w:left="0" w:right="0" w:firstLine="620"/>
        <w:jc w:val="left"/>
        <w:rPr>
          <w:rFonts w:hint="eastAsia" w:ascii="宋体" w:hAnsi="宋体" w:eastAsia="宋体" w:cs="宋体"/>
          <w:color w:val="auto"/>
        </w:rPr>
      </w:pPr>
      <w:bookmarkStart w:id="74" w:name="bookmark76"/>
      <w:bookmarkEnd w:id="74"/>
      <w:r>
        <w:rPr>
          <w:rFonts w:hint="eastAsia" w:ascii="宋体" w:hAnsi="宋体" w:eastAsia="宋体" w:cs="宋体"/>
          <w:color w:val="auto"/>
          <w:spacing w:val="0"/>
          <w:w w:val="100"/>
          <w:position w:val="0"/>
        </w:rPr>
        <w:t>一般公共服务支出：反映政府提供一般公共服务的支出。</w:t>
      </w:r>
    </w:p>
    <w:p w14:paraId="15352870">
      <w:pPr>
        <w:pStyle w:val="13"/>
        <w:keepNext w:val="0"/>
        <w:keepLines w:val="0"/>
        <w:widowControl w:val="0"/>
        <w:numPr>
          <w:ilvl w:val="0"/>
          <w:numId w:val="6"/>
        </w:numPr>
        <w:shd w:val="clear" w:color="auto" w:fill="auto"/>
        <w:tabs>
          <w:tab w:val="left" w:pos="1165"/>
        </w:tabs>
        <w:bidi w:val="0"/>
        <w:spacing w:before="0" w:after="0" w:line="582" w:lineRule="exact"/>
        <w:ind w:left="0" w:right="0" w:firstLine="620"/>
        <w:jc w:val="left"/>
        <w:rPr>
          <w:rFonts w:hint="eastAsia" w:ascii="宋体" w:hAnsi="宋体" w:eastAsia="宋体" w:cs="宋体"/>
          <w:color w:val="auto"/>
          <w:spacing w:val="0"/>
          <w:w w:val="100"/>
          <w:position w:val="0"/>
        </w:rPr>
      </w:pPr>
      <w:bookmarkStart w:id="75" w:name="bookmark77"/>
      <w:bookmarkEnd w:id="75"/>
      <w:r>
        <w:rPr>
          <w:rFonts w:hint="eastAsia" w:ascii="宋体" w:hAnsi="宋体" w:eastAsia="宋体" w:cs="宋体"/>
          <w:color w:val="auto"/>
          <w:spacing w:val="0"/>
          <w:w w:val="100"/>
          <w:position w:val="0"/>
        </w:rPr>
        <w:t>公共安全支出：反映政府维护社会公共安全方面的支出。</w:t>
      </w:r>
    </w:p>
    <w:p w14:paraId="1C8F113F">
      <w:pPr>
        <w:pStyle w:val="13"/>
        <w:keepNext w:val="0"/>
        <w:keepLines w:val="0"/>
        <w:widowControl w:val="0"/>
        <w:numPr>
          <w:ilvl w:val="0"/>
          <w:numId w:val="6"/>
        </w:numPr>
        <w:shd w:val="clear" w:color="auto" w:fill="auto"/>
        <w:tabs>
          <w:tab w:val="left" w:pos="1175"/>
        </w:tabs>
        <w:bidi w:val="0"/>
        <w:spacing w:before="0" w:after="0" w:line="570" w:lineRule="exact"/>
        <w:ind w:left="0" w:right="0" w:firstLine="640"/>
        <w:jc w:val="left"/>
        <w:rPr>
          <w:rFonts w:hint="eastAsia" w:ascii="宋体" w:hAnsi="宋体" w:eastAsia="宋体" w:cs="宋体"/>
          <w:color w:val="auto"/>
        </w:rPr>
      </w:pPr>
      <w:bookmarkStart w:id="76" w:name="bookmark78"/>
      <w:bookmarkEnd w:id="76"/>
      <w:r>
        <w:rPr>
          <w:rFonts w:hint="eastAsia" w:ascii="宋体" w:hAnsi="宋体" w:eastAsia="宋体" w:cs="宋体"/>
          <w:color w:val="auto"/>
          <w:spacing w:val="0"/>
          <w:w w:val="100"/>
          <w:position w:val="0"/>
        </w:rPr>
        <w:t>文化旅游体育与传媒支出：反映政府在文化、旅游、文物、体育、广播电视、电影、新闻出版等方面的支出。</w:t>
      </w:r>
    </w:p>
    <w:p w14:paraId="1C507225">
      <w:pPr>
        <w:pStyle w:val="13"/>
        <w:keepNext w:val="0"/>
        <w:keepLines w:val="0"/>
        <w:widowControl w:val="0"/>
        <w:numPr>
          <w:ilvl w:val="0"/>
          <w:numId w:val="6"/>
        </w:numPr>
        <w:shd w:val="clear" w:color="auto" w:fill="auto"/>
        <w:tabs>
          <w:tab w:val="left" w:pos="1175"/>
        </w:tabs>
        <w:bidi w:val="0"/>
        <w:spacing w:before="0" w:after="0" w:line="615" w:lineRule="exact"/>
        <w:ind w:left="0" w:right="0" w:firstLine="640"/>
        <w:jc w:val="left"/>
        <w:rPr>
          <w:rFonts w:hint="eastAsia" w:ascii="宋体" w:hAnsi="宋体" w:eastAsia="宋体" w:cs="宋体"/>
          <w:color w:val="auto"/>
        </w:rPr>
      </w:pPr>
      <w:bookmarkStart w:id="77" w:name="bookmark79"/>
      <w:bookmarkEnd w:id="77"/>
      <w:r>
        <w:rPr>
          <w:rFonts w:hint="eastAsia" w:ascii="宋体" w:hAnsi="宋体" w:eastAsia="宋体" w:cs="宋体"/>
          <w:color w:val="auto"/>
          <w:spacing w:val="0"/>
          <w:w w:val="100"/>
          <w:position w:val="0"/>
        </w:rPr>
        <w:t>社会保障和就业支出：反映政府在社会保障与就业方面的支出。</w:t>
      </w:r>
    </w:p>
    <w:p w14:paraId="13D07982">
      <w:pPr>
        <w:pStyle w:val="13"/>
        <w:keepNext w:val="0"/>
        <w:keepLines w:val="0"/>
        <w:widowControl w:val="0"/>
        <w:numPr>
          <w:ilvl w:val="0"/>
          <w:numId w:val="6"/>
        </w:numPr>
        <w:shd w:val="clear" w:color="auto" w:fill="auto"/>
        <w:tabs>
          <w:tab w:val="left" w:pos="1185"/>
        </w:tabs>
        <w:bidi w:val="0"/>
        <w:spacing w:before="0" w:after="0" w:line="592" w:lineRule="exact"/>
        <w:ind w:left="0" w:right="0" w:firstLine="640"/>
        <w:jc w:val="left"/>
        <w:rPr>
          <w:rFonts w:hint="eastAsia" w:ascii="宋体" w:hAnsi="宋体" w:eastAsia="宋体" w:cs="宋体"/>
          <w:color w:val="auto"/>
        </w:rPr>
      </w:pPr>
      <w:bookmarkStart w:id="78" w:name="bookmark80"/>
      <w:bookmarkEnd w:id="78"/>
      <w:r>
        <w:rPr>
          <w:rFonts w:hint="eastAsia" w:ascii="宋体" w:hAnsi="宋体" w:eastAsia="宋体" w:cs="宋体"/>
          <w:color w:val="auto"/>
          <w:spacing w:val="0"/>
          <w:w w:val="100"/>
          <w:position w:val="0"/>
        </w:rPr>
        <w:t>卫生健康支出：反映政府在卫生健康方面的支出。</w:t>
      </w:r>
    </w:p>
    <w:p w14:paraId="576BF3BF">
      <w:pPr>
        <w:pStyle w:val="13"/>
        <w:keepNext w:val="0"/>
        <w:keepLines w:val="0"/>
        <w:widowControl w:val="0"/>
        <w:numPr>
          <w:ilvl w:val="0"/>
          <w:numId w:val="6"/>
        </w:numPr>
        <w:shd w:val="clear" w:color="auto" w:fill="auto"/>
        <w:tabs>
          <w:tab w:val="left" w:pos="1185"/>
        </w:tabs>
        <w:bidi w:val="0"/>
        <w:spacing w:before="0" w:after="0" w:line="592" w:lineRule="exact"/>
        <w:ind w:left="0" w:right="0" w:firstLine="640"/>
        <w:jc w:val="left"/>
        <w:rPr>
          <w:rFonts w:hint="eastAsia" w:ascii="宋体" w:hAnsi="宋体" w:eastAsia="宋体" w:cs="宋体"/>
          <w:color w:val="auto"/>
        </w:rPr>
      </w:pPr>
      <w:bookmarkStart w:id="79" w:name="bookmark81"/>
      <w:bookmarkEnd w:id="79"/>
      <w:r>
        <w:rPr>
          <w:rFonts w:hint="eastAsia" w:ascii="宋体" w:hAnsi="宋体" w:eastAsia="宋体" w:cs="宋体"/>
          <w:color w:val="auto"/>
          <w:spacing w:val="0"/>
          <w:w w:val="100"/>
          <w:position w:val="0"/>
        </w:rPr>
        <w:t>城乡社区支出：反映政府城乡社区事务支出。</w:t>
      </w:r>
    </w:p>
    <w:p w14:paraId="5CEFB10A">
      <w:pPr>
        <w:pStyle w:val="13"/>
        <w:keepNext w:val="0"/>
        <w:keepLines w:val="0"/>
        <w:widowControl w:val="0"/>
        <w:numPr>
          <w:ilvl w:val="0"/>
          <w:numId w:val="6"/>
        </w:numPr>
        <w:shd w:val="clear" w:color="auto" w:fill="auto"/>
        <w:tabs>
          <w:tab w:val="left" w:pos="1185"/>
        </w:tabs>
        <w:bidi w:val="0"/>
        <w:spacing w:before="0" w:after="0" w:line="592" w:lineRule="exact"/>
        <w:ind w:left="0" w:right="0" w:firstLine="640"/>
        <w:jc w:val="left"/>
        <w:rPr>
          <w:rFonts w:hint="eastAsia" w:ascii="宋体" w:hAnsi="宋体" w:eastAsia="宋体" w:cs="宋体"/>
          <w:color w:val="auto"/>
        </w:rPr>
      </w:pPr>
      <w:bookmarkStart w:id="80" w:name="bookmark82"/>
      <w:bookmarkEnd w:id="80"/>
      <w:r>
        <w:rPr>
          <w:rFonts w:hint="eastAsia" w:ascii="宋体" w:hAnsi="宋体" w:eastAsia="宋体" w:cs="宋体"/>
          <w:color w:val="auto"/>
          <w:spacing w:val="0"/>
          <w:w w:val="100"/>
          <w:position w:val="0"/>
        </w:rPr>
        <w:t>农林水支出：反映政府农林水事务支出。</w:t>
      </w:r>
    </w:p>
    <w:p w14:paraId="3D35B2B1">
      <w:pPr>
        <w:pStyle w:val="13"/>
        <w:keepNext w:val="0"/>
        <w:keepLines w:val="0"/>
        <w:widowControl w:val="0"/>
        <w:numPr>
          <w:ilvl w:val="0"/>
          <w:numId w:val="6"/>
        </w:numPr>
        <w:shd w:val="clear" w:color="auto" w:fill="auto"/>
        <w:tabs>
          <w:tab w:val="left" w:pos="1190"/>
        </w:tabs>
        <w:bidi w:val="0"/>
        <w:spacing w:before="0" w:after="0" w:line="592" w:lineRule="exact"/>
        <w:ind w:left="0" w:right="0" w:firstLine="640"/>
        <w:jc w:val="left"/>
        <w:rPr>
          <w:rFonts w:hint="eastAsia" w:ascii="宋体" w:hAnsi="宋体" w:eastAsia="宋体" w:cs="宋体"/>
          <w:color w:val="auto"/>
        </w:rPr>
      </w:pPr>
      <w:bookmarkStart w:id="81" w:name="bookmark83"/>
      <w:bookmarkEnd w:id="81"/>
      <w:r>
        <w:rPr>
          <w:rFonts w:hint="eastAsia" w:ascii="宋体" w:hAnsi="宋体" w:eastAsia="宋体" w:cs="宋体"/>
          <w:color w:val="auto"/>
          <w:spacing w:val="0"/>
          <w:w w:val="100"/>
          <w:position w:val="0"/>
        </w:rPr>
        <w:t>住房保障支出/住房公积金：反映行政事业单位按人力资源和社会保障部、财政部规定的基本工资和津贴补贴以及规定比例为职工缴纳的住房公积金。</w:t>
      </w:r>
    </w:p>
    <w:p w14:paraId="0CC240DA">
      <w:pPr>
        <w:pStyle w:val="13"/>
        <w:keepNext w:val="0"/>
        <w:keepLines w:val="0"/>
        <w:widowControl w:val="0"/>
        <w:numPr>
          <w:ilvl w:val="0"/>
          <w:numId w:val="6"/>
        </w:numPr>
        <w:shd w:val="clear" w:color="auto" w:fill="auto"/>
        <w:tabs>
          <w:tab w:val="left" w:pos="1190"/>
        </w:tabs>
        <w:bidi w:val="0"/>
        <w:spacing w:before="0" w:after="0" w:line="592" w:lineRule="exact"/>
        <w:ind w:left="0" w:right="0" w:firstLine="640"/>
        <w:jc w:val="left"/>
        <w:rPr>
          <w:rFonts w:hint="eastAsia" w:ascii="宋体" w:hAnsi="宋体" w:eastAsia="宋体" w:cs="宋体"/>
          <w:color w:val="auto"/>
          <w:spacing w:val="0"/>
          <w:w w:val="100"/>
          <w:position w:val="0"/>
        </w:rPr>
      </w:pPr>
      <w:bookmarkStart w:id="82" w:name="bookmark84"/>
      <w:bookmarkEnd w:id="82"/>
      <w:r>
        <w:rPr>
          <w:rFonts w:hint="eastAsia" w:ascii="宋体" w:hAnsi="宋体" w:eastAsia="宋体" w:cs="宋体"/>
          <w:color w:val="auto"/>
          <w:spacing w:val="0"/>
          <w:w w:val="100"/>
          <w:position w:val="0"/>
        </w:rPr>
        <w:t>基本支出：指为保障机构正常运转、完成日常工作任务而发生的人员支出和公用支出。</w:t>
      </w:r>
    </w:p>
    <w:p w14:paraId="480D09D4">
      <w:pPr>
        <w:pStyle w:val="13"/>
        <w:keepNext w:val="0"/>
        <w:keepLines w:val="0"/>
        <w:widowControl w:val="0"/>
        <w:numPr>
          <w:ilvl w:val="0"/>
          <w:numId w:val="6"/>
        </w:numPr>
        <w:shd w:val="clear" w:color="auto" w:fill="auto"/>
        <w:tabs>
          <w:tab w:val="left" w:pos="1190"/>
        </w:tabs>
        <w:bidi w:val="0"/>
        <w:spacing w:before="0" w:after="0" w:line="615" w:lineRule="exact"/>
        <w:ind w:left="0" w:right="0" w:firstLine="640"/>
        <w:jc w:val="left"/>
        <w:rPr>
          <w:rFonts w:hint="eastAsia" w:ascii="宋体" w:hAnsi="宋体" w:eastAsia="宋体" w:cs="宋体"/>
          <w:color w:val="auto"/>
        </w:rPr>
      </w:pPr>
      <w:bookmarkStart w:id="83" w:name="bookmark85"/>
      <w:bookmarkEnd w:id="83"/>
      <w:r>
        <w:rPr>
          <w:rFonts w:hint="eastAsia" w:ascii="宋体" w:hAnsi="宋体" w:eastAsia="宋体" w:cs="宋体"/>
          <w:color w:val="auto"/>
          <w:spacing w:val="0"/>
          <w:w w:val="100"/>
          <w:position w:val="0"/>
        </w:rPr>
        <w:t>项目支出：指在基本支出之外为完成特定行政任务和事业发展目标所发生的支出。</w:t>
      </w:r>
    </w:p>
    <w:p w14:paraId="31877A35">
      <w:pPr>
        <w:pStyle w:val="13"/>
        <w:keepNext w:val="0"/>
        <w:keepLines w:val="0"/>
        <w:widowControl w:val="0"/>
        <w:numPr>
          <w:ilvl w:val="0"/>
          <w:numId w:val="6"/>
        </w:numPr>
        <w:shd w:val="clear" w:color="auto" w:fill="auto"/>
        <w:tabs>
          <w:tab w:val="left" w:pos="1190"/>
        </w:tabs>
        <w:bidi w:val="0"/>
        <w:spacing w:before="0" w:after="0" w:line="615" w:lineRule="exact"/>
        <w:ind w:left="0" w:right="0" w:firstLine="640"/>
        <w:jc w:val="left"/>
        <w:rPr>
          <w:rFonts w:hint="eastAsia" w:ascii="宋体" w:hAnsi="宋体" w:eastAsia="宋体" w:cs="宋体"/>
          <w:color w:val="auto"/>
        </w:rPr>
      </w:pPr>
      <w:bookmarkStart w:id="84" w:name="bookmark86"/>
      <w:bookmarkEnd w:id="84"/>
      <w:r>
        <w:rPr>
          <w:rFonts w:hint="eastAsia" w:ascii="宋体" w:hAnsi="宋体" w:eastAsia="宋体" w:cs="宋体"/>
          <w:color w:val="auto"/>
          <w:spacing w:val="0"/>
          <w:w w:val="100"/>
          <w:position w:val="0"/>
        </w:rPr>
        <w:t>经营支出：指事业单位在专业业务活动及其辅助活动之外开展非独立核算经营活动发生的支出。</w:t>
      </w:r>
    </w:p>
    <w:p w14:paraId="199A9B20">
      <w:pPr>
        <w:pStyle w:val="13"/>
        <w:keepNext w:val="0"/>
        <w:keepLines w:val="0"/>
        <w:widowControl w:val="0"/>
        <w:numPr>
          <w:ilvl w:val="0"/>
          <w:numId w:val="6"/>
        </w:numPr>
        <w:shd w:val="clear" w:color="auto" w:fill="auto"/>
        <w:tabs>
          <w:tab w:val="left" w:pos="1190"/>
        </w:tabs>
        <w:bidi w:val="0"/>
        <w:spacing w:before="0" w:after="0" w:line="582" w:lineRule="exact"/>
        <w:ind w:left="0" w:right="0" w:firstLine="640"/>
        <w:jc w:val="left"/>
        <w:rPr>
          <w:rFonts w:hint="eastAsia" w:ascii="宋体" w:hAnsi="宋体" w:eastAsia="宋体" w:cs="宋体"/>
          <w:color w:val="auto"/>
        </w:rPr>
      </w:pPr>
      <w:bookmarkStart w:id="85" w:name="bookmark87"/>
      <w:bookmarkEnd w:id="85"/>
      <w:r>
        <w:rPr>
          <w:rFonts w:hint="eastAsia" w:ascii="宋体" w:hAnsi="宋体" w:eastAsia="宋体" w:cs="宋体"/>
          <w:color w:val="auto"/>
          <w:spacing w:val="0"/>
          <w:w w:val="100"/>
          <w:position w:val="0"/>
        </w:rPr>
        <w:t>“三公"经费：指部门用财政拨款安排的因公出国（境）费、公务用车购置及运行</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和公务接待</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。其中，因公出国（境）费反映单位公务出国（境）的国际旅</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、国外城市间交通</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、住宿费、伙食</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、培训费、公杂费等支出；公务用车购置及运行费反映单位公务用车车辆购置支出（含车辆购置税）及租用费、燃料</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、维修</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、过路过桥</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、保险</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等支出；公务接待</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反映单位按规定开支的各类公务接待（含外宾接待）支出。</w:t>
      </w:r>
    </w:p>
    <w:p w14:paraId="2525117E">
      <w:pPr>
        <w:pStyle w:val="13"/>
        <w:keepNext w:val="0"/>
        <w:keepLines w:val="0"/>
        <w:widowControl w:val="0"/>
        <w:numPr>
          <w:ilvl w:val="0"/>
          <w:numId w:val="6"/>
        </w:numPr>
        <w:shd w:val="clear" w:color="auto" w:fill="auto"/>
        <w:bidi w:val="0"/>
        <w:spacing w:before="0" w:after="0" w:line="581" w:lineRule="exact"/>
        <w:ind w:left="0" w:right="0" w:firstLine="620"/>
        <w:jc w:val="left"/>
        <w:rPr>
          <w:rFonts w:hint="eastAsia" w:ascii="宋体" w:hAnsi="宋体" w:eastAsia="宋体" w:cs="宋体"/>
          <w:color w:val="auto"/>
        </w:rPr>
      </w:pPr>
      <w:bookmarkStart w:id="86" w:name="bookmark88"/>
      <w:bookmarkEnd w:id="86"/>
      <w:r>
        <w:rPr>
          <w:rFonts w:hint="eastAsia" w:ascii="宋体" w:hAnsi="宋体" w:eastAsia="宋体" w:cs="宋体"/>
          <w:color w:val="auto"/>
          <w:spacing w:val="0"/>
          <w:w w:val="100"/>
          <w:position w:val="0"/>
        </w:rPr>
        <w:t>机关运行经费：为保障行政单位（含参照公务员法管理的事业单位）运行用于购买货物和服务的各项资金，包括办公及印刷</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、邮电费、差旅</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、会议费、福利</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、日常维修</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、专用材料及一般设备购置费、办公用房水电费、办公用房取暖费、办公用房物业管理费、公务用车运行维护费以及其他费用。</w:t>
      </w:r>
    </w:p>
    <w:p w14:paraId="2AA324C1">
      <w:pPr>
        <w:pStyle w:val="14"/>
        <w:keepNext/>
        <w:keepLines/>
        <w:widowControl w:val="0"/>
        <w:shd w:val="clear" w:color="auto" w:fill="auto"/>
        <w:bidi w:val="0"/>
        <w:spacing w:before="0" w:after="0" w:line="240" w:lineRule="auto"/>
        <w:ind w:left="0" w:right="0" w:firstLine="0"/>
        <w:jc w:val="left"/>
        <w:outlineLvl w:val="9"/>
        <w:rPr>
          <w:rFonts w:hint="eastAsia" w:ascii="宋体" w:hAnsi="宋体" w:eastAsia="宋体" w:cs="宋体"/>
          <w:color w:val="auto"/>
          <w:spacing w:val="0"/>
          <w:w w:val="100"/>
          <w:position w:val="0"/>
        </w:rPr>
        <w:sectPr>
          <w:footerReference r:id="rId12" w:type="first"/>
          <w:footerReference r:id="rId11" w:type="default"/>
          <w:footnotePr>
            <w:numFmt w:val="decimal"/>
          </w:footnotePr>
          <w:pgSz w:w="11900" w:h="16840"/>
          <w:pgMar w:top="1440" w:right="1800" w:bottom="1440" w:left="1800" w:header="0" w:footer="567" w:gutter="0"/>
          <w:cols w:space="720" w:num="1"/>
          <w:titlePg/>
          <w:rtlGutter w:val="0"/>
          <w:docGrid w:linePitch="360" w:charSpace="0"/>
        </w:sectPr>
      </w:pPr>
      <w:bookmarkStart w:id="87" w:name="bookmark90"/>
      <w:bookmarkStart w:id="88" w:name="bookmark89"/>
      <w:bookmarkStart w:id="89" w:name="bookmark91"/>
    </w:p>
    <w:p w14:paraId="52D0FFC6">
      <w:pPr>
        <w:pStyle w:val="14"/>
        <w:keepNext/>
        <w:keepLines/>
        <w:widowControl w:val="0"/>
        <w:shd w:val="clear" w:color="auto" w:fill="auto"/>
        <w:bidi w:val="0"/>
        <w:spacing w:before="0" w:after="0" w:line="240" w:lineRule="auto"/>
        <w:ind w:left="0" w:right="0" w:firstLine="0"/>
        <w:jc w:val="left"/>
        <w:outlineLvl w:val="9"/>
        <w:rPr>
          <w:rFonts w:hint="eastAsia" w:ascii="宋体" w:hAnsi="宋体" w:eastAsia="宋体" w:cs="宋体"/>
          <w:color w:val="auto"/>
          <w:spacing w:val="0"/>
          <w:w w:val="100"/>
          <w:position w:val="0"/>
          <w:lang w:eastAsia="zh-CN"/>
        </w:rPr>
      </w:pPr>
    </w:p>
    <w:p w14:paraId="2EDD3DB0">
      <w:pPr>
        <w:pStyle w:val="14"/>
        <w:keepNext/>
        <w:keepLines/>
        <w:widowControl w:val="0"/>
        <w:shd w:val="clear" w:color="auto" w:fill="auto"/>
        <w:bidi w:val="0"/>
        <w:spacing w:before="80" w:after="220" w:line="240" w:lineRule="auto"/>
        <w:ind w:left="0" w:right="0" w:firstLine="0"/>
        <w:jc w:val="center"/>
        <w:rPr>
          <w:rFonts w:hint="eastAsia" w:ascii="宋体" w:hAnsi="宋体" w:eastAsia="宋体" w:cs="宋体"/>
          <w:color w:val="auto"/>
        </w:rPr>
      </w:pPr>
      <w:bookmarkStart w:id="90" w:name="_Toc28582"/>
      <w:r>
        <w:rPr>
          <w:rFonts w:hint="eastAsia" w:ascii="宋体" w:hAnsi="宋体" w:eastAsia="宋体" w:cs="宋体"/>
          <w:b/>
          <w:bCs/>
          <w:color w:val="auto"/>
          <w:spacing w:val="0"/>
          <w:w w:val="100"/>
          <w:position w:val="0"/>
        </w:rPr>
        <w:t>第四部分附件</w:t>
      </w:r>
      <w:bookmarkEnd w:id="87"/>
      <w:bookmarkEnd w:id="88"/>
      <w:bookmarkEnd w:id="89"/>
      <w:bookmarkEnd w:id="90"/>
    </w:p>
    <w:p w14:paraId="3A1672D7">
      <w:pPr>
        <w:pStyle w:val="13"/>
        <w:keepNext w:val="0"/>
        <w:keepLines w:val="0"/>
        <w:widowControl w:val="0"/>
        <w:shd w:val="clear" w:color="auto" w:fill="auto"/>
        <w:bidi w:val="0"/>
        <w:spacing w:before="0" w:after="640" w:line="240" w:lineRule="auto"/>
        <w:ind w:left="0" w:right="0" w:firstLine="0"/>
        <w:jc w:val="left"/>
        <w:outlineLvl w:val="1"/>
        <w:rPr>
          <w:rFonts w:hint="eastAsia" w:ascii="宋体" w:hAnsi="宋体" w:eastAsia="宋体" w:cs="宋体"/>
          <w:color w:val="auto"/>
        </w:rPr>
      </w:pPr>
      <w:bookmarkStart w:id="91" w:name="_Toc9570"/>
      <w:r>
        <w:rPr>
          <w:rFonts w:hint="eastAsia" w:ascii="宋体" w:hAnsi="宋体" w:eastAsia="宋体" w:cs="宋体"/>
          <w:color w:val="auto"/>
          <w:spacing w:val="0"/>
          <w:w w:val="100"/>
          <w:position w:val="0"/>
        </w:rPr>
        <w:t>附件</w:t>
      </w:r>
      <w:r>
        <w:rPr>
          <w:rFonts w:hint="eastAsia" w:ascii="宋体" w:hAnsi="宋体" w:eastAsia="宋体" w:cs="宋体"/>
          <w:color w:val="auto"/>
          <w:spacing w:val="0"/>
          <w:w w:val="100"/>
          <w:position w:val="0"/>
          <w:lang w:val="zh-CN" w:eastAsia="zh-CN" w:bidi="zh-CN"/>
        </w:rPr>
        <w:t>1</w:t>
      </w:r>
      <w:bookmarkEnd w:id="91"/>
    </w:p>
    <w:p w14:paraId="7C0B1C98">
      <w:pPr>
        <w:pStyle w:val="14"/>
        <w:keepNext/>
        <w:keepLines/>
        <w:widowControl w:val="0"/>
        <w:shd w:val="clear" w:color="auto" w:fill="auto"/>
        <w:bidi w:val="0"/>
        <w:spacing w:before="0" w:after="840" w:line="240" w:lineRule="auto"/>
        <w:ind w:left="0" w:right="0" w:firstLine="0"/>
        <w:jc w:val="left"/>
        <w:rPr>
          <w:rFonts w:hint="eastAsia" w:ascii="宋体" w:hAnsi="宋体" w:eastAsia="宋体" w:cs="宋体"/>
          <w:color w:val="auto"/>
        </w:rPr>
      </w:pPr>
      <w:bookmarkStart w:id="92" w:name="bookmark94"/>
      <w:bookmarkStart w:id="93" w:name="_Toc12611"/>
      <w:bookmarkStart w:id="94" w:name="bookmark92"/>
      <w:bookmarkStart w:id="95" w:name="bookmark93"/>
      <w:r>
        <w:rPr>
          <w:rFonts w:hint="eastAsia" w:ascii="宋体" w:hAnsi="宋体" w:eastAsia="宋体" w:cs="宋体"/>
          <w:color w:val="auto"/>
          <w:spacing w:val="0"/>
          <w:w w:val="100"/>
          <w:position w:val="0"/>
        </w:rPr>
        <w:t>卫子镇</w:t>
      </w:r>
      <w:r>
        <w:rPr>
          <w:rFonts w:hint="eastAsia" w:ascii="宋体" w:hAnsi="宋体" w:eastAsia="宋体" w:cs="宋体"/>
          <w:color w:val="auto"/>
          <w:spacing w:val="0"/>
          <w:w w:val="100"/>
          <w:position w:val="0"/>
          <w:sz w:val="42"/>
          <w:szCs w:val="42"/>
        </w:rPr>
        <w:t>2020</w:t>
      </w:r>
      <w:r>
        <w:rPr>
          <w:rFonts w:hint="eastAsia" w:ascii="宋体" w:hAnsi="宋体" w:eastAsia="宋体" w:cs="宋体"/>
          <w:color w:val="auto"/>
          <w:spacing w:val="0"/>
          <w:w w:val="100"/>
          <w:position w:val="0"/>
        </w:rPr>
        <w:t>年部门整体支出绩效评价报告</w:t>
      </w:r>
      <w:bookmarkEnd w:id="92"/>
      <w:bookmarkEnd w:id="93"/>
      <w:bookmarkEnd w:id="94"/>
      <w:bookmarkEnd w:id="95"/>
    </w:p>
    <w:p w14:paraId="5A5D3EDA">
      <w:pPr>
        <w:pStyle w:val="13"/>
        <w:keepNext w:val="0"/>
        <w:keepLines w:val="0"/>
        <w:widowControl w:val="0"/>
        <w:shd w:val="clear" w:color="auto" w:fill="auto"/>
        <w:bidi w:val="0"/>
        <w:spacing w:before="0" w:after="0" w:line="577" w:lineRule="exact"/>
        <w:ind w:left="0" w:right="0" w:firstLine="680"/>
        <w:jc w:val="left"/>
        <w:outlineLvl w:val="1"/>
        <w:rPr>
          <w:rFonts w:hint="eastAsia" w:ascii="宋体" w:hAnsi="宋体" w:eastAsia="宋体" w:cs="宋体"/>
          <w:color w:val="auto"/>
        </w:rPr>
      </w:pPr>
      <w:bookmarkStart w:id="96" w:name="_Toc29461"/>
      <w:r>
        <w:rPr>
          <w:rFonts w:hint="eastAsia" w:ascii="宋体" w:hAnsi="宋体" w:eastAsia="宋体" w:cs="宋体"/>
          <w:color w:val="auto"/>
          <w:spacing w:val="0"/>
          <w:w w:val="100"/>
          <w:position w:val="0"/>
        </w:rPr>
        <w:t>一、基本情况</w:t>
      </w:r>
      <w:bookmarkEnd w:id="96"/>
    </w:p>
    <w:p w14:paraId="725073F4">
      <w:pPr>
        <w:pStyle w:val="13"/>
        <w:keepNext w:val="0"/>
        <w:keepLines w:val="0"/>
        <w:widowControl w:val="0"/>
        <w:shd w:val="clear" w:color="auto" w:fill="auto"/>
        <w:tabs>
          <w:tab w:val="left" w:pos="1465"/>
        </w:tabs>
        <w:bidi w:val="0"/>
        <w:spacing w:before="0" w:after="0" w:line="577" w:lineRule="exact"/>
        <w:ind w:left="0" w:right="0" w:firstLine="680"/>
        <w:jc w:val="left"/>
        <w:rPr>
          <w:rFonts w:hint="eastAsia" w:ascii="宋体" w:hAnsi="宋体" w:eastAsia="宋体" w:cs="宋体"/>
          <w:color w:val="auto"/>
        </w:rPr>
      </w:pPr>
      <w:bookmarkStart w:id="97" w:name="bookmark95"/>
      <w:r>
        <w:rPr>
          <w:rFonts w:hint="eastAsia" w:ascii="宋体" w:hAnsi="宋体" w:eastAsia="宋体" w:cs="宋体"/>
          <w:color w:val="auto"/>
          <w:spacing w:val="0"/>
          <w:w w:val="100"/>
          <w:position w:val="0"/>
        </w:rPr>
        <w:t>（</w:t>
      </w:r>
      <w:bookmarkEnd w:id="97"/>
      <w:r>
        <w:rPr>
          <w:rFonts w:hint="eastAsia" w:ascii="宋体" w:hAnsi="宋体" w:eastAsia="宋体" w:cs="宋体"/>
          <w:color w:val="auto"/>
          <w:spacing w:val="0"/>
          <w:w w:val="100"/>
          <w:position w:val="0"/>
        </w:rPr>
        <w:t>一）机构职能</w:t>
      </w:r>
    </w:p>
    <w:p w14:paraId="06D9A8D0">
      <w:pPr>
        <w:pStyle w:val="13"/>
        <w:keepNext w:val="0"/>
        <w:keepLines w:val="0"/>
        <w:widowControl w:val="0"/>
        <w:shd w:val="clear" w:color="auto" w:fill="auto"/>
        <w:tabs>
          <w:tab w:val="left" w:pos="1088"/>
        </w:tabs>
        <w:bidi w:val="0"/>
        <w:spacing w:before="0" w:after="0" w:line="577" w:lineRule="exact"/>
        <w:ind w:left="0" w:right="0" w:firstLine="640"/>
        <w:jc w:val="left"/>
        <w:rPr>
          <w:rFonts w:hint="eastAsia" w:ascii="宋体" w:hAnsi="宋体" w:eastAsia="宋体" w:cs="宋体"/>
          <w:color w:val="auto"/>
        </w:rPr>
      </w:pPr>
      <w:bookmarkStart w:id="98" w:name="bookmark96"/>
      <w:r>
        <w:rPr>
          <w:rFonts w:hint="eastAsia" w:ascii="宋体" w:hAnsi="宋体" w:eastAsia="宋体" w:cs="宋体"/>
          <w:color w:val="auto"/>
          <w:spacing w:val="0"/>
          <w:w w:val="100"/>
          <w:position w:val="0"/>
        </w:rPr>
        <w:t>1</w:t>
      </w:r>
      <w:bookmarkEnd w:id="98"/>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主要职能。一是按照年初预算，严格预算执行。在保证人员工资正常发放、政府工作正常运转、社会稳定、脱贫攻坚工作顺利进行的基础上，用有限的资金促进当地社会事业的健康发展，坚持预算支出，保证支出与预算同步；二是保障资金的安全、有限使用，把项目资金管好，让其发挥最大效益。</w:t>
      </w:r>
    </w:p>
    <w:p w14:paraId="55E8BD4C">
      <w:pPr>
        <w:pStyle w:val="13"/>
        <w:keepNext w:val="0"/>
        <w:keepLines w:val="0"/>
        <w:widowControl w:val="0"/>
        <w:shd w:val="clear" w:color="auto" w:fill="auto"/>
        <w:tabs>
          <w:tab w:val="left" w:pos="1088"/>
        </w:tabs>
        <w:bidi w:val="0"/>
        <w:spacing w:before="0" w:after="160" w:line="615" w:lineRule="exact"/>
        <w:ind w:left="0" w:right="0" w:firstLine="640"/>
        <w:jc w:val="left"/>
        <w:rPr>
          <w:rFonts w:hint="eastAsia" w:ascii="宋体" w:hAnsi="宋体" w:eastAsia="宋体" w:cs="宋体"/>
          <w:color w:val="auto"/>
        </w:rPr>
      </w:pPr>
      <w:bookmarkStart w:id="99" w:name="bookmark97"/>
      <w:r>
        <w:rPr>
          <w:rFonts w:hint="eastAsia" w:ascii="宋体" w:hAnsi="宋体" w:eastAsia="宋体" w:cs="宋体"/>
          <w:color w:val="auto"/>
          <w:spacing w:val="0"/>
          <w:w w:val="100"/>
          <w:position w:val="0"/>
        </w:rPr>
        <w:t>2</w:t>
      </w:r>
      <w:bookmarkEnd w:id="99"/>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机构情况。我镇只有一个独立的预算机构-卫子镇人民政府。</w:t>
      </w:r>
    </w:p>
    <w:p w14:paraId="59C4190A">
      <w:pPr>
        <w:pStyle w:val="13"/>
        <w:keepNext w:val="0"/>
        <w:keepLines w:val="0"/>
        <w:widowControl w:val="0"/>
        <w:shd w:val="clear" w:color="auto" w:fill="auto"/>
        <w:tabs>
          <w:tab w:val="left" w:pos="1465"/>
        </w:tabs>
        <w:bidi w:val="0"/>
        <w:spacing w:before="0" w:after="0" w:line="240" w:lineRule="auto"/>
        <w:ind w:left="0" w:right="0" w:firstLine="680"/>
        <w:jc w:val="left"/>
        <w:rPr>
          <w:rFonts w:hint="eastAsia" w:ascii="宋体" w:hAnsi="宋体" w:eastAsia="宋体" w:cs="宋体"/>
          <w:color w:val="auto"/>
        </w:rPr>
      </w:pPr>
      <w:bookmarkStart w:id="100" w:name="bookmark98"/>
      <w:r>
        <w:rPr>
          <w:rFonts w:hint="eastAsia" w:ascii="宋体" w:hAnsi="宋体" w:eastAsia="宋体" w:cs="宋体"/>
          <w:color w:val="auto"/>
          <w:spacing w:val="0"/>
          <w:w w:val="100"/>
          <w:position w:val="0"/>
        </w:rPr>
        <w:t>（</w:t>
      </w:r>
      <w:bookmarkEnd w:id="100"/>
      <w:r>
        <w:rPr>
          <w:rFonts w:hint="eastAsia" w:ascii="宋体" w:hAnsi="宋体" w:eastAsia="宋体" w:cs="宋体"/>
          <w:color w:val="auto"/>
          <w:spacing w:val="0"/>
          <w:w w:val="100"/>
          <w:position w:val="0"/>
        </w:rPr>
        <w:t>二）人员概况</w:t>
      </w:r>
    </w:p>
    <w:p w14:paraId="632ACE48">
      <w:pPr>
        <w:pStyle w:val="13"/>
        <w:keepNext w:val="0"/>
        <w:keepLines w:val="0"/>
        <w:widowControl w:val="0"/>
        <w:shd w:val="clear" w:color="auto" w:fill="auto"/>
        <w:bidi w:val="0"/>
        <w:spacing w:before="0" w:after="180" w:line="576" w:lineRule="exact"/>
        <w:ind w:left="0" w:right="0" w:firstLine="640"/>
        <w:jc w:val="left"/>
        <w:rPr>
          <w:rFonts w:hint="eastAsia" w:ascii="宋体" w:hAnsi="宋体" w:eastAsia="宋体" w:cs="宋体"/>
          <w:color w:val="auto"/>
        </w:rPr>
      </w:pPr>
      <w:r>
        <w:rPr>
          <w:rFonts w:hint="eastAsia" w:ascii="宋体" w:hAnsi="宋体" w:eastAsia="宋体" w:cs="宋体"/>
          <w:color w:val="auto"/>
          <w:spacing w:val="0"/>
          <w:w w:val="100"/>
          <w:position w:val="0"/>
        </w:rPr>
        <w:t>总编制81名，其中行政编制31名，工勤编制11人，其他事业编制39人。2020年预算实有在职编制内人员81人，2019年预算实有在职编制内人员31人，比去年人数增加50人，其中公务员31人，工勤编制11人，其他事业编制39人。其他人员共计20人，其中：三支一扶3人，临时炊事员1人，遗属人员16</w:t>
      </w:r>
      <w:r>
        <w:rPr>
          <w:rFonts w:hint="eastAsia" w:ascii="宋体" w:hAnsi="宋体" w:eastAsia="宋体" w:cs="宋体"/>
          <w:color w:val="auto"/>
          <w:spacing w:val="0"/>
          <w:w w:val="100"/>
          <w:position w:val="0"/>
          <w:lang w:val="en-US" w:eastAsia="zh-CN" w:bidi="en-US"/>
        </w:rPr>
        <w:t>人，</w:t>
      </w:r>
      <w:r>
        <w:rPr>
          <w:rFonts w:hint="eastAsia" w:ascii="宋体" w:hAnsi="宋体" w:eastAsia="宋体" w:cs="宋体"/>
          <w:color w:val="auto"/>
          <w:spacing w:val="0"/>
          <w:w w:val="100"/>
          <w:position w:val="0"/>
        </w:rPr>
        <w:t>退休人员46人，其中：行政人员26</w:t>
      </w:r>
      <w:r>
        <w:rPr>
          <w:rFonts w:hint="eastAsia" w:ascii="宋体" w:hAnsi="宋体" w:eastAsia="宋体" w:cs="宋体"/>
          <w:color w:val="auto"/>
          <w:spacing w:val="0"/>
          <w:w w:val="100"/>
          <w:position w:val="0"/>
          <w:lang w:val="en-US" w:eastAsia="zh-CN" w:bidi="en-US"/>
        </w:rPr>
        <w:t>人</w:t>
      </w:r>
      <w:r>
        <w:rPr>
          <w:rFonts w:hint="eastAsia" w:ascii="宋体" w:hAnsi="宋体" w:eastAsia="宋体" w:cs="宋体"/>
          <w:color w:val="auto"/>
          <w:spacing w:val="0"/>
          <w:w w:val="100"/>
          <w:position w:val="0"/>
          <w:lang w:val="en-US" w:eastAsia="en-US" w:bidi="en-US"/>
        </w:rPr>
        <w:t>,</w:t>
      </w:r>
      <w:r>
        <w:rPr>
          <w:rFonts w:hint="eastAsia" w:ascii="宋体" w:hAnsi="宋体" w:eastAsia="宋体" w:cs="宋体"/>
          <w:color w:val="auto"/>
          <w:spacing w:val="0"/>
          <w:w w:val="100"/>
          <w:position w:val="0"/>
        </w:rPr>
        <w:t>事业人员20人。</w:t>
      </w:r>
    </w:p>
    <w:p w14:paraId="06D45CBA">
      <w:pPr>
        <w:pStyle w:val="13"/>
        <w:keepNext w:val="0"/>
        <w:keepLines w:val="0"/>
        <w:widowControl w:val="0"/>
        <w:shd w:val="clear" w:color="auto" w:fill="auto"/>
        <w:bidi w:val="0"/>
        <w:spacing w:before="0" w:after="0" w:line="577" w:lineRule="exact"/>
        <w:ind w:left="0" w:right="0" w:firstLine="600"/>
        <w:jc w:val="left"/>
        <w:outlineLvl w:val="1"/>
        <w:rPr>
          <w:rFonts w:hint="eastAsia" w:ascii="宋体" w:hAnsi="宋体" w:eastAsia="宋体" w:cs="宋体"/>
          <w:color w:val="auto"/>
        </w:rPr>
      </w:pPr>
      <w:bookmarkStart w:id="101" w:name="_Toc30508"/>
      <w:r>
        <w:rPr>
          <w:rFonts w:hint="eastAsia" w:ascii="宋体" w:hAnsi="宋体" w:eastAsia="宋体" w:cs="宋体"/>
          <w:color w:val="auto"/>
          <w:spacing w:val="0"/>
          <w:w w:val="100"/>
          <w:position w:val="0"/>
        </w:rPr>
        <w:t>二、部门财政支出管理情况</w:t>
      </w:r>
      <w:bookmarkEnd w:id="101"/>
    </w:p>
    <w:p w14:paraId="4B452F4A">
      <w:pPr>
        <w:pStyle w:val="13"/>
        <w:keepNext w:val="0"/>
        <w:keepLines w:val="0"/>
        <w:widowControl w:val="0"/>
        <w:shd w:val="clear" w:color="auto" w:fill="auto"/>
        <w:tabs>
          <w:tab w:val="left" w:pos="1575"/>
        </w:tabs>
        <w:bidi w:val="0"/>
        <w:spacing w:before="0" w:after="0" w:line="577" w:lineRule="exact"/>
        <w:ind w:left="0" w:right="0" w:firstLine="780"/>
        <w:jc w:val="left"/>
        <w:rPr>
          <w:rFonts w:hint="eastAsia" w:ascii="宋体" w:hAnsi="宋体" w:eastAsia="宋体" w:cs="宋体"/>
          <w:color w:val="auto"/>
        </w:rPr>
      </w:pPr>
      <w:bookmarkStart w:id="102" w:name="bookmark99"/>
      <w:r>
        <w:rPr>
          <w:rFonts w:hint="eastAsia" w:ascii="宋体" w:hAnsi="宋体" w:eastAsia="宋体" w:cs="宋体"/>
          <w:color w:val="auto"/>
          <w:spacing w:val="0"/>
          <w:w w:val="100"/>
          <w:position w:val="0"/>
        </w:rPr>
        <w:t>（</w:t>
      </w:r>
      <w:bookmarkEnd w:id="102"/>
      <w:r>
        <w:rPr>
          <w:rFonts w:hint="eastAsia" w:ascii="宋体" w:hAnsi="宋体" w:eastAsia="宋体" w:cs="宋体"/>
          <w:color w:val="auto"/>
          <w:spacing w:val="0"/>
          <w:w w:val="100"/>
          <w:position w:val="0"/>
        </w:rPr>
        <w:t>一）</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年度任务目标</w:t>
      </w:r>
    </w:p>
    <w:p w14:paraId="4C25F6DC">
      <w:pPr>
        <w:pStyle w:val="13"/>
        <w:keepNext w:val="0"/>
        <w:keepLines w:val="0"/>
        <w:widowControl w:val="0"/>
        <w:shd w:val="clear" w:color="auto" w:fill="auto"/>
        <w:tabs>
          <w:tab w:val="left" w:pos="1090"/>
        </w:tabs>
        <w:bidi w:val="0"/>
        <w:spacing w:before="0" w:line="577" w:lineRule="exact"/>
        <w:ind w:left="0" w:right="0" w:firstLine="620"/>
        <w:jc w:val="left"/>
        <w:rPr>
          <w:rFonts w:hint="eastAsia" w:ascii="宋体" w:hAnsi="宋体" w:eastAsia="宋体" w:cs="宋体"/>
          <w:color w:val="auto"/>
        </w:rPr>
      </w:pPr>
      <w:bookmarkStart w:id="103" w:name="bookmark100"/>
      <w:r>
        <w:rPr>
          <w:rFonts w:hint="eastAsia" w:ascii="宋体" w:hAnsi="宋体" w:eastAsia="宋体" w:cs="宋体"/>
          <w:color w:val="auto"/>
          <w:spacing w:val="0"/>
          <w:w w:val="100"/>
          <w:position w:val="0"/>
        </w:rPr>
        <w:t>1</w:t>
      </w:r>
      <w:bookmarkEnd w:id="103"/>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1）执行党的路线、方针、政策和国家法律、法规。（2）落实上级党委、政府的各项决议和决定。（3）制定并落实本行政区域的经济计划和措施，促进产业结构调整及其他经济保持平衡协调发展，全面提高人民群众的生活水平和生活质量。（4）加强农村基层组织建设，转变机关作风，增强服务意识，促进农村经济快速发展。（5）制定社会各项事业发展计划，发展教育、卫生、科技、民政、广播电视、文化、体育事业，推进社会保障、社会福利事业，做好劳动管理、科普、老龄及宗教、侨务等工作。（6）开展社会主义民主和法制的宣传教育，保障公民的权利，打击违法犯罪，维护社会稳定。（7）制定本辖区精神文明和物质文明工作规划，抓好两个文明建设。（8）指导村（居）民委会工作，充分发挥群众自治组织的作用。（9）完成上级党委、政府交办的其他工作。</w:t>
      </w:r>
    </w:p>
    <w:p w14:paraId="72CDC7BC">
      <w:pPr>
        <w:pStyle w:val="13"/>
        <w:keepNext w:val="0"/>
        <w:keepLines w:val="0"/>
        <w:widowControl w:val="0"/>
        <w:shd w:val="clear" w:color="auto" w:fill="auto"/>
        <w:tabs>
          <w:tab w:val="left" w:pos="1090"/>
        </w:tabs>
        <w:bidi w:val="0"/>
        <w:spacing w:before="0" w:after="0" w:line="408" w:lineRule="auto"/>
        <w:ind w:left="0" w:right="0" w:firstLine="620"/>
        <w:jc w:val="left"/>
        <w:rPr>
          <w:rFonts w:hint="eastAsia" w:ascii="宋体" w:hAnsi="宋体" w:eastAsia="宋体" w:cs="宋体"/>
          <w:color w:val="auto"/>
        </w:rPr>
      </w:pPr>
      <w:bookmarkStart w:id="104" w:name="bookmark101"/>
      <w:r>
        <w:rPr>
          <w:rFonts w:hint="eastAsia" w:ascii="宋体" w:hAnsi="宋体" w:eastAsia="宋体" w:cs="宋体"/>
          <w:color w:val="auto"/>
          <w:spacing w:val="0"/>
          <w:w w:val="100"/>
          <w:position w:val="0"/>
        </w:rPr>
        <w:t>2</w:t>
      </w:r>
      <w:bookmarkEnd w:id="104"/>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2020年财政资金收支情况</w:t>
      </w:r>
    </w:p>
    <w:p w14:paraId="4C4BC0B7">
      <w:pPr>
        <w:pStyle w:val="13"/>
        <w:keepNext w:val="0"/>
        <w:keepLines w:val="0"/>
        <w:widowControl w:val="0"/>
        <w:shd w:val="clear" w:color="auto" w:fill="auto"/>
        <w:bidi w:val="0"/>
        <w:spacing w:before="0" w:after="0" w:line="585" w:lineRule="exact"/>
        <w:ind w:left="0" w:right="0" w:firstLine="620"/>
        <w:jc w:val="left"/>
        <w:rPr>
          <w:rFonts w:hint="eastAsia" w:ascii="宋体" w:hAnsi="宋体" w:eastAsia="宋体" w:cs="宋体"/>
          <w:color w:val="auto"/>
        </w:rPr>
      </w:pPr>
      <w:r>
        <w:rPr>
          <w:rFonts w:hint="eastAsia" w:ascii="宋体" w:hAnsi="宋体" w:eastAsia="宋体" w:cs="宋体"/>
          <w:color w:val="auto"/>
          <w:spacing w:val="0"/>
          <w:w w:val="100"/>
          <w:position w:val="0"/>
        </w:rPr>
        <w:t>我镇2020安排预算收入</w:t>
      </w:r>
      <w:r>
        <w:rPr>
          <w:rFonts w:hint="eastAsia" w:ascii="宋体" w:hAnsi="宋体" w:eastAsia="宋体" w:cs="宋体"/>
          <w:color w:val="auto"/>
          <w:spacing w:val="0"/>
          <w:w w:val="100"/>
          <w:position w:val="0"/>
          <w:lang w:val="en-US" w:eastAsia="en-US" w:bidi="en-US"/>
        </w:rPr>
        <w:t>1787.23</w:t>
      </w:r>
      <w:r>
        <w:rPr>
          <w:rFonts w:hint="eastAsia" w:ascii="宋体" w:hAnsi="宋体" w:eastAsia="宋体" w:cs="宋体"/>
          <w:color w:val="auto"/>
          <w:spacing w:val="0"/>
          <w:w w:val="100"/>
          <w:position w:val="0"/>
        </w:rPr>
        <w:t>万元、预算支出</w:t>
      </w:r>
      <w:r>
        <w:rPr>
          <w:rFonts w:hint="eastAsia" w:ascii="宋体" w:hAnsi="宋体" w:eastAsia="宋体" w:cs="宋体"/>
          <w:color w:val="auto"/>
          <w:spacing w:val="0"/>
          <w:w w:val="100"/>
          <w:position w:val="0"/>
          <w:lang w:val="en-US" w:eastAsia="en-US" w:bidi="en-US"/>
        </w:rPr>
        <w:t>1787.23</w:t>
      </w:r>
      <w:r>
        <w:rPr>
          <w:rFonts w:hint="eastAsia" w:ascii="宋体" w:hAnsi="宋体" w:eastAsia="宋体" w:cs="宋体"/>
          <w:color w:val="auto"/>
          <w:spacing w:val="0"/>
          <w:w w:val="100"/>
          <w:position w:val="0"/>
        </w:rPr>
        <w:t>万元，2019安排预算收入</w:t>
      </w:r>
      <w:r>
        <w:rPr>
          <w:rFonts w:hint="eastAsia" w:ascii="宋体" w:hAnsi="宋体" w:eastAsia="宋体" w:cs="宋体"/>
          <w:color w:val="auto"/>
          <w:spacing w:val="0"/>
          <w:w w:val="100"/>
          <w:position w:val="0"/>
          <w:lang w:val="en-US" w:eastAsia="en-US" w:bidi="en-US"/>
        </w:rPr>
        <w:t>644.</w:t>
      </w:r>
      <w:r>
        <w:rPr>
          <w:rFonts w:hint="eastAsia" w:ascii="宋体" w:hAnsi="宋体" w:eastAsia="宋体" w:cs="宋体"/>
          <w:color w:val="auto"/>
          <w:spacing w:val="0"/>
          <w:w w:val="100"/>
          <w:position w:val="0"/>
        </w:rPr>
        <w:t>88万元、预算支出</w:t>
      </w:r>
      <w:r>
        <w:rPr>
          <w:rFonts w:hint="eastAsia" w:ascii="宋体" w:hAnsi="宋体" w:eastAsia="宋体" w:cs="宋体"/>
          <w:color w:val="auto"/>
          <w:spacing w:val="0"/>
          <w:w w:val="100"/>
          <w:position w:val="0"/>
          <w:lang w:val="en-US" w:eastAsia="en-US" w:bidi="en-US"/>
        </w:rPr>
        <w:t>644.</w:t>
      </w:r>
      <w:r>
        <w:rPr>
          <w:rFonts w:hint="eastAsia" w:ascii="宋体" w:hAnsi="宋体" w:eastAsia="宋体" w:cs="宋体"/>
          <w:color w:val="auto"/>
          <w:spacing w:val="0"/>
          <w:w w:val="100"/>
          <w:position w:val="0"/>
        </w:rPr>
        <w:t>88万元，与上年相比增加</w:t>
      </w:r>
      <w:r>
        <w:rPr>
          <w:rFonts w:hint="eastAsia" w:ascii="宋体" w:hAnsi="宋体" w:eastAsia="宋体" w:cs="宋体"/>
          <w:color w:val="auto"/>
          <w:spacing w:val="0"/>
          <w:w w:val="100"/>
          <w:position w:val="0"/>
          <w:lang w:val="en-US" w:eastAsia="en-US" w:bidi="en-US"/>
        </w:rPr>
        <w:t>1142.35</w:t>
      </w:r>
      <w:r>
        <w:rPr>
          <w:rFonts w:hint="eastAsia" w:ascii="宋体" w:hAnsi="宋体" w:eastAsia="宋体" w:cs="宋体"/>
          <w:color w:val="auto"/>
          <w:spacing w:val="0"/>
          <w:w w:val="100"/>
          <w:position w:val="0"/>
        </w:rPr>
        <w:t>万元，主要是乡镇行政区划调整后，人员经费、项目经费增加。</w:t>
      </w:r>
    </w:p>
    <w:p w14:paraId="67D438F8">
      <w:pPr>
        <w:pStyle w:val="13"/>
        <w:keepNext w:val="0"/>
        <w:keepLines w:val="0"/>
        <w:widowControl w:val="0"/>
        <w:shd w:val="clear" w:color="auto" w:fill="auto"/>
        <w:tabs>
          <w:tab w:val="left" w:pos="1575"/>
        </w:tabs>
        <w:bidi w:val="0"/>
        <w:spacing w:before="0" w:after="280" w:line="577" w:lineRule="exact"/>
        <w:ind w:left="0" w:right="0" w:firstLine="780"/>
        <w:jc w:val="left"/>
        <w:rPr>
          <w:rFonts w:hint="eastAsia" w:ascii="宋体" w:hAnsi="宋体" w:eastAsia="宋体" w:cs="宋体"/>
          <w:color w:val="auto"/>
        </w:rPr>
      </w:pPr>
      <w:bookmarkStart w:id="105" w:name="bookmark102"/>
      <w:r>
        <w:rPr>
          <w:rFonts w:hint="eastAsia" w:ascii="宋体" w:hAnsi="宋体" w:eastAsia="宋体" w:cs="宋体"/>
          <w:color w:val="auto"/>
          <w:spacing w:val="0"/>
          <w:w w:val="100"/>
          <w:position w:val="0"/>
        </w:rPr>
        <w:t>（</w:t>
      </w:r>
      <w:bookmarkEnd w:id="105"/>
      <w:r>
        <w:rPr>
          <w:rFonts w:hint="eastAsia" w:ascii="宋体" w:hAnsi="宋体" w:eastAsia="宋体" w:cs="宋体"/>
          <w:color w:val="auto"/>
          <w:spacing w:val="0"/>
          <w:w w:val="100"/>
          <w:position w:val="0"/>
        </w:rPr>
        <w:t>二）</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预算、决算编制</w:t>
      </w:r>
    </w:p>
    <w:p w14:paraId="7C908C7C">
      <w:pPr>
        <w:pStyle w:val="13"/>
        <w:keepNext w:val="0"/>
        <w:keepLines w:val="0"/>
        <w:widowControl w:val="0"/>
        <w:shd w:val="clear" w:color="auto" w:fill="auto"/>
        <w:bidi w:val="0"/>
        <w:spacing w:before="0" w:line="401" w:lineRule="auto"/>
        <w:ind w:left="0" w:right="0" w:firstLine="600"/>
        <w:jc w:val="left"/>
        <w:rPr>
          <w:rFonts w:hint="eastAsia" w:ascii="宋体" w:hAnsi="宋体" w:eastAsia="宋体" w:cs="宋体"/>
          <w:color w:val="auto"/>
        </w:rPr>
      </w:pPr>
      <w:bookmarkStart w:id="106" w:name="bookmark103"/>
      <w:r>
        <w:rPr>
          <w:rFonts w:hint="eastAsia" w:ascii="宋体" w:hAnsi="宋体" w:eastAsia="宋体" w:cs="宋体"/>
          <w:color w:val="auto"/>
          <w:spacing w:val="0"/>
          <w:w w:val="100"/>
          <w:position w:val="0"/>
        </w:rPr>
        <w:t>1</w:t>
      </w:r>
      <w:bookmarkEnd w:id="106"/>
      <w:r>
        <w:rPr>
          <w:rFonts w:hint="eastAsia" w:ascii="宋体" w:hAnsi="宋体" w:eastAsia="宋体" w:cs="宋体"/>
          <w:color w:val="auto"/>
          <w:spacing w:val="0"/>
          <w:w w:val="100"/>
          <w:position w:val="0"/>
        </w:rPr>
        <w:t>、预算、决算编制内容真实、完整、准确。</w:t>
      </w:r>
    </w:p>
    <w:p w14:paraId="62CC07DF">
      <w:pPr>
        <w:pStyle w:val="13"/>
        <w:keepNext w:val="0"/>
        <w:keepLines w:val="0"/>
        <w:widowControl w:val="0"/>
        <w:shd w:val="clear" w:color="auto" w:fill="auto"/>
        <w:bidi w:val="0"/>
        <w:spacing w:before="0" w:line="574" w:lineRule="exact"/>
        <w:ind w:left="0" w:right="0" w:firstLine="620"/>
        <w:jc w:val="left"/>
        <w:rPr>
          <w:rFonts w:hint="eastAsia" w:ascii="宋体" w:hAnsi="宋体" w:eastAsia="宋体" w:cs="宋体"/>
          <w:color w:val="auto"/>
        </w:rPr>
      </w:pPr>
      <w:r>
        <w:rPr>
          <w:rFonts w:hint="eastAsia" w:ascii="宋体" w:hAnsi="宋体" w:eastAsia="宋体" w:cs="宋体"/>
          <w:color w:val="auto"/>
          <w:spacing w:val="0"/>
          <w:w w:val="100"/>
          <w:position w:val="0"/>
        </w:rPr>
        <w:t>部门预决算编制内容基本真实、完整，部门决算按规定口径填列，表内表间数据衔接一致，上下年度衔接一致，项目及资金结转清晰、科目填报准确合理。能够按要求的时间报送部门预算、部门预算编制说明以及部门决算；报送后发现有错、漏及时修改完善，并于当天报送区财政。</w:t>
      </w:r>
    </w:p>
    <w:p w14:paraId="58FF3482">
      <w:pPr>
        <w:pStyle w:val="13"/>
        <w:keepNext w:val="0"/>
        <w:keepLines w:val="0"/>
        <w:widowControl w:val="0"/>
        <w:shd w:val="clear" w:color="auto" w:fill="auto"/>
        <w:tabs>
          <w:tab w:val="left" w:pos="1100"/>
        </w:tabs>
        <w:bidi w:val="0"/>
        <w:spacing w:before="0" w:after="0" w:line="398" w:lineRule="auto"/>
        <w:ind w:left="0" w:right="0" w:firstLine="620"/>
        <w:jc w:val="left"/>
        <w:rPr>
          <w:rFonts w:hint="eastAsia" w:ascii="宋体" w:hAnsi="宋体" w:eastAsia="宋体" w:cs="宋体"/>
          <w:color w:val="auto"/>
          <w:spacing w:val="0"/>
          <w:w w:val="100"/>
          <w:position w:val="0"/>
        </w:rPr>
      </w:pPr>
      <w:bookmarkStart w:id="107" w:name="bookmark104"/>
      <w:r>
        <w:rPr>
          <w:rFonts w:hint="eastAsia" w:ascii="宋体" w:hAnsi="宋体" w:eastAsia="宋体" w:cs="宋体"/>
          <w:color w:val="auto"/>
          <w:spacing w:val="0"/>
          <w:w w:val="100"/>
          <w:position w:val="0"/>
        </w:rPr>
        <w:t>2</w:t>
      </w:r>
      <w:bookmarkEnd w:id="107"/>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年度预算绩效目标编制完整、合理、明确、量化。</w:t>
      </w:r>
    </w:p>
    <w:p w14:paraId="20AEC66A">
      <w:pPr>
        <w:pStyle w:val="13"/>
        <w:keepNext w:val="0"/>
        <w:keepLines w:val="0"/>
        <w:widowControl w:val="0"/>
        <w:shd w:val="clear" w:color="auto" w:fill="auto"/>
        <w:tabs>
          <w:tab w:val="left" w:pos="1100"/>
        </w:tabs>
        <w:bidi w:val="0"/>
        <w:spacing w:before="0" w:after="0" w:line="398" w:lineRule="auto"/>
        <w:ind w:left="0" w:right="0" w:firstLine="620"/>
        <w:jc w:val="left"/>
        <w:rPr>
          <w:rFonts w:hint="eastAsia" w:ascii="宋体" w:hAnsi="宋体" w:eastAsia="宋体" w:cs="宋体"/>
          <w:color w:val="auto"/>
        </w:rPr>
      </w:pPr>
      <w:bookmarkStart w:id="108" w:name="bookmark105"/>
      <w:r>
        <w:rPr>
          <w:rFonts w:hint="eastAsia" w:ascii="宋体" w:hAnsi="宋体" w:eastAsia="宋体" w:cs="宋体"/>
          <w:color w:val="auto"/>
          <w:spacing w:val="0"/>
          <w:w w:val="100"/>
          <w:position w:val="0"/>
        </w:rPr>
        <w:t>3</w:t>
      </w:r>
      <w:bookmarkEnd w:id="108"/>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预算、决算报送及时。</w:t>
      </w:r>
    </w:p>
    <w:p w14:paraId="20CC60D1">
      <w:pPr>
        <w:pStyle w:val="13"/>
        <w:keepNext w:val="0"/>
        <w:keepLines w:val="0"/>
        <w:widowControl w:val="0"/>
        <w:shd w:val="clear" w:color="auto" w:fill="auto"/>
        <w:bidi w:val="0"/>
        <w:spacing w:before="0" w:line="574" w:lineRule="exact"/>
        <w:ind w:left="0" w:right="0" w:firstLine="780"/>
        <w:jc w:val="left"/>
        <w:rPr>
          <w:rFonts w:hint="eastAsia" w:ascii="宋体" w:hAnsi="宋体" w:eastAsia="宋体" w:cs="宋体"/>
          <w:color w:val="auto"/>
        </w:rPr>
      </w:pPr>
      <w:bookmarkStart w:id="109" w:name="bookmark106"/>
      <w:r>
        <w:rPr>
          <w:rFonts w:hint="eastAsia" w:ascii="宋体" w:hAnsi="宋体" w:eastAsia="宋体" w:cs="宋体"/>
          <w:color w:val="auto"/>
          <w:spacing w:val="0"/>
          <w:w w:val="100"/>
          <w:position w:val="0"/>
        </w:rPr>
        <w:t>（</w:t>
      </w:r>
      <w:bookmarkEnd w:id="109"/>
      <w:r>
        <w:rPr>
          <w:rFonts w:hint="eastAsia" w:ascii="宋体" w:hAnsi="宋体" w:eastAsia="宋体" w:cs="宋体"/>
          <w:color w:val="auto"/>
          <w:spacing w:val="0"/>
          <w:w w:val="100"/>
          <w:position w:val="0"/>
        </w:rPr>
        <w:t>三）预算执行</w:t>
      </w:r>
    </w:p>
    <w:p w14:paraId="091E8295">
      <w:pPr>
        <w:pStyle w:val="13"/>
        <w:keepNext w:val="0"/>
        <w:keepLines w:val="0"/>
        <w:widowControl w:val="0"/>
        <w:shd w:val="clear" w:color="auto" w:fill="auto"/>
        <w:tabs>
          <w:tab w:val="left" w:pos="1100"/>
        </w:tabs>
        <w:bidi w:val="0"/>
        <w:spacing w:before="0" w:after="0" w:line="398" w:lineRule="auto"/>
        <w:ind w:left="0" w:right="0" w:firstLine="620"/>
        <w:jc w:val="left"/>
        <w:rPr>
          <w:rFonts w:hint="eastAsia" w:ascii="宋体" w:hAnsi="宋体" w:eastAsia="宋体" w:cs="宋体"/>
          <w:color w:val="auto"/>
        </w:rPr>
      </w:pPr>
      <w:bookmarkStart w:id="110" w:name="bookmark107"/>
      <w:r>
        <w:rPr>
          <w:rFonts w:hint="eastAsia" w:ascii="宋体" w:hAnsi="宋体" w:eastAsia="宋体" w:cs="宋体"/>
          <w:color w:val="auto"/>
          <w:spacing w:val="0"/>
          <w:w w:val="100"/>
          <w:position w:val="0"/>
        </w:rPr>
        <w:t>1</w:t>
      </w:r>
      <w:bookmarkEnd w:id="110"/>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民生资金及单位收支执行进度。</w:t>
      </w:r>
    </w:p>
    <w:p w14:paraId="23DF2CD9">
      <w:pPr>
        <w:pStyle w:val="16"/>
        <w:keepNext w:val="0"/>
        <w:keepLines w:val="0"/>
        <w:widowControl w:val="0"/>
        <w:shd w:val="clear" w:color="auto" w:fill="auto"/>
        <w:bidi w:val="0"/>
        <w:spacing w:before="0" w:after="220" w:line="615" w:lineRule="exact"/>
        <w:ind w:left="0" w:right="0" w:firstLine="620"/>
        <w:jc w:val="left"/>
        <w:rPr>
          <w:rFonts w:hint="eastAsia" w:ascii="宋体" w:hAnsi="宋体" w:eastAsia="宋体" w:cs="宋体"/>
          <w:color w:val="auto"/>
        </w:rPr>
      </w:pPr>
      <w:r>
        <w:rPr>
          <w:rFonts w:hint="eastAsia" w:ascii="宋体" w:hAnsi="宋体" w:eastAsia="宋体" w:cs="宋体"/>
          <w:color w:val="auto"/>
          <w:spacing w:val="0"/>
          <w:w w:val="100"/>
          <w:position w:val="0"/>
        </w:rPr>
        <w:t>2020年我镇的预算收入为</w:t>
      </w:r>
      <w:r>
        <w:rPr>
          <w:rFonts w:hint="eastAsia" w:ascii="宋体" w:hAnsi="宋体" w:eastAsia="宋体" w:cs="宋体"/>
          <w:color w:val="auto"/>
          <w:spacing w:val="0"/>
          <w:w w:val="100"/>
          <w:position w:val="0"/>
          <w:lang w:val="en-US" w:eastAsia="en-US"/>
        </w:rPr>
        <w:t>1787.</w:t>
      </w:r>
      <w:r>
        <w:rPr>
          <w:rFonts w:hint="eastAsia" w:ascii="宋体" w:hAnsi="宋体" w:eastAsia="宋体" w:cs="宋体"/>
          <w:color w:val="auto"/>
          <w:spacing w:val="0"/>
          <w:w w:val="100"/>
          <w:position w:val="0"/>
        </w:rPr>
        <w:t>23万元。预算支出</w:t>
      </w:r>
      <w:r>
        <w:rPr>
          <w:rFonts w:hint="eastAsia" w:ascii="宋体" w:hAnsi="宋体" w:eastAsia="宋体" w:cs="宋体"/>
          <w:color w:val="auto"/>
          <w:spacing w:val="0"/>
          <w:w w:val="100"/>
          <w:position w:val="0"/>
          <w:lang w:val="en-US" w:eastAsia="en-US"/>
        </w:rPr>
        <w:t>1787.</w:t>
      </w:r>
      <w:r>
        <w:rPr>
          <w:rFonts w:hint="eastAsia" w:ascii="宋体" w:hAnsi="宋体" w:eastAsia="宋体" w:cs="宋体"/>
          <w:color w:val="auto"/>
          <w:spacing w:val="0"/>
          <w:w w:val="100"/>
          <w:position w:val="0"/>
        </w:rPr>
        <w:t>23万元。</w:t>
      </w:r>
    </w:p>
    <w:p w14:paraId="407B5F7A">
      <w:pPr>
        <w:pStyle w:val="13"/>
        <w:keepNext w:val="0"/>
        <w:keepLines w:val="0"/>
        <w:widowControl w:val="0"/>
        <w:shd w:val="clear" w:color="auto" w:fill="auto"/>
        <w:tabs>
          <w:tab w:val="left" w:pos="1100"/>
        </w:tabs>
        <w:bidi w:val="0"/>
        <w:spacing w:before="0" w:after="0" w:line="406" w:lineRule="auto"/>
        <w:ind w:left="0" w:right="0" w:firstLine="620"/>
        <w:jc w:val="left"/>
        <w:rPr>
          <w:rFonts w:hint="eastAsia" w:ascii="宋体" w:hAnsi="宋体" w:eastAsia="宋体" w:cs="宋体"/>
          <w:color w:val="auto"/>
        </w:rPr>
      </w:pPr>
      <w:bookmarkStart w:id="111" w:name="bookmark108"/>
      <w:r>
        <w:rPr>
          <w:rFonts w:hint="eastAsia" w:ascii="宋体" w:hAnsi="宋体" w:eastAsia="宋体" w:cs="宋体"/>
          <w:color w:val="auto"/>
          <w:spacing w:val="0"/>
          <w:w w:val="100"/>
          <w:position w:val="0"/>
        </w:rPr>
        <w:t>2</w:t>
      </w:r>
      <w:bookmarkEnd w:id="111"/>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支付管理。</w:t>
      </w:r>
    </w:p>
    <w:p w14:paraId="4A71ABE8">
      <w:pPr>
        <w:pStyle w:val="13"/>
        <w:keepNext w:val="0"/>
        <w:keepLines w:val="0"/>
        <w:widowControl w:val="0"/>
        <w:shd w:val="clear" w:color="auto" w:fill="auto"/>
        <w:bidi w:val="0"/>
        <w:spacing w:before="0" w:line="581" w:lineRule="exact"/>
        <w:ind w:left="0" w:right="0" w:firstLine="620"/>
        <w:jc w:val="left"/>
        <w:rPr>
          <w:rFonts w:hint="eastAsia" w:ascii="宋体" w:hAnsi="宋体" w:eastAsia="宋体" w:cs="宋体"/>
          <w:color w:val="auto"/>
        </w:rPr>
      </w:pPr>
      <w:r>
        <w:rPr>
          <w:rFonts w:hint="eastAsia" w:ascii="宋体" w:hAnsi="宋体" w:eastAsia="宋体" w:cs="宋体"/>
          <w:color w:val="auto"/>
          <w:spacing w:val="0"/>
          <w:w w:val="100"/>
          <w:position w:val="0"/>
        </w:rPr>
        <w:t>按照规定在银行开设专项资金戶、基本存款账户等两个银行账户。预算资金使用四川省财政管理信息系统管理，所有预算资金均</w:t>
      </w:r>
      <w:r>
        <w:rPr>
          <w:rFonts w:hint="eastAsia" w:cs="宋体"/>
          <w:color w:val="auto"/>
          <w:spacing w:val="0"/>
          <w:w w:val="100"/>
          <w:position w:val="0"/>
          <w:lang w:eastAsia="zh-CN"/>
        </w:rPr>
        <w:t>采取</w:t>
      </w:r>
      <w:r>
        <w:rPr>
          <w:rFonts w:hint="eastAsia" w:ascii="宋体" w:hAnsi="宋体" w:eastAsia="宋体" w:cs="宋体"/>
          <w:color w:val="auto"/>
          <w:spacing w:val="0"/>
          <w:w w:val="100"/>
          <w:position w:val="0"/>
        </w:rPr>
        <w:t>了财政直接支付或授权支付。严格控制了财政资金借出等现象，并对现金支付进行了极严格的控制，年度内的现金使用量极少。</w:t>
      </w:r>
    </w:p>
    <w:p w14:paraId="39E835B0">
      <w:pPr>
        <w:pStyle w:val="13"/>
        <w:keepNext w:val="0"/>
        <w:keepLines w:val="0"/>
        <w:widowControl w:val="0"/>
        <w:shd w:val="clear" w:color="auto" w:fill="auto"/>
        <w:tabs>
          <w:tab w:val="left" w:pos="1100"/>
        </w:tabs>
        <w:bidi w:val="0"/>
        <w:spacing w:before="0" w:after="0" w:line="401" w:lineRule="auto"/>
        <w:ind w:left="0" w:right="0" w:firstLine="620"/>
        <w:jc w:val="left"/>
        <w:rPr>
          <w:rFonts w:hint="eastAsia" w:ascii="宋体" w:hAnsi="宋体" w:eastAsia="宋体" w:cs="宋体"/>
          <w:color w:val="auto"/>
        </w:rPr>
      </w:pPr>
      <w:bookmarkStart w:id="112" w:name="bookmark109"/>
      <w:r>
        <w:rPr>
          <w:rFonts w:hint="eastAsia" w:ascii="宋体" w:hAnsi="宋体" w:eastAsia="宋体" w:cs="宋体"/>
          <w:color w:val="auto"/>
          <w:spacing w:val="0"/>
          <w:w w:val="100"/>
          <w:position w:val="0"/>
        </w:rPr>
        <w:t>3</w:t>
      </w:r>
      <w:bookmarkEnd w:id="112"/>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借款管理。</w:t>
      </w:r>
    </w:p>
    <w:p w14:paraId="40E013DA">
      <w:pPr>
        <w:pStyle w:val="13"/>
        <w:keepNext w:val="0"/>
        <w:keepLines w:val="0"/>
        <w:widowControl w:val="0"/>
        <w:shd w:val="clear" w:color="auto" w:fill="auto"/>
        <w:bidi w:val="0"/>
        <w:spacing w:before="0" w:after="240" w:line="575" w:lineRule="exact"/>
        <w:ind w:left="0" w:right="0" w:firstLine="620"/>
        <w:jc w:val="left"/>
        <w:rPr>
          <w:rFonts w:hint="eastAsia" w:ascii="宋体" w:hAnsi="宋体" w:eastAsia="宋体" w:cs="宋体"/>
          <w:color w:val="auto"/>
        </w:rPr>
      </w:pPr>
      <w:r>
        <w:rPr>
          <w:rFonts w:hint="eastAsia" w:ascii="宋体" w:hAnsi="宋体" w:eastAsia="宋体" w:cs="宋体"/>
          <w:color w:val="auto"/>
          <w:spacing w:val="0"/>
          <w:w w:val="100"/>
          <w:position w:val="0"/>
        </w:rPr>
        <w:t>严格按照财政资金管理规定进行收支业务处理。确保均衡用款、专款专用及国库集中支付等规定。在确保行政运行的正常运转前提下，在公业务</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用及其他支出上严格按照各项规定进行管理，从更大程度上保证了各类财政资金使用的经济效益和社会效益。及时催收个人借款。</w:t>
      </w:r>
    </w:p>
    <w:p w14:paraId="547B4D63">
      <w:pPr>
        <w:pStyle w:val="13"/>
        <w:keepNext w:val="0"/>
        <w:keepLines w:val="0"/>
        <w:widowControl w:val="0"/>
        <w:shd w:val="clear" w:color="auto" w:fill="auto"/>
        <w:bidi w:val="0"/>
        <w:spacing w:before="0" w:after="0" w:line="401" w:lineRule="auto"/>
        <w:ind w:left="0" w:right="0" w:firstLine="640"/>
        <w:jc w:val="left"/>
        <w:rPr>
          <w:rFonts w:hint="eastAsia" w:ascii="宋体" w:hAnsi="宋体" w:eastAsia="宋体" w:cs="宋体"/>
          <w:color w:val="auto"/>
        </w:rPr>
      </w:pPr>
      <w:bookmarkStart w:id="113" w:name="bookmark110"/>
      <w:r>
        <w:rPr>
          <w:rFonts w:hint="eastAsia" w:ascii="宋体" w:hAnsi="宋体" w:eastAsia="宋体" w:cs="宋体"/>
          <w:color w:val="auto"/>
          <w:spacing w:val="0"/>
          <w:w w:val="100"/>
          <w:position w:val="0"/>
        </w:rPr>
        <w:t>4</w:t>
      </w:r>
      <w:bookmarkEnd w:id="113"/>
      <w:r>
        <w:rPr>
          <w:rFonts w:hint="eastAsia" w:ascii="宋体" w:hAnsi="宋体" w:eastAsia="宋体" w:cs="宋体"/>
          <w:color w:val="auto"/>
          <w:spacing w:val="0"/>
          <w:w w:val="100"/>
          <w:position w:val="0"/>
        </w:rPr>
        <w:t>、账户管理。</w:t>
      </w:r>
    </w:p>
    <w:p w14:paraId="448AD158">
      <w:pPr>
        <w:pStyle w:val="13"/>
        <w:keepNext w:val="0"/>
        <w:keepLines w:val="0"/>
        <w:widowControl w:val="0"/>
        <w:shd w:val="clear" w:color="auto" w:fill="auto"/>
        <w:bidi w:val="0"/>
        <w:spacing w:before="0" w:after="0" w:line="577" w:lineRule="exact"/>
        <w:ind w:left="0" w:right="0" w:firstLine="640"/>
        <w:jc w:val="left"/>
        <w:rPr>
          <w:rFonts w:hint="eastAsia" w:ascii="宋体" w:hAnsi="宋体" w:eastAsia="宋体" w:cs="宋体"/>
          <w:color w:val="auto"/>
        </w:rPr>
      </w:pPr>
      <w:r>
        <w:rPr>
          <w:rFonts w:hint="eastAsia" w:ascii="宋体" w:hAnsi="宋体" w:eastAsia="宋体" w:cs="宋体"/>
          <w:color w:val="auto"/>
          <w:spacing w:val="0"/>
          <w:w w:val="100"/>
          <w:position w:val="0"/>
        </w:rPr>
        <w:t>银行账户基本能按规定管理，未发现违规开立银行账户现象，单位共有2个银行账户：1个基本存款账户、1个专用存款账户。基本存款账户纳入</w:t>
      </w:r>
      <w:r>
        <w:rPr>
          <w:rFonts w:hint="eastAsia" w:ascii="宋体" w:hAnsi="宋体" w:eastAsia="宋体" w:cs="宋体"/>
          <w:color w:val="auto"/>
          <w:spacing w:val="0"/>
          <w:w w:val="100"/>
          <w:position w:val="0"/>
          <w:lang w:val="zh-CN" w:eastAsia="zh-CN" w:bidi="zh-CN"/>
        </w:rPr>
        <w:t>“大</w:t>
      </w:r>
      <w:r>
        <w:rPr>
          <w:rFonts w:hint="eastAsia" w:ascii="宋体" w:hAnsi="宋体" w:eastAsia="宋体" w:cs="宋体"/>
          <w:color w:val="auto"/>
          <w:spacing w:val="0"/>
          <w:w w:val="100"/>
          <w:position w:val="0"/>
        </w:rPr>
        <w:t>平台"管理。</w:t>
      </w:r>
    </w:p>
    <w:p w14:paraId="50B4DC71">
      <w:pPr>
        <w:pStyle w:val="13"/>
        <w:keepNext w:val="0"/>
        <w:keepLines w:val="0"/>
        <w:widowControl w:val="0"/>
        <w:shd w:val="clear" w:color="auto" w:fill="auto"/>
        <w:bidi w:val="0"/>
        <w:spacing w:before="0" w:after="240" w:line="585" w:lineRule="exact"/>
        <w:ind w:left="0" w:right="0" w:firstLine="780"/>
        <w:jc w:val="left"/>
        <w:rPr>
          <w:rFonts w:hint="eastAsia" w:ascii="宋体" w:hAnsi="宋体" w:eastAsia="宋体" w:cs="宋体"/>
          <w:color w:val="auto"/>
        </w:rPr>
      </w:pPr>
      <w:bookmarkStart w:id="114" w:name="bookmark111"/>
      <w:r>
        <w:rPr>
          <w:rFonts w:hint="eastAsia" w:ascii="宋体" w:hAnsi="宋体" w:eastAsia="宋体" w:cs="宋体"/>
          <w:color w:val="auto"/>
          <w:spacing w:val="0"/>
          <w:w w:val="100"/>
          <w:position w:val="0"/>
        </w:rPr>
        <w:t>（</w:t>
      </w:r>
      <w:bookmarkEnd w:id="114"/>
      <w:r>
        <w:rPr>
          <w:rFonts w:hint="eastAsia" w:ascii="宋体" w:hAnsi="宋体" w:eastAsia="宋体" w:cs="宋体"/>
          <w:color w:val="auto"/>
          <w:spacing w:val="0"/>
          <w:w w:val="100"/>
          <w:position w:val="0"/>
        </w:rPr>
        <w:t>四）综合管理情况</w:t>
      </w:r>
    </w:p>
    <w:p w14:paraId="2F670C54">
      <w:pPr>
        <w:pStyle w:val="13"/>
        <w:keepNext w:val="0"/>
        <w:keepLines w:val="0"/>
        <w:widowControl w:val="0"/>
        <w:shd w:val="clear" w:color="auto" w:fill="auto"/>
        <w:tabs>
          <w:tab w:val="left" w:pos="1119"/>
        </w:tabs>
        <w:bidi w:val="0"/>
        <w:spacing w:before="0" w:after="0" w:line="408" w:lineRule="auto"/>
        <w:ind w:left="0" w:right="0" w:firstLine="640"/>
        <w:jc w:val="left"/>
        <w:rPr>
          <w:rFonts w:hint="eastAsia" w:ascii="宋体" w:hAnsi="宋体" w:eastAsia="宋体" w:cs="宋体"/>
          <w:color w:val="auto"/>
        </w:rPr>
      </w:pPr>
      <w:bookmarkStart w:id="115" w:name="bookmark112"/>
      <w:r>
        <w:rPr>
          <w:rFonts w:hint="eastAsia" w:ascii="宋体" w:hAnsi="宋体" w:eastAsia="宋体" w:cs="宋体"/>
          <w:color w:val="auto"/>
          <w:spacing w:val="0"/>
          <w:w w:val="100"/>
          <w:position w:val="0"/>
        </w:rPr>
        <w:t>1</w:t>
      </w:r>
      <w:bookmarkEnd w:id="115"/>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债务管理。</w:t>
      </w:r>
    </w:p>
    <w:p w14:paraId="49143288">
      <w:pPr>
        <w:pStyle w:val="13"/>
        <w:keepNext w:val="0"/>
        <w:keepLines w:val="0"/>
        <w:widowControl w:val="0"/>
        <w:shd w:val="clear" w:color="auto" w:fill="auto"/>
        <w:bidi w:val="0"/>
        <w:spacing w:before="0" w:after="0" w:line="585" w:lineRule="exact"/>
        <w:ind w:left="0" w:right="0" w:firstLine="640"/>
        <w:jc w:val="left"/>
        <w:rPr>
          <w:rFonts w:hint="eastAsia" w:ascii="宋体" w:hAnsi="宋体" w:eastAsia="宋体" w:cs="宋体"/>
          <w:color w:val="auto"/>
        </w:rPr>
      </w:pPr>
      <w:r>
        <w:rPr>
          <w:rFonts w:hint="eastAsia" w:ascii="宋体" w:hAnsi="宋体" w:eastAsia="宋体" w:cs="宋体"/>
          <w:color w:val="auto"/>
          <w:spacing w:val="0"/>
          <w:w w:val="100"/>
          <w:position w:val="0"/>
        </w:rPr>
        <w:t>使用债务管理网络系统管理债务，严格按照地方性政府债务管理规定执行债务管理工作，本年度无新增债务。</w:t>
      </w:r>
    </w:p>
    <w:p w14:paraId="7D0A1E19">
      <w:pPr>
        <w:pStyle w:val="13"/>
        <w:keepNext w:val="0"/>
        <w:keepLines w:val="0"/>
        <w:widowControl w:val="0"/>
        <w:shd w:val="clear" w:color="auto" w:fill="auto"/>
        <w:tabs>
          <w:tab w:val="left" w:pos="1119"/>
        </w:tabs>
        <w:bidi w:val="0"/>
        <w:spacing w:before="0" w:after="240" w:line="576" w:lineRule="exact"/>
        <w:ind w:left="0" w:right="0" w:firstLine="640"/>
        <w:jc w:val="left"/>
        <w:rPr>
          <w:rFonts w:hint="eastAsia" w:ascii="宋体" w:hAnsi="宋体" w:eastAsia="宋体" w:cs="宋体"/>
          <w:color w:val="auto"/>
        </w:rPr>
      </w:pPr>
      <w:bookmarkStart w:id="116" w:name="bookmark113"/>
      <w:r>
        <w:rPr>
          <w:rFonts w:hint="eastAsia" w:ascii="宋体" w:hAnsi="宋体" w:eastAsia="宋体" w:cs="宋体"/>
          <w:color w:val="auto"/>
          <w:spacing w:val="0"/>
          <w:w w:val="100"/>
          <w:position w:val="0"/>
        </w:rPr>
        <w:t>2</w:t>
      </w:r>
      <w:bookmarkEnd w:id="116"/>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cs="宋体"/>
          <w:color w:val="auto"/>
          <w:spacing w:val="0"/>
          <w:w w:val="100"/>
          <w:position w:val="0"/>
          <w:lang w:eastAsia="zh-CN"/>
        </w:rPr>
        <w:t>政府采购</w:t>
      </w:r>
      <w:r>
        <w:rPr>
          <w:rFonts w:hint="eastAsia" w:ascii="宋体" w:hAnsi="宋体" w:eastAsia="宋体" w:cs="宋体"/>
          <w:color w:val="auto"/>
          <w:spacing w:val="0"/>
          <w:w w:val="100"/>
          <w:position w:val="0"/>
        </w:rPr>
        <w:t>。本年度没有添置办公设备。</w:t>
      </w:r>
    </w:p>
    <w:p w14:paraId="1BE5146E">
      <w:pPr>
        <w:pStyle w:val="13"/>
        <w:keepNext w:val="0"/>
        <w:keepLines w:val="0"/>
        <w:widowControl w:val="0"/>
        <w:shd w:val="clear" w:color="auto" w:fill="auto"/>
        <w:tabs>
          <w:tab w:val="left" w:pos="1119"/>
        </w:tabs>
        <w:bidi w:val="0"/>
        <w:spacing w:before="0" w:after="0" w:line="401" w:lineRule="auto"/>
        <w:ind w:left="0" w:right="0" w:firstLine="640"/>
        <w:jc w:val="left"/>
        <w:rPr>
          <w:rFonts w:hint="eastAsia" w:ascii="宋体" w:hAnsi="宋体" w:eastAsia="宋体" w:cs="宋体"/>
          <w:color w:val="auto"/>
        </w:rPr>
      </w:pPr>
      <w:bookmarkStart w:id="117" w:name="bookmark114"/>
      <w:r>
        <w:rPr>
          <w:rFonts w:hint="eastAsia" w:ascii="宋体" w:hAnsi="宋体" w:eastAsia="宋体" w:cs="宋体"/>
          <w:color w:val="auto"/>
          <w:spacing w:val="0"/>
          <w:w w:val="100"/>
          <w:position w:val="0"/>
        </w:rPr>
        <w:t>3</w:t>
      </w:r>
      <w:bookmarkEnd w:id="117"/>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资产管理。</w:t>
      </w:r>
    </w:p>
    <w:p w14:paraId="2D04C61B">
      <w:pPr>
        <w:pStyle w:val="13"/>
        <w:keepNext w:val="0"/>
        <w:keepLines w:val="0"/>
        <w:widowControl w:val="0"/>
        <w:shd w:val="clear" w:color="auto" w:fill="auto"/>
        <w:bidi w:val="0"/>
        <w:spacing w:before="0" w:after="240" w:line="576" w:lineRule="exact"/>
        <w:ind w:left="0" w:right="0" w:firstLine="64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国有资产配置按照行政运行的正常需求进行，并按要求管理使用，年度内无处置资产的业务发生。在财务核算资产系统数据和网络资产系统数据保持绝对一致性，建立了固定资产卡片账，按月对账，确保了账实相符。</w:t>
      </w:r>
    </w:p>
    <w:p w14:paraId="5A834DB2">
      <w:pPr>
        <w:pStyle w:val="13"/>
        <w:keepNext w:val="0"/>
        <w:keepLines w:val="0"/>
        <w:widowControl w:val="0"/>
        <w:shd w:val="clear" w:color="auto" w:fill="auto"/>
        <w:tabs>
          <w:tab w:val="left" w:pos="1119"/>
        </w:tabs>
        <w:bidi w:val="0"/>
        <w:spacing w:before="0" w:after="0" w:line="401" w:lineRule="auto"/>
        <w:ind w:left="0" w:right="0" w:firstLine="620"/>
        <w:jc w:val="left"/>
        <w:rPr>
          <w:rFonts w:hint="eastAsia" w:ascii="宋体" w:hAnsi="宋体" w:eastAsia="宋体" w:cs="宋体"/>
          <w:color w:val="auto"/>
        </w:rPr>
      </w:pPr>
      <w:bookmarkStart w:id="118" w:name="bookmark115"/>
      <w:r>
        <w:rPr>
          <w:rFonts w:hint="eastAsia" w:ascii="宋体" w:hAnsi="宋体" w:eastAsia="宋体" w:cs="宋体"/>
          <w:color w:val="auto"/>
          <w:spacing w:val="0"/>
          <w:w w:val="100"/>
          <w:position w:val="0"/>
        </w:rPr>
        <w:t>4</w:t>
      </w:r>
      <w:bookmarkEnd w:id="118"/>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内控制度管理。</w:t>
      </w:r>
    </w:p>
    <w:p w14:paraId="0F95E4D1">
      <w:pPr>
        <w:pStyle w:val="13"/>
        <w:keepNext w:val="0"/>
        <w:keepLines w:val="0"/>
        <w:widowControl w:val="0"/>
        <w:shd w:val="clear" w:color="auto" w:fill="auto"/>
        <w:bidi w:val="0"/>
        <w:spacing w:before="0" w:after="240" w:line="576" w:lineRule="exact"/>
        <w:ind w:left="0" w:right="0" w:firstLine="64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内控制度。所长、会计、出纳岗位职责明确，会计管账不管钱，出纳管钱不管账。所有支出都是以正规发票入账，并有经办人、分管领导等签字，然后由镇长审批支付。出纳负责按月将原始票据分类汇总并及时交会计按月记账，并按月与银行核对银行存款余额、与出纳核对现金余额，并将其分类汇总装订成册归档。所有支出都有财务初核，从最大程度上杜绝了不合规原始票据入账。印章管理实行会计出纳分管，会计管理财务公章、会计印章,出纳管理镇长印章、出纳印章。现金、存款支票均由出纳管理,使用时由会计人员填制，然后由出纳人员复核、加密、盖章。</w:t>
      </w:r>
    </w:p>
    <w:p w14:paraId="16BDF30A">
      <w:pPr>
        <w:pStyle w:val="13"/>
        <w:keepNext w:val="0"/>
        <w:keepLines w:val="0"/>
        <w:widowControl w:val="0"/>
        <w:shd w:val="clear" w:color="auto" w:fill="auto"/>
        <w:bidi w:val="0"/>
        <w:spacing w:before="0" w:after="0" w:line="600" w:lineRule="exact"/>
        <w:ind w:left="0" w:right="0" w:firstLine="620"/>
        <w:jc w:val="left"/>
        <w:rPr>
          <w:rFonts w:hint="eastAsia" w:ascii="宋体" w:hAnsi="宋体" w:eastAsia="宋体" w:cs="宋体"/>
          <w:color w:val="auto"/>
          <w:lang w:val="en-US" w:eastAsia="zh-CN"/>
        </w:rPr>
      </w:pPr>
      <w:r>
        <w:rPr>
          <w:rFonts w:hint="eastAsia" w:cs="宋体"/>
          <w:color w:val="auto"/>
          <w:spacing w:val="0"/>
          <w:w w:val="100"/>
          <w:position w:val="0"/>
          <w:lang w:val="en-US" w:eastAsia="zh-CN"/>
        </w:rPr>
        <w:t>5</w:t>
      </w:r>
      <w:r>
        <w:rPr>
          <w:rFonts w:hint="eastAsia" w:ascii="宋体" w:hAnsi="宋体" w:eastAsia="宋体" w:cs="宋体"/>
          <w:color w:val="auto"/>
          <w:spacing w:val="0"/>
          <w:w w:val="100"/>
          <w:position w:val="0"/>
        </w:rPr>
        <w:t>、信息公开</w:t>
      </w:r>
      <w:r>
        <w:rPr>
          <w:rFonts w:hint="eastAsia" w:cs="宋体"/>
          <w:color w:val="auto"/>
          <w:spacing w:val="0"/>
          <w:w w:val="100"/>
          <w:position w:val="0"/>
          <w:lang w:eastAsia="zh-CN"/>
        </w:rPr>
        <w:t>。</w:t>
      </w:r>
    </w:p>
    <w:p w14:paraId="7C52E714">
      <w:pPr>
        <w:pStyle w:val="13"/>
        <w:keepNext w:val="0"/>
        <w:keepLines w:val="0"/>
        <w:widowControl w:val="0"/>
        <w:shd w:val="clear" w:color="auto" w:fill="auto"/>
        <w:bidi w:val="0"/>
        <w:spacing w:before="0" w:after="0" w:line="582" w:lineRule="exact"/>
        <w:ind w:left="0" w:right="0" w:firstLine="62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按川财基〔2012）4号公开公示制度要求，对各项资金的收支余管理情况进行了公开公示，对机关人员经费及公用经费开支情况定期不定期的上传机关</w:t>
      </w:r>
      <w:r>
        <w:rPr>
          <w:rFonts w:hint="eastAsia" w:ascii="宋体" w:hAnsi="宋体" w:eastAsia="宋体" w:cs="宋体"/>
          <w:color w:val="auto"/>
          <w:spacing w:val="0"/>
          <w:w w:val="100"/>
          <w:position w:val="0"/>
          <w:lang w:val="en-US" w:eastAsia="en-US"/>
        </w:rPr>
        <w:t>qq</w:t>
      </w:r>
      <w:r>
        <w:rPr>
          <w:rFonts w:hint="eastAsia" w:ascii="宋体" w:hAnsi="宋体" w:eastAsia="宋体" w:cs="宋体"/>
          <w:color w:val="auto"/>
          <w:spacing w:val="0"/>
          <w:w w:val="100"/>
          <w:position w:val="0"/>
        </w:rPr>
        <w:t>工作群公示等，并设置了监督电话举报箱。按川财基（2012）4号信息通达制度要求，落实财政所出纳为信息联络员，并有信息传递记录装订成册，并已分类整理、装订成册、归档保管。</w:t>
      </w:r>
    </w:p>
    <w:p w14:paraId="7DC0E836">
      <w:pPr>
        <w:pStyle w:val="15"/>
        <w:keepNext w:val="0"/>
        <w:keepLines w:val="0"/>
        <w:widowControl w:val="0"/>
        <w:shd w:val="clear" w:color="auto" w:fill="auto"/>
        <w:bidi w:val="0"/>
        <w:spacing w:before="0" w:line="582" w:lineRule="exact"/>
        <w:ind w:left="0" w:right="0" w:firstLine="620"/>
        <w:jc w:val="left"/>
        <w:outlineLvl w:val="1"/>
        <w:rPr>
          <w:rFonts w:hint="eastAsia" w:ascii="宋体" w:hAnsi="宋体" w:eastAsia="宋体" w:cs="宋体"/>
          <w:color w:val="auto"/>
        </w:rPr>
      </w:pPr>
      <w:bookmarkStart w:id="119" w:name="_Toc24683"/>
      <w:r>
        <w:rPr>
          <w:rFonts w:hint="eastAsia" w:ascii="宋体" w:hAnsi="宋体" w:eastAsia="宋体" w:cs="宋体"/>
          <w:color w:val="auto"/>
          <w:spacing w:val="0"/>
          <w:w w:val="100"/>
          <w:position w:val="0"/>
        </w:rPr>
        <w:t>三、评价结论及建议</w:t>
      </w:r>
      <w:bookmarkEnd w:id="119"/>
    </w:p>
    <w:p w14:paraId="07FF2F3D">
      <w:pPr>
        <w:pStyle w:val="13"/>
        <w:keepNext w:val="0"/>
        <w:keepLines w:val="0"/>
        <w:widowControl w:val="0"/>
        <w:shd w:val="clear" w:color="auto" w:fill="auto"/>
        <w:tabs>
          <w:tab w:val="left" w:pos="1295"/>
        </w:tabs>
        <w:bidi w:val="0"/>
        <w:spacing w:before="0" w:after="0" w:line="240" w:lineRule="auto"/>
        <w:ind w:left="0" w:right="0" w:firstLine="480"/>
        <w:jc w:val="left"/>
        <w:rPr>
          <w:rFonts w:hint="eastAsia" w:ascii="宋体" w:hAnsi="宋体" w:eastAsia="宋体" w:cs="宋体"/>
          <w:color w:val="auto"/>
        </w:rPr>
      </w:pPr>
      <w:bookmarkStart w:id="120" w:name="bookmark116"/>
      <w:r>
        <w:rPr>
          <w:rFonts w:hint="eastAsia" w:ascii="宋体" w:hAnsi="宋体" w:eastAsia="宋体" w:cs="宋体"/>
          <w:color w:val="auto"/>
          <w:spacing w:val="0"/>
          <w:w w:val="100"/>
          <w:position w:val="0"/>
        </w:rPr>
        <w:t>（</w:t>
      </w:r>
      <w:bookmarkEnd w:id="120"/>
      <w:r>
        <w:rPr>
          <w:rFonts w:hint="eastAsia" w:ascii="宋体" w:hAnsi="宋体" w:eastAsia="宋体" w:cs="宋体"/>
          <w:color w:val="auto"/>
          <w:spacing w:val="0"/>
          <w:w w:val="100"/>
          <w:position w:val="0"/>
        </w:rPr>
        <w:t>一）</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自评结论</w:t>
      </w:r>
    </w:p>
    <w:p w14:paraId="3377D354">
      <w:pPr>
        <w:pStyle w:val="13"/>
        <w:keepNext w:val="0"/>
        <w:keepLines w:val="0"/>
        <w:widowControl w:val="0"/>
        <w:shd w:val="clear" w:color="auto" w:fill="auto"/>
        <w:bidi w:val="0"/>
        <w:spacing w:before="0" w:after="0" w:line="579" w:lineRule="exact"/>
        <w:ind w:left="0" w:right="0" w:firstLine="62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2020年卫子镇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2020年基本完成，在保障机关运转、履行职能职责上整体情况良好。</w:t>
      </w:r>
    </w:p>
    <w:p w14:paraId="4BC37AF4">
      <w:pPr>
        <w:pStyle w:val="13"/>
        <w:keepNext w:val="0"/>
        <w:keepLines w:val="0"/>
        <w:widowControl w:val="0"/>
        <w:shd w:val="clear" w:color="auto" w:fill="auto"/>
        <w:tabs>
          <w:tab w:val="left" w:pos="1295"/>
        </w:tabs>
        <w:bidi w:val="0"/>
        <w:spacing w:before="0" w:after="0" w:line="579" w:lineRule="exact"/>
        <w:ind w:left="0" w:right="0" w:firstLine="480"/>
        <w:jc w:val="left"/>
        <w:rPr>
          <w:rFonts w:hint="eastAsia" w:ascii="宋体" w:hAnsi="宋体" w:eastAsia="宋体" w:cs="宋体"/>
          <w:color w:val="auto"/>
        </w:rPr>
      </w:pPr>
      <w:bookmarkStart w:id="121" w:name="bookmark117"/>
      <w:r>
        <w:rPr>
          <w:rFonts w:hint="eastAsia" w:ascii="宋体" w:hAnsi="宋体" w:eastAsia="宋体" w:cs="宋体"/>
          <w:color w:val="auto"/>
          <w:spacing w:val="0"/>
          <w:w w:val="100"/>
          <w:position w:val="0"/>
        </w:rPr>
        <w:t>（</w:t>
      </w:r>
      <w:bookmarkEnd w:id="121"/>
      <w:r>
        <w:rPr>
          <w:rFonts w:hint="eastAsia" w:ascii="宋体" w:hAnsi="宋体" w:eastAsia="宋体" w:cs="宋体"/>
          <w:color w:val="auto"/>
          <w:spacing w:val="0"/>
          <w:w w:val="100"/>
          <w:position w:val="0"/>
        </w:rPr>
        <w:t>二）</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存在问题</w:t>
      </w:r>
    </w:p>
    <w:p w14:paraId="1D460620">
      <w:pPr>
        <w:pStyle w:val="13"/>
        <w:keepNext w:val="0"/>
        <w:keepLines w:val="0"/>
        <w:widowControl w:val="0"/>
        <w:shd w:val="clear" w:color="auto" w:fill="auto"/>
        <w:bidi w:val="0"/>
        <w:spacing w:before="0" w:after="0" w:line="582" w:lineRule="exact"/>
        <w:ind w:left="0" w:right="0" w:firstLine="600"/>
        <w:jc w:val="left"/>
        <w:rPr>
          <w:rFonts w:hint="eastAsia" w:ascii="宋体" w:hAnsi="宋体" w:eastAsia="宋体" w:cs="宋体"/>
          <w:color w:val="auto"/>
        </w:rPr>
      </w:pPr>
      <w:r>
        <w:rPr>
          <w:rFonts w:hint="eastAsia" w:ascii="宋体" w:hAnsi="宋体" w:eastAsia="宋体" w:cs="宋体"/>
          <w:color w:val="auto"/>
          <w:spacing w:val="0"/>
          <w:w w:val="100"/>
          <w:position w:val="0"/>
        </w:rPr>
        <w:t>固定资产盘活程度不够深入，绩效目标意识较差。</w:t>
      </w:r>
    </w:p>
    <w:p w14:paraId="016A304D">
      <w:pPr>
        <w:pStyle w:val="13"/>
        <w:keepNext w:val="0"/>
        <w:keepLines w:val="0"/>
        <w:widowControl w:val="0"/>
        <w:shd w:val="clear" w:color="auto" w:fill="auto"/>
        <w:tabs>
          <w:tab w:val="left" w:pos="1295"/>
        </w:tabs>
        <w:bidi w:val="0"/>
        <w:spacing w:before="0" w:after="100" w:line="582" w:lineRule="exact"/>
        <w:ind w:left="0" w:right="0" w:firstLine="480"/>
        <w:jc w:val="left"/>
        <w:rPr>
          <w:rFonts w:hint="eastAsia" w:ascii="宋体" w:hAnsi="宋体" w:eastAsia="宋体" w:cs="宋体"/>
          <w:color w:val="auto"/>
        </w:rPr>
      </w:pPr>
      <w:bookmarkStart w:id="122" w:name="bookmark118"/>
      <w:r>
        <w:rPr>
          <w:rFonts w:hint="eastAsia" w:ascii="宋体" w:hAnsi="宋体" w:eastAsia="宋体" w:cs="宋体"/>
          <w:color w:val="auto"/>
          <w:spacing w:val="0"/>
          <w:w w:val="100"/>
          <w:position w:val="0"/>
        </w:rPr>
        <w:t>（</w:t>
      </w:r>
      <w:bookmarkEnd w:id="122"/>
      <w:r>
        <w:rPr>
          <w:rFonts w:hint="eastAsia" w:ascii="宋体" w:hAnsi="宋体" w:eastAsia="宋体" w:cs="宋体"/>
          <w:color w:val="auto"/>
          <w:spacing w:val="0"/>
          <w:w w:val="100"/>
          <w:position w:val="0"/>
        </w:rPr>
        <w:t>三）</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相关建议</w:t>
      </w:r>
    </w:p>
    <w:p w14:paraId="4DF157A0">
      <w:pPr>
        <w:pStyle w:val="13"/>
        <w:keepNext w:val="0"/>
        <w:keepLines w:val="0"/>
        <w:widowControl w:val="0"/>
        <w:shd w:val="clear" w:color="auto" w:fill="auto"/>
        <w:bidi w:val="0"/>
        <w:spacing w:before="0" w:after="0" w:line="570" w:lineRule="exact"/>
        <w:ind w:left="0" w:right="0" w:firstLine="600"/>
        <w:jc w:val="left"/>
        <w:rPr>
          <w:rFonts w:hint="eastAsia" w:ascii="宋体" w:hAnsi="宋体" w:eastAsia="宋体" w:cs="宋体"/>
          <w:color w:val="auto"/>
        </w:rPr>
        <w:sectPr>
          <w:footnotePr>
            <w:numFmt w:val="decimal"/>
          </w:footnotePr>
          <w:pgSz w:w="11900" w:h="16840"/>
          <w:pgMar w:top="1440" w:right="1800" w:bottom="1440" w:left="1800" w:header="0" w:footer="567" w:gutter="0"/>
          <w:cols w:space="720" w:num="1"/>
          <w:titlePg/>
          <w:rtlGutter w:val="0"/>
          <w:docGrid w:linePitch="360" w:charSpace="0"/>
        </w:sectPr>
      </w:pPr>
      <w:r>
        <w:rPr>
          <w:rFonts w:hint="eastAsia" w:ascii="宋体" w:hAnsi="宋体" w:eastAsia="宋体" w:cs="宋体"/>
          <w:color w:val="auto"/>
          <w:spacing w:val="0"/>
          <w:w w:val="100"/>
          <w:position w:val="0"/>
        </w:rPr>
        <w:t>严格按《行政单位财务规则》和《行政单位会计制度》的规定准确核算财务收支、编制财务报表，同时加强资产管理，定期和不定期逾点资产，以保证资产账实相符、账表相符。</w:t>
      </w:r>
    </w:p>
    <w:p w14:paraId="6583ABB9">
      <w:pPr>
        <w:pStyle w:val="16"/>
        <w:keepNext w:val="0"/>
        <w:keepLines w:val="0"/>
        <w:widowControl w:val="0"/>
        <w:shd w:val="clear" w:color="auto" w:fill="auto"/>
        <w:bidi w:val="0"/>
        <w:spacing w:before="300" w:after="620" w:line="240" w:lineRule="auto"/>
        <w:ind w:left="0" w:right="0" w:firstLine="0"/>
        <w:jc w:val="left"/>
        <w:rPr>
          <w:rFonts w:hint="eastAsia" w:ascii="宋体" w:hAnsi="宋体" w:eastAsia="宋体" w:cs="宋体"/>
          <w:color w:val="auto"/>
        </w:rPr>
      </w:pPr>
      <w:r>
        <w:rPr>
          <w:rFonts w:hint="eastAsia" w:ascii="宋体" w:hAnsi="宋体" w:eastAsia="宋体" w:cs="宋体"/>
          <w:color w:val="auto"/>
          <w:spacing w:val="0"/>
          <w:w w:val="100"/>
          <w:position w:val="0"/>
        </w:rPr>
        <w:t>附件</w:t>
      </w:r>
      <w:r>
        <w:rPr>
          <w:rFonts w:hint="eastAsia" w:ascii="宋体" w:hAnsi="宋体" w:eastAsia="宋体" w:cs="宋体"/>
          <w:color w:val="auto"/>
          <w:spacing w:val="0"/>
          <w:w w:val="100"/>
          <w:position w:val="0"/>
          <w:lang w:val="zh-CN" w:eastAsia="zh-CN" w:bidi="zh-CN"/>
        </w:rPr>
        <w:t>2</w:t>
      </w:r>
    </w:p>
    <w:p w14:paraId="0736D5C2">
      <w:pPr>
        <w:pStyle w:val="14"/>
        <w:keepNext/>
        <w:keepLines/>
        <w:widowControl w:val="0"/>
        <w:shd w:val="clear" w:color="auto" w:fill="auto"/>
        <w:bidi w:val="0"/>
        <w:spacing w:before="0" w:after="180" w:line="555" w:lineRule="exact"/>
        <w:ind w:left="0" w:right="0" w:firstLine="0"/>
        <w:jc w:val="center"/>
        <w:rPr>
          <w:rFonts w:hint="eastAsia" w:ascii="宋体" w:hAnsi="宋体" w:eastAsia="宋体" w:cs="宋体"/>
          <w:color w:val="auto"/>
        </w:rPr>
      </w:pPr>
      <w:bookmarkStart w:id="123" w:name="bookmark119"/>
      <w:bookmarkStart w:id="124" w:name="_Toc3476"/>
      <w:bookmarkStart w:id="125" w:name="bookmark120"/>
      <w:bookmarkStart w:id="126" w:name="bookmark121"/>
      <w:r>
        <w:rPr>
          <w:rFonts w:hint="eastAsia" w:ascii="宋体" w:hAnsi="宋体" w:eastAsia="宋体" w:cs="宋体"/>
          <w:color w:val="auto"/>
          <w:spacing w:val="0"/>
          <w:w w:val="100"/>
          <w:position w:val="0"/>
        </w:rPr>
        <w:t>卫子镇基层组织活动和公共服务运行项目</w:t>
      </w:r>
      <w:r>
        <w:rPr>
          <w:rFonts w:hint="eastAsia" w:ascii="宋体" w:hAnsi="宋体" w:eastAsia="宋体" w:cs="宋体"/>
          <w:color w:val="auto"/>
          <w:spacing w:val="0"/>
          <w:w w:val="100"/>
          <w:position w:val="0"/>
          <w:sz w:val="42"/>
          <w:szCs w:val="42"/>
        </w:rPr>
        <w:t>2020</w:t>
      </w:r>
      <w:r>
        <w:rPr>
          <w:rFonts w:hint="eastAsia" w:ascii="宋体" w:hAnsi="宋体" w:eastAsia="宋体" w:cs="宋体"/>
          <w:color w:val="auto"/>
          <w:spacing w:val="0"/>
          <w:w w:val="100"/>
          <w:position w:val="0"/>
        </w:rPr>
        <w:t>年绩效评价报告</w:t>
      </w:r>
      <w:bookmarkEnd w:id="123"/>
      <w:bookmarkEnd w:id="124"/>
      <w:bookmarkEnd w:id="125"/>
      <w:bookmarkEnd w:id="126"/>
    </w:p>
    <w:p w14:paraId="73A98451">
      <w:pPr>
        <w:pStyle w:val="13"/>
        <w:keepNext w:val="0"/>
        <w:keepLines w:val="0"/>
        <w:widowControl w:val="0"/>
        <w:shd w:val="clear" w:color="auto" w:fill="auto"/>
        <w:tabs>
          <w:tab w:val="left" w:pos="1598"/>
        </w:tabs>
        <w:bidi w:val="0"/>
        <w:spacing w:before="0" w:after="80" w:line="622" w:lineRule="exact"/>
        <w:ind w:left="0" w:right="0" w:firstLine="780"/>
        <w:jc w:val="left"/>
        <w:rPr>
          <w:rFonts w:hint="eastAsia" w:ascii="宋体" w:hAnsi="宋体" w:eastAsia="宋体" w:cs="宋体"/>
          <w:color w:val="auto"/>
        </w:rPr>
      </w:pPr>
      <w:bookmarkStart w:id="127" w:name="bookmark122"/>
      <w:r>
        <w:rPr>
          <w:rFonts w:hint="eastAsia" w:ascii="宋体" w:hAnsi="宋体" w:eastAsia="宋体" w:cs="宋体"/>
          <w:color w:val="auto"/>
          <w:spacing w:val="0"/>
          <w:w w:val="100"/>
          <w:position w:val="0"/>
        </w:rPr>
        <w:t>（</w:t>
      </w:r>
      <w:bookmarkEnd w:id="127"/>
      <w:r>
        <w:rPr>
          <w:rFonts w:hint="eastAsia" w:ascii="宋体" w:hAnsi="宋体" w:eastAsia="宋体" w:cs="宋体"/>
          <w:color w:val="auto"/>
          <w:spacing w:val="0"/>
          <w:w w:val="100"/>
          <w:position w:val="0"/>
        </w:rPr>
        <w:t>一）项目基本情况</w:t>
      </w:r>
    </w:p>
    <w:p w14:paraId="58EA25BB">
      <w:pPr>
        <w:pStyle w:val="13"/>
        <w:keepNext w:val="0"/>
        <w:keepLines w:val="0"/>
        <w:widowControl w:val="0"/>
        <w:shd w:val="clear" w:color="auto" w:fill="auto"/>
        <w:bidi w:val="0"/>
        <w:spacing w:before="0" w:after="0" w:line="582" w:lineRule="exact"/>
        <w:ind w:left="0" w:right="0" w:firstLine="64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卫子镇位于广元市昭化区中心地帯，全镇幅员面积</w:t>
      </w:r>
      <w:r>
        <w:rPr>
          <w:rFonts w:hint="eastAsia" w:ascii="宋体" w:hAnsi="宋体" w:eastAsia="宋体" w:cs="宋体"/>
          <w:color w:val="auto"/>
          <w:spacing w:val="0"/>
          <w:w w:val="100"/>
          <w:position w:val="0"/>
          <w:lang w:val="en-US" w:eastAsia="en-US"/>
        </w:rPr>
        <w:t>209.97</w:t>
      </w:r>
      <w:r>
        <w:rPr>
          <w:rFonts w:hint="eastAsia" w:ascii="宋体" w:hAnsi="宋体" w:eastAsia="宋体" w:cs="宋体"/>
          <w:color w:val="auto"/>
          <w:spacing w:val="0"/>
          <w:w w:val="100"/>
          <w:position w:val="0"/>
        </w:rPr>
        <w:t>平方公里，所辖15村114个组和2个居民委员会，总人口26722余人，农业人口</w:t>
      </w:r>
      <w:r>
        <w:rPr>
          <w:rFonts w:hint="eastAsia" w:ascii="宋体" w:hAnsi="宋体" w:eastAsia="宋体" w:cs="宋体"/>
          <w:color w:val="auto"/>
          <w:spacing w:val="0"/>
          <w:w w:val="100"/>
          <w:position w:val="0"/>
          <w:lang w:val="en-US" w:eastAsia="en-US"/>
        </w:rPr>
        <w:t>23047</w:t>
      </w:r>
      <w:r>
        <w:rPr>
          <w:rFonts w:hint="eastAsia" w:ascii="宋体" w:hAnsi="宋体" w:eastAsia="宋体" w:cs="宋体"/>
          <w:color w:val="auto"/>
          <w:spacing w:val="0"/>
          <w:w w:val="100"/>
          <w:position w:val="0"/>
          <w:lang w:val="en-US" w:eastAsia="zh-CN"/>
        </w:rPr>
        <w:t>人</w:t>
      </w:r>
      <w:r>
        <w:rPr>
          <w:rFonts w:hint="eastAsia" w:ascii="宋体" w:hAnsi="宋体" w:eastAsia="宋体" w:cs="宋体"/>
          <w:color w:val="auto"/>
          <w:spacing w:val="0"/>
          <w:w w:val="100"/>
          <w:position w:val="0"/>
          <w:lang w:val="en-US" w:eastAsia="en-US"/>
        </w:rPr>
        <w:t>,</w:t>
      </w:r>
      <w:r>
        <w:rPr>
          <w:rFonts w:hint="eastAsia" w:ascii="宋体" w:hAnsi="宋体" w:eastAsia="宋体" w:cs="宋体"/>
          <w:color w:val="auto"/>
          <w:spacing w:val="0"/>
          <w:w w:val="100"/>
          <w:position w:val="0"/>
        </w:rPr>
        <w:t>城镇居民3675人。全镇15村2社区2020年实施农村公共服务运行维护项目。在上级财政部门的大力支持、精心组织、广泛宣传、科学实施下，项目的实施取得了较为明显的成效。</w:t>
      </w:r>
    </w:p>
    <w:p w14:paraId="63B4275F">
      <w:pPr>
        <w:pStyle w:val="13"/>
        <w:keepNext w:val="0"/>
        <w:keepLines w:val="0"/>
        <w:widowControl w:val="0"/>
        <w:shd w:val="clear" w:color="auto" w:fill="auto"/>
        <w:tabs>
          <w:tab w:val="left" w:pos="1598"/>
        </w:tabs>
        <w:bidi w:val="0"/>
        <w:spacing w:before="0" w:after="0" w:line="622" w:lineRule="exact"/>
        <w:ind w:left="0" w:right="0" w:firstLine="780"/>
        <w:jc w:val="left"/>
        <w:rPr>
          <w:rFonts w:hint="eastAsia" w:ascii="宋体" w:hAnsi="宋体" w:eastAsia="宋体" w:cs="宋体"/>
          <w:color w:val="auto"/>
        </w:rPr>
      </w:pPr>
      <w:bookmarkStart w:id="128" w:name="bookmark123"/>
      <w:r>
        <w:rPr>
          <w:rFonts w:hint="eastAsia" w:ascii="宋体" w:hAnsi="宋体" w:eastAsia="宋体" w:cs="宋体"/>
          <w:color w:val="auto"/>
          <w:spacing w:val="0"/>
          <w:w w:val="100"/>
          <w:position w:val="0"/>
        </w:rPr>
        <w:t>（</w:t>
      </w:r>
      <w:bookmarkEnd w:id="128"/>
      <w:r>
        <w:rPr>
          <w:rFonts w:hint="eastAsia" w:ascii="宋体" w:hAnsi="宋体" w:eastAsia="宋体" w:cs="宋体"/>
          <w:color w:val="auto"/>
          <w:spacing w:val="0"/>
          <w:w w:val="100"/>
          <w:position w:val="0"/>
        </w:rPr>
        <w:t>二）项目绩效目标</w:t>
      </w:r>
    </w:p>
    <w:p w14:paraId="62475C04">
      <w:pPr>
        <w:pStyle w:val="13"/>
        <w:keepNext w:val="0"/>
        <w:keepLines w:val="0"/>
        <w:widowControl w:val="0"/>
        <w:shd w:val="clear" w:color="auto" w:fill="auto"/>
        <w:bidi w:val="0"/>
        <w:spacing w:before="0" w:after="0" w:line="622" w:lineRule="exact"/>
        <w:ind w:left="0" w:right="0" w:firstLine="9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项目主要内容，见附件1。项目绩效目标，加强基层组织建设，提高公共运行服务保障水平和社会治理能力，严格按照《广元市昭化区基层活动和公共服务运行经</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使用管理办法》执行，完成17个村（居）组织活动场所维护、基础设施维护，维持17个村（居）日常办公运转。</w:t>
      </w:r>
    </w:p>
    <w:p w14:paraId="387D7A45">
      <w:pPr>
        <w:pStyle w:val="13"/>
        <w:keepNext w:val="0"/>
        <w:keepLines w:val="0"/>
        <w:widowControl w:val="0"/>
        <w:shd w:val="clear" w:color="auto" w:fill="auto"/>
        <w:bidi w:val="0"/>
        <w:spacing w:before="0" w:after="0" w:line="622" w:lineRule="exact"/>
        <w:ind w:left="0" w:right="0" w:firstLine="780"/>
        <w:jc w:val="left"/>
        <w:outlineLvl w:val="1"/>
        <w:rPr>
          <w:rFonts w:hint="eastAsia" w:ascii="宋体" w:hAnsi="宋体" w:eastAsia="宋体" w:cs="宋体"/>
          <w:color w:val="auto"/>
        </w:rPr>
      </w:pPr>
      <w:bookmarkStart w:id="129" w:name="bookmark124"/>
      <w:bookmarkStart w:id="130" w:name="_Toc12058"/>
      <w:r>
        <w:rPr>
          <w:rFonts w:hint="eastAsia" w:ascii="宋体" w:hAnsi="宋体" w:eastAsia="宋体" w:cs="宋体"/>
          <w:color w:val="auto"/>
          <w:spacing w:val="0"/>
          <w:w w:val="100"/>
          <w:position w:val="0"/>
        </w:rPr>
        <w:t>二</w:t>
      </w:r>
      <w:bookmarkEnd w:id="129"/>
      <w:r>
        <w:rPr>
          <w:rFonts w:hint="eastAsia" w:ascii="宋体" w:hAnsi="宋体" w:eastAsia="宋体" w:cs="宋体"/>
          <w:color w:val="auto"/>
          <w:spacing w:val="0"/>
          <w:w w:val="100"/>
          <w:position w:val="0"/>
        </w:rPr>
        <w:t>、项目资金申报及使用情况</w:t>
      </w:r>
      <w:bookmarkEnd w:id="130"/>
    </w:p>
    <w:p w14:paraId="7E2FEE33">
      <w:pPr>
        <w:pStyle w:val="13"/>
        <w:keepNext w:val="0"/>
        <w:keepLines w:val="0"/>
        <w:widowControl w:val="0"/>
        <w:shd w:val="clear" w:color="auto" w:fill="auto"/>
        <w:bidi w:val="0"/>
        <w:spacing w:before="0" w:after="0" w:line="622" w:lineRule="exact"/>
        <w:ind w:left="0" w:right="0" w:firstLine="780"/>
        <w:jc w:val="left"/>
        <w:rPr>
          <w:rFonts w:hint="eastAsia" w:ascii="宋体" w:hAnsi="宋体" w:eastAsia="宋体" w:cs="宋体"/>
          <w:color w:val="auto"/>
        </w:rPr>
      </w:pPr>
      <w:r>
        <w:rPr>
          <w:rFonts w:hint="eastAsia" w:ascii="宋体" w:hAnsi="宋体" w:eastAsia="宋体" w:cs="宋体"/>
          <w:color w:val="auto"/>
          <w:spacing w:val="0"/>
          <w:w w:val="100"/>
          <w:position w:val="0"/>
        </w:rPr>
        <w:t>（一）项目资金申报及批复情况</w:t>
      </w:r>
    </w:p>
    <w:p w14:paraId="562AD5B7">
      <w:pPr>
        <w:pStyle w:val="13"/>
        <w:keepNext w:val="0"/>
        <w:keepLines w:val="0"/>
        <w:widowControl w:val="0"/>
        <w:shd w:val="clear" w:color="auto" w:fill="auto"/>
        <w:bidi w:val="0"/>
        <w:spacing w:before="0" w:after="0" w:line="622" w:lineRule="exact"/>
        <w:ind w:left="0" w:right="0" w:firstLine="600" w:firstLineChars="200"/>
        <w:jc w:val="left"/>
        <w:rPr>
          <w:rFonts w:hint="eastAsia" w:ascii="宋体" w:hAnsi="宋体" w:eastAsia="宋体" w:cs="宋体"/>
          <w:color w:val="auto"/>
        </w:rPr>
      </w:pPr>
      <w:r>
        <w:rPr>
          <w:rFonts w:hint="eastAsia" w:ascii="宋体" w:hAnsi="宋体" w:eastAsia="宋体" w:cs="宋体"/>
          <w:color w:val="auto"/>
          <w:spacing w:val="0"/>
          <w:w w:val="100"/>
          <w:position w:val="0"/>
        </w:rPr>
        <w:t>卫子镇2020年基层组织活动和公共服务运行项目126万元，年初预算到单位大平台。</w:t>
      </w:r>
    </w:p>
    <w:p w14:paraId="6CA7E329">
      <w:pPr>
        <w:pStyle w:val="13"/>
        <w:keepNext w:val="0"/>
        <w:keepLines w:val="0"/>
        <w:widowControl w:val="0"/>
        <w:shd w:val="clear" w:color="auto" w:fill="auto"/>
        <w:tabs>
          <w:tab w:val="left" w:pos="1613"/>
        </w:tabs>
        <w:bidi w:val="0"/>
        <w:spacing w:before="0" w:after="0" w:line="630" w:lineRule="exact"/>
        <w:ind w:left="0" w:right="0" w:firstLine="780"/>
        <w:jc w:val="left"/>
        <w:rPr>
          <w:rFonts w:hint="eastAsia" w:ascii="宋体" w:hAnsi="宋体" w:eastAsia="宋体" w:cs="宋体"/>
          <w:color w:val="auto"/>
        </w:rPr>
      </w:pPr>
      <w:bookmarkStart w:id="131" w:name="bookmark125"/>
      <w:r>
        <w:rPr>
          <w:rFonts w:hint="eastAsia" w:ascii="宋体" w:hAnsi="宋体" w:eastAsia="宋体" w:cs="宋体"/>
          <w:color w:val="auto"/>
          <w:spacing w:val="0"/>
          <w:w w:val="100"/>
          <w:position w:val="0"/>
        </w:rPr>
        <w:t>（</w:t>
      </w:r>
      <w:bookmarkEnd w:id="131"/>
      <w:r>
        <w:rPr>
          <w:rFonts w:hint="eastAsia" w:ascii="宋体" w:hAnsi="宋体" w:eastAsia="宋体" w:cs="宋体"/>
          <w:color w:val="auto"/>
          <w:spacing w:val="0"/>
          <w:w w:val="100"/>
          <w:position w:val="0"/>
        </w:rPr>
        <w:t>二）资金计划、到位及使用情况</w:t>
      </w:r>
    </w:p>
    <w:p w14:paraId="4E0D7AB5">
      <w:pPr>
        <w:pStyle w:val="13"/>
        <w:keepNext w:val="0"/>
        <w:keepLines w:val="0"/>
        <w:widowControl w:val="0"/>
        <w:shd w:val="clear" w:color="auto" w:fill="auto"/>
        <w:tabs>
          <w:tab w:val="left" w:pos="1613"/>
        </w:tabs>
        <w:bidi w:val="0"/>
        <w:spacing w:before="0" w:after="0" w:line="630" w:lineRule="exact"/>
        <w:ind w:left="0" w:right="0" w:firstLine="78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我镇已收到区财政拨付项目资金</w:t>
      </w:r>
      <w:r>
        <w:rPr>
          <w:rFonts w:hint="eastAsia" w:ascii="宋体" w:hAnsi="宋体" w:eastAsia="宋体" w:cs="宋体"/>
          <w:color w:val="auto"/>
          <w:spacing w:val="0"/>
          <w:w w:val="100"/>
          <w:position w:val="0"/>
          <w:lang w:val="en-US" w:eastAsia="en-US"/>
        </w:rPr>
        <w:t>119.</w:t>
      </w:r>
      <w:r>
        <w:rPr>
          <w:rFonts w:hint="eastAsia" w:ascii="宋体" w:hAnsi="宋体" w:eastAsia="宋体" w:cs="宋体"/>
          <w:color w:val="auto"/>
          <w:spacing w:val="0"/>
          <w:w w:val="100"/>
          <w:position w:val="0"/>
        </w:rPr>
        <w:t>1086万元，已全部支付到位。</w:t>
      </w:r>
    </w:p>
    <w:p w14:paraId="212F385D">
      <w:pPr>
        <w:pStyle w:val="13"/>
        <w:keepNext w:val="0"/>
        <w:keepLines w:val="0"/>
        <w:widowControl w:val="0"/>
        <w:shd w:val="clear" w:color="auto" w:fill="auto"/>
        <w:tabs>
          <w:tab w:val="left" w:pos="1613"/>
        </w:tabs>
        <w:bidi w:val="0"/>
        <w:spacing w:before="0" w:after="0" w:line="630" w:lineRule="exact"/>
        <w:ind w:left="0" w:right="0" w:firstLine="780"/>
        <w:jc w:val="left"/>
        <w:rPr>
          <w:rFonts w:hint="eastAsia" w:ascii="宋体" w:hAnsi="宋体" w:eastAsia="宋体" w:cs="宋体"/>
          <w:color w:val="auto"/>
        </w:rPr>
      </w:pPr>
      <w:bookmarkStart w:id="132" w:name="bookmark126"/>
      <w:r>
        <w:rPr>
          <w:rFonts w:hint="eastAsia" w:ascii="宋体" w:hAnsi="宋体" w:eastAsia="宋体" w:cs="宋体"/>
          <w:color w:val="auto"/>
          <w:spacing w:val="0"/>
          <w:w w:val="100"/>
          <w:position w:val="0"/>
        </w:rPr>
        <w:t>（</w:t>
      </w:r>
      <w:bookmarkEnd w:id="132"/>
      <w:r>
        <w:rPr>
          <w:rFonts w:hint="eastAsia" w:ascii="宋体" w:hAnsi="宋体" w:eastAsia="宋体" w:cs="宋体"/>
          <w:color w:val="auto"/>
          <w:spacing w:val="0"/>
          <w:w w:val="100"/>
          <w:position w:val="0"/>
        </w:rPr>
        <w:t>三）项目财务管理情况</w:t>
      </w:r>
    </w:p>
    <w:p w14:paraId="7A782DC9">
      <w:pPr>
        <w:pStyle w:val="13"/>
        <w:keepNext w:val="0"/>
        <w:keepLines w:val="0"/>
        <w:widowControl w:val="0"/>
        <w:shd w:val="clear" w:color="auto" w:fill="auto"/>
        <w:bidi w:val="0"/>
        <w:spacing w:before="0" w:after="0" w:line="630" w:lineRule="exact"/>
        <w:ind w:left="0" w:right="0" w:firstLine="62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2020年基层组织活动和公共服务运行项目资金</w:t>
      </w:r>
      <w:r>
        <w:rPr>
          <w:rFonts w:hint="eastAsia" w:cs="宋体"/>
          <w:color w:val="auto"/>
          <w:spacing w:val="0"/>
          <w:w w:val="100"/>
          <w:position w:val="0"/>
          <w:lang w:eastAsia="zh-CN"/>
        </w:rPr>
        <w:t>采取</w:t>
      </w:r>
      <w:r>
        <w:rPr>
          <w:rFonts w:hint="eastAsia" w:ascii="宋体" w:hAnsi="宋体" w:eastAsia="宋体" w:cs="宋体"/>
          <w:color w:val="auto"/>
          <w:spacing w:val="0"/>
          <w:w w:val="100"/>
          <w:position w:val="0"/>
        </w:rPr>
        <w:t>财政授权支付形式，由各村居组织申报材料，形成项目专项资料报送财务部门，由财政所根据项目进度，严格按照项目资金管理办法对资金进行计划申请、划拨至所提供的企业指定账户，及时、规范对收支进行账务处理和会计核算。对项目资金坚持专款专用、量入为出的原则，并建立好项目专项资金使用台账，加强项目专项资金的财务管理及使用监督管理。</w:t>
      </w:r>
    </w:p>
    <w:p w14:paraId="1BBE4218">
      <w:pPr>
        <w:pStyle w:val="13"/>
        <w:keepNext w:val="0"/>
        <w:keepLines w:val="0"/>
        <w:widowControl w:val="0"/>
        <w:shd w:val="clear" w:color="auto" w:fill="auto"/>
        <w:bidi w:val="0"/>
        <w:spacing w:before="0" w:after="0" w:line="630" w:lineRule="exact"/>
        <w:ind w:left="0" w:right="0" w:firstLine="620"/>
        <w:jc w:val="left"/>
        <w:outlineLvl w:val="1"/>
        <w:rPr>
          <w:rFonts w:hint="eastAsia" w:ascii="宋体" w:hAnsi="宋体" w:eastAsia="宋体" w:cs="宋体"/>
          <w:color w:val="auto"/>
        </w:rPr>
      </w:pPr>
      <w:bookmarkStart w:id="133" w:name="bookmark127"/>
      <w:bookmarkStart w:id="134" w:name="_Toc25719"/>
      <w:r>
        <w:rPr>
          <w:rFonts w:hint="eastAsia" w:ascii="宋体" w:hAnsi="宋体" w:eastAsia="宋体" w:cs="宋体"/>
          <w:color w:val="auto"/>
          <w:spacing w:val="0"/>
          <w:w w:val="100"/>
          <w:position w:val="0"/>
        </w:rPr>
        <w:t>三</w:t>
      </w:r>
      <w:bookmarkEnd w:id="133"/>
      <w:r>
        <w:rPr>
          <w:rFonts w:hint="eastAsia" w:ascii="宋体" w:hAnsi="宋体" w:eastAsia="宋体" w:cs="宋体"/>
          <w:color w:val="auto"/>
          <w:spacing w:val="0"/>
          <w:w w:val="100"/>
          <w:position w:val="0"/>
        </w:rPr>
        <w:t>、项目实施及管理情况</w:t>
      </w:r>
      <w:bookmarkEnd w:id="134"/>
    </w:p>
    <w:p w14:paraId="7F4A5DA9">
      <w:pPr>
        <w:pStyle w:val="13"/>
        <w:keepNext w:val="0"/>
        <w:keepLines w:val="0"/>
        <w:widowControl w:val="0"/>
        <w:shd w:val="clear" w:color="auto" w:fill="auto"/>
        <w:bidi w:val="0"/>
        <w:spacing w:before="0" w:after="0" w:line="660" w:lineRule="exact"/>
        <w:ind w:left="0" w:right="0" w:firstLine="62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2020年基层组织活动和公共服务运行项目由卫子镇人民政府负责和管理，由镇财政所按照进度统一实现支付。</w:t>
      </w:r>
    </w:p>
    <w:p w14:paraId="74A6401C">
      <w:pPr>
        <w:pStyle w:val="13"/>
        <w:keepNext w:val="0"/>
        <w:keepLines w:val="0"/>
        <w:widowControl w:val="0"/>
        <w:shd w:val="clear" w:color="auto" w:fill="auto"/>
        <w:tabs>
          <w:tab w:val="left" w:pos="1410"/>
        </w:tabs>
        <w:bidi w:val="0"/>
        <w:spacing w:before="0" w:after="0" w:line="630" w:lineRule="exact"/>
        <w:ind w:left="0" w:right="0" w:firstLine="780"/>
        <w:jc w:val="left"/>
        <w:outlineLvl w:val="1"/>
        <w:rPr>
          <w:rFonts w:hint="eastAsia" w:ascii="宋体" w:hAnsi="宋体" w:eastAsia="宋体" w:cs="宋体"/>
          <w:color w:val="auto"/>
        </w:rPr>
      </w:pPr>
      <w:bookmarkStart w:id="135" w:name="bookmark128"/>
      <w:bookmarkStart w:id="136" w:name="_Toc30659"/>
      <w:r>
        <w:rPr>
          <w:rFonts w:hint="eastAsia" w:ascii="宋体" w:hAnsi="宋体" w:eastAsia="宋体" w:cs="宋体"/>
          <w:color w:val="auto"/>
          <w:spacing w:val="0"/>
          <w:w w:val="100"/>
          <w:position w:val="0"/>
        </w:rPr>
        <w:t>四</w:t>
      </w:r>
      <w:bookmarkEnd w:id="135"/>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项目绩效情况</w:t>
      </w:r>
      <w:bookmarkEnd w:id="136"/>
    </w:p>
    <w:p w14:paraId="40BBB935">
      <w:pPr>
        <w:pStyle w:val="13"/>
        <w:keepNext w:val="0"/>
        <w:keepLines w:val="0"/>
        <w:widowControl w:val="0"/>
        <w:shd w:val="clear" w:color="auto" w:fill="auto"/>
        <w:bidi w:val="0"/>
        <w:spacing w:before="0" w:after="0" w:line="607" w:lineRule="exact"/>
        <w:ind w:left="0" w:right="0" w:firstLine="960"/>
        <w:jc w:val="left"/>
        <w:rPr>
          <w:rFonts w:hint="eastAsia" w:ascii="宋体" w:hAnsi="宋体" w:eastAsia="宋体" w:cs="宋体"/>
          <w:color w:val="auto"/>
        </w:rPr>
      </w:pPr>
      <w:r>
        <w:rPr>
          <w:rFonts w:hint="eastAsia" w:ascii="宋体" w:hAnsi="宋体" w:eastAsia="宋体" w:cs="宋体"/>
          <w:color w:val="auto"/>
          <w:spacing w:val="0"/>
          <w:w w:val="100"/>
          <w:position w:val="0"/>
        </w:rPr>
        <w:t>通过对所有项目的实施维护，加强基层组织建设，提高公共运行服务保障水平和社会治理能力，完成17个村（居）组织活动场所维护、基础设施维护，维持17个村（居）日常办公运转。</w:t>
      </w:r>
    </w:p>
    <w:p w14:paraId="40F8746F">
      <w:pPr>
        <w:pStyle w:val="13"/>
        <w:keepNext w:val="0"/>
        <w:keepLines w:val="0"/>
        <w:widowControl w:val="0"/>
        <w:shd w:val="clear" w:color="auto" w:fill="auto"/>
        <w:tabs>
          <w:tab w:val="left" w:pos="1410"/>
        </w:tabs>
        <w:bidi w:val="0"/>
        <w:spacing w:before="0" w:after="0" w:line="630" w:lineRule="exact"/>
        <w:ind w:left="0" w:right="0" w:firstLine="780"/>
        <w:jc w:val="left"/>
        <w:outlineLvl w:val="1"/>
        <w:rPr>
          <w:rFonts w:hint="eastAsia" w:ascii="宋体" w:hAnsi="宋体" w:eastAsia="宋体" w:cs="宋体"/>
          <w:color w:val="auto"/>
        </w:rPr>
        <w:sectPr>
          <w:footerReference r:id="rId13" w:type="default"/>
          <w:footnotePr>
            <w:numFmt w:val="decimal"/>
          </w:footnotePr>
          <w:pgSz w:w="11900" w:h="16840"/>
          <w:pgMar w:top="1440" w:right="1800" w:bottom="1440" w:left="1800" w:header="1527" w:footer="567" w:gutter="0"/>
          <w:cols w:space="720" w:num="1"/>
          <w:rtlGutter w:val="0"/>
          <w:docGrid w:linePitch="360" w:charSpace="0"/>
        </w:sectPr>
      </w:pPr>
      <w:bookmarkStart w:id="137" w:name="bookmark129"/>
      <w:bookmarkStart w:id="138" w:name="_Toc24610"/>
      <w:r>
        <w:rPr>
          <w:rFonts w:hint="eastAsia" w:ascii="宋体" w:hAnsi="宋体" w:eastAsia="宋体" w:cs="宋体"/>
          <w:color w:val="auto"/>
          <w:spacing w:val="0"/>
          <w:w w:val="100"/>
          <w:position w:val="0"/>
        </w:rPr>
        <w:t>五</w:t>
      </w:r>
      <w:bookmarkEnd w:id="137"/>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评价结论及建议</w:t>
      </w:r>
      <w:bookmarkEnd w:id="138"/>
    </w:p>
    <w:p w14:paraId="0E4684E8">
      <w:pPr>
        <w:pStyle w:val="13"/>
        <w:keepNext w:val="0"/>
        <w:keepLines w:val="0"/>
        <w:widowControl w:val="0"/>
        <w:shd w:val="clear" w:color="auto" w:fill="auto"/>
        <w:tabs>
          <w:tab w:val="left" w:pos="1535"/>
        </w:tabs>
        <w:bidi w:val="0"/>
        <w:spacing w:before="0" w:after="0" w:line="630" w:lineRule="exact"/>
        <w:ind w:left="0" w:right="0" w:firstLine="780"/>
        <w:jc w:val="left"/>
        <w:rPr>
          <w:rFonts w:hint="eastAsia" w:ascii="宋体" w:hAnsi="宋体" w:eastAsia="宋体" w:cs="宋体"/>
          <w:color w:val="auto"/>
        </w:rPr>
      </w:pPr>
      <w:bookmarkStart w:id="139" w:name="bookmark130"/>
      <w:r>
        <w:rPr>
          <w:rFonts w:hint="eastAsia" w:ascii="宋体" w:hAnsi="宋体" w:eastAsia="宋体" w:cs="宋体"/>
          <w:color w:val="auto"/>
          <w:spacing w:val="0"/>
          <w:w w:val="100"/>
          <w:position w:val="0"/>
        </w:rPr>
        <w:t>（</w:t>
      </w:r>
      <w:bookmarkEnd w:id="139"/>
      <w:r>
        <w:rPr>
          <w:rFonts w:hint="eastAsia" w:ascii="宋体" w:hAnsi="宋体" w:eastAsia="宋体" w:cs="宋体"/>
          <w:color w:val="auto"/>
          <w:spacing w:val="0"/>
          <w:w w:val="100"/>
          <w:position w:val="0"/>
        </w:rPr>
        <w:t>一）评价结论</w:t>
      </w:r>
    </w:p>
    <w:p w14:paraId="2C4A9A99">
      <w:pPr>
        <w:pStyle w:val="13"/>
        <w:keepNext w:val="0"/>
        <w:keepLines w:val="0"/>
        <w:widowControl w:val="0"/>
        <w:shd w:val="clear" w:color="auto" w:fill="auto"/>
        <w:bidi w:val="0"/>
        <w:spacing w:before="0" w:after="0" w:line="607" w:lineRule="exact"/>
        <w:ind w:left="0" w:right="0" w:firstLine="960"/>
        <w:jc w:val="left"/>
        <w:rPr>
          <w:rFonts w:hint="eastAsia" w:ascii="宋体" w:hAnsi="宋体" w:eastAsia="宋体" w:cs="宋体"/>
          <w:color w:val="auto"/>
        </w:rPr>
      </w:pPr>
      <w:r>
        <w:rPr>
          <w:rFonts w:hint="eastAsia" w:ascii="宋体" w:hAnsi="宋体" w:eastAsia="宋体" w:cs="宋体"/>
          <w:color w:val="auto"/>
          <w:spacing w:val="0"/>
          <w:w w:val="100"/>
          <w:position w:val="0"/>
        </w:rPr>
        <w:t>通过对所有项目的实施维护，加强基层组织建设，提高公共运行服务保障水平和社会治理能力，完成17个村（居）组织活动场所维护、基础设施维护，维持17个村（居）日常办公运转。</w:t>
      </w:r>
    </w:p>
    <w:p w14:paraId="61971ADE">
      <w:pPr>
        <w:pStyle w:val="13"/>
        <w:keepNext w:val="0"/>
        <w:keepLines w:val="0"/>
        <w:widowControl w:val="0"/>
        <w:shd w:val="clear" w:color="auto" w:fill="auto"/>
        <w:tabs>
          <w:tab w:val="left" w:pos="1535"/>
        </w:tabs>
        <w:bidi w:val="0"/>
        <w:spacing w:before="0" w:after="0" w:line="630" w:lineRule="exact"/>
        <w:ind w:left="0" w:right="0" w:firstLine="780"/>
        <w:jc w:val="left"/>
        <w:rPr>
          <w:rFonts w:hint="eastAsia" w:ascii="宋体" w:hAnsi="宋体" w:eastAsia="宋体" w:cs="宋体"/>
          <w:color w:val="auto"/>
        </w:rPr>
      </w:pPr>
      <w:bookmarkStart w:id="140" w:name="bookmark131"/>
      <w:r>
        <w:rPr>
          <w:rFonts w:hint="eastAsia" w:ascii="宋体" w:hAnsi="宋体" w:eastAsia="宋体" w:cs="宋体"/>
          <w:color w:val="auto"/>
          <w:spacing w:val="0"/>
          <w:w w:val="100"/>
          <w:position w:val="0"/>
        </w:rPr>
        <w:t>（</w:t>
      </w:r>
      <w:bookmarkEnd w:id="140"/>
      <w:r>
        <w:rPr>
          <w:rFonts w:hint="eastAsia" w:ascii="宋体" w:hAnsi="宋体" w:eastAsia="宋体" w:cs="宋体"/>
          <w:color w:val="auto"/>
          <w:spacing w:val="0"/>
          <w:w w:val="100"/>
          <w:position w:val="0"/>
        </w:rPr>
        <w:t>二）存在的问题。一是村社干部及农户对农村公共服务运行维护机制建设认识尚不到位，存在重建设、轻管理消极思想，对既有的建设成果不珍惜，不能长时间保持与维护。二是项目申报、实施、管理等系列程序尚缺乏一套完整、详细、有效的制度和奖惩措施，导致在项目实施过程中，存在有些具体细节不好把握的问题，如有待规范规定维护项目应有保质期标准等。三是资金存在严重不足，如有些村有道路由于遭受过暴雨毁损，没有足够的资金进行维护，个别山坪塘漏水无资金维修，日常道路保洁因为资金受限，工资太低，无人愿意清扫等问题。</w:t>
      </w:r>
    </w:p>
    <w:p w14:paraId="3F00E5BA">
      <w:pPr>
        <w:pStyle w:val="13"/>
        <w:keepNext w:val="0"/>
        <w:keepLines w:val="0"/>
        <w:widowControl w:val="0"/>
        <w:shd w:val="clear" w:color="auto" w:fill="auto"/>
        <w:tabs>
          <w:tab w:val="left" w:pos="1535"/>
        </w:tabs>
        <w:bidi w:val="0"/>
        <w:spacing w:before="0" w:after="0" w:line="630" w:lineRule="exact"/>
        <w:ind w:left="0" w:right="0" w:firstLine="780"/>
        <w:jc w:val="left"/>
        <w:rPr>
          <w:rFonts w:hint="eastAsia" w:ascii="宋体" w:hAnsi="宋体" w:eastAsia="宋体" w:cs="宋体"/>
          <w:color w:val="auto"/>
        </w:rPr>
        <w:sectPr>
          <w:footerReference r:id="rId14" w:type="default"/>
          <w:footnotePr>
            <w:numFmt w:val="decimal"/>
          </w:footnotePr>
          <w:type w:val="continuous"/>
          <w:pgSz w:w="11900" w:h="16840"/>
          <w:pgMar w:top="1440" w:right="1800" w:bottom="1440" w:left="1800" w:header="1527" w:footer="567" w:gutter="0"/>
          <w:cols w:space="720" w:num="1"/>
          <w:rtlGutter w:val="0"/>
          <w:docGrid w:linePitch="360" w:charSpace="0"/>
        </w:sectPr>
      </w:pPr>
      <w:bookmarkStart w:id="141" w:name="bookmark132"/>
      <w:r>
        <w:rPr>
          <w:rFonts w:hint="eastAsia" w:ascii="宋体" w:hAnsi="宋体" w:eastAsia="宋体" w:cs="宋体"/>
          <w:color w:val="auto"/>
          <w:spacing w:val="0"/>
          <w:w w:val="100"/>
          <w:position w:val="0"/>
        </w:rPr>
        <w:t>（</w:t>
      </w:r>
      <w:bookmarkEnd w:id="141"/>
      <w:r>
        <w:rPr>
          <w:rFonts w:hint="eastAsia" w:ascii="宋体" w:hAnsi="宋体" w:eastAsia="宋体" w:cs="宋体"/>
          <w:color w:val="auto"/>
          <w:spacing w:val="0"/>
          <w:w w:val="100"/>
          <w:position w:val="0"/>
        </w:rPr>
        <w:t>三）相关建议。一是规范性出台一套项目管理的奖惩制度,促进村社及农户对维护项目成果的珍惜和保持。二是进一步完善法规程序，加强公开透明，避免民主参与流于形式。三是加大项目资金整合力度，促进到村项目由分散使用向综合投入转变。</w:t>
      </w:r>
    </w:p>
    <w:p w14:paraId="6489A91C">
      <w:pPr>
        <w:pStyle w:val="14"/>
        <w:keepNext/>
        <w:keepLines/>
        <w:widowControl w:val="0"/>
        <w:shd w:val="clear" w:color="auto" w:fill="auto"/>
        <w:bidi w:val="0"/>
        <w:spacing w:before="0" w:after="540" w:line="240" w:lineRule="auto"/>
        <w:ind w:left="0" w:right="0" w:firstLine="0"/>
        <w:jc w:val="center"/>
        <w:rPr>
          <w:rFonts w:hint="eastAsia" w:ascii="宋体" w:hAnsi="宋体" w:eastAsia="宋体" w:cs="宋体"/>
          <w:b/>
          <w:bCs/>
          <w:color w:val="auto"/>
        </w:rPr>
      </w:pPr>
      <w:bookmarkStart w:id="142" w:name="_Toc19181"/>
      <w:bookmarkStart w:id="143" w:name="bookmark135"/>
      <w:bookmarkStart w:id="144" w:name="bookmark134"/>
      <w:bookmarkStart w:id="145" w:name="bookmark133"/>
      <w:r>
        <w:rPr>
          <w:rFonts w:hint="eastAsia" w:ascii="宋体" w:hAnsi="宋体" w:eastAsia="宋体" w:cs="宋体"/>
          <w:b/>
          <w:bCs/>
          <w:color w:val="auto"/>
          <w:spacing w:val="0"/>
          <w:w w:val="100"/>
          <w:position w:val="0"/>
        </w:rPr>
        <w:t>第五部分附表</w:t>
      </w:r>
      <w:bookmarkEnd w:id="142"/>
      <w:bookmarkEnd w:id="143"/>
      <w:bookmarkEnd w:id="144"/>
      <w:bookmarkEnd w:id="145"/>
    </w:p>
    <w:p w14:paraId="62EF4844">
      <w:pPr>
        <w:pStyle w:val="13"/>
        <w:keepNext w:val="0"/>
        <w:keepLines w:val="0"/>
        <w:widowControl w:val="0"/>
        <w:shd w:val="clear" w:color="auto" w:fill="auto"/>
        <w:tabs>
          <w:tab w:val="left" w:pos="1050"/>
        </w:tabs>
        <w:bidi w:val="0"/>
        <w:spacing w:before="0" w:after="0" w:line="577" w:lineRule="exact"/>
        <w:ind w:left="0" w:right="0" w:firstLine="420"/>
        <w:jc w:val="left"/>
        <w:rPr>
          <w:rFonts w:hint="eastAsia" w:ascii="宋体" w:hAnsi="宋体" w:eastAsia="宋体" w:cs="宋体"/>
          <w:color w:val="auto"/>
        </w:rPr>
      </w:pPr>
      <w:bookmarkStart w:id="146" w:name="bookmark136"/>
      <w:r>
        <w:rPr>
          <w:rFonts w:hint="eastAsia" w:ascii="宋体" w:hAnsi="宋体" w:eastAsia="宋体" w:cs="宋体"/>
          <w:color w:val="auto"/>
          <w:spacing w:val="0"/>
          <w:w w:val="100"/>
          <w:position w:val="0"/>
        </w:rPr>
        <w:t>一</w:t>
      </w:r>
      <w:bookmarkEnd w:id="146"/>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收入支出决算总表</w:t>
      </w:r>
    </w:p>
    <w:p w14:paraId="4566D727">
      <w:pPr>
        <w:pStyle w:val="13"/>
        <w:keepNext w:val="0"/>
        <w:keepLines w:val="0"/>
        <w:widowControl w:val="0"/>
        <w:shd w:val="clear" w:color="auto" w:fill="auto"/>
        <w:tabs>
          <w:tab w:val="left" w:pos="1050"/>
        </w:tabs>
        <w:bidi w:val="0"/>
        <w:spacing w:before="0" w:after="0" w:line="577" w:lineRule="exact"/>
        <w:ind w:left="0" w:right="0" w:firstLine="420"/>
        <w:jc w:val="left"/>
        <w:rPr>
          <w:rFonts w:hint="eastAsia" w:ascii="宋体" w:hAnsi="宋体" w:eastAsia="宋体" w:cs="宋体"/>
          <w:color w:val="auto"/>
        </w:rPr>
      </w:pPr>
      <w:bookmarkStart w:id="147" w:name="bookmark137"/>
      <w:r>
        <w:rPr>
          <w:rFonts w:hint="eastAsia" w:ascii="宋体" w:hAnsi="宋体" w:eastAsia="宋体" w:cs="宋体"/>
          <w:color w:val="auto"/>
          <w:spacing w:val="0"/>
          <w:w w:val="100"/>
          <w:position w:val="0"/>
        </w:rPr>
        <w:t>二</w:t>
      </w:r>
      <w:bookmarkEnd w:id="147"/>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收入决算表</w:t>
      </w:r>
    </w:p>
    <w:p w14:paraId="41D35FBB">
      <w:pPr>
        <w:pStyle w:val="13"/>
        <w:keepNext w:val="0"/>
        <w:keepLines w:val="0"/>
        <w:widowControl w:val="0"/>
        <w:shd w:val="clear" w:color="auto" w:fill="auto"/>
        <w:tabs>
          <w:tab w:val="left" w:pos="1050"/>
        </w:tabs>
        <w:bidi w:val="0"/>
        <w:spacing w:before="0" w:after="0" w:line="577" w:lineRule="exact"/>
        <w:ind w:left="0" w:right="0" w:firstLine="420"/>
        <w:jc w:val="left"/>
        <w:rPr>
          <w:rFonts w:hint="eastAsia" w:ascii="宋体" w:hAnsi="宋体" w:eastAsia="宋体" w:cs="宋体"/>
          <w:color w:val="auto"/>
        </w:rPr>
      </w:pPr>
      <w:bookmarkStart w:id="148" w:name="bookmark138"/>
      <w:r>
        <w:rPr>
          <w:rFonts w:hint="eastAsia" w:ascii="宋体" w:hAnsi="宋体" w:eastAsia="宋体" w:cs="宋体"/>
          <w:color w:val="auto"/>
          <w:spacing w:val="0"/>
          <w:w w:val="100"/>
          <w:position w:val="0"/>
        </w:rPr>
        <w:t>三</w:t>
      </w:r>
      <w:bookmarkEnd w:id="148"/>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支出决算表</w:t>
      </w:r>
    </w:p>
    <w:p w14:paraId="3047B985">
      <w:pPr>
        <w:pStyle w:val="13"/>
        <w:keepNext w:val="0"/>
        <w:keepLines w:val="0"/>
        <w:widowControl w:val="0"/>
        <w:shd w:val="clear" w:color="auto" w:fill="auto"/>
        <w:tabs>
          <w:tab w:val="left" w:pos="1050"/>
        </w:tabs>
        <w:bidi w:val="0"/>
        <w:spacing w:before="0" w:after="0" w:line="577" w:lineRule="exact"/>
        <w:ind w:left="0" w:right="0" w:firstLine="420"/>
        <w:jc w:val="left"/>
        <w:rPr>
          <w:rFonts w:hint="eastAsia" w:ascii="宋体" w:hAnsi="宋体" w:eastAsia="宋体" w:cs="宋体"/>
          <w:color w:val="auto"/>
        </w:rPr>
      </w:pPr>
      <w:bookmarkStart w:id="149" w:name="bookmark139"/>
      <w:r>
        <w:rPr>
          <w:rFonts w:hint="eastAsia" w:ascii="宋体" w:hAnsi="宋体" w:eastAsia="宋体" w:cs="宋体"/>
          <w:color w:val="auto"/>
          <w:spacing w:val="0"/>
          <w:w w:val="100"/>
          <w:position w:val="0"/>
        </w:rPr>
        <w:t>四</w:t>
      </w:r>
      <w:bookmarkEnd w:id="149"/>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财政拨款收入支出决算总表</w:t>
      </w:r>
    </w:p>
    <w:p w14:paraId="13009060">
      <w:pPr>
        <w:pStyle w:val="13"/>
        <w:keepNext w:val="0"/>
        <w:keepLines w:val="0"/>
        <w:widowControl w:val="0"/>
        <w:shd w:val="clear" w:color="auto" w:fill="auto"/>
        <w:tabs>
          <w:tab w:val="left" w:pos="1050"/>
        </w:tabs>
        <w:bidi w:val="0"/>
        <w:spacing w:before="0" w:after="0" w:line="577" w:lineRule="exact"/>
        <w:ind w:left="0" w:right="0" w:firstLine="420"/>
        <w:jc w:val="left"/>
        <w:rPr>
          <w:rFonts w:hint="eastAsia" w:ascii="宋体" w:hAnsi="宋体" w:eastAsia="宋体" w:cs="宋体"/>
          <w:color w:val="auto"/>
        </w:rPr>
      </w:pPr>
      <w:bookmarkStart w:id="150" w:name="bookmark140"/>
      <w:r>
        <w:rPr>
          <w:rFonts w:hint="eastAsia" w:ascii="宋体" w:hAnsi="宋体" w:eastAsia="宋体" w:cs="宋体"/>
          <w:color w:val="auto"/>
          <w:spacing w:val="0"/>
          <w:w w:val="100"/>
          <w:position w:val="0"/>
        </w:rPr>
        <w:t>五</w:t>
      </w:r>
      <w:bookmarkEnd w:id="150"/>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财政拨款支出决算明细表</w:t>
      </w:r>
    </w:p>
    <w:p w14:paraId="618A642B">
      <w:pPr>
        <w:pStyle w:val="13"/>
        <w:keepNext w:val="0"/>
        <w:keepLines w:val="0"/>
        <w:widowControl w:val="0"/>
        <w:shd w:val="clear" w:color="auto" w:fill="auto"/>
        <w:tabs>
          <w:tab w:val="left" w:pos="1050"/>
        </w:tabs>
        <w:bidi w:val="0"/>
        <w:spacing w:before="0" w:after="0" w:line="577" w:lineRule="exact"/>
        <w:ind w:left="0" w:right="0" w:firstLine="420"/>
        <w:jc w:val="left"/>
        <w:rPr>
          <w:rFonts w:hint="eastAsia" w:ascii="宋体" w:hAnsi="宋体" w:eastAsia="宋体" w:cs="宋体"/>
          <w:color w:val="auto"/>
        </w:rPr>
      </w:pPr>
      <w:bookmarkStart w:id="151" w:name="bookmark141"/>
      <w:r>
        <w:rPr>
          <w:rFonts w:hint="eastAsia" w:ascii="宋体" w:hAnsi="宋体" w:eastAsia="宋体" w:cs="宋体"/>
          <w:color w:val="auto"/>
          <w:spacing w:val="0"/>
          <w:w w:val="100"/>
          <w:position w:val="0"/>
        </w:rPr>
        <w:t>六</w:t>
      </w:r>
      <w:bookmarkEnd w:id="151"/>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一般公共预算财政拨款支出决算表</w:t>
      </w:r>
    </w:p>
    <w:p w14:paraId="29721BE5">
      <w:pPr>
        <w:pStyle w:val="13"/>
        <w:keepNext w:val="0"/>
        <w:keepLines w:val="0"/>
        <w:widowControl w:val="0"/>
        <w:shd w:val="clear" w:color="auto" w:fill="auto"/>
        <w:tabs>
          <w:tab w:val="left" w:pos="1050"/>
        </w:tabs>
        <w:bidi w:val="0"/>
        <w:spacing w:before="0" w:after="0" w:line="577" w:lineRule="exact"/>
        <w:ind w:left="0" w:right="0" w:firstLine="420"/>
        <w:jc w:val="left"/>
        <w:rPr>
          <w:rFonts w:hint="eastAsia" w:ascii="宋体" w:hAnsi="宋体" w:eastAsia="宋体" w:cs="宋体"/>
          <w:color w:val="auto"/>
        </w:rPr>
      </w:pPr>
      <w:bookmarkStart w:id="152" w:name="bookmark142"/>
      <w:r>
        <w:rPr>
          <w:rFonts w:hint="eastAsia" w:ascii="宋体" w:hAnsi="宋体" w:eastAsia="宋体" w:cs="宋体"/>
          <w:color w:val="auto"/>
          <w:spacing w:val="0"/>
          <w:w w:val="100"/>
          <w:position w:val="0"/>
        </w:rPr>
        <w:t>七</w:t>
      </w:r>
      <w:bookmarkEnd w:id="152"/>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一般公共预算财政拨款支出决算明细表</w:t>
      </w:r>
    </w:p>
    <w:p w14:paraId="58706820">
      <w:pPr>
        <w:pStyle w:val="13"/>
        <w:keepNext w:val="0"/>
        <w:keepLines w:val="0"/>
        <w:widowControl w:val="0"/>
        <w:shd w:val="clear" w:color="auto" w:fill="auto"/>
        <w:tabs>
          <w:tab w:val="left" w:pos="1050"/>
        </w:tabs>
        <w:bidi w:val="0"/>
        <w:spacing w:before="0" w:after="0" w:line="577" w:lineRule="exact"/>
        <w:ind w:left="0" w:right="0" w:firstLine="420"/>
        <w:jc w:val="left"/>
        <w:rPr>
          <w:rFonts w:hint="eastAsia" w:ascii="宋体" w:hAnsi="宋体" w:eastAsia="宋体" w:cs="宋体"/>
          <w:color w:val="auto"/>
        </w:rPr>
      </w:pPr>
      <w:bookmarkStart w:id="153" w:name="bookmark143"/>
      <w:r>
        <w:rPr>
          <w:rFonts w:hint="eastAsia" w:ascii="宋体" w:hAnsi="宋体" w:eastAsia="宋体" w:cs="宋体"/>
          <w:color w:val="auto"/>
          <w:spacing w:val="0"/>
          <w:w w:val="100"/>
          <w:position w:val="0"/>
        </w:rPr>
        <w:t>八</w:t>
      </w:r>
      <w:bookmarkEnd w:id="153"/>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一般公共预算财政拨款基本支出决算表</w:t>
      </w:r>
    </w:p>
    <w:p w14:paraId="308C4D54">
      <w:pPr>
        <w:pStyle w:val="13"/>
        <w:keepNext w:val="0"/>
        <w:keepLines w:val="0"/>
        <w:widowControl w:val="0"/>
        <w:shd w:val="clear" w:color="auto" w:fill="auto"/>
        <w:tabs>
          <w:tab w:val="left" w:pos="1050"/>
        </w:tabs>
        <w:bidi w:val="0"/>
        <w:spacing w:before="0" w:after="0" w:line="577" w:lineRule="exact"/>
        <w:ind w:left="0" w:right="0" w:firstLine="420"/>
        <w:jc w:val="left"/>
        <w:rPr>
          <w:rFonts w:hint="eastAsia" w:ascii="宋体" w:hAnsi="宋体" w:eastAsia="宋体" w:cs="宋体"/>
          <w:color w:val="auto"/>
        </w:rPr>
      </w:pPr>
      <w:bookmarkStart w:id="154" w:name="bookmark144"/>
      <w:r>
        <w:rPr>
          <w:rFonts w:hint="eastAsia" w:ascii="宋体" w:hAnsi="宋体" w:eastAsia="宋体" w:cs="宋体"/>
          <w:color w:val="auto"/>
          <w:spacing w:val="0"/>
          <w:w w:val="100"/>
          <w:position w:val="0"/>
        </w:rPr>
        <w:t>九</w:t>
      </w:r>
      <w:bookmarkEnd w:id="154"/>
      <w:r>
        <w:rPr>
          <w:rFonts w:hint="eastAsia" w:ascii="宋体" w:hAnsi="宋体" w:eastAsia="宋体" w:cs="宋体"/>
          <w:color w:val="auto"/>
          <w:spacing w:val="0"/>
          <w:w w:val="100"/>
          <w:position w:val="0"/>
        </w:rPr>
        <w:t>、</w:t>
      </w:r>
      <w:r>
        <w:rPr>
          <w:rFonts w:hint="eastAsia" w:ascii="宋体" w:hAnsi="宋体" w:eastAsia="宋体" w:cs="宋体"/>
          <w:color w:val="auto"/>
          <w:spacing w:val="0"/>
          <w:w w:val="100"/>
          <w:position w:val="0"/>
        </w:rPr>
        <w:tab/>
      </w:r>
      <w:r>
        <w:rPr>
          <w:rFonts w:hint="eastAsia" w:ascii="宋体" w:hAnsi="宋体" w:eastAsia="宋体" w:cs="宋体"/>
          <w:color w:val="auto"/>
          <w:spacing w:val="0"/>
          <w:w w:val="100"/>
          <w:position w:val="0"/>
        </w:rPr>
        <w:t>一般公共预算财政拨款项目支出决算表</w:t>
      </w:r>
    </w:p>
    <w:p w14:paraId="30AC33BB">
      <w:pPr>
        <w:pStyle w:val="13"/>
        <w:keepNext w:val="0"/>
        <w:keepLines w:val="0"/>
        <w:widowControl w:val="0"/>
        <w:shd w:val="clear" w:color="auto" w:fill="auto"/>
        <w:bidi w:val="0"/>
        <w:spacing w:before="0" w:after="0" w:line="577" w:lineRule="exact"/>
        <w:ind w:left="420" w:right="0" w:firstLine="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十、一般公共预算财政拨款</w:t>
      </w:r>
      <w:r>
        <w:rPr>
          <w:rFonts w:hint="eastAsia" w:ascii="宋体" w:hAnsi="宋体" w:eastAsia="宋体" w:cs="宋体"/>
          <w:color w:val="auto"/>
          <w:spacing w:val="0"/>
          <w:w w:val="100"/>
          <w:position w:val="0"/>
          <w:lang w:val="zh-CN" w:eastAsia="zh-CN" w:bidi="zh-CN"/>
        </w:rPr>
        <w:t>“三公</w:t>
      </w:r>
      <w:r>
        <w:rPr>
          <w:rFonts w:hint="eastAsia" w:ascii="宋体" w:hAnsi="宋体" w:eastAsia="宋体" w:cs="宋体"/>
          <w:color w:val="auto"/>
          <w:spacing w:val="0"/>
          <w:w w:val="100"/>
          <w:position w:val="0"/>
        </w:rPr>
        <w:t>"经</w:t>
      </w:r>
      <w:r>
        <w:rPr>
          <w:rFonts w:hint="eastAsia" w:ascii="宋体" w:hAnsi="宋体" w:eastAsia="宋体" w:cs="宋体"/>
          <w:color w:val="auto"/>
          <w:spacing w:val="0"/>
          <w:w w:val="100"/>
          <w:position w:val="0"/>
          <w:lang w:eastAsia="zh-CN"/>
        </w:rPr>
        <w:t>费</w:t>
      </w:r>
      <w:r>
        <w:rPr>
          <w:rFonts w:hint="eastAsia" w:ascii="宋体" w:hAnsi="宋体" w:eastAsia="宋体" w:cs="宋体"/>
          <w:color w:val="auto"/>
          <w:spacing w:val="0"/>
          <w:w w:val="100"/>
          <w:position w:val="0"/>
        </w:rPr>
        <w:t>支出决算表</w:t>
      </w:r>
    </w:p>
    <w:p w14:paraId="28C78FD7">
      <w:pPr>
        <w:pStyle w:val="13"/>
        <w:keepNext w:val="0"/>
        <w:keepLines w:val="0"/>
        <w:widowControl w:val="0"/>
        <w:shd w:val="clear" w:color="auto" w:fill="auto"/>
        <w:bidi w:val="0"/>
        <w:spacing w:before="0" w:after="0" w:line="577" w:lineRule="exact"/>
        <w:ind w:left="420" w:right="0" w:firstLine="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十一、政府性基金预算财政拨款收入支出决算表</w:t>
      </w:r>
    </w:p>
    <w:p w14:paraId="0DD2E8E3">
      <w:pPr>
        <w:pStyle w:val="13"/>
        <w:keepNext w:val="0"/>
        <w:keepLines w:val="0"/>
        <w:widowControl w:val="0"/>
        <w:shd w:val="clear" w:color="auto" w:fill="auto"/>
        <w:bidi w:val="0"/>
        <w:spacing w:before="0" w:after="0" w:line="577" w:lineRule="exact"/>
        <w:ind w:left="420" w:right="0" w:firstLine="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十二、政府性基金预算财政拨款</w:t>
      </w:r>
      <w:r>
        <w:rPr>
          <w:rFonts w:hint="eastAsia" w:ascii="宋体" w:hAnsi="宋体" w:eastAsia="宋体" w:cs="宋体"/>
          <w:color w:val="auto"/>
          <w:spacing w:val="0"/>
          <w:w w:val="100"/>
          <w:position w:val="0"/>
          <w:lang w:val="zh-CN" w:eastAsia="zh-CN" w:bidi="zh-CN"/>
        </w:rPr>
        <w:t>“三公</w:t>
      </w:r>
      <w:r>
        <w:rPr>
          <w:rFonts w:hint="eastAsia" w:ascii="宋体" w:hAnsi="宋体" w:eastAsia="宋体" w:cs="宋体"/>
          <w:color w:val="auto"/>
          <w:spacing w:val="0"/>
          <w:w w:val="100"/>
          <w:position w:val="0"/>
          <w:lang w:val="en-US" w:eastAsia="en-US" w:bidi="en-US"/>
        </w:rPr>
        <w:t>"</w:t>
      </w:r>
      <w:r>
        <w:rPr>
          <w:rFonts w:hint="eastAsia" w:ascii="宋体" w:hAnsi="宋体" w:eastAsia="宋体" w:cs="宋体"/>
          <w:color w:val="auto"/>
          <w:spacing w:val="0"/>
          <w:w w:val="100"/>
          <w:position w:val="0"/>
        </w:rPr>
        <w:t>经费支出决算表</w:t>
      </w:r>
    </w:p>
    <w:p w14:paraId="21DB4AF4">
      <w:pPr>
        <w:pStyle w:val="13"/>
        <w:keepNext w:val="0"/>
        <w:keepLines w:val="0"/>
        <w:widowControl w:val="0"/>
        <w:shd w:val="clear" w:color="auto" w:fill="auto"/>
        <w:bidi w:val="0"/>
        <w:spacing w:before="0" w:after="0" w:line="577" w:lineRule="exact"/>
        <w:ind w:left="420" w:right="0" w:firstLine="0"/>
        <w:jc w:val="left"/>
        <w:rPr>
          <w:rFonts w:hint="eastAsia" w:ascii="宋体" w:hAnsi="宋体" w:eastAsia="宋体" w:cs="宋体"/>
          <w:color w:val="auto"/>
          <w:spacing w:val="0"/>
          <w:w w:val="100"/>
          <w:position w:val="0"/>
        </w:rPr>
      </w:pPr>
      <w:r>
        <w:rPr>
          <w:rFonts w:hint="eastAsia" w:ascii="宋体" w:hAnsi="宋体" w:eastAsia="宋体" w:cs="宋体"/>
          <w:color w:val="auto"/>
          <w:spacing w:val="0"/>
          <w:w w:val="100"/>
          <w:position w:val="0"/>
        </w:rPr>
        <w:t>十三、国有资本经营预算财政拨款收入支出决算表</w:t>
      </w:r>
    </w:p>
    <w:p w14:paraId="0C4D8B00">
      <w:pPr>
        <w:pStyle w:val="13"/>
        <w:keepNext w:val="0"/>
        <w:keepLines w:val="0"/>
        <w:widowControl w:val="0"/>
        <w:shd w:val="clear" w:color="auto" w:fill="auto"/>
        <w:bidi w:val="0"/>
        <w:spacing w:before="0" w:after="0" w:line="577" w:lineRule="exact"/>
        <w:ind w:left="420" w:right="0" w:firstLine="0"/>
        <w:jc w:val="left"/>
        <w:rPr>
          <w:rFonts w:hint="eastAsia" w:ascii="宋体" w:hAnsi="宋体" w:eastAsia="宋体" w:cs="宋体"/>
          <w:color w:val="auto"/>
        </w:rPr>
      </w:pPr>
      <w:r>
        <w:rPr>
          <w:rFonts w:hint="eastAsia" w:ascii="宋体" w:hAnsi="宋体" w:eastAsia="宋体" w:cs="宋体"/>
          <w:color w:val="auto"/>
          <w:spacing w:val="0"/>
          <w:w w:val="100"/>
          <w:position w:val="0"/>
        </w:rPr>
        <w:t>十四、国有资本经营预算财政拨款支出决算表</w:t>
      </w:r>
    </w:p>
    <w:p w14:paraId="148309D9">
      <w:pPr>
        <w:jc w:val="left"/>
        <w:rPr>
          <w:rFonts w:hint="eastAsia" w:ascii="宋体" w:hAnsi="宋体" w:eastAsia="宋体" w:cs="宋体"/>
        </w:rPr>
      </w:pPr>
    </w:p>
    <w:sectPr>
      <w:footnotePr>
        <w:numFmt w:val="decimal"/>
      </w:footnotePr>
      <w:pgSz w:w="11900" w:h="16840"/>
      <w:pgMar w:top="1440" w:right="1800" w:bottom="1440" w:left="1800" w:header="2292" w:footer="567"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F265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0F0D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60F0D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B3B9">
    <w:pPr>
      <w:widowControl w:val="0"/>
      <w:spacing w:line="240" w:lineRule="auto"/>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266B4">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A266B4">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7632">
    <w:pPr>
      <w:widowControl w:val="0"/>
      <w:spacing w:line="240" w:lineRule="auto"/>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52B2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B52B2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B65E">
    <w:pPr>
      <w:widowControl w:val="0"/>
      <w:spacing w:line="240" w:lineRule="auto"/>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CAD84">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0CAD84">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4C24">
    <w:pPr>
      <w:widowControl w:val="0"/>
      <w:spacing w:line="240" w:lineRule="auto"/>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0BC7B">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D0BC7B">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5DF0">
    <w:pPr>
      <w:widowControl w:val="0"/>
      <w:spacing w:line="240" w:lineRule="auto"/>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E8967">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4E8967">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9994A">
    <w:pPr>
      <w:widowControl w:val="0"/>
      <w:spacing w:line="240" w:lineRule="auto"/>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08541">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208541">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D80A8">
    <w:pPr>
      <w:widowControl w:val="0"/>
      <w:spacing w:line="240" w:lineRule="auto"/>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9B003">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009B003">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591A">
    <w:pPr>
      <w:widowControl w:val="0"/>
      <w:spacing w:line="240" w:lineRule="auto"/>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DF4D4">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9BDF4D4">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9F94A">
    <w:pPr>
      <w:widowControl w:val="0"/>
      <w:spacing w:line="240" w:lineRule="auto"/>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E0DC0">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DE0DC0">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4"/>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1">
    <w:nsid w:val="CF092B84"/>
    <w:multiLevelType w:val="singleLevel"/>
    <w:tmpl w:val="CF092B84"/>
    <w:lvl w:ilvl="0" w:tentative="0">
      <w:start w:val="6"/>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2">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3">
    <w:nsid w:val="03D62ECE"/>
    <w:multiLevelType w:val="singleLevel"/>
    <w:tmpl w:val="03D62ECE"/>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4">
    <w:nsid w:val="25B654F3"/>
    <w:multiLevelType w:val="singleLevel"/>
    <w:tmpl w:val="25B654F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5">
    <w:nsid w:val="59ADCABA"/>
    <w:multiLevelType w:val="singleLevel"/>
    <w:tmpl w:val="59ADCAB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55C0299F"/>
    <w:rsid w:val="05535F11"/>
    <w:rsid w:val="0C967AA4"/>
    <w:rsid w:val="11C71331"/>
    <w:rsid w:val="20E56675"/>
    <w:rsid w:val="2A3C56BB"/>
    <w:rsid w:val="442E38B9"/>
    <w:rsid w:val="47E25426"/>
    <w:rsid w:val="4AF979F0"/>
    <w:rsid w:val="54C31A5B"/>
    <w:rsid w:val="55C0299F"/>
    <w:rsid w:val="5CBC003E"/>
    <w:rsid w:val="604B6BB0"/>
    <w:rsid w:val="7AFB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toc 2"/>
    <w:basedOn w:val="1"/>
    <w:next w:val="1"/>
    <w:qFormat/>
    <w:uiPriority w:val="0"/>
    <w:pPr>
      <w:ind w:left="420" w:leftChars="200"/>
    </w:pPr>
  </w:style>
  <w:style w:type="paragraph" w:customStyle="1" w:styleId="9">
    <w:name w:val="Body text|5"/>
    <w:basedOn w:val="1"/>
    <w:qFormat/>
    <w:uiPriority w:val="0"/>
    <w:pPr>
      <w:widowControl w:val="0"/>
      <w:shd w:val="clear" w:color="auto" w:fill="auto"/>
      <w:spacing w:line="1005" w:lineRule="exact"/>
      <w:jc w:val="center"/>
    </w:pPr>
    <w:rPr>
      <w:sz w:val="70"/>
      <w:szCs w:val="70"/>
      <w:u w:val="none"/>
      <w:shd w:val="clear" w:color="auto" w:fill="auto"/>
      <w:lang w:val="zh-CN" w:eastAsia="zh-CN" w:bidi="zh-CN"/>
    </w:rPr>
  </w:style>
  <w:style w:type="paragraph" w:customStyle="1" w:styleId="10">
    <w:name w:val="Body text|3"/>
    <w:basedOn w:val="1"/>
    <w:qFormat/>
    <w:uiPriority w:val="0"/>
    <w:pPr>
      <w:widowControl w:val="0"/>
      <w:shd w:val="clear" w:color="auto" w:fill="auto"/>
      <w:spacing w:line="1005" w:lineRule="exact"/>
      <w:jc w:val="center"/>
    </w:pPr>
    <w:rPr>
      <w:rFonts w:ascii="宋体" w:hAnsi="宋体" w:eastAsia="宋体" w:cs="宋体"/>
      <w:sz w:val="70"/>
      <w:szCs w:val="70"/>
      <w:u w:val="none"/>
      <w:shd w:val="clear" w:color="auto" w:fill="auto"/>
      <w:lang w:val="zh-TW" w:eastAsia="zh-TW" w:bidi="zh-TW"/>
    </w:rPr>
  </w:style>
  <w:style w:type="paragraph" w:customStyle="1" w:styleId="11">
    <w:name w:val="WPSOffice手动目录 1"/>
    <w:qFormat/>
    <w:uiPriority w:val="0"/>
    <w:pPr>
      <w:ind w:leftChars="0"/>
    </w:pPr>
    <w:rPr>
      <w:rFonts w:ascii="Times New Roman" w:hAnsi="Times New Roman" w:eastAsia="Times New Roman" w:cs="Times New Roman"/>
      <w:sz w:val="20"/>
      <w:szCs w:val="20"/>
    </w:rPr>
  </w:style>
  <w:style w:type="paragraph" w:customStyle="1" w:styleId="12">
    <w:name w:val="WPSOffice手动目录 2"/>
    <w:qFormat/>
    <w:uiPriority w:val="0"/>
    <w:pPr>
      <w:ind w:leftChars="200"/>
    </w:pPr>
    <w:rPr>
      <w:rFonts w:ascii="Times New Roman" w:hAnsi="Times New Roman" w:eastAsia="Times New Roman" w:cs="Times New Roman"/>
      <w:sz w:val="20"/>
      <w:szCs w:val="20"/>
    </w:rPr>
  </w:style>
  <w:style w:type="paragraph" w:customStyle="1" w:styleId="13">
    <w:name w:val="Body text|1"/>
    <w:basedOn w:val="1"/>
    <w:qFormat/>
    <w:uiPriority w:val="0"/>
    <w:pPr>
      <w:widowControl w:val="0"/>
      <w:shd w:val="clear" w:color="auto" w:fill="auto"/>
      <w:spacing w:after="220"/>
      <w:ind w:firstLine="400"/>
    </w:pPr>
    <w:rPr>
      <w:rFonts w:ascii="宋体" w:hAnsi="宋体" w:eastAsia="宋体" w:cs="宋体"/>
      <w:sz w:val="30"/>
      <w:szCs w:val="30"/>
      <w:u w:val="none"/>
      <w:shd w:val="clear" w:color="auto" w:fill="auto"/>
      <w:lang w:val="zh-TW" w:eastAsia="zh-TW" w:bidi="zh-TW"/>
    </w:rPr>
  </w:style>
  <w:style w:type="paragraph" w:customStyle="1" w:styleId="14">
    <w:name w:val="Heading #1|1"/>
    <w:basedOn w:val="1"/>
    <w:qFormat/>
    <w:uiPriority w:val="0"/>
    <w:pPr>
      <w:widowControl w:val="0"/>
      <w:shd w:val="clear" w:color="auto" w:fill="auto"/>
      <w:spacing w:after="1080"/>
      <w:jc w:val="center"/>
      <w:outlineLvl w:val="0"/>
    </w:pPr>
    <w:rPr>
      <w:rFonts w:ascii="宋体" w:hAnsi="宋体" w:eastAsia="宋体" w:cs="宋体"/>
      <w:sz w:val="44"/>
      <w:szCs w:val="44"/>
      <w:u w:val="none"/>
      <w:shd w:val="clear" w:color="auto" w:fill="auto"/>
      <w:lang w:val="zh-TW" w:eastAsia="zh-TW" w:bidi="zh-TW"/>
    </w:rPr>
  </w:style>
  <w:style w:type="paragraph" w:customStyle="1" w:styleId="15">
    <w:name w:val="Body text|4"/>
    <w:basedOn w:val="1"/>
    <w:qFormat/>
    <w:uiPriority w:val="0"/>
    <w:pPr>
      <w:widowControl w:val="0"/>
      <w:shd w:val="clear" w:color="auto" w:fill="auto"/>
      <w:spacing w:after="180"/>
      <w:jc w:val="center"/>
    </w:pPr>
    <w:rPr>
      <w:rFonts w:ascii="宋体" w:hAnsi="宋体" w:eastAsia="宋体" w:cs="宋体"/>
      <w:sz w:val="34"/>
      <w:szCs w:val="34"/>
      <w:u w:val="none"/>
      <w:shd w:val="clear" w:color="auto" w:fill="auto"/>
      <w:lang w:val="zh-TW" w:eastAsia="zh-TW" w:bidi="zh-TW"/>
    </w:rPr>
  </w:style>
  <w:style w:type="paragraph" w:customStyle="1" w:styleId="16">
    <w:name w:val="Body text|2"/>
    <w:basedOn w:val="1"/>
    <w:qFormat/>
    <w:uiPriority w:val="0"/>
    <w:pPr>
      <w:widowControl w:val="0"/>
      <w:shd w:val="clear" w:color="auto" w:fill="auto"/>
      <w:spacing w:after="120"/>
      <w:jc w:val="center"/>
    </w:pPr>
    <w:rPr>
      <w:sz w:val="30"/>
      <w:szCs w:val="30"/>
      <w:u w:val="none"/>
      <w:shd w:val="clear" w:color="auto" w:fill="auto"/>
      <w:lang w:val="zh-TW" w:eastAsia="zh-TW" w:bidi="zh-TW"/>
    </w:rPr>
  </w:style>
  <w:style w:type="paragraph" w:customStyle="1" w:styleId="17">
    <w:name w:val="Other|1"/>
    <w:basedOn w:val="1"/>
    <w:qFormat/>
    <w:uiPriority w:val="0"/>
    <w:pPr>
      <w:widowControl w:val="0"/>
      <w:shd w:val="clear" w:color="auto" w:fill="auto"/>
      <w:spacing w:after="220"/>
      <w:ind w:firstLine="400"/>
    </w:pPr>
    <w:rPr>
      <w:rFonts w:ascii="宋体" w:hAnsi="宋体" w:eastAsia="宋体" w:cs="宋体"/>
      <w:sz w:val="30"/>
      <w:szCs w:val="30"/>
      <w:u w:val="none"/>
      <w:shd w:val="clear" w:color="auto" w:fill="auto"/>
      <w:lang w:val="zh-TW" w:eastAsia="zh-TW" w:bidi="zh-TW"/>
    </w:rPr>
  </w:style>
  <w:style w:type="paragraph" w:customStyle="1" w:styleId="18">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9">
    <w:name w:val="Header or footer|1"/>
    <w:basedOn w:val="1"/>
    <w:qFormat/>
    <w:uiPriority w:val="0"/>
    <w:pPr>
      <w:widowControl w:val="0"/>
      <w:shd w:val="clear" w:color="auto" w:fill="auto"/>
    </w:pPr>
    <w:rPr>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10605</Words>
  <Characters>11329</Characters>
  <Lines>0</Lines>
  <Paragraphs>0</Paragraphs>
  <TotalTime>0</TotalTime>
  <ScaleCrop>false</ScaleCrop>
  <LinksUpToDate>false</LinksUpToDate>
  <CharactersWithSpaces>11472</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2022-09-24T08:56:00Z</dcterms:created>
  <dc:creator>当年明月</dc:creator>
  <cp:lastModifiedBy>昭化融媒体</cp:lastModifiedBy>
  <dcterms:modified xsi:type="dcterms:W3CDTF">2024-12-06T03:57:16Z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C9EFCC2A64AF4141A6021D3050952B2F</vt:lpwstr>
  </property>
</Properties>
</file>