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A631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center"/>
        <w:textAlignment w:val="auto"/>
        <w:outlineLvl w:val="9"/>
        <w:rPr>
          <w:rFonts w:hint="eastAsia" w:ascii="方正小标宋简体" w:hAnsi="方正小标宋简体" w:eastAsia="方正小标宋简体" w:cs="方正小标宋简体"/>
          <w:b w:val="0"/>
          <w:bCs w:val="0"/>
          <w:i w:val="0"/>
          <w:caps w:val="0"/>
          <w:color w:val="000000" w:themeColor="text1"/>
          <w:spacing w:val="0"/>
          <w:kern w:val="0"/>
          <w:sz w:val="60"/>
          <w:szCs w:val="60"/>
          <w:highlight w:val="none"/>
          <w:shd w:val="clear" w:color="auto" w:fill="FFFFFF"/>
          <w:lang w:val="en-US" w:eastAsia="zh-CN"/>
          <w14:textFill>
            <w14:solidFill>
              <w14:schemeClr w14:val="tx1"/>
            </w14:solidFill>
          </w14:textFill>
        </w:rPr>
      </w:pPr>
      <w:bookmarkStart w:id="0" w:name="_Toc3799"/>
    </w:p>
    <w:p w14:paraId="41FF80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center"/>
        <w:textAlignment w:val="auto"/>
        <w:outlineLvl w:val="9"/>
        <w:rPr>
          <w:rFonts w:hint="eastAsia" w:ascii="方正小标宋简体" w:hAnsi="方正小标宋简体" w:eastAsia="方正小标宋简体" w:cs="方正小标宋简体"/>
          <w:b w:val="0"/>
          <w:bCs w:val="0"/>
          <w:i w:val="0"/>
          <w:caps w:val="0"/>
          <w:color w:val="000000" w:themeColor="text1"/>
          <w:spacing w:val="0"/>
          <w:kern w:val="0"/>
          <w:sz w:val="60"/>
          <w:szCs w:val="60"/>
          <w:highlight w:val="none"/>
          <w:shd w:val="clear" w:color="auto" w:fill="FFFFFF"/>
          <w:lang w:val="en-US" w:eastAsia="zh-CN"/>
          <w14:textFill>
            <w14:solidFill>
              <w14:schemeClr w14:val="tx1"/>
            </w14:solidFill>
          </w14:textFill>
        </w:rPr>
      </w:pPr>
    </w:p>
    <w:p w14:paraId="408319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center"/>
        <w:textAlignment w:val="auto"/>
        <w:outlineLvl w:val="9"/>
        <w:rPr>
          <w:rFonts w:hint="eastAsia" w:ascii="方正小标宋简体" w:hAnsi="方正小标宋简体" w:eastAsia="方正小标宋简体" w:cs="方正小标宋简体"/>
          <w:b w:val="0"/>
          <w:bCs w:val="0"/>
          <w:i w:val="0"/>
          <w:caps w:val="0"/>
          <w:color w:val="000000" w:themeColor="text1"/>
          <w:spacing w:val="0"/>
          <w:kern w:val="0"/>
          <w:sz w:val="60"/>
          <w:szCs w:val="60"/>
          <w:highlight w:val="none"/>
          <w:shd w:val="clear" w:color="auto" w:fill="FFFFFF"/>
          <w:lang w:val="en-US" w:eastAsia="zh-CN"/>
          <w14:textFill>
            <w14:solidFill>
              <w14:schemeClr w14:val="tx1"/>
            </w14:solidFill>
          </w14:textFill>
        </w:rPr>
      </w:pPr>
    </w:p>
    <w:p w14:paraId="42280011">
      <w:pPr>
        <w:pStyle w:val="2"/>
        <w:rPr>
          <w:rFonts w:hint="eastAsia" w:ascii="方正小标宋简体" w:hAnsi="方正小标宋简体" w:eastAsia="方正小标宋简体" w:cs="方正小标宋简体"/>
          <w:b w:val="0"/>
          <w:bCs w:val="0"/>
          <w:i w:val="0"/>
          <w:caps w:val="0"/>
          <w:color w:val="000000" w:themeColor="text1"/>
          <w:spacing w:val="0"/>
          <w:kern w:val="0"/>
          <w:sz w:val="60"/>
          <w:szCs w:val="60"/>
          <w:highlight w:val="none"/>
          <w:shd w:val="clear" w:color="auto" w:fill="FFFFFF"/>
          <w:lang w:val="en-US" w:eastAsia="zh-CN"/>
          <w14:textFill>
            <w14:solidFill>
              <w14:schemeClr w14:val="tx1"/>
            </w14:solidFill>
          </w14:textFill>
        </w:rPr>
      </w:pPr>
    </w:p>
    <w:p w14:paraId="5CC86958">
      <w:pPr>
        <w:rPr>
          <w:rFonts w:hint="eastAsia"/>
          <w:lang w:val="en-US" w:eastAsia="zh-CN"/>
        </w:rPr>
      </w:pPr>
    </w:p>
    <w:p w14:paraId="21CEE9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center"/>
        <w:textAlignment w:val="auto"/>
        <w:outlineLvl w:val="9"/>
        <w:rPr>
          <w:rFonts w:hint="eastAsia" w:ascii="方正小标宋简体" w:hAnsi="方正小标宋简体" w:eastAsia="方正小标宋简体" w:cs="方正小标宋简体"/>
          <w:b w:val="0"/>
          <w:bCs w:val="0"/>
          <w:i w:val="0"/>
          <w:caps w:val="0"/>
          <w:color w:val="000000" w:themeColor="text1"/>
          <w:spacing w:val="0"/>
          <w:kern w:val="0"/>
          <w:sz w:val="60"/>
          <w:szCs w:val="60"/>
          <w:highlight w:val="none"/>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60"/>
          <w:szCs w:val="60"/>
          <w:highlight w:val="none"/>
          <w:shd w:val="clear" w:color="auto" w:fill="FFFFFF"/>
          <w:lang w:val="en-US" w:eastAsia="zh-CN"/>
          <w14:textFill>
            <w14:solidFill>
              <w14:schemeClr w14:val="tx1"/>
            </w14:solidFill>
          </w14:textFill>
        </w:rPr>
        <w:t>广元市昭化区磨滩镇人民政府</w:t>
      </w:r>
      <w:bookmarkEnd w:id="0"/>
    </w:p>
    <w:p w14:paraId="41084FF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kern w:val="0"/>
          <w:sz w:val="60"/>
          <w:szCs w:val="60"/>
          <w:highlight w:val="none"/>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60"/>
          <w:szCs w:val="60"/>
          <w:highlight w:val="none"/>
          <w:shd w:val="clear" w:color="auto" w:fill="FFFFFF"/>
          <w:lang w:val="en-US" w:eastAsia="zh-CN"/>
          <w14:textFill>
            <w14:solidFill>
              <w14:schemeClr w14:val="tx1"/>
            </w14:solidFill>
          </w14:textFill>
        </w:rPr>
        <w:t>2025年部门预算编制说明</w:t>
      </w:r>
    </w:p>
    <w:p w14:paraId="3AD2ABC6">
      <w:pPr>
        <w:rPr>
          <w:rFonts w:hint="eastAsia" w:ascii="方正小标宋简体" w:hAnsi="方正小标宋简体" w:eastAsia="方正小标宋简体" w:cs="方正小标宋简体"/>
          <w:b w:val="0"/>
          <w:bCs w:val="0"/>
          <w:i w:val="0"/>
          <w:caps w:val="0"/>
          <w:color w:val="000000" w:themeColor="text1"/>
          <w:spacing w:val="0"/>
          <w:kern w:val="0"/>
          <w:sz w:val="60"/>
          <w:szCs w:val="60"/>
          <w:highlight w:val="none"/>
          <w:shd w:val="clear" w:color="auto" w:fill="FFFFFF"/>
          <w:lang w:val="en-US" w:eastAsia="zh-CN"/>
          <w14:textFill>
            <w14:solidFill>
              <w14:schemeClr w14:val="tx1"/>
            </w14:solidFill>
          </w14:textFill>
        </w:rPr>
      </w:pPr>
      <w:r>
        <w:br w:type="page"/>
      </w:r>
    </w:p>
    <w:sdt>
      <w:sdtPr>
        <w:rPr>
          <w:rFonts w:ascii="宋体" w:hAnsi="宋体" w:eastAsia="宋体" w:cs="Times New Roman"/>
          <w:b/>
          <w:bCs/>
          <w:color w:val="auto"/>
          <w:kern w:val="2"/>
          <w:sz w:val="52"/>
          <w:szCs w:val="52"/>
          <w:lang w:val="en-US" w:eastAsia="zh-CN" w:bidi="ar-SA"/>
        </w:rPr>
        <w:id w:val="147456915"/>
        <w15:color w:val="DBDBDB"/>
        <w:docPartObj>
          <w:docPartGallery w:val="Table of Contents"/>
          <w:docPartUnique/>
        </w:docPartObj>
      </w:sdtPr>
      <w:sdtEndPr>
        <w:rPr>
          <w:rFonts w:hint="eastAsia" w:ascii="方正小标宋简体" w:hAnsi="方正小标宋简体" w:eastAsia="方正小标宋简体" w:cs="方正小标宋简体"/>
          <w:b/>
          <w:bCs w:val="0"/>
          <w:i w:val="0"/>
          <w:caps w:val="0"/>
          <w:color w:val="000000" w:themeColor="text1"/>
          <w:spacing w:val="0"/>
          <w:kern w:val="0"/>
          <w:sz w:val="21"/>
          <w:szCs w:val="44"/>
          <w:highlight w:val="none"/>
          <w:shd w:val="clear" w:color="auto" w:fill="FFFFFF"/>
          <w:lang w:val="en-US" w:eastAsia="zh-CN" w:bidi="ar-SA"/>
          <w14:textFill>
            <w14:solidFill>
              <w14:schemeClr w14:val="tx1"/>
            </w14:solidFill>
          </w14:textFill>
        </w:rPr>
      </w:sdtEndPr>
      <w:sdtContent>
        <w:p w14:paraId="3A6A00C8">
          <w:pPr>
            <w:spacing w:before="0" w:beforeLines="0" w:after="0" w:afterLines="0" w:line="240" w:lineRule="auto"/>
            <w:ind w:left="0" w:leftChars="0" w:right="0" w:rightChars="0" w:firstLine="0" w:firstLineChars="0"/>
            <w:jc w:val="center"/>
            <w:rPr>
              <w:rFonts w:ascii="宋体" w:hAnsi="宋体" w:eastAsia="宋体"/>
              <w:b/>
              <w:bCs/>
              <w:sz w:val="52"/>
              <w:szCs w:val="52"/>
            </w:rPr>
          </w:pPr>
          <w:r>
            <w:rPr>
              <w:rFonts w:ascii="宋体" w:hAnsi="宋体" w:eastAsia="宋体"/>
              <w:b/>
              <w:bCs/>
              <w:sz w:val="52"/>
              <w:szCs w:val="52"/>
            </w:rPr>
            <w:t>目</w:t>
          </w:r>
          <w:r>
            <w:rPr>
              <w:rFonts w:hint="eastAsia" w:ascii="宋体" w:hAnsi="宋体" w:eastAsia="宋体"/>
              <w:b/>
              <w:bCs/>
              <w:sz w:val="52"/>
              <w:szCs w:val="52"/>
              <w:lang w:val="en-US" w:eastAsia="zh-CN"/>
            </w:rPr>
            <w:t xml:space="preserve">  </w:t>
          </w:r>
          <w:r>
            <w:rPr>
              <w:rFonts w:ascii="宋体" w:hAnsi="宋体" w:eastAsia="宋体"/>
              <w:b/>
              <w:bCs/>
              <w:sz w:val="52"/>
              <w:szCs w:val="52"/>
            </w:rPr>
            <w:t>录</w:t>
          </w:r>
        </w:p>
        <w:p w14:paraId="69A1826D">
          <w:pPr>
            <w:pStyle w:val="2"/>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Theme="majorEastAsia" w:cstheme="majorEastAsia"/>
              <w:color w:val="000000"/>
              <w:sz w:val="28"/>
              <w:szCs w:val="36"/>
              <w:lang w:val="en-US" w:eastAsia="zh-CN"/>
            </w:rPr>
          </w:pPr>
        </w:p>
        <w:p w14:paraId="70F98904">
          <w:pPr>
            <w:pStyle w:val="2"/>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Theme="majorEastAsia" w:cstheme="majorEastAsia"/>
              <w:sz w:val="28"/>
              <w:szCs w:val="36"/>
            </w:rPr>
          </w:pPr>
          <w:r>
            <w:rPr>
              <w:rFonts w:hint="eastAsia" w:ascii="Times New Roman" w:hAnsi="Times New Roman" w:eastAsiaTheme="majorEastAsia" w:cstheme="majorEastAsia"/>
              <w:color w:val="000000"/>
              <w:sz w:val="28"/>
              <w:szCs w:val="36"/>
              <w:lang w:val="en-US" w:eastAsia="zh-CN"/>
            </w:rPr>
            <w:t>公开时间：2025年2月12日</w:t>
          </w:r>
        </w:p>
        <w:p w14:paraId="28EF65E0">
          <w:pPr>
            <w:pStyle w:val="9"/>
            <w:tabs>
              <w:tab w:val="right" w:leader="dot" w:pos="8845"/>
            </w:tabs>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val="0"/>
              <w:bCs w:val="0"/>
              <w:i w:val="0"/>
              <w:caps w:val="0"/>
              <w:color w:val="000000" w:themeColor="text1"/>
              <w:spacing w:val="0"/>
              <w:kern w:val="0"/>
              <w:sz w:val="30"/>
              <w:szCs w:val="30"/>
              <w:highlight w:val="none"/>
              <w:lang w:val="en-US" w:eastAsia="zh-CN"/>
              <w14:textFill>
                <w14:solidFill>
                  <w14:schemeClr w14:val="tx1"/>
                </w14:solidFill>
              </w14:textFill>
            </w:rPr>
            <w:fldChar w:fldCharType="begin"/>
          </w:r>
          <w:r>
            <w:rPr>
              <w:rFonts w:hint="eastAsia" w:asciiTheme="minorEastAsia" w:hAnsiTheme="minorEastAsia" w:eastAsiaTheme="minorEastAsia" w:cstheme="minorEastAsia"/>
              <w:b w:val="0"/>
              <w:bCs w:val="0"/>
              <w:i w:val="0"/>
              <w:caps w:val="0"/>
              <w:color w:val="000000" w:themeColor="text1"/>
              <w:spacing w:val="0"/>
              <w:kern w:val="0"/>
              <w:sz w:val="30"/>
              <w:szCs w:val="30"/>
              <w:highlight w:val="none"/>
              <w:lang w:val="en-US" w:eastAsia="zh-CN"/>
              <w14:textFill>
                <w14:solidFill>
                  <w14:schemeClr w14:val="tx1"/>
                </w14:solidFill>
              </w14:textFill>
            </w:rPr>
            <w:instrText xml:space="preserve">TOC \o "1-3" \h \u</w:instrText>
          </w:r>
          <w:r>
            <w:rPr>
              <w:rFonts w:hint="eastAsia" w:asciiTheme="minorEastAsia" w:hAnsiTheme="minorEastAsia" w:eastAsiaTheme="minorEastAsia" w:cstheme="minorEastAsia"/>
              <w:b w:val="0"/>
              <w:bCs w:val="0"/>
              <w:i w:val="0"/>
              <w:caps w:val="0"/>
              <w:color w:val="000000" w:themeColor="text1"/>
              <w:spacing w:val="0"/>
              <w:kern w:val="0"/>
              <w:sz w:val="30"/>
              <w:szCs w:val="30"/>
              <w:highlight w:val="none"/>
              <w:shd w:val="clear" w:color="auto" w:fill="FFFFFF"/>
              <w:lang w:val="en-US" w:eastAsia="zh-CN"/>
              <w14:textFill>
                <w14:solidFill>
                  <w14:schemeClr w14:val="tx1"/>
                </w14:solidFill>
              </w14:textFill>
            </w:rPr>
            <w:fldChar w:fldCharType="separate"/>
          </w:r>
          <w:r>
            <w:fldChar w:fldCharType="begin"/>
          </w:r>
          <w:r>
            <w:instrText xml:space="preserve"> HYPERLINK \l "_Toc24238" </w:instrText>
          </w:r>
          <w:r>
            <w:fldChar w:fldCharType="separate"/>
          </w:r>
          <w:r>
            <w:rPr>
              <w:rFonts w:hint="eastAsia" w:asciiTheme="minorEastAsia" w:hAnsiTheme="minorEastAsia" w:eastAsiaTheme="minorEastAsia" w:cstheme="minorEastAsia"/>
              <w:sz w:val="30"/>
              <w:szCs w:val="30"/>
              <w:lang w:val="en-US" w:eastAsia="zh-CN"/>
            </w:rPr>
            <w:t>一、基本职能及主要工作</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_Toc24238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3</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4A01DA37">
          <w:pPr>
            <w:pStyle w:val="11"/>
            <w:tabs>
              <w:tab w:val="right" w:leader="dot" w:pos="8845"/>
            </w:tabs>
            <w:rPr>
              <w:rFonts w:hint="eastAsia" w:asciiTheme="minorEastAsia" w:hAnsiTheme="minorEastAsia" w:eastAsiaTheme="minorEastAsia" w:cstheme="minorEastAsia"/>
              <w:sz w:val="30"/>
              <w:szCs w:val="30"/>
            </w:rPr>
          </w:pPr>
          <w:r>
            <w:fldChar w:fldCharType="begin"/>
          </w:r>
          <w:r>
            <w:instrText xml:space="preserve"> HYPERLINK \l "_Toc23216" </w:instrText>
          </w:r>
          <w:r>
            <w:fldChar w:fldCharType="separate"/>
          </w:r>
          <w:r>
            <w:rPr>
              <w:rFonts w:hint="eastAsia" w:asciiTheme="minorEastAsia" w:hAnsiTheme="minorEastAsia" w:eastAsiaTheme="minorEastAsia" w:cstheme="minorEastAsia"/>
              <w:sz w:val="30"/>
              <w:szCs w:val="30"/>
            </w:rPr>
            <w:t xml:space="preserve">（一） </w:t>
          </w:r>
          <w:r>
            <w:rPr>
              <w:rFonts w:hint="eastAsia" w:asciiTheme="minorEastAsia" w:hAnsiTheme="minorEastAsia" w:eastAsiaTheme="minorEastAsia" w:cstheme="minorEastAsia"/>
              <w:sz w:val="30"/>
              <w:szCs w:val="30"/>
              <w:lang w:val="en-US" w:eastAsia="zh-CN"/>
            </w:rPr>
            <w:t>磨滩镇人民政府</w:t>
          </w:r>
          <w:r>
            <w:rPr>
              <w:rFonts w:hint="eastAsia" w:asciiTheme="minorEastAsia" w:hAnsiTheme="minorEastAsia" w:eastAsiaTheme="minorEastAsia" w:cstheme="minorEastAsia"/>
              <w:sz w:val="30"/>
              <w:szCs w:val="30"/>
            </w:rPr>
            <w:t>职能简介</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_Toc23216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3</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3FCF49C8">
          <w:pPr>
            <w:pStyle w:val="11"/>
            <w:tabs>
              <w:tab w:val="right" w:leader="dot" w:pos="8845"/>
            </w:tabs>
            <w:rPr>
              <w:rFonts w:hint="eastAsia" w:asciiTheme="minorEastAsia" w:hAnsiTheme="minorEastAsia" w:eastAsiaTheme="minorEastAsia" w:cstheme="minorEastAsia"/>
              <w:sz w:val="30"/>
              <w:szCs w:val="30"/>
            </w:rPr>
          </w:pPr>
          <w:r>
            <w:fldChar w:fldCharType="begin"/>
          </w:r>
          <w:r>
            <w:instrText xml:space="preserve"> HYPERLINK \l "_Toc26764" </w:instrText>
          </w:r>
          <w:r>
            <w:fldChar w:fldCharType="separate"/>
          </w:r>
          <w:r>
            <w:rPr>
              <w:rFonts w:hint="eastAsia" w:asciiTheme="minorEastAsia" w:hAnsiTheme="minorEastAsia" w:eastAsiaTheme="minorEastAsia" w:cstheme="minorEastAsia"/>
              <w:sz w:val="30"/>
              <w:szCs w:val="30"/>
              <w:lang w:val="en-US" w:eastAsia="zh-CN"/>
            </w:rPr>
            <w:t>（二） 磨滩镇人民政府2025年重点工作</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_Toc26764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6</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22E9BB74">
          <w:pPr>
            <w:pStyle w:val="9"/>
            <w:tabs>
              <w:tab w:val="right" w:leader="dot" w:pos="8845"/>
            </w:tabs>
            <w:rPr>
              <w:rFonts w:hint="eastAsia" w:asciiTheme="minorEastAsia" w:hAnsiTheme="minorEastAsia" w:eastAsiaTheme="minorEastAsia" w:cstheme="minorEastAsia"/>
              <w:sz w:val="30"/>
              <w:szCs w:val="30"/>
            </w:rPr>
          </w:pPr>
          <w:r>
            <w:fldChar w:fldCharType="begin"/>
          </w:r>
          <w:r>
            <w:instrText xml:space="preserve"> HYPERLINK \l "_Toc11390" </w:instrText>
          </w:r>
          <w:r>
            <w:fldChar w:fldCharType="separate"/>
          </w:r>
          <w:r>
            <w:rPr>
              <w:rFonts w:hint="eastAsia" w:asciiTheme="minorEastAsia" w:hAnsiTheme="minorEastAsia" w:eastAsiaTheme="minorEastAsia" w:cstheme="minorEastAsia"/>
              <w:sz w:val="30"/>
              <w:szCs w:val="30"/>
              <w:lang w:val="en-US" w:eastAsia="zh-CN"/>
            </w:rPr>
            <w:t>二、部门预算单位构成</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_Toc11390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10</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36113740">
          <w:pPr>
            <w:pStyle w:val="9"/>
            <w:tabs>
              <w:tab w:val="right" w:leader="dot" w:pos="8845"/>
            </w:tabs>
            <w:rPr>
              <w:rFonts w:hint="eastAsia" w:asciiTheme="minorEastAsia" w:hAnsiTheme="minorEastAsia" w:eastAsiaTheme="minorEastAsia" w:cstheme="minorEastAsia"/>
              <w:sz w:val="30"/>
              <w:szCs w:val="30"/>
            </w:rPr>
          </w:pPr>
          <w:r>
            <w:fldChar w:fldCharType="begin"/>
          </w:r>
          <w:r>
            <w:instrText xml:space="preserve"> HYPERLINK \l "_Toc32390" </w:instrText>
          </w:r>
          <w:r>
            <w:fldChar w:fldCharType="separate"/>
          </w:r>
          <w:r>
            <w:rPr>
              <w:rFonts w:hint="eastAsia" w:asciiTheme="minorEastAsia" w:hAnsiTheme="minorEastAsia" w:eastAsiaTheme="minorEastAsia" w:cstheme="minorEastAsia"/>
              <w:sz w:val="30"/>
              <w:szCs w:val="30"/>
              <w:lang w:val="en-US" w:eastAsia="zh-CN"/>
            </w:rPr>
            <w:t>三、收支预算情况说明</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_Toc32390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10</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1EA55F10">
          <w:pPr>
            <w:pStyle w:val="11"/>
            <w:tabs>
              <w:tab w:val="right" w:leader="dot" w:pos="8845"/>
            </w:tabs>
            <w:rPr>
              <w:rFonts w:hint="eastAsia" w:asciiTheme="minorEastAsia" w:hAnsiTheme="minorEastAsia" w:eastAsiaTheme="minorEastAsia" w:cstheme="minorEastAsia"/>
              <w:sz w:val="30"/>
              <w:szCs w:val="30"/>
            </w:rPr>
          </w:pPr>
          <w:r>
            <w:fldChar w:fldCharType="begin"/>
          </w:r>
          <w:r>
            <w:instrText xml:space="preserve"> HYPERLINK \l "_Toc15243" </w:instrText>
          </w:r>
          <w:r>
            <w:fldChar w:fldCharType="separate"/>
          </w:r>
          <w:r>
            <w:rPr>
              <w:rFonts w:hint="eastAsia" w:asciiTheme="minorEastAsia" w:hAnsiTheme="minorEastAsia" w:eastAsiaTheme="minorEastAsia" w:cstheme="minorEastAsia"/>
              <w:sz w:val="30"/>
              <w:szCs w:val="30"/>
              <w:lang w:val="en-US" w:eastAsia="zh-CN"/>
            </w:rPr>
            <w:t>（一） 收入预算情况</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_Toc15243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10</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67268054">
          <w:pPr>
            <w:pStyle w:val="11"/>
            <w:tabs>
              <w:tab w:val="right" w:leader="dot" w:pos="8845"/>
            </w:tabs>
            <w:rPr>
              <w:rFonts w:hint="eastAsia" w:asciiTheme="minorEastAsia" w:hAnsiTheme="minorEastAsia" w:eastAsiaTheme="minorEastAsia" w:cstheme="minorEastAsia"/>
              <w:sz w:val="30"/>
              <w:szCs w:val="30"/>
            </w:rPr>
          </w:pPr>
          <w:r>
            <w:fldChar w:fldCharType="begin"/>
          </w:r>
          <w:r>
            <w:instrText xml:space="preserve"> HYPERLINK \l "_Toc1299" </w:instrText>
          </w:r>
          <w:r>
            <w:fldChar w:fldCharType="separate"/>
          </w:r>
          <w:r>
            <w:rPr>
              <w:rFonts w:hint="eastAsia" w:asciiTheme="minorEastAsia" w:hAnsiTheme="minorEastAsia" w:eastAsiaTheme="minorEastAsia" w:cstheme="minorEastAsia"/>
              <w:sz w:val="30"/>
              <w:szCs w:val="30"/>
              <w:lang w:val="en-US" w:eastAsia="zh-CN"/>
            </w:rPr>
            <w:t>（二） 支出预算情况</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_Toc1299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10</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2EEF06D4">
          <w:pPr>
            <w:pStyle w:val="9"/>
            <w:tabs>
              <w:tab w:val="right" w:leader="dot" w:pos="8845"/>
            </w:tabs>
            <w:rPr>
              <w:rFonts w:hint="eastAsia" w:asciiTheme="minorEastAsia" w:hAnsiTheme="minorEastAsia" w:eastAsiaTheme="minorEastAsia" w:cstheme="minorEastAsia"/>
              <w:sz w:val="30"/>
              <w:szCs w:val="30"/>
            </w:rPr>
          </w:pPr>
          <w:r>
            <w:fldChar w:fldCharType="begin"/>
          </w:r>
          <w:r>
            <w:instrText xml:space="preserve"> HYPERLINK \l "_Toc6373" </w:instrText>
          </w:r>
          <w:r>
            <w:fldChar w:fldCharType="separate"/>
          </w:r>
          <w:r>
            <w:rPr>
              <w:rFonts w:hint="eastAsia" w:asciiTheme="minorEastAsia" w:hAnsiTheme="minorEastAsia" w:eastAsiaTheme="minorEastAsia" w:cstheme="minorEastAsia"/>
              <w:sz w:val="30"/>
              <w:szCs w:val="30"/>
              <w:lang w:val="en-US" w:eastAsia="zh-CN"/>
            </w:rPr>
            <w:t>四、财政拨款收支预算情况说明</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_Toc6373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11</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35E97D96">
          <w:pPr>
            <w:pStyle w:val="9"/>
            <w:tabs>
              <w:tab w:val="right" w:leader="dot" w:pos="8845"/>
            </w:tabs>
            <w:rPr>
              <w:rFonts w:hint="eastAsia" w:asciiTheme="minorEastAsia" w:hAnsiTheme="minorEastAsia" w:eastAsiaTheme="minorEastAsia" w:cstheme="minorEastAsia"/>
              <w:sz w:val="30"/>
              <w:szCs w:val="30"/>
            </w:rPr>
          </w:pPr>
          <w:r>
            <w:fldChar w:fldCharType="begin"/>
          </w:r>
          <w:r>
            <w:instrText xml:space="preserve"> HYPERLINK \l "_Toc30108" </w:instrText>
          </w:r>
          <w:r>
            <w:fldChar w:fldCharType="separate"/>
          </w:r>
          <w:r>
            <w:rPr>
              <w:rFonts w:hint="eastAsia" w:asciiTheme="minorEastAsia" w:hAnsiTheme="minorEastAsia" w:eastAsiaTheme="minorEastAsia" w:cstheme="minorEastAsia"/>
              <w:sz w:val="30"/>
              <w:szCs w:val="30"/>
              <w:lang w:val="en-US" w:eastAsia="zh-CN"/>
            </w:rPr>
            <w:t>五、一般公共预算当年拨款情况说明</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_Toc30108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11</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556E41EA">
          <w:pPr>
            <w:pStyle w:val="11"/>
            <w:tabs>
              <w:tab w:val="right" w:leader="dot" w:pos="8845"/>
            </w:tabs>
            <w:rPr>
              <w:rFonts w:hint="eastAsia" w:asciiTheme="minorEastAsia" w:hAnsiTheme="minorEastAsia" w:eastAsiaTheme="minorEastAsia" w:cstheme="minorEastAsia"/>
              <w:sz w:val="30"/>
              <w:szCs w:val="30"/>
            </w:rPr>
          </w:pPr>
          <w:r>
            <w:fldChar w:fldCharType="begin"/>
          </w:r>
          <w:r>
            <w:instrText xml:space="preserve"> HYPERLINK \l "_Toc6815" </w:instrText>
          </w:r>
          <w:r>
            <w:fldChar w:fldCharType="separate"/>
          </w:r>
          <w:r>
            <w:rPr>
              <w:rFonts w:hint="eastAsia" w:asciiTheme="minorEastAsia" w:hAnsiTheme="minorEastAsia" w:eastAsiaTheme="minorEastAsia" w:cstheme="minorEastAsia"/>
              <w:sz w:val="30"/>
              <w:szCs w:val="30"/>
              <w:lang w:val="en-US" w:eastAsia="zh-CN"/>
            </w:rPr>
            <w:t>（一） 一般公共预算当年拨款规模变化情况</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_Toc6815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11</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7597EBC1">
          <w:pPr>
            <w:pStyle w:val="11"/>
            <w:tabs>
              <w:tab w:val="right" w:leader="dot" w:pos="8845"/>
            </w:tabs>
            <w:rPr>
              <w:rFonts w:hint="eastAsia" w:asciiTheme="minorEastAsia" w:hAnsiTheme="minorEastAsia" w:eastAsiaTheme="minorEastAsia" w:cstheme="minorEastAsia"/>
              <w:sz w:val="30"/>
              <w:szCs w:val="30"/>
            </w:rPr>
          </w:pPr>
          <w:r>
            <w:fldChar w:fldCharType="begin"/>
          </w:r>
          <w:r>
            <w:instrText xml:space="preserve"> HYPERLINK \l "_Toc12046" </w:instrText>
          </w:r>
          <w:r>
            <w:fldChar w:fldCharType="separate"/>
          </w:r>
          <w:r>
            <w:rPr>
              <w:rFonts w:hint="eastAsia" w:asciiTheme="minorEastAsia" w:hAnsiTheme="minorEastAsia" w:eastAsiaTheme="minorEastAsia" w:cstheme="minorEastAsia"/>
              <w:sz w:val="30"/>
              <w:szCs w:val="30"/>
              <w:lang w:val="en-US" w:eastAsia="zh-CN"/>
            </w:rPr>
            <w:t>（二） 一般公共预算当年拨款结构情况</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_Toc12046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11</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166596D1">
          <w:pPr>
            <w:pStyle w:val="11"/>
            <w:tabs>
              <w:tab w:val="right" w:leader="dot" w:pos="8845"/>
            </w:tabs>
            <w:rPr>
              <w:rFonts w:hint="eastAsia" w:asciiTheme="minorEastAsia" w:hAnsiTheme="minorEastAsia" w:eastAsiaTheme="minorEastAsia" w:cstheme="minorEastAsia"/>
              <w:sz w:val="30"/>
              <w:szCs w:val="30"/>
            </w:rPr>
          </w:pPr>
          <w:r>
            <w:fldChar w:fldCharType="begin"/>
          </w:r>
          <w:r>
            <w:instrText xml:space="preserve"> HYPERLINK \l "_Toc2189" </w:instrText>
          </w:r>
          <w:r>
            <w:fldChar w:fldCharType="separate"/>
          </w:r>
          <w:r>
            <w:rPr>
              <w:rFonts w:hint="eastAsia" w:asciiTheme="minorEastAsia" w:hAnsiTheme="minorEastAsia" w:eastAsiaTheme="minorEastAsia" w:cstheme="minorEastAsia"/>
              <w:sz w:val="30"/>
              <w:szCs w:val="30"/>
              <w:lang w:val="en-US" w:eastAsia="zh-CN"/>
            </w:rPr>
            <w:t>（三） 一般公共预算当年拨款具体使用情况</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_Toc2189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11</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146AE707">
          <w:pPr>
            <w:pStyle w:val="9"/>
            <w:tabs>
              <w:tab w:val="right" w:leader="dot" w:pos="8845"/>
            </w:tabs>
            <w:rPr>
              <w:rFonts w:hint="eastAsia" w:asciiTheme="minorEastAsia" w:hAnsiTheme="minorEastAsia" w:eastAsiaTheme="minorEastAsia" w:cstheme="minorEastAsia"/>
              <w:sz w:val="30"/>
              <w:szCs w:val="30"/>
            </w:rPr>
          </w:pPr>
          <w:r>
            <w:fldChar w:fldCharType="begin"/>
          </w:r>
          <w:r>
            <w:instrText xml:space="preserve"> HYPERLINK \l "_Toc5147" </w:instrText>
          </w:r>
          <w:r>
            <w:fldChar w:fldCharType="separate"/>
          </w:r>
          <w:r>
            <w:rPr>
              <w:rFonts w:hint="eastAsia" w:asciiTheme="minorEastAsia" w:hAnsiTheme="minorEastAsia" w:eastAsiaTheme="minorEastAsia" w:cstheme="minorEastAsia"/>
              <w:sz w:val="30"/>
              <w:szCs w:val="30"/>
              <w:lang w:val="en-US" w:eastAsia="zh-CN"/>
            </w:rPr>
            <w:t>六、一般公共预算基本支出情况说明</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_Toc5147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13</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5B0CC6D6">
          <w:pPr>
            <w:pStyle w:val="9"/>
            <w:tabs>
              <w:tab w:val="right" w:leader="dot" w:pos="8845"/>
            </w:tabs>
            <w:rPr>
              <w:rFonts w:hint="eastAsia" w:asciiTheme="minorEastAsia" w:hAnsiTheme="minorEastAsia" w:eastAsiaTheme="minorEastAsia" w:cstheme="minorEastAsia"/>
              <w:sz w:val="30"/>
              <w:szCs w:val="30"/>
            </w:rPr>
          </w:pPr>
          <w:r>
            <w:fldChar w:fldCharType="begin"/>
          </w:r>
          <w:r>
            <w:instrText xml:space="preserve"> HYPERLINK \l "_Toc21503" </w:instrText>
          </w:r>
          <w:r>
            <w:fldChar w:fldCharType="separate"/>
          </w:r>
          <w:r>
            <w:rPr>
              <w:rFonts w:hint="eastAsia" w:asciiTheme="minorEastAsia" w:hAnsiTheme="minorEastAsia" w:eastAsiaTheme="minorEastAsia" w:cstheme="minorEastAsia"/>
              <w:sz w:val="30"/>
              <w:szCs w:val="30"/>
              <w:lang w:val="en-US" w:eastAsia="zh-CN"/>
            </w:rPr>
            <w:t>七、“三公”经费财政拨款预算安排情况说明</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_Toc21503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14</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78152ABD">
          <w:pPr>
            <w:pStyle w:val="9"/>
            <w:tabs>
              <w:tab w:val="right" w:leader="dot" w:pos="8845"/>
            </w:tabs>
            <w:rPr>
              <w:rFonts w:hint="eastAsia" w:asciiTheme="minorEastAsia" w:hAnsiTheme="minorEastAsia" w:eastAsiaTheme="minorEastAsia" w:cstheme="minorEastAsia"/>
              <w:sz w:val="30"/>
              <w:szCs w:val="30"/>
            </w:rPr>
          </w:pPr>
          <w:r>
            <w:fldChar w:fldCharType="begin"/>
          </w:r>
          <w:r>
            <w:instrText xml:space="preserve"> HYPERLINK \l "_Toc28600" </w:instrText>
          </w:r>
          <w:r>
            <w:fldChar w:fldCharType="separate"/>
          </w:r>
          <w:r>
            <w:rPr>
              <w:rFonts w:hint="eastAsia" w:asciiTheme="minorEastAsia" w:hAnsiTheme="minorEastAsia" w:eastAsiaTheme="minorEastAsia" w:cstheme="minorEastAsia"/>
              <w:sz w:val="30"/>
              <w:szCs w:val="30"/>
              <w:lang w:val="en-US" w:eastAsia="zh-CN"/>
            </w:rPr>
            <w:t>八、政府性基金预算支出情况说明</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_Toc28600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14</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094F9DC9">
          <w:pPr>
            <w:pStyle w:val="9"/>
            <w:tabs>
              <w:tab w:val="right" w:leader="dot" w:pos="8845"/>
            </w:tabs>
            <w:rPr>
              <w:rFonts w:hint="eastAsia" w:asciiTheme="minorEastAsia" w:hAnsiTheme="minorEastAsia" w:eastAsiaTheme="minorEastAsia" w:cstheme="minorEastAsia"/>
              <w:sz w:val="30"/>
              <w:szCs w:val="30"/>
            </w:rPr>
          </w:pPr>
          <w:r>
            <w:fldChar w:fldCharType="begin"/>
          </w:r>
          <w:r>
            <w:instrText xml:space="preserve"> HYPERLINK \l "_Toc30934" </w:instrText>
          </w:r>
          <w:r>
            <w:fldChar w:fldCharType="separate"/>
          </w:r>
          <w:r>
            <w:rPr>
              <w:rFonts w:hint="eastAsia" w:asciiTheme="minorEastAsia" w:hAnsiTheme="minorEastAsia" w:eastAsiaTheme="minorEastAsia" w:cstheme="minorEastAsia"/>
              <w:sz w:val="30"/>
              <w:szCs w:val="30"/>
              <w:lang w:val="en-US" w:eastAsia="zh-CN"/>
            </w:rPr>
            <w:t>十、其他重要事项的情况说明</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_Toc30934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15</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685A4146">
          <w:pPr>
            <w:pStyle w:val="9"/>
            <w:tabs>
              <w:tab w:val="right" w:leader="dot" w:pos="8845"/>
            </w:tabs>
            <w:rPr>
              <w:rFonts w:hint="eastAsia" w:asciiTheme="minorEastAsia" w:hAnsiTheme="minorEastAsia" w:eastAsiaTheme="minorEastAsia" w:cstheme="minorEastAsia"/>
              <w:sz w:val="30"/>
              <w:szCs w:val="30"/>
            </w:rPr>
          </w:pPr>
          <w:r>
            <w:fldChar w:fldCharType="begin"/>
          </w:r>
          <w:r>
            <w:instrText xml:space="preserve"> HYPERLINK \l "_Toc3976" </w:instrText>
          </w:r>
          <w:r>
            <w:fldChar w:fldCharType="separate"/>
          </w:r>
          <w:r>
            <w:rPr>
              <w:rFonts w:hint="eastAsia" w:asciiTheme="minorEastAsia" w:hAnsiTheme="minorEastAsia" w:eastAsiaTheme="minorEastAsia" w:cstheme="minorEastAsia"/>
              <w:sz w:val="30"/>
              <w:szCs w:val="30"/>
              <w:lang w:val="en-US" w:eastAsia="zh-CN"/>
            </w:rPr>
            <w:t>十一、名词解释</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_Toc3976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15</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0DC21E5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default" w:ascii="方正小标宋简体" w:hAnsi="方正小标宋简体" w:eastAsia="方正小标宋简体" w:cs="方正小标宋简体"/>
              <w:bCs w:val="0"/>
              <w:i w:val="0"/>
              <w:caps w:val="0"/>
              <w:color w:val="000000" w:themeColor="text1"/>
              <w:spacing w:val="0"/>
              <w:kern w:val="0"/>
              <w:sz w:val="21"/>
              <w:szCs w:val="44"/>
              <w:highlight w:val="none"/>
              <w:shd w:val="clear" w:color="auto" w:fill="FFFFFF"/>
              <w:lang w:val="en-US" w:eastAsia="zh-CN"/>
              <w14:textFill>
                <w14:solidFill>
                  <w14:schemeClr w14:val="tx1"/>
                </w14:solidFill>
              </w14:textFill>
            </w:rPr>
          </w:pPr>
          <w:r>
            <w:rPr>
              <w:rFonts w:hint="eastAsia" w:asciiTheme="minorEastAsia" w:hAnsiTheme="minorEastAsia" w:eastAsiaTheme="minorEastAsia" w:cstheme="minorEastAsia"/>
              <w:bCs w:val="0"/>
              <w:i w:val="0"/>
              <w:caps w:val="0"/>
              <w:color w:val="000000" w:themeColor="text1"/>
              <w:spacing w:val="0"/>
              <w:kern w:val="0"/>
              <w:sz w:val="30"/>
              <w:szCs w:val="30"/>
              <w:highlight w:val="none"/>
              <w:shd w:val="clear" w:color="auto" w:fill="FFFFFF"/>
              <w:lang w:val="en-US" w:eastAsia="zh-CN"/>
              <w14:textFill>
                <w14:solidFill>
                  <w14:schemeClr w14:val="tx1"/>
                </w14:solidFill>
              </w14:textFill>
            </w:rPr>
            <w:fldChar w:fldCharType="end"/>
          </w:r>
        </w:p>
      </w:sdtContent>
    </w:sdt>
    <w:p w14:paraId="6225BF5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1" w:name="_Toc24238"/>
      <w:bookmarkStart w:id="2" w:name="_Toc930"/>
      <w:r>
        <w:rPr>
          <w:rFonts w:hint="eastAsia" w:ascii="黑体" w:hAnsi="黑体" w:eastAsia="黑体" w:cs="黑体"/>
          <w:sz w:val="32"/>
          <w:szCs w:val="32"/>
          <w:lang w:val="en-US" w:eastAsia="zh-CN"/>
        </w:rPr>
        <w:t>一、基本职能及主要工作</w:t>
      </w:r>
      <w:bookmarkEnd w:id="1"/>
      <w:bookmarkEnd w:id="2"/>
    </w:p>
    <w:p w14:paraId="25CE26F9">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420" w:firstLineChars="0"/>
        <w:textAlignment w:val="auto"/>
        <w:outlineLvl w:val="1"/>
        <w:rPr>
          <w:rFonts w:hint="eastAsia" w:ascii="楷体_GB2312" w:hAnsi="楷体_GB2312" w:eastAsia="楷体_GB2312" w:cs="楷体_GB2312"/>
          <w:sz w:val="32"/>
          <w:szCs w:val="32"/>
        </w:rPr>
      </w:pPr>
      <w:bookmarkStart w:id="3" w:name="_Toc26560"/>
      <w:bookmarkStart w:id="4" w:name="_Toc23216"/>
      <w:r>
        <w:rPr>
          <w:rFonts w:hint="eastAsia" w:ascii="楷体_GB2312" w:hAnsi="楷体_GB2312" w:eastAsia="楷体_GB2312" w:cs="楷体_GB2312"/>
          <w:sz w:val="32"/>
          <w:szCs w:val="32"/>
          <w:lang w:val="en-US" w:eastAsia="zh-CN"/>
        </w:rPr>
        <w:t>磨滩镇人民政府</w:t>
      </w:r>
      <w:r>
        <w:rPr>
          <w:rFonts w:hint="eastAsia" w:ascii="楷体_GB2312" w:hAnsi="楷体_GB2312" w:eastAsia="楷体_GB2312" w:cs="楷体_GB2312"/>
          <w:sz w:val="32"/>
          <w:szCs w:val="32"/>
        </w:rPr>
        <w:t>职能简介</w:t>
      </w:r>
      <w:bookmarkEnd w:id="3"/>
      <w:bookmarkEnd w:id="4"/>
    </w:p>
    <w:p w14:paraId="12D2F6E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30" w:beforeAutospacing="0" w:after="0" w:afterAutospacing="0" w:line="556" w:lineRule="atLeast"/>
        <w:ind w:left="0" w:right="0" w:firstLine="674"/>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rPr>
        <w:t>1、落实国家政策，严格依法行政，发挥经济管理职能，加强政策引导，制定发展规划，服务市场主体和营造发展环境，搞好市场监管，大力促进社会事业发展，发展镇村经济、文化和社会事业，提供公共服务，维护社会稳定，构建社会主义和谐社会。</w:t>
      </w:r>
    </w:p>
    <w:p w14:paraId="2C57432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30" w:beforeAutospacing="0" w:after="0" w:afterAutospacing="0" w:line="556" w:lineRule="atLeast"/>
        <w:ind w:left="0" w:right="0" w:firstLine="674"/>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rPr>
        <w:t>2、执行本级人民代表大会的决议和上级国家行政机关的决定和命令，发布决定和命令。</w:t>
      </w:r>
    </w:p>
    <w:p w14:paraId="40F4196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30" w:beforeAutospacing="0" w:after="0" w:afterAutospacing="0" w:line="556" w:lineRule="atLeast"/>
        <w:ind w:left="0" w:right="0" w:firstLine="674"/>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rPr>
        <w:t>3、制定和组织实施经济、科技和社会发展计划，制定资源开发技术改造和产业结构调整方案，组织指导好各业生产，搞好商品流通，协调好本镇与外地区的经济交流与合作，抓好招商引资，人才引进项目开发，不断培育市场体系，组织经济运行，促进经济发展。</w:t>
      </w:r>
    </w:p>
    <w:p w14:paraId="5F920AD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30" w:beforeAutospacing="0" w:after="0" w:afterAutospacing="0" w:line="556" w:lineRule="atLeast"/>
        <w:ind w:left="0" w:right="0" w:firstLine="674"/>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rPr>
        <w:t>4、制定并组织实施镇村建设规划，部署重点工程建设，地方道路建设及公共设施，水利设施的管理，负责土地、林木、水等自然资源和生态环境的保护，做好护林防火工作。</w:t>
      </w:r>
    </w:p>
    <w:p w14:paraId="5BB3337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30" w:beforeAutospacing="0" w:after="0" w:afterAutospacing="0" w:line="556" w:lineRule="atLeast"/>
        <w:ind w:left="0" w:right="0" w:firstLine="674"/>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rPr>
        <w:t>5、负责本行政区域内的民政、计划生育、文化教育、卫生、体育等社会公益事业的综合性工作，维护一切经济单位和个人的正当经济权益，取缔非法经济活动，调解和处理民事纠纷，打击刑事犯罪维护社会稳定。</w:t>
      </w:r>
    </w:p>
    <w:p w14:paraId="3CBC3CB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30" w:beforeAutospacing="0" w:after="0" w:afterAutospacing="0" w:line="556" w:lineRule="atLeast"/>
        <w:ind w:left="0" w:right="0" w:firstLine="674"/>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rPr>
        <w:t>6、按计划组织本级财政收入和地方税的征收，完成国家财政计划，不断培植税源，管好财政资金，增强财政实力。</w:t>
      </w:r>
    </w:p>
    <w:p w14:paraId="7446D9A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30" w:beforeAutospacing="0" w:after="0" w:afterAutospacing="0" w:line="556" w:lineRule="atLeast"/>
        <w:ind w:left="0" w:right="0" w:firstLine="674"/>
        <w:jc w:val="both"/>
        <w:textAlignment w:val="auto"/>
      </w:pPr>
      <w:r>
        <w:rPr>
          <w:rFonts w:hint="eastAsia" w:ascii="仿宋_GB2312" w:hAnsi="Times New Roman" w:eastAsia="仿宋_GB2312" w:cs="仿宋_GB2312"/>
          <w:i w:val="0"/>
          <w:caps w:val="0"/>
          <w:color w:val="333333"/>
          <w:spacing w:val="0"/>
          <w:kern w:val="0"/>
          <w:sz w:val="32"/>
          <w:szCs w:val="32"/>
          <w:shd w:val="clear" w:color="auto" w:fill="FFFFFF"/>
          <w:lang w:val="en-US" w:eastAsia="zh-CN"/>
        </w:rPr>
        <w:t>7、抓好精神文明建设，丰富群众文化生活，提倡移风易俗，反对封建迷信，破除陈规陋习，树立社会主义新风尚。</w:t>
      </w:r>
    </w:p>
    <w:p w14:paraId="2CF3908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30" w:beforeAutospacing="0" w:after="0" w:afterAutospacing="0" w:line="556" w:lineRule="atLeast"/>
        <w:ind w:left="0" w:right="0" w:firstLine="675"/>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rPr>
        <w:t>8、完成上级交办的其它事项。</w:t>
      </w:r>
    </w:p>
    <w:p w14:paraId="2120F17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30" w:beforeAutospacing="0" w:after="0" w:afterAutospacing="0" w:line="556" w:lineRule="atLeast"/>
        <w:ind w:left="0" w:right="0" w:firstLine="675"/>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rPr>
      </w:pPr>
    </w:p>
    <w:p w14:paraId="6A342DE0">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420" w:firstLineChars="0"/>
        <w:textAlignment w:val="auto"/>
        <w:outlineLvl w:val="1"/>
        <w:rPr>
          <w:rFonts w:hint="eastAsia" w:ascii="楷体_GB2312" w:hAnsi="楷体_GB2312" w:eastAsia="楷体_GB2312" w:cs="楷体_GB2312"/>
          <w:sz w:val="32"/>
          <w:szCs w:val="32"/>
          <w:lang w:val="en-US" w:eastAsia="zh-CN"/>
        </w:rPr>
      </w:pPr>
      <w:bookmarkStart w:id="5" w:name="_Toc26764"/>
      <w:bookmarkStart w:id="6" w:name="_Toc31507"/>
      <w:r>
        <w:rPr>
          <w:rFonts w:hint="eastAsia" w:ascii="楷体_GB2312" w:hAnsi="楷体_GB2312" w:eastAsia="楷体_GB2312" w:cs="楷体_GB2312"/>
          <w:sz w:val="32"/>
          <w:szCs w:val="32"/>
          <w:lang w:val="en-US" w:eastAsia="zh-CN"/>
        </w:rPr>
        <w:t>磨滩镇人民政府2025年重点工作</w:t>
      </w:r>
      <w:bookmarkEnd w:id="5"/>
      <w:bookmarkEnd w:id="6"/>
    </w:p>
    <w:p w14:paraId="38AF8FE4">
      <w:pPr>
        <w:pStyle w:val="22"/>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rPr>
        <w:t>1.</w:t>
      </w:r>
      <w:r>
        <w:rPr>
          <w:rFonts w:hint="eastAsia" w:ascii="Times New Roman" w:hAnsi="Times New Roman" w:eastAsia="楷体" w:cs="Times New Roman"/>
          <w:b w:val="0"/>
          <w:bCs w:val="0"/>
          <w:color w:val="auto"/>
          <w:sz w:val="32"/>
          <w:szCs w:val="32"/>
          <w:highlight w:val="none"/>
          <w:lang w:val="en-US" w:eastAsia="zh-CN"/>
        </w:rPr>
        <w:t>聚合优势资源，优化布局促发展，增强经济发展后劲</w:t>
      </w:r>
      <w:r>
        <w:rPr>
          <w:rFonts w:hint="eastAsia" w:ascii="仿宋_GB2312" w:hAnsi="Times New Roman" w:eastAsia="仿宋_GB2312" w:cs="仿宋_GB2312"/>
          <w:i w:val="0"/>
          <w:caps w:val="0"/>
          <w:color w:val="333333"/>
          <w:spacing w:val="0"/>
          <w:kern w:val="0"/>
          <w:sz w:val="32"/>
          <w:szCs w:val="32"/>
          <w:shd w:val="clear" w:color="auto" w:fill="FFFFFF"/>
          <w:lang w:val="en-US" w:eastAsia="zh-CN"/>
        </w:rPr>
        <w:t>。</w:t>
      </w:r>
      <w:r>
        <w:rPr>
          <w:rFonts w:hint="default" w:ascii="Times New Roman" w:hAnsi="Times New Roman" w:eastAsia="仿宋_GB2312" w:cs="Times New Roman"/>
          <w:b w:val="0"/>
          <w:bCs w:val="0"/>
          <w:color w:val="auto"/>
          <w:sz w:val="32"/>
          <w:szCs w:val="32"/>
          <w:highlight w:val="none"/>
          <w:lang w:val="en-US" w:eastAsia="zh-CN"/>
        </w:rPr>
        <w:t>坚持乡村振兴和新型城镇化双轮驱动，统筹国土空间开发格局，优化生产生活生态空间，构建协调联动发展格局，充分发挥区位、交通、生态等资源优势，积极发展乡村旅游、农村电商、休闲农业、民宿康养、民俗体验等产业体系。</w:t>
      </w:r>
      <w:r>
        <w:rPr>
          <w:rFonts w:hint="default" w:ascii="Times New Roman" w:hAnsi="Times New Roman" w:eastAsia="黑体" w:cs="Times New Roman"/>
          <w:b w:val="0"/>
          <w:bCs w:val="0"/>
          <w:color w:val="auto"/>
          <w:sz w:val="32"/>
          <w:szCs w:val="32"/>
          <w:highlight w:val="none"/>
          <w:lang w:val="en-US" w:eastAsia="zh-CN"/>
        </w:rPr>
        <w:t>一是</w:t>
      </w:r>
      <w:r>
        <w:rPr>
          <w:rFonts w:hint="default" w:ascii="Times New Roman" w:hAnsi="Times New Roman" w:eastAsia="仿宋_GB2312" w:cs="Times New Roman"/>
          <w:b w:val="0"/>
          <w:bCs w:val="0"/>
          <w:color w:val="auto"/>
          <w:sz w:val="32"/>
          <w:szCs w:val="32"/>
          <w:highlight w:val="none"/>
          <w:lang w:val="en-US" w:eastAsia="zh-CN"/>
        </w:rPr>
        <w:t>构建山青湖畔发展新格局，抓美丽乡村建设示范。结合工农水库区位优势，充分挖掘和利用好徐琴湾、野生特色食材及山水林田房一体优势，重点推进美丽乡村项目建设落地落实，以文旅康养为核心，在“吃、住”上下功夫，积极推进民宿、特色农家乐项目谋划和产业扶持，顺势而为推进环湖绿道建设，加强引导、放宽准入、优化环境，深化乡村旅游、特色生态餐饮等产业发展，推动农文旅融合发展，促进生态、景观等资源优势转化为产业经济优势。</w:t>
      </w:r>
      <w:r>
        <w:rPr>
          <w:rFonts w:hint="default" w:ascii="Times New Roman" w:hAnsi="Times New Roman" w:eastAsia="黑体" w:cs="Times New Roman"/>
          <w:b w:val="0"/>
          <w:bCs w:val="0"/>
          <w:color w:val="auto"/>
          <w:sz w:val="32"/>
          <w:szCs w:val="32"/>
          <w:highlight w:val="none"/>
          <w:lang w:val="en-US" w:eastAsia="zh-CN"/>
        </w:rPr>
        <w:t>二是</w:t>
      </w:r>
      <w:r>
        <w:rPr>
          <w:rFonts w:hint="default" w:ascii="Times New Roman" w:hAnsi="Times New Roman" w:eastAsia="仿宋_GB2312" w:cs="Times New Roman"/>
          <w:b w:val="0"/>
          <w:bCs w:val="0"/>
          <w:color w:val="auto"/>
          <w:sz w:val="32"/>
          <w:szCs w:val="32"/>
          <w:highlight w:val="none"/>
          <w:lang w:val="en-US" w:eastAsia="zh-CN"/>
        </w:rPr>
        <w:t>构建磨滩产业园发展新格局，抓特色产业培育壮大。结合气候、土地、水资源优势，用好产业发展资金，持续支持稻鸭皮蛋、滴滴香、淫羊藿、金堂黄茶等产业提质扩量，积极争取申报建设黄茶加工基地，积极招商引资，盘活黄茶产业基地。加快推进王磨路沿线农业综合开发，持续推广和扶持烤烟、油菜种植，示范发展“稻渔鸭”综合种养500亩，积极推动畜禽养殖业规模化、生态化，发展以生猪、牛羊养殖为主的家庭农场5家。</w:t>
      </w:r>
      <w:r>
        <w:rPr>
          <w:rFonts w:hint="default" w:ascii="Times New Roman" w:hAnsi="Times New Roman" w:eastAsia="黑体" w:cs="Times New Roman"/>
          <w:b w:val="0"/>
          <w:bCs w:val="0"/>
          <w:color w:val="auto"/>
          <w:sz w:val="32"/>
          <w:szCs w:val="32"/>
          <w:highlight w:val="none"/>
          <w:lang w:val="en-US" w:eastAsia="zh-CN"/>
        </w:rPr>
        <w:t>三是</w:t>
      </w:r>
      <w:r>
        <w:rPr>
          <w:rFonts w:hint="default" w:ascii="Times New Roman" w:hAnsi="Times New Roman" w:eastAsia="仿宋_GB2312" w:cs="Times New Roman"/>
          <w:b w:val="0"/>
          <w:bCs w:val="0"/>
          <w:color w:val="auto"/>
          <w:sz w:val="32"/>
          <w:szCs w:val="32"/>
          <w:highlight w:val="none"/>
          <w:lang w:val="en-US" w:eastAsia="zh-CN"/>
        </w:rPr>
        <w:t>构建王家贡米发展新格局，抓生态资源保护利用。结合磨滩山高水富、日照充足、雨水充沛和其他贡米生长所必需的生态资源优势，以保护利用为导向，发展壮大村集体经济为目标，实施农特产品促育增收工程，喊亮叫响王家贡米招牌，整合资源、抱团发展，努力构建贡米商业化管理体系。同时，积极争取促进水稻行业发展项目，大力开展水稻促繁工程培训，促进水稻数量和质量双提升，实现贡米增量、群众增收。</w:t>
      </w:r>
    </w:p>
    <w:p w14:paraId="714B1275">
      <w:pPr>
        <w:pStyle w:val="22"/>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楷体" w:cs="Times New Roman"/>
          <w:b w:val="0"/>
          <w:bCs w:val="0"/>
          <w:color w:val="auto"/>
          <w:sz w:val="32"/>
          <w:szCs w:val="32"/>
          <w:highlight w:val="none"/>
          <w:lang w:val="en-US" w:eastAsia="zh-CN"/>
        </w:rPr>
        <w:t>2.</w:t>
      </w:r>
      <w:r>
        <w:rPr>
          <w:rFonts w:hint="default" w:ascii="Times New Roman" w:hAnsi="Times New Roman" w:eastAsia="楷体" w:cs="Times New Roman"/>
          <w:b w:val="0"/>
          <w:bCs w:val="0"/>
          <w:color w:val="auto"/>
          <w:sz w:val="32"/>
          <w:szCs w:val="32"/>
          <w:highlight w:val="none"/>
          <w:lang w:val="en-US" w:eastAsia="zh-CN"/>
        </w:rPr>
        <w:t>聚集项目活力，辐射带动强引擎，不断夯实发展基础。</w:t>
      </w:r>
      <w:r>
        <w:rPr>
          <w:rFonts w:hint="default" w:ascii="Times New Roman" w:hAnsi="Times New Roman" w:eastAsia="仿宋_GB2312" w:cs="Times New Roman"/>
          <w:b w:val="0"/>
          <w:bCs w:val="0"/>
          <w:color w:val="auto"/>
          <w:sz w:val="32"/>
          <w:szCs w:val="32"/>
          <w:highlight w:val="none"/>
          <w:lang w:val="en-US" w:eastAsia="zh-CN"/>
        </w:rPr>
        <w:t>牢固树立“项目为王”理念，把抓项目作为工作的重中之重，把项目谋划储备摆在突出位置，全力做好重大项目谋划储备实施工作。</w:t>
      </w:r>
      <w:r>
        <w:rPr>
          <w:rFonts w:hint="default" w:ascii="Times New Roman" w:hAnsi="Times New Roman" w:eastAsia="黑体" w:cs="Times New Roman"/>
          <w:b w:val="0"/>
          <w:bCs w:val="0"/>
          <w:color w:val="auto"/>
          <w:sz w:val="32"/>
          <w:szCs w:val="32"/>
          <w:highlight w:val="none"/>
          <w:lang w:val="en-US" w:eastAsia="zh-CN"/>
        </w:rPr>
        <w:t>一是</w:t>
      </w:r>
      <w:r>
        <w:rPr>
          <w:rFonts w:hint="default" w:ascii="Times New Roman" w:hAnsi="Times New Roman" w:eastAsia="仿宋_GB2312" w:cs="Times New Roman"/>
          <w:b w:val="0"/>
          <w:bCs w:val="0"/>
          <w:color w:val="auto"/>
          <w:sz w:val="32"/>
          <w:szCs w:val="32"/>
          <w:highlight w:val="none"/>
          <w:lang w:val="en-US" w:eastAsia="zh-CN"/>
        </w:rPr>
        <w:t>做好重点项目谋划储备。重点研究谋划储备百胜园区沿线农业产业连片综合开发、金堂黄茶片区产业道路提升改造、山青湖片区农家乐基地开发、桂花村商贸休闲文化综合一体化建设等项目，全力以赴做好项目招引前期准备保障工作。</w:t>
      </w:r>
      <w:r>
        <w:rPr>
          <w:rFonts w:hint="default" w:ascii="Times New Roman" w:hAnsi="Times New Roman" w:eastAsia="黑体" w:cs="Times New Roman"/>
          <w:b w:val="0"/>
          <w:bCs w:val="0"/>
          <w:color w:val="auto"/>
          <w:sz w:val="32"/>
          <w:szCs w:val="32"/>
          <w:highlight w:val="none"/>
          <w:lang w:val="en-US" w:eastAsia="zh-CN"/>
        </w:rPr>
        <w:t>二是</w:t>
      </w:r>
      <w:r>
        <w:rPr>
          <w:rFonts w:hint="default" w:ascii="Times New Roman" w:hAnsi="Times New Roman" w:eastAsia="仿宋_GB2312" w:cs="Times New Roman"/>
          <w:b w:val="0"/>
          <w:bCs w:val="0"/>
          <w:color w:val="auto"/>
          <w:sz w:val="32"/>
          <w:szCs w:val="32"/>
          <w:highlight w:val="none"/>
          <w:lang w:val="en-US" w:eastAsia="zh-CN"/>
        </w:rPr>
        <w:t>抓实特色项目申报争取。积极抓好桂花村王家贡米交易市场建设项目争取，配套采摘、储存、电商、专线运输和筛米设备，通过水稻种植、采摘、展示、交易为切入点从而打响知名度，使项目点成为集旅游观光、贡米出售、文化体验、特色餐饮为一体的综合旅游区和周边村庄、乡镇农特产品聚集交易区，形成品牌效应。</w:t>
      </w:r>
      <w:r>
        <w:rPr>
          <w:rFonts w:hint="default" w:ascii="Times New Roman" w:hAnsi="Times New Roman" w:eastAsia="黑体" w:cs="Times New Roman"/>
          <w:b w:val="0"/>
          <w:bCs w:val="0"/>
          <w:color w:val="auto"/>
          <w:sz w:val="32"/>
          <w:szCs w:val="32"/>
          <w:highlight w:val="none"/>
          <w:lang w:val="en-US" w:eastAsia="zh-CN"/>
        </w:rPr>
        <w:t>三是</w:t>
      </w:r>
      <w:r>
        <w:rPr>
          <w:rFonts w:hint="default" w:ascii="Times New Roman" w:hAnsi="Times New Roman" w:eastAsia="仿宋_GB2312" w:cs="Times New Roman"/>
          <w:b w:val="0"/>
          <w:bCs w:val="0"/>
          <w:color w:val="auto"/>
          <w:sz w:val="32"/>
          <w:szCs w:val="32"/>
          <w:highlight w:val="none"/>
          <w:lang w:val="en-US" w:eastAsia="zh-CN"/>
        </w:rPr>
        <w:t>高质量推进项目落地建设。合理安排工作计划，科学调配施工力量，倒排工期实施好2025年和美乡村建设项目，全力做好</w:t>
      </w:r>
      <w:r>
        <w:rPr>
          <w:rFonts w:hint="default" w:ascii="Times New Roman" w:hAnsi="Times New Roman" w:eastAsia="仿宋_GB2312" w:cs="Times New Roman"/>
          <w:b w:val="0"/>
          <w:bCs w:val="0"/>
          <w:color w:val="auto"/>
          <w:kern w:val="2"/>
          <w:sz w:val="32"/>
          <w:szCs w:val="32"/>
          <w:highlight w:val="none"/>
          <w:u w:val="none"/>
          <w:lang w:val="en-US" w:eastAsia="zh-CN" w:bidi="ar-SA"/>
        </w:rPr>
        <w:t>龙桥河危桥改造</w:t>
      </w:r>
      <w:r>
        <w:rPr>
          <w:rFonts w:hint="default" w:ascii="Times New Roman" w:hAnsi="Times New Roman" w:eastAsia="仿宋_GB2312" w:cs="Times New Roman"/>
          <w:b w:val="0"/>
          <w:bCs w:val="0"/>
          <w:color w:val="auto"/>
          <w:sz w:val="32"/>
          <w:szCs w:val="32"/>
          <w:highlight w:val="none"/>
          <w:lang w:val="en-US" w:eastAsia="zh-CN"/>
        </w:rPr>
        <w:t>建设服务保障，力争旺苍至磨滩道路提升改造项目启动实施，及时研究项目推进过程中出现的新情况、新问题，迅速拿出有效应对措施，确保项目建设不停滞。进一步加强沟通对接、协调配合，高质量完成固定资产投资、招商引资任务。</w:t>
      </w:r>
    </w:p>
    <w:p w14:paraId="421E510B">
      <w:pPr>
        <w:pStyle w:val="22"/>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FF0000"/>
          <w:sz w:val="32"/>
          <w:szCs w:val="32"/>
          <w:highlight w:val="none"/>
          <w:lang w:val="en-US" w:eastAsia="zh-CN"/>
        </w:rPr>
      </w:pPr>
      <w:r>
        <w:rPr>
          <w:rFonts w:hint="eastAsia" w:ascii="Times New Roman" w:hAnsi="Times New Roman" w:eastAsia="楷体" w:cs="Times New Roman"/>
          <w:b w:val="0"/>
          <w:bCs w:val="0"/>
          <w:color w:val="auto"/>
          <w:kern w:val="2"/>
          <w:sz w:val="32"/>
          <w:szCs w:val="32"/>
          <w:highlight w:val="none"/>
          <w:u w:val="none"/>
          <w:lang w:val="en-US" w:eastAsia="zh-CN" w:bidi="ar-SA"/>
        </w:rPr>
        <w:t>3.</w:t>
      </w:r>
      <w:r>
        <w:rPr>
          <w:rFonts w:hint="default" w:ascii="Times New Roman" w:hAnsi="Times New Roman" w:eastAsia="楷体" w:cs="Times New Roman"/>
          <w:b w:val="0"/>
          <w:bCs w:val="0"/>
          <w:color w:val="auto"/>
          <w:kern w:val="2"/>
          <w:sz w:val="32"/>
          <w:szCs w:val="32"/>
          <w:highlight w:val="none"/>
          <w:u w:val="none"/>
          <w:lang w:val="en-US" w:eastAsia="zh-CN" w:bidi="ar-SA"/>
        </w:rPr>
        <w:t>聚力巩固提升，千方百计抓增收，全面推进乡村振兴。</w:t>
      </w:r>
      <w:r>
        <w:rPr>
          <w:rFonts w:hint="default" w:ascii="Times New Roman" w:hAnsi="Times New Roman" w:eastAsia="黑体" w:cs="Times New Roman"/>
          <w:b w:val="0"/>
          <w:bCs w:val="0"/>
          <w:color w:val="auto"/>
          <w:kern w:val="2"/>
          <w:sz w:val="32"/>
          <w:szCs w:val="32"/>
          <w:highlight w:val="none"/>
          <w:u w:val="none"/>
          <w:lang w:val="en-US" w:eastAsia="zh-CN" w:bidi="ar-SA"/>
        </w:rPr>
        <w:t>一是</w:t>
      </w:r>
      <w:r>
        <w:rPr>
          <w:rFonts w:hint="default" w:ascii="Times New Roman" w:hAnsi="Times New Roman" w:eastAsia="仿宋_GB2312" w:cs="Times New Roman"/>
          <w:b w:val="0"/>
          <w:bCs w:val="0"/>
          <w:color w:val="auto"/>
          <w:sz w:val="32"/>
          <w:szCs w:val="32"/>
          <w:highlight w:val="none"/>
          <w:lang w:val="en-US" w:eastAsia="zh-CN"/>
        </w:rPr>
        <w:t>持续落实工作机制。严格落实“四个不摘”要求，继续抓好易返贫致贫人口常态化监测，重点监测收支状况和“两不愁三保障”巩固情况及饮水安全状况，继续精准施策，确保不发生规模性返贫。做好控辍保学、防范和化解因病致贫返贫、农村脱贫人口住房安全动态监测、常态化管水等机制，确保“两不愁三保障”成果巩固。做好扶贫项目资产管理机制和扶贫项目资产长效运行和监督管理机制，规范开展扶贫项目资产后续管理工作。依托政府救助平台，实现农村低收入人口帮扶全覆盖，通过稳定的利益联结机制，实现产业帮扶全覆盖。</w:t>
      </w:r>
      <w:r>
        <w:rPr>
          <w:rFonts w:hint="default" w:ascii="Times New Roman" w:hAnsi="Times New Roman" w:eastAsia="黑体" w:cs="Times New Roman"/>
          <w:b w:val="0"/>
          <w:bCs w:val="0"/>
          <w:color w:val="auto"/>
          <w:sz w:val="32"/>
          <w:szCs w:val="32"/>
          <w:highlight w:val="none"/>
          <w:lang w:val="en-US" w:eastAsia="zh-CN"/>
        </w:rPr>
        <w:t>二是</w:t>
      </w:r>
      <w:r>
        <w:rPr>
          <w:rFonts w:hint="default" w:ascii="Times New Roman" w:hAnsi="Times New Roman" w:eastAsia="仿宋_GB2312" w:cs="Times New Roman"/>
          <w:b w:val="0"/>
          <w:bCs w:val="0"/>
          <w:color w:val="auto"/>
          <w:sz w:val="32"/>
          <w:szCs w:val="32"/>
          <w:highlight w:val="none"/>
          <w:lang w:val="en-US" w:eastAsia="zh-CN"/>
        </w:rPr>
        <w:t>持续稳住产业就业。因地制宜加快发展对脱贫人口增收带动作用明显的种养殖业、林草业、特色手工业，确保产业补助资金优先用于内生动力强的脱贫人口。按照农业产业中高低立体式结构发展模式，推动202</w:t>
      </w:r>
      <w:r>
        <w:rPr>
          <w:rFonts w:hint="eastAsia" w:ascii="Times New Roman" w:hAnsi="Times New Roman" w:eastAsia="仿宋_GB2312" w:cs="Times New Roman"/>
          <w:b w:val="0"/>
          <w:bCs w:val="0"/>
          <w:color w:val="auto"/>
          <w:sz w:val="32"/>
          <w:szCs w:val="32"/>
          <w:highlight w:val="none"/>
          <w:lang w:val="en-US" w:eastAsia="zh-CN"/>
        </w:rPr>
        <w:t>5</w:t>
      </w:r>
      <w:r>
        <w:rPr>
          <w:rFonts w:hint="default" w:ascii="Times New Roman" w:hAnsi="Times New Roman" w:eastAsia="仿宋_GB2312" w:cs="Times New Roman"/>
          <w:b w:val="0"/>
          <w:bCs w:val="0"/>
          <w:color w:val="auto"/>
          <w:sz w:val="32"/>
          <w:szCs w:val="32"/>
          <w:highlight w:val="none"/>
          <w:lang w:val="en-US" w:eastAsia="zh-CN"/>
        </w:rPr>
        <w:t>年提质增效稻鸭养殖30000羽；提升改造特色产业王家贡米4400余亩，同时接续发展油菜、蔬菜等冬季农业16000亩；上半年新植茯苓700亩、淫羊藿200亩、夏枯草120亩、菖蒲300亩，坚决遏制耕地“非农化”、防止“非粮化”，确保耕地面积、粮食产量双增长。实施培训就业工程，对有培训意愿的脱贫劳动力100%给予职业培训，100%提供岗位推荐等就业服务，实施50%以上劳动力组织转移就业，持续发放省外转移就业劳动力交通补助。</w:t>
      </w:r>
      <w:r>
        <w:rPr>
          <w:rFonts w:hint="default" w:ascii="Times New Roman" w:hAnsi="Times New Roman" w:eastAsia="黑体" w:cs="Times New Roman"/>
          <w:b w:val="0"/>
          <w:bCs w:val="0"/>
          <w:color w:val="auto"/>
          <w:sz w:val="32"/>
          <w:szCs w:val="32"/>
          <w:highlight w:val="none"/>
          <w:lang w:val="en-US" w:eastAsia="zh-CN"/>
        </w:rPr>
        <w:t>三是</w:t>
      </w:r>
      <w:r>
        <w:rPr>
          <w:rFonts w:hint="default" w:ascii="Times New Roman" w:hAnsi="Times New Roman" w:eastAsia="仿宋_GB2312" w:cs="Times New Roman"/>
          <w:b w:val="0"/>
          <w:bCs w:val="0"/>
          <w:color w:val="auto"/>
          <w:sz w:val="32"/>
          <w:szCs w:val="32"/>
          <w:highlight w:val="none"/>
          <w:lang w:val="en-US" w:eastAsia="zh-CN"/>
        </w:rPr>
        <w:t>持续深化乡村协调发展。做好公益岗开发、村干部轮训等工作；做好文化帮扶、教育帮扶、农业科技服务，做好生态保护补偿、美丽乡村建设、村集体经济提升，开展桂花村聚居点规划安置工作，高标准建设好“多效合一”村庄规划。</w:t>
      </w:r>
    </w:p>
    <w:p w14:paraId="4BD5FB93">
      <w:pPr>
        <w:pStyle w:val="22"/>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楷体" w:cs="Times New Roman"/>
          <w:b w:val="0"/>
          <w:bCs w:val="0"/>
          <w:color w:val="auto"/>
          <w:sz w:val="32"/>
          <w:szCs w:val="32"/>
          <w:highlight w:val="none"/>
          <w:lang w:val="en-US" w:eastAsia="zh-CN"/>
        </w:rPr>
        <w:t>4.</w:t>
      </w:r>
      <w:r>
        <w:rPr>
          <w:rFonts w:hint="default" w:ascii="Times New Roman" w:hAnsi="Times New Roman" w:eastAsia="楷体" w:cs="Times New Roman"/>
          <w:b w:val="0"/>
          <w:bCs w:val="0"/>
          <w:color w:val="auto"/>
          <w:sz w:val="32"/>
          <w:szCs w:val="32"/>
          <w:highlight w:val="none"/>
          <w:lang w:val="en-US" w:eastAsia="zh-CN"/>
        </w:rPr>
        <w:t>聚焦生态宜居，全力以赴厚底色，积极打造绿美乡村。</w:t>
      </w:r>
      <w:r>
        <w:rPr>
          <w:rFonts w:hint="default" w:ascii="Times New Roman" w:hAnsi="Times New Roman" w:eastAsia="仿宋_GB2312" w:cs="Times New Roman"/>
          <w:b w:val="0"/>
          <w:bCs w:val="0"/>
          <w:color w:val="auto"/>
          <w:sz w:val="32"/>
          <w:szCs w:val="32"/>
          <w:highlight w:val="none"/>
          <w:lang w:val="en-US" w:eastAsia="zh-CN"/>
        </w:rPr>
        <w:t>深入践行“绿水青山就是金山银山”理念，坚持治理、保护、修复并重，坚决守住蓝天白云、绿水青山、良田沃土。</w:t>
      </w:r>
      <w:r>
        <w:rPr>
          <w:rFonts w:hint="default" w:ascii="Times New Roman" w:hAnsi="Times New Roman" w:eastAsia="黑体" w:cs="Times New Roman"/>
          <w:b w:val="0"/>
          <w:bCs w:val="0"/>
          <w:color w:val="auto"/>
          <w:sz w:val="32"/>
          <w:szCs w:val="32"/>
          <w:highlight w:val="none"/>
          <w:lang w:val="en-US" w:eastAsia="zh-CN"/>
        </w:rPr>
        <w:t>一是</w:t>
      </w:r>
      <w:r>
        <w:rPr>
          <w:rFonts w:hint="default" w:ascii="Times New Roman" w:hAnsi="Times New Roman" w:eastAsia="仿宋_GB2312" w:cs="Times New Roman"/>
          <w:b w:val="0"/>
          <w:bCs w:val="0"/>
          <w:color w:val="auto"/>
          <w:sz w:val="32"/>
          <w:szCs w:val="32"/>
          <w:highlight w:val="none"/>
          <w:lang w:val="en-US" w:eastAsia="zh-CN"/>
        </w:rPr>
        <w:t>持续改善农村人居环境。继续推进村庄卫生保洁收费制度，高位推动、干群联动、宣传促动推动群众参与全覆盖，以农村生活垃圾污水治理、农村厕所革命和村容村貌提升为主攻方向，通过健全网格化管理机制、长效管护机制、督导考核机制，推动精细管理全覆盖。实施农村无害化卫生户厕改造170座，配备保洁员117名，力争新建非智能四分类垃圾箱9只，新建排污暗沟1公里，启动磨滩镇“一站式”垃圾收储转运试点工作。</w:t>
      </w:r>
      <w:r>
        <w:rPr>
          <w:rFonts w:hint="default" w:ascii="Times New Roman" w:hAnsi="Times New Roman" w:eastAsia="黑体" w:cs="Times New Roman"/>
          <w:b w:val="0"/>
          <w:bCs w:val="0"/>
          <w:color w:val="auto"/>
          <w:sz w:val="32"/>
          <w:szCs w:val="32"/>
          <w:highlight w:val="none"/>
          <w:lang w:val="en-US" w:eastAsia="zh-CN"/>
        </w:rPr>
        <w:t>二是</w:t>
      </w:r>
      <w:r>
        <w:rPr>
          <w:rFonts w:hint="default" w:ascii="Times New Roman" w:hAnsi="Times New Roman" w:eastAsia="仿宋_GB2312" w:cs="Times New Roman"/>
          <w:b w:val="0"/>
          <w:bCs w:val="0"/>
          <w:color w:val="auto"/>
          <w:sz w:val="32"/>
          <w:szCs w:val="32"/>
          <w:highlight w:val="none"/>
          <w:lang w:val="en-US" w:eastAsia="zh-CN"/>
        </w:rPr>
        <w:t>强化生态系统保护修复。构建以生态保护红线、环境质量底线和环境准入负面清单为主要内容的环保管控模式，强化环境保护硬约束。突出森林、耕地图斑整改落实，抓重点、补短板、强弱项，推动共建共治共享。</w:t>
      </w:r>
      <w:r>
        <w:rPr>
          <w:rFonts w:hint="default" w:ascii="Times New Roman" w:hAnsi="Times New Roman" w:eastAsia="黑体" w:cs="Times New Roman"/>
          <w:b w:val="0"/>
          <w:bCs w:val="0"/>
          <w:color w:val="auto"/>
          <w:sz w:val="32"/>
          <w:szCs w:val="32"/>
          <w:highlight w:val="none"/>
          <w:lang w:val="en-US" w:eastAsia="zh-CN"/>
        </w:rPr>
        <w:t>三是</w:t>
      </w:r>
      <w:r>
        <w:rPr>
          <w:rFonts w:hint="default" w:ascii="Times New Roman" w:hAnsi="Times New Roman" w:eastAsia="仿宋_GB2312" w:cs="Times New Roman"/>
          <w:b w:val="0"/>
          <w:bCs w:val="0"/>
          <w:color w:val="auto"/>
          <w:sz w:val="32"/>
          <w:szCs w:val="32"/>
          <w:highlight w:val="none"/>
          <w:lang w:val="en-US" w:eastAsia="zh-CN"/>
        </w:rPr>
        <w:t>继续全面推行河、林长制，加强森林草原防灭火能力建设，加强水源地巡察保护和规范河库管理。继续聘用镇村两级林长26人、护林员24名、镇级河段长（湖库长）4，村级河段长18名。</w:t>
      </w:r>
      <w:r>
        <w:rPr>
          <w:rFonts w:hint="default" w:ascii="Times New Roman" w:hAnsi="Times New Roman" w:eastAsia="黑体" w:cs="Times New Roman"/>
          <w:b w:val="0"/>
          <w:bCs w:val="0"/>
          <w:color w:val="auto"/>
          <w:sz w:val="32"/>
          <w:szCs w:val="32"/>
          <w:highlight w:val="none"/>
          <w:lang w:val="en-US" w:eastAsia="zh-CN"/>
        </w:rPr>
        <w:t>四是</w:t>
      </w:r>
      <w:r>
        <w:rPr>
          <w:rFonts w:hint="default" w:ascii="Times New Roman" w:hAnsi="Times New Roman" w:eastAsia="仿宋_GB2312" w:cs="Times New Roman"/>
          <w:b w:val="0"/>
          <w:bCs w:val="0"/>
          <w:color w:val="auto"/>
          <w:sz w:val="32"/>
          <w:szCs w:val="32"/>
          <w:highlight w:val="none"/>
          <w:lang w:val="en-US" w:eastAsia="zh-CN"/>
        </w:rPr>
        <w:t>加快推进绿美乡村建设行动。系统推进绿地建设行动，以“地域性、文化性、民族性、特色性”为乡村风貌建设目标，实现“让群众望得见山、看得见水、记得住乡愁”的乡村美好愿景，因地制宜，明确乡村整体山水格局、特点、特色及重点区域，优先做好保护增绿工作。</w:t>
      </w:r>
    </w:p>
    <w:p w14:paraId="6813139C">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30" w:beforeAutospacing="0" w:after="0" w:afterAutospacing="0" w:line="556" w:lineRule="atLeast"/>
        <w:ind w:left="630" w:leftChars="0" w:right="0" w:rightChars="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rPr>
      </w:pPr>
    </w:p>
    <w:p w14:paraId="284C3C3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7" w:name="_Toc11390"/>
      <w:bookmarkStart w:id="8" w:name="_Toc16193"/>
      <w:r>
        <w:rPr>
          <w:rFonts w:hint="eastAsia" w:ascii="黑体" w:hAnsi="黑体" w:eastAsia="黑体" w:cs="黑体"/>
          <w:sz w:val="32"/>
          <w:szCs w:val="32"/>
          <w:lang w:val="en-US" w:eastAsia="zh-CN"/>
        </w:rPr>
        <w:t>二、部门预算单位构成</w:t>
      </w:r>
      <w:bookmarkEnd w:id="7"/>
      <w:bookmarkEnd w:id="8"/>
    </w:p>
    <w:p w14:paraId="581E5A9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rPr>
        <w:t>磨滩镇人民政府属一级预算单位，无下属二级预算单位</w:t>
      </w:r>
    </w:p>
    <w:p w14:paraId="0ECCF99C">
      <w:pPr>
        <w:pStyle w:val="17"/>
        <w:rPr>
          <w:rFonts w:hint="eastAsia"/>
          <w:lang w:val="en-US" w:eastAsia="zh-CN"/>
        </w:rPr>
      </w:pPr>
    </w:p>
    <w:p w14:paraId="72E89D7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9" w:name="_Toc32390"/>
      <w:bookmarkStart w:id="10" w:name="_Toc178"/>
      <w:r>
        <w:rPr>
          <w:rFonts w:hint="eastAsia" w:ascii="黑体" w:hAnsi="黑体" w:eastAsia="黑体" w:cs="黑体"/>
          <w:sz w:val="32"/>
          <w:szCs w:val="32"/>
          <w:lang w:val="en-US" w:eastAsia="zh-CN"/>
        </w:rPr>
        <w:t>三、收支预算情况说明</w:t>
      </w:r>
      <w:bookmarkEnd w:id="9"/>
      <w:bookmarkEnd w:id="10"/>
    </w:p>
    <w:p w14:paraId="04EA8085">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lang w:val="en-US" w:eastAsia="zh-CN"/>
        </w:rPr>
        <w:t>按照综合预算的原则，</w:t>
      </w:r>
      <w:r>
        <w:rPr>
          <w:rFonts w:hint="eastAsia" w:ascii="仿宋_GB2312" w:hAnsi="Times New Roman" w:eastAsia="仿宋_GB2312" w:cs="仿宋_GB2312"/>
          <w:i w:val="0"/>
          <w:caps w:val="0"/>
          <w:color w:val="333333"/>
          <w:spacing w:val="0"/>
          <w:kern w:val="0"/>
          <w:sz w:val="32"/>
          <w:szCs w:val="32"/>
          <w:shd w:val="clear" w:color="auto" w:fill="FFFFFF"/>
          <w:lang w:val="en-US" w:eastAsia="zh-CN"/>
        </w:rPr>
        <w:t>磨滩镇人民政府</w:t>
      </w:r>
      <w:r>
        <w:rPr>
          <w:rFonts w:hint="eastAsia" w:ascii="仿宋_GB2312" w:hAnsi="仿宋_GB2312" w:eastAsia="仿宋_GB2312" w:cs="仿宋_GB2312"/>
          <w:sz w:val="32"/>
          <w:szCs w:val="32"/>
          <w:lang w:val="en-US" w:eastAsia="zh-CN"/>
        </w:rPr>
        <w:t>所有收入和支出均纳入部门预算管理。收入包括：一般公共预算拨款收入；支出包括：一般公共服务支出、社会保障和就业支出、卫生健康支出、住房保障支出、农林水支出。磨滩镇人民政府2025年收支预算总数1134.46万元,比2024年收支预算总数</w:t>
      </w:r>
      <w:r>
        <w:rPr>
          <w:rFonts w:hint="default" w:ascii="Times New Roman" w:hAnsi="Times New Roman" w:eastAsia="仿宋_GB2312" w:cs="Times New Roman"/>
          <w:sz w:val="32"/>
          <w:szCs w:val="32"/>
        </w:rPr>
        <w:t>1388.9万元</w:t>
      </w:r>
      <w:r>
        <w:rPr>
          <w:rFonts w:hint="eastAsia" w:ascii="Times New Roman" w:hAnsi="Times New Roman" w:eastAsia="仿宋_GB2312" w:cs="Times New Roman"/>
          <w:sz w:val="32"/>
          <w:szCs w:val="32"/>
          <w:lang w:eastAsia="zh-CN"/>
        </w:rPr>
        <w:t>减少</w:t>
      </w:r>
      <w:r>
        <w:rPr>
          <w:rFonts w:hint="eastAsia" w:ascii="Times New Roman" w:hAnsi="Times New Roman" w:eastAsia="仿宋_GB2312" w:cs="Times New Roman"/>
          <w:sz w:val="32"/>
          <w:szCs w:val="32"/>
          <w:lang w:val="en-US" w:eastAsia="zh-CN"/>
        </w:rPr>
        <w:t>254.44</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下降18.32</w:t>
      </w:r>
      <w:r>
        <w:rPr>
          <w:rFonts w:hint="default" w:ascii="Times New Roman" w:hAnsi="Times New Roman" w:eastAsia="仿宋_GB2312" w:cs="Times New Roman"/>
          <w:sz w:val="32"/>
          <w:szCs w:val="32"/>
        </w:rPr>
        <w:t>%。主要原因是</w:t>
      </w:r>
      <w:r>
        <w:rPr>
          <w:rFonts w:hint="default" w:ascii="Times New Roman" w:hAnsi="Times New Roman" w:eastAsia="仿宋_GB2312" w:cs="Times New Roman"/>
          <w:sz w:val="32"/>
          <w:szCs w:val="32"/>
          <w:lang w:val="en-US" w:eastAsia="zh-CN"/>
        </w:rPr>
        <w:t>其它运转类项目整合</w:t>
      </w:r>
      <w:r>
        <w:rPr>
          <w:rFonts w:hint="eastAsia" w:ascii="Times New Roman" w:hAnsi="Times New Roman" w:eastAsia="仿宋_GB2312" w:cs="Times New Roman"/>
          <w:sz w:val="32"/>
          <w:szCs w:val="32"/>
          <w:lang w:val="en-US" w:eastAsia="zh-CN"/>
        </w:rPr>
        <w:t>以及公用经费的压缩</w:t>
      </w:r>
      <w:r>
        <w:rPr>
          <w:rFonts w:hint="default" w:ascii="Times New Roman" w:hAnsi="Times New Roman" w:eastAsia="仿宋_GB2312" w:cs="Times New Roman"/>
          <w:sz w:val="32"/>
          <w:szCs w:val="32"/>
        </w:rPr>
        <w:t>。</w:t>
      </w:r>
    </w:p>
    <w:p w14:paraId="14C590C6">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0" w:leftChars="0" w:firstLine="420" w:firstLineChars="0"/>
        <w:textAlignment w:val="auto"/>
        <w:outlineLvl w:val="1"/>
        <w:rPr>
          <w:rFonts w:hint="eastAsia" w:ascii="楷体_GB2312" w:hAnsi="楷体_GB2312" w:eastAsia="楷体_GB2312" w:cs="楷体_GB2312"/>
          <w:sz w:val="32"/>
          <w:szCs w:val="32"/>
          <w:lang w:val="en-US" w:eastAsia="zh-CN"/>
        </w:rPr>
      </w:pPr>
      <w:bookmarkStart w:id="11" w:name="_Toc15243"/>
      <w:bookmarkStart w:id="12" w:name="_Toc14624"/>
      <w:r>
        <w:rPr>
          <w:rFonts w:hint="eastAsia" w:ascii="楷体_GB2312" w:hAnsi="楷体_GB2312" w:eastAsia="楷体_GB2312" w:cs="楷体_GB2312"/>
          <w:sz w:val="32"/>
          <w:szCs w:val="32"/>
          <w:lang w:val="en-US" w:eastAsia="zh-CN"/>
        </w:rPr>
        <w:t>收入预算情况</w:t>
      </w:r>
      <w:bookmarkEnd w:id="11"/>
      <w:bookmarkEnd w:id="12"/>
    </w:p>
    <w:p w14:paraId="7E8B8A3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磨滩镇人民政府2025年收入预算1134.46万元，其中：一般公共预算拨款收入1134.46万元，占100%。</w:t>
      </w:r>
    </w:p>
    <w:p w14:paraId="2A0310DA">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0" w:leftChars="0" w:firstLine="420" w:firstLineChars="0"/>
        <w:textAlignment w:val="auto"/>
        <w:outlineLvl w:val="1"/>
        <w:rPr>
          <w:rFonts w:hint="eastAsia" w:ascii="楷体_GB2312" w:hAnsi="楷体_GB2312" w:eastAsia="楷体_GB2312" w:cs="楷体_GB2312"/>
          <w:sz w:val="32"/>
          <w:szCs w:val="32"/>
          <w:lang w:val="en-US" w:eastAsia="zh-CN"/>
        </w:rPr>
      </w:pPr>
      <w:bookmarkStart w:id="13" w:name="_Toc25984"/>
      <w:bookmarkStart w:id="14" w:name="_Toc1299"/>
      <w:r>
        <w:rPr>
          <w:rFonts w:hint="eastAsia" w:ascii="楷体_GB2312" w:hAnsi="楷体_GB2312" w:eastAsia="楷体_GB2312" w:cs="楷体_GB2312"/>
          <w:sz w:val="32"/>
          <w:szCs w:val="32"/>
          <w:lang w:val="en-US" w:eastAsia="zh-CN"/>
        </w:rPr>
        <w:t>支出预算情况</w:t>
      </w:r>
      <w:bookmarkEnd w:id="13"/>
      <w:bookmarkEnd w:id="14"/>
    </w:p>
    <w:p w14:paraId="50898AF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磨滩镇人民政府2025年支出预算1134.46万元，其中：基本支出923.71万元，占81.42%；项目支出210.76万元，占18.58%</w:t>
      </w:r>
      <w:r>
        <w:rPr>
          <w:rFonts w:hint="eastAsia" w:ascii="仿宋_GB2312" w:hAnsi="仿宋_GB2312" w:eastAsia="仿宋_GB2312" w:cs="仿宋_GB2312"/>
          <w:b w:val="0"/>
          <w:bCs w:val="0"/>
          <w:sz w:val="32"/>
          <w:szCs w:val="32"/>
          <w:lang w:val="en-US" w:eastAsia="zh-CN"/>
        </w:rPr>
        <w:t>。</w:t>
      </w:r>
    </w:p>
    <w:p w14:paraId="3B1C6B1D">
      <w:pPr>
        <w:pStyle w:val="2"/>
        <w:rPr>
          <w:rFonts w:hint="eastAsia"/>
          <w:lang w:val="en-US" w:eastAsia="zh-CN"/>
        </w:rPr>
      </w:pPr>
    </w:p>
    <w:p w14:paraId="79E4F90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15" w:name="_Toc15253"/>
      <w:bookmarkStart w:id="16" w:name="_Toc6373"/>
      <w:r>
        <w:rPr>
          <w:rFonts w:hint="eastAsia" w:ascii="黑体" w:hAnsi="黑体" w:eastAsia="黑体" w:cs="黑体"/>
          <w:sz w:val="32"/>
          <w:szCs w:val="32"/>
          <w:lang w:val="en-US" w:eastAsia="zh-CN"/>
        </w:rPr>
        <w:t>四、财政拨款收支预算情况说明</w:t>
      </w:r>
      <w:bookmarkEnd w:id="15"/>
      <w:bookmarkEnd w:id="16"/>
    </w:p>
    <w:p w14:paraId="0445499D">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lang w:val="en-US" w:eastAsia="zh-CN"/>
        </w:rPr>
        <w:t>磨滩镇人民政府2025年财政拨款收支预算总数1134.46万元,比2024年收支预算总数</w:t>
      </w:r>
      <w:r>
        <w:rPr>
          <w:rFonts w:hint="default" w:ascii="Times New Roman" w:hAnsi="Times New Roman" w:eastAsia="仿宋_GB2312" w:cs="Times New Roman"/>
          <w:sz w:val="32"/>
          <w:szCs w:val="32"/>
        </w:rPr>
        <w:t>1388.9万元</w:t>
      </w:r>
      <w:r>
        <w:rPr>
          <w:rFonts w:hint="eastAsia" w:ascii="Times New Roman" w:hAnsi="Times New Roman" w:eastAsia="仿宋_GB2312" w:cs="Times New Roman"/>
          <w:sz w:val="32"/>
          <w:szCs w:val="32"/>
          <w:lang w:eastAsia="zh-CN"/>
        </w:rPr>
        <w:t>减少</w:t>
      </w:r>
      <w:r>
        <w:rPr>
          <w:rFonts w:hint="eastAsia" w:ascii="Times New Roman" w:hAnsi="Times New Roman" w:eastAsia="仿宋_GB2312" w:cs="Times New Roman"/>
          <w:sz w:val="32"/>
          <w:szCs w:val="32"/>
          <w:lang w:val="en-US" w:eastAsia="zh-CN"/>
        </w:rPr>
        <w:t>254.44</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下降18.32</w:t>
      </w:r>
      <w:r>
        <w:rPr>
          <w:rFonts w:hint="default" w:ascii="Times New Roman" w:hAnsi="Times New Roman" w:eastAsia="仿宋_GB2312" w:cs="Times New Roman"/>
          <w:sz w:val="32"/>
          <w:szCs w:val="32"/>
        </w:rPr>
        <w:t>%。主要原因是</w:t>
      </w:r>
      <w:r>
        <w:rPr>
          <w:rFonts w:hint="default" w:ascii="Times New Roman" w:hAnsi="Times New Roman" w:eastAsia="仿宋_GB2312" w:cs="Times New Roman"/>
          <w:sz w:val="32"/>
          <w:szCs w:val="32"/>
          <w:lang w:val="en-US" w:eastAsia="zh-CN"/>
        </w:rPr>
        <w:t>其它运转类项目整合</w:t>
      </w:r>
      <w:r>
        <w:rPr>
          <w:rFonts w:hint="eastAsia" w:ascii="Times New Roman" w:hAnsi="Times New Roman" w:eastAsia="仿宋_GB2312" w:cs="Times New Roman"/>
          <w:sz w:val="32"/>
          <w:szCs w:val="32"/>
          <w:lang w:val="en-US" w:eastAsia="zh-CN"/>
        </w:rPr>
        <w:t>以及公用经费的压缩</w:t>
      </w:r>
      <w:r>
        <w:rPr>
          <w:rFonts w:hint="default" w:ascii="Times New Roman" w:hAnsi="Times New Roman" w:eastAsia="仿宋_GB2312" w:cs="Times New Roman"/>
          <w:sz w:val="32"/>
          <w:szCs w:val="32"/>
        </w:rPr>
        <w:t>。</w:t>
      </w:r>
    </w:p>
    <w:p w14:paraId="297AE4E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收入包括：本年一般公共预算拨款收入1134.46万元；支出包括：一般公共服务支出396.98万元、社会保障和就业支出110.32万元、卫生健康支出24.85万元、农林水支出553.64万元、住房保障支出48.67万元。</w:t>
      </w:r>
    </w:p>
    <w:p w14:paraId="25A54CB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17" w:name="_Toc30108"/>
      <w:bookmarkStart w:id="18" w:name="_Toc21289"/>
      <w:r>
        <w:rPr>
          <w:rFonts w:hint="eastAsia" w:ascii="黑体" w:hAnsi="黑体" w:eastAsia="黑体" w:cs="黑体"/>
          <w:sz w:val="32"/>
          <w:szCs w:val="32"/>
          <w:lang w:val="en-US" w:eastAsia="zh-CN"/>
        </w:rPr>
        <w:t>五、一般公共预算当年拨款情况说明</w:t>
      </w:r>
      <w:bookmarkEnd w:id="17"/>
      <w:bookmarkEnd w:id="18"/>
    </w:p>
    <w:p w14:paraId="61FA5368">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0" w:leftChars="0" w:firstLine="420" w:firstLineChars="0"/>
        <w:textAlignment w:val="auto"/>
        <w:outlineLvl w:val="1"/>
        <w:rPr>
          <w:rFonts w:hint="eastAsia" w:ascii="楷体_GB2312" w:hAnsi="楷体_GB2312" w:eastAsia="楷体_GB2312" w:cs="楷体_GB2312"/>
          <w:sz w:val="32"/>
          <w:szCs w:val="32"/>
          <w:lang w:val="en-US" w:eastAsia="zh-CN"/>
        </w:rPr>
      </w:pPr>
      <w:bookmarkStart w:id="19" w:name="_Toc31906"/>
      <w:bookmarkStart w:id="20" w:name="_Toc6815"/>
      <w:r>
        <w:rPr>
          <w:rFonts w:hint="eastAsia" w:ascii="楷体_GB2312" w:hAnsi="楷体_GB2312" w:eastAsia="楷体_GB2312" w:cs="楷体_GB2312"/>
          <w:sz w:val="32"/>
          <w:szCs w:val="32"/>
          <w:lang w:val="en-US" w:eastAsia="zh-CN"/>
        </w:rPr>
        <w:t>一般公共预算当年拨款规模变化情况</w:t>
      </w:r>
      <w:bookmarkEnd w:id="19"/>
      <w:bookmarkEnd w:id="20"/>
    </w:p>
    <w:p w14:paraId="1288AB8C">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lang w:val="en-US" w:eastAsia="zh-CN"/>
        </w:rPr>
        <w:t>磨滩镇人民政府2025年一般公共预算当年拨款1134.46万元，比2024年预算数</w:t>
      </w:r>
      <w:r>
        <w:rPr>
          <w:rFonts w:hint="eastAsia" w:ascii="Times New Roman" w:hAnsi="Times New Roman" w:eastAsia="仿宋_GB2312" w:cs="Times New Roman"/>
          <w:sz w:val="32"/>
          <w:szCs w:val="32"/>
          <w:lang w:eastAsia="zh-CN"/>
        </w:rPr>
        <w:t>减少</w:t>
      </w:r>
      <w:r>
        <w:rPr>
          <w:rFonts w:hint="eastAsia" w:ascii="Times New Roman" w:hAnsi="Times New Roman" w:eastAsia="仿宋_GB2312" w:cs="Times New Roman"/>
          <w:sz w:val="32"/>
          <w:szCs w:val="32"/>
          <w:lang w:val="en-US" w:eastAsia="zh-CN"/>
        </w:rPr>
        <w:t>254.44</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下降18.32</w:t>
      </w:r>
      <w:r>
        <w:rPr>
          <w:rFonts w:hint="default" w:ascii="Times New Roman" w:hAnsi="Times New Roman" w:eastAsia="仿宋_GB2312" w:cs="Times New Roman"/>
          <w:sz w:val="32"/>
          <w:szCs w:val="32"/>
        </w:rPr>
        <w:t>%。主要原因是</w:t>
      </w:r>
      <w:r>
        <w:rPr>
          <w:rFonts w:hint="default" w:ascii="Times New Roman" w:hAnsi="Times New Roman" w:eastAsia="仿宋_GB2312" w:cs="Times New Roman"/>
          <w:sz w:val="32"/>
          <w:szCs w:val="32"/>
          <w:lang w:val="en-US" w:eastAsia="zh-CN"/>
        </w:rPr>
        <w:t>其它运转类项目整合</w:t>
      </w:r>
      <w:r>
        <w:rPr>
          <w:rFonts w:hint="eastAsia" w:ascii="Times New Roman" w:hAnsi="Times New Roman" w:eastAsia="仿宋_GB2312" w:cs="Times New Roman"/>
          <w:sz w:val="32"/>
          <w:szCs w:val="32"/>
          <w:lang w:val="en-US" w:eastAsia="zh-CN"/>
        </w:rPr>
        <w:t>以及公用经费的压缩</w:t>
      </w:r>
      <w:r>
        <w:rPr>
          <w:rFonts w:hint="default" w:ascii="Times New Roman" w:hAnsi="Times New Roman" w:eastAsia="仿宋_GB2312" w:cs="Times New Roman"/>
          <w:sz w:val="32"/>
          <w:szCs w:val="32"/>
        </w:rPr>
        <w:t>。</w:t>
      </w:r>
    </w:p>
    <w:p w14:paraId="2509761C">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0" w:leftChars="0" w:firstLine="420" w:firstLineChars="0"/>
        <w:textAlignment w:val="auto"/>
        <w:outlineLvl w:val="1"/>
        <w:rPr>
          <w:rFonts w:hint="eastAsia" w:ascii="楷体_GB2312" w:hAnsi="楷体_GB2312" w:eastAsia="楷体_GB2312" w:cs="楷体_GB2312"/>
          <w:sz w:val="32"/>
          <w:szCs w:val="32"/>
          <w:lang w:val="en-US" w:eastAsia="zh-CN"/>
        </w:rPr>
      </w:pPr>
      <w:bookmarkStart w:id="21" w:name="_Toc13962"/>
      <w:bookmarkStart w:id="22" w:name="_Toc12046"/>
      <w:r>
        <w:rPr>
          <w:rFonts w:hint="eastAsia" w:ascii="楷体_GB2312" w:hAnsi="楷体_GB2312" w:eastAsia="楷体_GB2312" w:cs="楷体_GB2312"/>
          <w:sz w:val="32"/>
          <w:szCs w:val="32"/>
          <w:lang w:val="en-US" w:eastAsia="zh-CN"/>
        </w:rPr>
        <w:t>一般公共预算当年拨款结构情况</w:t>
      </w:r>
      <w:bookmarkEnd w:id="21"/>
      <w:bookmarkEnd w:id="22"/>
    </w:p>
    <w:p w14:paraId="70834EC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一般公共预算拨款收入1134.46万元；支出包括：一般公共服务支出396.98万元，占35%；社会保障和就业支出110.32万元，占9.72%、卫生健康支出24.85万元，占2.2%；农林水支出553.64万元，占48.8%；住房保障支出48.67万元，占4.3%。</w:t>
      </w:r>
    </w:p>
    <w:p w14:paraId="20D6C58B">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0" w:leftChars="0" w:firstLine="420" w:firstLineChars="0"/>
        <w:textAlignment w:val="auto"/>
        <w:outlineLvl w:val="1"/>
        <w:rPr>
          <w:rFonts w:hint="eastAsia" w:ascii="楷体_GB2312" w:hAnsi="楷体_GB2312" w:eastAsia="楷体_GB2312" w:cs="楷体_GB2312"/>
          <w:sz w:val="32"/>
          <w:szCs w:val="32"/>
          <w:lang w:val="en-US" w:eastAsia="zh-CN"/>
        </w:rPr>
      </w:pPr>
      <w:bookmarkStart w:id="23" w:name="_Toc4367"/>
      <w:bookmarkStart w:id="24" w:name="_Toc2189"/>
      <w:r>
        <w:rPr>
          <w:rFonts w:hint="eastAsia" w:ascii="楷体_GB2312" w:hAnsi="楷体_GB2312" w:eastAsia="楷体_GB2312" w:cs="楷体_GB2312"/>
          <w:sz w:val="32"/>
          <w:szCs w:val="32"/>
          <w:lang w:val="en-US" w:eastAsia="zh-CN"/>
        </w:rPr>
        <w:t>一般公共预算当年拨款具体使用情况</w:t>
      </w:r>
      <w:bookmarkEnd w:id="23"/>
      <w:bookmarkEnd w:id="24"/>
    </w:p>
    <w:p w14:paraId="40127AB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一般公共服务（类）人大事务（款）代表工作（项）</w:t>
      </w:r>
    </w:p>
    <w:p w14:paraId="1E82A23B">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2025年预算数为1.5万元，主要用于：保障代表工作正常运行的基本支出。</w:t>
      </w:r>
    </w:p>
    <w:p w14:paraId="1638E144">
      <w:pPr>
        <w:keepNext w:val="0"/>
        <w:keepLines w:val="0"/>
        <w:pageBreakBefore w:val="0"/>
        <w:widowControl w:val="0"/>
        <w:numPr>
          <w:ilvl w:val="0"/>
          <w:numId w:val="4"/>
        </w:numPr>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rPr>
      </w:pPr>
      <w:r>
        <w:rPr>
          <w:rFonts w:hint="default" w:ascii="仿宋_GB2312" w:hAnsi="仿宋_GB2312" w:eastAsia="仿宋_GB2312" w:cs="仿宋_GB2312"/>
          <w:sz w:val="32"/>
          <w:szCs w:val="32"/>
          <w:lang w:val="en-US" w:eastAsia="zh-CN"/>
        </w:rPr>
        <w:t>2.</w:t>
      </w:r>
      <w:r>
        <w:rPr>
          <w:rFonts w:hint="eastAsia" w:ascii="仿宋_GB2312" w:hAnsi="Times New Roman" w:eastAsia="仿宋_GB2312" w:cs="仿宋_GB2312"/>
          <w:i w:val="0"/>
          <w:caps w:val="0"/>
          <w:color w:val="333333"/>
          <w:spacing w:val="0"/>
          <w:kern w:val="0"/>
          <w:sz w:val="32"/>
          <w:szCs w:val="32"/>
          <w:shd w:val="clear" w:color="auto" w:fill="FFFFFF"/>
          <w:lang w:val="en-US" w:eastAsia="zh-CN"/>
        </w:rPr>
        <w:t>一般公共服务（类）人大事务（款）其他人大事务支出（项）</w:t>
      </w:r>
      <w:r>
        <w:rPr>
          <w:rFonts w:hint="eastAsia" w:ascii="仿宋_GB2312" w:hAnsi="仿宋_GB2312" w:eastAsia="仿宋_GB2312" w:cs="仿宋_GB2312"/>
          <w:sz w:val="32"/>
          <w:szCs w:val="32"/>
          <w:lang w:val="en-US" w:eastAsia="zh-CN"/>
        </w:rPr>
        <w:t>2025年预算数为7.44万元，主要用于：</w:t>
      </w:r>
      <w:r>
        <w:rPr>
          <w:rFonts w:hint="eastAsia" w:ascii="仿宋_GB2312" w:hAnsi="Times New Roman" w:eastAsia="仿宋_GB2312" w:cs="仿宋_GB2312"/>
          <w:i w:val="0"/>
          <w:caps w:val="0"/>
          <w:color w:val="333333"/>
          <w:spacing w:val="0"/>
          <w:kern w:val="0"/>
          <w:sz w:val="32"/>
          <w:szCs w:val="32"/>
          <w:shd w:val="clear" w:color="auto" w:fill="FFFFFF"/>
          <w:lang w:val="en-US" w:eastAsia="zh-CN"/>
        </w:rPr>
        <w:t>开展人大事务管理工作的日常支出，人大代表之家阵地建设的支出。</w:t>
      </w:r>
    </w:p>
    <w:p w14:paraId="6ED24974">
      <w:pPr>
        <w:keepNext w:val="0"/>
        <w:keepLines w:val="0"/>
        <w:pageBreakBefore w:val="0"/>
        <w:widowControl w:val="0"/>
        <w:numPr>
          <w:ilvl w:val="0"/>
          <w:numId w:val="4"/>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rPr>
        <w:t>一般公共服务（类）政府办公厅（室）及相关机构事务（款）行政运行（项）</w:t>
      </w:r>
      <w:r>
        <w:rPr>
          <w:rFonts w:hint="eastAsia" w:ascii="仿宋_GB2312" w:hAnsi="仿宋_GB2312" w:eastAsia="仿宋_GB2312" w:cs="仿宋_GB2312"/>
          <w:sz w:val="32"/>
          <w:szCs w:val="32"/>
          <w:lang w:val="en-US" w:eastAsia="zh-CN"/>
        </w:rPr>
        <w:t>2025年预算数为388.04万元，主要用于：</w:t>
      </w:r>
      <w:r>
        <w:rPr>
          <w:rFonts w:hint="default" w:ascii="仿宋_GB2312" w:hAnsi="Times New Roman" w:eastAsia="仿宋_GB2312" w:cs="仿宋_GB2312"/>
          <w:i w:val="0"/>
          <w:caps w:val="0"/>
          <w:color w:val="333333"/>
          <w:spacing w:val="0"/>
          <w:kern w:val="0"/>
          <w:sz w:val="32"/>
          <w:szCs w:val="32"/>
          <w:shd w:val="clear" w:color="auto" w:fill="FFFFFF"/>
          <w:lang w:val="en-US" w:eastAsia="zh-CN"/>
        </w:rPr>
        <w:t>保障机构正常运行、开展日常工作的基本支出</w:t>
      </w:r>
      <w:r>
        <w:rPr>
          <w:rFonts w:hint="eastAsia" w:ascii="仿宋_GB2312" w:hAnsi="仿宋_GB2312" w:eastAsia="仿宋_GB2312" w:cs="仿宋_GB2312"/>
          <w:sz w:val="32"/>
          <w:szCs w:val="32"/>
          <w:lang w:val="en-US" w:eastAsia="zh-CN"/>
        </w:rPr>
        <w:t>。</w:t>
      </w:r>
    </w:p>
    <w:p w14:paraId="419E21E9">
      <w:pPr>
        <w:keepNext w:val="0"/>
        <w:keepLines w:val="0"/>
        <w:pageBreakBefore w:val="0"/>
        <w:widowControl w:val="0"/>
        <w:numPr>
          <w:ilvl w:val="0"/>
          <w:numId w:val="4"/>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社会保障和就业（类）行政事业单位养老支出（款）行政单位离退休（项）2025年预算数为44万元，主要用于：机关及参公管理事业单位离退休人员经费支出。</w:t>
      </w:r>
    </w:p>
    <w:p w14:paraId="3C34314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5.社会保障和就业（类）行政事业单位养老支出（款）机关事业单位基本养老保险缴费支出（项）2025年预算数为64.89万元，主要用于：实施养老保险制度由单位缴纳的基本养老保险支出。</w:t>
      </w:r>
    </w:p>
    <w:p w14:paraId="5DF7D25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6.社会保障和就业（类）行政事业单位养老支出（款） 其他社会保障和就业支出（项）2025年预算数为1.43万元，主要用于：实施养老保险制度由单位缴纳的失业保险及工伤保险支出。 </w:t>
      </w:r>
    </w:p>
    <w:p w14:paraId="705ACB9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7.卫生健康（类）行政事业单位医疗（款）行政单位医疗（项）2025年预算数为12.66万元，主要用于：机关及参公管理事业单位按规定由单位缴纳的基本医疗保险支出。</w:t>
      </w:r>
    </w:p>
    <w:p w14:paraId="4E14EE5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8.卫生健康（类）行政事业单位医疗（款）事业单位医疗（项）2025年预算数为12.19万元，主要用于：事业单位按规定由单位缴纳的基本医疗保险支出。</w:t>
      </w:r>
    </w:p>
    <w:p w14:paraId="457CDF0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rPr>
      </w:pPr>
      <w:r>
        <w:rPr>
          <w:rFonts w:hint="eastAsia" w:ascii="仿宋_GB2312" w:hAnsi="仿宋_GB2312" w:eastAsia="仿宋_GB2312" w:cs="仿宋_GB2312"/>
          <w:sz w:val="32"/>
          <w:szCs w:val="32"/>
          <w:lang w:val="en-US" w:eastAsia="zh-CN"/>
        </w:rPr>
        <w:t>9.农林水支出（类）农业农村（款）事业运行（项）2025年预算数为199.3万元，主要用于：</w:t>
      </w:r>
      <w:r>
        <w:rPr>
          <w:rFonts w:hint="eastAsia" w:ascii="仿宋_GB2312" w:hAnsi="Times New Roman" w:eastAsia="仿宋_GB2312" w:cs="仿宋_GB2312"/>
          <w:i w:val="0"/>
          <w:caps w:val="0"/>
          <w:color w:val="333333"/>
          <w:spacing w:val="0"/>
          <w:kern w:val="0"/>
          <w:sz w:val="32"/>
          <w:szCs w:val="32"/>
          <w:shd w:val="clear" w:color="auto" w:fill="FFFFFF"/>
          <w:lang w:val="en-US" w:eastAsia="zh-CN"/>
        </w:rPr>
        <w:t>事业单位的基本支出，包括:基本工资、津贴补贴、保险等人员经费，以及日常办公费、差旅费，保障部门正常运转。</w:t>
      </w:r>
    </w:p>
    <w:p w14:paraId="3AEF5D3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rPr>
        <w:t>10.农林水支出（类）巩固脱贫攻坚成果衔接乡村振兴（款）其他巩固脱贫攻坚成果衔接乡村振兴支出（项）2025年预算数为62万元，主要用于：巩固拓展脱贫攻坚成果同乡村振兴有效衔接方面的支出。</w:t>
      </w:r>
    </w:p>
    <w:p w14:paraId="1449B5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6" w:lineRule="atLeast"/>
        <w:ind w:left="0" w:right="0" w:firstLine="668"/>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rPr>
        <w:t>11.农林水支出（类）农村综合改革（款）对村民委员会和村党支部的补助（项）2025年预算数为292.35万元，主要用于：对村民委员会和村党支部的补助支出。</w:t>
      </w:r>
    </w:p>
    <w:p w14:paraId="324C156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12.住房保障（类）住房改革支出（款）住房公积金（项）2025年预算数为48.67万元，主要用于：部门按规定为职工缴纳的住房公积金支出。</w:t>
      </w:r>
    </w:p>
    <w:p w14:paraId="670CE0C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25" w:name="_Toc5147"/>
      <w:bookmarkStart w:id="26" w:name="_Toc10040"/>
      <w:r>
        <w:rPr>
          <w:rFonts w:hint="eastAsia" w:ascii="黑体" w:hAnsi="黑体" w:eastAsia="黑体" w:cs="黑体"/>
          <w:sz w:val="32"/>
          <w:szCs w:val="32"/>
          <w:lang w:val="en-US" w:eastAsia="zh-CN"/>
        </w:rPr>
        <w:t>六、一般公共预算基本支出情况说明</w:t>
      </w:r>
      <w:bookmarkEnd w:id="25"/>
      <w:bookmarkEnd w:id="26"/>
    </w:p>
    <w:p w14:paraId="5847FAB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磨滩镇人民政府2025年一般公共预算基本支出923.71万元，其中：</w:t>
      </w:r>
    </w:p>
    <w:p w14:paraId="7B156DF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人员经费757.75万元，主要包括：基本工资、津贴补贴、奖金、社会保险缴费、离休费、住房公积金等支出。</w:t>
      </w:r>
    </w:p>
    <w:p w14:paraId="48038F4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公用经费165.96万元，主要包括：办公费、印刷费、水费、电费、物业管理费、差旅费、公务接待费、工会经费、其他交通费用等支出。</w:t>
      </w:r>
    </w:p>
    <w:p w14:paraId="57724F2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27" w:name="_Toc30784"/>
      <w:bookmarkStart w:id="28" w:name="_Toc21503"/>
      <w:r>
        <w:rPr>
          <w:rFonts w:hint="eastAsia" w:ascii="黑体" w:hAnsi="黑体" w:eastAsia="黑体" w:cs="黑体"/>
          <w:sz w:val="32"/>
          <w:szCs w:val="32"/>
          <w:lang w:val="en-US" w:eastAsia="zh-CN"/>
        </w:rPr>
        <w:t>七、“三公”经费财政拨款预算安排情况说明</w:t>
      </w:r>
      <w:bookmarkEnd w:id="27"/>
      <w:bookmarkEnd w:id="28"/>
    </w:p>
    <w:p w14:paraId="3D0626B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磨滩镇人民政府2025年“三公”经费财政拨款预算数</w:t>
      </w:r>
      <w:commentRangeStart w:id="0"/>
      <w:commentRangeStart w:id="1"/>
      <w:r>
        <w:commentReference w:id="0"/>
      </w:r>
      <w:commentRangeEnd w:id="0"/>
      <w:commentRangeEnd w:id="1"/>
      <w:r>
        <w:commentReference w:id="1"/>
      </w:r>
      <w:r>
        <w:rPr>
          <w:rFonts w:hint="eastAsia" w:ascii="仿宋_GB2312" w:hAnsi="仿宋_GB2312" w:eastAsia="仿宋_GB2312" w:cs="仿宋_GB2312"/>
          <w:sz w:val="32"/>
          <w:szCs w:val="32"/>
          <w:lang w:val="en-US" w:eastAsia="zh-CN"/>
        </w:rPr>
        <w:t>7.2万元，其中：公务接待费7.2万元，公务用车购置及运行维护费0万元，因公出国（境）经费0万元。</w:t>
      </w:r>
    </w:p>
    <w:p w14:paraId="78380383">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left="0" w:leftChars="0" w:firstLine="420" w:firstLineChars="0"/>
        <w:textAlignment w:val="auto"/>
        <w:outlineLvl w:val="1"/>
        <w:rPr>
          <w:rFonts w:hint="eastAsia" w:ascii="楷体_GB2312" w:hAnsi="楷体_GB2312" w:eastAsia="楷体_GB2312" w:cs="楷体_GB2312"/>
          <w:sz w:val="32"/>
          <w:szCs w:val="32"/>
          <w:lang w:val="en-US" w:eastAsia="zh-CN"/>
        </w:rPr>
      </w:pPr>
      <w:bookmarkStart w:id="29" w:name="_Toc11414"/>
      <w:bookmarkStart w:id="30" w:name="_Toc31885"/>
      <w:r>
        <w:rPr>
          <w:rFonts w:hint="eastAsia" w:ascii="楷体_GB2312" w:hAnsi="楷体_GB2312" w:eastAsia="楷体_GB2312" w:cs="楷体_GB2312"/>
          <w:sz w:val="32"/>
          <w:szCs w:val="32"/>
          <w:lang w:val="en-US" w:eastAsia="zh-CN"/>
        </w:rPr>
        <w:t>公务接待费</w:t>
      </w:r>
      <w:bookmarkEnd w:id="29"/>
      <w:bookmarkEnd w:id="30"/>
    </w:p>
    <w:p w14:paraId="62A1556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公务接待费与2024年预算相比持平。</w:t>
      </w:r>
    </w:p>
    <w:p w14:paraId="0F6389B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2025年公务接待费计划用于执行接待考察调研、检查指导等公务活动开支的交通费、住宿费、用餐费等。</w:t>
      </w:r>
    </w:p>
    <w:p w14:paraId="7F674625">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left="0" w:leftChars="0" w:firstLine="420" w:firstLineChars="0"/>
        <w:textAlignment w:val="auto"/>
        <w:outlineLvl w:val="1"/>
        <w:rPr>
          <w:rFonts w:hint="eastAsia" w:ascii="楷体_GB2312" w:hAnsi="楷体_GB2312" w:eastAsia="楷体_GB2312" w:cs="楷体_GB2312"/>
          <w:sz w:val="32"/>
          <w:szCs w:val="32"/>
          <w:lang w:val="en-US" w:eastAsia="zh-CN"/>
        </w:rPr>
      </w:pPr>
      <w:bookmarkStart w:id="31" w:name="_Toc23098"/>
      <w:bookmarkStart w:id="32" w:name="_Toc13225"/>
      <w:r>
        <w:rPr>
          <w:rFonts w:hint="eastAsia" w:ascii="楷体_GB2312" w:hAnsi="楷体_GB2312" w:eastAsia="楷体_GB2312" w:cs="楷体_GB2312"/>
          <w:sz w:val="32"/>
          <w:szCs w:val="32"/>
          <w:lang w:val="en-US" w:eastAsia="zh-CN"/>
        </w:rPr>
        <w:t>公务用车购置及运行维护费</w:t>
      </w:r>
      <w:bookmarkEnd w:id="31"/>
      <w:bookmarkEnd w:id="32"/>
    </w:p>
    <w:p w14:paraId="123439F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公务用车购置及运行维护费与2024年预算相比持平。</w:t>
      </w:r>
    </w:p>
    <w:p w14:paraId="3CA7F39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2025年未安排公务用车购置费。</w:t>
      </w:r>
    </w:p>
    <w:p w14:paraId="44C8FA4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2025年安排公务用车运行维护费0万元。</w:t>
      </w:r>
    </w:p>
    <w:p w14:paraId="044DC297">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left="0" w:leftChars="0" w:firstLine="420" w:firstLineChars="0"/>
        <w:textAlignment w:val="auto"/>
        <w:outlineLvl w:val="1"/>
        <w:rPr>
          <w:rFonts w:hint="default" w:ascii="楷体_GB2312" w:hAnsi="楷体_GB2312" w:eastAsia="楷体_GB2312" w:cs="楷体_GB2312"/>
          <w:sz w:val="32"/>
          <w:szCs w:val="32"/>
          <w:lang w:val="en-US" w:eastAsia="zh-CN"/>
        </w:rPr>
      </w:pPr>
      <w:bookmarkStart w:id="33" w:name="_Toc960"/>
      <w:bookmarkStart w:id="34" w:name="_Toc27268"/>
      <w:r>
        <w:rPr>
          <w:rFonts w:hint="eastAsia" w:ascii="楷体_GB2312" w:hAnsi="楷体_GB2312" w:eastAsia="楷体_GB2312" w:cs="楷体_GB2312"/>
          <w:sz w:val="32"/>
          <w:szCs w:val="32"/>
          <w:lang w:val="en-US" w:eastAsia="zh-CN"/>
        </w:rPr>
        <w:t>因公出国（境）经费</w:t>
      </w:r>
      <w:bookmarkEnd w:id="33"/>
      <w:bookmarkEnd w:id="34"/>
    </w:p>
    <w:p w14:paraId="4940223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因公出国（境）经费与2024年预算相比持平。</w:t>
      </w:r>
    </w:p>
    <w:p w14:paraId="1553B8F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35" w:name="_Toc12010"/>
      <w:bookmarkStart w:id="36" w:name="_Toc28600"/>
      <w:r>
        <w:rPr>
          <w:rFonts w:hint="eastAsia" w:ascii="黑体" w:hAnsi="黑体" w:eastAsia="黑体" w:cs="黑体"/>
          <w:sz w:val="32"/>
          <w:szCs w:val="32"/>
          <w:lang w:val="en-US" w:eastAsia="zh-CN"/>
        </w:rPr>
        <w:t>八、政府性基金预算支出情况说明</w:t>
      </w:r>
      <w:bookmarkEnd w:id="35"/>
      <w:bookmarkEnd w:id="36"/>
    </w:p>
    <w:p w14:paraId="106BC61A">
      <w:pPr>
        <w:keepNext w:val="0"/>
        <w:keepLines w:val="0"/>
        <w:pageBreakBefore w:val="0"/>
        <w:widowControl w:val="0"/>
        <w:kinsoku/>
        <w:wordWrap/>
        <w:overflowPunct/>
        <w:topLinePunct w:val="0"/>
        <w:autoSpaceDE/>
        <w:autoSpaceDN/>
        <w:bidi w:val="0"/>
        <w:adjustRightInd/>
        <w:snapToGrid/>
        <w:spacing w:line="576" w:lineRule="exact"/>
        <w:ind w:left="638" w:leftChars="304" w:firstLine="0" w:firstLineChars="0"/>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磨滩镇人民政府2025年无政府性基金预算拨款安排的支出</w:t>
      </w:r>
      <w:r>
        <w:rPr>
          <w:rFonts w:hint="eastAsia" w:ascii="黑体" w:hAnsi="黑体" w:eastAsia="黑体" w:cs="黑体"/>
          <w:sz w:val="32"/>
          <w:szCs w:val="32"/>
          <w:lang w:val="en-US" w:eastAsia="zh-CN"/>
        </w:rPr>
        <w:t>九、国有资本经营预算支出情况说明</w:t>
      </w:r>
    </w:p>
    <w:p w14:paraId="5833622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磨滩镇人民政府2025年无国有资本经营预算拨款安排的支出。</w:t>
      </w:r>
    </w:p>
    <w:p w14:paraId="7F4AE3E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37" w:name="_Toc30934"/>
      <w:bookmarkStart w:id="38" w:name="_Toc10255"/>
      <w:r>
        <w:rPr>
          <w:rFonts w:hint="eastAsia" w:ascii="黑体" w:hAnsi="黑体" w:eastAsia="黑体" w:cs="黑体"/>
          <w:sz w:val="32"/>
          <w:szCs w:val="32"/>
          <w:lang w:val="en-US" w:eastAsia="zh-CN"/>
        </w:rPr>
        <w:t>十、其他重要事项的情况说明</w:t>
      </w:r>
      <w:bookmarkEnd w:id="37"/>
      <w:bookmarkEnd w:id="38"/>
    </w:p>
    <w:p w14:paraId="1B1BF956">
      <w:pPr>
        <w:keepNext w:val="0"/>
        <w:keepLines w:val="0"/>
        <w:pageBreakBefore w:val="0"/>
        <w:widowControl w:val="0"/>
        <w:numPr>
          <w:ilvl w:val="0"/>
          <w:numId w:val="6"/>
        </w:numPr>
        <w:kinsoku/>
        <w:wordWrap/>
        <w:overflowPunct/>
        <w:topLinePunct w:val="0"/>
        <w:autoSpaceDE/>
        <w:autoSpaceDN/>
        <w:bidi w:val="0"/>
        <w:adjustRightInd/>
        <w:snapToGrid/>
        <w:spacing w:line="576" w:lineRule="exact"/>
        <w:ind w:left="0" w:leftChars="0" w:firstLine="420" w:firstLineChars="0"/>
        <w:textAlignment w:val="auto"/>
        <w:outlineLvl w:val="1"/>
        <w:rPr>
          <w:rFonts w:hint="eastAsia" w:ascii="楷体_GB2312" w:hAnsi="楷体_GB2312" w:eastAsia="楷体_GB2312" w:cs="楷体_GB2312"/>
          <w:sz w:val="32"/>
          <w:szCs w:val="32"/>
          <w:lang w:val="en-US" w:eastAsia="zh-CN"/>
        </w:rPr>
      </w:pPr>
      <w:bookmarkStart w:id="39" w:name="_Toc8829"/>
      <w:bookmarkStart w:id="40" w:name="_Toc9698"/>
      <w:r>
        <w:rPr>
          <w:rFonts w:hint="eastAsia" w:ascii="楷体_GB2312" w:hAnsi="楷体_GB2312" w:eastAsia="楷体_GB2312" w:cs="楷体_GB2312"/>
          <w:sz w:val="32"/>
          <w:szCs w:val="32"/>
          <w:lang w:val="en-US" w:eastAsia="zh-CN"/>
        </w:rPr>
        <w:t>机关运行经费</w:t>
      </w:r>
      <w:bookmarkEnd w:id="39"/>
      <w:bookmarkEnd w:id="40"/>
    </w:p>
    <w:p w14:paraId="07CB5DE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2025年，磨滩镇人民政府的机关运行经费财政拨款预算为165.96万元，比2024年预算增加48.98万元，增长41.87%。主要原因人员增加、村（居）办公经费。</w:t>
      </w:r>
    </w:p>
    <w:p w14:paraId="49EAF3F8">
      <w:pPr>
        <w:keepNext w:val="0"/>
        <w:keepLines w:val="0"/>
        <w:pageBreakBefore w:val="0"/>
        <w:widowControl w:val="0"/>
        <w:numPr>
          <w:ilvl w:val="0"/>
          <w:numId w:val="6"/>
        </w:numPr>
        <w:kinsoku/>
        <w:wordWrap/>
        <w:overflowPunct/>
        <w:topLinePunct w:val="0"/>
        <w:autoSpaceDE/>
        <w:autoSpaceDN/>
        <w:bidi w:val="0"/>
        <w:adjustRightInd/>
        <w:snapToGrid/>
        <w:spacing w:line="576" w:lineRule="exact"/>
        <w:ind w:left="0" w:leftChars="0" w:firstLine="420" w:firstLineChars="0"/>
        <w:textAlignment w:val="auto"/>
        <w:outlineLvl w:val="1"/>
        <w:rPr>
          <w:rFonts w:hint="eastAsia" w:ascii="楷体_GB2312" w:hAnsi="楷体_GB2312" w:eastAsia="楷体_GB2312" w:cs="楷体_GB2312"/>
          <w:sz w:val="32"/>
          <w:szCs w:val="32"/>
          <w:lang w:val="en-US" w:eastAsia="zh-CN"/>
        </w:rPr>
      </w:pPr>
      <w:bookmarkStart w:id="41" w:name="_Toc9491"/>
      <w:bookmarkStart w:id="42" w:name="_Toc26866"/>
      <w:r>
        <w:rPr>
          <w:rFonts w:hint="eastAsia" w:ascii="楷体_GB2312" w:hAnsi="楷体_GB2312" w:eastAsia="楷体_GB2312" w:cs="楷体_GB2312"/>
          <w:sz w:val="32"/>
          <w:szCs w:val="32"/>
          <w:lang w:val="en-US" w:eastAsia="zh-CN"/>
        </w:rPr>
        <w:t>政府采购情况</w:t>
      </w:r>
      <w:bookmarkEnd w:id="41"/>
      <w:bookmarkEnd w:id="42"/>
    </w:p>
    <w:p w14:paraId="3E0598B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2025年，磨滩镇人民政府安排政府采购预算0万元。</w:t>
      </w:r>
    </w:p>
    <w:p w14:paraId="0A41ECC1">
      <w:pPr>
        <w:keepNext w:val="0"/>
        <w:keepLines w:val="0"/>
        <w:pageBreakBefore w:val="0"/>
        <w:widowControl w:val="0"/>
        <w:numPr>
          <w:ilvl w:val="0"/>
          <w:numId w:val="6"/>
        </w:numPr>
        <w:kinsoku/>
        <w:wordWrap/>
        <w:overflowPunct/>
        <w:topLinePunct w:val="0"/>
        <w:autoSpaceDE/>
        <w:autoSpaceDN/>
        <w:bidi w:val="0"/>
        <w:adjustRightInd/>
        <w:snapToGrid/>
        <w:spacing w:line="576" w:lineRule="exact"/>
        <w:ind w:left="0" w:leftChars="0" w:firstLine="420" w:firstLineChars="0"/>
        <w:textAlignment w:val="auto"/>
        <w:outlineLvl w:val="1"/>
        <w:rPr>
          <w:rFonts w:hint="eastAsia" w:ascii="楷体_GB2312" w:hAnsi="楷体_GB2312" w:eastAsia="楷体_GB2312" w:cs="楷体_GB2312"/>
          <w:sz w:val="32"/>
          <w:szCs w:val="32"/>
          <w:lang w:val="en-US" w:eastAsia="zh-CN"/>
        </w:rPr>
      </w:pPr>
      <w:bookmarkStart w:id="43" w:name="_Toc24627"/>
      <w:bookmarkStart w:id="44" w:name="_Toc21508"/>
      <w:r>
        <w:rPr>
          <w:rFonts w:hint="eastAsia" w:ascii="楷体_GB2312" w:hAnsi="楷体_GB2312" w:eastAsia="楷体_GB2312" w:cs="楷体_GB2312"/>
          <w:sz w:val="32"/>
          <w:szCs w:val="32"/>
          <w:lang w:val="en-US" w:eastAsia="zh-CN"/>
        </w:rPr>
        <w:t>国有资产占有使用情况</w:t>
      </w:r>
      <w:bookmarkEnd w:id="43"/>
      <w:bookmarkEnd w:id="44"/>
    </w:p>
    <w:p w14:paraId="5DF9FBD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截至2024年底，磨滩镇人民政府共有车辆0辆。单位无价值200万元以上的大型设备。</w:t>
      </w:r>
    </w:p>
    <w:p w14:paraId="69184D6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2025年部门预算安排车辆购置经费0万元。其中，财政拨款预算安排0万元，非财政拨款安排0万元。拟购置定向保障用车0车辆、执法执勤用车0辆。安排大型设备购置经费0万元。</w:t>
      </w:r>
    </w:p>
    <w:p w14:paraId="216E4A3F">
      <w:pPr>
        <w:keepNext w:val="0"/>
        <w:keepLines w:val="0"/>
        <w:pageBreakBefore w:val="0"/>
        <w:widowControl w:val="0"/>
        <w:numPr>
          <w:ilvl w:val="0"/>
          <w:numId w:val="6"/>
        </w:numPr>
        <w:kinsoku/>
        <w:wordWrap/>
        <w:overflowPunct/>
        <w:topLinePunct w:val="0"/>
        <w:autoSpaceDE/>
        <w:autoSpaceDN/>
        <w:bidi w:val="0"/>
        <w:adjustRightInd/>
        <w:snapToGrid/>
        <w:spacing w:line="576" w:lineRule="exact"/>
        <w:ind w:left="0" w:leftChars="0" w:firstLine="420" w:firstLineChars="0"/>
        <w:textAlignment w:val="auto"/>
        <w:outlineLvl w:val="1"/>
        <w:rPr>
          <w:rFonts w:hint="eastAsia" w:ascii="楷体_GB2312" w:hAnsi="楷体_GB2312" w:eastAsia="楷体_GB2312" w:cs="楷体_GB2312"/>
          <w:sz w:val="32"/>
          <w:szCs w:val="32"/>
          <w:lang w:val="en-US" w:eastAsia="zh-CN"/>
        </w:rPr>
      </w:pPr>
      <w:bookmarkStart w:id="45" w:name="_Toc23716"/>
      <w:bookmarkStart w:id="46" w:name="_Toc32109"/>
      <w:r>
        <w:rPr>
          <w:rFonts w:hint="eastAsia" w:ascii="楷体_GB2312" w:hAnsi="楷体_GB2312" w:eastAsia="楷体_GB2312" w:cs="楷体_GB2312"/>
          <w:sz w:val="32"/>
          <w:szCs w:val="32"/>
          <w:lang w:val="en-US" w:eastAsia="zh-CN"/>
        </w:rPr>
        <w:t>绩效目标设置情况</w:t>
      </w:r>
      <w:bookmarkEnd w:id="45"/>
      <w:bookmarkEnd w:id="46"/>
    </w:p>
    <w:p w14:paraId="3DDE112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磨滩镇人民政府开展绩效目标管理的项目13个，涉及预算376.72万元。其中：人员类项目3个，涉及预算119.46万元；运转类项目8个，涉及预算114.86万元；特定目标类项目2个，涉及预算142.4万元。因部分项目内容涉密，不予公开。</w:t>
      </w:r>
    </w:p>
    <w:p w14:paraId="32E51D3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47" w:name="_Toc3976"/>
      <w:bookmarkStart w:id="48" w:name="_Toc5648"/>
      <w:r>
        <w:rPr>
          <w:rFonts w:hint="eastAsia" w:ascii="黑体" w:hAnsi="黑体" w:eastAsia="黑体" w:cs="黑体"/>
          <w:sz w:val="32"/>
          <w:szCs w:val="32"/>
          <w:lang w:val="en-US" w:eastAsia="zh-CN"/>
        </w:rPr>
        <w:t>十一、名词解释</w:t>
      </w:r>
      <w:bookmarkEnd w:id="47"/>
      <w:bookmarkEnd w:id="48"/>
    </w:p>
    <w:p w14:paraId="0E9F358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（一）财政拨款收入</w:t>
      </w:r>
      <w:r>
        <w:rPr>
          <w:rFonts w:hint="default" w:ascii="楷体_GB2312" w:hAnsi="楷体_GB2312" w:eastAsia="楷体_GB2312" w:cs="楷体_GB2312"/>
          <w:sz w:val="32"/>
          <w:szCs w:val="32"/>
          <w:lang w:val="en-US" w:eastAsia="zh-CN"/>
        </w:rPr>
        <w:t>:</w:t>
      </w:r>
      <w:r>
        <w:rPr>
          <w:rFonts w:hint="eastAsia" w:ascii="仿宋_GB2312" w:hAnsi="仿宋_GB2312" w:eastAsia="仿宋_GB2312" w:cs="仿宋_GB2312"/>
          <w:sz w:val="32"/>
          <w:szCs w:val="32"/>
          <w:lang w:val="en-US" w:eastAsia="zh-CN"/>
        </w:rPr>
        <w:t>指市财政当年安排的财政预算收入。按现行管理制度</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部门预算中反映的财政拨款包括一般公共预算拨款和政府性基金预算拨款。</w:t>
      </w:r>
    </w:p>
    <w:p w14:paraId="0C179034">
      <w:pPr>
        <w:keepNext w:val="0"/>
        <w:keepLines w:val="0"/>
        <w:pageBreakBefore w:val="0"/>
        <w:kinsoku/>
        <w:wordWrap/>
        <w:overflowPunct/>
        <w:topLinePunct w:val="0"/>
        <w:autoSpaceDE/>
        <w:autoSpaceDN/>
        <w:bidi w:val="0"/>
        <w:adjustRightInd/>
        <w:snapToGrid/>
        <w:spacing w:line="556" w:lineRule="atLeast"/>
        <w:ind w:firstLine="640" w:firstLineChars="200"/>
        <w:textAlignment w:val="auto"/>
        <w:rPr>
          <w:rFonts w:hint="default" w:ascii="Times New Roman" w:hAnsi="Times New Roman" w:cs="Times New Roman"/>
          <w:i w:val="0"/>
          <w:caps w:val="0"/>
          <w:color w:val="333333"/>
          <w:spacing w:val="0"/>
          <w:sz w:val="32"/>
          <w:szCs w:val="32"/>
        </w:rPr>
      </w:pPr>
      <w:r>
        <w:rPr>
          <w:rFonts w:hint="eastAsia" w:ascii="楷体_GB2312" w:hAnsi="楷体_GB2312" w:eastAsia="楷体_GB2312" w:cs="楷体_GB2312"/>
          <w:sz w:val="32"/>
          <w:szCs w:val="32"/>
          <w:lang w:val="en-US" w:eastAsia="zh-CN"/>
        </w:rPr>
        <w:t>（二）一般公共服务（类）人大事务（款）代表工作（项）：</w:t>
      </w:r>
      <w:r>
        <w:rPr>
          <w:rFonts w:hint="eastAsia" w:ascii="仿宋_GB2312" w:hAnsi="Times New Roman" w:eastAsia="仿宋_GB2312" w:cs="仿宋_GB2312"/>
          <w:i w:val="0"/>
          <w:caps w:val="0"/>
          <w:color w:val="333333"/>
          <w:spacing w:val="0"/>
          <w:kern w:val="0"/>
          <w:sz w:val="32"/>
          <w:szCs w:val="32"/>
          <w:shd w:val="clear" w:color="auto" w:fill="FFFFFF"/>
          <w:lang w:val="en-US" w:eastAsia="zh-CN"/>
        </w:rPr>
        <w:t>指用于保障代表工作正常运行的基本支出。</w:t>
      </w:r>
      <w:r>
        <w:rPr>
          <w:rFonts w:hint="eastAsia" w:ascii="仿宋_GB2312" w:hAnsi="Times New Roman" w:eastAsia="仿宋_GB2312" w:cs="仿宋_GB2312"/>
          <w:i w:val="0"/>
          <w:caps w:val="0"/>
          <w:color w:val="333333"/>
          <w:spacing w:val="0"/>
          <w:kern w:val="0"/>
          <w:sz w:val="32"/>
          <w:szCs w:val="32"/>
          <w:shd w:val="clear" w:color="auto" w:fill="FFFFFF"/>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（三）一般公共服务（类）人大事务（款）其他人大事务支出（项）</w:t>
      </w:r>
      <w:r>
        <w:rPr>
          <w:rFonts w:hint="eastAsia" w:ascii="仿宋_GB2312" w:hAnsi="Times New Roman" w:eastAsia="仿宋_GB2312" w:cs="仿宋_GB2312"/>
          <w:i w:val="0"/>
          <w:caps w:val="0"/>
          <w:color w:val="333333"/>
          <w:spacing w:val="0"/>
          <w:kern w:val="0"/>
          <w:sz w:val="32"/>
          <w:szCs w:val="32"/>
          <w:shd w:val="clear" w:color="auto" w:fill="FFFFFF"/>
          <w:lang w:val="en-US" w:eastAsia="zh-CN"/>
        </w:rPr>
        <w:t>：指机关单位开展人大事务管理工作的日常支出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（四）一般公共服务（类）政府办公厅（室）及相关机构事务（款）行政运行（项）</w:t>
      </w:r>
      <w:r>
        <w:rPr>
          <w:rFonts w:hint="eastAsia" w:ascii="仿宋_GB2312" w:hAnsi="Times New Roman" w:eastAsia="仿宋_GB2312" w:cs="仿宋_GB2312"/>
          <w:i w:val="0"/>
          <w:caps w:val="0"/>
          <w:color w:val="333333"/>
          <w:spacing w:val="0"/>
          <w:kern w:val="0"/>
          <w:sz w:val="32"/>
          <w:szCs w:val="32"/>
          <w:shd w:val="clear" w:color="auto" w:fill="FFFFFF"/>
          <w:lang w:val="en-US" w:eastAsia="zh-CN"/>
        </w:rPr>
        <w:t>：指</w:t>
      </w:r>
      <w:r>
        <w:rPr>
          <w:rFonts w:hint="default" w:ascii="仿宋_GB2312" w:hAnsi="微软雅黑" w:eastAsia="仿宋_GB2312" w:cs="仿宋_GB2312"/>
          <w:color w:val="auto"/>
          <w:sz w:val="32"/>
          <w:szCs w:val="32"/>
          <w:highlight w:val="none"/>
          <w:lang w:val="en-US" w:eastAsia="zh-CN"/>
        </w:rPr>
        <w:t>用于保障机构正常运行、开展日常工作的基本支出</w:t>
      </w:r>
      <w:r>
        <w:rPr>
          <w:rFonts w:hint="eastAsia" w:ascii="仿宋_GB2312" w:hAnsi="微软雅黑" w:eastAsia="仿宋_GB2312" w:cs="仿宋_GB2312"/>
          <w:color w:val="auto"/>
          <w:sz w:val="32"/>
          <w:szCs w:val="32"/>
          <w:highlight w:val="none"/>
          <w:lang w:val="en-US" w:eastAsia="zh-CN"/>
        </w:rPr>
        <w:t>。</w:t>
      </w:r>
    </w:p>
    <w:p w14:paraId="4BA71D76">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rPr>
      </w:pPr>
      <w:r>
        <w:rPr>
          <w:rFonts w:hint="eastAsia" w:ascii="楷体_GB2312" w:hAnsi="楷体_GB2312" w:eastAsia="楷体_GB2312" w:cs="楷体_GB2312"/>
          <w:sz w:val="32"/>
          <w:szCs w:val="32"/>
          <w:lang w:val="en-US" w:eastAsia="zh-CN"/>
        </w:rPr>
        <w:t>（五）社会保障和就业（类）行政事业单位养老支出（款）行政单位离退休（项）：</w:t>
      </w:r>
      <w:r>
        <w:rPr>
          <w:rFonts w:hint="eastAsia" w:ascii="仿宋_GB2312" w:hAnsi="仿宋_GB2312" w:eastAsia="仿宋_GB2312" w:cs="仿宋_GB2312"/>
          <w:sz w:val="32"/>
          <w:szCs w:val="32"/>
          <w:lang w:val="en-US" w:eastAsia="zh-CN"/>
        </w:rPr>
        <w:t>指行政及参公管理事业单位离退休人员的支出。</w:t>
      </w:r>
      <w:r>
        <w:rPr>
          <w:rFonts w:hint="eastAsia" w:ascii="仿宋_GB2312" w:hAnsi="仿宋_GB2312" w:eastAsia="仿宋_GB2312" w:cs="仿宋_GB2312"/>
          <w:sz w:val="32"/>
          <w:szCs w:val="32"/>
          <w:lang w:val="en-US" w:eastAsia="zh-CN"/>
        </w:rPr>
        <w:br w:type="textWrapping"/>
      </w:r>
      <w:r>
        <w:rPr>
          <w:rFonts w:hint="eastAsia" w:ascii="仿宋_GB2312" w:hAnsi="Times New Roman" w:eastAsia="仿宋_GB2312" w:cs="仿宋_GB2312"/>
          <w:i w:val="0"/>
          <w:caps w:val="0"/>
          <w:color w:val="333333"/>
          <w:spacing w:val="0"/>
          <w:kern w:val="0"/>
          <w:sz w:val="32"/>
          <w:szCs w:val="32"/>
          <w:shd w:val="clear" w:color="auto" w:fill="FFFFFF"/>
          <w:lang w:val="en-US" w:eastAsia="zh-CN"/>
        </w:rPr>
        <w:t xml:space="preserve">  </w:t>
      </w:r>
      <w:r>
        <w:rPr>
          <w:rFonts w:hint="eastAsia" w:ascii="楷体_GB2312" w:hAnsi="楷体_GB2312" w:eastAsia="楷体_GB2312" w:cs="楷体_GB2312"/>
          <w:sz w:val="32"/>
          <w:szCs w:val="32"/>
          <w:lang w:val="en-US" w:eastAsia="zh-CN"/>
        </w:rPr>
        <w:t xml:space="preserve">  （六）社</w:t>
      </w:r>
      <w:r>
        <w:rPr>
          <w:rFonts w:hint="eastAsia" w:ascii="楷体_GB2312" w:hAnsi="楷体_GB2312" w:eastAsia="楷体_GB2312" w:cs="楷体_GB2312"/>
          <w:color w:val="auto"/>
          <w:kern w:val="2"/>
          <w:sz w:val="32"/>
          <w:szCs w:val="32"/>
          <w:lang w:val="en-US" w:eastAsia="zh-CN" w:bidi="ar-SA"/>
        </w:rPr>
        <w:t>会保障和就业（类）行政事业单位养老支出（款）机关事业单位基本养老保险缴费支出（项）</w:t>
      </w:r>
      <w:r>
        <w:rPr>
          <w:rFonts w:hint="eastAsia" w:ascii="仿宋_GB2312" w:hAnsi="Times New Roman" w:eastAsia="仿宋_GB2312" w:cs="仿宋_GB2312"/>
          <w:i w:val="0"/>
          <w:caps w:val="0"/>
          <w:color w:val="333333"/>
          <w:spacing w:val="0"/>
          <w:kern w:val="0"/>
          <w:sz w:val="32"/>
          <w:szCs w:val="32"/>
          <w:shd w:val="clear" w:color="auto" w:fill="FFFFFF"/>
          <w:lang w:val="en-US" w:eastAsia="zh-CN"/>
        </w:rPr>
        <w:t>：指部门实施养老保险制度由单位缴纳的养老保险的支出。</w:t>
      </w:r>
    </w:p>
    <w:p w14:paraId="59929DA1">
      <w:pPr>
        <w:pStyle w:val="17"/>
        <w:ind w:firstLine="640"/>
        <w:jc w:val="both"/>
        <w:rPr>
          <w:rFonts w:hint="eastAsia" w:ascii="仿宋_GB2312" w:hAnsi="Times New Roman" w:eastAsia="仿宋_GB2312" w:cs="仿宋_GB2312"/>
          <w:i w:val="0"/>
          <w:caps w:val="0"/>
          <w:color w:val="333333"/>
          <w:spacing w:val="0"/>
          <w:kern w:val="0"/>
          <w:sz w:val="32"/>
          <w:szCs w:val="32"/>
          <w:shd w:val="clear" w:color="auto" w:fill="FFFFFF"/>
          <w:lang w:val="en-US" w:eastAsia="zh-CN"/>
        </w:rPr>
      </w:pPr>
      <w:r>
        <w:rPr>
          <w:rFonts w:hint="eastAsia" w:ascii="楷体_GB2312" w:hAnsi="楷体_GB2312" w:eastAsia="楷体_GB2312" w:cs="楷体_GB2312"/>
          <w:color w:val="auto"/>
          <w:kern w:val="2"/>
          <w:sz w:val="32"/>
          <w:szCs w:val="32"/>
          <w:lang w:val="en-US" w:eastAsia="zh-CN" w:bidi="ar-SA"/>
        </w:rPr>
        <w:t>（七）社会</w:t>
      </w:r>
      <w:r>
        <w:rPr>
          <w:rFonts w:hint="eastAsia" w:ascii="楷体_GB2312" w:hAnsi="楷体_GB2312" w:eastAsia="楷体_GB2312" w:cs="楷体_GB2312"/>
          <w:color w:val="auto"/>
          <w:sz w:val="32"/>
          <w:szCs w:val="32"/>
          <w:lang w:val="en-US" w:eastAsia="zh-CN"/>
        </w:rPr>
        <w:t>保障和就业（类）其他社会保障和就业支出（款）其他社会保障和就业支出（项）：</w:t>
      </w:r>
      <w:r>
        <w:rPr>
          <w:rFonts w:hint="eastAsia" w:ascii="仿宋_GB2312" w:hAnsi="Times New Roman" w:eastAsia="仿宋_GB2312" w:cs="仿宋_GB2312"/>
          <w:i w:val="0"/>
          <w:caps w:val="0"/>
          <w:color w:val="333333"/>
          <w:spacing w:val="0"/>
          <w:kern w:val="0"/>
          <w:sz w:val="32"/>
          <w:szCs w:val="32"/>
          <w:shd w:val="clear" w:color="auto" w:fill="FFFFFF"/>
          <w:lang w:val="en-US" w:eastAsia="zh-CN"/>
        </w:rPr>
        <w:t>指其他社会保障和就业支出。</w:t>
      </w:r>
    </w:p>
    <w:p w14:paraId="56741AAE">
      <w:pPr>
        <w:pStyle w:val="18"/>
        <w:ind w:firstLine="640" w:firstLineChars="200"/>
        <w:jc w:val="both"/>
        <w:rPr>
          <w:rFonts w:hint="eastAsia"/>
          <w:lang w:val="en-US" w:eastAsia="zh-CN"/>
        </w:rPr>
      </w:pPr>
      <w:r>
        <w:rPr>
          <w:rFonts w:hint="eastAsia" w:ascii="楷体_GB2312" w:hAnsi="楷体_GB2312" w:eastAsia="楷体_GB2312" w:cs="楷体_GB2312"/>
          <w:color w:val="auto"/>
          <w:kern w:val="2"/>
          <w:sz w:val="32"/>
          <w:szCs w:val="32"/>
          <w:lang w:val="en-US" w:eastAsia="zh-CN" w:bidi="ar-SA"/>
        </w:rPr>
        <w:t>（八）卫</w:t>
      </w:r>
      <w:r>
        <w:rPr>
          <w:rFonts w:hint="eastAsia" w:ascii="楷体_GB2312" w:hAnsi="楷体_GB2312" w:eastAsia="楷体_GB2312" w:cs="楷体_GB2312"/>
          <w:sz w:val="32"/>
          <w:szCs w:val="32"/>
          <w:lang w:val="en-US" w:eastAsia="zh-CN"/>
        </w:rPr>
        <w:t>生健康（类）行政事业单位医疗（款）行政单位医疗（项）：</w:t>
      </w:r>
      <w:r>
        <w:rPr>
          <w:rFonts w:hint="eastAsia" w:ascii="仿宋_GB2312" w:hAnsi="仿宋_GB2312" w:eastAsia="仿宋_GB2312" w:cs="仿宋_GB2312"/>
          <w:sz w:val="32"/>
          <w:szCs w:val="32"/>
          <w:lang w:val="en-US" w:eastAsia="zh-CN"/>
        </w:rPr>
        <w:t>指机关及参公管理事业单位用于单位应缴纳基本医疗保险支出。</w:t>
      </w:r>
    </w:p>
    <w:p w14:paraId="11F750C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（九）卫生健康（类）行政事业单位医疗（款）事业单位医疗（项）：</w:t>
      </w:r>
      <w:r>
        <w:rPr>
          <w:rFonts w:hint="eastAsia" w:ascii="仿宋_GB2312" w:hAnsi="Times New Roman" w:eastAsia="仿宋_GB2312" w:cs="仿宋_GB2312"/>
          <w:i w:val="0"/>
          <w:caps w:val="0"/>
          <w:color w:val="333333"/>
          <w:spacing w:val="0"/>
          <w:kern w:val="0"/>
          <w:sz w:val="32"/>
          <w:szCs w:val="32"/>
          <w:shd w:val="clear" w:color="auto" w:fill="FFFFFF"/>
          <w:lang w:val="en-US" w:eastAsia="zh-CN"/>
        </w:rPr>
        <w:t>指事业单位用于单位应缴纳基本医疗保险支出。</w:t>
      </w:r>
    </w:p>
    <w:p w14:paraId="2409072B">
      <w:pPr>
        <w:pStyle w:val="13"/>
        <w:keepNext w:val="0"/>
        <w:keepLines w:val="0"/>
        <w:pageBreakBefore w:val="0"/>
        <w:kinsoku/>
        <w:wordWrap/>
        <w:overflowPunct/>
        <w:topLinePunct w:val="0"/>
        <w:autoSpaceDE/>
        <w:autoSpaceDN/>
        <w:bidi w:val="0"/>
        <w:adjustRightInd/>
        <w:snapToGrid/>
        <w:spacing w:line="556" w:lineRule="atLeast"/>
        <w:ind w:left="0" w:leftChars="0" w:firstLine="640" w:firstLineChars="200"/>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rPr>
      </w:pPr>
      <w:r>
        <w:rPr>
          <w:rFonts w:hint="eastAsia" w:ascii="楷体_GB2312" w:hAnsi="楷体_GB2312" w:eastAsia="楷体_GB2312" w:cs="楷体_GB2312"/>
          <w:color w:val="auto"/>
          <w:kern w:val="2"/>
          <w:sz w:val="32"/>
          <w:szCs w:val="32"/>
          <w:lang w:val="en-US" w:eastAsia="zh-CN" w:bidi="ar-SA"/>
        </w:rPr>
        <w:t>（十）农林水支出（类）巩固脱贫攻坚成果衔接乡村振兴（款）其他巩固脱贫攻坚成果衔接乡村振兴支出（项）：</w:t>
      </w:r>
      <w:r>
        <w:rPr>
          <w:rFonts w:hint="eastAsia" w:ascii="仿宋_GB2312" w:hAnsi="Times New Roman" w:eastAsia="仿宋_GB2312" w:cs="仿宋_GB2312"/>
          <w:i w:val="0"/>
          <w:caps w:val="0"/>
          <w:color w:val="333333"/>
          <w:spacing w:val="0"/>
          <w:kern w:val="0"/>
          <w:sz w:val="32"/>
          <w:szCs w:val="32"/>
          <w:shd w:val="clear" w:color="auto" w:fill="FFFFFF"/>
          <w:lang w:val="en-US" w:eastAsia="zh-CN"/>
        </w:rPr>
        <w:t>指用于巩固拓展脱贫攻坚成果同乡村振兴有效衔接方面的支出。</w:t>
      </w:r>
    </w:p>
    <w:p w14:paraId="09130F33">
      <w:pPr>
        <w:keepNext w:val="0"/>
        <w:keepLines w:val="0"/>
        <w:pageBreakBefore w:val="0"/>
        <w:kinsoku/>
        <w:wordWrap/>
        <w:overflowPunct/>
        <w:topLinePunct w:val="0"/>
        <w:autoSpaceDE/>
        <w:autoSpaceDN/>
        <w:bidi w:val="0"/>
        <w:adjustRightInd/>
        <w:snapToGrid/>
        <w:spacing w:line="556" w:lineRule="atLeast"/>
        <w:ind w:firstLine="640" w:firstLineChars="200"/>
        <w:textAlignment w:val="auto"/>
        <w:rPr>
          <w:rFonts w:hint="eastAsia"/>
          <w:lang w:val="en-US" w:eastAsia="zh-CN"/>
        </w:rPr>
      </w:pPr>
      <w:r>
        <w:rPr>
          <w:rFonts w:hint="eastAsia" w:ascii="楷体_GB2312" w:hAnsi="楷体_GB2312" w:eastAsia="楷体_GB2312" w:cs="楷体_GB2312"/>
          <w:sz w:val="32"/>
          <w:szCs w:val="32"/>
          <w:lang w:val="en-US" w:eastAsia="zh-CN"/>
        </w:rPr>
        <w:t>（十一）农林水</w:t>
      </w:r>
      <w:r>
        <w:rPr>
          <w:rFonts w:hint="eastAsia" w:ascii="楷体_GB2312" w:hAnsi="楷体_GB2312" w:eastAsia="楷体_GB2312" w:cs="楷体_GB2312"/>
          <w:color w:val="auto"/>
          <w:kern w:val="2"/>
          <w:sz w:val="32"/>
          <w:szCs w:val="32"/>
          <w:lang w:val="en-US" w:eastAsia="zh-CN" w:bidi="ar-SA"/>
        </w:rPr>
        <w:t>支出（类）农村综合改革（款）对村民委员会和村党支部的补助（项）：</w:t>
      </w:r>
      <w:r>
        <w:rPr>
          <w:rFonts w:hint="eastAsia" w:ascii="仿宋_GB2312" w:hAnsi="Times New Roman" w:eastAsia="仿宋_GB2312" w:cs="仿宋_GB2312"/>
          <w:i w:val="0"/>
          <w:caps w:val="0"/>
          <w:color w:val="333333"/>
          <w:spacing w:val="0"/>
          <w:kern w:val="0"/>
          <w:sz w:val="32"/>
          <w:szCs w:val="32"/>
          <w:shd w:val="clear" w:color="auto" w:fill="FFFFFF"/>
          <w:lang w:val="en-US" w:eastAsia="zh-CN"/>
        </w:rPr>
        <w:t>指对村民委员会和村党支部的补助支出，以及建立县级基本财力保障机制安排的村级组织运转奖补资金。</w:t>
      </w:r>
    </w:p>
    <w:p w14:paraId="1A94D2FB">
      <w:pPr>
        <w:pStyle w:val="17"/>
        <w:ind w:firstLine="640" w:firstLineChars="200"/>
        <w:jc w:val="both"/>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kern w:val="2"/>
          <w:sz w:val="32"/>
          <w:szCs w:val="32"/>
          <w:lang w:val="en-US" w:eastAsia="zh-CN" w:bidi="ar-SA"/>
        </w:rPr>
        <w:t>（十二）住房保</w:t>
      </w:r>
      <w:r>
        <w:rPr>
          <w:rFonts w:hint="eastAsia" w:ascii="楷体_GB2312" w:hAnsi="楷体_GB2312" w:eastAsia="楷体_GB2312" w:cs="楷体_GB2312"/>
          <w:color w:val="auto"/>
          <w:sz w:val="32"/>
          <w:szCs w:val="32"/>
          <w:lang w:val="en-US" w:eastAsia="zh-CN"/>
        </w:rPr>
        <w:t>障（类）住房改革支出（款）住房公积金（项）：</w:t>
      </w:r>
      <w:r>
        <w:rPr>
          <w:rFonts w:hint="eastAsia" w:ascii="仿宋_GB2312" w:hAnsi="仿宋_GB2312" w:eastAsia="仿宋_GB2312" w:cs="仿宋_GB2312"/>
          <w:color w:val="auto"/>
          <w:sz w:val="32"/>
          <w:szCs w:val="32"/>
          <w:lang w:val="en-US" w:eastAsia="zh-CN"/>
        </w:rPr>
        <w:t>指按照《住房公积金管理条例》的规定，由单位及其在职职工缴存的长期住房储金。</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w:t>
      </w:r>
      <w:r>
        <w:rPr>
          <w:rFonts w:hint="eastAsia" w:ascii="楷体_GB2312" w:hAnsi="楷体_GB2312" w:eastAsia="楷体_GB2312" w:cs="楷体_GB2312"/>
          <w:color w:val="auto"/>
          <w:sz w:val="32"/>
          <w:szCs w:val="32"/>
          <w:lang w:val="en-US" w:eastAsia="zh-CN"/>
        </w:rPr>
        <w:t>（十三）基本支出：</w:t>
      </w:r>
      <w:r>
        <w:rPr>
          <w:rFonts w:hint="eastAsia" w:ascii="仿宋_GB2312" w:hAnsi="仿宋_GB2312" w:eastAsia="仿宋_GB2312" w:cs="仿宋_GB2312"/>
          <w:color w:val="auto"/>
          <w:sz w:val="32"/>
          <w:szCs w:val="32"/>
          <w:lang w:val="en-US" w:eastAsia="zh-CN"/>
        </w:rPr>
        <w:t>指为保证机构正常运转，完成日常工作任务而发生的人员支出和公用支出。</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w:t>
      </w:r>
      <w:r>
        <w:rPr>
          <w:rFonts w:hint="eastAsia" w:ascii="楷体_GB2312" w:hAnsi="楷体_GB2312" w:eastAsia="楷体_GB2312" w:cs="楷体_GB2312"/>
          <w:color w:val="auto"/>
          <w:sz w:val="32"/>
          <w:szCs w:val="32"/>
          <w:lang w:val="en-US" w:eastAsia="zh-CN"/>
        </w:rPr>
        <w:t>（十四）项目支出：</w:t>
      </w:r>
      <w:r>
        <w:rPr>
          <w:rFonts w:hint="eastAsia" w:ascii="仿宋_GB2312" w:hAnsi="仿宋_GB2312" w:eastAsia="仿宋_GB2312" w:cs="仿宋_GB2312"/>
          <w:color w:val="auto"/>
          <w:sz w:val="32"/>
          <w:szCs w:val="32"/>
          <w:lang w:val="en-US" w:eastAsia="zh-CN"/>
        </w:rPr>
        <w:t>指在基本支出之外为完成特定行政任务和事业发展目标所发生的支出。</w:t>
      </w:r>
    </w:p>
    <w:p w14:paraId="4E7FB19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color w:val="auto"/>
          <w:sz w:val="32"/>
          <w:szCs w:val="32"/>
          <w:lang w:val="en-US" w:eastAsia="zh-CN"/>
        </w:rPr>
        <w:t>（十五）“三公”经费：</w:t>
      </w:r>
      <w:r>
        <w:rPr>
          <w:rFonts w:hint="eastAsia" w:ascii="仿宋_GB2312" w:hAnsi="仿宋_GB2312" w:eastAsia="仿宋_GB2312" w:cs="仿宋_GB2312"/>
          <w:color w:val="auto"/>
          <w:sz w:val="32"/>
          <w:szCs w:val="32"/>
          <w:lang w:val="en-US" w:eastAsia="zh-CN"/>
        </w:rPr>
        <w:t>纳入市级财政预算管理</w:t>
      </w:r>
      <w:r>
        <w:rPr>
          <w:rFonts w:hint="eastAsia" w:ascii="仿宋_GB2312" w:hAnsi="仿宋_GB2312" w:eastAsia="仿宋_GB2312" w:cs="仿宋_GB2312"/>
          <w:sz w:val="32"/>
          <w:szCs w:val="32"/>
          <w:lang w:val="en-US" w:eastAsia="zh-CN"/>
        </w:rPr>
        <w:t>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（十六）机关运行经费：</w:t>
      </w:r>
      <w:r>
        <w:rPr>
          <w:rFonts w:hint="eastAsia" w:ascii="仿宋_GB2312" w:hAnsi="仿宋_GB2312" w:eastAsia="仿宋_GB2312" w:cs="仿宋_GB2312"/>
          <w:sz w:val="32"/>
          <w:szCs w:val="32"/>
          <w:lang w:val="en-US" w:eastAsia="zh-CN"/>
        </w:rPr>
        <w:t>为保障行政单位（包括参照公务员</w:t>
      </w:r>
      <w:bookmarkStart w:id="49" w:name="_GoBack"/>
      <w:bookmarkEnd w:id="49"/>
      <w:r>
        <w:rPr>
          <w:rFonts w:hint="eastAsia" w:ascii="仿宋_GB2312" w:hAnsi="仿宋_GB2312" w:eastAsia="仿宋_GB2312" w:cs="仿宋_GB2312"/>
          <w:sz w:val="32"/>
          <w:szCs w:val="32"/>
          <w:lang w:val="en-US" w:eastAsia="zh-CN"/>
        </w:rPr>
        <w:t>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14:paraId="726809C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5AFD9A1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附件：1.部门预算公开表</w:t>
      </w:r>
    </w:p>
    <w:p w14:paraId="4617A0C3">
      <w:pPr>
        <w:keepNext w:val="0"/>
        <w:keepLines w:val="0"/>
        <w:pageBreakBefore w:val="0"/>
        <w:widowControl w:val="0"/>
        <w:numPr>
          <w:ilvl w:val="0"/>
          <w:numId w:val="7"/>
        </w:numPr>
        <w:kinsoku/>
        <w:wordWrap/>
        <w:overflowPunct/>
        <w:topLinePunct w:val="0"/>
        <w:autoSpaceDE/>
        <w:autoSpaceDN/>
        <w:bidi w:val="0"/>
        <w:adjustRightInd/>
        <w:snapToGrid/>
        <w:spacing w:line="576" w:lineRule="exact"/>
        <w:ind w:left="160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项目支出绩效目标表</w:t>
      </w:r>
    </w:p>
    <w:p w14:paraId="50CEB6AB">
      <w:pPr>
        <w:keepNext w:val="0"/>
        <w:keepLines w:val="0"/>
        <w:pageBreakBefore w:val="0"/>
        <w:widowControl w:val="0"/>
        <w:numPr>
          <w:ilvl w:val="0"/>
          <w:numId w:val="7"/>
        </w:numPr>
        <w:kinsoku/>
        <w:wordWrap/>
        <w:overflowPunct/>
        <w:topLinePunct w:val="0"/>
        <w:autoSpaceDE/>
        <w:autoSpaceDN/>
        <w:bidi w:val="0"/>
        <w:adjustRightInd/>
        <w:snapToGrid/>
        <w:spacing w:line="576" w:lineRule="exact"/>
        <w:ind w:left="1600" w:leftChars="0"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部门整体支出绩效目标表</w:t>
      </w:r>
    </w:p>
    <w:p w14:paraId="7F59826F">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eastAsia="zh-CN"/>
        </w:rPr>
      </w:pPr>
    </w:p>
    <w:sectPr>
      <w:footerReference r:id="rId5" w:type="default"/>
      <w:pgSz w:w="11906" w:h="16838"/>
      <w:pgMar w:top="2098" w:right="1474" w:bottom="1984" w:left="1587" w:header="720" w:footer="1559" w:gutter="0"/>
      <w:pgNumType w:fmt="decimal"/>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qiaoduosi" w:date="2025-02-12T16:27:01Z" w:initials="q">
    <w:p w14:paraId="33B46DF5">
      <w:pPr>
        <w:pStyle w:val="4"/>
      </w:pPr>
      <w:r>
        <w:annotationRef/>
      </w:r>
    </w:p>
  </w:comment>
  <w:comment w:id="1" w:author="Administrator" w:date="2025-02-13T10:14:43Z" w:initials="A">
    <w:p w14:paraId="1EC8409D">
      <w:pPr>
        <w:pStyle w:val="4"/>
      </w:pPr>
      <w: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3B46DF5" w15:done="1"/>
  <w15:commentEx w15:paraId="1EC8409D" w15:done="1" w15:paraIdParent="33B46DF5"/>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iberation Sans">
    <w:altName w:val="Vijaya"/>
    <w:panose1 w:val="020B0604020202020204"/>
    <w:charset w:val="00"/>
    <w:family w:val="auto"/>
    <w:pitch w:val="default"/>
    <w:sig w:usb0="00000000" w:usb1="00000000" w:usb2="00000000" w:usb3="00000000" w:csb0="6000009F" w:csb1="DFD70000"/>
  </w:font>
  <w:font w:name="DejaVu Sans">
    <w:altName w:val="Segoe Print"/>
    <w:panose1 w:val="020B0603030804020204"/>
    <w:charset w:val="00"/>
    <w:family w:val="auto"/>
    <w:pitch w:val="default"/>
    <w:sig w:usb0="00000000" w:usb1="00000000" w:usb2="0A246029" w:usb3="0400200C" w:csb0="600001FF" w:csb1="DFFF0000"/>
  </w:font>
  <w:font w:name="Noto Sans CJK SC Regular">
    <w:altName w:val="宋体"/>
    <w:panose1 w:val="020B0500000000000000"/>
    <w:charset w:val="86"/>
    <w:family w:val="auto"/>
    <w:pitch w:val="default"/>
    <w:sig w:usb0="00000000" w:usb1="00000000" w:usb2="00000016" w:usb3="00000000" w:csb0="602E0107" w:csb1="00000000"/>
  </w:font>
  <w:font w:name="Arial Unicode MS">
    <w:altName w:val="Arial"/>
    <w:panose1 w:val="020B0604020202020204"/>
    <w:charset w:val="00"/>
    <w:family w:val="auto"/>
    <w:pitch w:val="default"/>
    <w:sig w:usb0="00000000" w:usb1="00000000" w:usb2="00000000" w:usb3="00000000" w:csb0="00000001" w:csb1="00000000"/>
  </w:font>
  <w:font w:name="方正小标宋简体">
    <w:altName w:val="方正舒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Vijaya">
    <w:panose1 w:val="020B0604020202020204"/>
    <w:charset w:val="00"/>
    <w:family w:val="auto"/>
    <w:pitch w:val="default"/>
    <w:sig w:usb0="00100003"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9EDD1">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35BE4BE6">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5dblS0AAAAAUBAAAPAAAAAAAAAAEAIAAAACIAAABkcnMvZG93bnJldi54bWxQSwEC&#10;FAAUAAAACACHTuJAfOtM9/wBAAD/AwAADgAAAAAAAAABACAAAAAfAQAAZHJzL2Uyb0RvYy54bWxQ&#10;SwUGAAAAAAYABgBZAQAAjQUAAAAA&#10;">
              <v:fill on="f" focussize="0,0"/>
              <v:stroke on="f"/>
              <v:imagedata o:title=""/>
              <o:lock v:ext="edit" aspectratio="f"/>
              <v:textbox inset="0mm,0mm,0mm,0mm" style="mso-fit-shape-to-text:t;">
                <w:txbxContent>
                  <w:p w14:paraId="35BE4BE6">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B79175"/>
    <w:multiLevelType w:val="singleLevel"/>
    <w:tmpl w:val="B7B79175"/>
    <w:lvl w:ilvl="0" w:tentative="0">
      <w:start w:val="2"/>
      <w:numFmt w:val="decimal"/>
      <w:lvlText w:val="%1."/>
      <w:lvlJc w:val="left"/>
      <w:pPr>
        <w:tabs>
          <w:tab w:val="left" w:pos="312"/>
        </w:tabs>
        <w:ind w:left="1600" w:leftChars="0" w:firstLine="0" w:firstLineChars="0"/>
      </w:pPr>
    </w:lvl>
  </w:abstractNum>
  <w:abstractNum w:abstractNumId="1">
    <w:nsid w:val="BDEF006A"/>
    <w:multiLevelType w:val="singleLevel"/>
    <w:tmpl w:val="BDEF006A"/>
    <w:lvl w:ilvl="0" w:tentative="0">
      <w:start w:val="1"/>
      <w:numFmt w:val="chineseCounting"/>
      <w:suff w:val="nothing"/>
      <w:lvlText w:val="（%1）"/>
      <w:lvlJc w:val="left"/>
      <w:pPr>
        <w:ind w:left="0" w:firstLine="420"/>
      </w:pPr>
      <w:rPr>
        <w:rFonts w:hint="eastAsia"/>
      </w:rPr>
    </w:lvl>
  </w:abstractNum>
  <w:abstractNum w:abstractNumId="2">
    <w:nsid w:val="BFFEE3D9"/>
    <w:multiLevelType w:val="singleLevel"/>
    <w:tmpl w:val="BFFEE3D9"/>
    <w:lvl w:ilvl="0" w:tentative="0">
      <w:start w:val="1"/>
      <w:numFmt w:val="chineseCounting"/>
      <w:suff w:val="nothing"/>
      <w:lvlText w:val="（%1）"/>
      <w:lvlJc w:val="left"/>
      <w:pPr>
        <w:ind w:left="0" w:firstLine="420"/>
      </w:pPr>
      <w:rPr>
        <w:rFonts w:hint="eastAsia"/>
      </w:rPr>
    </w:lvl>
  </w:abstractNum>
  <w:abstractNum w:abstractNumId="3">
    <w:nsid w:val="DFFE9E97"/>
    <w:multiLevelType w:val="singleLevel"/>
    <w:tmpl w:val="DFFE9E97"/>
    <w:lvl w:ilvl="0" w:tentative="0">
      <w:start w:val="1"/>
      <w:numFmt w:val="chineseCounting"/>
      <w:suff w:val="nothing"/>
      <w:lvlText w:val="（%1）"/>
      <w:lvlJc w:val="left"/>
      <w:pPr>
        <w:ind w:left="0" w:firstLine="420"/>
      </w:pPr>
      <w:rPr>
        <w:rFonts w:hint="eastAsia"/>
      </w:rPr>
    </w:lvl>
  </w:abstractNum>
  <w:abstractNum w:abstractNumId="4">
    <w:nsid w:val="F56A2A0C"/>
    <w:multiLevelType w:val="singleLevel"/>
    <w:tmpl w:val="F56A2A0C"/>
    <w:lvl w:ilvl="0" w:tentative="0">
      <w:start w:val="2"/>
      <w:numFmt w:val="decimal"/>
      <w:lvlText w:val="%1."/>
      <w:lvlJc w:val="left"/>
      <w:pPr>
        <w:tabs>
          <w:tab w:val="left" w:pos="312"/>
        </w:tabs>
      </w:pPr>
    </w:lvl>
  </w:abstractNum>
  <w:abstractNum w:abstractNumId="5">
    <w:nsid w:val="FEC78D1A"/>
    <w:multiLevelType w:val="singleLevel"/>
    <w:tmpl w:val="FEC78D1A"/>
    <w:lvl w:ilvl="0" w:tentative="0">
      <w:start w:val="1"/>
      <w:numFmt w:val="chineseCounting"/>
      <w:suff w:val="nothing"/>
      <w:lvlText w:val="（%1）"/>
      <w:lvlJc w:val="left"/>
      <w:pPr>
        <w:ind w:left="0" w:firstLine="420"/>
      </w:pPr>
      <w:rPr>
        <w:rFonts w:hint="eastAsia"/>
      </w:rPr>
    </w:lvl>
  </w:abstractNum>
  <w:abstractNum w:abstractNumId="6">
    <w:nsid w:val="37F94280"/>
    <w:multiLevelType w:val="singleLevel"/>
    <w:tmpl w:val="37F94280"/>
    <w:lvl w:ilvl="0" w:tentative="0">
      <w:start w:val="1"/>
      <w:numFmt w:val="chineseCounting"/>
      <w:suff w:val="nothing"/>
      <w:lvlText w:val="（%1）"/>
      <w:lvlJc w:val="left"/>
      <w:pPr>
        <w:ind w:left="0" w:firstLine="420"/>
      </w:pPr>
      <w:rPr>
        <w:rFonts w:hint="eastAsia"/>
      </w:rPr>
    </w:lvl>
  </w:abstractNum>
  <w:num w:numId="1">
    <w:abstractNumId w:val="5"/>
  </w:num>
  <w:num w:numId="2">
    <w:abstractNumId w:val="1"/>
  </w:num>
  <w:num w:numId="3">
    <w:abstractNumId w:val="3"/>
  </w:num>
  <w:num w:numId="4">
    <w:abstractNumId w:val="4"/>
  </w:num>
  <w:num w:numId="5">
    <w:abstractNumId w:val="6"/>
  </w:num>
  <w:num w:numId="6">
    <w:abstractNumId w:val="2"/>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iaoduosi">
    <w15:presenceInfo w15:providerId="None" w15:userId="qiaoduosi"/>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
  <w:drawingGridVerticalSpacing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wYmQ3N2FhZmE1Yjg0OGFkNTU5NTg3M2QzNjJlMDgifQ=="/>
  </w:docVars>
  <w:rsids>
    <w:rsidRoot w:val="00000000"/>
    <w:rsid w:val="1D0A7561"/>
    <w:rsid w:val="6A0D2EBB"/>
    <w:rsid w:val="DB5E8F6C"/>
  </w:rsids>
  <m:mathPr>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6">
    <w:name w:val="Default Paragraph Font"/>
    <w:autoRedefine/>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2">
    <w:name w:val="index 6"/>
    <w:basedOn w:val="1"/>
    <w:next w:val="1"/>
    <w:qFormat/>
    <w:uiPriority w:val="99"/>
    <w:pPr>
      <w:ind w:left="2100"/>
    </w:pPr>
  </w:style>
  <w:style w:type="paragraph" w:styleId="3">
    <w:name w:val="caption"/>
    <w:basedOn w:val="1"/>
    <w:autoRedefine/>
    <w:qFormat/>
    <w:uiPriority w:val="0"/>
    <w:pPr>
      <w:widowControl w:val="0"/>
      <w:suppressLineNumbers/>
      <w:suppressAutoHyphens/>
      <w:spacing w:before="120" w:after="120"/>
    </w:pPr>
    <w:rPr>
      <w:i/>
      <w:iCs/>
      <w:sz w:val="24"/>
      <w:szCs w:val="24"/>
    </w:rPr>
  </w:style>
  <w:style w:type="paragraph" w:styleId="4">
    <w:name w:val="annotation text"/>
    <w:basedOn w:val="1"/>
    <w:qFormat/>
    <w:uiPriority w:val="0"/>
    <w:pPr>
      <w:jc w:val="left"/>
    </w:pPr>
  </w:style>
  <w:style w:type="paragraph" w:styleId="5">
    <w:name w:val="Body Text"/>
    <w:basedOn w:val="1"/>
    <w:autoRedefine/>
    <w:qFormat/>
    <w:uiPriority w:val="0"/>
    <w:pPr>
      <w:spacing w:before="0" w:after="140" w:line="276" w:lineRule="auto"/>
    </w:pPr>
  </w:style>
  <w:style w:type="paragraph" w:styleId="6">
    <w:name w:val="Body Text Indent"/>
    <w:basedOn w:val="1"/>
    <w:unhideWhenUsed/>
    <w:qFormat/>
    <w:uiPriority w:val="99"/>
    <w:pPr>
      <w:spacing w:after="120"/>
      <w:ind w:left="420" w:leftChars="200"/>
    </w:p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List"/>
    <w:basedOn w:val="5"/>
    <w:autoRedefine/>
    <w:qFormat/>
    <w:uiPriority w:val="0"/>
  </w:style>
  <w:style w:type="paragraph" w:styleId="11">
    <w:name w:val="toc 2"/>
    <w:basedOn w:val="1"/>
    <w:next w:val="1"/>
    <w:qFormat/>
    <w:uiPriority w:val="0"/>
    <w:pPr>
      <w:ind w:left="420" w:leftChars="200"/>
    </w:pPr>
  </w:style>
  <w:style w:type="paragraph" w:styleId="12">
    <w:name w:val="Normal (Web)"/>
    <w:basedOn w:val="1"/>
    <w:autoRedefine/>
    <w:qFormat/>
    <w:uiPriority w:val="0"/>
    <w:rPr>
      <w:sz w:val="24"/>
    </w:rPr>
  </w:style>
  <w:style w:type="paragraph" w:styleId="13">
    <w:name w:val="Body Text First Indent 2"/>
    <w:basedOn w:val="6"/>
    <w:next w:val="1"/>
    <w:qFormat/>
    <w:uiPriority w:val="0"/>
    <w:pPr>
      <w:ind w:firstLine="420" w:firstLineChars="200"/>
    </w:pPr>
  </w:style>
  <w:style w:type="table" w:styleId="1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
    <w:name w:val="章标题"/>
    <w:basedOn w:val="1"/>
    <w:next w:val="18"/>
    <w:autoRedefine/>
    <w:qFormat/>
    <w:uiPriority w:val="0"/>
    <w:pPr>
      <w:widowControl/>
      <w:spacing w:before="158" w:after="153" w:line="323" w:lineRule="atLeast"/>
      <w:ind w:right="-120"/>
      <w:jc w:val="center"/>
      <w:textAlignment w:val="baseline"/>
    </w:pPr>
    <w:rPr>
      <w:color w:val="FF0000"/>
      <w:sz w:val="18"/>
    </w:rPr>
  </w:style>
  <w:style w:type="paragraph" w:customStyle="1" w:styleId="18">
    <w:name w:val="节标题"/>
    <w:basedOn w:val="1"/>
    <w:next w:val="1"/>
    <w:autoRedefine/>
    <w:qFormat/>
    <w:uiPriority w:val="0"/>
    <w:pPr>
      <w:widowControl/>
      <w:spacing w:line="289" w:lineRule="atLeast"/>
      <w:jc w:val="center"/>
      <w:textAlignment w:val="baseline"/>
    </w:pPr>
    <w:rPr>
      <w:color w:val="000000"/>
      <w:sz w:val="28"/>
    </w:rPr>
  </w:style>
  <w:style w:type="character" w:customStyle="1" w:styleId="19">
    <w:name w:val="默认段落字体1"/>
    <w:autoRedefine/>
    <w:qFormat/>
    <w:uiPriority w:val="0"/>
  </w:style>
  <w:style w:type="paragraph" w:customStyle="1" w:styleId="20">
    <w:name w:val="Heading"/>
    <w:basedOn w:val="1"/>
    <w:next w:val="5"/>
    <w:autoRedefine/>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21">
    <w:name w:val="Index"/>
    <w:basedOn w:val="1"/>
    <w:autoRedefine/>
    <w:qFormat/>
    <w:uiPriority w:val="0"/>
    <w:pPr>
      <w:widowControl w:val="0"/>
      <w:suppressLineNumbers/>
      <w:suppressAutoHyphens/>
    </w:pPr>
  </w:style>
  <w:style w:type="paragraph" w:customStyle="1" w:styleId="22">
    <w:name w:val="正文 A"/>
    <w:autoRedefine/>
    <w:qFormat/>
    <w:uiPriority w:val="0"/>
    <w:pPr>
      <w:framePr w:wrap="around" w:vAnchor="margin" w:hAnchor="text" w:y="1"/>
      <w:widowControl w:val="0"/>
      <w:jc w:val="both"/>
    </w:pPr>
    <w:rPr>
      <w:rFonts w:ascii="Arial Unicode MS" w:hAnsi="Arial Unicode MS" w:eastAsia="Times New Roman" w:cs="Arial Unicode MS"/>
      <w:color w:val="000000"/>
      <w:kern w:val="2"/>
      <w:sz w:val="21"/>
      <w:szCs w:val="21"/>
      <w:u w:val="none"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6860</Words>
  <Characters>7321</Characters>
  <TotalTime>1</TotalTime>
  <ScaleCrop>false</ScaleCrop>
  <LinksUpToDate>false</LinksUpToDate>
  <CharactersWithSpaces>7399</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2018-11-29T17:47:00Z</dcterms:created>
  <dc:creator>admin</dc:creator>
  <cp:lastModifiedBy>Administrator</cp:lastModifiedBy>
  <dcterms:modified xsi:type="dcterms:W3CDTF">2025-02-13T02:16:11Z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556CED08FED2413FA1D0650D488B2179_13</vt:lpwstr>
  </property>
  <property fmtid="{D5CDD505-2E9C-101B-9397-08002B2CF9AE}" pid="4" name="KSOTemplateDocerSaveRecord">
    <vt:lpwstr>eyJoZGlkIjoiN2VmZGE5OGZhYTRlNmU2YThjNjlhZTMwN2JkMzRjOGIifQ==</vt:lpwstr>
  </property>
</Properties>
</file>