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1AD61">
      <w:pPr>
        <w:spacing w:line="600" w:lineRule="exact"/>
        <w:jc w:val="center"/>
        <w:outlineLvl w:val="9"/>
        <w:rPr>
          <w:rFonts w:ascii="方正小标宋简体" w:hAnsi="宋体" w:eastAsia="方正小标宋简体"/>
          <w:color w:val="auto"/>
          <w:sz w:val="72"/>
          <w:szCs w:val="72"/>
          <w:highlight w:val="none"/>
        </w:rPr>
      </w:pPr>
      <w:bookmarkStart w:id="0" w:name="_Toc15378441"/>
      <w:bookmarkStart w:id="1" w:name="_Toc15396475"/>
      <w:bookmarkStart w:id="2" w:name="_Toc15377425"/>
      <w:bookmarkStart w:id="3" w:name="_Toc15377193"/>
      <w:bookmarkStart w:id="4" w:name="_Toc15396597"/>
      <w:bookmarkStart w:id="5" w:name="_Toc15306267"/>
    </w:p>
    <w:p w14:paraId="2B0C92F5">
      <w:pPr>
        <w:spacing w:line="600" w:lineRule="exact"/>
        <w:jc w:val="center"/>
        <w:outlineLvl w:val="9"/>
        <w:rPr>
          <w:rFonts w:ascii="方正小标宋简体" w:hAnsi="宋体" w:eastAsia="方正小标宋简体"/>
          <w:color w:val="auto"/>
          <w:sz w:val="72"/>
          <w:szCs w:val="72"/>
          <w:highlight w:val="none"/>
        </w:rPr>
      </w:pPr>
    </w:p>
    <w:p w14:paraId="4B081E16">
      <w:pPr>
        <w:spacing w:line="600" w:lineRule="exact"/>
        <w:jc w:val="center"/>
        <w:outlineLvl w:val="9"/>
        <w:rPr>
          <w:rFonts w:ascii="方正小标宋简体" w:hAnsi="宋体" w:eastAsia="方正小标宋简体"/>
          <w:color w:val="auto"/>
          <w:sz w:val="72"/>
          <w:szCs w:val="72"/>
          <w:highlight w:val="none"/>
        </w:rPr>
      </w:pPr>
    </w:p>
    <w:p w14:paraId="3D4D20D1">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5388"/>
      <w:bookmarkStart w:id="7" w:name="_Toc9590"/>
      <w:bookmarkStart w:id="8" w:name="_Toc25818"/>
      <w:bookmarkStart w:id="9" w:name="_Toc479"/>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w:t>
      </w:r>
      <w:bookmarkStart w:id="295" w:name="_GoBack"/>
      <w:bookmarkEnd w:id="295"/>
      <w:r>
        <w:rPr>
          <w:rFonts w:hint="eastAsia" w:ascii="方正小标宋简体" w:hAnsi="方正小标宋简体" w:eastAsia="方正小标宋简体" w:cs="方正小标宋简体"/>
          <w:color w:val="auto"/>
          <w:sz w:val="72"/>
          <w:szCs w:val="72"/>
          <w:highlight w:val="none"/>
        </w:rPr>
        <w:t>度</w:t>
      </w:r>
      <w:bookmarkEnd w:id="0"/>
      <w:bookmarkEnd w:id="1"/>
      <w:bookmarkEnd w:id="2"/>
      <w:bookmarkEnd w:id="3"/>
      <w:bookmarkEnd w:id="4"/>
      <w:bookmarkEnd w:id="6"/>
      <w:bookmarkEnd w:id="7"/>
      <w:bookmarkEnd w:id="8"/>
      <w:bookmarkEnd w:id="9"/>
    </w:p>
    <w:bookmarkEnd w:id="5"/>
    <w:p w14:paraId="5888DAF4">
      <w:pPr>
        <w:adjustRightInd w:val="0"/>
        <w:snapToGrid w:val="0"/>
        <w:spacing w:line="360" w:lineRule="auto"/>
        <w:jc w:val="center"/>
        <w:outlineLvl w:val="0"/>
        <w:rPr>
          <w:rFonts w:ascii="方正小标宋简体" w:hAnsi="宋体" w:eastAsia="方正小标宋简体"/>
          <w:color w:val="auto"/>
          <w:sz w:val="52"/>
          <w:szCs w:val="52"/>
          <w:highlight w:val="none"/>
        </w:rPr>
      </w:pPr>
      <w:bookmarkStart w:id="10" w:name="_Toc15378442"/>
      <w:bookmarkStart w:id="11" w:name="_Toc24259"/>
      <w:bookmarkStart w:id="12" w:name="_Toc15396476"/>
      <w:bookmarkStart w:id="13" w:name="_Toc15396598"/>
      <w:bookmarkStart w:id="14" w:name="_Toc6604"/>
      <w:bookmarkStart w:id="15" w:name="_Toc15377426"/>
      <w:bookmarkStart w:id="16" w:name="_Toc15377194"/>
      <w:bookmarkStart w:id="17" w:name="_Toc9622"/>
      <w:bookmarkStart w:id="18" w:name="_Toc31924"/>
      <w:bookmarkStart w:id="19" w:name="_Toc16258"/>
      <w:r>
        <w:rPr>
          <w:rFonts w:hint="eastAsia" w:ascii="方正小标宋简体" w:hAnsi="方正小标宋简体" w:eastAsia="方正小标宋简体" w:cs="方正小标宋简体"/>
          <w:color w:val="auto"/>
          <w:sz w:val="72"/>
          <w:szCs w:val="72"/>
          <w:highlight w:val="none"/>
        </w:rPr>
        <w:t>四川省</w:t>
      </w:r>
      <w:bookmarkStart w:id="20" w:name="_Toc15306268"/>
      <w:r>
        <w:rPr>
          <w:rFonts w:hint="eastAsia" w:ascii="方正小标宋简体" w:hAnsi="方正小标宋简体" w:eastAsia="方正小标宋简体" w:cs="方正小标宋简体"/>
          <w:color w:val="auto"/>
          <w:sz w:val="72"/>
          <w:szCs w:val="72"/>
          <w:highlight w:val="none"/>
          <w:lang w:eastAsia="zh-CN"/>
        </w:rPr>
        <w:t>广元市昭化区磨滩镇人民政府单位</w:t>
      </w:r>
      <w:r>
        <w:rPr>
          <w:rFonts w:hint="eastAsia" w:ascii="方正小标宋简体" w:hAnsi="方正小标宋简体" w:eastAsia="方正小标宋简体" w:cs="方正小标宋简体"/>
          <w:color w:val="auto"/>
          <w:sz w:val="72"/>
          <w:szCs w:val="72"/>
          <w:highlight w:val="none"/>
        </w:rPr>
        <w:t>决算</w:t>
      </w:r>
      <w:bookmarkEnd w:id="10"/>
      <w:bookmarkEnd w:id="11"/>
      <w:bookmarkEnd w:id="12"/>
      <w:bookmarkEnd w:id="13"/>
      <w:bookmarkEnd w:id="14"/>
      <w:bookmarkEnd w:id="15"/>
      <w:bookmarkEnd w:id="16"/>
      <w:bookmarkEnd w:id="17"/>
      <w:bookmarkEnd w:id="18"/>
      <w:bookmarkEnd w:id="19"/>
      <w:bookmarkEnd w:id="20"/>
    </w:p>
    <w:p w14:paraId="261B4D58">
      <w:pPr>
        <w:keepNext w:val="0"/>
        <w:keepLines w:val="0"/>
        <w:pageBreakBefore w:val="0"/>
        <w:widowControl/>
        <w:kinsoku/>
        <w:wordWrap/>
        <w:overflowPunct/>
        <w:topLinePunct w:val="0"/>
        <w:autoSpaceDE/>
        <w:autoSpaceDN/>
        <w:bidi w:val="0"/>
        <w:spacing w:line="576" w:lineRule="exact"/>
        <w:jc w:val="center"/>
        <w:textAlignment w:val="auto"/>
        <w:rPr>
          <w:rFonts w:ascii="黑体" w:hAnsi="黑体" w:eastAsia="黑体" w:cstheme="minorBidi"/>
          <w:color w:val="auto"/>
          <w:sz w:val="44"/>
          <w:szCs w:val="44"/>
          <w:highlight w:val="none"/>
        </w:rPr>
      </w:pPr>
      <w:r>
        <w:rPr>
          <w:rFonts w:ascii="方正小标宋简体" w:hAnsi="宋体" w:eastAsia="方正小标宋简体"/>
          <w:color w:val="auto"/>
          <w:sz w:val="36"/>
          <w:szCs w:val="36"/>
          <w:highlight w:val="none"/>
        </w:rPr>
        <w:br w:type="page"/>
      </w:r>
      <w:r>
        <w:rPr>
          <w:rFonts w:hint="eastAsia" w:ascii="黑体" w:hAnsi="黑体" w:eastAsia="黑体"/>
          <w:color w:val="auto"/>
          <w:sz w:val="44"/>
          <w:szCs w:val="44"/>
          <w:highlight w:val="none"/>
        </w:rPr>
        <w:t>目录</w:t>
      </w:r>
    </w:p>
    <w:p w14:paraId="45AD662E">
      <w:pPr>
        <w:pStyle w:val="13"/>
        <w:keepNext w:val="0"/>
        <w:keepLines w:val="0"/>
        <w:pageBreakBefore w:val="0"/>
        <w:kinsoku/>
        <w:wordWrap/>
        <w:overflowPunct/>
        <w:topLinePunct w:val="0"/>
        <w:autoSpaceDE/>
        <w:autoSpaceDN/>
        <w:bidi w:val="0"/>
        <w:spacing w:line="576" w:lineRule="exact"/>
        <w:textAlignment w:val="auto"/>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p>
    <w:sdt>
      <w:sdtPr>
        <w:rPr>
          <w:rFonts w:ascii="宋体" w:hAnsi="宋体" w:eastAsia="宋体" w:cs="Times New Roman"/>
          <w:kern w:val="2"/>
          <w:sz w:val="21"/>
          <w:szCs w:val="24"/>
          <w:lang w:val="en-US" w:eastAsia="zh-CN" w:bidi="ar-SA"/>
        </w:rPr>
        <w:id w:val="147470869"/>
        <w15:color w:val="DBDBDB"/>
        <w:docPartObj>
          <w:docPartGallery w:val="Table of Contents"/>
          <w:docPartUnique/>
        </w:docPartObj>
      </w:sdtPr>
      <w:sdtEndPr>
        <w:rPr>
          <w:rFonts w:hint="eastAsia" w:ascii="仿宋_GB2312" w:hAnsi="仿宋_GB2312" w:eastAsia="仿宋_GB2312" w:cs="仿宋_GB2312"/>
          <w:color w:val="auto"/>
          <w:kern w:val="2"/>
          <w:sz w:val="24"/>
          <w:szCs w:val="24"/>
          <w:highlight w:val="none"/>
          <w:lang w:val="en-US" w:eastAsia="zh-CN" w:bidi="ar-SA"/>
        </w:rPr>
      </w:sdtEndPr>
      <w:sdtContent>
        <w:p w14:paraId="45B22CB2">
          <w:pPr>
            <w:keepNext w:val="0"/>
            <w:keepLines w:val="0"/>
            <w:pageBreakBefore w:val="0"/>
            <w:kinsoku/>
            <w:wordWrap/>
            <w:overflowPunct/>
            <w:topLinePunct w:val="0"/>
            <w:autoSpaceDE/>
            <w:autoSpaceDN/>
            <w:bidi w:val="0"/>
            <w:spacing w:before="0" w:beforeLines="0" w:after="0" w:afterLines="0" w:line="576" w:lineRule="exact"/>
            <w:ind w:left="0" w:leftChars="0" w:right="0" w:rightChars="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color w:val="auto"/>
              <w:kern w:val="2"/>
              <w:sz w:val="24"/>
              <w:szCs w:val="24"/>
              <w:highlight w:val="none"/>
              <w:lang w:val="en-US" w:eastAsia="zh-CN" w:bidi="ar-SA"/>
            </w:rPr>
            <w:fldChar w:fldCharType="begin"/>
          </w:r>
          <w:r>
            <w:rPr>
              <w:rFonts w:hint="eastAsia" w:ascii="仿宋_GB2312" w:hAnsi="仿宋_GB2312" w:eastAsia="仿宋_GB2312" w:cs="仿宋_GB2312"/>
              <w:b/>
              <w:color w:val="auto"/>
              <w:kern w:val="2"/>
              <w:sz w:val="24"/>
              <w:szCs w:val="24"/>
              <w:highlight w:val="none"/>
              <w:lang w:val="en-US" w:eastAsia="zh-CN" w:bidi="ar-SA"/>
            </w:rPr>
            <w:instrText xml:space="preserve">TOC \o "1-3" \h \u </w:instrText>
          </w:r>
          <w:r>
            <w:rPr>
              <w:rFonts w:hint="eastAsia" w:ascii="仿宋_GB2312" w:hAnsi="仿宋_GB2312" w:eastAsia="仿宋_GB2312" w:cs="仿宋_GB2312"/>
              <w:b/>
              <w:color w:val="auto"/>
              <w:kern w:val="2"/>
              <w:sz w:val="24"/>
              <w:szCs w:val="24"/>
              <w:highlight w:val="none"/>
              <w:lang w:val="en-US" w:eastAsia="zh-CN" w:bidi="ar-SA"/>
            </w:rPr>
            <w:fldChar w:fldCharType="separate"/>
          </w:r>
        </w:p>
        <w:p w14:paraId="7E24B88A">
          <w:pPr>
            <w:pStyle w:val="40"/>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_Toc6649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32"/>
              <w:szCs w:val="32"/>
              <w:highlight w:val="none"/>
            </w:rPr>
            <w:t xml:space="preserve">第一部分 </w:t>
          </w:r>
          <w:r>
            <w:rPr>
              <w:rFonts w:hint="eastAsia" w:ascii="仿宋_GB2312" w:hAnsi="仿宋_GB2312" w:eastAsia="仿宋_GB2312" w:cs="仿宋_GB2312"/>
              <w:bCs w:val="0"/>
              <w:sz w:val="32"/>
              <w:szCs w:val="32"/>
              <w:highlight w:val="none"/>
            </w:rPr>
            <w:t>部门概况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_Toc6649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350A60DB">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_Toc8736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lang w:eastAsia="zh-CN"/>
            </w:rPr>
            <w:t>一、</w:t>
          </w:r>
          <w:r>
            <w:rPr>
              <w:rFonts w:hint="eastAsia" w:ascii="仿宋_GB2312" w:hAnsi="仿宋_GB2312" w:eastAsia="仿宋_GB2312" w:cs="仿宋_GB2312"/>
              <w:sz w:val="24"/>
              <w:szCs w:val="24"/>
              <w:highlight w:val="none"/>
              <w:lang w:eastAsia="zh-CN"/>
            </w:rPr>
            <w:t>部门职责</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_Toc8736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023D06E5">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_Toc2313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二、机</w:t>
          </w:r>
          <w:r>
            <w:rPr>
              <w:rFonts w:hint="eastAsia" w:ascii="仿宋_GB2312" w:hAnsi="仿宋_GB2312" w:eastAsia="仿宋_GB2312" w:cs="仿宋_GB2312"/>
              <w:bCs w:val="0"/>
              <w:sz w:val="24"/>
              <w:szCs w:val="24"/>
              <w:highlight w:val="none"/>
            </w:rPr>
            <w:t>构设置</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_Toc2313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3DDFEE76">
          <w:pPr>
            <w:pStyle w:val="40"/>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_Toc10178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sz w:val="32"/>
              <w:szCs w:val="32"/>
              <w:highlight w:val="none"/>
            </w:rPr>
            <w:t xml:space="preserve">第二部分 </w:t>
          </w:r>
          <w:r>
            <w:rPr>
              <w:rFonts w:hint="eastAsia" w:ascii="仿宋_GB2312" w:hAnsi="仿宋_GB2312" w:eastAsia="仿宋_GB2312" w:cs="仿宋_GB2312"/>
              <w:bCs/>
              <w:sz w:val="32"/>
              <w:szCs w:val="32"/>
              <w:highlight w:val="none"/>
              <w:lang w:val="en-US" w:eastAsia="zh-CN"/>
            </w:rPr>
            <w:t>2022年度</w:t>
          </w:r>
          <w:r>
            <w:rPr>
              <w:rFonts w:hint="eastAsia" w:ascii="仿宋_GB2312" w:hAnsi="仿宋_GB2312" w:eastAsia="仿宋_GB2312" w:cs="仿宋_GB2312"/>
              <w:bCs/>
              <w:sz w:val="32"/>
              <w:szCs w:val="32"/>
              <w:highlight w:val="none"/>
            </w:rPr>
            <w:t>部门决算情况说明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_Toc10178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06DB3C6C">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_Toc30891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rPr>
            <w:t>一、</w:t>
          </w:r>
          <w:r>
            <w:rPr>
              <w:rFonts w:hint="eastAsia" w:ascii="仿宋_GB2312" w:hAnsi="仿宋_GB2312" w:eastAsia="仿宋_GB2312" w:cs="仿宋_GB2312"/>
              <w:sz w:val="24"/>
              <w:szCs w:val="24"/>
              <w:highlight w:val="none"/>
            </w:rPr>
            <w:t>收入支出决算总体情况说明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_Toc30891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4DD95148">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_Toc742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rPr>
            <w:t>二、</w:t>
          </w:r>
          <w:r>
            <w:rPr>
              <w:rFonts w:hint="eastAsia" w:ascii="仿宋_GB2312" w:hAnsi="仿宋_GB2312" w:eastAsia="仿宋_GB2312" w:cs="仿宋_GB2312"/>
              <w:sz w:val="24"/>
              <w:szCs w:val="24"/>
              <w:highlight w:val="none"/>
            </w:rPr>
            <w:t>收入决算情况说明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_Toc742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4206FAD7">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_Toc14129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rPr>
            <w:t>三、</w:t>
          </w:r>
          <w:r>
            <w:rPr>
              <w:rFonts w:hint="eastAsia" w:ascii="仿宋_GB2312" w:hAnsi="仿宋_GB2312" w:eastAsia="仿宋_GB2312" w:cs="仿宋_GB2312"/>
              <w:sz w:val="24"/>
              <w:szCs w:val="24"/>
              <w:highlight w:val="none"/>
            </w:rPr>
            <w:t>支出决算情况说明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_Toc14129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D965B2D">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_Toc5799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四、财政拨款收入支出决算总体情况说明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_Toc5799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1EAAD60E">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_Toc28050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五、一般公共预算财政拨款支出决算情况说明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_Toc28050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203CD7B7">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_Toc26586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六、一般公共预算财政拨款基本支出决算情况说明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_Toc26586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5D743DB9">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_Toc9558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七、财政拨款“三公”经费支出决算情况说明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_Toc9558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4C882361">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_Toc3651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八、政府性基金预算支出决算情况说明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_Toc3651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07CB20FF">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_Toc23012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rPr>
            <w:t>九、</w:t>
          </w:r>
          <w:r>
            <w:rPr>
              <w:rFonts w:hint="eastAsia" w:ascii="仿宋_GB2312" w:hAnsi="仿宋_GB2312" w:eastAsia="仿宋_GB2312" w:cs="仿宋_GB2312"/>
              <w:sz w:val="24"/>
              <w:szCs w:val="24"/>
              <w:highlight w:val="none"/>
            </w:rPr>
            <w:t>国有资本经营预算支出决算情况说明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_Toc23012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2C917559">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_Toc9732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rPr>
            <w:t>十、</w:t>
          </w:r>
          <w:r>
            <w:rPr>
              <w:rFonts w:hint="eastAsia" w:ascii="仿宋_GB2312" w:hAnsi="仿宋_GB2312" w:eastAsia="仿宋_GB2312" w:cs="仿宋_GB2312"/>
              <w:sz w:val="24"/>
              <w:szCs w:val="24"/>
              <w:highlight w:val="none"/>
            </w:rPr>
            <w:t>其他重要事项的情况说明</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_Toc9732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16295AFE">
          <w:pPr>
            <w:pStyle w:val="43"/>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_Toc21519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（一）机关运行经费支出情况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_Toc21519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2D9F5B07">
          <w:pPr>
            <w:pStyle w:val="43"/>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_Toc29784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（二）政府采购支出情况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_Toc29784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22D7CD86">
          <w:pPr>
            <w:pStyle w:val="43"/>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_Toc12081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（三）国有资产占有使用情况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_Toc12081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0B00F4A">
          <w:pPr>
            <w:pStyle w:val="43"/>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_Toc6847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（四）预算绩效管理情况</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_Toc6847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4A38D43">
          <w:pPr>
            <w:pStyle w:val="40"/>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_Toc30262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32"/>
              <w:szCs w:val="32"/>
            </w:rPr>
            <w:t xml:space="preserve">第三部分 </w:t>
          </w:r>
          <w:r>
            <w:rPr>
              <w:rFonts w:hint="eastAsia" w:ascii="仿宋_GB2312" w:hAnsi="仿宋_GB2312" w:eastAsia="仿宋_GB2312" w:cs="仿宋_GB2312"/>
              <w:sz w:val="32"/>
              <w:szCs w:val="32"/>
              <w:highlight w:val="none"/>
            </w:rPr>
            <w:t>名词解释</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_Toc30262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34D9A553">
          <w:pPr>
            <w:pStyle w:val="40"/>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kern w:val="2"/>
              <w:sz w:val="32"/>
              <w:szCs w:val="32"/>
              <w:highlight w:val="none"/>
              <w:lang w:val="en-US" w:eastAsia="zh-CN" w:bidi="ar-SA"/>
            </w:rPr>
            <w:instrText xml:space="preserve"> HYPERLINK \l _Toc30406 </w:instrText>
          </w:r>
          <w:r>
            <w:rPr>
              <w:rFonts w:hint="eastAsia" w:ascii="仿宋_GB2312" w:hAnsi="仿宋_GB2312" w:eastAsia="仿宋_GB2312" w:cs="仿宋_GB2312"/>
              <w:kern w:val="2"/>
              <w:sz w:val="32"/>
              <w:szCs w:val="32"/>
              <w:highlight w:val="none"/>
              <w:lang w:val="en-US" w:eastAsia="zh-CN" w:bidi="ar-SA"/>
            </w:rPr>
            <w:fldChar w:fldCharType="separate"/>
          </w:r>
          <w:r>
            <w:rPr>
              <w:rFonts w:hint="eastAsia" w:ascii="仿宋_GB2312" w:hAnsi="仿宋_GB2312" w:eastAsia="仿宋_GB2312" w:cs="仿宋_GB2312"/>
              <w:sz w:val="32"/>
              <w:szCs w:val="32"/>
              <w:highlight w:val="none"/>
            </w:rPr>
            <w:t>第四部分 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_Toc30406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kern w:val="2"/>
              <w:sz w:val="32"/>
              <w:szCs w:val="32"/>
              <w:highlight w:val="none"/>
              <w:lang w:val="en-US" w:eastAsia="zh-CN" w:bidi="ar-SA"/>
            </w:rPr>
            <w:fldChar w:fldCharType="end"/>
          </w:r>
        </w:p>
        <w:p w14:paraId="65E2431C">
          <w:pPr>
            <w:pStyle w:val="40"/>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kern w:val="2"/>
              <w:sz w:val="32"/>
              <w:szCs w:val="32"/>
              <w:highlight w:val="none"/>
              <w:lang w:val="en-US" w:eastAsia="zh-CN" w:bidi="ar-SA"/>
            </w:rPr>
            <w:instrText xml:space="preserve"> HYPERLINK \l _Toc11255 </w:instrText>
          </w:r>
          <w:r>
            <w:rPr>
              <w:rFonts w:hint="eastAsia" w:ascii="仿宋_GB2312" w:hAnsi="仿宋_GB2312" w:eastAsia="仿宋_GB2312" w:cs="仿宋_GB2312"/>
              <w:kern w:val="2"/>
              <w:sz w:val="32"/>
              <w:szCs w:val="32"/>
              <w:highlight w:val="none"/>
              <w:lang w:val="en-US" w:eastAsia="zh-CN" w:bidi="ar-SA"/>
            </w:rPr>
            <w:fldChar w:fldCharType="separate"/>
          </w:r>
          <w:r>
            <w:rPr>
              <w:rFonts w:hint="eastAsia" w:ascii="仿宋_GB2312" w:hAnsi="仿宋_GB2312" w:eastAsia="仿宋_GB2312" w:cs="仿宋_GB2312"/>
              <w:sz w:val="32"/>
              <w:szCs w:val="32"/>
              <w:highlight w:val="none"/>
            </w:rPr>
            <w:t>第五部分 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kern w:val="2"/>
              <w:sz w:val="32"/>
              <w:szCs w:val="32"/>
              <w:highlight w:val="none"/>
              <w:lang w:val="en-US" w:eastAsia="zh-CN" w:bidi="ar-SA"/>
            </w:rPr>
            <w:fldChar w:fldCharType="end"/>
          </w:r>
        </w:p>
        <w:p w14:paraId="524839F5">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_Toc14850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一、收</w:t>
          </w:r>
          <w:r>
            <w:rPr>
              <w:rFonts w:hint="eastAsia" w:ascii="仿宋_GB2312" w:hAnsi="仿宋_GB2312" w:eastAsia="仿宋_GB2312" w:cs="仿宋_GB2312"/>
              <w:bCs w:val="0"/>
              <w:sz w:val="24"/>
              <w:szCs w:val="24"/>
              <w:highlight w:val="none"/>
            </w:rPr>
            <w:t>入支出决算总表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_Toc14850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486B9D3E">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_Toc4199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sz w:val="24"/>
              <w:szCs w:val="24"/>
              <w:highlight w:val="none"/>
            </w:rPr>
            <w:t>二、收</w:t>
          </w:r>
          <w:r>
            <w:rPr>
              <w:rFonts w:hint="eastAsia" w:ascii="仿宋_GB2312" w:hAnsi="仿宋_GB2312" w:eastAsia="仿宋_GB2312" w:cs="仿宋_GB2312"/>
              <w:bCs w:val="0"/>
              <w:sz w:val="24"/>
              <w:szCs w:val="24"/>
              <w:highlight w:val="none"/>
            </w:rPr>
            <w:t>入决算表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_Toc4199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2C59A86E">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_Toc4441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三、</w:t>
          </w:r>
          <w:r>
            <w:rPr>
              <w:rFonts w:hint="eastAsia" w:ascii="仿宋_GB2312" w:hAnsi="仿宋_GB2312" w:eastAsia="仿宋_GB2312" w:cs="仿宋_GB2312"/>
              <w:sz w:val="24"/>
              <w:szCs w:val="24"/>
              <w:highlight w:val="none"/>
            </w:rPr>
            <w:t>支</w:t>
          </w:r>
          <w:r>
            <w:rPr>
              <w:rFonts w:hint="eastAsia" w:ascii="仿宋_GB2312" w:hAnsi="仿宋_GB2312" w:eastAsia="仿宋_GB2312" w:cs="仿宋_GB2312"/>
              <w:bCs w:val="0"/>
              <w:sz w:val="24"/>
              <w:szCs w:val="24"/>
              <w:highlight w:val="none"/>
            </w:rPr>
            <w:t>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_Toc4441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6101C000">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_Toc12565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四、</w:t>
          </w:r>
          <w:r>
            <w:rPr>
              <w:rFonts w:hint="eastAsia" w:ascii="仿宋_GB2312" w:hAnsi="仿宋_GB2312" w:eastAsia="仿宋_GB2312" w:cs="仿宋_GB2312"/>
              <w:sz w:val="24"/>
              <w:szCs w:val="24"/>
              <w:highlight w:val="none"/>
            </w:rPr>
            <w:t>财</w:t>
          </w:r>
          <w:r>
            <w:rPr>
              <w:rFonts w:hint="eastAsia" w:ascii="仿宋_GB2312" w:hAnsi="仿宋_GB2312" w:eastAsia="仿宋_GB2312" w:cs="仿宋_GB2312"/>
              <w:bCs w:val="0"/>
              <w:sz w:val="24"/>
              <w:szCs w:val="24"/>
              <w:highlight w:val="none"/>
            </w:rPr>
            <w:t>政拨款收入支出决算总表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_Toc12565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6498BBD4">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_Toc7513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五、</w:t>
          </w:r>
          <w:r>
            <w:rPr>
              <w:rFonts w:hint="eastAsia" w:ascii="仿宋_GB2312" w:hAnsi="仿宋_GB2312" w:eastAsia="仿宋_GB2312" w:cs="仿宋_GB2312"/>
              <w:sz w:val="24"/>
              <w:szCs w:val="24"/>
              <w:highlight w:val="none"/>
            </w:rPr>
            <w:t>财</w:t>
          </w:r>
          <w:r>
            <w:rPr>
              <w:rFonts w:hint="eastAsia" w:ascii="仿宋_GB2312" w:hAnsi="仿宋_GB2312" w:eastAsia="仿宋_GB2312" w:cs="仿宋_GB2312"/>
              <w:bCs w:val="0"/>
              <w:sz w:val="24"/>
              <w:szCs w:val="24"/>
              <w:highlight w:val="none"/>
            </w:rPr>
            <w:t>政拨款支出决算明细表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_Toc7513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57B7165B">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_Toc7318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六、</w:t>
          </w:r>
          <w:r>
            <w:rPr>
              <w:rFonts w:hint="eastAsia" w:ascii="仿宋_GB2312" w:hAnsi="仿宋_GB2312" w:eastAsia="仿宋_GB2312" w:cs="仿宋_GB2312"/>
              <w:sz w:val="24"/>
              <w:szCs w:val="24"/>
              <w:highlight w:val="none"/>
            </w:rPr>
            <w:t>一</w:t>
          </w:r>
          <w:r>
            <w:rPr>
              <w:rFonts w:hint="eastAsia" w:ascii="仿宋_GB2312" w:hAnsi="仿宋_GB2312" w:eastAsia="仿宋_GB2312" w:cs="仿宋_GB2312"/>
              <w:bCs w:val="0"/>
              <w:sz w:val="24"/>
              <w:szCs w:val="24"/>
              <w:highlight w:val="none"/>
            </w:rPr>
            <w:t>般公共预算财政拨款支出决算表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_Toc7318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4BC57D45">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_Toc8045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七、</w:t>
          </w:r>
          <w:r>
            <w:rPr>
              <w:rFonts w:hint="eastAsia" w:ascii="仿宋_GB2312" w:hAnsi="仿宋_GB2312" w:eastAsia="仿宋_GB2312" w:cs="仿宋_GB2312"/>
              <w:sz w:val="24"/>
              <w:szCs w:val="24"/>
              <w:highlight w:val="none"/>
            </w:rPr>
            <w:t>一</w:t>
          </w:r>
          <w:r>
            <w:rPr>
              <w:rFonts w:hint="eastAsia" w:ascii="仿宋_GB2312" w:hAnsi="仿宋_GB2312" w:eastAsia="仿宋_GB2312" w:cs="仿宋_GB2312"/>
              <w:bCs w:val="0"/>
              <w:sz w:val="24"/>
              <w:szCs w:val="24"/>
              <w:highlight w:val="none"/>
            </w:rPr>
            <w:t>般公共预算财政拨款支出决算明细表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_Toc8045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7CFC63B">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_Toc28463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八、</w:t>
          </w:r>
          <w:r>
            <w:rPr>
              <w:rFonts w:hint="eastAsia" w:ascii="仿宋_GB2312" w:hAnsi="仿宋_GB2312" w:eastAsia="仿宋_GB2312" w:cs="仿宋_GB2312"/>
              <w:sz w:val="24"/>
              <w:szCs w:val="24"/>
              <w:highlight w:val="none"/>
            </w:rPr>
            <w:t>一</w:t>
          </w:r>
          <w:r>
            <w:rPr>
              <w:rFonts w:hint="eastAsia" w:ascii="仿宋_GB2312" w:hAnsi="仿宋_GB2312" w:eastAsia="仿宋_GB2312" w:cs="仿宋_GB2312"/>
              <w:bCs w:val="0"/>
              <w:sz w:val="24"/>
              <w:szCs w:val="24"/>
              <w:highlight w:val="none"/>
            </w:rPr>
            <w:t>般公共预算财政拨款基本支出决算表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_Toc28463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A86128F">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_Toc10565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九、</w:t>
          </w:r>
          <w:r>
            <w:rPr>
              <w:rFonts w:hint="eastAsia" w:ascii="仿宋_GB2312" w:hAnsi="仿宋_GB2312" w:eastAsia="仿宋_GB2312" w:cs="仿宋_GB2312"/>
              <w:sz w:val="24"/>
              <w:szCs w:val="24"/>
              <w:highlight w:val="none"/>
            </w:rPr>
            <w:t>一</w:t>
          </w:r>
          <w:r>
            <w:rPr>
              <w:rFonts w:hint="eastAsia" w:ascii="仿宋_GB2312" w:hAnsi="仿宋_GB2312" w:eastAsia="仿宋_GB2312" w:cs="仿宋_GB2312"/>
              <w:bCs w:val="0"/>
              <w:sz w:val="24"/>
              <w:szCs w:val="24"/>
              <w:highlight w:val="none"/>
            </w:rPr>
            <w:t>般公共预算财政拨款项目支出决算表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_Toc10565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01C2FC24">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_Toc10337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十、</w:t>
          </w:r>
          <w:r>
            <w:rPr>
              <w:rFonts w:hint="eastAsia" w:ascii="仿宋_GB2312" w:hAnsi="仿宋_GB2312" w:eastAsia="仿宋_GB2312" w:cs="仿宋_GB2312"/>
              <w:sz w:val="24"/>
              <w:szCs w:val="24"/>
              <w:highlight w:val="none"/>
            </w:rPr>
            <w:t>政</w:t>
          </w:r>
          <w:r>
            <w:rPr>
              <w:rFonts w:hint="eastAsia" w:ascii="仿宋_GB2312" w:hAnsi="仿宋_GB2312" w:eastAsia="仿宋_GB2312" w:cs="仿宋_GB2312"/>
              <w:bCs w:val="0"/>
              <w:sz w:val="24"/>
              <w:szCs w:val="24"/>
              <w:highlight w:val="none"/>
            </w:rPr>
            <w:t>府性基金预算财政拨款收入支出决算表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_Toc10337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4C112903">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_Toc26276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十一、</w:t>
          </w:r>
          <w:r>
            <w:rPr>
              <w:rFonts w:hint="eastAsia" w:ascii="仿宋_GB2312" w:hAnsi="仿宋_GB2312" w:eastAsia="仿宋_GB2312" w:cs="仿宋_GB2312"/>
              <w:sz w:val="24"/>
              <w:szCs w:val="24"/>
              <w:highlight w:val="none"/>
            </w:rPr>
            <w:t>国</w:t>
          </w:r>
          <w:r>
            <w:rPr>
              <w:rFonts w:hint="eastAsia" w:ascii="仿宋_GB2312" w:hAnsi="仿宋_GB2312" w:eastAsia="仿宋_GB2312" w:cs="仿宋_GB2312"/>
              <w:bCs w:val="0"/>
              <w:sz w:val="24"/>
              <w:szCs w:val="24"/>
              <w:highlight w:val="none"/>
            </w:rPr>
            <w:t>有资本经营预算</w:t>
          </w:r>
          <w:r>
            <w:rPr>
              <w:rFonts w:hint="eastAsia" w:ascii="仿宋_GB2312" w:hAnsi="仿宋_GB2312" w:eastAsia="仿宋_GB2312" w:cs="仿宋_GB2312"/>
              <w:bCs w:val="0"/>
              <w:sz w:val="24"/>
              <w:szCs w:val="24"/>
              <w:highlight w:val="none"/>
              <w:lang w:eastAsia="zh-CN"/>
            </w:rPr>
            <w:t>财政拨款收入</w:t>
          </w:r>
          <w:r>
            <w:rPr>
              <w:rFonts w:hint="eastAsia" w:ascii="仿宋_GB2312" w:hAnsi="仿宋_GB2312" w:eastAsia="仿宋_GB2312" w:cs="仿宋_GB2312"/>
              <w:bCs w:val="0"/>
              <w:sz w:val="24"/>
              <w:szCs w:val="24"/>
              <w:highlight w:val="none"/>
            </w:rPr>
            <w:t>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_Toc26276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C5B1E0E">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_Toc28163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十二、</w:t>
          </w:r>
          <w:r>
            <w:rPr>
              <w:rFonts w:hint="eastAsia" w:ascii="仿宋_GB2312" w:hAnsi="仿宋_GB2312" w:eastAsia="仿宋_GB2312" w:cs="仿宋_GB2312"/>
              <w:bCs w:val="0"/>
              <w:sz w:val="24"/>
              <w:szCs w:val="24"/>
              <w:highlight w:val="none"/>
              <w:lang w:eastAsia="zh-CN"/>
            </w:rPr>
            <w:t>国有资本经营预算财政拨款支出决算表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_Toc28163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2372952A">
          <w:pPr>
            <w:pStyle w:val="41"/>
            <w:keepNext w:val="0"/>
            <w:keepLines w:val="0"/>
            <w:pageBreakBefore w:val="0"/>
            <w:tabs>
              <w:tab w:val="right" w:leader="dot" w:pos="8306"/>
            </w:tabs>
            <w:kinsoku/>
            <w:wordWrap/>
            <w:overflowPunct/>
            <w:topLinePunct w:val="0"/>
            <w:autoSpaceDE/>
            <w:autoSpaceDN/>
            <w:bidi w:val="0"/>
            <w:spacing w:line="576"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2"/>
              <w:sz w:val="24"/>
              <w:szCs w:val="24"/>
              <w:highlight w:val="none"/>
              <w:lang w:val="en-US" w:eastAsia="zh-CN" w:bidi="ar-SA"/>
            </w:rPr>
            <w:fldChar w:fldCharType="begin"/>
          </w:r>
          <w:r>
            <w:rPr>
              <w:rFonts w:hint="eastAsia" w:ascii="仿宋_GB2312" w:hAnsi="仿宋_GB2312" w:eastAsia="仿宋_GB2312" w:cs="仿宋_GB2312"/>
              <w:kern w:val="2"/>
              <w:sz w:val="24"/>
              <w:szCs w:val="24"/>
              <w:highlight w:val="none"/>
              <w:lang w:val="en-US" w:eastAsia="zh-CN" w:bidi="ar-SA"/>
            </w:rPr>
            <w:instrText xml:space="preserve"> HYPERLINK \l _Toc29345 </w:instrText>
          </w:r>
          <w:r>
            <w:rPr>
              <w:rFonts w:hint="eastAsia" w:ascii="仿宋_GB2312" w:hAnsi="仿宋_GB2312" w:eastAsia="仿宋_GB2312" w:cs="仿宋_GB2312"/>
              <w:kern w:val="2"/>
              <w:sz w:val="24"/>
              <w:szCs w:val="24"/>
              <w:highlight w:val="none"/>
              <w:lang w:val="en-US" w:eastAsia="zh-CN" w:bidi="ar-SA"/>
            </w:rPr>
            <w:fldChar w:fldCharType="separate"/>
          </w:r>
          <w:r>
            <w:rPr>
              <w:rFonts w:hint="eastAsia" w:ascii="仿宋_GB2312" w:hAnsi="仿宋_GB2312" w:eastAsia="仿宋_GB2312" w:cs="仿宋_GB2312"/>
              <w:bCs w:val="0"/>
              <w:sz w:val="24"/>
              <w:szCs w:val="24"/>
              <w:highlight w:val="none"/>
            </w:rPr>
            <w:t>十三、</w:t>
          </w:r>
          <w:r>
            <w:rPr>
              <w:rFonts w:hint="eastAsia" w:ascii="仿宋_GB2312" w:hAnsi="仿宋_GB2312" w:eastAsia="仿宋_GB2312" w:cs="仿宋_GB2312"/>
              <w:bCs w:val="0"/>
              <w:sz w:val="24"/>
              <w:szCs w:val="24"/>
              <w:highlight w:val="none"/>
              <w:lang w:eastAsia="zh-CN"/>
            </w:rPr>
            <w:t>财政拨款“三公”经费支出决算表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_Toc29345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color w:val="auto"/>
              <w:kern w:val="2"/>
              <w:sz w:val="24"/>
              <w:szCs w:val="24"/>
              <w:highlight w:val="none"/>
              <w:lang w:val="en-US" w:eastAsia="zh-CN" w:bidi="ar-SA"/>
            </w:rPr>
            <w:fldChar w:fldCharType="end"/>
          </w:r>
        </w:p>
        <w:p w14:paraId="7A610DD1">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420" w:firstLineChars="175"/>
            <w:jc w:val="left"/>
            <w:textAlignment w:val="auto"/>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fldChar w:fldCharType="end"/>
          </w:r>
        </w:p>
      </w:sdtContent>
    </w:sdt>
    <w:p w14:paraId="32613A1D">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369" w:firstLineChars="175"/>
        <w:jc w:val="left"/>
        <w:textAlignment w:val="auto"/>
        <w:rPr>
          <w:rFonts w:hint="eastAsia" w:asciiTheme="minorEastAsia" w:hAnsiTheme="minorEastAsia" w:eastAsiaTheme="minorEastAsia" w:cstheme="minorEastAsia"/>
          <w:b/>
          <w:color w:val="auto"/>
          <w:kern w:val="2"/>
          <w:sz w:val="21"/>
          <w:szCs w:val="24"/>
          <w:highlight w:val="none"/>
          <w:lang w:val="en-US" w:eastAsia="zh-CN" w:bidi="ar-SA"/>
        </w:rPr>
      </w:pPr>
    </w:p>
    <w:p w14:paraId="4FB447CF">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369" w:firstLineChars="175"/>
        <w:jc w:val="left"/>
        <w:textAlignment w:val="auto"/>
        <w:rPr>
          <w:rFonts w:hint="eastAsia" w:asciiTheme="minorEastAsia" w:hAnsiTheme="minorEastAsia" w:eastAsiaTheme="minorEastAsia" w:cstheme="minorEastAsia"/>
          <w:b/>
          <w:color w:val="auto"/>
          <w:kern w:val="2"/>
          <w:sz w:val="21"/>
          <w:szCs w:val="24"/>
          <w:highlight w:val="none"/>
          <w:lang w:val="en-US" w:eastAsia="zh-CN" w:bidi="ar-SA"/>
        </w:rPr>
      </w:pPr>
    </w:p>
    <w:p w14:paraId="2E837766">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369" w:firstLineChars="175"/>
        <w:jc w:val="left"/>
        <w:textAlignment w:val="auto"/>
        <w:rPr>
          <w:rFonts w:hint="eastAsia" w:asciiTheme="minorEastAsia" w:hAnsiTheme="minorEastAsia" w:eastAsiaTheme="minorEastAsia" w:cstheme="minorEastAsia"/>
          <w:b/>
          <w:color w:val="auto"/>
          <w:kern w:val="2"/>
          <w:sz w:val="21"/>
          <w:szCs w:val="24"/>
          <w:highlight w:val="none"/>
          <w:lang w:val="en-US" w:eastAsia="zh-CN" w:bidi="ar-SA"/>
        </w:rPr>
      </w:pPr>
    </w:p>
    <w:p w14:paraId="56D2314D">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369" w:firstLineChars="175"/>
        <w:jc w:val="left"/>
        <w:textAlignment w:val="auto"/>
        <w:rPr>
          <w:rFonts w:hint="eastAsia" w:asciiTheme="minorEastAsia" w:hAnsiTheme="minorEastAsia" w:eastAsiaTheme="minorEastAsia" w:cstheme="minorEastAsia"/>
          <w:b/>
          <w:color w:val="auto"/>
          <w:kern w:val="2"/>
          <w:sz w:val="21"/>
          <w:szCs w:val="24"/>
          <w:highlight w:val="none"/>
          <w:lang w:val="en-US" w:eastAsia="zh-CN" w:bidi="ar-SA"/>
        </w:rPr>
      </w:pPr>
    </w:p>
    <w:p w14:paraId="2E346696">
      <w:pPr>
        <w:keepNext w:val="0"/>
        <w:keepLines w:val="0"/>
        <w:pageBreakBefore w:val="0"/>
        <w:widowControl w:val="0"/>
        <w:kinsoku/>
        <w:wordWrap/>
        <w:overflowPunct/>
        <w:topLinePunct w:val="0"/>
        <w:autoSpaceDE/>
        <w:autoSpaceDN/>
        <w:bidi w:val="0"/>
        <w:adjustRightInd w:val="0"/>
        <w:snapToGrid w:val="0"/>
        <w:spacing w:line="576" w:lineRule="exact"/>
        <w:jc w:val="left"/>
        <w:textAlignment w:val="auto"/>
        <w:rPr>
          <w:rFonts w:hint="eastAsia" w:asciiTheme="minorEastAsia" w:hAnsiTheme="minorEastAsia" w:eastAsiaTheme="minorEastAsia" w:cstheme="minorEastAsia"/>
          <w:b/>
          <w:color w:val="auto"/>
          <w:kern w:val="2"/>
          <w:sz w:val="21"/>
          <w:szCs w:val="24"/>
          <w:highlight w:val="none"/>
          <w:lang w:val="en-US" w:eastAsia="zh-CN" w:bidi="ar-SA"/>
        </w:rPr>
      </w:pPr>
    </w:p>
    <w:p w14:paraId="014AD159">
      <w:pPr>
        <w:pStyle w:val="3"/>
        <w:jc w:val="center"/>
        <w:rPr>
          <w:rFonts w:ascii="黑体" w:eastAsia="黑体"/>
          <w:color w:val="auto"/>
          <w:sz w:val="32"/>
          <w:szCs w:val="32"/>
          <w:highlight w:val="none"/>
        </w:rPr>
      </w:pPr>
      <w:bookmarkStart w:id="21" w:name="_Toc6649"/>
      <w:bookmarkStart w:id="22" w:name="_Toc26459"/>
      <w:r>
        <w:rPr>
          <w:rFonts w:hint="eastAsia" w:ascii="黑体" w:hAnsi="黑体" w:eastAsia="黑体"/>
          <w:b w:val="0"/>
          <w:color w:val="auto"/>
          <w:highlight w:val="none"/>
        </w:rPr>
        <w:t xml:space="preserve">第一部分 </w:t>
      </w:r>
      <w:r>
        <w:rPr>
          <w:rStyle w:val="30"/>
          <w:rFonts w:hint="eastAsia" w:ascii="黑体" w:hAnsi="黑体" w:eastAsia="黑体"/>
          <w:b w:val="0"/>
          <w:bCs w:val="0"/>
          <w:color w:val="auto"/>
          <w:highlight w:val="none"/>
        </w:rPr>
        <w:t>部门概况</w:t>
      </w:r>
      <w:bookmarkEnd w:id="21"/>
      <w:bookmarkEnd w:id="22"/>
    </w:p>
    <w:p w14:paraId="79CB4420">
      <w:pPr>
        <w:pStyle w:val="4"/>
        <w:keepNext/>
        <w:keepLines/>
        <w:pageBreakBefore w:val="0"/>
        <w:widowControl w:val="0"/>
        <w:numPr>
          <w:ilvl w:val="0"/>
          <w:numId w:val="1"/>
        </w:numPr>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b w:val="0"/>
          <w:color w:val="auto"/>
          <w:highlight w:val="none"/>
          <w:lang w:eastAsia="zh-CN"/>
        </w:rPr>
      </w:pPr>
      <w:bookmarkStart w:id="23" w:name="_Toc23232"/>
      <w:bookmarkStart w:id="24" w:name="_Toc8736"/>
      <w:r>
        <w:rPr>
          <w:rFonts w:hint="eastAsia" w:ascii="黑体" w:hAnsi="黑体" w:eastAsia="黑体"/>
          <w:b w:val="0"/>
          <w:color w:val="auto"/>
          <w:highlight w:val="none"/>
          <w:lang w:eastAsia="zh-CN"/>
        </w:rPr>
        <w:t>部门职责</w:t>
      </w:r>
      <w:bookmarkEnd w:id="23"/>
      <w:bookmarkEnd w:id="24"/>
    </w:p>
    <w:p w14:paraId="14FCF31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（一）</w:t>
      </w: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落实国家政策，严格依法行政，发挥经济管理职能，加强政策引导，制定发展规划，服务市场主体和营造发展环境，搞好市场监管，大力促进社会事业发展，发展镇村经济、文化和社会事业，提供公共服务，维护社会稳定，构建社会主义和谐社会。</w:t>
      </w:r>
    </w:p>
    <w:p w14:paraId="711E38C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二</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执行本级人民代表大会的决议和上级国家行政机关的决定和命令，发布决定和命令。</w:t>
      </w:r>
    </w:p>
    <w:p w14:paraId="0F52F92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三）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33DB215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（四）制定并组织实施镇村建设规划，部署重点工程建设，地方道路建设及公共设施，水利设施的管理，负责土地、林木、水等自然资源和生态环境的保护，做好护林防火工作。</w:t>
      </w:r>
    </w:p>
    <w:p w14:paraId="3DE2076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五</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负责本行政区域内的民政、计划生育、文化教育、卫生、体育等社会公益事业的综合性工作，维护一切经济单位和个人的正当经济权益，取缔非法经济活动，调解和处理民事纠纷，打击刑事犯罪维护社会稳定。</w:t>
      </w:r>
    </w:p>
    <w:p w14:paraId="4D1B356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六</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按计划组织本级财政收入和地方税的征收，完成国家财政计划，不断培植税源，管好财政资金，增强财政实力。</w:t>
      </w:r>
    </w:p>
    <w:p w14:paraId="53D0A6D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七</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抓好精神文明建设，丰富群众文化生活，提倡移风易俗，反对封建迷信，破除陈规陋习，树立社会主义新风尚。</w:t>
      </w:r>
    </w:p>
    <w:p w14:paraId="1E150B1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30" w:beforeAutospacing="0" w:after="0" w:afterAutospacing="0" w:line="560" w:lineRule="atLeast"/>
        <w:ind w:left="0" w:right="0" w:firstLine="640" w:firstLineChars="200"/>
        <w:jc w:val="both"/>
        <w:textAlignment w:val="auto"/>
        <w:outlineLvl w:val="2"/>
        <w:rPr>
          <w:rFonts w:hint="eastAsia"/>
          <w:sz w:val="32"/>
          <w:szCs w:val="32"/>
          <w:lang w:eastAsia="zh-CN"/>
        </w:rPr>
      </w:pPr>
      <w:bookmarkStart w:id="25" w:name="_Toc20213"/>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八</w:t>
      </w:r>
      <w:r>
        <w:rPr>
          <w:rFonts w:hint="eastAsia" w:ascii="仿宋_GB2312" w:hAnsi="仿宋_GB2312" w:eastAsia="仿宋_GB2312" w:cs="仿宋_GB2312"/>
          <w:b w:val="0"/>
          <w:bCs w:val="0"/>
          <w:color w:val="000000" w:themeColor="text1"/>
          <w:sz w:val="32"/>
          <w:szCs w:val="32"/>
          <w14:textFill>
            <w14:solidFill>
              <w14:schemeClr w14:val="tx1"/>
            </w14:solidFill>
          </w14:textFill>
        </w:rPr>
        <w:t>）</w:t>
      </w:r>
      <w:r>
        <w:rPr>
          <w:rFonts w:hint="eastAsia" w:ascii="仿宋_GB2312" w:hAnsi="Times New Roman" w:eastAsia="仿宋_GB2312" w:cs="仿宋_GB2312"/>
          <w:i w:val="0"/>
          <w:caps w:val="0"/>
          <w:color w:val="333333"/>
          <w:spacing w:val="0"/>
          <w:kern w:val="0"/>
          <w:sz w:val="32"/>
          <w:szCs w:val="32"/>
          <w:shd w:val="clear" w:color="auto" w:fill="FFFFFF"/>
          <w:lang w:val="en-US" w:eastAsia="zh-CN" w:bidi="ar"/>
        </w:rPr>
        <w:t>完成上级交办的</w:t>
      </w:r>
      <w:r>
        <w:rPr>
          <w:rFonts w:hint="eastAsia" w:ascii="仿宋_GB2312" w:eastAsia="仿宋_GB2312" w:cs="仿宋_GB2312"/>
          <w:i w:val="0"/>
          <w:caps w:val="0"/>
          <w:color w:val="333333"/>
          <w:spacing w:val="0"/>
          <w:kern w:val="0"/>
          <w:sz w:val="32"/>
          <w:szCs w:val="32"/>
          <w:shd w:val="clear" w:color="auto" w:fill="FFFFFF"/>
          <w:lang w:val="en-US" w:eastAsia="zh-CN" w:bidi="ar"/>
        </w:rPr>
        <w:t>其他事项</w:t>
      </w:r>
      <w:bookmarkEnd w:id="25"/>
    </w:p>
    <w:p w14:paraId="693789B7">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Style w:val="31"/>
          <w:b w:val="0"/>
          <w:bCs w:val="0"/>
          <w:color w:val="auto"/>
          <w:highlight w:val="none"/>
        </w:rPr>
      </w:pPr>
      <w:bookmarkStart w:id="26" w:name="_Toc15377200"/>
      <w:bookmarkStart w:id="27" w:name="_Toc15396601"/>
      <w:bookmarkStart w:id="28" w:name="_Toc22564"/>
      <w:bookmarkStart w:id="29" w:name="_Toc2313"/>
      <w:r>
        <w:rPr>
          <w:rFonts w:hint="eastAsia" w:ascii="黑体" w:eastAsia="黑体"/>
          <w:b w:val="0"/>
          <w:color w:val="auto"/>
          <w:highlight w:val="none"/>
        </w:rPr>
        <w:t>二、</w:t>
      </w:r>
      <w:r>
        <w:rPr>
          <w:rFonts w:hint="eastAsia" w:ascii="黑体" w:hAnsi="黑体" w:eastAsia="黑体"/>
          <w:b w:val="0"/>
          <w:color w:val="auto"/>
          <w:highlight w:val="none"/>
        </w:rPr>
        <w:t>机</w:t>
      </w:r>
      <w:r>
        <w:rPr>
          <w:rStyle w:val="31"/>
          <w:rFonts w:hint="eastAsia" w:ascii="黑体" w:hAnsi="黑体" w:eastAsia="黑体"/>
          <w:b w:val="0"/>
          <w:bCs w:val="0"/>
          <w:color w:val="auto"/>
          <w:highlight w:val="none"/>
        </w:rPr>
        <w:t>构设置</w:t>
      </w:r>
      <w:bookmarkEnd w:id="26"/>
      <w:bookmarkEnd w:id="27"/>
      <w:bookmarkEnd w:id="28"/>
      <w:bookmarkEnd w:id="29"/>
    </w:p>
    <w:p w14:paraId="720EBCE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lang w:eastAsia="zh-CN"/>
        </w:rPr>
        <w:t>磨滩镇人民政府</w:t>
      </w:r>
      <w:r>
        <w:rPr>
          <w:rFonts w:hint="eastAsia" w:ascii="仿宋_GB2312" w:hAnsi="仿宋_GB2312" w:eastAsia="仿宋_GB2312" w:cs="仿宋_GB2312"/>
          <w:kern w:val="0"/>
          <w:sz w:val="32"/>
          <w:szCs w:val="32"/>
          <w:shd w:val="clear" w:color="auto" w:fill="FFFFFF"/>
        </w:rPr>
        <w:t>属于一级预算单位，政府单位机构数1个，其中行政单位1个，参照公务员法管理的事业单位0个，其他事业单位0个。</w:t>
      </w:r>
    </w:p>
    <w:p w14:paraId="66C5CACB">
      <w:pPr>
        <w:pStyle w:val="3"/>
        <w:ind w:right="440"/>
        <w:jc w:val="center"/>
        <w:rPr>
          <w:color w:val="auto"/>
          <w:highlight w:val="none"/>
        </w:rPr>
      </w:pPr>
      <w:bookmarkStart w:id="30" w:name="_Toc15377204"/>
      <w:bookmarkStart w:id="31" w:name="_Toc10178"/>
      <w:bookmarkStart w:id="32" w:name="_Toc5168"/>
      <w:bookmarkStart w:id="33"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2022年度</w:t>
      </w:r>
      <w:r>
        <w:rPr>
          <w:rStyle w:val="30"/>
          <w:rFonts w:hint="eastAsia" w:ascii="黑体" w:hAnsi="黑体" w:eastAsia="黑体"/>
          <w:b w:val="0"/>
          <w:bCs/>
          <w:color w:val="auto"/>
          <w:highlight w:val="none"/>
        </w:rPr>
        <w:t>部门决算情况说明</w:t>
      </w:r>
      <w:bookmarkEnd w:id="30"/>
      <w:bookmarkEnd w:id="31"/>
      <w:bookmarkEnd w:id="32"/>
      <w:bookmarkEnd w:id="33"/>
    </w:p>
    <w:p w14:paraId="476B5D00">
      <w:pPr>
        <w:pStyle w:val="29"/>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outlineLvl w:val="1"/>
        <w:rPr>
          <w:rStyle w:val="31"/>
          <w:rFonts w:ascii="黑体" w:hAnsi="黑体" w:eastAsia="黑体"/>
          <w:b w:val="0"/>
          <w:color w:val="auto"/>
          <w:highlight w:val="none"/>
        </w:rPr>
      </w:pPr>
      <w:bookmarkStart w:id="34" w:name="_Toc15377205"/>
      <w:bookmarkStart w:id="35" w:name="_Toc15396603"/>
      <w:bookmarkStart w:id="36" w:name="_Toc21135"/>
      <w:bookmarkStart w:id="37" w:name="_Toc30891"/>
      <w:r>
        <w:rPr>
          <w:rFonts w:hint="eastAsia" w:ascii="黑体" w:hAnsi="黑体" w:eastAsia="黑体"/>
          <w:color w:val="auto"/>
          <w:sz w:val="32"/>
          <w:szCs w:val="32"/>
          <w:highlight w:val="none"/>
          <w:lang w:val="en-US" w:eastAsia="zh-CN"/>
        </w:rPr>
        <w:t>一、</w:t>
      </w:r>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入支出决算总体情况说明</w:t>
      </w:r>
      <w:bookmarkEnd w:id="34"/>
      <w:bookmarkEnd w:id="35"/>
      <w:bookmarkEnd w:id="36"/>
      <w:bookmarkEnd w:id="37"/>
    </w:p>
    <w:p w14:paraId="76590C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auto"/>
          <w:sz w:val="32"/>
          <w:szCs w:val="32"/>
          <w:highlight w:val="none"/>
          <w:lang w:val="en-US" w:eastAsia="zh-CN"/>
        </w:rPr>
        <w:t>1155.99</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年相比，收、支总计各增加</w:t>
      </w:r>
      <w:r>
        <w:rPr>
          <w:rFonts w:hint="eastAsia" w:ascii="仿宋_GB2312" w:hAnsi="仿宋_GB2312" w:eastAsia="仿宋_GB2312" w:cs="仿宋_GB2312"/>
          <w:color w:val="auto"/>
          <w:sz w:val="32"/>
          <w:szCs w:val="32"/>
          <w:highlight w:val="none"/>
          <w:lang w:val="en-US" w:eastAsia="zh-CN"/>
        </w:rPr>
        <w:t>202.35</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21.22</w:t>
      </w:r>
      <w:r>
        <w:rPr>
          <w:rFonts w:hint="eastAsia" w:ascii="仿宋_GB2312" w:hAnsi="仿宋_GB2312" w:eastAsia="仿宋_GB2312" w:cs="仿宋_GB2312"/>
          <w:color w:val="auto"/>
          <w:sz w:val="32"/>
          <w:szCs w:val="32"/>
          <w:highlight w:val="none"/>
        </w:rPr>
        <w:t>%。主要变动</w:t>
      </w:r>
      <w:r>
        <w:rPr>
          <w:rFonts w:hint="eastAsia" w:ascii="仿宋_GB2312" w:hAnsi="仿宋_GB2312" w:eastAsia="仿宋_GB2312" w:cs="仿宋_GB2312"/>
          <w:color w:val="auto"/>
          <w:sz w:val="32"/>
          <w:szCs w:val="32"/>
          <w:highlight w:val="none"/>
          <w:lang w:eastAsia="zh-CN"/>
        </w:rPr>
        <w:t>原因是政府性基金</w:t>
      </w:r>
      <w:r>
        <w:rPr>
          <w:rFonts w:hint="eastAsia" w:ascii="仿宋_GB2312" w:hAnsi="仿宋_GB2312" w:eastAsia="仿宋_GB2312" w:cs="仿宋_GB2312"/>
          <w:kern w:val="0"/>
          <w:sz w:val="32"/>
          <w:szCs w:val="32"/>
          <w:shd w:val="clear" w:color="auto" w:fill="FFFFFF"/>
        </w:rPr>
        <w:t>算拨款及人员</w:t>
      </w:r>
      <w:r>
        <w:rPr>
          <w:rFonts w:hint="eastAsia" w:ascii="仿宋_GB2312" w:hAnsi="仿宋_GB2312" w:eastAsia="仿宋_GB2312" w:cs="仿宋_GB2312"/>
          <w:kern w:val="0"/>
          <w:sz w:val="32"/>
          <w:szCs w:val="32"/>
          <w:shd w:val="clear" w:color="auto" w:fill="FFFFFF"/>
          <w:lang w:eastAsia="zh-CN"/>
        </w:rPr>
        <w:t>增加</w:t>
      </w:r>
      <w:r>
        <w:rPr>
          <w:rFonts w:hint="eastAsia" w:ascii="仿宋_GB2312" w:hAnsi="仿宋_GB2312" w:eastAsia="仿宋_GB2312" w:cs="仿宋_GB2312"/>
          <w:color w:val="auto"/>
          <w:sz w:val="32"/>
          <w:szCs w:val="32"/>
          <w:highlight w:val="none"/>
          <w:lang w:eastAsia="zh-CN"/>
        </w:rPr>
        <w:t>。</w:t>
      </w:r>
    </w:p>
    <w:p w14:paraId="2832E324">
      <w:pPr>
        <w:pStyle w:val="6"/>
        <w:jc w:val="center"/>
        <w:rPr>
          <w:rFonts w:hint="eastAsia"/>
          <w:lang w:eastAsia="zh-CN"/>
        </w:rPr>
      </w:pPr>
      <w:r>
        <w:rPr>
          <w:rFonts w:hint="eastAsia"/>
          <w:lang w:eastAsia="zh-CN"/>
        </w:rPr>
        <w:drawing>
          <wp:inline distT="0" distB="0" distL="114300" distR="114300">
            <wp:extent cx="4956175" cy="2117725"/>
            <wp:effectExtent l="4445" t="4445" r="11430" b="1143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4852E1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14:paraId="6FCF620B">
      <w:pPr>
        <w:pStyle w:val="2"/>
      </w:pPr>
    </w:p>
    <w:p w14:paraId="24636210">
      <w:pPr>
        <w:pStyle w:val="2"/>
        <w:rPr>
          <w:rFonts w:hint="eastAsia" w:ascii="黑体" w:hAnsi="黑体" w:eastAsia="黑体" w:cs="黑体"/>
          <w:sz w:val="32"/>
          <w:szCs w:val="32"/>
        </w:rPr>
      </w:pPr>
      <w:bookmarkStart w:id="38" w:name="_Toc742"/>
      <w:bookmarkStart w:id="39" w:name="_Toc21084"/>
      <w:bookmarkStart w:id="40" w:name="_Toc15396604"/>
      <w:bookmarkStart w:id="41" w:name="_Toc15377206"/>
      <w:r>
        <w:rPr>
          <w:rFonts w:hint="eastAsia" w:ascii="黑体" w:hAnsi="黑体" w:eastAsia="黑体" w:cs="黑体"/>
          <w:sz w:val="32"/>
          <w:szCs w:val="32"/>
          <w:lang w:val="en-US" w:eastAsia="zh-CN"/>
        </w:rPr>
        <w:t>二、</w:t>
      </w:r>
      <w:r>
        <w:rPr>
          <w:rFonts w:hint="eastAsia" w:ascii="黑体" w:hAnsi="黑体" w:eastAsia="黑体" w:cs="黑体"/>
          <w:sz w:val="32"/>
          <w:szCs w:val="32"/>
        </w:rPr>
        <w:t>收入决算情况说明</w:t>
      </w:r>
      <w:bookmarkEnd w:id="38"/>
      <w:bookmarkEnd w:id="39"/>
      <w:bookmarkEnd w:id="40"/>
      <w:bookmarkEnd w:id="41"/>
    </w:p>
    <w:p w14:paraId="7C241F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color w:val="auto"/>
          <w:sz w:val="32"/>
          <w:szCs w:val="32"/>
          <w:highlight w:val="none"/>
        </w:rPr>
      </w:pPr>
      <w:bookmarkStart w:id="42" w:name="_Toc10981"/>
      <w:bookmarkStart w:id="43" w:name="_Toc1464"/>
      <w:bookmarkStart w:id="44" w:name="_Toc8388"/>
      <w:bookmarkStart w:id="45" w:name="_Toc2497"/>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年本年收入合计</w:t>
      </w:r>
      <w:r>
        <w:rPr>
          <w:rFonts w:hint="eastAsia" w:ascii="仿宋_GB2312" w:hAnsi="仿宋_GB2312" w:eastAsia="仿宋_GB2312" w:cs="仿宋_GB2312"/>
          <w:color w:val="auto"/>
          <w:sz w:val="32"/>
          <w:szCs w:val="32"/>
          <w:highlight w:val="none"/>
          <w:lang w:val="en-US" w:eastAsia="zh-CN"/>
        </w:rPr>
        <w:t>1155.99</w:t>
      </w:r>
      <w:r>
        <w:rPr>
          <w:rFonts w:hint="eastAsia" w:ascii="仿宋_GB2312" w:hAnsi="仿宋_GB2312" w:eastAsia="仿宋_GB2312" w:cs="仿宋_GB2312"/>
          <w:color w:val="auto"/>
          <w:sz w:val="32"/>
          <w:szCs w:val="32"/>
          <w:highlight w:val="none"/>
        </w:rPr>
        <w:t>万元，其中：一般公共预算财政拨款收入</w:t>
      </w:r>
      <w:r>
        <w:rPr>
          <w:rFonts w:hint="eastAsia" w:ascii="仿宋_GB2312" w:hAnsi="仿宋_GB2312" w:eastAsia="仿宋_GB2312" w:cs="仿宋_GB2312"/>
          <w:color w:val="auto"/>
          <w:sz w:val="32"/>
          <w:szCs w:val="32"/>
          <w:highlight w:val="none"/>
          <w:lang w:val="en-US" w:eastAsia="zh-CN"/>
        </w:rPr>
        <w:t>1149.49</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99.44</w:t>
      </w:r>
      <w:r>
        <w:rPr>
          <w:rFonts w:hint="eastAsia" w:ascii="仿宋_GB2312" w:hAnsi="仿宋_GB2312" w:eastAsia="仿宋_GB2312" w:cs="仿宋_GB2312"/>
          <w:color w:val="auto"/>
          <w:sz w:val="32"/>
          <w:szCs w:val="32"/>
          <w:highlight w:val="none"/>
        </w:rPr>
        <w:t>%；政府性基金预算财政拨款收入</w:t>
      </w:r>
      <w:r>
        <w:rPr>
          <w:rFonts w:hint="eastAsia" w:ascii="仿宋_GB2312" w:hAnsi="仿宋_GB2312" w:eastAsia="仿宋_GB2312" w:cs="仿宋_GB2312"/>
          <w:color w:val="auto"/>
          <w:sz w:val="32"/>
          <w:szCs w:val="32"/>
          <w:highlight w:val="none"/>
          <w:lang w:val="en-US" w:eastAsia="zh-CN"/>
        </w:rPr>
        <w:t>6.50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0.56</w:t>
      </w:r>
      <w:r>
        <w:rPr>
          <w:rFonts w:hint="eastAsia" w:ascii="仿宋_GB2312" w:hAnsi="仿宋_GB2312" w:eastAsia="仿宋_GB2312" w:cs="仿宋_GB2312"/>
          <w:color w:val="auto"/>
          <w:sz w:val="32"/>
          <w:szCs w:val="32"/>
          <w:highlight w:val="none"/>
        </w:rPr>
        <w:t>%。</w:t>
      </w:r>
      <w:bookmarkEnd w:id="42"/>
      <w:bookmarkEnd w:id="43"/>
      <w:bookmarkEnd w:id="44"/>
      <w:bookmarkEnd w:id="45"/>
    </w:p>
    <w:p w14:paraId="665DE694">
      <w:pPr>
        <w:spacing w:line="600" w:lineRule="exact"/>
        <w:ind w:firstLine="643" w:firstLineChars="200"/>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382270</wp:posOffset>
            </wp:positionH>
            <wp:positionV relativeFrom="paragraph">
              <wp:posOffset>94615</wp:posOffset>
            </wp:positionV>
            <wp:extent cx="4499610" cy="2115820"/>
            <wp:effectExtent l="4445" t="4445" r="10795" b="13335"/>
            <wp:wrapSquare wrapText="bothSides"/>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74772C04">
      <w:pPr>
        <w:spacing w:line="600" w:lineRule="exact"/>
        <w:ind w:firstLine="643" w:firstLineChars="200"/>
        <w:rPr>
          <w:rFonts w:hint="eastAsia" w:ascii="仿宋" w:hAnsi="仿宋" w:eastAsia="仿宋"/>
          <w:b/>
          <w:color w:val="auto"/>
          <w:sz w:val="32"/>
          <w:szCs w:val="32"/>
          <w:highlight w:val="none"/>
          <w:lang w:eastAsia="zh-CN"/>
        </w:rPr>
      </w:pPr>
    </w:p>
    <w:p w14:paraId="07DB51D7">
      <w:pPr>
        <w:spacing w:line="600" w:lineRule="exact"/>
        <w:rPr>
          <w:rFonts w:hint="eastAsia" w:ascii="仿宋" w:hAnsi="仿宋" w:eastAsia="仿宋"/>
          <w:b/>
          <w:color w:val="auto"/>
          <w:sz w:val="32"/>
          <w:szCs w:val="32"/>
          <w:highlight w:val="none"/>
          <w:lang w:eastAsia="zh-CN"/>
        </w:rPr>
      </w:pPr>
    </w:p>
    <w:p w14:paraId="3F6CE2F8">
      <w:pPr>
        <w:spacing w:line="600" w:lineRule="exact"/>
        <w:ind w:firstLine="643" w:firstLineChars="200"/>
        <w:jc w:val="center"/>
        <w:rPr>
          <w:rFonts w:hint="eastAsia" w:ascii="仿宋" w:hAnsi="仿宋" w:eastAsia="仿宋"/>
          <w:b/>
          <w:color w:val="auto"/>
          <w:sz w:val="32"/>
          <w:szCs w:val="32"/>
          <w:highlight w:val="none"/>
          <w:lang w:eastAsia="zh-CN"/>
        </w:rPr>
      </w:pPr>
    </w:p>
    <w:p w14:paraId="2367E2A3">
      <w:pPr>
        <w:spacing w:line="600" w:lineRule="exact"/>
        <w:ind w:firstLine="643" w:firstLineChars="200"/>
        <w:rPr>
          <w:rFonts w:hint="eastAsia" w:ascii="仿宋" w:hAnsi="仿宋" w:eastAsia="仿宋"/>
          <w:b/>
          <w:color w:val="auto"/>
          <w:sz w:val="32"/>
          <w:szCs w:val="32"/>
          <w:highlight w:val="none"/>
          <w:lang w:eastAsia="zh-CN"/>
        </w:rPr>
      </w:pPr>
    </w:p>
    <w:p w14:paraId="7260B2F4">
      <w:pPr>
        <w:spacing w:line="600" w:lineRule="exact"/>
        <w:rPr>
          <w:rFonts w:hint="eastAsia" w:ascii="仿宋" w:hAnsi="仿宋" w:eastAsia="仿宋"/>
          <w:color w:val="auto"/>
          <w:sz w:val="32"/>
          <w:szCs w:val="32"/>
          <w:highlight w:val="none"/>
        </w:rPr>
      </w:pPr>
    </w:p>
    <w:p w14:paraId="11ACA9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（图2：收入决算结构图）</w:t>
      </w:r>
    </w:p>
    <w:p w14:paraId="371322E1">
      <w:pPr>
        <w:pStyle w:val="2"/>
      </w:pPr>
    </w:p>
    <w:p w14:paraId="4CBFFD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olor w:val="auto"/>
          <w:sz w:val="32"/>
          <w:szCs w:val="32"/>
          <w:highlight w:val="none"/>
        </w:rPr>
      </w:pPr>
      <w:bookmarkStart w:id="46" w:name="_Toc15396605"/>
      <w:bookmarkStart w:id="47" w:name="_Toc15377207"/>
      <w:bookmarkStart w:id="48" w:name="_Toc14129"/>
      <w:bookmarkStart w:id="49" w:name="_Toc16233"/>
      <w:r>
        <w:rPr>
          <w:rFonts w:hint="eastAsia" w:ascii="黑体" w:hAnsi="黑体" w:eastAsia="黑体"/>
          <w:color w:val="auto"/>
          <w:sz w:val="32"/>
          <w:szCs w:val="32"/>
          <w:highlight w:val="none"/>
          <w:lang w:val="en-US" w:eastAsia="zh-CN"/>
        </w:rPr>
        <w:t>三、</w:t>
      </w:r>
      <w:r>
        <w:rPr>
          <w:rFonts w:hint="eastAsia" w:ascii="黑体" w:hAnsi="黑体" w:eastAsia="黑体"/>
          <w:color w:val="auto"/>
          <w:sz w:val="32"/>
          <w:szCs w:val="32"/>
          <w:highlight w:val="none"/>
        </w:rPr>
        <w:t>支出决算情况说明</w:t>
      </w:r>
      <w:bookmarkEnd w:id="46"/>
      <w:bookmarkEnd w:id="47"/>
      <w:bookmarkEnd w:id="48"/>
      <w:bookmarkEnd w:id="49"/>
    </w:p>
    <w:p w14:paraId="6AB6D1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ascii="仿宋" w:hAnsi="仿宋" w:eastAsia="仿宋"/>
          <w:color w:val="auto"/>
          <w:sz w:val="32"/>
          <w:szCs w:val="32"/>
          <w:highlight w:val="none"/>
          <w:shd w:val="pct10" w:color="auto" w:fill="FFFFFF"/>
        </w:rPr>
      </w:pPr>
      <w:bookmarkStart w:id="50" w:name="_Toc12983"/>
      <w:bookmarkStart w:id="51" w:name="_Toc29381"/>
      <w:bookmarkStart w:id="52" w:name="_Toc28874"/>
      <w:bookmarkStart w:id="53" w:name="_Toc30131"/>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1155.99</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1086.23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93.97</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69.76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6.03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50"/>
      <w:bookmarkEnd w:id="51"/>
      <w:bookmarkEnd w:id="52"/>
      <w:bookmarkEnd w:id="53"/>
    </w:p>
    <w:p w14:paraId="76D5D5B6">
      <w:pPr>
        <w:pStyle w:val="6"/>
        <w:jc w:val="center"/>
        <w:rPr>
          <w:rFonts w:ascii="仿宋" w:hAnsi="仿宋" w:eastAsia="仿宋"/>
          <w:color w:val="auto"/>
          <w:sz w:val="32"/>
          <w:szCs w:val="32"/>
          <w:highlight w:val="none"/>
          <w:shd w:val="pct10" w:color="auto" w:fill="FFFFFF"/>
        </w:rPr>
      </w:pPr>
      <w:r>
        <w:rPr>
          <w:rFonts w:hint="eastAsia" w:ascii="仿宋" w:hAnsi="仿宋" w:eastAsia="仿宋"/>
          <w:color w:val="auto"/>
          <w:sz w:val="32"/>
          <w:szCs w:val="32"/>
          <w:highlight w:val="none"/>
          <w:shd w:val="pct10" w:color="auto" w:fill="FFFFFF"/>
          <w:lang w:eastAsia="zh-CN"/>
        </w:rPr>
        <w:drawing>
          <wp:inline distT="0" distB="0" distL="114300" distR="114300">
            <wp:extent cx="4756150" cy="2028825"/>
            <wp:effectExtent l="4445" t="5080" r="20955" b="44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FD5B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w:t>
      </w:r>
    </w:p>
    <w:p w14:paraId="5194CDDB">
      <w:pPr>
        <w:spacing w:line="600" w:lineRule="exact"/>
        <w:ind w:firstLine="640" w:firstLineChars="200"/>
        <w:rPr>
          <w:rFonts w:ascii="仿宋_GB2312" w:eastAsia="仿宋_GB2312"/>
          <w:color w:val="auto"/>
          <w:sz w:val="32"/>
          <w:szCs w:val="32"/>
          <w:highlight w:val="none"/>
        </w:rPr>
      </w:pPr>
    </w:p>
    <w:p w14:paraId="399D01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黑体" w:hAnsi="黑体" w:eastAsia="黑体"/>
          <w:color w:val="auto"/>
          <w:sz w:val="32"/>
          <w:szCs w:val="32"/>
          <w:highlight w:val="none"/>
        </w:rPr>
      </w:pPr>
      <w:bookmarkStart w:id="54" w:name="_Toc15377208"/>
      <w:bookmarkStart w:id="55" w:name="_Toc15396606"/>
      <w:bookmarkStart w:id="56" w:name="_Toc5799"/>
      <w:bookmarkStart w:id="57" w:name="_Toc19651"/>
      <w:r>
        <w:rPr>
          <w:rFonts w:hint="eastAsia" w:ascii="黑体" w:hAnsi="黑体" w:eastAsia="黑体"/>
          <w:color w:val="auto"/>
          <w:sz w:val="32"/>
          <w:szCs w:val="32"/>
          <w:highlight w:val="none"/>
        </w:rPr>
        <w:t>四、财政拨款收入支出决算总体情况说明</w:t>
      </w:r>
      <w:bookmarkEnd w:id="54"/>
      <w:bookmarkEnd w:id="55"/>
      <w:bookmarkEnd w:id="56"/>
      <w:bookmarkEnd w:id="57"/>
    </w:p>
    <w:p w14:paraId="18F019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auto"/>
          <w:sz w:val="32"/>
          <w:szCs w:val="32"/>
          <w:highlight w:val="none"/>
          <w:lang w:val="en-US" w:eastAsia="zh-CN"/>
        </w:rPr>
        <w:t>1155.99</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年相比，财政拨款收、支总计各增加</w:t>
      </w:r>
      <w:r>
        <w:rPr>
          <w:rFonts w:hint="eastAsia" w:ascii="仿宋_GB2312" w:hAnsi="仿宋_GB2312" w:eastAsia="仿宋_GB2312" w:cs="仿宋_GB2312"/>
          <w:color w:val="auto"/>
          <w:sz w:val="32"/>
          <w:szCs w:val="32"/>
          <w:highlight w:val="none"/>
          <w:lang w:val="en-US" w:eastAsia="zh-CN"/>
        </w:rPr>
        <w:t>202.35</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21.22</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kern w:val="0"/>
          <w:sz w:val="32"/>
          <w:szCs w:val="32"/>
          <w:shd w:val="clear" w:color="auto" w:fill="FFFFFF"/>
        </w:rPr>
        <w:t>政府基金预算拨款及人员</w:t>
      </w:r>
      <w:r>
        <w:rPr>
          <w:rFonts w:hint="eastAsia" w:ascii="仿宋_GB2312" w:hAnsi="仿宋_GB2312" w:eastAsia="仿宋_GB2312" w:cs="仿宋_GB2312"/>
          <w:kern w:val="0"/>
          <w:sz w:val="32"/>
          <w:szCs w:val="32"/>
          <w:shd w:val="clear" w:color="auto" w:fill="FFFFFF"/>
          <w:lang w:eastAsia="zh-CN"/>
        </w:rPr>
        <w:t>增加。</w:t>
      </w:r>
    </w:p>
    <w:p w14:paraId="54691015">
      <w:pPr>
        <w:pStyle w:val="6"/>
        <w:rPr>
          <w:rFonts w:ascii="仿宋" w:hAnsi="仿宋" w:eastAsia="仿宋"/>
          <w:color w:val="auto"/>
          <w:sz w:val="32"/>
          <w:szCs w:val="32"/>
          <w:highlight w:val="none"/>
        </w:rPr>
      </w:pPr>
      <w:r>
        <w:rPr>
          <w:rFonts w:hint="eastAsia"/>
          <w:lang w:eastAsia="zh-CN"/>
        </w:rPr>
        <w:drawing>
          <wp:inline distT="0" distB="0" distL="114300" distR="114300">
            <wp:extent cx="4956175" cy="2117725"/>
            <wp:effectExtent l="4445" t="4445" r="11430" b="1143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02123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 w:hAnsi="仿宋" w:eastAsia="仿宋"/>
          <w:b/>
          <w:color w:val="auto"/>
          <w:sz w:val="32"/>
          <w:szCs w:val="32"/>
          <w:highlight w:val="none"/>
        </w:rPr>
      </w:pPr>
      <w:r>
        <w:rPr>
          <w:rFonts w:hint="eastAsia" w:ascii="仿宋" w:hAnsi="仿宋" w:eastAsia="仿宋"/>
          <w:color w:val="auto"/>
          <w:sz w:val="32"/>
          <w:szCs w:val="32"/>
          <w:highlight w:val="none"/>
        </w:rPr>
        <w:t>（图4：财政拨款收、支决算总计变动情况）</w:t>
      </w:r>
    </w:p>
    <w:p w14:paraId="00472740">
      <w:pPr>
        <w:spacing w:line="600" w:lineRule="exact"/>
        <w:ind w:firstLine="640" w:firstLineChars="200"/>
        <w:outlineLvl w:val="1"/>
        <w:rPr>
          <w:rFonts w:hint="eastAsia" w:ascii="黑体" w:hAnsi="黑体" w:eastAsia="黑体"/>
          <w:color w:val="auto"/>
          <w:sz w:val="32"/>
          <w:szCs w:val="32"/>
          <w:highlight w:val="none"/>
        </w:rPr>
      </w:pPr>
      <w:bookmarkStart w:id="58" w:name="_Toc15377209"/>
      <w:bookmarkStart w:id="59" w:name="_Toc28050"/>
      <w:bookmarkStart w:id="60" w:name="_Toc15396607"/>
      <w:bookmarkStart w:id="61" w:name="_Toc6526"/>
    </w:p>
    <w:p w14:paraId="511F1C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31"/>
          <w:rFonts w:ascii="黑体" w:hAnsi="黑体" w:eastAsia="黑体"/>
          <w:b w:val="0"/>
          <w:color w:val="auto"/>
          <w:highlight w:val="none"/>
        </w:rPr>
      </w:pPr>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般公共预算财政拨款支出决算情况说明</w:t>
      </w:r>
      <w:bookmarkEnd w:id="58"/>
      <w:bookmarkEnd w:id="59"/>
      <w:bookmarkEnd w:id="60"/>
      <w:bookmarkEnd w:id="61"/>
    </w:p>
    <w:p w14:paraId="01AE98C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楷体" w:hAnsi="楷体" w:eastAsia="楷体" w:cs="楷体"/>
          <w:b/>
          <w:color w:val="auto"/>
          <w:sz w:val="32"/>
          <w:szCs w:val="32"/>
          <w:highlight w:val="none"/>
        </w:rPr>
      </w:pPr>
      <w:bookmarkStart w:id="62" w:name="_Toc15377210"/>
      <w:bookmarkStart w:id="63" w:name="_Toc3527"/>
      <w:r>
        <w:rPr>
          <w:rFonts w:hint="eastAsia" w:ascii="楷体" w:hAnsi="楷体" w:eastAsia="楷体" w:cs="楷体"/>
          <w:b/>
          <w:color w:val="auto"/>
          <w:sz w:val="32"/>
          <w:szCs w:val="32"/>
          <w:highlight w:val="none"/>
        </w:rPr>
        <w:t>（一）一般公共预算财政拨款支出决算总体情况</w:t>
      </w:r>
      <w:bookmarkEnd w:id="62"/>
      <w:bookmarkEnd w:id="63"/>
    </w:p>
    <w:p w14:paraId="58AD95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1149.49</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99.44</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195.85</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20.53</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kern w:val="0"/>
          <w:sz w:val="32"/>
          <w:szCs w:val="32"/>
          <w:shd w:val="clear" w:color="auto" w:fill="FFFFFF"/>
        </w:rPr>
        <w:t>人员</w:t>
      </w:r>
      <w:r>
        <w:rPr>
          <w:rFonts w:hint="eastAsia" w:ascii="仿宋_GB2312" w:hAnsi="仿宋_GB2312" w:eastAsia="仿宋_GB2312" w:cs="仿宋_GB2312"/>
          <w:kern w:val="0"/>
          <w:sz w:val="32"/>
          <w:szCs w:val="32"/>
          <w:shd w:val="clear" w:color="auto" w:fill="FFFFFF"/>
          <w:lang w:eastAsia="zh-CN"/>
        </w:rPr>
        <w:t>增加。</w:t>
      </w:r>
    </w:p>
    <w:p w14:paraId="747C28DF">
      <w:pPr>
        <w:pStyle w:val="6"/>
        <w:jc w:val="center"/>
        <w:rPr>
          <w:rFonts w:ascii="仿宋" w:hAnsi="仿宋" w:eastAsia="仿宋"/>
          <w:color w:val="auto"/>
          <w:sz w:val="32"/>
          <w:szCs w:val="32"/>
          <w:highlight w:val="none"/>
        </w:rPr>
      </w:pPr>
      <w:r>
        <w:rPr>
          <w:rFonts w:hint="eastAsia"/>
          <w:lang w:eastAsia="zh-CN"/>
        </w:rPr>
        <w:drawing>
          <wp:inline distT="0" distB="0" distL="114300" distR="114300">
            <wp:extent cx="4432300" cy="2166620"/>
            <wp:effectExtent l="4445" t="4445" r="20955" b="1968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FF905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pPr>
      <w:r>
        <w:rPr>
          <w:rFonts w:hint="eastAsia" w:ascii="仿宋" w:hAnsi="仿宋" w:eastAsia="仿宋"/>
          <w:color w:val="auto"/>
          <w:sz w:val="32"/>
          <w:szCs w:val="32"/>
          <w:highlight w:val="none"/>
        </w:rPr>
        <w:t>（图5：一般公共预算财政拨款支出决算变动情况）</w:t>
      </w:r>
    </w:p>
    <w:p w14:paraId="0E82A237">
      <w:pPr>
        <w:spacing w:line="600" w:lineRule="exact"/>
        <w:ind w:firstLine="643" w:firstLineChars="200"/>
        <w:outlineLvl w:val="2"/>
        <w:rPr>
          <w:rFonts w:hint="eastAsia" w:ascii="楷体" w:hAnsi="楷体" w:eastAsia="楷体" w:cs="楷体"/>
          <w:b/>
          <w:color w:val="auto"/>
          <w:sz w:val="32"/>
          <w:szCs w:val="32"/>
          <w:highlight w:val="none"/>
        </w:rPr>
      </w:pPr>
      <w:bookmarkStart w:id="64" w:name="_Toc15377211"/>
      <w:bookmarkStart w:id="65" w:name="_Toc14391"/>
    </w:p>
    <w:p w14:paraId="07E1842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（二）一般公共预算财政拨款支出决算结构情况</w:t>
      </w:r>
      <w:bookmarkEnd w:id="64"/>
      <w:bookmarkEnd w:id="65"/>
    </w:p>
    <w:p w14:paraId="0F141F3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1149.49</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一般公共服务</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571.32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49.7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eastAsia="zh-CN"/>
        </w:rPr>
        <w:t>国防</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2万元，占0.17%；</w:t>
      </w:r>
      <w:r>
        <w:rPr>
          <w:rFonts w:hint="eastAsia" w:ascii="仿宋" w:hAnsi="仿宋" w:eastAsia="仿宋"/>
          <w:b/>
          <w:bCs/>
          <w:color w:val="auto"/>
          <w:sz w:val="32"/>
          <w:szCs w:val="32"/>
          <w:highlight w:val="none"/>
          <w:lang w:val="en-US" w:eastAsia="zh-CN"/>
        </w:rPr>
        <w:t>公共安全</w:t>
      </w:r>
      <w:r>
        <w:rPr>
          <w:rFonts w:hint="eastAsia" w:ascii="仿宋" w:hAnsi="仿宋" w:eastAsia="仿宋"/>
          <w:color w:val="auto"/>
          <w:sz w:val="32"/>
          <w:szCs w:val="32"/>
          <w:highlight w:val="none"/>
          <w:lang w:val="en-US" w:eastAsia="zh-CN"/>
        </w:rPr>
        <w:t>支出3.88万元，占0.34%；</w:t>
      </w:r>
      <w:r>
        <w:rPr>
          <w:rFonts w:hint="eastAsia" w:ascii="仿宋" w:hAnsi="仿宋" w:eastAsia="仿宋"/>
          <w:b/>
          <w:bCs/>
          <w:color w:val="auto"/>
          <w:sz w:val="32"/>
          <w:szCs w:val="32"/>
          <w:highlight w:val="none"/>
        </w:rPr>
        <w:t>文化旅游体育与传媒支出</w:t>
      </w:r>
      <w:r>
        <w:rPr>
          <w:rFonts w:hint="eastAsia" w:ascii="仿宋" w:hAnsi="仿宋" w:eastAsia="仿宋"/>
          <w:b/>
          <w:bCs/>
          <w:color w:val="auto"/>
          <w:sz w:val="32"/>
          <w:szCs w:val="32"/>
          <w:highlight w:val="none"/>
          <w:lang w:val="en-US" w:eastAsia="zh-CN"/>
        </w:rPr>
        <w:t>4.47</w:t>
      </w:r>
      <w:r>
        <w:rPr>
          <w:rFonts w:hint="eastAsia" w:ascii="仿宋" w:hAnsi="仿宋" w:eastAsia="仿宋"/>
          <w:b/>
          <w:bCs/>
          <w:color w:val="auto"/>
          <w:sz w:val="32"/>
          <w:szCs w:val="32"/>
          <w:highlight w:val="none"/>
        </w:rPr>
        <w:t>万元，占</w:t>
      </w:r>
      <w:r>
        <w:rPr>
          <w:rFonts w:hint="eastAsia" w:ascii="仿宋" w:hAnsi="仿宋" w:eastAsia="仿宋"/>
          <w:b/>
          <w:bCs/>
          <w:color w:val="auto"/>
          <w:sz w:val="32"/>
          <w:szCs w:val="32"/>
          <w:highlight w:val="none"/>
          <w:lang w:val="en-US" w:eastAsia="zh-CN"/>
        </w:rPr>
        <w:t>0.39</w:t>
      </w:r>
      <w:r>
        <w:rPr>
          <w:rFonts w:ascii="仿宋" w:hAnsi="仿宋" w:eastAsia="仿宋"/>
          <w:b/>
          <w:bCs/>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rPr>
        <w:t>116.65万元，占</w:t>
      </w:r>
      <w:r>
        <w:rPr>
          <w:rFonts w:hint="eastAsia" w:ascii="仿宋" w:hAnsi="仿宋" w:eastAsia="仿宋"/>
          <w:color w:val="auto"/>
          <w:sz w:val="32"/>
          <w:szCs w:val="32"/>
          <w:highlight w:val="none"/>
          <w:lang w:val="en-US" w:eastAsia="zh-CN"/>
        </w:rPr>
        <w:t>10.15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34.46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城乡社区支出</w:t>
      </w:r>
      <w:r>
        <w:rPr>
          <w:rFonts w:hint="eastAsia" w:ascii="仿宋" w:hAnsi="仿宋" w:eastAsia="仿宋"/>
          <w:b/>
          <w:bCs/>
          <w:color w:val="auto"/>
          <w:sz w:val="32"/>
          <w:szCs w:val="32"/>
          <w:highlight w:val="none"/>
          <w:lang w:val="en-US" w:eastAsia="zh-CN"/>
        </w:rPr>
        <w:t>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0.17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农林水</w:t>
      </w:r>
      <w:r>
        <w:rPr>
          <w:rFonts w:hint="eastAsia" w:ascii="仿宋" w:hAnsi="仿宋" w:eastAsia="仿宋"/>
          <w:color w:val="auto"/>
          <w:sz w:val="32"/>
          <w:szCs w:val="32"/>
          <w:highlight w:val="none"/>
        </w:rPr>
        <w:t>支出</w:t>
      </w:r>
      <w:r>
        <w:rPr>
          <w:rFonts w:hint="eastAsia" w:ascii="仿宋" w:hAnsi="仿宋" w:eastAsia="仿宋"/>
          <w:b/>
          <w:bCs/>
          <w:color w:val="auto"/>
          <w:sz w:val="32"/>
          <w:szCs w:val="32"/>
          <w:highlight w:val="none"/>
          <w:lang w:val="en-US" w:eastAsia="zh-CN"/>
        </w:rPr>
        <w:t>360.99万元，占31.4%；住房保障支出53.72万元，占4.67%</w:t>
      </w:r>
      <w:r>
        <w:rPr>
          <w:rFonts w:hint="eastAsia" w:ascii="仿宋" w:hAnsi="仿宋" w:eastAsia="仿宋"/>
          <w:color w:val="auto"/>
          <w:sz w:val="32"/>
          <w:szCs w:val="32"/>
          <w:highlight w:val="none"/>
        </w:rPr>
        <w:t>。</w:t>
      </w:r>
    </w:p>
    <w:p w14:paraId="7096426D">
      <w:pPr>
        <w:pStyle w:val="6"/>
        <w:rPr>
          <w:rFonts w:hint="eastAsia" w:eastAsia="仿宋"/>
          <w:lang w:eastAsia="zh-CN"/>
        </w:rPr>
      </w:pPr>
      <w:r>
        <w:rPr>
          <w:rFonts w:hint="eastAsia" w:eastAsia="仿宋"/>
          <w:lang w:eastAsia="zh-CN"/>
        </w:rPr>
        <w:drawing>
          <wp:inline distT="0" distB="0" distL="114300" distR="114300">
            <wp:extent cx="5955030" cy="2943225"/>
            <wp:effectExtent l="4445" t="4445" r="22225" b="50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76CFF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pPr>
      <w:r>
        <w:rPr>
          <w:rFonts w:hint="eastAsia" w:ascii="仿宋" w:hAnsi="仿宋" w:eastAsia="仿宋"/>
          <w:color w:val="auto"/>
          <w:sz w:val="32"/>
          <w:szCs w:val="32"/>
          <w:highlight w:val="none"/>
        </w:rPr>
        <w:t>（图6：一般公共预算财政拨款支出决算结构）</w:t>
      </w:r>
    </w:p>
    <w:p w14:paraId="08A1738A">
      <w:pPr>
        <w:spacing w:line="600" w:lineRule="exact"/>
        <w:ind w:firstLine="643" w:firstLineChars="200"/>
        <w:outlineLvl w:val="2"/>
        <w:rPr>
          <w:rFonts w:hint="eastAsia" w:ascii="楷体" w:hAnsi="楷体" w:eastAsia="楷体" w:cs="楷体"/>
          <w:b/>
          <w:color w:val="auto"/>
          <w:sz w:val="32"/>
          <w:szCs w:val="32"/>
          <w:highlight w:val="none"/>
        </w:rPr>
      </w:pPr>
      <w:bookmarkStart w:id="66" w:name="_Toc27115"/>
      <w:bookmarkStart w:id="67" w:name="_Toc15377212"/>
    </w:p>
    <w:p w14:paraId="34D6860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楷体" w:hAnsi="楷体" w:eastAsia="楷体" w:cs="楷体"/>
          <w:b/>
          <w:color w:val="auto"/>
          <w:sz w:val="32"/>
          <w:szCs w:val="32"/>
          <w:highlight w:val="none"/>
        </w:rPr>
      </w:pPr>
      <w:r>
        <w:rPr>
          <w:rFonts w:hint="eastAsia" w:ascii="楷体" w:hAnsi="楷体" w:eastAsia="楷体" w:cs="楷体"/>
          <w:b/>
          <w:color w:val="auto"/>
          <w:sz w:val="32"/>
          <w:szCs w:val="32"/>
          <w:highlight w:val="none"/>
        </w:rPr>
        <w:t>（三）一般公共预算财政拨款支出决算具体情况</w:t>
      </w:r>
      <w:bookmarkEnd w:id="66"/>
      <w:bookmarkEnd w:id="67"/>
    </w:p>
    <w:p w14:paraId="50811D1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ascii="仿宋" w:hAnsi="仿宋" w:eastAsia="仿宋"/>
          <w:color w:val="auto"/>
          <w:sz w:val="32"/>
          <w:szCs w:val="32"/>
          <w:highlight w:val="none"/>
        </w:rPr>
      </w:pPr>
      <w:bookmarkStart w:id="68" w:name="_Toc15377213"/>
      <w:bookmarkStart w:id="69" w:name="_Toc15994"/>
      <w:bookmarkStart w:id="70" w:name="_Toc15377444"/>
      <w:bookmarkStart w:id="71" w:name="_Toc2868"/>
      <w:bookmarkStart w:id="72" w:name="_Toc7523"/>
      <w:bookmarkStart w:id="73" w:name="_Toc29458"/>
      <w:bookmarkStart w:id="74" w:name="_Toc15378460"/>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1155.99万元，</w:t>
      </w:r>
      <w:r>
        <w:rPr>
          <w:rStyle w:val="19"/>
          <w:rFonts w:hint="eastAsia" w:ascii="仿宋" w:hAnsi="仿宋" w:eastAsia="仿宋"/>
          <w:bCs/>
          <w:color w:val="auto"/>
          <w:sz w:val="32"/>
          <w:szCs w:val="32"/>
          <w:highlight w:val="none"/>
        </w:rPr>
        <w:t>完成预算</w:t>
      </w:r>
      <w:r>
        <w:rPr>
          <w:rStyle w:val="19"/>
          <w:rFonts w:hint="eastAsia" w:ascii="仿宋" w:hAnsi="仿宋" w:eastAsia="仿宋"/>
          <w:bCs/>
          <w:color w:val="auto"/>
          <w:sz w:val="32"/>
          <w:szCs w:val="32"/>
          <w:highlight w:val="none"/>
          <w:lang w:val="en-US" w:eastAsia="zh-CN"/>
        </w:rPr>
        <w:t>100</w:t>
      </w:r>
      <w:r>
        <w:rPr>
          <w:rStyle w:val="19"/>
          <w:rFonts w:ascii="仿宋" w:hAnsi="仿宋" w:eastAsia="仿宋"/>
          <w:bCs/>
          <w:color w:val="auto"/>
          <w:sz w:val="32"/>
          <w:szCs w:val="32"/>
          <w:highlight w:val="none"/>
        </w:rPr>
        <w:t>%</w:t>
      </w:r>
      <w:r>
        <w:rPr>
          <w:rStyle w:val="19"/>
          <w:rFonts w:hint="eastAsia" w:ascii="仿宋" w:hAnsi="仿宋" w:eastAsia="仿宋"/>
          <w:bCs/>
          <w:color w:val="auto"/>
          <w:sz w:val="32"/>
          <w:szCs w:val="32"/>
          <w:highlight w:val="none"/>
        </w:rPr>
        <w:t>。其中：</w:t>
      </w:r>
      <w:bookmarkEnd w:id="68"/>
      <w:bookmarkEnd w:id="69"/>
      <w:bookmarkEnd w:id="70"/>
      <w:bookmarkEnd w:id="71"/>
      <w:bookmarkEnd w:id="72"/>
      <w:bookmarkEnd w:id="73"/>
      <w:bookmarkEnd w:id="74"/>
    </w:p>
    <w:p w14:paraId="2157E9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1.一般公共服务（类）人大事务（款）行政运行（项）:支出决算为8.56万元，完成预算100%。</w:t>
      </w:r>
    </w:p>
    <w:p w14:paraId="5AE90B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2.一般公共服务（类）人大事务（款）代表工作（项）:支出决算为1.44万元，完成预算100%。</w:t>
      </w:r>
    </w:p>
    <w:p w14:paraId="236D18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3.一般公共服务（类）人大事务（款）其他人大事务支出（项）:支出决算为1.5万元，完成预算100%。</w:t>
      </w:r>
    </w:p>
    <w:p w14:paraId="7347F6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4.一般公共服务（类）政府办公厅（室）及相关机构事务（款）行政运行（项）:支出决算为529.88万元，完成预算100%。</w:t>
      </w:r>
    </w:p>
    <w:p w14:paraId="1F7C28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5.一般公共服务（类）财政事务（款）行政运行（项）:支出决算为14.74万元，完成预算100%。</w:t>
      </w:r>
    </w:p>
    <w:p w14:paraId="0B5EA09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6.一般公共服务（类）纪检监察事务（款）行政运行（项）:支出决算为6.99万元，完成预算100%。</w:t>
      </w:r>
    </w:p>
    <w:p w14:paraId="482A56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7.一般公共服务（类）党委办公厅（室）及相关机构事务（款）行政运行（项）:支出决算为8.21万元，完成预算100%。</w:t>
      </w:r>
    </w:p>
    <w:p w14:paraId="556952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val="0"/>
          <w:bCs w:val="0"/>
          <w:color w:val="auto"/>
          <w:sz w:val="32"/>
          <w:szCs w:val="32"/>
          <w:highlight w:val="none"/>
          <w:lang w:val="en-US" w:eastAsia="zh-CN"/>
        </w:rPr>
      </w:pPr>
      <w:r>
        <w:rPr>
          <w:rFonts w:hint="eastAsia" w:ascii="仿宋" w:hAnsi="仿宋" w:eastAsia="仿宋"/>
          <w:b w:val="0"/>
          <w:bCs w:val="0"/>
          <w:color w:val="auto"/>
          <w:sz w:val="32"/>
          <w:szCs w:val="32"/>
          <w:highlight w:val="none"/>
          <w:lang w:val="en-US" w:eastAsia="zh-CN"/>
        </w:rPr>
        <w:t>8.国防支出（类）其他国防支出（款）其他国防支出（项）:支出决算为2万元，完成预算100%。</w:t>
      </w:r>
    </w:p>
    <w:p w14:paraId="5B05CA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b w:val="0"/>
          <w:bCs w:val="0"/>
          <w:sz w:val="32"/>
          <w:szCs w:val="32"/>
        </w:rPr>
      </w:pPr>
      <w:r>
        <w:rPr>
          <w:rFonts w:hint="eastAsia" w:ascii="仿宋" w:hAnsi="仿宋" w:eastAsia="仿宋"/>
          <w:b w:val="0"/>
          <w:bCs w:val="0"/>
          <w:color w:val="auto"/>
          <w:sz w:val="32"/>
          <w:szCs w:val="32"/>
          <w:highlight w:val="none"/>
          <w:lang w:val="en-US" w:eastAsia="zh-CN"/>
        </w:rPr>
        <w:t>9.</w:t>
      </w:r>
      <w:r>
        <w:rPr>
          <w:rFonts w:hint="eastAsia" w:ascii="仿宋" w:hAnsi="仿宋" w:eastAsia="仿宋"/>
          <w:b w:val="0"/>
          <w:bCs w:val="0"/>
          <w:color w:val="auto"/>
          <w:sz w:val="32"/>
          <w:szCs w:val="32"/>
          <w:highlight w:val="none"/>
        </w:rPr>
        <w:t>公共安全支出</w:t>
      </w:r>
      <w:r>
        <w:rPr>
          <w:rStyle w:val="19"/>
          <w:rFonts w:hint="eastAsia" w:ascii="仿宋" w:hAnsi="仿宋" w:eastAsia="仿宋"/>
          <w:b w:val="0"/>
          <w:bCs w:val="0"/>
          <w:color w:val="auto"/>
          <w:sz w:val="32"/>
          <w:szCs w:val="32"/>
          <w:highlight w:val="none"/>
        </w:rPr>
        <w:t>（类）其他公共安全支出（款）其他公共安全支出（项）</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rPr>
        <w:t>支出决算为</w:t>
      </w:r>
      <w:r>
        <w:rPr>
          <w:rStyle w:val="19"/>
          <w:rFonts w:hint="eastAsia" w:ascii="仿宋" w:hAnsi="仿宋" w:eastAsia="仿宋"/>
          <w:b w:val="0"/>
          <w:bCs w:val="0"/>
          <w:color w:val="auto"/>
          <w:sz w:val="32"/>
          <w:szCs w:val="32"/>
          <w:highlight w:val="none"/>
          <w:lang w:val="en-US" w:eastAsia="zh-CN"/>
        </w:rPr>
        <w:t>3.88</w:t>
      </w:r>
      <w:r>
        <w:rPr>
          <w:rStyle w:val="19"/>
          <w:rFonts w:hint="eastAsia" w:ascii="仿宋" w:hAnsi="仿宋" w:eastAsia="仿宋"/>
          <w:b w:val="0"/>
          <w:bCs w:val="0"/>
          <w:color w:val="auto"/>
          <w:sz w:val="32"/>
          <w:szCs w:val="32"/>
          <w:highlight w:val="none"/>
        </w:rPr>
        <w:t>万元，完成预算</w:t>
      </w:r>
      <w:r>
        <w:rPr>
          <w:rStyle w:val="19"/>
          <w:rFonts w:hint="eastAsia" w:ascii="仿宋" w:hAnsi="仿宋" w:eastAsia="仿宋"/>
          <w:b w:val="0"/>
          <w:bCs w:val="0"/>
          <w:color w:val="auto"/>
          <w:sz w:val="32"/>
          <w:szCs w:val="32"/>
          <w:highlight w:val="none"/>
          <w:lang w:val="en-US" w:eastAsia="zh-CN"/>
        </w:rPr>
        <w:t>100</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rPr>
        <w:t>。</w:t>
      </w:r>
    </w:p>
    <w:p w14:paraId="392D59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9"/>
          <w:rFonts w:hint="eastAsia" w:ascii="仿宋" w:hAnsi="仿宋" w:eastAsia="仿宋"/>
          <w:b w:val="0"/>
          <w:bCs w:val="0"/>
          <w:color w:val="auto"/>
          <w:sz w:val="32"/>
          <w:szCs w:val="32"/>
          <w:highlight w:val="none"/>
          <w:lang w:eastAsia="zh-CN"/>
        </w:rPr>
      </w:pPr>
      <w:r>
        <w:rPr>
          <w:rStyle w:val="19"/>
          <w:rFonts w:hint="eastAsia" w:ascii="仿宋" w:hAnsi="仿宋" w:eastAsia="仿宋"/>
          <w:b w:val="0"/>
          <w:bCs w:val="0"/>
          <w:color w:val="auto"/>
          <w:sz w:val="32"/>
          <w:szCs w:val="32"/>
          <w:highlight w:val="none"/>
          <w:lang w:val="en-US" w:eastAsia="zh-CN"/>
        </w:rPr>
        <w:t>10</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rPr>
        <w:t>文化旅游体育与传媒（类）文化和旅游（款</w:t>
      </w:r>
      <w:r>
        <w:rPr>
          <w:rStyle w:val="19"/>
          <w:rFonts w:hint="eastAsia" w:ascii="仿宋" w:hAnsi="仿宋" w:eastAsia="仿宋"/>
          <w:b w:val="0"/>
          <w:bCs w:val="0"/>
          <w:color w:val="auto"/>
          <w:sz w:val="32"/>
          <w:szCs w:val="32"/>
          <w:highlight w:val="none"/>
          <w:lang w:eastAsia="zh-CN"/>
        </w:rPr>
        <w:t>）</w:t>
      </w:r>
      <w:r>
        <w:rPr>
          <w:rStyle w:val="19"/>
          <w:rFonts w:hint="eastAsia" w:ascii="仿宋" w:hAnsi="仿宋" w:eastAsia="仿宋"/>
          <w:b w:val="0"/>
          <w:bCs w:val="0"/>
          <w:color w:val="auto"/>
          <w:sz w:val="32"/>
          <w:szCs w:val="32"/>
          <w:highlight w:val="none"/>
        </w:rPr>
        <w:t>群众文化（项）</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rPr>
        <w:t>支出决算为</w:t>
      </w:r>
      <w:r>
        <w:rPr>
          <w:rStyle w:val="19"/>
          <w:rFonts w:hint="eastAsia" w:ascii="仿宋" w:hAnsi="仿宋" w:eastAsia="仿宋"/>
          <w:b w:val="0"/>
          <w:bCs w:val="0"/>
          <w:color w:val="auto"/>
          <w:sz w:val="32"/>
          <w:szCs w:val="32"/>
          <w:highlight w:val="none"/>
          <w:lang w:val="en-US" w:eastAsia="zh-CN"/>
        </w:rPr>
        <w:t>4.47</w:t>
      </w:r>
      <w:r>
        <w:rPr>
          <w:rStyle w:val="19"/>
          <w:rFonts w:hint="eastAsia" w:ascii="仿宋" w:hAnsi="仿宋" w:eastAsia="仿宋"/>
          <w:b w:val="0"/>
          <w:bCs w:val="0"/>
          <w:color w:val="auto"/>
          <w:sz w:val="32"/>
          <w:szCs w:val="32"/>
          <w:highlight w:val="none"/>
        </w:rPr>
        <w:t>万元，完成预算</w:t>
      </w:r>
      <w:r>
        <w:rPr>
          <w:rStyle w:val="19"/>
          <w:rFonts w:hint="eastAsia" w:ascii="仿宋" w:hAnsi="仿宋" w:eastAsia="仿宋"/>
          <w:b w:val="0"/>
          <w:bCs w:val="0"/>
          <w:color w:val="auto"/>
          <w:sz w:val="32"/>
          <w:szCs w:val="32"/>
          <w:highlight w:val="none"/>
          <w:lang w:val="en-US" w:eastAsia="zh-CN"/>
        </w:rPr>
        <w:t>100</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lang w:eastAsia="zh-CN"/>
        </w:rPr>
        <w:t>。</w:t>
      </w:r>
    </w:p>
    <w:p w14:paraId="1B8D3F4B">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Style w:val="19"/>
          <w:rFonts w:hint="eastAsia" w:ascii="仿宋" w:hAnsi="仿宋" w:eastAsia="仿宋"/>
          <w:b w:val="0"/>
          <w:bCs w:val="0"/>
          <w:color w:val="auto"/>
          <w:sz w:val="32"/>
          <w:szCs w:val="32"/>
          <w:highlight w:val="none"/>
        </w:rPr>
      </w:pPr>
      <w:r>
        <w:rPr>
          <w:rStyle w:val="19"/>
          <w:rFonts w:hint="eastAsia" w:ascii="仿宋" w:hAnsi="仿宋" w:eastAsia="仿宋"/>
          <w:b w:val="0"/>
          <w:bCs w:val="0"/>
          <w:color w:val="auto"/>
          <w:sz w:val="32"/>
          <w:szCs w:val="32"/>
          <w:highlight w:val="none"/>
          <w:lang w:val="en-US" w:eastAsia="zh-CN"/>
        </w:rPr>
        <w:t>11.</w:t>
      </w:r>
      <w:r>
        <w:rPr>
          <w:rFonts w:hint="eastAsia" w:ascii="仿宋" w:hAnsi="仿宋" w:eastAsia="仿宋" w:cs="Times New Roman"/>
          <w:b w:val="0"/>
          <w:bCs w:val="0"/>
          <w:color w:val="auto"/>
          <w:kern w:val="2"/>
          <w:sz w:val="32"/>
          <w:szCs w:val="32"/>
          <w:highlight w:val="none"/>
          <w:lang w:val="en-US" w:eastAsia="zh-CN" w:bidi="ar-SA"/>
        </w:rPr>
        <w:t>社会保障和就业支出（类）人力资源和社会保障管理事务（款）行政运行（项）：</w:t>
      </w:r>
      <w:r>
        <w:rPr>
          <w:rStyle w:val="19"/>
          <w:rFonts w:hint="eastAsia" w:ascii="仿宋" w:hAnsi="仿宋" w:eastAsia="仿宋"/>
          <w:b w:val="0"/>
          <w:bCs w:val="0"/>
          <w:color w:val="auto"/>
          <w:sz w:val="32"/>
          <w:szCs w:val="32"/>
          <w:highlight w:val="none"/>
        </w:rPr>
        <w:t>支出决算为</w:t>
      </w:r>
      <w:r>
        <w:rPr>
          <w:rStyle w:val="19"/>
          <w:rFonts w:hint="eastAsia" w:ascii="仿宋" w:hAnsi="仿宋" w:eastAsia="仿宋"/>
          <w:b w:val="0"/>
          <w:bCs w:val="0"/>
          <w:color w:val="auto"/>
          <w:sz w:val="32"/>
          <w:szCs w:val="32"/>
          <w:highlight w:val="none"/>
          <w:lang w:val="en-US" w:eastAsia="zh-CN"/>
        </w:rPr>
        <w:t>3.72</w:t>
      </w:r>
      <w:r>
        <w:rPr>
          <w:rStyle w:val="19"/>
          <w:rFonts w:hint="eastAsia" w:ascii="仿宋" w:hAnsi="仿宋" w:eastAsia="仿宋"/>
          <w:b w:val="0"/>
          <w:bCs w:val="0"/>
          <w:color w:val="auto"/>
          <w:sz w:val="32"/>
          <w:szCs w:val="32"/>
          <w:highlight w:val="none"/>
        </w:rPr>
        <w:t>万元，完成预算</w:t>
      </w:r>
      <w:r>
        <w:rPr>
          <w:rStyle w:val="19"/>
          <w:rFonts w:hint="eastAsia" w:ascii="仿宋" w:hAnsi="仿宋" w:eastAsia="仿宋"/>
          <w:b w:val="0"/>
          <w:bCs w:val="0"/>
          <w:color w:val="auto"/>
          <w:sz w:val="32"/>
          <w:szCs w:val="32"/>
          <w:highlight w:val="none"/>
          <w:lang w:val="en-US" w:eastAsia="zh-CN"/>
        </w:rPr>
        <w:t>100</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rPr>
        <w:t>。</w:t>
      </w:r>
    </w:p>
    <w:p w14:paraId="5ACF125B">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Style w:val="19"/>
          <w:rFonts w:hint="eastAsia" w:ascii="仿宋" w:hAnsi="仿宋" w:eastAsia="仿宋"/>
          <w:b w:val="0"/>
          <w:bCs w:val="0"/>
          <w:color w:val="auto"/>
          <w:sz w:val="32"/>
          <w:szCs w:val="32"/>
          <w:highlight w:val="none"/>
        </w:rPr>
      </w:pPr>
      <w:r>
        <w:rPr>
          <w:rFonts w:hint="eastAsia" w:ascii="仿宋" w:hAnsi="仿宋" w:eastAsia="仿宋" w:cs="Times New Roman"/>
          <w:b w:val="0"/>
          <w:bCs w:val="0"/>
          <w:color w:val="auto"/>
          <w:kern w:val="2"/>
          <w:sz w:val="32"/>
          <w:szCs w:val="32"/>
          <w:highlight w:val="none"/>
          <w:lang w:val="en-US" w:eastAsia="zh-CN" w:bidi="ar-SA"/>
        </w:rPr>
        <w:t>12.社会保障和就业支出（类）行政事业单位养老支出（款）行政单位离退休（项）：</w:t>
      </w:r>
      <w:r>
        <w:rPr>
          <w:rStyle w:val="19"/>
          <w:rFonts w:hint="eastAsia" w:ascii="仿宋" w:hAnsi="仿宋" w:eastAsia="仿宋"/>
          <w:b w:val="0"/>
          <w:bCs w:val="0"/>
          <w:color w:val="auto"/>
          <w:sz w:val="32"/>
          <w:szCs w:val="32"/>
          <w:highlight w:val="none"/>
        </w:rPr>
        <w:t>支出决算为</w:t>
      </w:r>
      <w:r>
        <w:rPr>
          <w:rStyle w:val="19"/>
          <w:rFonts w:hint="eastAsia" w:ascii="仿宋" w:hAnsi="仿宋" w:eastAsia="仿宋"/>
          <w:b w:val="0"/>
          <w:bCs w:val="0"/>
          <w:color w:val="auto"/>
          <w:sz w:val="32"/>
          <w:szCs w:val="32"/>
          <w:highlight w:val="none"/>
          <w:lang w:val="en-US" w:eastAsia="zh-CN"/>
        </w:rPr>
        <w:t>38</w:t>
      </w:r>
      <w:r>
        <w:rPr>
          <w:rStyle w:val="19"/>
          <w:rFonts w:hint="eastAsia" w:ascii="仿宋" w:hAnsi="仿宋" w:eastAsia="仿宋"/>
          <w:b w:val="0"/>
          <w:bCs w:val="0"/>
          <w:color w:val="auto"/>
          <w:sz w:val="32"/>
          <w:szCs w:val="32"/>
          <w:highlight w:val="none"/>
        </w:rPr>
        <w:t>万元，完成预算</w:t>
      </w:r>
      <w:r>
        <w:rPr>
          <w:rStyle w:val="19"/>
          <w:rFonts w:hint="eastAsia" w:ascii="仿宋" w:hAnsi="仿宋" w:eastAsia="仿宋"/>
          <w:b w:val="0"/>
          <w:bCs w:val="0"/>
          <w:color w:val="auto"/>
          <w:sz w:val="32"/>
          <w:szCs w:val="32"/>
          <w:highlight w:val="none"/>
          <w:lang w:val="en-US" w:eastAsia="zh-CN"/>
        </w:rPr>
        <w:t>100</w:t>
      </w:r>
      <w:r>
        <w:rPr>
          <w:rStyle w:val="19"/>
          <w:rFonts w:ascii="仿宋" w:hAnsi="仿宋" w:eastAsia="仿宋"/>
          <w:b w:val="0"/>
          <w:bCs w:val="0"/>
          <w:color w:val="auto"/>
          <w:sz w:val="32"/>
          <w:szCs w:val="32"/>
          <w:highlight w:val="none"/>
        </w:rPr>
        <w:t>%</w:t>
      </w:r>
      <w:r>
        <w:rPr>
          <w:rStyle w:val="19"/>
          <w:rFonts w:hint="eastAsia" w:ascii="仿宋" w:hAnsi="仿宋" w:eastAsia="仿宋"/>
          <w:b w:val="0"/>
          <w:bCs w:val="0"/>
          <w:color w:val="auto"/>
          <w:sz w:val="32"/>
          <w:szCs w:val="32"/>
          <w:highlight w:val="none"/>
        </w:rPr>
        <w:t>。</w:t>
      </w:r>
    </w:p>
    <w:p w14:paraId="592C9CF8">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13.社会保障和就业支出（类）行政事业单位养老支出（款）机关事业单位基本养老保险缴费支出（项）：支出决算为69.74万元，完成预算100%。</w:t>
      </w:r>
    </w:p>
    <w:p w14:paraId="1EE5F211">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14.社会保障和就业支出（类）其他社会保障和就业支出（款）其他社会保障和就业支出（项）：支出决算为5.19万元，完成预算100%。</w:t>
      </w:r>
    </w:p>
    <w:p w14:paraId="7D3A97BE">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15.卫生健康支出（类）卫生健康管理事务（款）行政运行（项）：支出决算为4.73万元，完成预算100%。</w:t>
      </w:r>
    </w:p>
    <w:p w14:paraId="02FE186B">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16.卫生健康支出（类）计划生育事务（款）其他计划生育事务支出（项）：支出决算为1.36万元，完成预算100%。</w:t>
      </w:r>
    </w:p>
    <w:p w14:paraId="0D321203">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17.卫生健康支出（类）行政事业单位医疗（款）行政单位医疗（项）：支出决算为28.36万元，完成预算100%。</w:t>
      </w:r>
    </w:p>
    <w:p w14:paraId="7E7AC155">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18.城乡社区支出（类）城乡社区环境卫生（款）城乡社区环境卫生（项）：支出决算为2万元，完成预算100%。</w:t>
      </w:r>
    </w:p>
    <w:p w14:paraId="41CFF285">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19.城乡社区支出（类）国有土地使用权出让收入安排的支出（款）其他国有土地使用权出让收入安排的支出（项）：支出决算为6.5万元，完成预算100%。</w:t>
      </w:r>
    </w:p>
    <w:p w14:paraId="2837AD99">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20.农林水支出（类）农业农村（款）行政运行（项）：支出决算为15.07万元，完成预算100%。</w:t>
      </w:r>
    </w:p>
    <w:p w14:paraId="0D258E5B">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21.农林水支出（类）农业农村（款）农村道路建设（项）：支出决算为1.34万元，完成预算100%。</w:t>
      </w:r>
    </w:p>
    <w:p w14:paraId="549CE915">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22.农林水支出（类）林业和草原（款）行政运行（项）：支出决算为15.77万元，完成预算100%。</w:t>
      </w:r>
    </w:p>
    <w:p w14:paraId="1440958F">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23.农林水支出（类）巩固脱贫衔接乡村振兴（款）其他巩固脱贫衔接乡村振兴支出（项）：支出决算为18.55万元，完成预算100%。</w:t>
      </w:r>
    </w:p>
    <w:p w14:paraId="3F3DB8FB">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24.农林水支出（类）农村综合改革（款）对村民委员会和村党支部的补助（项）：支出决算为310.25万元，完成预算100%。</w:t>
      </w:r>
    </w:p>
    <w:p w14:paraId="4F818BAA">
      <w:pPr>
        <w:pStyle w:val="6"/>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cs="Times New Roman"/>
          <w:b w:val="0"/>
          <w:bCs w:val="0"/>
          <w:color w:val="auto"/>
          <w:kern w:val="2"/>
          <w:sz w:val="32"/>
          <w:szCs w:val="32"/>
          <w:highlight w:val="none"/>
          <w:lang w:val="en-US" w:eastAsia="zh-CN" w:bidi="ar-SA"/>
        </w:rPr>
      </w:pPr>
      <w:r>
        <w:rPr>
          <w:rFonts w:hint="eastAsia" w:ascii="仿宋" w:hAnsi="仿宋" w:eastAsia="仿宋" w:cs="Times New Roman"/>
          <w:b w:val="0"/>
          <w:bCs w:val="0"/>
          <w:color w:val="auto"/>
          <w:kern w:val="2"/>
          <w:sz w:val="32"/>
          <w:szCs w:val="32"/>
          <w:highlight w:val="none"/>
          <w:lang w:val="en-US" w:eastAsia="zh-CN" w:bidi="ar-SA"/>
        </w:rPr>
        <w:t>25.住房保障支出（类）住房改革支出（款）住房公积金（项）：支出决算为53.72万元，完成预算100%。</w:t>
      </w:r>
    </w:p>
    <w:p w14:paraId="4D02AAEB">
      <w:pPr>
        <w:tabs>
          <w:tab w:val="right" w:pos="8306"/>
        </w:tabs>
        <w:spacing w:line="600" w:lineRule="exact"/>
        <w:ind w:firstLine="640"/>
        <w:outlineLvl w:val="1"/>
        <w:rPr>
          <w:rFonts w:hint="eastAsia" w:ascii="黑体" w:eastAsia="黑体"/>
          <w:color w:val="auto"/>
          <w:sz w:val="32"/>
          <w:szCs w:val="32"/>
          <w:highlight w:val="none"/>
        </w:rPr>
      </w:pPr>
      <w:bookmarkStart w:id="75" w:name="_Toc27436"/>
      <w:bookmarkStart w:id="76" w:name="_Toc15396608"/>
      <w:bookmarkStart w:id="77" w:name="_Toc15377214"/>
      <w:bookmarkStart w:id="78" w:name="_Toc26586"/>
    </w:p>
    <w:p w14:paraId="63959326">
      <w:pPr>
        <w:keepNext w:val="0"/>
        <w:keepLines w:val="0"/>
        <w:pageBreakBefore w:val="0"/>
        <w:widowControl w:val="0"/>
        <w:tabs>
          <w:tab w:val="right" w:pos="8306"/>
        </w:tabs>
        <w:kinsoku/>
        <w:wordWrap/>
        <w:overflowPunct/>
        <w:topLinePunct w:val="0"/>
        <w:autoSpaceDE/>
        <w:autoSpaceDN/>
        <w:bidi w:val="0"/>
        <w:adjustRightInd/>
        <w:snapToGrid/>
        <w:spacing w:line="560" w:lineRule="exact"/>
        <w:ind w:firstLine="640" w:firstLineChars="200"/>
        <w:textAlignment w:val="auto"/>
        <w:outlineLvl w:val="1"/>
        <w:rPr>
          <w:rStyle w:val="31"/>
          <w:color w:val="auto"/>
          <w:highlight w:val="none"/>
        </w:rPr>
      </w:pPr>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般公共预算财政拨款基本支出决算情况说明</w:t>
      </w:r>
      <w:bookmarkEnd w:id="75"/>
      <w:bookmarkEnd w:id="76"/>
      <w:bookmarkEnd w:id="77"/>
      <w:bookmarkEnd w:id="78"/>
    </w:p>
    <w:p w14:paraId="47ACC273">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1079.72</w:t>
      </w:r>
      <w:r>
        <w:rPr>
          <w:rFonts w:hint="eastAsia" w:ascii="仿宋" w:hAnsi="仿宋" w:eastAsia="仿宋"/>
          <w:color w:val="auto"/>
          <w:sz w:val="32"/>
          <w:szCs w:val="32"/>
          <w:highlight w:val="none"/>
        </w:rPr>
        <w:t>万元，其中：</w:t>
      </w:r>
    </w:p>
    <w:p w14:paraId="41F8D0EB">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922.13</w:t>
      </w:r>
      <w:r>
        <w:rPr>
          <w:rFonts w:hint="eastAsia" w:ascii="仿宋" w:hAnsi="仿宋" w:eastAsia="仿宋"/>
          <w:color w:val="auto"/>
          <w:sz w:val="32"/>
          <w:szCs w:val="32"/>
          <w:highlight w:val="none"/>
        </w:rPr>
        <w:t>万元，主要包括：基本工资</w:t>
      </w:r>
      <w:r>
        <w:rPr>
          <w:rFonts w:hint="eastAsia" w:ascii="仿宋" w:hAnsi="仿宋" w:eastAsia="仿宋"/>
          <w:color w:val="auto"/>
          <w:sz w:val="32"/>
          <w:szCs w:val="32"/>
          <w:highlight w:val="none"/>
          <w:lang w:val="en-US" w:eastAsia="zh-CN"/>
        </w:rPr>
        <w:t>191.52万元</w:t>
      </w:r>
      <w:r>
        <w:rPr>
          <w:rFonts w:hint="eastAsia" w:ascii="仿宋" w:hAnsi="仿宋" w:eastAsia="仿宋"/>
          <w:color w:val="auto"/>
          <w:sz w:val="32"/>
          <w:szCs w:val="32"/>
          <w:highlight w:val="none"/>
        </w:rPr>
        <w:t>、津贴补贴</w:t>
      </w:r>
      <w:r>
        <w:rPr>
          <w:rFonts w:hint="eastAsia" w:ascii="仿宋" w:hAnsi="仿宋" w:eastAsia="仿宋"/>
          <w:color w:val="auto"/>
          <w:sz w:val="32"/>
          <w:szCs w:val="32"/>
          <w:highlight w:val="none"/>
          <w:lang w:val="en-US" w:eastAsia="zh-CN"/>
        </w:rPr>
        <w:t>107.25万元</w:t>
      </w:r>
      <w:r>
        <w:rPr>
          <w:rFonts w:hint="eastAsia" w:ascii="仿宋" w:hAnsi="仿宋" w:eastAsia="仿宋"/>
          <w:color w:val="auto"/>
          <w:sz w:val="32"/>
          <w:szCs w:val="32"/>
          <w:highlight w:val="none"/>
        </w:rPr>
        <w:t>、奖金</w:t>
      </w:r>
      <w:r>
        <w:rPr>
          <w:rFonts w:hint="eastAsia" w:ascii="仿宋" w:hAnsi="仿宋" w:eastAsia="仿宋"/>
          <w:color w:val="auto"/>
          <w:sz w:val="32"/>
          <w:szCs w:val="32"/>
          <w:highlight w:val="none"/>
          <w:lang w:val="en-US" w:eastAsia="zh-CN"/>
        </w:rPr>
        <w:t>5.95万元</w:t>
      </w:r>
      <w:r>
        <w:rPr>
          <w:rFonts w:hint="eastAsia" w:ascii="仿宋" w:hAnsi="仿宋" w:eastAsia="仿宋"/>
          <w:color w:val="auto"/>
          <w:sz w:val="32"/>
          <w:szCs w:val="32"/>
          <w:highlight w:val="none"/>
        </w:rPr>
        <w:t>、机关事业单位基本养老保险缴费</w:t>
      </w:r>
      <w:r>
        <w:rPr>
          <w:rFonts w:hint="eastAsia" w:ascii="仿宋" w:hAnsi="仿宋" w:eastAsia="仿宋"/>
          <w:color w:val="auto"/>
          <w:sz w:val="32"/>
          <w:szCs w:val="32"/>
          <w:highlight w:val="none"/>
          <w:lang w:val="en-US" w:eastAsia="zh-CN"/>
        </w:rPr>
        <w:t>69.74万元</w:t>
      </w:r>
      <w:r>
        <w:rPr>
          <w:rFonts w:hint="eastAsia" w:ascii="仿宋" w:hAnsi="仿宋" w:eastAsia="仿宋"/>
          <w:color w:val="auto"/>
          <w:sz w:val="32"/>
          <w:szCs w:val="32"/>
          <w:highlight w:val="none"/>
        </w:rPr>
        <w:t>、职工基本医疗保险缴费</w:t>
      </w:r>
      <w:r>
        <w:rPr>
          <w:rFonts w:hint="eastAsia" w:ascii="仿宋" w:hAnsi="仿宋" w:eastAsia="仿宋"/>
          <w:color w:val="auto"/>
          <w:sz w:val="32"/>
          <w:szCs w:val="32"/>
          <w:highlight w:val="none"/>
          <w:lang w:val="en-US" w:eastAsia="zh-CN"/>
        </w:rPr>
        <w:t>28.36万元</w:t>
      </w:r>
      <w:r>
        <w:rPr>
          <w:rFonts w:hint="eastAsia" w:ascii="仿宋" w:hAnsi="仿宋" w:eastAsia="仿宋"/>
          <w:color w:val="auto"/>
          <w:sz w:val="32"/>
          <w:szCs w:val="32"/>
          <w:highlight w:val="none"/>
        </w:rPr>
        <w:t>、其他社会保障缴费</w:t>
      </w:r>
      <w:r>
        <w:rPr>
          <w:rFonts w:hint="eastAsia" w:ascii="仿宋" w:hAnsi="仿宋" w:eastAsia="仿宋"/>
          <w:color w:val="auto"/>
          <w:sz w:val="32"/>
          <w:szCs w:val="32"/>
          <w:highlight w:val="none"/>
          <w:lang w:val="en-US" w:eastAsia="zh-CN"/>
        </w:rPr>
        <w:t>5.19万元</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住房公积金</w:t>
      </w:r>
      <w:r>
        <w:rPr>
          <w:rFonts w:hint="eastAsia" w:ascii="仿宋" w:hAnsi="仿宋" w:eastAsia="仿宋"/>
          <w:color w:val="auto"/>
          <w:sz w:val="32"/>
          <w:szCs w:val="32"/>
          <w:highlight w:val="none"/>
          <w:lang w:val="en-US" w:eastAsia="zh-CN"/>
        </w:rPr>
        <w:t>53.72万元、</w:t>
      </w:r>
      <w:r>
        <w:rPr>
          <w:rFonts w:hint="eastAsia" w:ascii="仿宋" w:hAnsi="仿宋" w:eastAsia="仿宋"/>
          <w:color w:val="auto"/>
          <w:sz w:val="32"/>
          <w:szCs w:val="32"/>
          <w:highlight w:val="none"/>
        </w:rPr>
        <w:t>其他工资福利支出</w:t>
      </w:r>
      <w:r>
        <w:rPr>
          <w:rFonts w:hint="eastAsia" w:ascii="仿宋" w:hAnsi="仿宋" w:eastAsia="仿宋"/>
          <w:color w:val="auto"/>
          <w:sz w:val="32"/>
          <w:szCs w:val="32"/>
          <w:highlight w:val="none"/>
          <w:lang w:val="en-US" w:eastAsia="zh-CN"/>
        </w:rPr>
        <w:t>160.80万元</w:t>
      </w:r>
      <w:r>
        <w:rPr>
          <w:rFonts w:hint="eastAsia" w:ascii="仿宋" w:hAnsi="仿宋" w:eastAsia="仿宋"/>
          <w:color w:val="auto"/>
          <w:sz w:val="32"/>
          <w:szCs w:val="32"/>
          <w:highlight w:val="none"/>
        </w:rPr>
        <w:t>、生活补助</w:t>
      </w:r>
      <w:r>
        <w:rPr>
          <w:rFonts w:hint="eastAsia" w:ascii="仿宋" w:hAnsi="仿宋" w:eastAsia="仿宋"/>
          <w:color w:val="auto"/>
          <w:sz w:val="32"/>
          <w:szCs w:val="32"/>
          <w:highlight w:val="none"/>
          <w:lang w:val="en-US" w:eastAsia="zh-CN"/>
        </w:rPr>
        <w:t>297.04万元</w:t>
      </w:r>
      <w:r>
        <w:rPr>
          <w:rFonts w:hint="eastAsia" w:ascii="仿宋" w:hAnsi="仿宋" w:eastAsia="仿宋"/>
          <w:color w:val="auto"/>
          <w:sz w:val="32"/>
          <w:szCs w:val="32"/>
          <w:highlight w:val="none"/>
        </w:rPr>
        <w:t>、其他对个人和家庭的补助支出</w:t>
      </w:r>
      <w:r>
        <w:rPr>
          <w:rFonts w:hint="eastAsia" w:ascii="仿宋" w:hAnsi="仿宋" w:eastAsia="仿宋"/>
          <w:color w:val="auto"/>
          <w:sz w:val="32"/>
          <w:szCs w:val="32"/>
          <w:highlight w:val="none"/>
          <w:lang w:val="en-US" w:eastAsia="zh-CN"/>
        </w:rPr>
        <w:t>2.55万元</w:t>
      </w:r>
      <w:r>
        <w:rPr>
          <w:rFonts w:hint="eastAsia" w:ascii="仿宋" w:hAnsi="仿宋" w:eastAsia="仿宋"/>
          <w:color w:val="auto"/>
          <w:sz w:val="32"/>
          <w:szCs w:val="32"/>
          <w:highlight w:val="none"/>
        </w:rPr>
        <w:t>等。</w:t>
      </w:r>
    </w:p>
    <w:p w14:paraId="0760DD7D">
      <w:pPr>
        <w:keepNext w:val="0"/>
        <w:keepLines w:val="0"/>
        <w:pageBreakBefore w:val="0"/>
        <w:widowControl w:val="0"/>
        <w:kinsoku/>
        <w:wordWrap/>
        <w:overflowPunct/>
        <w:topLinePunct w:val="0"/>
        <w:autoSpaceDE/>
        <w:autoSpaceDN/>
        <w:bidi w:val="0"/>
        <w:adjustRightInd/>
        <w:snapToGrid/>
        <w:spacing w:line="560" w:lineRule="exact"/>
        <w:ind w:firstLine="646"/>
        <w:textAlignment w:val="auto"/>
        <w:rPr>
          <w:rFonts w:ascii="仿宋" w:hAnsi="仿宋" w:eastAsia="仿宋"/>
          <w:color w:val="auto"/>
          <w:sz w:val="32"/>
          <w:szCs w:val="32"/>
          <w:highlight w:val="none"/>
        </w:rPr>
      </w:pPr>
      <w:r>
        <w:rPr>
          <w:rFonts w:hint="eastAsia" w:ascii="仿宋" w:hAnsi="仿宋" w:eastAsia="仿宋"/>
          <w:color w:val="auto"/>
          <w:sz w:val="32"/>
          <w:szCs w:val="32"/>
          <w:highlight w:val="none"/>
        </w:rPr>
        <w:t>公用经费</w:t>
      </w:r>
      <w:r>
        <w:rPr>
          <w:rFonts w:hint="eastAsia" w:ascii="仿宋" w:hAnsi="仿宋" w:eastAsia="仿宋"/>
          <w:color w:val="auto"/>
          <w:sz w:val="32"/>
          <w:szCs w:val="32"/>
          <w:highlight w:val="none"/>
          <w:lang w:val="en-US" w:eastAsia="zh-CN"/>
        </w:rPr>
        <w:t>157.59</w:t>
      </w:r>
      <w:r>
        <w:rPr>
          <w:rFonts w:hint="eastAsia" w:ascii="仿宋" w:hAnsi="仿宋" w:eastAsia="仿宋"/>
          <w:color w:val="auto"/>
          <w:sz w:val="32"/>
          <w:szCs w:val="32"/>
          <w:highlight w:val="none"/>
        </w:rPr>
        <w:t>万元，主要包括：办公费</w:t>
      </w:r>
      <w:r>
        <w:rPr>
          <w:rFonts w:hint="eastAsia" w:ascii="仿宋" w:hAnsi="仿宋" w:eastAsia="仿宋"/>
          <w:color w:val="auto"/>
          <w:sz w:val="32"/>
          <w:szCs w:val="32"/>
          <w:highlight w:val="none"/>
          <w:lang w:val="en-US" w:eastAsia="zh-CN"/>
        </w:rPr>
        <w:t>36.69万元</w:t>
      </w:r>
      <w:r>
        <w:rPr>
          <w:rFonts w:hint="eastAsia" w:ascii="仿宋" w:hAnsi="仿宋" w:eastAsia="仿宋"/>
          <w:color w:val="auto"/>
          <w:sz w:val="32"/>
          <w:szCs w:val="32"/>
          <w:highlight w:val="none"/>
        </w:rPr>
        <w:t>、印刷费</w:t>
      </w:r>
      <w:r>
        <w:rPr>
          <w:rFonts w:hint="eastAsia" w:ascii="仿宋" w:hAnsi="仿宋" w:eastAsia="仿宋"/>
          <w:color w:val="auto"/>
          <w:sz w:val="32"/>
          <w:szCs w:val="32"/>
          <w:highlight w:val="none"/>
          <w:lang w:val="en-US" w:eastAsia="zh-CN"/>
        </w:rPr>
        <w:t>1万元</w:t>
      </w:r>
      <w:r>
        <w:rPr>
          <w:rFonts w:hint="eastAsia" w:ascii="仿宋" w:hAnsi="仿宋" w:eastAsia="仿宋"/>
          <w:color w:val="auto"/>
          <w:sz w:val="32"/>
          <w:szCs w:val="32"/>
          <w:highlight w:val="none"/>
        </w:rPr>
        <w:t>、水费</w:t>
      </w:r>
      <w:r>
        <w:rPr>
          <w:rFonts w:hint="eastAsia" w:ascii="仿宋" w:hAnsi="仿宋" w:eastAsia="仿宋"/>
          <w:color w:val="auto"/>
          <w:sz w:val="32"/>
          <w:szCs w:val="32"/>
          <w:highlight w:val="none"/>
          <w:lang w:val="en-US" w:eastAsia="zh-CN"/>
        </w:rPr>
        <w:t>0.8万元</w:t>
      </w:r>
      <w:r>
        <w:rPr>
          <w:rFonts w:hint="eastAsia" w:ascii="仿宋" w:hAnsi="仿宋" w:eastAsia="仿宋"/>
          <w:color w:val="auto"/>
          <w:sz w:val="32"/>
          <w:szCs w:val="32"/>
          <w:highlight w:val="none"/>
        </w:rPr>
        <w:t>、电费</w:t>
      </w:r>
      <w:r>
        <w:rPr>
          <w:rFonts w:hint="eastAsia" w:ascii="仿宋" w:hAnsi="仿宋" w:eastAsia="仿宋"/>
          <w:color w:val="auto"/>
          <w:sz w:val="32"/>
          <w:szCs w:val="32"/>
          <w:highlight w:val="none"/>
          <w:lang w:val="en-US" w:eastAsia="zh-CN"/>
        </w:rPr>
        <w:t>4万元</w:t>
      </w:r>
      <w:r>
        <w:rPr>
          <w:rFonts w:hint="eastAsia" w:ascii="仿宋" w:hAnsi="仿宋" w:eastAsia="仿宋"/>
          <w:color w:val="auto"/>
          <w:sz w:val="32"/>
          <w:szCs w:val="32"/>
          <w:highlight w:val="none"/>
        </w:rPr>
        <w:t>、邮电费</w:t>
      </w:r>
      <w:r>
        <w:rPr>
          <w:rFonts w:hint="eastAsia" w:ascii="仿宋" w:hAnsi="仿宋" w:eastAsia="仿宋"/>
          <w:color w:val="auto"/>
          <w:sz w:val="32"/>
          <w:szCs w:val="32"/>
          <w:highlight w:val="none"/>
          <w:lang w:val="en-US" w:eastAsia="zh-CN"/>
        </w:rPr>
        <w:t>3万元</w:t>
      </w:r>
      <w:r>
        <w:rPr>
          <w:rFonts w:hint="eastAsia" w:ascii="仿宋" w:hAnsi="仿宋" w:eastAsia="仿宋"/>
          <w:color w:val="auto"/>
          <w:sz w:val="32"/>
          <w:szCs w:val="32"/>
          <w:highlight w:val="none"/>
        </w:rPr>
        <w:t>、差旅费</w:t>
      </w:r>
      <w:r>
        <w:rPr>
          <w:rFonts w:hint="eastAsia" w:ascii="仿宋" w:hAnsi="仿宋" w:eastAsia="仿宋"/>
          <w:color w:val="auto"/>
          <w:sz w:val="32"/>
          <w:szCs w:val="32"/>
          <w:highlight w:val="none"/>
          <w:lang w:val="en-US" w:eastAsia="zh-CN"/>
        </w:rPr>
        <w:t>57.60万元</w:t>
      </w:r>
      <w:r>
        <w:rPr>
          <w:rFonts w:hint="eastAsia" w:ascii="仿宋" w:hAnsi="仿宋" w:eastAsia="仿宋"/>
          <w:color w:val="auto"/>
          <w:sz w:val="32"/>
          <w:szCs w:val="32"/>
          <w:highlight w:val="none"/>
        </w:rPr>
        <w:t>、租赁费</w:t>
      </w:r>
      <w:r>
        <w:rPr>
          <w:rFonts w:hint="eastAsia" w:ascii="仿宋" w:hAnsi="仿宋" w:eastAsia="仿宋"/>
          <w:color w:val="auto"/>
          <w:sz w:val="32"/>
          <w:szCs w:val="32"/>
          <w:highlight w:val="none"/>
          <w:lang w:val="en-US" w:eastAsia="zh-CN"/>
        </w:rPr>
        <w:t>2万元</w:t>
      </w:r>
      <w:r>
        <w:rPr>
          <w:rFonts w:hint="eastAsia" w:ascii="仿宋" w:hAnsi="仿宋" w:eastAsia="仿宋"/>
          <w:color w:val="auto"/>
          <w:sz w:val="32"/>
          <w:szCs w:val="32"/>
          <w:highlight w:val="none"/>
        </w:rPr>
        <w:t>、公务接待费</w:t>
      </w:r>
      <w:r>
        <w:rPr>
          <w:rFonts w:hint="eastAsia" w:ascii="仿宋" w:hAnsi="仿宋" w:eastAsia="仿宋"/>
          <w:color w:val="auto"/>
          <w:sz w:val="32"/>
          <w:szCs w:val="32"/>
          <w:highlight w:val="none"/>
          <w:lang w:val="en-US" w:eastAsia="zh-CN"/>
        </w:rPr>
        <w:t>7.2万元</w:t>
      </w:r>
      <w:r>
        <w:rPr>
          <w:rFonts w:hint="eastAsia" w:ascii="仿宋" w:hAnsi="仿宋" w:eastAsia="仿宋"/>
          <w:color w:val="auto"/>
          <w:sz w:val="32"/>
          <w:szCs w:val="32"/>
          <w:highlight w:val="none"/>
        </w:rPr>
        <w:t>、工会经费</w:t>
      </w:r>
      <w:r>
        <w:rPr>
          <w:rFonts w:hint="eastAsia" w:ascii="仿宋" w:hAnsi="仿宋" w:eastAsia="仿宋"/>
          <w:color w:val="auto"/>
          <w:sz w:val="32"/>
          <w:szCs w:val="32"/>
          <w:highlight w:val="none"/>
          <w:lang w:val="en-US" w:eastAsia="zh-CN"/>
        </w:rPr>
        <w:t>9.3万元</w:t>
      </w:r>
      <w:r>
        <w:rPr>
          <w:rFonts w:hint="eastAsia" w:ascii="仿宋" w:hAnsi="仿宋" w:eastAsia="仿宋"/>
          <w:color w:val="auto"/>
          <w:sz w:val="32"/>
          <w:szCs w:val="32"/>
          <w:highlight w:val="none"/>
        </w:rPr>
        <w:t>、其他交通费</w:t>
      </w:r>
      <w:r>
        <w:rPr>
          <w:rFonts w:hint="eastAsia" w:ascii="仿宋" w:hAnsi="仿宋" w:eastAsia="仿宋"/>
          <w:color w:val="auto"/>
          <w:sz w:val="32"/>
          <w:szCs w:val="32"/>
          <w:highlight w:val="none"/>
          <w:lang w:val="en-US" w:eastAsia="zh-CN"/>
        </w:rPr>
        <w:t>25.72万元</w:t>
      </w:r>
      <w:r>
        <w:rPr>
          <w:rFonts w:hint="eastAsia" w:ascii="仿宋" w:hAnsi="仿宋" w:eastAsia="仿宋"/>
          <w:color w:val="auto"/>
          <w:sz w:val="32"/>
          <w:szCs w:val="32"/>
          <w:highlight w:val="none"/>
        </w:rPr>
        <w:t>、其他商品和服务支出</w:t>
      </w:r>
      <w:r>
        <w:rPr>
          <w:rFonts w:hint="eastAsia" w:ascii="仿宋" w:hAnsi="仿宋" w:eastAsia="仿宋"/>
          <w:color w:val="auto"/>
          <w:sz w:val="32"/>
          <w:szCs w:val="32"/>
          <w:highlight w:val="none"/>
          <w:lang w:val="en-US" w:eastAsia="zh-CN"/>
        </w:rPr>
        <w:t>10.29万元</w:t>
      </w:r>
      <w:r>
        <w:rPr>
          <w:rFonts w:hint="eastAsia" w:ascii="仿宋" w:hAnsi="仿宋" w:eastAsia="仿宋"/>
          <w:color w:val="auto"/>
          <w:sz w:val="32"/>
          <w:szCs w:val="32"/>
          <w:highlight w:val="none"/>
        </w:rPr>
        <w:t>。</w:t>
      </w:r>
    </w:p>
    <w:p w14:paraId="1803105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 w:hAnsi="仿宋" w:eastAsia="仿宋"/>
          <w:b/>
          <w:color w:val="auto"/>
          <w:sz w:val="32"/>
          <w:szCs w:val="32"/>
          <w:highlight w:val="none"/>
        </w:rPr>
      </w:pPr>
    </w:p>
    <w:p w14:paraId="42139D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31"/>
          <w:rFonts w:ascii="黑体" w:hAnsi="黑体" w:eastAsia="黑体"/>
          <w:b w:val="0"/>
          <w:color w:val="auto"/>
          <w:highlight w:val="none"/>
        </w:rPr>
      </w:pPr>
      <w:bookmarkStart w:id="79" w:name="_Toc6802"/>
      <w:bookmarkStart w:id="80" w:name="_Toc15396609"/>
      <w:bookmarkStart w:id="81" w:name="_Toc15377215"/>
      <w:bookmarkStart w:id="82" w:name="_Toc9558"/>
      <w:r>
        <w:rPr>
          <w:rFonts w:hint="eastAsia" w:ascii="黑体" w:eastAsia="黑体"/>
          <w:color w:val="auto"/>
          <w:sz w:val="32"/>
          <w:szCs w:val="32"/>
          <w:highlight w:val="none"/>
        </w:rPr>
        <w:t>七、</w:t>
      </w:r>
      <w:r>
        <w:rPr>
          <w:rStyle w:val="31"/>
          <w:rFonts w:hint="eastAsia" w:ascii="黑体" w:hAnsi="黑体" w:eastAsia="黑体"/>
          <w:b w:val="0"/>
          <w:color w:val="auto"/>
          <w:highlight w:val="none"/>
        </w:rPr>
        <w:t>财政拨款</w:t>
      </w:r>
      <w:r>
        <w:rPr>
          <w:rStyle w:val="31"/>
          <w:rFonts w:hint="eastAsia" w:ascii="黑体" w:hAnsi="黑体" w:eastAsia="黑体"/>
          <w:color w:val="auto"/>
          <w:highlight w:val="none"/>
        </w:rPr>
        <w:t>“</w:t>
      </w:r>
      <w:r>
        <w:rPr>
          <w:rStyle w:val="31"/>
          <w:rFonts w:hint="eastAsia" w:ascii="黑体" w:hAnsi="黑体" w:eastAsia="黑体"/>
          <w:b w:val="0"/>
          <w:color w:val="auto"/>
          <w:highlight w:val="none"/>
        </w:rPr>
        <w:t>三公”经费支出决算情况说明</w:t>
      </w:r>
      <w:bookmarkEnd w:id="79"/>
      <w:bookmarkEnd w:id="80"/>
      <w:bookmarkEnd w:id="81"/>
      <w:bookmarkEnd w:id="82"/>
    </w:p>
    <w:p w14:paraId="66EBF6C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楷体" w:hAnsi="楷体" w:eastAsia="楷体" w:cs="楷体"/>
          <w:b/>
          <w:color w:val="auto"/>
          <w:sz w:val="32"/>
          <w:szCs w:val="32"/>
          <w:highlight w:val="none"/>
        </w:rPr>
      </w:pPr>
      <w:bookmarkStart w:id="83" w:name="_Toc15377216"/>
      <w:bookmarkStart w:id="84" w:name="_Toc29638"/>
      <w:r>
        <w:rPr>
          <w:rFonts w:hint="eastAsia" w:ascii="楷体" w:hAnsi="楷体" w:eastAsia="楷体" w:cs="楷体"/>
          <w:b/>
          <w:color w:val="auto"/>
          <w:sz w:val="32"/>
          <w:szCs w:val="32"/>
          <w:highlight w:val="none"/>
        </w:rPr>
        <w:t>（一）“三公”经费财政拨款支出决算总体情况说明</w:t>
      </w:r>
      <w:bookmarkEnd w:id="83"/>
      <w:bookmarkEnd w:id="84"/>
    </w:p>
    <w:p w14:paraId="2D7BAA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7.2</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较上年增加</w:t>
      </w:r>
      <w:r>
        <w:rPr>
          <w:rFonts w:hint="eastAsia" w:ascii="仿宋" w:hAnsi="仿宋" w:eastAsia="仿宋"/>
          <w:color w:val="auto"/>
          <w:sz w:val="32"/>
          <w:szCs w:val="32"/>
          <w:highlight w:val="none"/>
          <w:lang w:val="en-US" w:eastAsia="zh-CN"/>
        </w:rPr>
        <w:t>0.26万元，增长3.75%，主要原因是</w:t>
      </w:r>
      <w:r>
        <w:rPr>
          <w:rFonts w:hint="eastAsia" w:ascii="仿宋_GB2312" w:hAnsi="仿宋_GB2312" w:eastAsia="仿宋_GB2312" w:cs="仿宋_GB2312"/>
          <w:b w:val="0"/>
          <w:bCs w:val="0"/>
          <w:color w:val="000000" w:themeColor="text1"/>
          <w:sz w:val="32"/>
          <w:szCs w:val="32"/>
          <w14:textFill>
            <w14:solidFill>
              <w14:schemeClr w14:val="tx1"/>
            </w14:solidFill>
          </w14:textFill>
        </w:rPr>
        <w:t>2022年公务活动增多，接待人次相应增加</w:t>
      </w:r>
      <w:r>
        <w:rPr>
          <w:rFonts w:hint="eastAsia" w:ascii="仿宋" w:hAnsi="仿宋" w:eastAsia="仿宋"/>
          <w:color w:val="auto"/>
          <w:sz w:val="32"/>
          <w:szCs w:val="32"/>
          <w:highlight w:val="none"/>
          <w:lang w:val="en-US" w:eastAsia="zh-CN"/>
        </w:rPr>
        <w:t>。</w:t>
      </w:r>
      <w:r>
        <w:rPr>
          <w:rFonts w:hint="eastAsia" w:ascii="仿宋" w:hAnsi="仿宋" w:eastAsia="仿宋"/>
          <w:color w:val="auto"/>
          <w:sz w:val="32"/>
          <w:szCs w:val="32"/>
          <w:highlight w:val="none"/>
        </w:rPr>
        <w:t>决算数与预算数持平。</w:t>
      </w:r>
    </w:p>
    <w:p w14:paraId="0B0D57D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楷体" w:hAnsi="楷体" w:eastAsia="楷体" w:cs="楷体"/>
          <w:b/>
          <w:color w:val="auto"/>
          <w:sz w:val="32"/>
          <w:szCs w:val="32"/>
          <w:highlight w:val="none"/>
        </w:rPr>
      </w:pPr>
      <w:bookmarkStart w:id="85" w:name="_Toc15377217"/>
      <w:bookmarkStart w:id="86" w:name="_Toc12347"/>
      <w:r>
        <w:rPr>
          <w:rFonts w:hint="eastAsia" w:ascii="楷体" w:hAnsi="楷体" w:eastAsia="楷体" w:cs="楷体"/>
          <w:b/>
          <w:color w:val="auto"/>
          <w:sz w:val="32"/>
          <w:szCs w:val="32"/>
          <w:highlight w:val="none"/>
        </w:rPr>
        <w:t>（二）“三公”经费财政拨款支出决算具体情况说明</w:t>
      </w:r>
      <w:bookmarkEnd w:id="85"/>
      <w:bookmarkEnd w:id="86"/>
    </w:p>
    <w:p w14:paraId="0C83E5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7.2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7AF7270C">
      <w:pPr>
        <w:pStyle w:val="6"/>
        <w:jc w:val="center"/>
        <w:rPr>
          <w:rFonts w:hint="eastAsia" w:eastAsia="仿宋"/>
          <w:lang w:eastAsia="zh-CN"/>
        </w:rPr>
      </w:pPr>
      <w:r>
        <w:rPr>
          <w:rFonts w:hint="eastAsia" w:eastAsia="仿宋"/>
          <w:lang w:eastAsia="zh-CN"/>
        </w:rPr>
        <w:drawing>
          <wp:inline distT="0" distB="0" distL="114300" distR="114300">
            <wp:extent cx="4708525" cy="1857375"/>
            <wp:effectExtent l="4445" t="4445" r="11430" b="508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39ED9B">
      <w:pPr>
        <w:keepNext w:val="0"/>
        <w:keepLines w:val="0"/>
        <w:pageBreakBefore w:val="0"/>
        <w:widowControl w:val="0"/>
        <w:kinsoku/>
        <w:wordWrap/>
        <w:overflowPunct/>
        <w:topLinePunct w:val="0"/>
        <w:autoSpaceDE/>
        <w:autoSpaceDN/>
        <w:bidi w:val="0"/>
        <w:adjustRightInd/>
        <w:snapToGrid/>
        <w:spacing w:line="560" w:lineRule="exact"/>
        <w:ind w:firstLine="0"/>
        <w:jc w:val="center"/>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w:t>
      </w:r>
    </w:p>
    <w:p w14:paraId="75CEA513">
      <w:pPr>
        <w:pStyle w:val="6"/>
      </w:pPr>
    </w:p>
    <w:p w14:paraId="2BD17D1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olor w:val="auto"/>
          <w:sz w:val="32"/>
          <w:szCs w:val="32"/>
          <w:highlight w:val="none"/>
        </w:rPr>
      </w:pPr>
      <w:r>
        <w:rPr>
          <w:rFonts w:hint="eastAsia" w:ascii="仿宋_GB2312" w:eastAsia="仿宋_GB2312"/>
          <w:color w:val="auto"/>
          <w:sz w:val="32"/>
          <w:szCs w:val="32"/>
          <w:highlight w:val="none"/>
          <w:lang w:val="en-US" w:eastAsia="zh-CN"/>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color w:val="auto"/>
          <w:sz w:val="32"/>
          <w:szCs w:val="32"/>
          <w:highlight w:val="none"/>
          <w:lang w:eastAsia="zh-CN"/>
        </w:rPr>
        <w:t>年初未安排预算，与上年数持平</w:t>
      </w:r>
      <w:r>
        <w:rPr>
          <w:rFonts w:hint="eastAsia" w:ascii="仿宋" w:hAnsi="仿宋" w:eastAsia="仿宋"/>
          <w:color w:val="auto"/>
          <w:sz w:val="32"/>
          <w:szCs w:val="32"/>
          <w:highlight w:val="none"/>
        </w:rPr>
        <w:t>。</w:t>
      </w:r>
    </w:p>
    <w:p w14:paraId="3EF975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olor w:val="auto"/>
          <w:sz w:val="32"/>
          <w:szCs w:val="32"/>
          <w:highlight w:val="none"/>
        </w:rPr>
      </w:pPr>
      <w:r>
        <w:rPr>
          <w:rFonts w:hint="eastAsia" w:ascii="仿宋_GB2312" w:eastAsia="仿宋_GB2312"/>
          <w:color w:val="auto"/>
          <w:sz w:val="32"/>
          <w:szCs w:val="32"/>
          <w:highlight w:val="none"/>
          <w:lang w:val="en-US" w:eastAsia="zh-CN"/>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color w:val="auto"/>
          <w:sz w:val="32"/>
          <w:szCs w:val="32"/>
          <w:highlight w:val="none"/>
          <w:lang w:eastAsia="zh-CN"/>
        </w:rPr>
        <w:t>年初未安排预算，与上年数持平</w:t>
      </w:r>
      <w:r>
        <w:rPr>
          <w:rFonts w:hint="eastAsia" w:ascii="仿宋" w:hAnsi="仿宋" w:eastAsia="仿宋"/>
          <w:color w:val="auto"/>
          <w:sz w:val="32"/>
          <w:szCs w:val="32"/>
          <w:highlight w:val="none"/>
        </w:rPr>
        <w:t>。</w:t>
      </w: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color w:val="auto"/>
          <w:sz w:val="32"/>
          <w:szCs w:val="32"/>
          <w:highlight w:val="none"/>
          <w:lang w:eastAsia="zh-CN"/>
        </w:rPr>
        <w:t>年初未安排预算，与上年数持平</w:t>
      </w:r>
      <w:r>
        <w:rPr>
          <w:rFonts w:hint="eastAsia" w:ascii="仿宋" w:hAnsi="仿宋" w:eastAsia="仿宋"/>
          <w:color w:val="auto"/>
          <w:sz w:val="32"/>
          <w:szCs w:val="32"/>
          <w:highlight w:val="none"/>
        </w:rPr>
        <w:t>。</w:t>
      </w:r>
    </w:p>
    <w:p w14:paraId="15ED38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7.2</w:t>
      </w:r>
      <w:r>
        <w:rPr>
          <w:rFonts w:hint="eastAsia" w:ascii="仿宋_GB2312" w:eastAsia="仿宋_GB2312"/>
          <w:color w:val="auto"/>
          <w:sz w:val="32"/>
          <w:szCs w:val="32"/>
          <w:highlight w:val="none"/>
        </w:rPr>
        <w:t>万元，</w:t>
      </w:r>
      <w:r>
        <w:rPr>
          <w:rStyle w:val="19"/>
          <w:rFonts w:hint="eastAsia" w:ascii="仿宋" w:hAnsi="仿宋" w:eastAsia="仿宋"/>
          <w:b w:val="0"/>
          <w:bCs/>
          <w:color w:val="auto"/>
          <w:sz w:val="32"/>
          <w:szCs w:val="32"/>
          <w:highlight w:val="none"/>
        </w:rPr>
        <w:t>完成预算</w:t>
      </w:r>
      <w:r>
        <w:rPr>
          <w:rStyle w:val="19"/>
          <w:rFonts w:hint="eastAsia" w:ascii="仿宋" w:hAnsi="仿宋" w:eastAsia="仿宋"/>
          <w:b w:val="0"/>
          <w:bCs/>
          <w:color w:val="auto"/>
          <w:sz w:val="32"/>
          <w:szCs w:val="32"/>
          <w:highlight w:val="none"/>
          <w:lang w:val="en-US" w:eastAsia="zh-CN"/>
        </w:rPr>
        <w:t>100</w:t>
      </w:r>
      <w:r>
        <w:rPr>
          <w:rStyle w:val="19"/>
          <w:rFonts w:ascii="仿宋" w:hAnsi="仿宋" w:eastAsia="仿宋"/>
          <w:b w:val="0"/>
          <w:bCs/>
          <w:color w:val="auto"/>
          <w:sz w:val="32"/>
          <w:szCs w:val="32"/>
          <w:highlight w:val="none"/>
        </w:rPr>
        <w:t>%</w:t>
      </w:r>
      <w:r>
        <w:rPr>
          <w:rStyle w:val="19"/>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0.26</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3.75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hAnsi="仿宋_GB2312" w:eastAsia="仿宋_GB2312" w:cs="仿宋_GB2312"/>
          <w:b w:val="0"/>
          <w:bCs w:val="0"/>
          <w:color w:val="000000" w:themeColor="text1"/>
          <w:sz w:val="32"/>
          <w:szCs w:val="32"/>
          <w14:textFill>
            <w14:solidFill>
              <w14:schemeClr w14:val="tx1"/>
            </w14:solidFill>
          </w14:textFill>
        </w:rPr>
        <w:t>2022年公务活动增多，接待人次相应增加</w:t>
      </w:r>
      <w:r>
        <w:rPr>
          <w:rFonts w:hint="eastAsia" w:ascii="仿宋_GB2312" w:eastAsia="仿宋_GB2312"/>
          <w:color w:val="auto"/>
          <w:sz w:val="32"/>
          <w:szCs w:val="32"/>
          <w:highlight w:val="none"/>
        </w:rPr>
        <w:t>。其中：</w:t>
      </w:r>
    </w:p>
    <w:p w14:paraId="622FF7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highlight w:val="none"/>
        </w:rPr>
      </w:pPr>
      <w:r>
        <w:rPr>
          <w:rFonts w:hint="eastAsia" w:ascii="仿宋" w:hAnsi="仿宋" w:eastAsia="仿宋"/>
          <w:color w:val="auto"/>
          <w:sz w:val="32"/>
          <w:szCs w:val="32"/>
          <w:highlight w:val="none"/>
          <w:lang w:val="en-US" w:eastAsia="zh-CN"/>
        </w:rPr>
        <w:t>4.</w:t>
      </w: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7.2</w:t>
      </w:r>
      <w:r>
        <w:rPr>
          <w:rFonts w:hint="eastAsia" w:ascii="仿宋_GB2312" w:eastAsia="仿宋_GB2312"/>
          <w:color w:val="auto"/>
          <w:sz w:val="32"/>
          <w:szCs w:val="32"/>
          <w:highlight w:val="none"/>
        </w:rPr>
        <w:t>万元，主要用于</w:t>
      </w:r>
      <w:r>
        <w:rPr>
          <w:rFonts w:hint="eastAsia" w:ascii="仿宋_GB2312" w:hAnsi="仿宋_GB2312" w:eastAsia="仿宋_GB2312" w:cs="仿宋_GB2312"/>
          <w:b w:val="0"/>
          <w:bCs w:val="0"/>
          <w:color w:val="000000" w:themeColor="text1"/>
          <w:sz w:val="32"/>
          <w:szCs w:val="32"/>
          <w14:textFill>
            <w14:solidFill>
              <w14:schemeClr w14:val="tx1"/>
            </w14:solidFill>
          </w14:textFill>
        </w:rPr>
        <w:t>执行政府基本运转方面工作安排检查、开展各项业务活动的住宿及用餐费等</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215余</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1500余</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7.2</w:t>
      </w:r>
      <w:r>
        <w:rPr>
          <w:rFonts w:hint="eastAsia" w:ascii="仿宋_GB2312" w:eastAsia="仿宋_GB2312"/>
          <w:color w:val="auto"/>
          <w:sz w:val="32"/>
          <w:szCs w:val="32"/>
          <w:highlight w:val="none"/>
        </w:rPr>
        <w:t>万元，具体内容包括：用于</w:t>
      </w:r>
      <w:r>
        <w:rPr>
          <w:rFonts w:hint="eastAsia" w:ascii="仿宋_GB2312" w:hAnsi="仿宋_GB2312" w:eastAsia="仿宋_GB2312" w:cs="仿宋_GB2312"/>
          <w:b w:val="0"/>
          <w:bCs w:val="0"/>
          <w:color w:val="000000" w:themeColor="text1"/>
          <w:sz w:val="32"/>
          <w:szCs w:val="32"/>
          <w14:textFill>
            <w14:solidFill>
              <w14:schemeClr w14:val="tx1"/>
            </w14:solidFill>
          </w14:textFill>
        </w:rPr>
        <w:t>执行政府基本运转方面工作安排检查、开展各项业务活动的住宿及用餐费等</w:t>
      </w:r>
      <w:r>
        <w:rPr>
          <w:rFonts w:hint="eastAsia" w:ascii="仿宋_GB2312" w:eastAsia="仿宋_GB2312"/>
          <w:color w:val="auto"/>
          <w:sz w:val="32"/>
          <w:szCs w:val="32"/>
          <w:highlight w:val="none"/>
        </w:rPr>
        <w:t>。</w:t>
      </w:r>
    </w:p>
    <w:p w14:paraId="6FDB917C">
      <w:pPr>
        <w:keepNext w:val="0"/>
        <w:keepLines w:val="0"/>
        <w:pageBreakBefore w:val="0"/>
        <w:kinsoku/>
        <w:wordWrap/>
        <w:overflowPunct/>
        <w:topLinePunct w:val="0"/>
        <w:bidi w:val="0"/>
        <w:spacing w:line="560" w:lineRule="exact"/>
        <w:ind w:firstLine="640"/>
        <w:textAlignment w:val="auto"/>
        <w:outlineLvl w:val="9"/>
        <w:rPr>
          <w:rFonts w:ascii="黑体" w:eastAsia="黑体"/>
          <w:color w:val="auto"/>
          <w:sz w:val="32"/>
          <w:szCs w:val="32"/>
          <w:highlight w:val="none"/>
        </w:rPr>
      </w:pPr>
      <w:bookmarkStart w:id="87" w:name="_Toc15377218"/>
      <w:bookmarkStart w:id="88" w:name="_Toc15396610"/>
    </w:p>
    <w:p w14:paraId="6D6E4B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31"/>
          <w:rFonts w:ascii="黑体" w:hAnsi="黑体" w:eastAsia="黑体"/>
          <w:color w:val="auto"/>
          <w:highlight w:val="none"/>
        </w:rPr>
      </w:pPr>
      <w:bookmarkStart w:id="89" w:name="_Toc3651"/>
      <w:bookmarkStart w:id="90" w:name="_Toc4770"/>
      <w:r>
        <w:rPr>
          <w:rFonts w:hint="eastAsia" w:ascii="黑体" w:eastAsia="黑体"/>
          <w:color w:val="auto"/>
          <w:sz w:val="32"/>
          <w:szCs w:val="32"/>
          <w:highlight w:val="none"/>
        </w:rPr>
        <w:t>八、</w:t>
      </w:r>
      <w:r>
        <w:rPr>
          <w:rStyle w:val="31"/>
          <w:rFonts w:hint="eastAsia" w:ascii="黑体" w:hAnsi="黑体" w:eastAsia="黑体"/>
          <w:b w:val="0"/>
          <w:color w:val="auto"/>
          <w:highlight w:val="none"/>
        </w:rPr>
        <w:t>政府性基金预算支出决算情况说明</w:t>
      </w:r>
      <w:bookmarkEnd w:id="87"/>
      <w:bookmarkEnd w:id="88"/>
      <w:bookmarkEnd w:id="89"/>
      <w:bookmarkEnd w:id="90"/>
    </w:p>
    <w:p w14:paraId="1F01BE92">
      <w:pPr>
        <w:keepNext w:val="0"/>
        <w:keepLines w:val="0"/>
        <w:pageBreakBefore w:val="0"/>
        <w:kinsoku/>
        <w:wordWrap/>
        <w:overflowPunct/>
        <w:topLinePunct w:val="0"/>
        <w:bidi w:val="0"/>
        <w:spacing w:line="560" w:lineRule="exact"/>
        <w:ind w:firstLine="64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6.5</w:t>
      </w:r>
      <w:r>
        <w:rPr>
          <w:rFonts w:hint="eastAsia" w:ascii="仿宋_GB2312" w:eastAsia="仿宋_GB2312"/>
          <w:color w:val="auto"/>
          <w:sz w:val="32"/>
          <w:szCs w:val="32"/>
          <w:highlight w:val="none"/>
        </w:rPr>
        <w:t>万元。</w:t>
      </w:r>
    </w:p>
    <w:p w14:paraId="21F9410E">
      <w:pPr>
        <w:keepNext w:val="0"/>
        <w:keepLines w:val="0"/>
        <w:pageBreakBefore w:val="0"/>
        <w:kinsoku/>
        <w:wordWrap/>
        <w:overflowPunct/>
        <w:topLinePunct w:val="0"/>
        <w:bidi w:val="0"/>
        <w:spacing w:line="560" w:lineRule="exact"/>
        <w:ind w:firstLine="640"/>
        <w:textAlignment w:val="auto"/>
        <w:rPr>
          <w:rFonts w:ascii="仿宋_GB2312" w:eastAsia="仿宋_GB2312"/>
          <w:color w:val="auto"/>
          <w:sz w:val="32"/>
          <w:szCs w:val="32"/>
          <w:highlight w:val="none"/>
        </w:rPr>
      </w:pPr>
    </w:p>
    <w:p w14:paraId="032E63C2">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outlineLvl w:val="1"/>
        <w:rPr>
          <w:rStyle w:val="31"/>
          <w:rFonts w:ascii="黑体" w:hAnsi="黑体" w:eastAsia="黑体"/>
          <w:b w:val="0"/>
          <w:color w:val="auto"/>
          <w:highlight w:val="none"/>
        </w:rPr>
      </w:pPr>
      <w:bookmarkStart w:id="91" w:name="_Toc15377219"/>
      <w:bookmarkStart w:id="92" w:name="_Toc23012"/>
      <w:bookmarkStart w:id="93" w:name="_Toc25497"/>
      <w:bookmarkStart w:id="94" w:name="_Toc15396611"/>
      <w:r>
        <w:rPr>
          <w:rStyle w:val="31"/>
          <w:rFonts w:hint="eastAsia" w:ascii="黑体" w:hAnsi="黑体" w:eastAsia="黑体"/>
          <w:b w:val="0"/>
          <w:color w:val="auto"/>
          <w:highlight w:val="none"/>
        </w:rPr>
        <w:t>国有资本经营预算支出决算情况说明</w:t>
      </w:r>
      <w:bookmarkEnd w:id="91"/>
      <w:bookmarkEnd w:id="92"/>
      <w:bookmarkEnd w:id="93"/>
      <w:bookmarkEnd w:id="94"/>
    </w:p>
    <w:p w14:paraId="349AC062">
      <w:pPr>
        <w:keepNext w:val="0"/>
        <w:keepLines w:val="0"/>
        <w:pageBreakBefore w:val="0"/>
        <w:kinsoku/>
        <w:wordWrap/>
        <w:overflowPunct/>
        <w:topLinePunct w:val="0"/>
        <w:bidi w:val="0"/>
        <w:spacing w:line="560" w:lineRule="exact"/>
        <w:ind w:firstLine="64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5375BBE2">
      <w:pPr>
        <w:keepNext w:val="0"/>
        <w:keepLines w:val="0"/>
        <w:pageBreakBefore w:val="0"/>
        <w:kinsoku/>
        <w:wordWrap/>
        <w:overflowPunct/>
        <w:topLinePunct w:val="0"/>
        <w:bidi w:val="0"/>
        <w:spacing w:line="560" w:lineRule="exact"/>
        <w:jc w:val="center"/>
        <w:textAlignment w:val="auto"/>
        <w:rPr>
          <w:rFonts w:ascii="方正小标宋简体" w:hAnsi="方正小标宋简体" w:eastAsia="方正小标宋简体" w:cs="方正小标宋简体"/>
          <w:color w:val="auto"/>
          <w:sz w:val="44"/>
          <w:szCs w:val="44"/>
          <w:highlight w:val="none"/>
        </w:rPr>
      </w:pPr>
    </w:p>
    <w:p w14:paraId="62D54CA8">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textAlignment w:val="auto"/>
        <w:outlineLvl w:val="1"/>
        <w:rPr>
          <w:rStyle w:val="31"/>
          <w:rFonts w:hint="eastAsia" w:ascii="黑体" w:hAnsi="黑体" w:eastAsia="黑体"/>
          <w:b w:val="0"/>
          <w:color w:val="auto"/>
          <w:highlight w:val="none"/>
        </w:rPr>
      </w:pPr>
      <w:bookmarkStart w:id="95" w:name="_Toc9732"/>
      <w:bookmarkStart w:id="96" w:name="_Toc8553"/>
      <w:bookmarkStart w:id="97" w:name="_Toc15377221"/>
      <w:bookmarkStart w:id="98" w:name="_Toc15396612"/>
      <w:r>
        <w:rPr>
          <w:rStyle w:val="31"/>
          <w:rFonts w:hint="eastAsia" w:ascii="黑体" w:hAnsi="黑体" w:eastAsia="黑体"/>
          <w:b w:val="0"/>
          <w:color w:val="auto"/>
          <w:highlight w:val="none"/>
        </w:rPr>
        <w:t>其他重要事项的情况说明</w:t>
      </w:r>
      <w:bookmarkEnd w:id="95"/>
      <w:bookmarkEnd w:id="96"/>
      <w:bookmarkEnd w:id="97"/>
      <w:bookmarkEnd w:id="98"/>
    </w:p>
    <w:p w14:paraId="1C0A4F5D">
      <w:pPr>
        <w:keepNext w:val="0"/>
        <w:keepLines w:val="0"/>
        <w:pageBreakBefore w:val="0"/>
        <w:kinsoku/>
        <w:wordWrap/>
        <w:overflowPunct/>
        <w:topLinePunct w:val="0"/>
        <w:bidi w:val="0"/>
        <w:spacing w:line="560" w:lineRule="exact"/>
        <w:ind w:firstLine="643" w:firstLineChars="200"/>
        <w:textAlignment w:val="auto"/>
        <w:outlineLvl w:val="2"/>
        <w:rPr>
          <w:rFonts w:hint="eastAsia" w:ascii="楷体" w:hAnsi="楷体" w:eastAsia="楷体" w:cs="楷体"/>
          <w:color w:val="auto"/>
          <w:sz w:val="32"/>
          <w:szCs w:val="32"/>
          <w:highlight w:val="none"/>
        </w:rPr>
      </w:pPr>
      <w:bookmarkStart w:id="99" w:name="_Toc21519"/>
      <w:bookmarkStart w:id="100" w:name="_Toc15377222"/>
      <w:r>
        <w:rPr>
          <w:rFonts w:hint="eastAsia" w:ascii="楷体" w:hAnsi="楷体" w:eastAsia="楷体" w:cs="楷体"/>
          <w:b/>
          <w:color w:val="auto"/>
          <w:sz w:val="32"/>
          <w:szCs w:val="32"/>
          <w:highlight w:val="none"/>
        </w:rPr>
        <w:t>（一）机关运行经费支出情况</w:t>
      </w:r>
      <w:bookmarkEnd w:id="99"/>
      <w:bookmarkEnd w:id="100"/>
    </w:p>
    <w:p w14:paraId="4CCD0BE7">
      <w:pPr>
        <w:keepNext w:val="0"/>
        <w:keepLines w:val="0"/>
        <w:pageBreakBefore w:val="0"/>
        <w:kinsoku/>
        <w:wordWrap/>
        <w:overflowPunct/>
        <w:topLinePunct w:val="0"/>
        <w:bidi w:val="0"/>
        <w:spacing w:line="560" w:lineRule="exact"/>
        <w:ind w:firstLine="640" w:firstLineChars="200"/>
        <w:textAlignment w:val="auto"/>
        <w:rPr>
          <w:rFonts w:ascii="仿宋" w:hAnsi="仿宋" w:eastAsia="仿宋"/>
          <w:b/>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磨滩镇人民政府</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156.25</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19.47</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11</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。主要原因是落实过紧日子要求、厉行节约</w:t>
      </w:r>
      <w:r>
        <w:rPr>
          <w:rFonts w:hint="eastAsia" w:ascii="仿宋_GB2312" w:eastAsia="仿宋_GB2312"/>
          <w:color w:val="auto"/>
          <w:sz w:val="32"/>
          <w:szCs w:val="32"/>
          <w:highlight w:val="none"/>
          <w:lang w:eastAsia="zh-CN"/>
        </w:rPr>
        <w:t>。</w:t>
      </w:r>
    </w:p>
    <w:p w14:paraId="7538A5BB">
      <w:pPr>
        <w:keepNext w:val="0"/>
        <w:keepLines w:val="0"/>
        <w:pageBreakBefore w:val="0"/>
        <w:kinsoku/>
        <w:wordWrap/>
        <w:overflowPunct/>
        <w:topLinePunct w:val="0"/>
        <w:bidi w:val="0"/>
        <w:spacing w:line="560" w:lineRule="exact"/>
        <w:ind w:firstLine="643" w:firstLineChars="200"/>
        <w:textAlignment w:val="auto"/>
        <w:outlineLvl w:val="2"/>
        <w:rPr>
          <w:rFonts w:hint="eastAsia" w:ascii="楷体" w:hAnsi="楷体" w:eastAsia="楷体" w:cs="楷体"/>
          <w:b/>
          <w:color w:val="auto"/>
          <w:sz w:val="32"/>
          <w:szCs w:val="32"/>
          <w:highlight w:val="none"/>
        </w:rPr>
      </w:pPr>
      <w:bookmarkStart w:id="101" w:name="_Toc29784"/>
      <w:bookmarkStart w:id="102" w:name="_Toc15377223"/>
      <w:r>
        <w:rPr>
          <w:rFonts w:hint="eastAsia" w:ascii="楷体" w:hAnsi="楷体" w:eastAsia="楷体" w:cs="楷体"/>
          <w:b/>
          <w:color w:val="auto"/>
          <w:sz w:val="32"/>
          <w:szCs w:val="32"/>
          <w:highlight w:val="none"/>
        </w:rPr>
        <w:t>（二）政府采购支出情况</w:t>
      </w:r>
      <w:bookmarkEnd w:id="101"/>
      <w:bookmarkEnd w:id="102"/>
    </w:p>
    <w:p w14:paraId="264D1722">
      <w:pPr>
        <w:keepNext w:val="0"/>
        <w:keepLines w:val="0"/>
        <w:pageBreakBefore w:val="0"/>
        <w:kinsoku/>
        <w:wordWrap/>
        <w:overflowPunct/>
        <w:topLinePunct w:val="0"/>
        <w:bidi w:val="0"/>
        <w:spacing w:line="560" w:lineRule="exact"/>
        <w:ind w:firstLine="640" w:firstLineChars="200"/>
        <w:textAlignment w:val="auto"/>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磨滩镇</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7A15ADDF">
      <w:pPr>
        <w:keepNext w:val="0"/>
        <w:keepLines w:val="0"/>
        <w:pageBreakBefore w:val="0"/>
        <w:kinsoku/>
        <w:wordWrap/>
        <w:overflowPunct/>
        <w:topLinePunct w:val="0"/>
        <w:bidi w:val="0"/>
        <w:spacing w:line="560" w:lineRule="exact"/>
        <w:ind w:firstLine="643" w:firstLineChars="200"/>
        <w:textAlignment w:val="auto"/>
        <w:outlineLvl w:val="2"/>
        <w:rPr>
          <w:rFonts w:hint="eastAsia" w:ascii="楷体" w:hAnsi="楷体" w:eastAsia="楷体" w:cs="楷体"/>
          <w:b/>
          <w:color w:val="auto"/>
          <w:sz w:val="32"/>
          <w:szCs w:val="32"/>
          <w:highlight w:val="none"/>
        </w:rPr>
      </w:pPr>
      <w:bookmarkStart w:id="103" w:name="_Toc12081"/>
      <w:bookmarkStart w:id="104" w:name="_Toc15377224"/>
      <w:r>
        <w:rPr>
          <w:rFonts w:hint="eastAsia" w:ascii="楷体" w:hAnsi="楷体" w:eastAsia="楷体" w:cs="楷体"/>
          <w:b/>
          <w:color w:val="auto"/>
          <w:sz w:val="32"/>
          <w:szCs w:val="32"/>
          <w:highlight w:val="none"/>
        </w:rPr>
        <w:t>（三）国有资产占有使用情况</w:t>
      </w:r>
      <w:bookmarkEnd w:id="103"/>
      <w:bookmarkEnd w:id="104"/>
    </w:p>
    <w:p w14:paraId="4A04D5B7">
      <w:pPr>
        <w:keepNext w:val="0"/>
        <w:keepLines w:val="0"/>
        <w:pageBreakBefore w:val="0"/>
        <w:kinsoku/>
        <w:wordWrap/>
        <w:overflowPunct/>
        <w:topLinePunct w:val="0"/>
        <w:autoSpaceDE w:val="0"/>
        <w:autoSpaceDN w:val="0"/>
        <w:bidi w:val="0"/>
        <w:adjustRightInd w:val="0"/>
        <w:spacing w:line="560" w:lineRule="exact"/>
        <w:ind w:firstLine="640" w:firstLineChars="200"/>
        <w:jc w:val="left"/>
        <w:textAlignment w:val="auto"/>
        <w:rPr>
          <w:rFonts w:ascii="仿宋" w:hAnsi="仿宋" w:eastAsia="仿宋"/>
          <w:b/>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磨滩镇人民政府</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50</w:t>
      </w:r>
      <w:r>
        <w:rPr>
          <w:rFonts w:hint="eastAsia" w:ascii="仿宋_GB2312" w:eastAsia="仿宋_GB2312"/>
          <w:color w:val="auto"/>
          <w:sz w:val="32"/>
          <w:szCs w:val="32"/>
          <w:highlight w:val="none"/>
        </w:rPr>
        <w:t>万元以上通用设备</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443D68DB">
      <w:pPr>
        <w:keepNext w:val="0"/>
        <w:keepLines w:val="0"/>
        <w:pageBreakBefore w:val="0"/>
        <w:kinsoku/>
        <w:wordWrap/>
        <w:overflowPunct/>
        <w:topLinePunct w:val="0"/>
        <w:bidi w:val="0"/>
        <w:spacing w:line="560" w:lineRule="exact"/>
        <w:ind w:firstLine="643" w:firstLineChars="200"/>
        <w:textAlignment w:val="auto"/>
        <w:outlineLvl w:val="2"/>
        <w:rPr>
          <w:rFonts w:hint="eastAsia" w:ascii="楷体" w:hAnsi="楷体" w:eastAsia="楷体" w:cs="楷体"/>
          <w:b/>
          <w:color w:val="auto"/>
          <w:sz w:val="32"/>
          <w:szCs w:val="32"/>
          <w:highlight w:val="none"/>
        </w:rPr>
      </w:pPr>
      <w:bookmarkStart w:id="105" w:name="_Toc6847"/>
      <w:r>
        <w:rPr>
          <w:rFonts w:hint="eastAsia" w:ascii="楷体" w:hAnsi="楷体" w:eastAsia="楷体" w:cs="楷体"/>
          <w:b/>
          <w:color w:val="auto"/>
          <w:sz w:val="32"/>
          <w:szCs w:val="32"/>
          <w:highlight w:val="none"/>
        </w:rPr>
        <w:t>（四）预算绩效管理情况</w:t>
      </w:r>
      <w:bookmarkEnd w:id="105"/>
    </w:p>
    <w:p w14:paraId="690F86A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根据预算绩效管理要求，本部门在2022年度预算编制阶段，对基层组织活动和公共运行维护经费</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和烤烟发展经费</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14:textFill>
            <w14:solidFill>
              <w14:schemeClr w14:val="tx1"/>
            </w14:solidFill>
          </w14:textFill>
        </w:rPr>
        <w:t>个项目编制了绩效目标，预算执行过程中，</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对其</w:t>
      </w:r>
      <w:r>
        <w:rPr>
          <w:rFonts w:hint="eastAsia" w:ascii="仿宋_GB2312" w:hAnsi="仿宋_GB2312" w:eastAsia="仿宋_GB2312" w:cs="仿宋_GB2312"/>
          <w:b w:val="0"/>
          <w:bCs w:val="0"/>
          <w:color w:val="000000" w:themeColor="text1"/>
          <w:sz w:val="32"/>
          <w:szCs w:val="32"/>
          <w14:textFill>
            <w14:solidFill>
              <w14:schemeClr w14:val="tx1"/>
            </w14:solidFill>
          </w14:textFill>
        </w:rPr>
        <w:t>开展绩效监控。</w:t>
      </w:r>
    </w:p>
    <w:p w14:paraId="5874D9B1">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14:textFill>
            <w14:solidFill>
              <w14:schemeClr w14:val="tx1"/>
            </w14:solidFill>
          </w14:textFill>
        </w:rPr>
        <w:t>组织对2022年度一般公共预算、政府性基金预算、国有资本经营预算、社会保险基金预算以及资本资产、债券资金等全面开展绩效自评，形成广元市昭化区</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磨滩</w:t>
      </w:r>
      <w:r>
        <w:rPr>
          <w:rFonts w:hint="eastAsia" w:ascii="仿宋_GB2312" w:hAnsi="仿宋_GB2312" w:eastAsia="仿宋_GB2312" w:cs="仿宋_GB2312"/>
          <w:b w:val="0"/>
          <w:bCs w:val="0"/>
          <w:color w:val="000000" w:themeColor="text1"/>
          <w:sz w:val="32"/>
          <w:szCs w:val="32"/>
          <w14:textFill>
            <w14:solidFill>
              <w14:schemeClr w14:val="tx1"/>
            </w14:solidFill>
          </w14:textFill>
        </w:rPr>
        <w:t>镇人民政府部门整体（含部门预算项目）绩效自评报告，绩效自评得分为</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99.5</w:t>
      </w:r>
      <w:r>
        <w:rPr>
          <w:rFonts w:hint="eastAsia" w:ascii="仿宋_GB2312" w:hAnsi="仿宋_GB2312" w:eastAsia="仿宋_GB2312" w:cs="仿宋_GB2312"/>
          <w:b w:val="0"/>
          <w:bCs w:val="0"/>
          <w:color w:val="000000" w:themeColor="text1"/>
          <w:sz w:val="32"/>
          <w:szCs w:val="32"/>
          <w14:textFill>
            <w14:solidFill>
              <w14:schemeClr w14:val="tx1"/>
            </w14:solidFill>
          </w14:textFill>
        </w:rPr>
        <w:t>分，绩效自评综述：2022年</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磨滩</w:t>
      </w:r>
      <w:r>
        <w:rPr>
          <w:rFonts w:hint="eastAsia" w:ascii="仿宋_GB2312" w:hAnsi="仿宋_GB2312" w:eastAsia="仿宋_GB2312" w:cs="仿宋_GB2312"/>
          <w:b w:val="0"/>
          <w:bCs w:val="0"/>
          <w:color w:val="000000" w:themeColor="text1"/>
          <w:sz w:val="32"/>
          <w:szCs w:val="32"/>
          <w14:textFill>
            <w14:solidFill>
              <w14:schemeClr w14:val="tx1"/>
            </w14:solidFill>
          </w14:textFill>
        </w:rPr>
        <w:t>镇部门整体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绩效自评报告详见附件。</w:t>
      </w:r>
    </w:p>
    <w:p w14:paraId="2342A953">
      <w:pPr>
        <w:pStyle w:val="6"/>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themeColor="text1"/>
          <w:sz w:val="32"/>
          <w:szCs w:val="32"/>
          <w14:textFill>
            <w14:solidFill>
              <w14:schemeClr w14:val="tx1"/>
            </w14:solidFill>
          </w14:textFill>
        </w:rPr>
      </w:pPr>
    </w:p>
    <w:p w14:paraId="4EF03672">
      <w:pPr>
        <w:keepNext w:val="0"/>
        <w:keepLines w:val="0"/>
        <w:pageBreakBefore w:val="0"/>
        <w:numPr>
          <w:ilvl w:val="0"/>
          <w:numId w:val="3"/>
        </w:numPr>
        <w:kinsoku/>
        <w:wordWrap/>
        <w:overflowPunct/>
        <w:topLinePunct w:val="0"/>
        <w:bidi w:val="0"/>
        <w:spacing w:line="560" w:lineRule="exact"/>
        <w:ind w:firstLine="660" w:firstLineChars="150"/>
        <w:jc w:val="center"/>
        <w:textAlignment w:val="auto"/>
        <w:outlineLvl w:val="0"/>
        <w:rPr>
          <w:rStyle w:val="30"/>
          <w:rFonts w:ascii="黑体" w:hAnsi="黑体" w:eastAsia="黑体"/>
          <w:b w:val="0"/>
          <w:color w:val="auto"/>
          <w:highlight w:val="none"/>
        </w:rPr>
      </w:pPr>
      <w:bookmarkStart w:id="106" w:name="_Toc15396613"/>
      <w:bookmarkStart w:id="107" w:name="_Toc335"/>
      <w:bookmarkStart w:id="108" w:name="_Toc15377225"/>
      <w:bookmarkStart w:id="109" w:name="_Toc30262"/>
      <w:r>
        <w:rPr>
          <w:rFonts w:hint="eastAsia" w:ascii="黑体" w:hAnsi="黑体" w:eastAsia="黑体"/>
          <w:color w:val="auto"/>
          <w:sz w:val="44"/>
          <w:szCs w:val="44"/>
          <w:highlight w:val="none"/>
        </w:rPr>
        <w:t>名</w:t>
      </w:r>
      <w:r>
        <w:rPr>
          <w:rStyle w:val="30"/>
          <w:rFonts w:hint="eastAsia" w:ascii="黑体" w:hAnsi="黑体" w:eastAsia="黑体"/>
          <w:b w:val="0"/>
          <w:color w:val="auto"/>
          <w:highlight w:val="none"/>
        </w:rPr>
        <w:t>词解释</w:t>
      </w:r>
      <w:bookmarkEnd w:id="106"/>
      <w:bookmarkEnd w:id="107"/>
      <w:bookmarkEnd w:id="108"/>
      <w:bookmarkEnd w:id="109"/>
    </w:p>
    <w:p w14:paraId="520BF01E">
      <w:pPr>
        <w:keepNext w:val="0"/>
        <w:keepLines w:val="0"/>
        <w:pageBreakBefore w:val="0"/>
        <w:widowControl w:val="0"/>
        <w:shd w:val="clear" w:color="auto" w:fill="auto"/>
        <w:kinsoku/>
        <w:wordWrap/>
        <w:overflowPunct/>
        <w:topLinePunct w:val="0"/>
        <w:autoSpaceDE/>
        <w:autoSpaceDN/>
        <w:bidi w:val="0"/>
        <w:adjustRightInd/>
        <w:snapToGrid w:val="0"/>
        <w:spacing w:line="560" w:lineRule="exact"/>
        <w:textAlignment w:val="auto"/>
        <w:outlineLvl w:val="9"/>
        <w:rPr>
          <w:rFonts w:hint="eastAsia" w:ascii="Times New Roman" w:hAnsi="Times New Roman" w:eastAsia="仿宋_GB2312" w:cs="Times New Roman"/>
          <w:b w:val="0"/>
          <w:bCs w:val="0"/>
          <w:sz w:val="32"/>
          <w:szCs w:val="32"/>
        </w:rPr>
      </w:pPr>
    </w:p>
    <w:p w14:paraId="73BD703E">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财政拨款收入：指单位从同级政府财政部门取得的各类财政拨款。</w:t>
      </w:r>
    </w:p>
    <w:p w14:paraId="61B7C0D4">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一般公共预算财政拨款收入：指单位从同级政府财政部门取得的预算资金。</w:t>
      </w:r>
    </w:p>
    <w:p w14:paraId="527875B0">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3</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事业收入：指事业单位开展专业业务活动及辅助活动取得的收入。</w:t>
      </w:r>
    </w:p>
    <w:p w14:paraId="072F2639">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4</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经营收入：指事业单位在专业业务活动及其辅助活动之外开展非独立核算经营活动取得的收入。</w:t>
      </w:r>
    </w:p>
    <w:p w14:paraId="3292E5C7">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1"/>
        <w:rPr>
          <w:rFonts w:hint="eastAsia" w:ascii="Times New Roman" w:hAnsi="Times New Roman" w:eastAsia="仿宋_GB2312" w:cs="Times New Roman"/>
          <w:b w:val="0"/>
          <w:bCs w:val="0"/>
          <w:sz w:val="32"/>
          <w:szCs w:val="32"/>
        </w:rPr>
      </w:pPr>
      <w:bookmarkStart w:id="110" w:name="_Toc29210"/>
      <w:r>
        <w:rPr>
          <w:rFonts w:hint="eastAsia" w:ascii="Times New Roman" w:hAnsi="Times New Roman" w:eastAsia="仿宋_GB2312" w:cs="Times New Roman"/>
          <w:b w:val="0"/>
          <w:bCs w:val="0"/>
          <w:sz w:val="32"/>
          <w:szCs w:val="32"/>
        </w:rPr>
        <w:t>5</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其他收入：指单位取得的除上述收入以外的各项收入。</w:t>
      </w:r>
      <w:bookmarkEnd w:id="110"/>
    </w:p>
    <w:p w14:paraId="5519561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6</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上年结转：指以前年度尚未完成，结转到本年仍按原规定用途继续使用的资金。</w:t>
      </w:r>
    </w:p>
    <w:p w14:paraId="649F0D63">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7</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年初结转和结余：指以前年度尚未完成、结转到本年按有关规定继续使用的资金。</w:t>
      </w:r>
    </w:p>
    <w:p w14:paraId="18671733">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8</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年末结转和结余：指单位按有关规定结转到下年或以后年度继续使用的资金。</w:t>
      </w:r>
    </w:p>
    <w:p w14:paraId="3213E030">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1"/>
        <w:rPr>
          <w:rFonts w:hint="eastAsia" w:ascii="Times New Roman" w:hAnsi="Times New Roman" w:eastAsia="仿宋_GB2312" w:cs="Times New Roman"/>
          <w:b w:val="0"/>
          <w:bCs w:val="0"/>
          <w:sz w:val="32"/>
          <w:szCs w:val="32"/>
        </w:rPr>
      </w:pPr>
      <w:bookmarkStart w:id="111" w:name="_Toc22917"/>
      <w:r>
        <w:rPr>
          <w:rFonts w:hint="eastAsia" w:ascii="Times New Roman" w:hAnsi="Times New Roman" w:eastAsia="仿宋_GB2312" w:cs="Times New Roman"/>
          <w:b w:val="0"/>
          <w:bCs w:val="0"/>
          <w:sz w:val="32"/>
          <w:szCs w:val="32"/>
        </w:rPr>
        <w:t>9</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一般公共服务支出：反映政府提供一般公共服务的支出。</w:t>
      </w:r>
      <w:bookmarkEnd w:id="111"/>
    </w:p>
    <w:p w14:paraId="4B8BA32F">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10</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一般公共服务（类）人大事务（款）代表工作（项）：指用于保障代表工作正常运行的基本支出。</w:t>
      </w:r>
    </w:p>
    <w:p w14:paraId="465765E7">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11</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一般公共服务（类）人大事务（款）其他人大事务支出（项）：指机关单位开展人大事务管理工作的日常支出。</w:t>
      </w:r>
    </w:p>
    <w:p w14:paraId="15C34599">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12</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一般公共服务（类）政府办公厅（室）及相关机构事务（款）行政运行（项）：指用于保障机构正常运行、开展日常工作的基本支出。</w:t>
      </w:r>
    </w:p>
    <w:p w14:paraId="2E923044">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13</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一般公共服务支出（类）财政事务（款）行政运行（项）：反映行政事业单位财政事务方面的基本支出。</w:t>
      </w:r>
    </w:p>
    <w:p w14:paraId="2B8B96BF">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14</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一般公共服务支出（类）纪检监察事务（款）其他纪检监察事务支出（项）：指机关单位开展纪检监察方面的日常支出。</w:t>
      </w:r>
    </w:p>
    <w:p w14:paraId="563DB091">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15</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国防支出（类）其他国防支出（款）其他国防支出（项）：指反映政府用于国防方面的支出。</w:t>
      </w:r>
    </w:p>
    <w:p w14:paraId="20FB7DB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16</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文化旅游体育与传媒支出（类）文化和旅游（款）群众文化（项）：指反映群众文化方面的支出，包括基层文化馆（站）、群众艺术馆支出等。</w:t>
      </w:r>
    </w:p>
    <w:p w14:paraId="1B9AF63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17</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社会保障和就业（类）行政事业单位养老支出（款）行政单位离退休（项）：指部门离退休人员的养老支出。</w:t>
      </w:r>
    </w:p>
    <w:p w14:paraId="28246EE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18</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社会保障和就业（类）行政事业单位养老支出（款）机关事业单位基本养老保险缴费支出（项）：指部门实施养老保险制度由单位缴纳的养老保险的支出。</w:t>
      </w:r>
    </w:p>
    <w:p w14:paraId="35B623E2">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19</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卫生健康（类）计划生育事务（款）其他计划生育事务支出（项）：指用于计划生育管理事务方面的支出。</w:t>
      </w:r>
    </w:p>
    <w:p w14:paraId="7C271508">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20</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卫生健康（类）行政事业单位医疗（款）行政单位医疗（项）：指机关及参公管理事业单位用于单位应缴纳基本医疗保险支出。</w:t>
      </w:r>
    </w:p>
    <w:p w14:paraId="0C04E4E7">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1"/>
        <w:rPr>
          <w:rFonts w:hint="eastAsia" w:ascii="Times New Roman" w:hAnsi="Times New Roman" w:eastAsia="仿宋_GB2312" w:cs="Times New Roman"/>
          <w:b w:val="0"/>
          <w:bCs w:val="0"/>
          <w:sz w:val="32"/>
          <w:szCs w:val="32"/>
        </w:rPr>
      </w:pPr>
      <w:bookmarkStart w:id="112" w:name="_Toc16433"/>
      <w:r>
        <w:rPr>
          <w:rFonts w:hint="eastAsia" w:ascii="Times New Roman" w:hAnsi="Times New Roman" w:eastAsia="仿宋_GB2312" w:cs="Times New Roman"/>
          <w:b w:val="0"/>
          <w:bCs w:val="0"/>
          <w:sz w:val="32"/>
          <w:szCs w:val="32"/>
        </w:rPr>
        <w:t>21</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卫生健康支出：反映政府在卫生健康方面的支出。</w:t>
      </w:r>
      <w:bookmarkEnd w:id="112"/>
    </w:p>
    <w:p w14:paraId="029C00DF">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22</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卫生健康（类）行政事业单位医疗（款）事业单位医疗（项）：指事业单位用于单位应缴纳基本医疗保险支出。</w:t>
      </w:r>
    </w:p>
    <w:p w14:paraId="04B672F3">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1"/>
        <w:rPr>
          <w:rFonts w:hint="eastAsia" w:ascii="Times New Roman" w:hAnsi="Times New Roman" w:eastAsia="仿宋_GB2312" w:cs="Times New Roman"/>
          <w:b w:val="0"/>
          <w:bCs w:val="0"/>
          <w:sz w:val="32"/>
          <w:szCs w:val="32"/>
        </w:rPr>
      </w:pPr>
      <w:bookmarkStart w:id="113" w:name="_Toc27347"/>
      <w:r>
        <w:rPr>
          <w:rFonts w:hint="eastAsia" w:ascii="Times New Roman" w:hAnsi="Times New Roman" w:eastAsia="仿宋_GB2312" w:cs="Times New Roman"/>
          <w:b w:val="0"/>
          <w:bCs w:val="0"/>
          <w:sz w:val="32"/>
          <w:szCs w:val="32"/>
        </w:rPr>
        <w:t>23</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城乡社区支出：反映政府城乡社区事务支出。</w:t>
      </w:r>
      <w:bookmarkEnd w:id="113"/>
    </w:p>
    <w:p w14:paraId="6DE8612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24</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城乡社区支出（类）城乡社区管理事务（款）行政运行（项）：反映行政单位城乡社区管理事务的基本支出。</w:t>
      </w:r>
    </w:p>
    <w:p w14:paraId="02423C95">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25</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城乡社区支出（类）城乡社区环境卫生（款）城乡社区环境卫生（项）：指用于城乡社区道路清扫、垃圾清运与处理、公厕建设与维护、园林绿化等方面的支出。</w:t>
      </w:r>
    </w:p>
    <w:p w14:paraId="1BEA4A5D">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1"/>
        <w:rPr>
          <w:rFonts w:hint="eastAsia" w:ascii="Times New Roman" w:hAnsi="Times New Roman" w:eastAsia="仿宋_GB2312" w:cs="Times New Roman"/>
          <w:b w:val="0"/>
          <w:bCs w:val="0"/>
          <w:sz w:val="32"/>
          <w:szCs w:val="32"/>
        </w:rPr>
      </w:pPr>
      <w:bookmarkStart w:id="114" w:name="_Toc28335"/>
      <w:r>
        <w:rPr>
          <w:rFonts w:hint="eastAsia" w:ascii="Times New Roman" w:hAnsi="Times New Roman" w:eastAsia="仿宋_GB2312" w:cs="Times New Roman"/>
          <w:b w:val="0"/>
          <w:bCs w:val="0"/>
          <w:sz w:val="32"/>
          <w:szCs w:val="32"/>
        </w:rPr>
        <w:t>26</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农林水支出：反映政府农林水事务支出。</w:t>
      </w:r>
      <w:bookmarkEnd w:id="114"/>
    </w:p>
    <w:p w14:paraId="1F51217E">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ascii="Times New Roman" w:hAnsi="Times New Roman" w:eastAsia="仿宋_GB2312" w:cs="Times New Roman"/>
          <w:b w:val="0"/>
          <w:bCs w:val="0"/>
          <w:sz w:val="32"/>
          <w:szCs w:val="32"/>
        </w:rPr>
        <w:t>27</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农林水支出（类）农业农村（款）农村道路建设（项）：指用于农村公路、乡村道路建设方面的支出。</w:t>
      </w:r>
    </w:p>
    <w:p w14:paraId="123A56C4">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2</w:t>
      </w:r>
      <w:r>
        <w:rPr>
          <w:rFonts w:hint="eastAsia" w:ascii="Times New Roman" w:hAnsi="Times New Roman" w:eastAsia="仿宋_GB2312" w:cs="Times New Roman"/>
          <w:b w:val="0"/>
          <w:bCs w:val="0"/>
          <w:sz w:val="32"/>
          <w:szCs w:val="32"/>
        </w:rPr>
        <w:t>8</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农林水支出（类）农业农村（款）行政运行（项）：反映财政用于种植业、畜牧业、渔业、兽医、农机、农垦、农场、农业产业化经营组织、农村和垦区公益事业、农产品加工等方面的基本支出。</w:t>
      </w:r>
    </w:p>
    <w:p w14:paraId="0C0C64C5">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2</w:t>
      </w:r>
      <w:r>
        <w:rPr>
          <w:rFonts w:hint="eastAsia" w:ascii="Times New Roman" w:hAnsi="Times New Roman" w:eastAsia="仿宋_GB2312" w:cs="Times New Roman"/>
          <w:b w:val="0"/>
          <w:bCs w:val="0"/>
          <w:sz w:val="32"/>
          <w:szCs w:val="32"/>
        </w:rPr>
        <w:t>9</w:t>
      </w:r>
      <w:r>
        <w:rPr>
          <w:rFonts w:hint="eastAsia"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rPr>
        <w:t>农林水支出（类）巩固脱贫衔接乡村振兴（款）其他巩固脱贫衔接乡村振兴（项）：反映政府用于巩固脱贫衔接乡村振兴方面的其他支出。</w:t>
      </w:r>
    </w:p>
    <w:p w14:paraId="2B0855CF">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30.</w:t>
      </w:r>
      <w:r>
        <w:rPr>
          <w:rFonts w:hint="eastAsia" w:ascii="Times New Roman" w:hAnsi="Times New Roman" w:eastAsia="仿宋_GB2312" w:cs="Times New Roman"/>
          <w:b w:val="0"/>
          <w:bCs w:val="0"/>
          <w:sz w:val="32"/>
          <w:szCs w:val="32"/>
        </w:rPr>
        <w:t>农林水支出（类）巩固脱贫衔接乡村振兴（款）生产发展（项）：反映政府用于巩固脱贫衔接乡村振兴方面生产发展支出。</w:t>
      </w:r>
    </w:p>
    <w:p w14:paraId="4D577CFB">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31.</w:t>
      </w:r>
      <w:r>
        <w:rPr>
          <w:rFonts w:hint="eastAsia" w:ascii="Times New Roman" w:hAnsi="Times New Roman" w:eastAsia="仿宋_GB2312" w:cs="Times New Roman"/>
          <w:b w:val="0"/>
          <w:bCs w:val="0"/>
          <w:sz w:val="32"/>
          <w:szCs w:val="32"/>
        </w:rPr>
        <w:t>农林水支出（类）农村综合改革（款）对村民委员会和村党支部的补助（项）：指对村民委员会和村党支部的补助支出，以及建立县级基本财力保障机制安排的村级组织运转奖补资金。</w:t>
      </w:r>
    </w:p>
    <w:p w14:paraId="453B63C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32.</w:t>
      </w:r>
      <w:r>
        <w:rPr>
          <w:rFonts w:hint="eastAsia" w:ascii="Times New Roman" w:hAnsi="Times New Roman" w:eastAsia="仿宋_GB2312" w:cs="Times New Roman"/>
          <w:b w:val="0"/>
          <w:bCs w:val="0"/>
          <w:sz w:val="32"/>
          <w:szCs w:val="32"/>
        </w:rPr>
        <w:t>住房保障（类）住房改革支出（款）住房公积金（项）：指按照《住房公积金管理条例》的规定，由单位及其在职职工缴存的长期住房储金。</w:t>
      </w:r>
    </w:p>
    <w:p w14:paraId="4FDB433A">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33.</w:t>
      </w:r>
      <w:r>
        <w:rPr>
          <w:rFonts w:hint="eastAsia" w:ascii="Times New Roman" w:hAnsi="Times New Roman" w:eastAsia="仿宋_GB2312" w:cs="Times New Roman"/>
          <w:b w:val="0"/>
          <w:bCs w:val="0"/>
          <w:sz w:val="32"/>
          <w:szCs w:val="32"/>
        </w:rPr>
        <w:t>住房保障支出（类）保障性安居工程支出（款）其他保障性安居工程支出（项）：反映政府用于保障性住房方面的其他支出。</w:t>
      </w:r>
    </w:p>
    <w:p w14:paraId="0866D569">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34.</w:t>
      </w:r>
      <w:r>
        <w:rPr>
          <w:rFonts w:hint="eastAsia" w:ascii="Times New Roman" w:hAnsi="Times New Roman" w:eastAsia="仿宋_GB2312" w:cs="Times New Roman"/>
          <w:b w:val="0"/>
          <w:bCs w:val="0"/>
          <w:sz w:val="32"/>
          <w:szCs w:val="32"/>
        </w:rPr>
        <w:t>基本支出：指为保障机构正常运转、完成日常工作任务而发生的人员支出和公用支出。</w:t>
      </w:r>
    </w:p>
    <w:p w14:paraId="36AA5416">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35.</w:t>
      </w:r>
      <w:r>
        <w:rPr>
          <w:rFonts w:hint="eastAsia" w:ascii="Times New Roman" w:hAnsi="Times New Roman" w:eastAsia="仿宋_GB2312" w:cs="Times New Roman"/>
          <w:b w:val="0"/>
          <w:bCs w:val="0"/>
          <w:sz w:val="32"/>
          <w:szCs w:val="32"/>
        </w:rPr>
        <w:t>项目支出：指在基本支出之外为完成特定行政任务和事业发展目标所发生的支出。</w:t>
      </w:r>
    </w:p>
    <w:p w14:paraId="5B3F549E">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36.</w:t>
      </w:r>
      <w:r>
        <w:rPr>
          <w:rFonts w:hint="eastAsia" w:ascii="Times New Roman" w:hAnsi="Times New Roman" w:eastAsia="仿宋_GB2312" w:cs="Times New Roman"/>
          <w:b w:val="0"/>
          <w:bCs w:val="0"/>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D291493">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1"/>
        <w:rPr>
          <w:rFonts w:hint="eastAsia" w:ascii="Times New Roman" w:hAnsi="Times New Roman" w:eastAsia="仿宋_GB2312" w:cs="Times New Roman"/>
          <w:b w:val="0"/>
          <w:bCs w:val="0"/>
          <w:sz w:val="32"/>
          <w:szCs w:val="32"/>
        </w:rPr>
      </w:pPr>
      <w:bookmarkStart w:id="115" w:name="_Toc14530"/>
      <w:r>
        <w:rPr>
          <w:rFonts w:hint="eastAsia" w:eastAsia="仿宋_GB2312" w:cs="Times New Roman"/>
          <w:b w:val="0"/>
          <w:bCs w:val="0"/>
          <w:sz w:val="32"/>
          <w:szCs w:val="32"/>
          <w:lang w:val="en-US" w:eastAsia="zh-CN"/>
        </w:rPr>
        <w:t>37.</w:t>
      </w:r>
      <w:r>
        <w:rPr>
          <w:rFonts w:hint="eastAsia" w:ascii="Times New Roman" w:hAnsi="Times New Roman" w:eastAsia="仿宋_GB2312" w:cs="Times New Roman"/>
          <w:b w:val="0"/>
          <w:bCs w:val="0"/>
          <w:sz w:val="32"/>
          <w:szCs w:val="32"/>
        </w:rPr>
        <w:t>国防支出：反映政府维护国家安全方面的支出。</w:t>
      </w:r>
      <w:bookmarkEnd w:id="115"/>
    </w:p>
    <w:p w14:paraId="19A7437B">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38.</w:t>
      </w:r>
      <w:r>
        <w:rPr>
          <w:rFonts w:hint="eastAsia" w:ascii="Times New Roman" w:hAnsi="Times New Roman" w:eastAsia="仿宋_GB2312" w:cs="Times New Roman"/>
          <w:b w:val="0"/>
          <w:bCs w:val="0"/>
          <w:sz w:val="32"/>
          <w:szCs w:val="32"/>
        </w:rPr>
        <w:t>文化旅游体育与传媒支出：反映政府在文化、旅游、文物、体育、广播电视、电影、新闻出版等方面的支出。</w:t>
      </w:r>
    </w:p>
    <w:p w14:paraId="616988E5">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39.</w:t>
      </w:r>
      <w:r>
        <w:rPr>
          <w:rFonts w:hint="eastAsia" w:ascii="Times New Roman" w:hAnsi="Times New Roman" w:eastAsia="仿宋_GB2312" w:cs="Times New Roman"/>
          <w:b w:val="0"/>
          <w:bCs w:val="0"/>
          <w:sz w:val="32"/>
          <w:szCs w:val="32"/>
        </w:rPr>
        <w:t>社会保障和就业支出：反映政府在社会保障与就业方面的支出。</w:t>
      </w:r>
    </w:p>
    <w:p w14:paraId="577BE0EF">
      <w:pPr>
        <w:keepNext w:val="0"/>
        <w:keepLines w:val="0"/>
        <w:pageBreakBefore w:val="0"/>
        <w:widowControl w:val="0"/>
        <w:shd w:val="clear" w:color="auto" w:fill="auto"/>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Times New Roman" w:hAnsi="Times New Roman" w:eastAsia="仿宋_GB2312" w:cs="Times New Roman"/>
          <w:b w:val="0"/>
          <w:bCs w:val="0"/>
          <w:sz w:val="32"/>
          <w:szCs w:val="32"/>
        </w:rPr>
      </w:pPr>
      <w:r>
        <w:rPr>
          <w:rFonts w:hint="eastAsia" w:eastAsia="仿宋_GB2312" w:cs="Times New Roman"/>
          <w:b w:val="0"/>
          <w:bCs w:val="0"/>
          <w:sz w:val="32"/>
          <w:szCs w:val="32"/>
          <w:lang w:val="en-US" w:eastAsia="zh-CN"/>
        </w:rPr>
        <w:t>40.</w:t>
      </w:r>
      <w:r>
        <w:rPr>
          <w:rFonts w:hint="eastAsia" w:ascii="Times New Roman" w:hAnsi="Times New Roman" w:eastAsia="仿宋_GB2312" w:cs="Times New Roman"/>
          <w:b w:val="0"/>
          <w:bCs w:val="0"/>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公务用车运行维护费以及其他费用。</w:t>
      </w:r>
      <w:bookmarkStart w:id="116" w:name="_Toc15396614"/>
      <w:bookmarkStart w:id="117" w:name="_Toc15377226"/>
    </w:p>
    <w:p w14:paraId="125719F1">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36768A4F">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06707887">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38A2E4A7">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116EB361">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32942E9A">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495C533C">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19CA2C25">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79F7047F">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0771B41A">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3A645043">
      <w:pPr>
        <w:pStyle w:val="6"/>
        <w:keepNext w:val="0"/>
        <w:keepLines w:val="0"/>
        <w:pageBreakBefore w:val="0"/>
        <w:kinsoku/>
        <w:wordWrap/>
        <w:overflowPunct/>
        <w:topLinePunct w:val="0"/>
        <w:bidi w:val="0"/>
        <w:spacing w:line="560" w:lineRule="exact"/>
        <w:textAlignment w:val="auto"/>
        <w:rPr>
          <w:rFonts w:hint="eastAsia" w:ascii="楷体_GB2312" w:hAnsi="楷体_GB2312" w:eastAsia="楷体_GB2312" w:cs="楷体_GB2312"/>
          <w:b w:val="0"/>
          <w:bCs w:val="0"/>
          <w:color w:val="000000" w:themeColor="text1"/>
          <w:sz w:val="32"/>
          <w:szCs w:val="32"/>
          <w14:textFill>
            <w14:solidFill>
              <w14:schemeClr w14:val="tx1"/>
            </w14:solidFill>
          </w14:textFill>
        </w:rPr>
      </w:pPr>
    </w:p>
    <w:p w14:paraId="146F4529">
      <w:pPr>
        <w:keepNext w:val="0"/>
        <w:keepLines w:val="0"/>
        <w:pageBreakBefore w:val="0"/>
        <w:kinsoku/>
        <w:wordWrap/>
        <w:overflowPunct/>
        <w:topLinePunct w:val="0"/>
        <w:bidi w:val="0"/>
        <w:spacing w:line="560" w:lineRule="exact"/>
        <w:jc w:val="both"/>
        <w:textAlignment w:val="auto"/>
        <w:outlineLvl w:val="0"/>
        <w:rPr>
          <w:rFonts w:hint="eastAsia" w:ascii="黑体" w:hAnsi="黑体" w:eastAsia="黑体"/>
          <w:color w:val="auto"/>
          <w:sz w:val="44"/>
          <w:szCs w:val="44"/>
          <w:highlight w:val="none"/>
        </w:rPr>
      </w:pPr>
      <w:bookmarkStart w:id="118" w:name="_Toc21328"/>
      <w:bookmarkStart w:id="119" w:name="_Toc30406"/>
    </w:p>
    <w:p w14:paraId="288F0071">
      <w:pPr>
        <w:keepNext w:val="0"/>
        <w:keepLines w:val="0"/>
        <w:pageBreakBefore w:val="0"/>
        <w:kinsoku/>
        <w:wordWrap/>
        <w:overflowPunct/>
        <w:topLinePunct w:val="0"/>
        <w:bidi w:val="0"/>
        <w:spacing w:line="560" w:lineRule="exact"/>
        <w:jc w:val="center"/>
        <w:textAlignment w:val="auto"/>
        <w:outlineLvl w:val="0"/>
        <w:rPr>
          <w:rStyle w:val="30"/>
          <w:rFonts w:hint="eastAsia" w:ascii="黑体" w:hAnsi="黑体" w:eastAsia="黑体"/>
          <w:b w:val="0"/>
          <w:color w:val="auto"/>
          <w:highlight w:val="none"/>
          <w:lang w:eastAsia="zh-CN"/>
        </w:rPr>
      </w:pPr>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四部分 附件</w:t>
      </w:r>
      <w:bookmarkEnd w:id="116"/>
      <w:bookmarkEnd w:id="118"/>
      <w:bookmarkEnd w:id="119"/>
    </w:p>
    <w:p w14:paraId="4E642B87">
      <w:pPr>
        <w:keepNext w:val="0"/>
        <w:keepLines w:val="0"/>
        <w:pageBreakBefore w:val="0"/>
        <w:kinsoku/>
        <w:wordWrap/>
        <w:overflowPunct/>
        <w:topLinePunct w:val="0"/>
        <w:autoSpaceDE/>
        <w:autoSpaceDN/>
        <w:bidi w:val="0"/>
        <w:spacing w:line="560" w:lineRule="exact"/>
        <w:jc w:val="left"/>
        <w:textAlignment w:val="auto"/>
        <w:outlineLvl w:val="1"/>
        <w:rPr>
          <w:rFonts w:hint="eastAsia" w:ascii="方正小标宋简体" w:hAnsi="方正小标宋简体" w:eastAsia="黑体" w:cs="方正小标宋简体"/>
          <w:color w:val="auto"/>
          <w:sz w:val="44"/>
          <w:szCs w:val="44"/>
          <w:highlight w:val="none"/>
          <w:lang w:val="en-US" w:eastAsia="zh-CN"/>
        </w:rPr>
      </w:pPr>
      <w:bookmarkStart w:id="120" w:name="_Toc20589"/>
      <w:bookmarkStart w:id="121" w:name="_Toc3870"/>
      <w:bookmarkStart w:id="122" w:name="_Toc9366"/>
      <w:r>
        <w:rPr>
          <w:rFonts w:hint="eastAsia" w:ascii="黑体" w:hAnsi="黑体" w:eastAsia="黑体" w:cs="黑体"/>
          <w:color w:val="auto"/>
          <w:sz w:val="32"/>
          <w:szCs w:val="32"/>
          <w:highlight w:val="none"/>
        </w:rPr>
        <w:t>附件</w:t>
      </w:r>
      <w:bookmarkEnd w:id="120"/>
      <w:bookmarkEnd w:id="121"/>
      <w:bookmarkEnd w:id="122"/>
      <w:r>
        <w:rPr>
          <w:rFonts w:hint="eastAsia" w:ascii="黑体" w:hAnsi="黑体" w:eastAsia="黑体" w:cs="黑体"/>
          <w:color w:val="auto"/>
          <w:sz w:val="32"/>
          <w:szCs w:val="32"/>
          <w:highlight w:val="none"/>
          <w:lang w:val="en-US" w:eastAsia="zh-CN"/>
        </w:rPr>
        <w:t>1</w:t>
      </w:r>
    </w:p>
    <w:p w14:paraId="6B366392">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广元市昭化区</w:t>
      </w:r>
      <w:r>
        <w:rPr>
          <w:rFonts w:hint="eastAsia" w:ascii="方正小标宋简体" w:hAnsi="方正小标宋简体" w:eastAsia="方正小标宋简体" w:cs="方正小标宋简体"/>
          <w:sz w:val="44"/>
          <w:szCs w:val="44"/>
          <w:lang w:eastAsia="zh-CN"/>
        </w:rPr>
        <w:t>磨滩镇人民政府</w:t>
      </w:r>
    </w:p>
    <w:p w14:paraId="62B28700">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Times New Roman" w:hAnsi="Times New Roman"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关于</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年部门整体支出绩效自评报告</w:t>
      </w:r>
    </w:p>
    <w:p w14:paraId="69CD31AA">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Times New Roman" w:hAnsi="Times New Roman"/>
        </w:rPr>
      </w:pPr>
    </w:p>
    <w:p w14:paraId="6792DC7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Times New Roman" w:hAnsi="Times New Roman" w:eastAsia="黑体" w:cs="黑体"/>
          <w:sz w:val="32"/>
          <w:szCs w:val="32"/>
        </w:rPr>
      </w:pPr>
      <w:bookmarkStart w:id="123" w:name="_Toc23032"/>
      <w:bookmarkStart w:id="124" w:name="_Toc29043"/>
      <w:bookmarkStart w:id="125" w:name="_Toc3858"/>
      <w:bookmarkStart w:id="126" w:name="_Toc32251"/>
      <w:r>
        <w:rPr>
          <w:rFonts w:hint="eastAsia" w:ascii="Times New Roman" w:hAnsi="Times New Roman" w:eastAsia="黑体" w:cs="黑体"/>
          <w:sz w:val="32"/>
          <w:szCs w:val="32"/>
        </w:rPr>
        <w:t>一、预算单位概况</w:t>
      </w:r>
      <w:bookmarkEnd w:id="123"/>
      <w:bookmarkEnd w:id="124"/>
      <w:bookmarkEnd w:id="125"/>
      <w:bookmarkEnd w:id="126"/>
    </w:p>
    <w:p w14:paraId="6A4456F6">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Times New Roman" w:hAnsi="Times New Roman" w:eastAsia="楷体_GB2312" w:cs="楷体_GB2312"/>
          <w:b/>
          <w:bCs/>
          <w:sz w:val="32"/>
          <w:szCs w:val="32"/>
          <w:highlight w:val="none"/>
        </w:rPr>
      </w:pPr>
      <w:bookmarkStart w:id="127" w:name="_Toc7238"/>
      <w:r>
        <w:rPr>
          <w:rFonts w:hint="eastAsia" w:ascii="Times New Roman" w:hAnsi="Times New Roman" w:eastAsia="楷体_GB2312" w:cs="楷体_GB2312"/>
          <w:b/>
          <w:bCs/>
          <w:sz w:val="32"/>
          <w:szCs w:val="32"/>
          <w:highlight w:val="none"/>
          <w:lang w:eastAsia="zh-CN"/>
        </w:rPr>
        <w:t>（一）</w:t>
      </w:r>
      <w:r>
        <w:rPr>
          <w:rFonts w:hint="eastAsia" w:ascii="Times New Roman" w:hAnsi="Times New Roman" w:eastAsia="楷体_GB2312" w:cs="楷体_GB2312"/>
          <w:b/>
          <w:bCs/>
          <w:sz w:val="32"/>
          <w:szCs w:val="32"/>
          <w:highlight w:val="none"/>
        </w:rPr>
        <w:t>机构组成</w:t>
      </w:r>
      <w:bookmarkEnd w:id="127"/>
    </w:p>
    <w:p w14:paraId="63D7008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imes New Roman" w:hAnsi="Times New Roman" w:eastAsia="楷体_GB2312" w:cs="楷体_GB2312"/>
          <w:sz w:val="32"/>
          <w:szCs w:val="32"/>
        </w:rPr>
      </w:pPr>
      <w:r>
        <w:rPr>
          <w:rFonts w:hint="eastAsia" w:ascii="Times New Roman" w:hAnsi="Times New Roman" w:eastAsia="仿宋_GB2312" w:cs="Times New Roman"/>
          <w:color w:val="auto"/>
          <w:sz w:val="32"/>
          <w:szCs w:val="32"/>
          <w:lang w:eastAsia="zh-CN"/>
        </w:rPr>
        <w:t>磨滩镇2022年</w:t>
      </w:r>
      <w:r>
        <w:rPr>
          <w:rFonts w:hint="default" w:ascii="Times New Roman" w:hAnsi="Times New Roman" w:eastAsia="仿宋_GB2312" w:cs="Times New Roman"/>
          <w:color w:val="auto"/>
          <w:sz w:val="32"/>
          <w:szCs w:val="32"/>
        </w:rPr>
        <w:t>末机构数</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个</w:t>
      </w:r>
      <w:r>
        <w:rPr>
          <w:rFonts w:hint="default" w:ascii="Times New Roman" w:hAnsi="Times New Roman" w:eastAsia="仿宋_GB2312" w:cs="Times New Roman"/>
          <w:color w:val="auto"/>
          <w:sz w:val="32"/>
          <w:szCs w:val="32"/>
        </w:rPr>
        <w:t>，其中行政机关1个即</w:t>
      </w:r>
      <w:r>
        <w:rPr>
          <w:rFonts w:hint="eastAsia" w:ascii="Times New Roman" w:hAnsi="Times New Roman" w:eastAsia="仿宋_GB2312" w:cs="Times New Roman"/>
          <w:color w:val="auto"/>
          <w:sz w:val="32"/>
          <w:szCs w:val="32"/>
          <w:lang w:eastAsia="zh-CN"/>
        </w:rPr>
        <w:t>磨滩镇</w:t>
      </w:r>
      <w:r>
        <w:rPr>
          <w:rFonts w:hint="default" w:ascii="Times New Roman" w:hAnsi="Times New Roman" w:eastAsia="仿宋_GB2312" w:cs="Times New Roman"/>
          <w:color w:val="auto"/>
          <w:sz w:val="32"/>
          <w:szCs w:val="32"/>
          <w:lang w:eastAsia="zh-CN"/>
        </w:rPr>
        <w:t>人民政府</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由</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个</w:t>
      </w:r>
      <w:r>
        <w:rPr>
          <w:rFonts w:hint="eastAsia" w:ascii="Times New Roman" w:hAnsi="Times New Roman" w:eastAsia="仿宋_GB2312" w:cs="Times New Roman"/>
          <w:color w:val="auto"/>
          <w:sz w:val="32"/>
          <w:szCs w:val="32"/>
          <w:highlight w:val="none"/>
          <w:lang w:val="en-US" w:eastAsia="zh-CN"/>
        </w:rPr>
        <w:t>部门组成</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rPr>
        <w:t>分别是党政综合与乡村振兴办公室、党建工作办公室、综合行政执法办公室、社会事务办公室、经济发展办公室、社会治理工作办公室、财政所；有便民服务中心、农业综合服务中心、农民工服务中心、乡村建设和文化服务旅游中心4个事业机构；有工会、青年、妇联等群团组织。</w:t>
      </w:r>
    </w:p>
    <w:p w14:paraId="40FE9630">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Times New Roman" w:hAnsi="Times New Roman" w:eastAsia="楷体_GB2312" w:cs="楷体_GB2312"/>
          <w:b/>
          <w:bCs/>
          <w:sz w:val="32"/>
          <w:szCs w:val="32"/>
        </w:rPr>
      </w:pPr>
      <w:bookmarkStart w:id="128" w:name="_Toc21877"/>
      <w:r>
        <w:rPr>
          <w:rFonts w:hint="eastAsia" w:ascii="Times New Roman" w:hAnsi="Times New Roman" w:eastAsia="楷体_GB2312" w:cs="楷体_GB2312"/>
          <w:b/>
          <w:bCs/>
          <w:sz w:val="32"/>
          <w:szCs w:val="32"/>
        </w:rPr>
        <w:t>机构职能</w:t>
      </w:r>
      <w:r>
        <w:rPr>
          <w:rFonts w:hint="eastAsia" w:eastAsia="楷体_GB2312" w:cs="楷体_GB2312"/>
          <w:b/>
          <w:bCs/>
          <w:sz w:val="32"/>
          <w:szCs w:val="32"/>
          <w:lang w:eastAsia="zh-CN"/>
        </w:rPr>
        <w:t>和人员概况</w:t>
      </w:r>
      <w:bookmarkEnd w:id="128"/>
    </w:p>
    <w:p w14:paraId="4D6AD54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eastAsia="楷体_GB2312" w:cs="楷体_GB2312"/>
          <w:sz w:val="32"/>
          <w:szCs w:val="32"/>
          <w:lang w:val="en-US" w:eastAsia="zh-CN"/>
        </w:rPr>
      </w:pPr>
      <w:r>
        <w:rPr>
          <w:rFonts w:hint="eastAsia" w:eastAsia="楷体_GB2312" w:cs="楷体_GB2312"/>
          <w:sz w:val="32"/>
          <w:szCs w:val="32"/>
          <w:lang w:val="en-US" w:eastAsia="zh-CN"/>
        </w:rPr>
        <w:t>1.机构职能</w:t>
      </w:r>
    </w:p>
    <w:p w14:paraId="383B778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制定和组织实施经济、科技和社会发展计划，制定资源开发技术改造和产业结构调整方案，组织指导好各业生产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搞好商品流通，协调好本办事处与外地区的经济交流与合作，抓好招商引资，人才引进项目开发，不断培育市场体系，组织经济运行，促进经济发展。</w:t>
      </w:r>
    </w:p>
    <w:p w14:paraId="5D594FB5">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eastAsia="仿宋_GB2312"/>
          <w:sz w:val="32"/>
          <w:szCs w:val="32"/>
          <w:lang w:val="en-US" w:eastAsia="zh-CN"/>
        </w:rPr>
        <w:t>（2）</w:t>
      </w:r>
      <w:r>
        <w:rPr>
          <w:rFonts w:hint="eastAsia" w:ascii="仿宋_GB2312" w:hAnsi="仿宋_GB2312" w:eastAsia="仿宋_GB2312" w:cs="仿宋_GB2312"/>
          <w:sz w:val="32"/>
          <w:szCs w:val="32"/>
        </w:rPr>
        <w:t>制定并组织实施村镇建设规划，部署重点工程建设，地方道路建设及公共设施，水利设施的管理，负责土地、林木、水等自然资源和生态环境的保护，做好护林防火工作。</w:t>
      </w:r>
    </w:p>
    <w:p w14:paraId="75B221DA">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负责本行政区域内的民政、计划生育、文化教育、卫生、体育等社会公益事业的综合性工作，维护一切经济单位和个人的正当经济权益，取缔非法经济活动，调解和处理民事纠纷，打击刑事犯罪维护社会稳定。</w:t>
      </w:r>
    </w:p>
    <w:p w14:paraId="3243383B">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按计划组织本级财政收入和地方税的征收，完成国家财政计划，不断培植税源，管好财政资金，增强财政实力。</w:t>
      </w:r>
    </w:p>
    <w:p w14:paraId="44565D06">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抓好精神文明建设，丰富群众文化生活，提倡移风易俗，反对封建迷信，破除陈规陋习，树立社会主义新风尚。</w:t>
      </w:r>
    </w:p>
    <w:p w14:paraId="697AA6E8">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执行本级人民代表大会的决议和上级国家行政机关的决定和命令，发布决定和命令。</w:t>
      </w:r>
    </w:p>
    <w:p w14:paraId="35CFF9A2">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执行本行政区域内的经济和社会发展计划、预算。管理本行政区域内的经济、教育、科学、文化、卫生、体育事业和财政、民政、公安、司法行政、计划生育等行政工作。</w:t>
      </w:r>
    </w:p>
    <w:p w14:paraId="03C28749">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保护好社会主义全民所有的财产和劳动群众集体所有财产，保护公民私有的合法财产，维护社会秩序，保障公民的人身权利、民主权利和其他权利。</w:t>
      </w:r>
    </w:p>
    <w:p w14:paraId="19BBA032">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保障农村集体经济组织应有的自主权。</w:t>
      </w:r>
    </w:p>
    <w:p w14:paraId="08D3B11C">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保障少数民族的权利和尊重少数民族的风俗习惯。</w:t>
      </w:r>
    </w:p>
    <w:p w14:paraId="1DCD11A6">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保障宪法和法律赋予妇女的男女平等、同工同酬和婚姻自由平等各项权利。</w:t>
      </w:r>
    </w:p>
    <w:p w14:paraId="78E8FC86">
      <w:pPr>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eastAsia" w:ascii="Times New Roman" w:hAnsi="Times New Roman" w:eastAsia="楷体_GB2312" w:cs="楷体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完成和办理上级人民政府交办的其他事项</w:t>
      </w:r>
      <w:r>
        <w:rPr>
          <w:rFonts w:ascii="Times New Roman" w:hAnsi="Times New Roman" w:eastAsia="仿宋_GB2312"/>
          <w:sz w:val="32"/>
          <w:szCs w:val="32"/>
        </w:rPr>
        <w:t>。</w:t>
      </w:r>
    </w:p>
    <w:p w14:paraId="6E5951E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楷体_GB2312" w:cs="楷体_GB2312"/>
          <w:sz w:val="32"/>
          <w:szCs w:val="32"/>
        </w:rPr>
      </w:pPr>
      <w:r>
        <w:rPr>
          <w:rFonts w:hint="eastAsia" w:ascii="楷体" w:hAnsi="楷体" w:eastAsia="楷体" w:cs="楷体"/>
          <w:sz w:val="32"/>
          <w:szCs w:val="32"/>
          <w:lang w:val="en-US" w:eastAsia="zh-CN"/>
        </w:rPr>
        <w:t>2.</w:t>
      </w:r>
      <w:r>
        <w:rPr>
          <w:rFonts w:hint="eastAsia" w:ascii="Times New Roman" w:hAnsi="Times New Roman" w:eastAsia="楷体_GB2312" w:cs="楷体_GB2312"/>
          <w:sz w:val="32"/>
          <w:szCs w:val="32"/>
        </w:rPr>
        <w:t>人员概况</w:t>
      </w:r>
    </w:p>
    <w:p w14:paraId="6A3EFF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lang w:eastAsia="zh-CN"/>
        </w:rPr>
        <w:t>磨滩</w:t>
      </w:r>
      <w:r>
        <w:rPr>
          <w:rFonts w:hint="eastAsia" w:ascii="仿宋_GB2312" w:hAnsi="仿宋_GB2312" w:eastAsia="仿宋_GB2312" w:cs="仿宋_GB2312"/>
          <w:kern w:val="0"/>
          <w:sz w:val="32"/>
          <w:szCs w:val="32"/>
          <w:shd w:val="clear" w:color="auto" w:fill="FFFFFF"/>
        </w:rPr>
        <w:t>镇共有编制</w:t>
      </w:r>
      <w:r>
        <w:rPr>
          <w:rFonts w:hint="eastAsia" w:ascii="仿宋_GB2312" w:hAnsi="仿宋_GB2312" w:eastAsia="仿宋_GB2312" w:cs="仿宋_GB2312"/>
          <w:kern w:val="0"/>
          <w:sz w:val="32"/>
          <w:szCs w:val="32"/>
          <w:shd w:val="clear" w:color="auto" w:fill="FFFFFF"/>
          <w:lang w:val="en-US" w:eastAsia="zh-CN"/>
        </w:rPr>
        <w:t>48名</w:t>
      </w:r>
      <w:r>
        <w:rPr>
          <w:rFonts w:hint="eastAsia" w:ascii="仿宋_GB2312" w:hAnsi="仿宋_GB2312" w:eastAsia="仿宋_GB2312" w:cs="仿宋_GB2312"/>
          <w:kern w:val="0"/>
          <w:sz w:val="32"/>
          <w:szCs w:val="32"/>
          <w:shd w:val="clear" w:color="auto" w:fill="FFFFFF"/>
        </w:rPr>
        <w:t>，其中：行政编制</w:t>
      </w:r>
      <w:r>
        <w:rPr>
          <w:rFonts w:hint="eastAsia" w:ascii="仿宋_GB2312" w:hAnsi="仿宋_GB2312" w:eastAsia="仿宋_GB2312" w:cs="仿宋_GB2312"/>
          <w:kern w:val="0"/>
          <w:sz w:val="32"/>
          <w:szCs w:val="32"/>
          <w:shd w:val="clear" w:color="auto" w:fill="FFFFFF"/>
          <w:lang w:val="en-US" w:eastAsia="zh-CN"/>
        </w:rPr>
        <w:t>24</w:t>
      </w:r>
      <w:r>
        <w:rPr>
          <w:rFonts w:hint="eastAsia" w:ascii="仿宋_GB2312" w:hAnsi="仿宋_GB2312" w:eastAsia="仿宋_GB2312" w:cs="仿宋_GB2312"/>
          <w:kern w:val="0"/>
          <w:sz w:val="32"/>
          <w:szCs w:val="32"/>
          <w:shd w:val="clear" w:color="auto" w:fill="FFFFFF"/>
        </w:rPr>
        <w:t>名，事业编制</w:t>
      </w:r>
      <w:r>
        <w:rPr>
          <w:rFonts w:hint="eastAsia" w:ascii="仿宋_GB2312" w:hAnsi="仿宋_GB2312" w:eastAsia="仿宋_GB2312" w:cs="仿宋_GB2312"/>
          <w:kern w:val="0"/>
          <w:sz w:val="32"/>
          <w:szCs w:val="32"/>
          <w:shd w:val="clear" w:color="auto" w:fill="FFFFFF"/>
          <w:lang w:val="en-US" w:eastAsia="zh-CN"/>
        </w:rPr>
        <w:t>18</w:t>
      </w:r>
      <w:r>
        <w:rPr>
          <w:rFonts w:hint="eastAsia" w:ascii="仿宋_GB2312" w:hAnsi="仿宋_GB2312" w:eastAsia="仿宋_GB2312" w:cs="仿宋_GB2312"/>
          <w:kern w:val="0"/>
          <w:sz w:val="32"/>
          <w:szCs w:val="32"/>
          <w:shd w:val="clear" w:color="auto" w:fill="FFFFFF"/>
        </w:rPr>
        <w:t>名，机关工勤编制</w:t>
      </w:r>
      <w:r>
        <w:rPr>
          <w:rFonts w:hint="eastAsia" w:ascii="仿宋_GB2312" w:hAnsi="仿宋_GB2312" w:eastAsia="仿宋_GB2312" w:cs="仿宋_GB2312"/>
          <w:kern w:val="0"/>
          <w:sz w:val="32"/>
          <w:szCs w:val="32"/>
          <w:shd w:val="clear" w:color="auto" w:fill="FFFFFF"/>
          <w:lang w:val="en-US" w:eastAsia="zh-CN"/>
        </w:rPr>
        <w:t>4</w:t>
      </w:r>
      <w:r>
        <w:rPr>
          <w:rFonts w:hint="eastAsia" w:ascii="仿宋_GB2312" w:hAnsi="仿宋_GB2312" w:eastAsia="仿宋_GB2312" w:cs="仿宋_GB2312"/>
          <w:kern w:val="0"/>
          <w:sz w:val="32"/>
          <w:szCs w:val="32"/>
          <w:shd w:val="clear" w:color="auto" w:fill="FFFFFF"/>
        </w:rPr>
        <w:t>名，事业工勤编制</w:t>
      </w: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名。</w:t>
      </w:r>
      <w:r>
        <w:rPr>
          <w:rFonts w:hint="eastAsia" w:ascii="仿宋_GB2312" w:hAnsi="仿宋_GB2312" w:eastAsia="仿宋_GB2312" w:cs="仿宋_GB2312"/>
          <w:sz w:val="32"/>
          <w:szCs w:val="32"/>
          <w:shd w:val="clear" w:color="auto" w:fill="FFFFFF"/>
        </w:rPr>
        <w:t>按财政供给率分，均为财政全额供给</w:t>
      </w:r>
      <w:r>
        <w:rPr>
          <w:rFonts w:hint="eastAsia" w:ascii="仿宋_GB2312" w:hAnsi="仿宋_GB2312" w:eastAsia="仿宋_GB2312" w:cs="仿宋_GB2312"/>
          <w:kern w:val="0"/>
          <w:sz w:val="32"/>
          <w:szCs w:val="32"/>
          <w:shd w:val="clear" w:color="auto" w:fill="FFFFFF"/>
        </w:rPr>
        <w:t>。2022年其他人员共</w:t>
      </w:r>
      <w:r>
        <w:rPr>
          <w:rFonts w:hint="eastAsia" w:ascii="仿宋_GB2312" w:hAnsi="仿宋_GB2312" w:eastAsia="仿宋_GB2312" w:cs="仿宋_GB2312"/>
          <w:kern w:val="0"/>
          <w:sz w:val="32"/>
          <w:szCs w:val="32"/>
          <w:shd w:val="clear" w:color="auto" w:fill="FFFFFF"/>
          <w:lang w:val="en-US" w:eastAsia="zh-CN"/>
        </w:rPr>
        <w:t>5</w:t>
      </w:r>
      <w:r>
        <w:rPr>
          <w:rFonts w:hint="eastAsia" w:ascii="仿宋_GB2312" w:hAnsi="仿宋_GB2312" w:eastAsia="仿宋_GB2312" w:cs="仿宋_GB2312"/>
          <w:kern w:val="0"/>
          <w:sz w:val="32"/>
          <w:szCs w:val="32"/>
          <w:shd w:val="clear" w:color="auto" w:fill="FFFFFF"/>
        </w:rPr>
        <w:t>人，其中：遗属人员</w:t>
      </w:r>
      <w:r>
        <w:rPr>
          <w:rFonts w:hint="eastAsia" w:ascii="仿宋_GB2312" w:hAnsi="仿宋_GB2312" w:eastAsia="仿宋_GB2312" w:cs="仿宋_GB2312"/>
          <w:kern w:val="0"/>
          <w:sz w:val="32"/>
          <w:szCs w:val="32"/>
          <w:shd w:val="clear" w:color="auto" w:fill="FFFFFF"/>
          <w:lang w:val="en-US" w:eastAsia="zh-CN"/>
        </w:rPr>
        <w:t>3</w:t>
      </w:r>
      <w:r>
        <w:rPr>
          <w:rFonts w:hint="eastAsia" w:ascii="仿宋_GB2312" w:hAnsi="仿宋_GB2312" w:eastAsia="仿宋_GB2312" w:cs="仿宋_GB2312"/>
          <w:kern w:val="0"/>
          <w:sz w:val="32"/>
          <w:szCs w:val="32"/>
          <w:shd w:val="clear" w:color="auto" w:fill="FFFFFF"/>
        </w:rPr>
        <w:t>人，三支一扶</w:t>
      </w:r>
      <w:r>
        <w:rPr>
          <w:rFonts w:hint="eastAsia" w:ascii="仿宋_GB2312" w:hAnsi="仿宋_GB2312" w:eastAsia="仿宋_GB2312" w:cs="仿宋_GB2312"/>
          <w:kern w:val="0"/>
          <w:sz w:val="32"/>
          <w:szCs w:val="32"/>
          <w:shd w:val="clear" w:color="auto" w:fill="FFFFFF"/>
          <w:lang w:val="en-US" w:eastAsia="zh-CN"/>
        </w:rPr>
        <w:t>2</w:t>
      </w:r>
      <w:r>
        <w:rPr>
          <w:rFonts w:hint="eastAsia" w:ascii="仿宋_GB2312" w:hAnsi="仿宋_GB2312" w:eastAsia="仿宋_GB2312" w:cs="仿宋_GB2312"/>
          <w:kern w:val="0"/>
          <w:sz w:val="32"/>
          <w:szCs w:val="32"/>
          <w:shd w:val="clear" w:color="auto" w:fill="FFFFFF"/>
        </w:rPr>
        <w:t>人；2022年本单位退休人员共</w:t>
      </w:r>
      <w:r>
        <w:rPr>
          <w:rFonts w:hint="eastAsia" w:ascii="仿宋_GB2312" w:hAnsi="仿宋_GB2312" w:eastAsia="仿宋_GB2312" w:cs="仿宋_GB2312"/>
          <w:kern w:val="0"/>
          <w:sz w:val="32"/>
          <w:szCs w:val="32"/>
          <w:shd w:val="clear" w:color="auto" w:fill="FFFFFF"/>
          <w:lang w:val="en-US" w:eastAsia="zh-CN"/>
        </w:rPr>
        <w:t>20</w:t>
      </w:r>
      <w:r>
        <w:rPr>
          <w:rFonts w:hint="eastAsia" w:ascii="仿宋_GB2312" w:hAnsi="仿宋_GB2312" w:eastAsia="仿宋_GB2312" w:cs="仿宋_GB2312"/>
          <w:kern w:val="0"/>
          <w:sz w:val="32"/>
          <w:szCs w:val="32"/>
          <w:shd w:val="clear" w:color="auto" w:fill="FFFFFF"/>
        </w:rPr>
        <w:t>人，其中：行政人员</w:t>
      </w:r>
      <w:r>
        <w:rPr>
          <w:rFonts w:hint="eastAsia" w:ascii="仿宋_GB2312" w:hAnsi="仿宋_GB2312" w:eastAsia="仿宋_GB2312" w:cs="仿宋_GB2312"/>
          <w:kern w:val="0"/>
          <w:sz w:val="32"/>
          <w:szCs w:val="32"/>
          <w:shd w:val="clear" w:color="auto" w:fill="FFFFFF"/>
          <w:lang w:val="en-US" w:eastAsia="zh-CN"/>
        </w:rPr>
        <w:t>10</w:t>
      </w:r>
      <w:r>
        <w:rPr>
          <w:rFonts w:hint="eastAsia" w:ascii="仿宋_GB2312" w:hAnsi="仿宋_GB2312" w:eastAsia="仿宋_GB2312" w:cs="仿宋_GB2312"/>
          <w:kern w:val="0"/>
          <w:sz w:val="32"/>
          <w:szCs w:val="32"/>
          <w:shd w:val="clear" w:color="auto" w:fill="FFFFFF"/>
        </w:rPr>
        <w:t>人，事业人员</w:t>
      </w:r>
      <w:r>
        <w:rPr>
          <w:rFonts w:hint="eastAsia" w:ascii="仿宋_GB2312" w:hAnsi="仿宋_GB2312" w:eastAsia="仿宋_GB2312" w:cs="仿宋_GB2312"/>
          <w:kern w:val="0"/>
          <w:sz w:val="32"/>
          <w:szCs w:val="32"/>
          <w:shd w:val="clear" w:color="auto" w:fill="FFFFFF"/>
          <w:lang w:val="en-US" w:eastAsia="zh-CN"/>
        </w:rPr>
        <w:t>10</w:t>
      </w:r>
      <w:r>
        <w:rPr>
          <w:rFonts w:hint="eastAsia" w:ascii="仿宋_GB2312" w:hAnsi="仿宋_GB2312" w:eastAsia="仿宋_GB2312" w:cs="仿宋_GB2312"/>
          <w:kern w:val="0"/>
          <w:sz w:val="32"/>
          <w:szCs w:val="32"/>
          <w:shd w:val="clear" w:color="auto" w:fill="FFFFFF"/>
        </w:rPr>
        <w:t>人。</w:t>
      </w:r>
    </w:p>
    <w:p w14:paraId="787FF4D9">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outlineLvl w:val="2"/>
        <w:rPr>
          <w:rFonts w:hint="eastAsia" w:ascii="楷体" w:hAnsi="楷体" w:eastAsia="楷体" w:cs="楷体"/>
          <w:b/>
          <w:color w:val="auto"/>
          <w:sz w:val="32"/>
          <w:szCs w:val="32"/>
          <w:highlight w:val="none"/>
          <w:lang w:val="en-US" w:eastAsia="zh-CN"/>
        </w:rPr>
      </w:pPr>
      <w:bookmarkStart w:id="129" w:name="_Toc4850"/>
      <w:r>
        <w:rPr>
          <w:rFonts w:hint="eastAsia" w:ascii="楷体" w:hAnsi="楷体" w:eastAsia="楷体" w:cs="楷体"/>
          <w:b/>
          <w:color w:val="auto"/>
          <w:sz w:val="32"/>
          <w:szCs w:val="32"/>
          <w:highlight w:val="none"/>
          <w:lang w:val="en-US" w:eastAsia="zh-CN"/>
        </w:rPr>
        <w:t>（三）年度主要工作任务</w:t>
      </w:r>
      <w:bookmarkEnd w:id="129"/>
    </w:p>
    <w:p w14:paraId="5AE9FE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1.持续推进乡村振兴。一是持续巩固拓展脱贫攻坚成果。常态化开展防返贫动态监测，及时按照返贫风险类型和程度分层分类精准落实帮扶措施，抓好监测对象动态清零，坚决守住不发生规模性返贫底线。二是全区域、全领域创建省级“鱼米之乡”。坚持种养结合，以渔促稻，全域发展稻鱼、稻虾产业，打造‘稻田+’田园综合体，通过扩面增量，提升质效，实现乡民生活富裕、鱼米产业兴旺。三是稳步实施强村工程。全面实施2022年入库项目，改善各村基础设施条件和提升产业结构；积极推动佛岩村市级乡村振兴重点村和磨滩村、长青村区级乡村振兴重点村建设。</w:t>
      </w:r>
    </w:p>
    <w:p w14:paraId="4CAD61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2.加快发展特色产业。一是持续做大做强做靓“王家贡米”特色品牌，围绕“两点一中心”稻渔综合种养示范基地，实行集中规划，成片发展，辐射带动全镇稻渔综合种养产业发展，打造稻渔综合种养省级示范园区。二是巩固烤烟“两线三带”发展，扩大种植面积，提质增效烤烟产业省级示范园区，争创长青村为烤烟千亩村，长青村二社为千担社，实现种植规模与烟叶产量双丰收。</w:t>
      </w:r>
    </w:p>
    <w:p w14:paraId="5A05DF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3.做优做强镇域经济。一是积极对接区级部门，力争省道224“王家—磨滩—枣林”段二级公路改建工程在年内开工建设，打造昭化至磨滩1小时交通圈生活圈经济圈。二是持续做好两项改革“后半篇”文章，实施场镇提质计划，扩建场镇面积，新建停车场，提升住宿餐饮条件。</w:t>
      </w:r>
    </w:p>
    <w:p w14:paraId="15C2BE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4.扎实推动项目投资。一是持续优化营商环境，强化服务意识，镇领导全过程跟踪管理，提供“保姆式”服务，促进项目落地。二是全面开展场镇提质“五化”行动，完成场镇路灯安装做好光亮工程，建设休闲步游道、廊亭等，做足“佛岩—龙王”县道前期工作。</w:t>
      </w:r>
    </w:p>
    <w:p w14:paraId="35D00E4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lang w:val="en-US" w:eastAsia="zh-CN"/>
        </w:rPr>
        <w:t>5.持续抓好基层治理。一是纵深推进法治政府建设。完善岗位法治“账图模式”，积极创建法治政府建设示范镇、示范村。二是积极化解纠纷诉求。借鉴拓展“枫桥经验”，深入推进“平安磨滩”建设。三是建立健全各项制度。优化“大调解”工作体系建设，完善情报预警机制，抓实磨滩警务站微警务，切实做好信访接待工作。四是建设“健康磨滩”，常态化抓好疫情防控，全面落实安全生产责任制，强化食品药品安全、道路交通安全、森林防灭火、防灾减灾等领域专项排查，及时治理重大安全隐患，着力解决群众关注度高、亟待解决的身边小事、急事、难事，坚决守护好人民群众的生命财产安全。</w:t>
      </w:r>
    </w:p>
    <w:p w14:paraId="62FB5A3C">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outlineLvl w:val="2"/>
        <w:rPr>
          <w:rFonts w:hint="eastAsia" w:ascii="楷体" w:hAnsi="楷体" w:eastAsia="楷体" w:cs="楷体"/>
          <w:b/>
          <w:color w:val="auto"/>
          <w:sz w:val="32"/>
          <w:szCs w:val="32"/>
          <w:highlight w:val="none"/>
          <w:lang w:val="en-US" w:eastAsia="zh-CN"/>
        </w:rPr>
      </w:pPr>
      <w:bookmarkStart w:id="130" w:name="_Toc15625"/>
      <w:r>
        <w:rPr>
          <w:rFonts w:hint="eastAsia" w:ascii="楷体" w:hAnsi="楷体" w:eastAsia="楷体" w:cs="楷体"/>
          <w:b/>
          <w:color w:val="auto"/>
          <w:sz w:val="32"/>
          <w:szCs w:val="32"/>
          <w:highlight w:val="none"/>
          <w:lang w:val="en-US" w:eastAsia="zh-CN"/>
        </w:rPr>
        <w:t>（四）部门整体支出绩效目标</w:t>
      </w:r>
      <w:bookmarkEnd w:id="130"/>
    </w:p>
    <w:p w14:paraId="15AF9D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磨滩镇2022年整体绩效目标：基层组织活动与公共服务运行经费垃圾清运不少于432次，开展征兵不少于2次，党员干部培训次数不少于10次，烤烟集中培训不少于1次，垃圾清运每周不少于1次，路灯亮灯长度2公里，全镇经财网络运行1个，召开人大会议不少于2次，烟地整理不低于600亩，保障8村1社区日常工作的正常运转，通过实现以上目标，完善政府公共服务能力，提升整体服务水平，促进镇域旅游发展、农业提升、改善民生。</w:t>
      </w:r>
    </w:p>
    <w:p w14:paraId="141AF25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Times New Roman" w:hAnsi="Times New Roman" w:eastAsia="黑体" w:cs="黑体"/>
          <w:sz w:val="32"/>
          <w:szCs w:val="32"/>
        </w:rPr>
      </w:pPr>
      <w:bookmarkStart w:id="131" w:name="_Toc2160"/>
      <w:bookmarkStart w:id="132" w:name="_Toc5208"/>
      <w:bookmarkStart w:id="133" w:name="_Toc32271"/>
      <w:bookmarkStart w:id="134" w:name="_Toc18348"/>
      <w:r>
        <w:rPr>
          <w:rFonts w:hint="eastAsia" w:ascii="Times New Roman" w:hAnsi="Times New Roman" w:eastAsia="黑体" w:cs="黑体"/>
          <w:sz w:val="32"/>
          <w:szCs w:val="32"/>
        </w:rPr>
        <w:t>二、</w:t>
      </w:r>
      <w:bookmarkEnd w:id="131"/>
      <w:bookmarkEnd w:id="132"/>
      <w:r>
        <w:rPr>
          <w:rFonts w:hint="eastAsia" w:ascii="黑体" w:hAnsi="黑体" w:eastAsia="黑体" w:cs="黑体"/>
          <w:color w:val="auto"/>
          <w:kern w:val="0"/>
          <w:sz w:val="32"/>
          <w:szCs w:val="32"/>
          <w:highlight w:val="none"/>
          <w:lang w:val="en-US" w:eastAsia="zh-CN" w:bidi="ar-SA"/>
        </w:rPr>
        <w:t>部门资金收支</w:t>
      </w:r>
      <w:r>
        <w:rPr>
          <w:rFonts w:hint="default" w:ascii="黑体" w:hAnsi="黑体" w:eastAsia="黑体" w:cs="黑体"/>
          <w:color w:val="auto"/>
          <w:kern w:val="0"/>
          <w:sz w:val="32"/>
          <w:szCs w:val="32"/>
          <w:highlight w:val="none"/>
          <w:lang w:val="en-US" w:eastAsia="zh-CN" w:bidi="ar-SA"/>
        </w:rPr>
        <w:t>情况</w:t>
      </w:r>
      <w:bookmarkEnd w:id="133"/>
      <w:bookmarkEnd w:id="134"/>
    </w:p>
    <w:p w14:paraId="40829D5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仿宋" w:hAnsi="仿宋" w:eastAsia="仿宋"/>
          <w:b/>
          <w:color w:val="auto"/>
          <w:sz w:val="32"/>
          <w:szCs w:val="32"/>
          <w:highlight w:val="none"/>
          <w:lang w:val="en-US" w:eastAsia="zh-CN"/>
        </w:rPr>
      </w:pPr>
      <w:bookmarkStart w:id="135" w:name="_Toc2129"/>
      <w:r>
        <w:rPr>
          <w:rFonts w:hint="eastAsia" w:ascii="楷体" w:hAnsi="楷体" w:eastAsia="楷体" w:cs="楷体"/>
          <w:b/>
          <w:bCs/>
          <w:sz w:val="32"/>
          <w:szCs w:val="32"/>
        </w:rPr>
        <w:t>(一)</w:t>
      </w:r>
      <w:r>
        <w:rPr>
          <w:rFonts w:hint="eastAsia" w:ascii="楷体" w:hAnsi="楷体" w:eastAsia="楷体" w:cs="楷体"/>
          <w:b/>
          <w:bCs/>
          <w:color w:val="auto"/>
          <w:sz w:val="32"/>
          <w:szCs w:val="32"/>
          <w:highlight w:val="none"/>
          <w:lang w:val="en-US" w:eastAsia="zh-CN"/>
        </w:rPr>
        <w:t>部门总体收支情况</w:t>
      </w:r>
      <w:bookmarkEnd w:id="135"/>
    </w:p>
    <w:p w14:paraId="27E393F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kern w:val="0"/>
          <w:sz w:val="32"/>
          <w:szCs w:val="32"/>
          <w:highlight w:val="none"/>
          <w:lang w:val="en-US" w:eastAsia="zh-CN" w:bidi="ar-SA"/>
        </w:rPr>
        <w:t>1.部门总体收入情况。</w:t>
      </w:r>
      <w:r>
        <w:rPr>
          <w:rFonts w:hint="eastAsia" w:ascii="仿宋_GB2312" w:hAnsi="仿宋_GB2312" w:eastAsia="仿宋_GB2312" w:cs="仿宋_GB2312"/>
          <w:color w:val="auto"/>
          <w:sz w:val="32"/>
          <w:szCs w:val="32"/>
          <w:shd w:val="clear" w:color="auto" w:fill="FFFFFF"/>
          <w:lang w:val="en-US" w:eastAsia="zh-CN"/>
        </w:rPr>
        <w:t>磨滩镇2022年部门预算收入批复总数1134.84万元，决算收入总数1155.99万元，较2021年部门决算收入总数953.64万元增加202.35万元，增加17.5%。主要原因是国有土地使用权出让收入安排的支出，以及人员增加经费调增。</w:t>
      </w:r>
    </w:p>
    <w:p w14:paraId="03D3FE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2.部门总体支出情况。磨滩镇2022年部门预算支出批复总数1134.84万元，决算支出总数1155.99万元，较2021年部门决算支出总数953.64万元增加202.35万元，增加17.5%，主要原因是人员增减经费调增。</w:t>
      </w:r>
    </w:p>
    <w:p w14:paraId="0485F469">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3.部门总体结转结余情况。磨滩镇2022年无结转结余资金。</w:t>
      </w:r>
    </w:p>
    <w:p w14:paraId="54A1B094">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outlineLvl w:val="2"/>
        <w:rPr>
          <w:rFonts w:hint="eastAsia" w:ascii="楷体" w:hAnsi="楷体" w:eastAsia="楷体" w:cs="楷体"/>
          <w:b/>
          <w:color w:val="auto"/>
          <w:sz w:val="32"/>
          <w:szCs w:val="32"/>
          <w:highlight w:val="none"/>
          <w:lang w:val="en-US" w:eastAsia="zh-CN"/>
        </w:rPr>
      </w:pPr>
      <w:bookmarkStart w:id="136" w:name="_Toc8188"/>
      <w:r>
        <w:rPr>
          <w:rFonts w:hint="eastAsia" w:ascii="楷体" w:hAnsi="楷体" w:eastAsia="楷体" w:cs="楷体"/>
          <w:b/>
          <w:color w:val="auto"/>
          <w:sz w:val="32"/>
          <w:szCs w:val="32"/>
          <w:highlight w:val="none"/>
          <w:lang w:val="en-US" w:eastAsia="zh-CN"/>
        </w:rPr>
        <w:t>（二）部门财政拨款收支情况</w:t>
      </w:r>
      <w:bookmarkEnd w:id="136"/>
    </w:p>
    <w:p w14:paraId="76ED4E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kern w:val="0"/>
          <w:sz w:val="32"/>
          <w:szCs w:val="32"/>
          <w:highlight w:val="none"/>
          <w:lang w:val="en-US" w:eastAsia="zh-CN" w:bidi="ar-SA"/>
        </w:rPr>
        <w:t>1.部门财政拨款收入情况。</w:t>
      </w:r>
      <w:r>
        <w:rPr>
          <w:rFonts w:hint="eastAsia" w:ascii="仿宋_GB2312" w:hAnsi="仿宋_GB2312" w:eastAsia="仿宋_GB2312" w:cs="仿宋_GB2312"/>
          <w:color w:val="auto"/>
          <w:sz w:val="32"/>
          <w:szCs w:val="32"/>
          <w:shd w:val="clear" w:color="auto" w:fill="FFFFFF"/>
          <w:lang w:val="en-US" w:eastAsia="zh-CN"/>
        </w:rPr>
        <w:t>磨滩镇2022年部门预算收入批复总数1134.84万元，决算收入总数1155.99万元，较2021年部门决算收入总数953.64万元增加202.35万元，增加17.5%。主要原因是政府性基金预算财政拨款收入的增加以及人员增加经费调增。</w:t>
      </w:r>
    </w:p>
    <w:p w14:paraId="291EBF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shd w:val="clear" w:color="auto" w:fill="FFFFFF"/>
          <w:lang w:val="en-US" w:eastAsia="zh-CN"/>
        </w:rPr>
      </w:pPr>
      <w:r>
        <w:rPr>
          <w:rFonts w:hint="eastAsia" w:ascii="仿宋_GB2312" w:hAnsi="仿宋_GB2312" w:eastAsia="仿宋_GB2312" w:cs="仿宋_GB2312"/>
          <w:color w:val="auto"/>
          <w:sz w:val="32"/>
          <w:szCs w:val="32"/>
          <w:shd w:val="clear" w:color="auto" w:fill="FFFFFF"/>
          <w:lang w:val="en-US" w:eastAsia="zh-CN"/>
        </w:rPr>
        <w:t>2.部门财政拨款支出情况。磨滩镇2022年部门预算支出批复总数1134.84万元，决算支出总数1155.99万元，较2021年部门决算支出总数953.64万元增加202.35万元，增加17.5%，主要原因是人员增减经费调增以及国有土地使用权出让收入安排的支出。</w:t>
      </w:r>
    </w:p>
    <w:p w14:paraId="0CC8ECB4">
      <w:pPr>
        <w:keepNext w:val="0"/>
        <w:keepLines w:val="0"/>
        <w:pageBreakBefore w:val="0"/>
        <w:kinsoku/>
        <w:wordWrap/>
        <w:overflowPunct/>
        <w:topLinePunct w:val="0"/>
        <w:autoSpaceDE/>
        <w:bidi w:val="0"/>
        <w:adjustRightIn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3.部门财政拨款结转结余情况。磨滩镇2022年无结转结余资金。</w:t>
      </w:r>
    </w:p>
    <w:p w14:paraId="1AE6B51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Times New Roman" w:hAnsi="Times New Roman" w:eastAsia="黑体" w:cs="黑体"/>
          <w:sz w:val="32"/>
          <w:szCs w:val="32"/>
        </w:rPr>
      </w:pPr>
      <w:bookmarkStart w:id="137" w:name="_Toc6743"/>
      <w:bookmarkStart w:id="138" w:name="_Toc13589"/>
      <w:bookmarkStart w:id="139" w:name="_Toc20995"/>
      <w:bookmarkStart w:id="140" w:name="_Toc10748"/>
      <w:r>
        <w:rPr>
          <w:rFonts w:hint="eastAsia" w:ascii="Times New Roman" w:hAnsi="Times New Roman" w:eastAsia="黑体" w:cs="黑体"/>
          <w:sz w:val="32"/>
          <w:szCs w:val="32"/>
        </w:rPr>
        <w:t>三、部门整体预算绩效管理情况</w:t>
      </w:r>
      <w:bookmarkEnd w:id="137"/>
      <w:bookmarkEnd w:id="138"/>
      <w:bookmarkEnd w:id="139"/>
      <w:bookmarkEnd w:id="140"/>
    </w:p>
    <w:p w14:paraId="46C795E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2"/>
        <w:rPr>
          <w:rFonts w:hint="eastAsia" w:ascii="楷体" w:hAnsi="楷体" w:eastAsia="楷体" w:cs="楷体"/>
          <w:sz w:val="32"/>
          <w:szCs w:val="32"/>
        </w:rPr>
      </w:pPr>
      <w:bookmarkStart w:id="141" w:name="_Toc31010"/>
      <w:r>
        <w:rPr>
          <w:rFonts w:hint="eastAsia" w:ascii="楷体" w:hAnsi="楷体" w:eastAsia="楷体" w:cs="楷体"/>
          <w:sz w:val="32"/>
          <w:szCs w:val="32"/>
        </w:rPr>
        <w:t>(一)</w:t>
      </w:r>
      <w:r>
        <w:rPr>
          <w:rFonts w:hint="eastAsia" w:ascii="楷体" w:hAnsi="楷体" w:eastAsia="楷体" w:cs="楷体"/>
          <w:b/>
          <w:color w:val="auto"/>
          <w:sz w:val="32"/>
          <w:szCs w:val="32"/>
          <w:highlight w:val="none"/>
          <w:lang w:val="en-US" w:eastAsia="zh-CN"/>
        </w:rPr>
        <w:t>部门预算项目绩效分析</w:t>
      </w:r>
      <w:bookmarkEnd w:id="141"/>
    </w:p>
    <w:p w14:paraId="11135D0C">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楷体" w:hAnsi="楷体" w:eastAsia="楷体" w:cs="楷体"/>
          <w:color w:val="auto"/>
          <w:kern w:val="0"/>
          <w:sz w:val="32"/>
          <w:szCs w:val="32"/>
          <w:highlight w:val="none"/>
          <w:lang w:val="en-US" w:eastAsia="zh-CN" w:bidi="ar-SA"/>
        </w:rPr>
      </w:pPr>
      <w:r>
        <w:rPr>
          <w:rFonts w:hint="eastAsia" w:ascii="楷体" w:hAnsi="楷体" w:eastAsia="楷体" w:cs="楷体"/>
          <w:color w:val="auto"/>
          <w:kern w:val="0"/>
          <w:sz w:val="32"/>
          <w:szCs w:val="32"/>
          <w:highlight w:val="none"/>
          <w:lang w:val="en-US" w:eastAsia="zh-CN" w:bidi="ar-SA"/>
        </w:rPr>
        <w:t>1.人员类项目绩效分析</w:t>
      </w:r>
    </w:p>
    <w:p w14:paraId="5ED84AB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shd w:val="clear" w:color="auto" w:fill="FFFFFF"/>
          <w:lang w:val="en-US" w:eastAsia="zh-CN"/>
        </w:rPr>
        <w:t>（1）目标制定。</w:t>
      </w:r>
      <w:r>
        <w:rPr>
          <w:rFonts w:hint="eastAsia" w:ascii="仿宋_GB2312" w:hAnsi="仿宋_GB2312" w:eastAsia="仿宋_GB2312" w:cs="仿宋_GB2312"/>
          <w:color w:val="auto"/>
          <w:kern w:val="0"/>
          <w:sz w:val="32"/>
          <w:szCs w:val="32"/>
          <w:highlight w:val="none"/>
          <w:lang w:val="en-US" w:eastAsia="zh-CN" w:bidi="ar-SA"/>
        </w:rPr>
        <w:t>年初严格按照人员情况完成了</w:t>
      </w:r>
      <w:r>
        <w:rPr>
          <w:rFonts w:hint="eastAsia" w:ascii="仿宋_GB2312" w:hAnsi="仿宋_GB2312" w:eastAsia="仿宋_GB2312" w:cs="仿宋_GB2312"/>
          <w:color w:val="auto"/>
          <w:kern w:val="0"/>
          <w:sz w:val="32"/>
          <w:szCs w:val="32"/>
          <w:highlight w:val="none"/>
          <w:lang w:val="zh-CN" w:eastAsia="zh-CN" w:bidi="ar-SA"/>
        </w:rPr>
        <w:t>绩效目标制定</w:t>
      </w:r>
      <w:r>
        <w:rPr>
          <w:rFonts w:hint="eastAsia" w:ascii="仿宋_GB2312" w:hAnsi="仿宋_GB2312" w:eastAsia="仿宋_GB2312" w:cs="仿宋_GB2312"/>
          <w:color w:val="auto"/>
          <w:kern w:val="0"/>
          <w:sz w:val="32"/>
          <w:szCs w:val="32"/>
          <w:highlight w:val="none"/>
          <w:lang w:val="en-US" w:eastAsia="zh-CN" w:bidi="ar-SA"/>
        </w:rPr>
        <w:t>，做到了</w:t>
      </w:r>
      <w:r>
        <w:rPr>
          <w:rFonts w:hint="eastAsia" w:ascii="仿宋_GB2312" w:hAnsi="仿宋_GB2312" w:eastAsia="仿宋_GB2312" w:cs="仿宋_GB2312"/>
          <w:color w:val="auto"/>
          <w:kern w:val="0"/>
          <w:sz w:val="32"/>
          <w:szCs w:val="32"/>
          <w:highlight w:val="none"/>
          <w:lang w:val="zh-CN" w:eastAsia="zh-CN" w:bidi="ar-SA"/>
        </w:rPr>
        <w:t>绩效目标制定</w:t>
      </w:r>
      <w:r>
        <w:rPr>
          <w:rFonts w:hint="eastAsia" w:ascii="仿宋_GB2312" w:hAnsi="仿宋_GB2312" w:eastAsia="仿宋_GB2312" w:cs="仿宋_GB2312"/>
          <w:color w:val="auto"/>
          <w:kern w:val="0"/>
          <w:sz w:val="32"/>
          <w:szCs w:val="32"/>
          <w:highlight w:val="none"/>
          <w:lang w:val="en-US" w:eastAsia="zh-CN" w:bidi="ar-SA"/>
        </w:rPr>
        <w:t>规范、完整无漏项，单位编制、人员情况与供养人员横向联网系统数据吻合，名称、绩效指标、内容说明等符合规范。细化量化了产出指标和效益指标等，反映了相应项目工作任务及效果。</w:t>
      </w:r>
    </w:p>
    <w:p w14:paraId="273FA98F">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shd w:val="clear" w:color="auto" w:fill="FFFFFF"/>
          <w:lang w:val="en-US" w:eastAsia="zh-CN"/>
        </w:rPr>
        <w:t>（2）目标实现。</w:t>
      </w:r>
      <w:r>
        <w:rPr>
          <w:rFonts w:hint="eastAsia" w:ascii="仿宋_GB2312" w:hAnsi="仿宋_GB2312" w:eastAsia="仿宋_GB2312" w:cs="仿宋_GB2312"/>
          <w:color w:val="auto"/>
          <w:kern w:val="0"/>
          <w:sz w:val="32"/>
          <w:szCs w:val="32"/>
          <w:highlight w:val="none"/>
          <w:lang w:val="en-US" w:eastAsia="zh-CN" w:bidi="ar-SA"/>
        </w:rPr>
        <w:t>2022年人员类预算922.13万元，主要用于：</w:t>
      </w:r>
      <w:r>
        <w:rPr>
          <w:rFonts w:hint="eastAsia" w:ascii="仿宋_GB2312" w:hAnsi="仿宋_GB2312" w:eastAsia="仿宋_GB2312" w:cs="仿宋_GB2312"/>
          <w:sz w:val="32"/>
          <w:szCs w:val="32"/>
          <w:lang w:val="en-US" w:eastAsia="zh-CN"/>
        </w:rPr>
        <w:t>人员基本工资、津贴补贴、奖金、机关事业单位养老保险、医疗保险，其他社会保障缴费、住房公积金、其他工资福利</w:t>
      </w:r>
      <w:r>
        <w:rPr>
          <w:rFonts w:hint="eastAsia" w:ascii="仿宋_GB2312" w:hAnsi="仿宋_GB2312" w:eastAsia="仿宋_GB2312" w:cs="仿宋_GB2312"/>
          <w:color w:val="auto"/>
          <w:sz w:val="32"/>
          <w:szCs w:val="32"/>
          <w:lang w:val="en-US" w:eastAsia="zh-CN"/>
        </w:rPr>
        <w:t>、其他对个人家庭补助支出等</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kern w:val="0"/>
          <w:sz w:val="32"/>
          <w:szCs w:val="32"/>
          <w:highlight w:val="none"/>
          <w:lang w:val="en-US" w:eastAsia="zh-CN" w:bidi="ar-SA"/>
        </w:rPr>
        <w:t>年初制定的运转保障率、预算准确率、科目调整次数等指标均完成，总体完成较好，基本实现了预期目标。</w:t>
      </w:r>
    </w:p>
    <w:p w14:paraId="0C42D9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kern w:val="0"/>
          <w:sz w:val="32"/>
          <w:szCs w:val="32"/>
          <w:highlight w:val="none"/>
          <w:lang w:val="en-US" w:eastAsia="zh-CN" w:bidi="ar-SA"/>
        </w:rPr>
        <w:t>（3）支出控制。磨滩镇2022年人员类资金支出922.13万元，</w:t>
      </w:r>
      <w:r>
        <w:rPr>
          <w:rFonts w:hint="eastAsia" w:ascii="仿宋_GB2312" w:hAnsi="仿宋_GB2312" w:eastAsia="仿宋_GB2312" w:cs="仿宋_GB2312"/>
          <w:color w:val="auto"/>
          <w:sz w:val="32"/>
          <w:szCs w:val="32"/>
          <w:lang w:eastAsia="zh-CN"/>
        </w:rPr>
        <w:t>全年执行数：</w:t>
      </w:r>
      <w:r>
        <w:rPr>
          <w:rFonts w:hint="eastAsia" w:ascii="仿宋_GB2312" w:hAnsi="仿宋_GB2312" w:eastAsia="仿宋_GB2312" w:cs="仿宋_GB2312"/>
          <w:color w:val="auto"/>
          <w:sz w:val="32"/>
          <w:szCs w:val="32"/>
          <w:lang w:val="en-US" w:eastAsia="zh-CN"/>
        </w:rPr>
        <w:t>人员基本工资191.52万元、津贴补贴107.25万元、奖金5.95万元、机关事业单位养老保险69.74万元、职工基本医疗保险28.36万元、其他社会保障缴费5.19万元、住房公积金53.72万元、其他工资福利160.8万元、其他对个人家庭补助支出299.59万元，</w:t>
      </w:r>
      <w:r>
        <w:rPr>
          <w:rFonts w:hint="eastAsia" w:ascii="仿宋_GB2312" w:hAnsi="仿宋_GB2312" w:eastAsia="仿宋_GB2312" w:cs="仿宋_GB2312"/>
          <w:color w:val="auto"/>
          <w:sz w:val="32"/>
          <w:szCs w:val="32"/>
          <w:lang w:eastAsia="zh-CN"/>
        </w:rPr>
        <w:t>支出占比</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lang w:eastAsia="zh-CN"/>
        </w:rPr>
        <w:t>%，本单位本年度严格按照预算数执行。</w:t>
      </w:r>
    </w:p>
    <w:p w14:paraId="776B37D3">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zh-CN" w:eastAsia="zh-CN" w:bidi="ar-SA"/>
        </w:rPr>
      </w:pPr>
      <w:r>
        <w:rPr>
          <w:rFonts w:hint="eastAsia" w:ascii="仿宋_GB2312" w:hAnsi="仿宋_GB2312" w:eastAsia="仿宋_GB2312" w:cs="仿宋_GB2312"/>
          <w:color w:val="auto"/>
          <w:kern w:val="0"/>
          <w:sz w:val="32"/>
          <w:szCs w:val="32"/>
          <w:highlight w:val="none"/>
          <w:lang w:val="en-US" w:eastAsia="zh-CN" w:bidi="ar-SA"/>
        </w:rPr>
        <w:t>（4）及时处置。按照《广元市昭化区预算绩效事中运行监控管理暂行办法》（昭府办函〔2022〕37号）的要求，按时完成预算绩效运行监控，将绩效监控结果应用到预算调整，合理安排预算执行进度，提高资金使用绩效。2022年没有调整</w:t>
      </w:r>
      <w:r>
        <w:rPr>
          <w:rFonts w:hint="eastAsia" w:ascii="仿宋_GB2312" w:hAnsi="仿宋_GB2312" w:eastAsia="仿宋_GB2312" w:cs="仿宋_GB2312"/>
          <w:color w:val="auto"/>
          <w:kern w:val="0"/>
          <w:sz w:val="32"/>
          <w:szCs w:val="32"/>
          <w:highlight w:val="none"/>
          <w:lang w:val="zh-CN" w:eastAsia="zh-CN" w:bidi="ar-SA"/>
        </w:rPr>
        <w:t>绩效监控调整取消额和结余注销额。</w:t>
      </w:r>
    </w:p>
    <w:p w14:paraId="10678E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（5）执行进度。</w:t>
      </w:r>
      <w:r>
        <w:rPr>
          <w:rFonts w:hint="eastAsia" w:ascii="仿宋_GB2312" w:hAnsi="仿宋_GB2312" w:eastAsia="仿宋_GB2312" w:cs="仿宋_GB2312"/>
          <w:color w:val="auto"/>
          <w:sz w:val="32"/>
          <w:szCs w:val="32"/>
          <w:lang w:val="en-US" w:eastAsia="zh-CN"/>
        </w:rPr>
        <w:t>磨滩</w:t>
      </w:r>
      <w:r>
        <w:rPr>
          <w:rFonts w:hint="eastAsia" w:ascii="仿宋_GB2312" w:hAnsi="仿宋_GB2312" w:eastAsia="仿宋_GB2312" w:cs="仿宋_GB2312"/>
          <w:color w:val="auto"/>
          <w:sz w:val="32"/>
          <w:szCs w:val="32"/>
        </w:rPr>
        <w:t>镇人民政府</w:t>
      </w:r>
      <w:r>
        <w:rPr>
          <w:rFonts w:hint="eastAsia" w:ascii="仿宋_GB2312" w:hAnsi="仿宋_GB2312" w:eastAsia="仿宋_GB2312" w:cs="仿宋_GB2312"/>
          <w:color w:val="auto"/>
          <w:sz w:val="32"/>
          <w:szCs w:val="32"/>
          <w:lang w:eastAsia="zh-CN"/>
        </w:rPr>
        <w:t>截止</w:t>
      </w:r>
      <w:r>
        <w:rPr>
          <w:rFonts w:hint="eastAsia" w:ascii="仿宋_GB2312" w:hAnsi="仿宋_GB2312" w:eastAsia="仿宋_GB2312" w:cs="仿宋_GB2312"/>
          <w:color w:val="auto"/>
          <w:sz w:val="32"/>
          <w:szCs w:val="32"/>
          <w:lang w:val="en-US" w:eastAsia="zh-CN"/>
        </w:rPr>
        <w:t>12月31日，实际支出922.13万元，执行率100%。</w:t>
      </w:r>
    </w:p>
    <w:p w14:paraId="79F36F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kern w:val="0"/>
          <w:sz w:val="32"/>
          <w:szCs w:val="32"/>
          <w:highlight w:val="none"/>
          <w:lang w:val="en-US" w:eastAsia="zh-CN" w:bidi="ar-SA"/>
        </w:rPr>
        <w:t>（6）预算完成情况。</w:t>
      </w:r>
      <w:r>
        <w:rPr>
          <w:rFonts w:hint="eastAsia" w:ascii="仿宋_GB2312" w:hAnsi="仿宋_GB2312" w:eastAsia="仿宋_GB2312" w:cs="仿宋_GB2312"/>
          <w:color w:val="auto"/>
          <w:sz w:val="32"/>
          <w:szCs w:val="32"/>
          <w:lang w:eastAsia="zh-CN"/>
        </w:rPr>
        <w:t>截止</w:t>
      </w:r>
      <w:r>
        <w:rPr>
          <w:rFonts w:hint="eastAsia" w:ascii="仿宋_GB2312" w:hAnsi="仿宋_GB2312" w:eastAsia="仿宋_GB2312" w:cs="仿宋_GB2312"/>
          <w:color w:val="auto"/>
          <w:sz w:val="32"/>
          <w:szCs w:val="32"/>
          <w:lang w:val="en-US" w:eastAsia="zh-CN"/>
        </w:rPr>
        <w:t>2022年12月31日，磨滩</w:t>
      </w:r>
      <w:r>
        <w:rPr>
          <w:rFonts w:hint="eastAsia" w:ascii="仿宋_GB2312" w:hAnsi="仿宋_GB2312" w:eastAsia="仿宋_GB2312" w:cs="仿宋_GB2312"/>
          <w:color w:val="auto"/>
          <w:sz w:val="32"/>
          <w:szCs w:val="32"/>
        </w:rPr>
        <w:t>镇人民政府202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eastAsia="zh-CN"/>
        </w:rPr>
        <w:t>全年</w:t>
      </w:r>
      <w:r>
        <w:rPr>
          <w:rFonts w:hint="eastAsia" w:ascii="仿宋_GB2312" w:hAnsi="仿宋_GB2312" w:eastAsia="仿宋_GB2312" w:cs="仿宋_GB2312"/>
          <w:color w:val="auto"/>
          <w:sz w:val="32"/>
          <w:szCs w:val="32"/>
        </w:rPr>
        <w:t>预算</w:t>
      </w:r>
      <w:r>
        <w:rPr>
          <w:rFonts w:hint="eastAsia" w:ascii="仿宋_GB2312" w:hAnsi="仿宋_GB2312" w:eastAsia="仿宋_GB2312" w:cs="仿宋_GB2312"/>
          <w:color w:val="auto"/>
          <w:sz w:val="32"/>
          <w:szCs w:val="32"/>
          <w:lang w:eastAsia="zh-CN"/>
        </w:rPr>
        <w:t>人员类资金支出</w:t>
      </w:r>
      <w:r>
        <w:rPr>
          <w:rFonts w:hint="eastAsia" w:ascii="仿宋_GB2312" w:hAnsi="仿宋_GB2312" w:eastAsia="仿宋_GB2312" w:cs="仿宋_GB2312"/>
          <w:color w:val="auto"/>
          <w:sz w:val="32"/>
          <w:szCs w:val="32"/>
          <w:lang w:val="en-US" w:eastAsia="zh-CN"/>
        </w:rPr>
        <w:t>922.13万元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全年实际执行数</w:t>
      </w:r>
      <w:r>
        <w:rPr>
          <w:rFonts w:hint="eastAsia" w:ascii="仿宋_GB2312" w:hAnsi="仿宋_GB2312" w:eastAsia="仿宋_GB2312" w:cs="仿宋_GB2312"/>
          <w:color w:val="auto"/>
          <w:sz w:val="32"/>
          <w:szCs w:val="32"/>
          <w:lang w:val="en-US" w:eastAsia="zh-CN"/>
        </w:rPr>
        <w:t>922.13万元，执行率100%。</w:t>
      </w:r>
    </w:p>
    <w:p w14:paraId="6D606E77">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bidi="ar-SA"/>
        </w:rPr>
        <w:t>（7）资金结余率（低效无效率）。</w:t>
      </w:r>
      <w:r>
        <w:rPr>
          <w:rFonts w:hint="eastAsia" w:ascii="仿宋_GB2312" w:hAnsi="仿宋_GB2312" w:eastAsia="仿宋_GB2312" w:cs="仿宋_GB2312"/>
          <w:color w:val="auto"/>
          <w:sz w:val="32"/>
          <w:szCs w:val="32"/>
          <w:highlight w:val="none"/>
          <w:lang w:val="en-US" w:eastAsia="zh-CN"/>
        </w:rPr>
        <w:t>2022年磨滩镇无人员类结余资金。</w:t>
      </w:r>
    </w:p>
    <w:p w14:paraId="7B1355F1">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0"/>
          <w:sz w:val="32"/>
          <w:szCs w:val="32"/>
          <w:highlight w:val="none"/>
          <w:lang w:val="en-US" w:eastAsia="zh-CN" w:bidi="ar-SA"/>
        </w:rPr>
        <w:t>（8）违规记录。2022年度我单位未收到</w:t>
      </w:r>
      <w:r>
        <w:rPr>
          <w:rFonts w:hint="eastAsia" w:ascii="仿宋_GB2312" w:hAnsi="仿宋_GB2312" w:eastAsia="仿宋_GB2312" w:cs="仿宋_GB2312"/>
          <w:color w:val="auto"/>
          <w:kern w:val="0"/>
          <w:sz w:val="32"/>
          <w:szCs w:val="32"/>
          <w:highlight w:val="none"/>
          <w:lang w:val="zh-CN" w:eastAsia="zh-CN" w:bidi="ar-SA"/>
        </w:rPr>
        <w:t>审计监督、财政检查反映单位上一年度部门预算管理不合规的情况，</w:t>
      </w:r>
      <w:r>
        <w:rPr>
          <w:rFonts w:hint="eastAsia" w:ascii="仿宋_GB2312" w:hAnsi="仿宋_GB2312" w:eastAsia="仿宋_GB2312" w:cs="仿宋_GB2312"/>
          <w:color w:val="auto"/>
          <w:kern w:val="0"/>
          <w:sz w:val="32"/>
          <w:szCs w:val="32"/>
          <w:highlight w:val="none"/>
          <w:lang w:val="en-US" w:eastAsia="zh-CN" w:bidi="ar-SA"/>
        </w:rPr>
        <w:t>未发现部门预算管理方面违纪违规问题。</w:t>
      </w:r>
    </w:p>
    <w:p w14:paraId="3EC3FA79">
      <w:pPr>
        <w:keepNext w:val="0"/>
        <w:keepLines w:val="0"/>
        <w:pageBreakBefore w:val="0"/>
        <w:kinsoku/>
        <w:wordWrap/>
        <w:overflowPunct/>
        <w:topLinePunct w:val="0"/>
        <w:bidi w:val="0"/>
        <w:spacing w:line="560" w:lineRule="exact"/>
        <w:ind w:firstLine="640" w:firstLineChars="200"/>
        <w:textAlignment w:val="auto"/>
        <w:rPr>
          <w:rFonts w:hint="eastAsia" w:ascii="楷体" w:hAnsi="楷体" w:eastAsia="楷体" w:cs="楷体"/>
          <w:color w:val="auto"/>
          <w:kern w:val="0"/>
          <w:sz w:val="32"/>
          <w:szCs w:val="32"/>
          <w:highlight w:val="none"/>
          <w:lang w:val="en-US" w:eastAsia="zh-CN" w:bidi="ar-SA"/>
        </w:rPr>
      </w:pPr>
      <w:r>
        <w:rPr>
          <w:rFonts w:hint="eastAsia" w:ascii="楷体" w:hAnsi="楷体" w:eastAsia="楷体" w:cs="楷体"/>
          <w:color w:val="auto"/>
          <w:kern w:val="0"/>
          <w:sz w:val="32"/>
          <w:szCs w:val="32"/>
          <w:highlight w:val="none"/>
          <w:lang w:val="en-US" w:eastAsia="zh-CN" w:bidi="ar-SA"/>
        </w:rPr>
        <w:t>2.运转类项目绩效分析</w:t>
      </w:r>
    </w:p>
    <w:p w14:paraId="6810306D">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（1）目标制定。年初高标准、高质量完成了</w:t>
      </w:r>
      <w:r>
        <w:rPr>
          <w:rFonts w:hint="eastAsia" w:ascii="仿宋_GB2312" w:hAnsi="Calibri" w:eastAsia="仿宋_GB2312" w:cs="仿宋"/>
          <w:color w:val="auto"/>
          <w:kern w:val="0"/>
          <w:sz w:val="32"/>
          <w:szCs w:val="32"/>
          <w:highlight w:val="none"/>
          <w:lang w:val="zh-CN" w:eastAsia="zh-CN" w:bidi="ar-SA"/>
        </w:rPr>
        <w:t>绩效目标制定</w:t>
      </w:r>
      <w:r>
        <w:rPr>
          <w:rFonts w:hint="eastAsia" w:ascii="仿宋_GB2312" w:hAnsi="Calibri" w:eastAsia="仿宋_GB2312" w:cs="仿宋"/>
          <w:color w:val="auto"/>
          <w:kern w:val="0"/>
          <w:sz w:val="32"/>
          <w:szCs w:val="32"/>
          <w:highlight w:val="none"/>
          <w:lang w:val="en-US" w:eastAsia="zh-CN" w:bidi="ar-SA"/>
        </w:rPr>
        <w:t>，做到了</w:t>
      </w:r>
      <w:r>
        <w:rPr>
          <w:rFonts w:hint="eastAsia" w:ascii="仿宋_GB2312" w:hAnsi="Calibri" w:eastAsia="仿宋_GB2312" w:cs="仿宋"/>
          <w:color w:val="auto"/>
          <w:kern w:val="0"/>
          <w:sz w:val="32"/>
          <w:szCs w:val="32"/>
          <w:highlight w:val="none"/>
          <w:lang w:val="zh-CN" w:eastAsia="zh-CN" w:bidi="ar-SA"/>
        </w:rPr>
        <w:t>绩效目标制定</w:t>
      </w:r>
      <w:r>
        <w:rPr>
          <w:rFonts w:hint="eastAsia" w:ascii="仿宋_GB2312" w:hAnsi="Calibri" w:eastAsia="仿宋_GB2312" w:cs="仿宋"/>
          <w:color w:val="auto"/>
          <w:kern w:val="0"/>
          <w:sz w:val="32"/>
          <w:szCs w:val="32"/>
          <w:highlight w:val="none"/>
          <w:lang w:val="en-US" w:eastAsia="zh-CN" w:bidi="ar-SA"/>
        </w:rPr>
        <w:t>规范、完整无漏项，项目名称、绩效指标、项目内容说明等符合规范。</w:t>
      </w:r>
      <w:r>
        <w:rPr>
          <w:rFonts w:hint="default" w:ascii="仿宋_GB2312" w:hAnsi="Calibri" w:eastAsia="仿宋_GB2312" w:cs="仿宋"/>
          <w:color w:val="auto"/>
          <w:kern w:val="0"/>
          <w:sz w:val="32"/>
          <w:szCs w:val="32"/>
          <w:highlight w:val="none"/>
          <w:lang w:val="en-US" w:eastAsia="zh-CN" w:bidi="ar-SA"/>
        </w:rPr>
        <w:t>细化量化</w:t>
      </w:r>
      <w:r>
        <w:rPr>
          <w:rFonts w:hint="eastAsia" w:ascii="仿宋_GB2312" w:hAnsi="Calibri" w:eastAsia="仿宋_GB2312" w:cs="仿宋"/>
          <w:color w:val="auto"/>
          <w:kern w:val="0"/>
          <w:sz w:val="32"/>
          <w:szCs w:val="32"/>
          <w:highlight w:val="none"/>
          <w:lang w:val="en-US" w:eastAsia="zh-CN" w:bidi="ar-SA"/>
        </w:rPr>
        <w:t>了产出</w:t>
      </w:r>
      <w:r>
        <w:rPr>
          <w:rFonts w:hint="default" w:ascii="仿宋_GB2312" w:hAnsi="Calibri" w:eastAsia="仿宋_GB2312" w:cs="仿宋"/>
          <w:color w:val="auto"/>
          <w:kern w:val="0"/>
          <w:sz w:val="32"/>
          <w:szCs w:val="32"/>
          <w:highlight w:val="none"/>
          <w:lang w:val="en-US" w:eastAsia="zh-CN" w:bidi="ar-SA"/>
        </w:rPr>
        <w:t>指标、效益指标等，反映了相应项目工作任务</w:t>
      </w:r>
      <w:r>
        <w:rPr>
          <w:rFonts w:hint="eastAsia" w:ascii="仿宋_GB2312" w:hAnsi="Calibri" w:eastAsia="仿宋_GB2312" w:cs="仿宋"/>
          <w:color w:val="auto"/>
          <w:kern w:val="0"/>
          <w:sz w:val="32"/>
          <w:szCs w:val="32"/>
          <w:highlight w:val="none"/>
          <w:lang w:val="en-US" w:eastAsia="zh-CN" w:bidi="ar-SA"/>
        </w:rPr>
        <w:t>及</w:t>
      </w:r>
      <w:r>
        <w:rPr>
          <w:rFonts w:hint="default" w:ascii="仿宋_GB2312" w:hAnsi="Calibri" w:eastAsia="仿宋_GB2312" w:cs="仿宋"/>
          <w:color w:val="auto"/>
          <w:kern w:val="0"/>
          <w:sz w:val="32"/>
          <w:szCs w:val="32"/>
          <w:highlight w:val="none"/>
          <w:lang w:val="en-US" w:eastAsia="zh-CN" w:bidi="ar-SA"/>
        </w:rPr>
        <w:t>效果</w:t>
      </w:r>
      <w:r>
        <w:rPr>
          <w:rFonts w:hint="eastAsia" w:ascii="仿宋_GB2312" w:hAnsi="Calibri" w:eastAsia="仿宋_GB2312" w:cs="仿宋"/>
          <w:color w:val="auto"/>
          <w:kern w:val="0"/>
          <w:sz w:val="32"/>
          <w:szCs w:val="32"/>
          <w:highlight w:val="none"/>
          <w:lang w:val="en-US" w:eastAsia="zh-CN" w:bidi="ar-SA"/>
        </w:rPr>
        <w:t>。</w:t>
      </w:r>
    </w:p>
    <w:p w14:paraId="02E1CD5B">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（2）目标实现</w:t>
      </w:r>
      <w:r>
        <w:rPr>
          <w:rFonts w:hint="eastAsia" w:hAnsi="Calibri" w:eastAsia="仿宋_GB2312" w:cs="仿宋"/>
          <w:color w:val="auto"/>
          <w:kern w:val="0"/>
          <w:sz w:val="32"/>
          <w:szCs w:val="32"/>
          <w:highlight w:val="none"/>
          <w:lang w:val="en-US" w:eastAsia="zh-CN" w:bidi="ar-SA"/>
        </w:rPr>
        <w:t>。</w:t>
      </w:r>
      <w:r>
        <w:rPr>
          <w:rFonts w:hint="eastAsia" w:ascii="仿宋_GB2312" w:hAnsi="Calibri" w:eastAsia="仿宋_GB2312" w:cs="仿宋"/>
          <w:color w:val="auto"/>
          <w:kern w:val="0"/>
          <w:sz w:val="32"/>
          <w:szCs w:val="32"/>
          <w:highlight w:val="none"/>
          <w:lang w:val="en-US" w:eastAsia="zh-CN" w:bidi="ar-SA"/>
        </w:rPr>
        <w:t>2022年运转类项目共157.59万元，主要包括单位定额公用经费157.59万元等等。2022年公用经费主要用于办公费、印刷费、水电费、维修费、公务接待费支出等，年初制定的运转保障率、预算准确率、科目调整次数等指标均完成，总体完成较好，基本实现了预期目标。</w:t>
      </w:r>
    </w:p>
    <w:p w14:paraId="38DDDD5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（3）支出控制。</w:t>
      </w:r>
      <w:r>
        <w:rPr>
          <w:rFonts w:hint="eastAsia" w:ascii="仿宋_GB2312" w:hAnsi="仿宋_GB2312" w:eastAsia="仿宋_GB2312" w:cs="仿宋_GB2312"/>
          <w:color w:val="auto"/>
          <w:sz w:val="32"/>
          <w:szCs w:val="32"/>
          <w:lang w:val="en-US" w:eastAsia="zh-CN"/>
        </w:rPr>
        <w:t>2022年磨滩镇人民政府预算日常公用经费</w:t>
      </w:r>
      <w:r>
        <w:rPr>
          <w:rFonts w:hint="eastAsia" w:ascii="仿宋_GB2312" w:hAnsi="仿宋_GB2312" w:eastAsia="仿宋_GB2312" w:cs="仿宋_GB2312"/>
          <w:color w:val="auto"/>
          <w:sz w:val="32"/>
          <w:szCs w:val="32"/>
          <w:highlight w:val="none"/>
          <w:lang w:val="en-US" w:eastAsia="zh-CN"/>
        </w:rPr>
        <w:t>157.59万</w:t>
      </w:r>
      <w:r>
        <w:rPr>
          <w:rFonts w:hint="eastAsia" w:ascii="仿宋_GB2312" w:hAnsi="仿宋_GB2312" w:eastAsia="仿宋_GB2312" w:cs="仿宋_GB2312"/>
          <w:color w:val="auto"/>
          <w:sz w:val="32"/>
          <w:szCs w:val="32"/>
          <w:lang w:val="en-US" w:eastAsia="zh-CN"/>
        </w:rPr>
        <w:t>元。全年执行数：办公费36.69万元、印刷费1万元、水费0.8万元、电费4万元、邮电费3万元、差旅费57.6万元、公务接待费7.2万元、工会经费9.3万元、其他交通费25.72万元、其他商品和服务费10.29万元等等，支出占比100%，本单位本年度严格按照预算数执行。</w:t>
      </w:r>
    </w:p>
    <w:p w14:paraId="053AB9DE">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en-US" w:eastAsia="zh-CN" w:bidi="ar-SA"/>
        </w:rPr>
        <w:t>（4）及时处置。按照《广元市昭化区预算绩效事中运行监控管理暂行办法》（昭府办函〔2022〕37号）的要求，按时完成预算绩效运行监控，将绩效监控结果应用到预算调整，合理安排</w:t>
      </w:r>
      <w:r>
        <w:rPr>
          <w:rFonts w:hint="default" w:ascii="仿宋_GB2312" w:hAnsi="Calibri" w:eastAsia="仿宋_GB2312" w:cs="仿宋"/>
          <w:color w:val="auto"/>
          <w:kern w:val="0"/>
          <w:sz w:val="32"/>
          <w:szCs w:val="32"/>
          <w:highlight w:val="none"/>
          <w:lang w:val="en-US" w:eastAsia="zh-CN" w:bidi="ar-SA"/>
        </w:rPr>
        <w:t>预算执行进度，提高资金使用绩效</w:t>
      </w:r>
      <w:r>
        <w:rPr>
          <w:rFonts w:hint="eastAsia" w:ascii="仿宋_GB2312" w:hAnsi="Calibri" w:eastAsia="仿宋_GB2312" w:cs="仿宋"/>
          <w:color w:val="auto"/>
          <w:kern w:val="0"/>
          <w:sz w:val="32"/>
          <w:szCs w:val="32"/>
          <w:highlight w:val="none"/>
          <w:lang w:val="en-US" w:eastAsia="zh-CN" w:bidi="ar-SA"/>
        </w:rPr>
        <w:t>。2022年没有调整</w:t>
      </w:r>
      <w:r>
        <w:rPr>
          <w:rFonts w:hint="eastAsia" w:ascii="仿宋_GB2312" w:hAnsi="Calibri" w:eastAsia="仿宋_GB2312" w:cs="仿宋"/>
          <w:color w:val="auto"/>
          <w:kern w:val="0"/>
          <w:sz w:val="32"/>
          <w:szCs w:val="32"/>
          <w:highlight w:val="none"/>
          <w:lang w:val="zh-CN" w:eastAsia="zh-CN" w:bidi="ar-SA"/>
        </w:rPr>
        <w:t>绩效监控调整取消额和结余注销额。</w:t>
      </w:r>
    </w:p>
    <w:p w14:paraId="583D8499">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（5）执行进度。</w:t>
      </w:r>
      <w:r>
        <w:rPr>
          <w:rFonts w:hint="eastAsia" w:ascii="仿宋_GB2312" w:hAnsi="Calibri" w:eastAsia="仿宋_GB2312" w:cs="仿宋"/>
          <w:color w:val="auto"/>
          <w:kern w:val="0"/>
          <w:sz w:val="32"/>
          <w:szCs w:val="32"/>
          <w:highlight w:val="none"/>
          <w:lang w:val="zh-CN" w:eastAsia="zh-CN" w:bidi="ar-SA"/>
        </w:rPr>
        <w:t>部门预算资金在财政资金下拨后及时支出，</w:t>
      </w:r>
      <w:r>
        <w:rPr>
          <w:rFonts w:hint="eastAsia" w:ascii="仿宋_GB2312" w:hAnsi="仿宋_GB2312" w:eastAsia="仿宋_GB2312" w:cs="仿宋_GB2312"/>
          <w:color w:val="auto"/>
          <w:sz w:val="32"/>
          <w:szCs w:val="32"/>
          <w:highlight w:val="none"/>
          <w:lang w:val="en-US" w:eastAsia="zh-CN"/>
        </w:rPr>
        <w:t>截止12月31日，实际支出157.59万元，执行率100%。</w:t>
      </w:r>
    </w:p>
    <w:p w14:paraId="21B1B6A8">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（6）预算完成情况。截止12月31日，磨滩镇2022年运转类项目预算金额</w:t>
      </w:r>
      <w:r>
        <w:rPr>
          <w:rFonts w:hint="eastAsia" w:ascii="仿宋_GB2312" w:hAnsi="仿宋_GB2312" w:eastAsia="仿宋_GB2312" w:cs="仿宋_GB2312"/>
          <w:color w:val="auto"/>
          <w:sz w:val="32"/>
          <w:szCs w:val="32"/>
          <w:highlight w:val="none"/>
          <w:lang w:val="en-US" w:eastAsia="zh-CN"/>
        </w:rPr>
        <w:t>157.59</w:t>
      </w:r>
      <w:r>
        <w:rPr>
          <w:rFonts w:hint="eastAsia" w:ascii="仿宋_GB2312" w:hAnsi="Calibri" w:eastAsia="仿宋_GB2312" w:cs="仿宋"/>
          <w:color w:val="auto"/>
          <w:kern w:val="0"/>
          <w:sz w:val="32"/>
          <w:szCs w:val="32"/>
          <w:highlight w:val="none"/>
          <w:lang w:val="en-US" w:eastAsia="zh-CN" w:bidi="ar-SA"/>
        </w:rPr>
        <w:t>万元，全年实际执行数</w:t>
      </w:r>
      <w:r>
        <w:rPr>
          <w:rFonts w:hint="eastAsia" w:ascii="仿宋_GB2312" w:hAnsi="仿宋_GB2312" w:eastAsia="仿宋_GB2312" w:cs="仿宋_GB2312"/>
          <w:color w:val="auto"/>
          <w:sz w:val="32"/>
          <w:szCs w:val="32"/>
          <w:highlight w:val="none"/>
          <w:lang w:val="en-US" w:eastAsia="zh-CN"/>
        </w:rPr>
        <w:t>157.59</w:t>
      </w:r>
      <w:r>
        <w:rPr>
          <w:rFonts w:hint="eastAsia" w:ascii="仿宋_GB2312" w:hAnsi="Calibri" w:eastAsia="仿宋_GB2312" w:cs="仿宋"/>
          <w:color w:val="auto"/>
          <w:kern w:val="0"/>
          <w:sz w:val="32"/>
          <w:szCs w:val="32"/>
          <w:highlight w:val="none"/>
          <w:lang w:val="en-US" w:eastAsia="zh-CN" w:bidi="ar-SA"/>
        </w:rPr>
        <w:t>万元，执行率100%。</w:t>
      </w:r>
    </w:p>
    <w:p w14:paraId="4441AE2B">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（7）资金结余率（低效无效率）。</w:t>
      </w:r>
      <w:r>
        <w:rPr>
          <w:rFonts w:hint="eastAsia" w:ascii="仿宋_GB2312" w:hAnsi="仿宋_GB2312" w:eastAsia="仿宋_GB2312" w:cs="仿宋_GB2312"/>
          <w:color w:val="auto"/>
          <w:sz w:val="32"/>
          <w:szCs w:val="32"/>
          <w:highlight w:val="none"/>
          <w:lang w:val="en-US" w:eastAsia="zh-CN"/>
        </w:rPr>
        <w:t>2022年磨滩镇运转类无结余资金</w:t>
      </w:r>
      <w:r>
        <w:rPr>
          <w:rFonts w:hint="eastAsia" w:ascii="仿宋_GB2312" w:hAnsi="仿宋_GB2312" w:eastAsia="仿宋_GB2312" w:cs="仿宋_GB2312"/>
          <w:color w:val="auto"/>
          <w:sz w:val="32"/>
          <w:szCs w:val="32"/>
          <w:highlight w:val="none"/>
          <w:lang w:eastAsia="zh-CN"/>
        </w:rPr>
        <w:t>。</w:t>
      </w:r>
    </w:p>
    <w:p w14:paraId="5E3835D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sz w:val="32"/>
          <w:szCs w:val="32"/>
          <w:highlight w:val="none"/>
          <w:lang w:val="en-US" w:eastAsia="zh-CN"/>
        </w:rPr>
      </w:pPr>
      <w:r>
        <w:rPr>
          <w:rFonts w:hint="eastAsia" w:ascii="仿宋_GB2312" w:hAnsi="Calibri" w:eastAsia="仿宋_GB2312" w:cs="仿宋"/>
          <w:color w:val="auto"/>
          <w:kern w:val="0"/>
          <w:sz w:val="32"/>
          <w:szCs w:val="32"/>
          <w:highlight w:val="none"/>
          <w:lang w:val="en-US" w:eastAsia="zh-CN" w:bidi="ar-SA"/>
        </w:rPr>
        <w:t>（8）违规记录。2022年度我单位未收到</w:t>
      </w:r>
      <w:r>
        <w:rPr>
          <w:rFonts w:hint="eastAsia" w:ascii="仿宋_GB2312" w:hAnsi="Calibri" w:eastAsia="仿宋_GB2312" w:cs="仿宋"/>
          <w:color w:val="auto"/>
          <w:kern w:val="0"/>
          <w:sz w:val="32"/>
          <w:szCs w:val="32"/>
          <w:highlight w:val="none"/>
          <w:lang w:val="zh-CN" w:eastAsia="zh-CN" w:bidi="ar-SA"/>
        </w:rPr>
        <w:t>审计监督、财政检查反映单位上一年度部门预算管理不合规的情况，</w:t>
      </w:r>
      <w:r>
        <w:rPr>
          <w:rFonts w:hint="eastAsia" w:ascii="仿宋_GB2312" w:hAnsi="Calibri" w:eastAsia="仿宋_GB2312" w:cs="仿宋"/>
          <w:color w:val="auto"/>
          <w:kern w:val="0"/>
          <w:sz w:val="32"/>
          <w:szCs w:val="32"/>
          <w:highlight w:val="none"/>
          <w:lang w:val="en-US" w:eastAsia="zh-CN" w:bidi="ar-SA"/>
        </w:rPr>
        <w:t>未发现部门预算管理方面违纪违规问题。</w:t>
      </w:r>
    </w:p>
    <w:p w14:paraId="48D4C8EA">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highlight w:val="none"/>
          <w:lang w:val="en-US" w:eastAsia="zh-CN"/>
        </w:rPr>
      </w:pPr>
      <w:r>
        <w:rPr>
          <w:rFonts w:hint="eastAsia" w:ascii="楷体" w:hAnsi="楷体" w:eastAsia="楷体" w:cs="楷体"/>
          <w:color w:val="auto"/>
          <w:kern w:val="0"/>
          <w:sz w:val="32"/>
          <w:szCs w:val="32"/>
          <w:highlight w:val="none"/>
          <w:lang w:val="en-US" w:eastAsia="zh-CN" w:bidi="ar-SA"/>
        </w:rPr>
        <w:t>3.特定目标类项目绩效分析</w:t>
      </w:r>
    </w:p>
    <w:p w14:paraId="66EC3245">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（1）目标制定。年初严格按照人员情况完成了</w:t>
      </w:r>
      <w:r>
        <w:rPr>
          <w:rFonts w:hint="eastAsia" w:ascii="仿宋_GB2312" w:hAnsi="仿宋_GB2312" w:eastAsia="仿宋_GB2312" w:cs="仿宋_GB2312"/>
          <w:color w:val="auto"/>
          <w:kern w:val="0"/>
          <w:sz w:val="32"/>
          <w:szCs w:val="32"/>
          <w:highlight w:val="none"/>
          <w:lang w:val="zh-CN" w:eastAsia="zh-CN" w:bidi="ar-SA"/>
        </w:rPr>
        <w:t>绩效目标制定</w:t>
      </w:r>
      <w:r>
        <w:rPr>
          <w:rFonts w:hint="eastAsia" w:ascii="仿宋_GB2312" w:hAnsi="仿宋_GB2312" w:eastAsia="仿宋_GB2312" w:cs="仿宋_GB2312"/>
          <w:color w:val="auto"/>
          <w:kern w:val="0"/>
          <w:sz w:val="32"/>
          <w:szCs w:val="32"/>
          <w:highlight w:val="none"/>
          <w:lang w:val="en-US" w:eastAsia="zh-CN" w:bidi="ar-SA"/>
        </w:rPr>
        <w:t>，做到了</w:t>
      </w:r>
      <w:r>
        <w:rPr>
          <w:rFonts w:hint="eastAsia" w:ascii="仿宋_GB2312" w:hAnsi="仿宋_GB2312" w:eastAsia="仿宋_GB2312" w:cs="仿宋_GB2312"/>
          <w:color w:val="auto"/>
          <w:kern w:val="0"/>
          <w:sz w:val="32"/>
          <w:szCs w:val="32"/>
          <w:highlight w:val="none"/>
          <w:lang w:val="zh-CN" w:eastAsia="zh-CN" w:bidi="ar-SA"/>
        </w:rPr>
        <w:t>绩效目标制定</w:t>
      </w:r>
      <w:r>
        <w:rPr>
          <w:rFonts w:hint="eastAsia" w:ascii="仿宋_GB2312" w:hAnsi="仿宋_GB2312" w:eastAsia="仿宋_GB2312" w:cs="仿宋_GB2312"/>
          <w:color w:val="auto"/>
          <w:kern w:val="0"/>
          <w:sz w:val="32"/>
          <w:szCs w:val="32"/>
          <w:highlight w:val="none"/>
          <w:lang w:val="en-US" w:eastAsia="zh-CN" w:bidi="ar-SA"/>
        </w:rPr>
        <w:t>规范、完整无漏项，名称、绩效指标、内容说明等符合规范。细化量化了产出指标和效益指标等，反映了相应项目工作任务及效果。</w:t>
      </w:r>
    </w:p>
    <w:p w14:paraId="39741189">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目标实现。2022年特定类项目共118.18万元。主要包括2022年烟叶发展资金61.18万元、基层组织活动与公共服务运行经费57万元等等。年初制定的运转保障率、预算准确率、科目调整次数等指标均完成，总体完成较好，基本实现了预期目标。</w:t>
      </w:r>
    </w:p>
    <w:p w14:paraId="6466A447">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（3）支出控制。磨滩镇2022年特定类项目资金支出69.76万元，主要包括其他巩固脱贫衔接乡村振兴支出18.55万元、对村民委员会和村党支部的补助51.21万元。支出69.76万元，</w:t>
      </w:r>
      <w:r>
        <w:rPr>
          <w:rFonts w:hint="eastAsia" w:ascii="仿宋_GB2312" w:hAnsi="仿宋_GB2312" w:eastAsia="仿宋_GB2312" w:cs="仿宋_GB2312"/>
          <w:color w:val="auto"/>
          <w:sz w:val="32"/>
          <w:szCs w:val="32"/>
          <w:lang w:val="en-US" w:eastAsia="zh-CN"/>
        </w:rPr>
        <w:t>支出占比59%（</w:t>
      </w:r>
      <w:r>
        <w:rPr>
          <w:rFonts w:hint="eastAsia" w:ascii="仿宋_GB2312" w:hAnsi="仿宋_GB2312" w:eastAsia="仿宋_GB2312" w:cs="仿宋_GB2312"/>
          <w:sz w:val="32"/>
          <w:szCs w:val="32"/>
          <w:lang w:val="en-US" w:eastAsia="zh-CN"/>
        </w:rPr>
        <w:t>由于项目特殊性，剩余于2023年度支付</w:t>
      </w:r>
      <w:r>
        <w:rPr>
          <w:rFonts w:hint="eastAsia" w:ascii="仿宋_GB2312" w:hAnsi="仿宋_GB2312" w:eastAsia="仿宋_GB2312" w:cs="仿宋_GB2312"/>
          <w:color w:val="auto"/>
          <w:sz w:val="32"/>
          <w:szCs w:val="32"/>
          <w:lang w:val="en-US" w:eastAsia="zh-CN"/>
        </w:rPr>
        <w:t>），本单位本年度严格按照预算数执行。</w:t>
      </w:r>
    </w:p>
    <w:p w14:paraId="4232E23B">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zh-CN" w:eastAsia="zh-CN" w:bidi="ar-SA"/>
        </w:rPr>
      </w:pPr>
      <w:r>
        <w:rPr>
          <w:rFonts w:hint="eastAsia" w:ascii="仿宋_GB2312" w:hAnsi="仿宋_GB2312" w:eastAsia="仿宋_GB2312" w:cs="仿宋_GB2312"/>
          <w:color w:val="auto"/>
          <w:kern w:val="0"/>
          <w:sz w:val="32"/>
          <w:szCs w:val="32"/>
          <w:highlight w:val="none"/>
          <w:lang w:val="en-US" w:eastAsia="zh-CN" w:bidi="ar-SA"/>
        </w:rPr>
        <w:t>（4）及时处置。按照《广元市昭化区预算绩效事中运行监控管理暂行办法》（昭府办函〔2022〕37号）的要求，按时完成预算绩效运行监控，将绩效监控结果应用到预算调整，合理安排预算执行进度，提高资金使用绩效。2022年没有调整</w:t>
      </w:r>
      <w:r>
        <w:rPr>
          <w:rFonts w:hint="eastAsia" w:ascii="仿宋_GB2312" w:hAnsi="仿宋_GB2312" w:eastAsia="仿宋_GB2312" w:cs="仿宋_GB2312"/>
          <w:color w:val="auto"/>
          <w:kern w:val="0"/>
          <w:sz w:val="32"/>
          <w:szCs w:val="32"/>
          <w:highlight w:val="none"/>
          <w:lang w:val="zh-CN" w:eastAsia="zh-CN" w:bidi="ar-SA"/>
        </w:rPr>
        <w:t>绩效监控调整取消额和结余注销额。</w:t>
      </w:r>
    </w:p>
    <w:p w14:paraId="179DC7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（5）执行进度。</w:t>
      </w:r>
      <w:r>
        <w:rPr>
          <w:rFonts w:hint="eastAsia" w:ascii="仿宋_GB2312" w:hAnsi="仿宋_GB2312" w:eastAsia="仿宋_GB2312" w:cs="仿宋_GB2312"/>
          <w:color w:val="auto"/>
          <w:kern w:val="0"/>
          <w:sz w:val="32"/>
          <w:szCs w:val="32"/>
          <w:highlight w:val="none"/>
          <w:lang w:val="zh-CN" w:eastAsia="zh-CN" w:bidi="ar-SA"/>
        </w:rPr>
        <w:t>部门预算资金在财政资金下拨后及时支出，</w:t>
      </w:r>
      <w:r>
        <w:rPr>
          <w:rFonts w:hint="eastAsia" w:ascii="仿宋_GB2312" w:hAnsi="仿宋_GB2312" w:eastAsia="仿宋_GB2312" w:cs="仿宋_GB2312"/>
          <w:color w:val="auto"/>
          <w:sz w:val="32"/>
          <w:szCs w:val="32"/>
          <w:highlight w:val="none"/>
          <w:lang w:eastAsia="zh-CN"/>
        </w:rPr>
        <w:t>截止</w:t>
      </w:r>
      <w:r>
        <w:rPr>
          <w:rFonts w:hint="eastAsia" w:ascii="仿宋_GB2312" w:hAnsi="仿宋_GB2312" w:eastAsia="仿宋_GB2312" w:cs="仿宋_GB2312"/>
          <w:color w:val="auto"/>
          <w:sz w:val="32"/>
          <w:szCs w:val="32"/>
          <w:highlight w:val="none"/>
          <w:lang w:val="en-US" w:eastAsia="zh-CN"/>
        </w:rPr>
        <w:t>2022年12月31日，实际支出69.76万元，执行率59%。</w:t>
      </w:r>
    </w:p>
    <w:p w14:paraId="4D4C11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bidi="ar-SA"/>
        </w:rPr>
        <w:t>（6）预算完成情况。</w:t>
      </w:r>
      <w:r>
        <w:rPr>
          <w:rFonts w:hint="eastAsia" w:ascii="仿宋_GB2312" w:hAnsi="仿宋_GB2312" w:eastAsia="仿宋_GB2312" w:cs="仿宋_GB2312"/>
          <w:color w:val="auto"/>
          <w:sz w:val="32"/>
          <w:szCs w:val="32"/>
          <w:highlight w:val="none"/>
          <w:lang w:eastAsia="zh-CN"/>
        </w:rPr>
        <w:t>截止</w:t>
      </w:r>
      <w:r>
        <w:rPr>
          <w:rFonts w:hint="eastAsia" w:ascii="仿宋_GB2312" w:hAnsi="仿宋_GB2312" w:eastAsia="仿宋_GB2312" w:cs="仿宋_GB2312"/>
          <w:color w:val="auto"/>
          <w:sz w:val="32"/>
          <w:szCs w:val="32"/>
          <w:highlight w:val="none"/>
          <w:lang w:val="en-US" w:eastAsia="zh-CN"/>
        </w:rPr>
        <w:t>2022年12月31日，磨滩</w:t>
      </w:r>
      <w:r>
        <w:rPr>
          <w:rFonts w:hint="eastAsia" w:ascii="仿宋_GB2312" w:hAnsi="仿宋_GB2312" w:eastAsia="仿宋_GB2312" w:cs="仿宋_GB2312"/>
          <w:color w:val="auto"/>
          <w:sz w:val="32"/>
          <w:szCs w:val="32"/>
          <w:highlight w:val="none"/>
        </w:rPr>
        <w:t>镇人民政府202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eastAsia="zh-CN"/>
        </w:rPr>
        <w:t>全年</w:t>
      </w:r>
      <w:r>
        <w:rPr>
          <w:rFonts w:hint="eastAsia" w:ascii="仿宋_GB2312" w:hAnsi="仿宋_GB2312" w:eastAsia="仿宋_GB2312" w:cs="仿宋_GB2312"/>
          <w:color w:val="auto"/>
          <w:sz w:val="32"/>
          <w:szCs w:val="32"/>
          <w:highlight w:val="none"/>
        </w:rPr>
        <w:t>预算</w:t>
      </w:r>
      <w:r>
        <w:rPr>
          <w:rFonts w:hint="eastAsia" w:ascii="仿宋_GB2312" w:hAnsi="仿宋_GB2312" w:eastAsia="仿宋_GB2312" w:cs="仿宋_GB2312"/>
          <w:color w:val="auto"/>
          <w:sz w:val="32"/>
          <w:szCs w:val="32"/>
          <w:highlight w:val="none"/>
          <w:lang w:val="en-US" w:eastAsia="zh-CN"/>
        </w:rPr>
        <w:t>特定</w:t>
      </w:r>
      <w:r>
        <w:rPr>
          <w:rFonts w:hint="eastAsia" w:ascii="仿宋_GB2312" w:hAnsi="仿宋_GB2312" w:eastAsia="仿宋_GB2312" w:cs="仿宋_GB2312"/>
          <w:color w:val="auto"/>
          <w:sz w:val="32"/>
          <w:szCs w:val="32"/>
          <w:highlight w:val="none"/>
          <w:lang w:eastAsia="zh-CN"/>
        </w:rPr>
        <w:t>类资金支出</w:t>
      </w:r>
      <w:r>
        <w:rPr>
          <w:rFonts w:hint="eastAsia" w:ascii="仿宋_GB2312" w:hAnsi="仿宋_GB2312" w:eastAsia="仿宋_GB2312" w:cs="仿宋_GB2312"/>
          <w:color w:val="auto"/>
          <w:sz w:val="32"/>
          <w:szCs w:val="32"/>
          <w:highlight w:val="none"/>
          <w:lang w:val="en-US" w:eastAsia="zh-CN"/>
        </w:rPr>
        <w:t>69.76万元</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全年实际执行数</w:t>
      </w:r>
      <w:r>
        <w:rPr>
          <w:rFonts w:hint="eastAsia" w:ascii="仿宋_GB2312" w:hAnsi="仿宋_GB2312" w:eastAsia="仿宋_GB2312" w:cs="仿宋_GB2312"/>
          <w:color w:val="auto"/>
          <w:sz w:val="32"/>
          <w:szCs w:val="32"/>
          <w:highlight w:val="none"/>
          <w:lang w:val="en-US" w:eastAsia="zh-CN"/>
        </w:rPr>
        <w:t>69.76万元，执行率59%。</w:t>
      </w:r>
    </w:p>
    <w:p w14:paraId="0258A404">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（7）资金结余率（低效无效率）。由于项目特殊性，</w:t>
      </w:r>
      <w:r>
        <w:rPr>
          <w:rFonts w:hint="eastAsia" w:ascii="仿宋_GB2312" w:hAnsi="仿宋_GB2312" w:eastAsia="仿宋_GB2312" w:cs="仿宋_GB2312"/>
          <w:color w:val="auto"/>
          <w:sz w:val="32"/>
          <w:szCs w:val="32"/>
          <w:highlight w:val="none"/>
          <w:lang w:val="en-US" w:eastAsia="zh-CN"/>
        </w:rPr>
        <w:t>2022年磨滩镇有特定目标类结余资金，其中烤烟发展经费结余50.63万元，</w:t>
      </w:r>
      <w:r>
        <w:rPr>
          <w:rFonts w:hint="eastAsia" w:ascii="仿宋_GB2312" w:hAnsi="仿宋_GB2312" w:eastAsia="仿宋_GB2312" w:cs="仿宋_GB2312"/>
          <w:color w:val="auto"/>
          <w:kern w:val="0"/>
          <w:sz w:val="32"/>
          <w:szCs w:val="32"/>
          <w:highlight w:val="none"/>
          <w:lang w:val="en-US" w:eastAsia="zh-CN" w:bidi="ar-SA"/>
        </w:rPr>
        <w:t>基层组织活动与公共服务运行经费结余5.79万元</w:t>
      </w:r>
      <w:r>
        <w:rPr>
          <w:rFonts w:hint="eastAsia" w:ascii="仿宋_GB2312" w:hAnsi="仿宋_GB2312" w:eastAsia="仿宋_GB2312" w:cs="仿宋_GB2312"/>
          <w:color w:val="auto"/>
          <w:sz w:val="32"/>
          <w:szCs w:val="32"/>
          <w:highlight w:val="none"/>
          <w:lang w:eastAsia="zh-CN"/>
        </w:rPr>
        <w:t>。</w:t>
      </w:r>
    </w:p>
    <w:p w14:paraId="092230F3">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default"/>
          <w:lang w:val="en-US" w:eastAsia="zh-CN"/>
        </w:rPr>
      </w:pPr>
      <w:r>
        <w:rPr>
          <w:rFonts w:hint="eastAsia" w:ascii="仿宋_GB2312" w:hAnsi="仿宋_GB2312" w:eastAsia="仿宋_GB2312" w:cs="仿宋_GB2312"/>
          <w:color w:val="auto"/>
          <w:kern w:val="0"/>
          <w:sz w:val="32"/>
          <w:szCs w:val="32"/>
          <w:highlight w:val="none"/>
          <w:lang w:val="en-US" w:eastAsia="zh-CN" w:bidi="ar-SA"/>
        </w:rPr>
        <w:t>（8）违规记录。2022年度我单位未收到</w:t>
      </w:r>
      <w:r>
        <w:rPr>
          <w:rFonts w:hint="eastAsia" w:ascii="仿宋_GB2312" w:hAnsi="仿宋_GB2312" w:eastAsia="仿宋_GB2312" w:cs="仿宋_GB2312"/>
          <w:color w:val="auto"/>
          <w:kern w:val="0"/>
          <w:sz w:val="32"/>
          <w:szCs w:val="32"/>
          <w:highlight w:val="none"/>
          <w:lang w:val="zh-CN" w:eastAsia="zh-CN" w:bidi="ar-SA"/>
        </w:rPr>
        <w:t>审计监督、财政检查反映单位上一年度部门预算管理不合规的情况，</w:t>
      </w:r>
      <w:r>
        <w:rPr>
          <w:rFonts w:hint="eastAsia" w:ascii="仿宋_GB2312" w:hAnsi="仿宋_GB2312" w:eastAsia="仿宋_GB2312" w:cs="仿宋_GB2312"/>
          <w:color w:val="auto"/>
          <w:kern w:val="0"/>
          <w:sz w:val="32"/>
          <w:szCs w:val="32"/>
          <w:highlight w:val="none"/>
          <w:lang w:val="en-US" w:eastAsia="zh-CN" w:bidi="ar-SA"/>
        </w:rPr>
        <w:t>未发现部门预算管理方面违纪违规</w:t>
      </w:r>
      <w:r>
        <w:rPr>
          <w:rFonts w:hint="eastAsia" w:ascii="仿宋_GB2312" w:hAnsi="Calibri" w:eastAsia="仿宋_GB2312" w:cs="仿宋"/>
          <w:color w:val="auto"/>
          <w:kern w:val="0"/>
          <w:sz w:val="32"/>
          <w:szCs w:val="32"/>
          <w:highlight w:val="none"/>
          <w:lang w:val="en-US" w:eastAsia="zh-CN" w:bidi="ar-SA"/>
        </w:rPr>
        <w:t>问题。</w:t>
      </w:r>
    </w:p>
    <w:p w14:paraId="563A82C7">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outlineLvl w:val="2"/>
        <w:rPr>
          <w:rFonts w:hint="eastAsia" w:ascii="楷体" w:hAnsi="楷体" w:eastAsia="楷体" w:cs="楷体"/>
          <w:b/>
          <w:color w:val="auto"/>
          <w:sz w:val="32"/>
          <w:szCs w:val="32"/>
          <w:highlight w:val="none"/>
          <w:lang w:val="en-US" w:eastAsia="zh-CN"/>
        </w:rPr>
      </w:pPr>
      <w:bookmarkStart w:id="142" w:name="_Toc32091"/>
      <w:r>
        <w:rPr>
          <w:rFonts w:hint="eastAsia" w:ascii="楷体" w:hAnsi="楷体" w:eastAsia="楷体" w:cs="楷体"/>
          <w:b/>
          <w:color w:val="auto"/>
          <w:sz w:val="32"/>
          <w:szCs w:val="32"/>
          <w:highlight w:val="none"/>
          <w:lang w:val="en-US" w:eastAsia="zh-CN"/>
        </w:rPr>
        <w:t>（二）部门整体履职绩效分析部门预算项目绩效管理</w:t>
      </w:r>
      <w:bookmarkEnd w:id="142"/>
    </w:p>
    <w:p w14:paraId="5921E6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我单位部门整体支出绩效目标完成总情况来看，各个指标绩效运行正常有序。从数量指标来看，部门整体支出计划与完成数覆盖全镇8村1社区43个村民小组，覆盖率为100%。从成本指标上看，严格按照“上四下六”均衡用款原则执行了全年公用经费支出，特定项目支出严格审批各项资料完成支付。从质量指标上看，全年合理安接了人员工资及各类保险与日常公用支出，确保了单位正常运转。从成本指标上看，基本上按照单位计划完成了基本支出和项目支出的进度资金支付，确保了各级干部队伍的稳定及各个项目的正常有序建设。从效益指标及群众满意度指标上量，能助力乡村损兴。经济效益上讲，引导产业发展，增加了农户收入。镇村干部及涉及群众满意度较高。</w:t>
      </w:r>
    </w:p>
    <w:p w14:paraId="513316F6">
      <w:pPr>
        <w:keepNext w:val="0"/>
        <w:keepLines w:val="0"/>
        <w:pageBreakBefore w:val="0"/>
        <w:kinsoku/>
        <w:wordWrap/>
        <w:overflowPunct/>
        <w:topLinePunct w:val="0"/>
        <w:autoSpaceDE w:val="0"/>
        <w:autoSpaceDN w:val="0"/>
        <w:bidi w:val="0"/>
        <w:adjustRightInd w:val="0"/>
        <w:spacing w:line="560" w:lineRule="exact"/>
        <w:ind w:firstLine="643" w:firstLineChars="200"/>
        <w:jc w:val="left"/>
        <w:textAlignment w:val="auto"/>
        <w:outlineLvl w:val="2"/>
        <w:rPr>
          <w:rFonts w:hint="eastAsia" w:ascii="楷体" w:hAnsi="楷体" w:eastAsia="楷体" w:cs="楷体"/>
          <w:b/>
          <w:color w:val="auto"/>
          <w:sz w:val="32"/>
          <w:szCs w:val="32"/>
          <w:highlight w:val="none"/>
          <w:lang w:val="en-US" w:eastAsia="zh-CN"/>
        </w:rPr>
      </w:pPr>
      <w:bookmarkStart w:id="143" w:name="_Toc12370"/>
      <w:r>
        <w:rPr>
          <w:rFonts w:hint="eastAsia" w:ascii="楷体" w:hAnsi="楷体" w:eastAsia="楷体" w:cs="楷体"/>
          <w:b/>
          <w:color w:val="auto"/>
          <w:sz w:val="32"/>
          <w:szCs w:val="32"/>
          <w:highlight w:val="none"/>
          <w:lang w:val="en-US" w:eastAsia="zh-CN"/>
        </w:rPr>
        <w:t>(三)结果应用情况</w:t>
      </w:r>
      <w:bookmarkEnd w:id="143"/>
    </w:p>
    <w:p w14:paraId="3781111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 w:hAnsi="楷体" w:eastAsia="楷体" w:cs="楷体"/>
          <w:color w:val="auto"/>
          <w:kern w:val="0"/>
          <w:sz w:val="32"/>
          <w:szCs w:val="32"/>
          <w:highlight w:val="none"/>
          <w:shd w:val="clear" w:color="auto" w:fill="FFFFFF"/>
          <w:lang w:val="en-US" w:eastAsia="zh-CN"/>
        </w:rPr>
      </w:pPr>
      <w:r>
        <w:rPr>
          <w:rFonts w:hint="eastAsia" w:ascii="楷体" w:hAnsi="楷体" w:eastAsia="楷体" w:cs="楷体"/>
          <w:color w:val="auto"/>
          <w:kern w:val="0"/>
          <w:sz w:val="32"/>
          <w:szCs w:val="32"/>
          <w:highlight w:val="none"/>
          <w:shd w:val="clear" w:color="auto" w:fill="FFFFFF"/>
          <w:lang w:val="en-US" w:eastAsia="zh-CN"/>
        </w:rPr>
        <w:t>1.内部应用</w:t>
      </w:r>
    </w:p>
    <w:p w14:paraId="1588B74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FFFFFF"/>
          <w:lang w:val="zh-CN" w:eastAsia="zh-CN"/>
        </w:rPr>
      </w:pPr>
      <w:r>
        <w:rPr>
          <w:rFonts w:hint="eastAsia" w:ascii="仿宋_GB2312" w:hAnsi="仿宋_GB2312" w:eastAsia="仿宋_GB2312" w:cs="仿宋_GB2312"/>
          <w:color w:val="auto"/>
          <w:kern w:val="0"/>
          <w:sz w:val="32"/>
          <w:szCs w:val="32"/>
          <w:highlight w:val="none"/>
          <w:shd w:val="clear" w:color="auto" w:fill="FFFFFF"/>
          <w:lang w:val="en-US" w:eastAsia="zh-CN"/>
        </w:rPr>
        <w:t>我单位在《机关效能手册》中明确</w:t>
      </w:r>
      <w:r>
        <w:rPr>
          <w:rFonts w:hint="eastAsia" w:ascii="仿宋_GB2312" w:hAnsi="仿宋_GB2312" w:eastAsia="仿宋_GB2312" w:cs="仿宋_GB2312"/>
          <w:color w:val="auto"/>
          <w:kern w:val="0"/>
          <w:sz w:val="32"/>
          <w:szCs w:val="32"/>
          <w:highlight w:val="none"/>
          <w:shd w:val="clear" w:color="auto" w:fill="FFFFFF"/>
          <w:lang w:val="zh-CN" w:eastAsia="zh-CN"/>
        </w:rPr>
        <w:t>将内设机构绩效自评纳入考核体系，建立了对内设机构预算与绩效挂钩机制。</w:t>
      </w:r>
    </w:p>
    <w:p w14:paraId="75FC127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 w:hAnsi="楷体" w:eastAsia="楷体" w:cs="楷体"/>
          <w:color w:val="auto"/>
          <w:kern w:val="0"/>
          <w:sz w:val="32"/>
          <w:szCs w:val="32"/>
          <w:highlight w:val="none"/>
          <w:shd w:val="clear" w:color="auto" w:fill="FFFFFF"/>
          <w:lang w:val="en-US" w:eastAsia="zh-CN"/>
        </w:rPr>
      </w:pPr>
      <w:r>
        <w:rPr>
          <w:rFonts w:hint="eastAsia" w:ascii="楷体" w:hAnsi="楷体" w:eastAsia="楷体" w:cs="楷体"/>
          <w:color w:val="auto"/>
          <w:kern w:val="0"/>
          <w:sz w:val="32"/>
          <w:szCs w:val="32"/>
          <w:highlight w:val="none"/>
          <w:shd w:val="clear" w:color="auto" w:fill="FFFFFF"/>
          <w:lang w:val="en-US" w:eastAsia="zh-CN"/>
        </w:rPr>
        <w:t>2.信息公开</w:t>
      </w:r>
    </w:p>
    <w:p w14:paraId="2BD4941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shd w:val="clear" w:color="auto" w:fill="FFFFFF"/>
          <w:lang w:val="en-US" w:eastAsia="zh-CN"/>
        </w:rPr>
      </w:pPr>
      <w:r>
        <w:rPr>
          <w:rFonts w:hint="eastAsia" w:ascii="仿宋_GB2312" w:hAnsi="仿宋_GB2312" w:eastAsia="仿宋_GB2312" w:cs="仿宋_GB2312"/>
          <w:color w:val="auto"/>
          <w:kern w:val="0"/>
          <w:sz w:val="32"/>
          <w:szCs w:val="32"/>
          <w:highlight w:val="none"/>
          <w:shd w:val="clear" w:color="auto" w:fill="FFFFFF"/>
          <w:lang w:val="en-US" w:eastAsia="zh-CN"/>
        </w:rPr>
        <w:t>按照财政部门的管理要求，我单位将部门整体绩效自评情况和自行组织的评价情况及时通过</w:t>
      </w:r>
      <w:r>
        <w:rPr>
          <w:rFonts w:hint="eastAsia" w:ascii="仿宋_GB2312" w:hAnsi="仿宋_GB2312" w:eastAsia="仿宋_GB2312" w:cs="仿宋_GB2312"/>
          <w:b w:val="0"/>
          <w:bCs w:val="0"/>
          <w:color w:val="auto"/>
          <w:kern w:val="2"/>
          <w:sz w:val="32"/>
          <w:szCs w:val="32"/>
          <w:lang w:val="en-US" w:eastAsia="zh-CN" w:bidi="ar-SA"/>
        </w:rPr>
        <w:t>昭化区人民政府网站</w:t>
      </w:r>
      <w:r>
        <w:rPr>
          <w:rFonts w:hint="eastAsia" w:ascii="仿宋_GB2312" w:hAnsi="仿宋_GB2312" w:eastAsia="仿宋_GB2312" w:cs="仿宋_GB2312"/>
          <w:color w:val="auto"/>
          <w:kern w:val="0"/>
          <w:sz w:val="32"/>
          <w:szCs w:val="32"/>
          <w:highlight w:val="none"/>
          <w:shd w:val="clear" w:color="auto" w:fill="FFFFFF"/>
          <w:lang w:val="en-US" w:eastAsia="zh-CN"/>
        </w:rPr>
        <w:t>随同单位决算向社会公开。</w:t>
      </w:r>
    </w:p>
    <w:p w14:paraId="2913B5B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 w:hAnsi="楷体" w:eastAsia="楷体" w:cs="楷体"/>
          <w:color w:val="auto"/>
          <w:kern w:val="0"/>
          <w:sz w:val="32"/>
          <w:szCs w:val="32"/>
          <w:highlight w:val="none"/>
          <w:shd w:val="clear" w:color="auto" w:fill="FFFFFF"/>
          <w:lang w:val="en-US" w:eastAsia="zh-CN"/>
        </w:rPr>
      </w:pPr>
      <w:r>
        <w:rPr>
          <w:rFonts w:hint="eastAsia" w:ascii="楷体" w:hAnsi="楷体" w:eastAsia="楷体" w:cs="楷体"/>
          <w:color w:val="auto"/>
          <w:kern w:val="0"/>
          <w:sz w:val="32"/>
          <w:szCs w:val="32"/>
          <w:highlight w:val="none"/>
          <w:shd w:val="clear" w:color="auto" w:fill="FFFFFF"/>
          <w:lang w:val="en-US" w:eastAsia="zh-CN"/>
        </w:rPr>
        <w:t>3.整改反馈</w:t>
      </w:r>
    </w:p>
    <w:p w14:paraId="3B7366F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0"/>
          <w:sz w:val="32"/>
          <w:szCs w:val="32"/>
          <w:highlight w:val="none"/>
          <w:shd w:val="clear" w:color="auto" w:fill="FFFFFF"/>
          <w:lang w:val="zh-CN" w:eastAsia="zh-CN"/>
        </w:rPr>
      </w:pPr>
      <w:r>
        <w:rPr>
          <w:rFonts w:hint="eastAsia" w:ascii="仿宋_GB2312" w:hAnsi="仿宋_GB2312" w:eastAsia="仿宋_GB2312" w:cs="仿宋_GB2312"/>
          <w:color w:val="auto"/>
          <w:kern w:val="0"/>
          <w:sz w:val="32"/>
          <w:szCs w:val="32"/>
          <w:highlight w:val="none"/>
          <w:shd w:val="clear" w:color="auto" w:fill="FFFFFF"/>
          <w:lang w:val="en-US" w:eastAsia="zh-CN"/>
        </w:rPr>
        <w:t>2022年整体支出绩效评价和项目支出绩效评价，我单位就存在的问题进行整改落实，并向区财政局报送《关于2021年部门整体支出绩效抽查问题的整改报告》《关于2022年绩效自评重点抽查问题的整改报告》</w:t>
      </w:r>
      <w:r>
        <w:rPr>
          <w:rFonts w:hint="eastAsia" w:ascii="仿宋_GB2312" w:hAnsi="仿宋_GB2312" w:eastAsia="仿宋_GB2312" w:cs="仿宋_GB2312"/>
          <w:color w:val="auto"/>
          <w:kern w:val="0"/>
          <w:sz w:val="32"/>
          <w:szCs w:val="32"/>
          <w:highlight w:val="none"/>
          <w:shd w:val="clear" w:color="auto" w:fill="FFFFFF"/>
          <w:lang w:val="zh-CN" w:eastAsia="zh-CN"/>
        </w:rPr>
        <w:t>。</w:t>
      </w:r>
      <w:r>
        <w:rPr>
          <w:rFonts w:hint="eastAsia" w:ascii="仿宋_GB2312" w:hAnsi="仿宋_GB2312" w:eastAsia="仿宋_GB2312" w:cs="仿宋_GB2312"/>
          <w:b w:val="0"/>
          <w:bCs w:val="0"/>
          <w:color w:val="auto"/>
          <w:kern w:val="2"/>
          <w:sz w:val="32"/>
          <w:szCs w:val="32"/>
          <w:lang w:val="en-US" w:eastAsia="zh-CN" w:bidi="ar-SA"/>
        </w:rPr>
        <w:t>严格执行财经制度和管理规定，按时完成预算执行进度，严格控制、合理利用各项经费，鼓励合法合规的经费开支，按要求进行预算管理，不断完善资产管理制度。</w:t>
      </w:r>
    </w:p>
    <w:p w14:paraId="240DD22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楷体" w:hAnsi="楷体" w:eastAsia="楷体" w:cs="楷体"/>
          <w:b/>
          <w:bCs/>
          <w:sz w:val="32"/>
          <w:szCs w:val="32"/>
        </w:rPr>
      </w:pPr>
      <w:bookmarkStart w:id="144" w:name="_Toc13363"/>
      <w:r>
        <w:rPr>
          <w:rFonts w:hint="eastAsia" w:ascii="楷体" w:hAnsi="楷体" w:eastAsia="楷体" w:cs="楷体"/>
          <w:b/>
          <w:bCs/>
          <w:sz w:val="32"/>
          <w:szCs w:val="32"/>
        </w:rPr>
        <w:t>(</w:t>
      </w:r>
      <w:r>
        <w:rPr>
          <w:rFonts w:hint="eastAsia" w:ascii="楷体" w:hAnsi="楷体" w:eastAsia="楷体" w:cs="楷体"/>
          <w:b/>
          <w:bCs/>
          <w:sz w:val="32"/>
          <w:szCs w:val="32"/>
          <w:lang w:eastAsia="zh-CN"/>
        </w:rPr>
        <w:t>四</w:t>
      </w:r>
      <w:r>
        <w:rPr>
          <w:rFonts w:hint="eastAsia" w:ascii="楷体" w:hAnsi="楷体" w:eastAsia="楷体" w:cs="楷体"/>
          <w:b/>
          <w:bCs/>
          <w:sz w:val="32"/>
          <w:szCs w:val="32"/>
        </w:rPr>
        <w:t>)自评质量</w:t>
      </w:r>
      <w:bookmarkEnd w:id="144"/>
    </w:p>
    <w:p w14:paraId="1C398D97">
      <w:pPr>
        <w:keepNext w:val="0"/>
        <w:keepLines w:val="0"/>
        <w:pageBreakBefore w:val="0"/>
        <w:kinsoku/>
        <w:wordWrap/>
        <w:overflowPunct/>
        <w:topLinePunct w:val="0"/>
        <w:autoSpaceDE/>
        <w:bidi w:val="0"/>
        <w:adjustRightInd/>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lang w:val="en-US" w:eastAsia="zh-CN" w:bidi="ar-SA"/>
        </w:rPr>
      </w:pPr>
      <w:bookmarkStart w:id="145" w:name="_Toc18937"/>
      <w:bookmarkStart w:id="146" w:name="_Toc23364"/>
      <w:r>
        <w:rPr>
          <w:rFonts w:hint="eastAsia" w:ascii="仿宋_GB2312" w:hAnsi="仿宋_GB2312" w:eastAsia="仿宋_GB2312" w:cs="仿宋_GB2312"/>
          <w:color w:val="auto"/>
          <w:kern w:val="0"/>
          <w:sz w:val="32"/>
          <w:szCs w:val="32"/>
          <w:highlight w:val="none"/>
          <w:lang w:val="en-US" w:eastAsia="zh-CN" w:bidi="ar-SA"/>
        </w:rPr>
        <w:t>按照上级部门预算编制通知和有关要求，按时完成基础库、项目库报送工作，预算编制准确。部门整体绩效目标编制完整、合理，项目绩效目标编制明确、量化。按要求严格预算执行管理，严格执行“三公”经费预算，行政运行经费与上年相比明显下降，没有产生债务。并通过资料收集、绩效评价、工作总结及撰写报告等几个阶段，认真、准确填写自评数据表，形成详实的自评报告，并按时完成自评工作，对所报送自评材料的真实性、完整性、一致性、规范性负责。</w:t>
      </w:r>
    </w:p>
    <w:p w14:paraId="59910E9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1"/>
        <w:rPr>
          <w:rFonts w:hint="eastAsia" w:ascii="Times New Roman" w:hAnsi="Times New Roman" w:eastAsia="黑体" w:cs="黑体"/>
          <w:sz w:val="32"/>
          <w:szCs w:val="32"/>
        </w:rPr>
      </w:pPr>
      <w:bookmarkStart w:id="147" w:name="_Toc32557"/>
      <w:bookmarkStart w:id="148" w:name="_Toc15843"/>
      <w:r>
        <w:rPr>
          <w:rFonts w:hint="eastAsia" w:ascii="Times New Roman" w:hAnsi="Times New Roman" w:eastAsia="黑体" w:cs="黑体"/>
          <w:sz w:val="32"/>
          <w:szCs w:val="32"/>
        </w:rPr>
        <w:t>四、评价结论及建议</w:t>
      </w:r>
      <w:bookmarkEnd w:id="145"/>
      <w:bookmarkEnd w:id="146"/>
      <w:bookmarkEnd w:id="147"/>
      <w:bookmarkEnd w:id="148"/>
    </w:p>
    <w:p w14:paraId="135B98BF">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outlineLvl w:val="2"/>
        <w:rPr>
          <w:rFonts w:hint="eastAsia" w:ascii="楷体" w:hAnsi="楷体" w:eastAsia="楷体" w:cs="楷体"/>
          <w:b/>
          <w:bCs/>
          <w:sz w:val="32"/>
          <w:szCs w:val="32"/>
        </w:rPr>
      </w:pPr>
      <w:bookmarkStart w:id="149" w:name="_Toc21403"/>
      <w:r>
        <w:rPr>
          <w:rFonts w:hint="eastAsia" w:ascii="楷体" w:hAnsi="楷体" w:eastAsia="楷体" w:cs="楷体"/>
          <w:b/>
          <w:bCs/>
          <w:sz w:val="32"/>
          <w:szCs w:val="32"/>
        </w:rPr>
        <w:t>(一)</w:t>
      </w:r>
      <w:r>
        <w:rPr>
          <w:rFonts w:hint="eastAsia" w:ascii="楷体" w:hAnsi="楷体" w:eastAsia="楷体" w:cs="楷体"/>
          <w:b/>
          <w:bCs/>
          <w:sz w:val="32"/>
          <w:szCs w:val="32"/>
          <w:lang w:eastAsia="zh-CN"/>
        </w:rPr>
        <w:t>评价</w:t>
      </w:r>
      <w:r>
        <w:rPr>
          <w:rFonts w:hint="eastAsia" w:ascii="楷体" w:hAnsi="楷体" w:eastAsia="楷体" w:cs="楷体"/>
          <w:b/>
          <w:bCs/>
          <w:sz w:val="32"/>
          <w:szCs w:val="32"/>
        </w:rPr>
        <w:t>结论</w:t>
      </w:r>
      <w:bookmarkEnd w:id="149"/>
    </w:p>
    <w:p w14:paraId="26307B86">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sz w:val="32"/>
          <w:szCs w:val="32"/>
        </w:rPr>
        <w:t>20</w:t>
      </w:r>
      <w:r>
        <w:rPr>
          <w:rFonts w:hint="eastAsia" w:ascii="仿宋_GB2312" w:hAnsi="仿宋_GB2312" w:eastAsia="仿宋_GB2312" w:cs="仿宋_GB2312"/>
          <w:b w:val="0"/>
          <w:bCs w:val="0"/>
          <w:color w:val="000000"/>
          <w:sz w:val="32"/>
          <w:szCs w:val="32"/>
          <w:lang w:val="en-US" w:eastAsia="zh-CN"/>
        </w:rPr>
        <w:t>22</w:t>
      </w:r>
      <w:r>
        <w:rPr>
          <w:rFonts w:hint="eastAsia" w:ascii="仿宋_GB2312" w:hAnsi="仿宋_GB2312" w:eastAsia="仿宋_GB2312" w:cs="仿宋_GB2312"/>
          <w:b w:val="0"/>
          <w:bCs w:val="0"/>
          <w:color w:val="000000"/>
          <w:sz w:val="32"/>
          <w:szCs w:val="32"/>
        </w:rPr>
        <w:t>年</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sz w:val="32"/>
          <w:szCs w:val="32"/>
        </w:rPr>
        <w:t>我</w:t>
      </w:r>
      <w:r>
        <w:rPr>
          <w:rFonts w:hint="eastAsia" w:ascii="仿宋_GB2312" w:hAnsi="仿宋_GB2312" w:eastAsia="仿宋_GB2312" w:cs="仿宋_GB2312"/>
          <w:b w:val="0"/>
          <w:bCs w:val="0"/>
          <w:sz w:val="32"/>
          <w:szCs w:val="32"/>
          <w:lang w:eastAsia="zh-CN"/>
        </w:rPr>
        <w:t>镇</w:t>
      </w:r>
      <w:r>
        <w:rPr>
          <w:rFonts w:hint="eastAsia" w:ascii="仿宋_GB2312" w:hAnsi="仿宋_GB2312" w:eastAsia="仿宋_GB2312" w:cs="仿宋_GB2312"/>
          <w:b w:val="0"/>
          <w:bCs w:val="0"/>
          <w:sz w:val="32"/>
          <w:szCs w:val="32"/>
        </w:rPr>
        <w:t>按照《广元市昭化区人民政府办公室关于印发&lt;关于印发《广元市昭化区财政预算绩效管理办法》《广元市昭化区财政预算事前绩效评估管理暂行办法》《广元市昭化区预算绩效事中运行监控管理暂行办法》《广元市昭化区财政支出事后绩效评价管理办法》的通知&gt;的通知》(昭府办函〔20</w:t>
      </w:r>
      <w:r>
        <w:rPr>
          <w:rFonts w:hint="eastAsia" w:ascii="仿宋_GB2312" w:hAnsi="仿宋_GB2312" w:eastAsia="仿宋_GB2312" w:cs="仿宋_GB2312"/>
          <w:b w:val="0"/>
          <w:bCs w:val="0"/>
          <w:sz w:val="32"/>
          <w:szCs w:val="32"/>
          <w:lang w:val="en-US" w:eastAsia="zh-CN"/>
        </w:rPr>
        <w:t>22</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37</w:t>
      </w:r>
      <w:r>
        <w:rPr>
          <w:rFonts w:hint="eastAsia" w:ascii="仿宋_GB2312" w:hAnsi="仿宋_GB2312" w:eastAsia="仿宋_GB2312" w:cs="仿宋_GB2312"/>
          <w:b w:val="0"/>
          <w:bCs w:val="0"/>
          <w:sz w:val="32"/>
          <w:szCs w:val="32"/>
        </w:rPr>
        <w:t>号)绩效评价指标体系开展绩效评价</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在数据准确、资料齐全、佐证充分基础上综合自评得分</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为</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99.5</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分。</w:t>
      </w:r>
      <w:r>
        <w:rPr>
          <w:rFonts w:hint="eastAsia" w:ascii="仿宋_GB2312" w:hAnsi="仿宋_GB2312" w:eastAsia="仿宋_GB2312" w:cs="仿宋_GB2312"/>
          <w:color w:val="auto"/>
          <w:sz w:val="32"/>
          <w:szCs w:val="32"/>
        </w:rPr>
        <w:t>紧紧围绕党委、政府中心工作依法履职，</w:t>
      </w:r>
      <w:r>
        <w:rPr>
          <w:rFonts w:hint="eastAsia" w:ascii="仿宋_GB2312" w:hAnsi="仿宋_GB2312" w:eastAsia="仿宋_GB2312" w:cs="仿宋_GB2312"/>
          <w:b w:val="0"/>
          <w:bCs w:val="0"/>
          <w:color w:val="000000"/>
          <w:sz w:val="32"/>
          <w:szCs w:val="32"/>
        </w:rPr>
        <w:t>按照保进度、重质量、求实效的要求，全面推进各项重点工作，</w:t>
      </w:r>
      <w:r>
        <w:rPr>
          <w:rFonts w:hint="eastAsia" w:ascii="仿宋_GB2312" w:hAnsi="仿宋_GB2312" w:eastAsia="仿宋_GB2312" w:cs="仿宋_GB2312"/>
          <w:color w:val="auto"/>
          <w:sz w:val="32"/>
          <w:szCs w:val="32"/>
        </w:rPr>
        <w:t>完成了各项任务，保障了中央和省、市、县政府重大决策部署贯彻落实，促进了作风转变和自身建设，经费保障能力不断提高，经费投向科学合理，财务管理监督规范有效，经济社会效益功能明显，为维护地方经济安全发挥了积极作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根据部门整体支出绩效评价内容，本单位制定了相应的绩效目标，根据目标时</w:t>
      </w:r>
      <w:r>
        <w:rPr>
          <w:rFonts w:hint="eastAsia" w:ascii="仿宋_GB2312" w:hAnsi="仿宋_GB2312" w:eastAsia="仿宋_GB2312" w:cs="仿宋_GB2312"/>
          <w:color w:val="auto"/>
          <w:sz w:val="32"/>
          <w:szCs w:val="32"/>
          <w:lang w:val="en-US" w:eastAsia="zh-CN"/>
        </w:rPr>
        <w:t>时</w:t>
      </w:r>
      <w:r>
        <w:rPr>
          <w:rFonts w:hint="eastAsia" w:ascii="仿宋_GB2312" w:hAnsi="仿宋_GB2312" w:eastAsia="仿宋_GB2312" w:cs="仿宋_GB2312"/>
          <w:color w:val="auto"/>
          <w:sz w:val="32"/>
          <w:szCs w:val="32"/>
        </w:rPr>
        <w:t>监督，自查项目进展、完成情况。全面掌握资金执行率，更好完成了202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年的绩效目标任务。</w:t>
      </w:r>
    </w:p>
    <w:p w14:paraId="5B19B3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2"/>
        <w:rPr>
          <w:rFonts w:hint="eastAsia" w:ascii="楷体" w:hAnsi="楷体" w:eastAsia="楷体" w:cs="楷体"/>
          <w:b/>
          <w:bCs/>
          <w:sz w:val="32"/>
          <w:szCs w:val="32"/>
        </w:rPr>
      </w:pPr>
      <w:bookmarkStart w:id="150" w:name="_Toc19122"/>
      <w:r>
        <w:rPr>
          <w:rFonts w:hint="eastAsia" w:ascii="楷体" w:hAnsi="楷体" w:eastAsia="楷体" w:cs="楷体"/>
          <w:b/>
          <w:bCs/>
          <w:sz w:val="32"/>
          <w:szCs w:val="32"/>
        </w:rPr>
        <w:t>(</w:t>
      </w:r>
      <w:r>
        <w:rPr>
          <w:rFonts w:hint="eastAsia" w:ascii="楷体" w:hAnsi="楷体" w:eastAsia="楷体" w:cs="楷体"/>
          <w:b/>
          <w:bCs/>
          <w:sz w:val="32"/>
          <w:szCs w:val="32"/>
          <w:lang w:val="en-US" w:eastAsia="zh-CN"/>
        </w:rPr>
        <w:t>二</w:t>
      </w:r>
      <w:r>
        <w:rPr>
          <w:rFonts w:hint="eastAsia" w:ascii="楷体" w:hAnsi="楷体" w:eastAsia="楷体" w:cs="楷体"/>
          <w:b/>
          <w:bCs/>
          <w:sz w:val="32"/>
          <w:szCs w:val="32"/>
        </w:rPr>
        <w:t>)存在问题</w:t>
      </w:r>
      <w:bookmarkEnd w:id="150"/>
    </w:p>
    <w:p w14:paraId="549269D8">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Times New Roman" w:hAnsi="Times New Roman" w:eastAsia="仿宋_GB2312" w:cs="仿宋_GB2312"/>
          <w:color w:val="auto"/>
          <w:kern w:val="2"/>
          <w:sz w:val="32"/>
          <w:szCs w:val="32"/>
          <w:lang w:val="en-US" w:eastAsia="zh-CN" w:bidi="ar-SA"/>
        </w:rPr>
      </w:pPr>
      <w:r>
        <w:rPr>
          <w:rFonts w:hint="eastAsia" w:ascii="Times New Roman" w:hAnsi="Times New Roman" w:eastAsia="仿宋_GB2312" w:cs="仿宋_GB2312"/>
          <w:color w:val="auto"/>
          <w:kern w:val="2"/>
          <w:sz w:val="32"/>
          <w:szCs w:val="32"/>
          <w:lang w:val="en-US" w:eastAsia="zh-CN" w:bidi="ar-SA"/>
        </w:rPr>
        <w:t>一年来，我们虽然做了大量工作，取得了一定成效，但还存在一些问题和不足，离上级的绩效管理要求还有一定距离：</w:t>
      </w:r>
      <w:r>
        <w:rPr>
          <w:rFonts w:hint="eastAsia" w:ascii="Times New Roman" w:hAnsi="Times New Roman" w:eastAsia="仿宋_GB2312" w:cs="仿宋_GB2312"/>
          <w:color w:val="auto"/>
          <w:sz w:val="32"/>
          <w:szCs w:val="32"/>
          <w:lang w:val="en-US" w:eastAsia="zh-CN"/>
        </w:rPr>
        <w:t>一是在项目支出绩效自评建设方面还需积极培育符合实际情况的自评文化，使自评意识和自评文化渗透到每一位干部思想深处，使自评成为每位干部的自觉行为；</w:t>
      </w:r>
      <w:r>
        <w:rPr>
          <w:rFonts w:hint="eastAsia" w:ascii="Times New Roman" w:hAnsi="Times New Roman" w:eastAsia="仿宋_GB2312" w:cs="仿宋_GB2312"/>
          <w:i w:val="0"/>
          <w:iCs w:val="0"/>
          <w:caps w:val="0"/>
          <w:color w:val="auto"/>
          <w:spacing w:val="0"/>
          <w:sz w:val="32"/>
          <w:szCs w:val="32"/>
          <w:highlight w:val="none"/>
          <w:shd w:val="clear" w:fill="FFFFFF"/>
          <w:lang w:val="en-US" w:eastAsia="zh-CN"/>
        </w:rPr>
        <w:t>二是</w:t>
      </w:r>
      <w:r>
        <w:rPr>
          <w:rFonts w:hint="eastAsia" w:ascii="Times New Roman" w:hAnsi="Times New Roman" w:eastAsia="仿宋_GB2312" w:cs="仿宋_GB2312"/>
          <w:i w:val="0"/>
          <w:iCs w:val="0"/>
          <w:caps w:val="0"/>
          <w:color w:val="auto"/>
          <w:spacing w:val="0"/>
          <w:sz w:val="32"/>
          <w:szCs w:val="32"/>
          <w:highlight w:val="none"/>
          <w:shd w:val="clear" w:fill="FFFFFF"/>
          <w:lang w:eastAsia="zh-CN"/>
        </w:rPr>
        <w:t>预算目标</w:t>
      </w:r>
      <w:r>
        <w:rPr>
          <w:rFonts w:hint="default" w:ascii="Times New Roman" w:hAnsi="Times New Roman" w:eastAsia="仿宋_GB2312" w:cs="仿宋_GB2312"/>
          <w:i w:val="0"/>
          <w:iCs w:val="0"/>
          <w:caps w:val="0"/>
          <w:color w:val="auto"/>
          <w:spacing w:val="0"/>
          <w:sz w:val="32"/>
          <w:szCs w:val="32"/>
          <w:highlight w:val="none"/>
          <w:shd w:val="clear" w:fill="FFFFFF"/>
        </w:rPr>
        <w:t>执行</w:t>
      </w:r>
      <w:r>
        <w:rPr>
          <w:rFonts w:hint="eastAsia" w:ascii="Times New Roman" w:hAnsi="Times New Roman" w:eastAsia="仿宋_GB2312" w:cs="仿宋_GB2312"/>
          <w:i w:val="0"/>
          <w:iCs w:val="0"/>
          <w:caps w:val="0"/>
          <w:color w:val="auto"/>
          <w:spacing w:val="0"/>
          <w:sz w:val="32"/>
          <w:szCs w:val="32"/>
          <w:highlight w:val="none"/>
          <w:shd w:val="clear" w:fill="FFFFFF"/>
          <w:lang w:eastAsia="zh-CN"/>
        </w:rPr>
        <w:t>结果</w:t>
      </w:r>
      <w:r>
        <w:rPr>
          <w:rFonts w:hint="default" w:ascii="Times New Roman" w:hAnsi="Times New Roman" w:eastAsia="仿宋_GB2312" w:cs="仿宋_GB2312"/>
          <w:i w:val="0"/>
          <w:iCs w:val="0"/>
          <w:caps w:val="0"/>
          <w:color w:val="auto"/>
          <w:spacing w:val="0"/>
          <w:sz w:val="32"/>
          <w:szCs w:val="32"/>
          <w:highlight w:val="none"/>
          <w:shd w:val="clear" w:fill="FFFFFF"/>
        </w:rPr>
        <w:t>与项目预算绩效</w:t>
      </w:r>
      <w:r>
        <w:rPr>
          <w:rFonts w:hint="eastAsia" w:ascii="Times New Roman" w:hAnsi="Times New Roman" w:eastAsia="仿宋_GB2312" w:cs="仿宋_GB2312"/>
          <w:i w:val="0"/>
          <w:iCs w:val="0"/>
          <w:caps w:val="0"/>
          <w:color w:val="auto"/>
          <w:spacing w:val="0"/>
          <w:sz w:val="32"/>
          <w:szCs w:val="32"/>
          <w:highlight w:val="none"/>
          <w:shd w:val="clear" w:fill="FFFFFF"/>
          <w:lang w:eastAsia="zh-CN"/>
        </w:rPr>
        <w:t>计划指标内容</w:t>
      </w:r>
      <w:r>
        <w:rPr>
          <w:rFonts w:hint="default" w:ascii="Times New Roman" w:hAnsi="Times New Roman" w:eastAsia="仿宋_GB2312" w:cs="仿宋_GB2312"/>
          <w:i w:val="0"/>
          <w:iCs w:val="0"/>
          <w:caps w:val="0"/>
          <w:color w:val="auto"/>
          <w:spacing w:val="0"/>
          <w:sz w:val="32"/>
          <w:szCs w:val="32"/>
          <w:highlight w:val="none"/>
          <w:shd w:val="clear" w:fill="FFFFFF"/>
        </w:rPr>
        <w:t>存在偏差</w:t>
      </w:r>
      <w:r>
        <w:rPr>
          <w:rFonts w:hint="eastAsia" w:ascii="Times New Roman" w:hAnsi="Times New Roman" w:eastAsia="仿宋_GB2312" w:cs="仿宋_GB2312"/>
          <w:i w:val="0"/>
          <w:iCs w:val="0"/>
          <w:caps w:val="0"/>
          <w:color w:val="auto"/>
          <w:spacing w:val="0"/>
          <w:sz w:val="32"/>
          <w:szCs w:val="32"/>
          <w:highlight w:val="none"/>
          <w:shd w:val="clear" w:fill="FFFFFF"/>
          <w:lang w:eastAsia="zh-CN"/>
        </w:rPr>
        <w:t>，其主要原因是年初预算绩效目标测算不太精准。</w:t>
      </w:r>
      <w:r>
        <w:rPr>
          <w:rFonts w:hint="eastAsia" w:ascii="Times New Roman" w:hAnsi="Times New Roman" w:eastAsia="仿宋_GB2312" w:cs="仿宋_GB2312"/>
          <w:color w:val="auto"/>
          <w:sz w:val="32"/>
          <w:szCs w:val="32"/>
        </w:rPr>
        <w:t>财政科学化、精细化管理水平有待进一步提高。</w:t>
      </w:r>
      <w:r>
        <w:rPr>
          <w:rFonts w:hint="eastAsia" w:ascii="Times New Roman" w:hAnsi="Times New Roman" w:eastAsia="仿宋_GB2312" w:cs="仿宋_GB2312"/>
          <w:color w:val="auto"/>
          <w:kern w:val="2"/>
          <w:sz w:val="32"/>
          <w:szCs w:val="32"/>
          <w:lang w:val="en-US" w:eastAsia="zh-CN" w:bidi="ar-SA"/>
        </w:rPr>
        <w:t>今后我镇继续围绕绩效中心工作，服务大局，以更高的标准和要求抓好工作。</w:t>
      </w:r>
    </w:p>
    <w:p w14:paraId="53B76F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2"/>
        <w:rPr>
          <w:rFonts w:hint="eastAsia" w:ascii="楷体" w:hAnsi="楷体" w:eastAsia="楷体" w:cs="楷体"/>
          <w:b/>
          <w:bCs/>
          <w:sz w:val="32"/>
          <w:szCs w:val="32"/>
        </w:rPr>
      </w:pPr>
      <w:bookmarkStart w:id="151" w:name="_Toc2810"/>
      <w:r>
        <w:rPr>
          <w:rFonts w:hint="eastAsia" w:ascii="楷体" w:hAnsi="楷体" w:eastAsia="楷体" w:cs="楷体"/>
          <w:b/>
          <w:bCs/>
          <w:sz w:val="32"/>
          <w:szCs w:val="32"/>
        </w:rPr>
        <w:t>(三)改进建议</w:t>
      </w:r>
      <w:bookmarkEnd w:id="151"/>
    </w:p>
    <w:p w14:paraId="6D404FE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val="0"/>
          <w:i w:val="0"/>
          <w:caps w:val="0"/>
          <w:color w:val="auto"/>
          <w:spacing w:val="0"/>
          <w:sz w:val="32"/>
          <w:szCs w:val="32"/>
          <w:shd w:val="clear" w:color="auto" w:fill="FFFFFF"/>
          <w:lang w:eastAsia="zh-CN"/>
        </w:rPr>
      </w:pPr>
      <w:r>
        <w:rPr>
          <w:rFonts w:hint="default" w:ascii="Times New Roman" w:hAnsi="Times New Roman" w:eastAsia="仿宋_GB2312" w:cs="Times New Roman"/>
          <w:b w:val="0"/>
          <w:bCs w:val="0"/>
          <w:i w:val="0"/>
          <w:caps w:val="0"/>
          <w:color w:val="auto"/>
          <w:spacing w:val="0"/>
          <w:sz w:val="32"/>
          <w:szCs w:val="32"/>
          <w:shd w:val="clear" w:color="auto" w:fill="FFFFFF"/>
        </w:rPr>
        <w:t>1</w:t>
      </w:r>
      <w:r>
        <w:rPr>
          <w:rFonts w:hint="default" w:ascii="Times New Roman" w:hAnsi="Times New Roman" w:eastAsia="仿宋_GB2312" w:cs="Times New Roman"/>
          <w:b w:val="0"/>
          <w:bCs w:val="0"/>
          <w:i w:val="0"/>
          <w:caps w:val="0"/>
          <w:color w:val="auto"/>
          <w:spacing w:val="0"/>
          <w:sz w:val="32"/>
          <w:szCs w:val="32"/>
          <w:shd w:val="clear" w:color="auto" w:fill="FFFFFF"/>
          <w:lang w:eastAsia="zh-CN"/>
        </w:rPr>
        <w:t>.严格按照预算编制的相关制度和要求进行预算编制，全面编制预算项目，优先保障固定性</w:t>
      </w:r>
      <w:r>
        <w:rPr>
          <w:rFonts w:hint="eastAsia" w:ascii="Times New Roman" w:hAnsi="Times New Roman" w:eastAsia="仿宋_GB2312" w:cs="Times New Roman"/>
          <w:b w:val="0"/>
          <w:bCs w:val="0"/>
          <w:i w:val="0"/>
          <w:caps w:val="0"/>
          <w:color w:val="auto"/>
          <w:spacing w:val="0"/>
          <w:sz w:val="32"/>
          <w:szCs w:val="32"/>
          <w:shd w:val="clear" w:color="auto" w:fill="FFFFFF"/>
          <w:lang w:eastAsia="zh-CN"/>
        </w:rPr>
        <w:t>和</w:t>
      </w:r>
      <w:r>
        <w:rPr>
          <w:rFonts w:hint="default" w:ascii="Times New Roman" w:hAnsi="Times New Roman" w:eastAsia="仿宋_GB2312" w:cs="Times New Roman"/>
          <w:b w:val="0"/>
          <w:bCs w:val="0"/>
          <w:i w:val="0"/>
          <w:caps w:val="0"/>
          <w:color w:val="auto"/>
          <w:spacing w:val="0"/>
          <w:sz w:val="32"/>
          <w:szCs w:val="32"/>
          <w:shd w:val="clear" w:color="auto" w:fill="FFFFFF"/>
          <w:lang w:eastAsia="zh-CN"/>
        </w:rPr>
        <w:t>相对刚性的费用开支项目，尽量压缩</w:t>
      </w:r>
      <w:r>
        <w:rPr>
          <w:rFonts w:hint="eastAsia" w:ascii="Times New Roman" w:hAnsi="Times New Roman" w:eastAsia="仿宋_GB2312" w:cs="Times New Roman"/>
          <w:b w:val="0"/>
          <w:bCs w:val="0"/>
          <w:i w:val="0"/>
          <w:caps w:val="0"/>
          <w:color w:val="auto"/>
          <w:spacing w:val="0"/>
          <w:sz w:val="32"/>
          <w:szCs w:val="32"/>
          <w:shd w:val="clear" w:color="auto" w:fill="FFFFFF"/>
          <w:lang w:eastAsia="zh-CN"/>
        </w:rPr>
        <w:t>具有</w:t>
      </w:r>
      <w:r>
        <w:rPr>
          <w:rFonts w:hint="default" w:ascii="Times New Roman" w:hAnsi="Times New Roman" w:eastAsia="仿宋_GB2312" w:cs="Times New Roman"/>
          <w:b w:val="0"/>
          <w:bCs w:val="0"/>
          <w:i w:val="0"/>
          <w:caps w:val="0"/>
          <w:color w:val="auto"/>
          <w:spacing w:val="0"/>
          <w:sz w:val="32"/>
          <w:szCs w:val="32"/>
          <w:shd w:val="clear" w:color="auto" w:fill="FFFFFF"/>
          <w:lang w:eastAsia="zh-CN"/>
        </w:rPr>
        <w:t>变动性，有控制空间的费用项目，进一步提高预算编制的科学性，严谨性和可控性。</w:t>
      </w:r>
    </w:p>
    <w:p w14:paraId="3A85BFFA">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Autospacing="0" w:line="560" w:lineRule="exact"/>
        <w:ind w:left="0" w:leftChars="0" w:right="0" w:firstLine="640" w:firstLineChars="200"/>
        <w:jc w:val="both"/>
        <w:textAlignment w:val="auto"/>
        <w:rPr>
          <w:rFonts w:hint="default" w:ascii="Times New Roman" w:hAnsi="Times New Roman" w:eastAsia="仿宋_GB2312" w:cs="Times New Roman"/>
          <w:b w:val="0"/>
          <w:bCs w:val="0"/>
          <w:i w:val="0"/>
          <w:caps w:val="0"/>
          <w:color w:val="auto"/>
          <w:spacing w:val="0"/>
          <w:sz w:val="32"/>
          <w:szCs w:val="32"/>
          <w:shd w:val="clear" w:color="auto" w:fill="FFFFFF"/>
        </w:rPr>
      </w:pPr>
      <w:r>
        <w:rPr>
          <w:rFonts w:hint="default" w:ascii="Times New Roman" w:hAnsi="Times New Roman" w:eastAsia="仿宋_GB2312" w:cs="Times New Roman"/>
          <w:b w:val="0"/>
          <w:bCs w:val="0"/>
          <w:i w:val="0"/>
          <w:caps w:val="0"/>
          <w:color w:val="auto"/>
          <w:spacing w:val="0"/>
          <w:sz w:val="32"/>
          <w:szCs w:val="32"/>
          <w:shd w:val="clear" w:color="auto" w:fill="FFFFFF"/>
        </w:rPr>
        <w:t>2</w:t>
      </w:r>
      <w:r>
        <w:rPr>
          <w:rFonts w:hint="default" w:ascii="Times New Roman" w:hAnsi="Times New Roman" w:eastAsia="仿宋_GB2312" w:cs="Times New Roman"/>
          <w:b w:val="0"/>
          <w:bCs w:val="0"/>
          <w:i w:val="0"/>
          <w:caps w:val="0"/>
          <w:color w:val="auto"/>
          <w:spacing w:val="0"/>
          <w:sz w:val="32"/>
          <w:szCs w:val="32"/>
          <w:shd w:val="clear" w:color="auto" w:fill="FFFFFF"/>
          <w:lang w:eastAsia="zh-CN"/>
        </w:rPr>
        <w:t>.</w:t>
      </w:r>
      <w:r>
        <w:rPr>
          <w:rFonts w:hint="default" w:ascii="Times New Roman" w:hAnsi="Times New Roman" w:eastAsia="仿宋_GB2312" w:cs="Times New Roman"/>
          <w:b w:val="0"/>
          <w:bCs w:val="0"/>
          <w:i w:val="0"/>
          <w:caps w:val="0"/>
          <w:color w:val="auto"/>
          <w:spacing w:val="0"/>
          <w:sz w:val="32"/>
          <w:szCs w:val="32"/>
          <w:shd w:val="clear" w:color="auto" w:fill="FFFFFF"/>
        </w:rPr>
        <w:t>加强单位财务管理，健全单位财务管理制度体系，规范单位财务行为</w:t>
      </w:r>
      <w:r>
        <w:rPr>
          <w:rFonts w:hint="eastAsia" w:ascii="Times New Roman" w:hAnsi="Times New Roman" w:eastAsia="仿宋_GB2312" w:cs="Times New Roman"/>
          <w:b w:val="0"/>
          <w:bCs w:val="0"/>
          <w:i w:val="0"/>
          <w:caps w:val="0"/>
          <w:color w:val="auto"/>
          <w:spacing w:val="0"/>
          <w:sz w:val="32"/>
          <w:szCs w:val="32"/>
          <w:shd w:val="clear" w:color="auto" w:fill="FFFFFF"/>
          <w:lang w:eastAsia="zh-CN"/>
        </w:rPr>
        <w:t>，</w:t>
      </w:r>
      <w:r>
        <w:rPr>
          <w:rFonts w:hint="default" w:ascii="Times New Roman" w:hAnsi="Times New Roman" w:eastAsia="仿宋_GB2312" w:cs="Times New Roman"/>
          <w:b w:val="0"/>
          <w:bCs w:val="0"/>
          <w:i w:val="0"/>
          <w:caps w:val="0"/>
          <w:color w:val="auto"/>
          <w:spacing w:val="0"/>
          <w:sz w:val="32"/>
          <w:szCs w:val="32"/>
          <w:shd w:val="clear" w:color="auto" w:fill="FFFFFF"/>
        </w:rPr>
        <w:t>在费用报账支付时，</w:t>
      </w:r>
      <w:r>
        <w:rPr>
          <w:rFonts w:hint="eastAsia" w:ascii="Times New Roman" w:hAnsi="Times New Roman" w:eastAsia="仿宋_GB2312" w:cs="Times New Roman"/>
          <w:b w:val="0"/>
          <w:bCs w:val="0"/>
          <w:i w:val="0"/>
          <w:caps w:val="0"/>
          <w:color w:val="auto"/>
          <w:spacing w:val="0"/>
          <w:sz w:val="32"/>
          <w:szCs w:val="32"/>
          <w:shd w:val="clear" w:color="auto" w:fill="FFFFFF"/>
          <w:lang w:eastAsia="zh-CN"/>
        </w:rPr>
        <w:t>严格把关，</w:t>
      </w:r>
      <w:r>
        <w:rPr>
          <w:rFonts w:hint="default" w:ascii="Times New Roman" w:hAnsi="Times New Roman" w:eastAsia="仿宋_GB2312" w:cs="Times New Roman"/>
          <w:b w:val="0"/>
          <w:bCs w:val="0"/>
          <w:i w:val="0"/>
          <w:caps w:val="0"/>
          <w:color w:val="auto"/>
          <w:spacing w:val="0"/>
          <w:sz w:val="32"/>
          <w:szCs w:val="32"/>
          <w:shd w:val="clear" w:color="auto" w:fill="FFFFFF"/>
        </w:rPr>
        <w:t>按照预算规定的费用项目和用途进行资金使用审核、列报支付、财务核算，杜绝超支现象的发生。</w:t>
      </w:r>
    </w:p>
    <w:p w14:paraId="3B2D74A1">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Autospacing="0" w:line="560" w:lineRule="exact"/>
        <w:ind w:left="0" w:leftChars="0" w:right="0" w:firstLine="640" w:firstLineChars="200"/>
        <w:jc w:val="both"/>
        <w:textAlignment w:val="auto"/>
        <w:rPr>
          <w:rFonts w:hint="default" w:ascii="Times New Roman" w:hAnsi="Times New Roman" w:eastAsia="仿宋_GB2312" w:cs="Times New Roman"/>
          <w:b w:val="0"/>
          <w:bCs w:val="0"/>
          <w:i w:val="0"/>
          <w:caps w:val="0"/>
          <w:color w:val="auto"/>
          <w:spacing w:val="0"/>
          <w:sz w:val="32"/>
          <w:szCs w:val="32"/>
          <w:shd w:val="clear" w:color="auto" w:fill="FFFFFF"/>
        </w:rPr>
      </w:pPr>
      <w:r>
        <w:rPr>
          <w:rFonts w:hint="default" w:ascii="Times New Roman" w:hAnsi="Times New Roman" w:eastAsia="仿宋_GB2312" w:cs="Times New Roman"/>
          <w:b w:val="0"/>
          <w:bCs w:val="0"/>
          <w:i w:val="0"/>
          <w:caps w:val="0"/>
          <w:color w:val="auto"/>
          <w:spacing w:val="0"/>
          <w:sz w:val="32"/>
          <w:szCs w:val="32"/>
          <w:shd w:val="clear" w:color="auto" w:fill="FFFFFF"/>
        </w:rPr>
        <w:t>3</w:t>
      </w:r>
      <w:r>
        <w:rPr>
          <w:rFonts w:hint="default" w:ascii="Times New Roman" w:hAnsi="Times New Roman" w:eastAsia="仿宋_GB2312" w:cs="Times New Roman"/>
          <w:b w:val="0"/>
          <w:bCs w:val="0"/>
          <w:i w:val="0"/>
          <w:caps w:val="0"/>
          <w:color w:val="auto"/>
          <w:spacing w:val="0"/>
          <w:sz w:val="32"/>
          <w:szCs w:val="32"/>
          <w:shd w:val="clear" w:color="auto" w:fill="FFFFFF"/>
          <w:lang w:eastAsia="zh-CN"/>
        </w:rPr>
        <w:t>.</w:t>
      </w:r>
      <w:r>
        <w:rPr>
          <w:rFonts w:hint="default" w:ascii="Times New Roman" w:hAnsi="Times New Roman" w:eastAsia="仿宋_GB2312" w:cs="Times New Roman"/>
          <w:b w:val="0"/>
          <w:bCs w:val="0"/>
          <w:i w:val="0"/>
          <w:caps w:val="0"/>
          <w:color w:val="auto"/>
          <w:spacing w:val="0"/>
          <w:sz w:val="32"/>
          <w:szCs w:val="32"/>
          <w:shd w:val="clear" w:color="auto" w:fill="FFFFFF"/>
        </w:rPr>
        <w:t>完善资产管理，抓好“三公”经费控制。规范各类资产的购置审批、使用管理、资产处置和报废审批制度，加强单位内部资产管理工作。严格控制“三公”经费的规模和比例，把关“三公”经费支出的审核，细化“三公”经费管理，合理压缩“三公”经费支出。</w:t>
      </w:r>
    </w:p>
    <w:p w14:paraId="7646A145">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Autospacing="0" w:line="560" w:lineRule="exact"/>
        <w:ind w:left="0" w:leftChars="0" w:right="0" w:firstLine="640" w:firstLineChars="200"/>
        <w:jc w:val="both"/>
        <w:textAlignment w:val="auto"/>
        <w:rPr>
          <w:rFonts w:hint="default" w:ascii="Times New Roman" w:hAnsi="Times New Roman" w:eastAsia="仿宋_GB2312" w:cs="Times New Roman"/>
          <w:b w:val="0"/>
          <w:bCs w:val="0"/>
          <w:i w:val="0"/>
          <w:caps w:val="0"/>
          <w:color w:val="auto"/>
          <w:spacing w:val="0"/>
          <w:sz w:val="32"/>
          <w:szCs w:val="32"/>
          <w:shd w:val="clear" w:color="auto" w:fill="FFFFFF"/>
          <w:lang w:val="en-US" w:eastAsia="zh-CN"/>
        </w:rPr>
      </w:pPr>
      <w:r>
        <w:rPr>
          <w:rFonts w:hint="default" w:ascii="Times New Roman" w:hAnsi="Times New Roman" w:eastAsia="仿宋_GB2312" w:cs="Times New Roman"/>
          <w:b w:val="0"/>
          <w:bCs w:val="0"/>
          <w:i w:val="0"/>
          <w:caps w:val="0"/>
          <w:color w:val="auto"/>
          <w:spacing w:val="0"/>
          <w:sz w:val="32"/>
          <w:szCs w:val="32"/>
          <w:shd w:val="clear" w:color="auto" w:fill="FFFFFF"/>
        </w:rPr>
        <w:t>4</w:t>
      </w:r>
      <w:r>
        <w:rPr>
          <w:rFonts w:hint="default" w:ascii="Times New Roman" w:hAnsi="Times New Roman" w:eastAsia="仿宋_GB2312" w:cs="Times New Roman"/>
          <w:b w:val="0"/>
          <w:bCs w:val="0"/>
          <w:i w:val="0"/>
          <w:caps w:val="0"/>
          <w:color w:val="auto"/>
          <w:spacing w:val="0"/>
          <w:sz w:val="32"/>
          <w:szCs w:val="32"/>
          <w:shd w:val="clear" w:color="auto" w:fill="FFFFFF"/>
          <w:lang w:eastAsia="zh-CN"/>
        </w:rPr>
        <w:t>.</w:t>
      </w:r>
      <w:r>
        <w:rPr>
          <w:rFonts w:hint="default" w:ascii="Times New Roman" w:hAnsi="Times New Roman" w:eastAsia="仿宋_GB2312" w:cs="Times New Roman"/>
          <w:b w:val="0"/>
          <w:bCs w:val="0"/>
          <w:i w:val="0"/>
          <w:caps w:val="0"/>
          <w:color w:val="auto"/>
          <w:spacing w:val="0"/>
          <w:sz w:val="32"/>
          <w:szCs w:val="32"/>
          <w:shd w:val="clear" w:color="auto" w:fill="FFFFFF"/>
        </w:rPr>
        <w:t>对相关人员加强培训，特别是针对《预算法</w:t>
      </w:r>
      <w:r>
        <w:rPr>
          <w:rFonts w:hint="eastAsia" w:eastAsia="仿宋_GB2312" w:cs="Times New Roman"/>
          <w:b w:val="0"/>
          <w:bCs w:val="0"/>
          <w:i w:val="0"/>
          <w:caps w:val="0"/>
          <w:color w:val="auto"/>
          <w:spacing w:val="0"/>
          <w:sz w:val="32"/>
          <w:szCs w:val="32"/>
          <w:shd w:val="clear" w:color="auto" w:fill="FFFFFF"/>
          <w:lang w:eastAsia="zh-CN"/>
        </w:rPr>
        <w:t>》《</w:t>
      </w:r>
      <w:r>
        <w:rPr>
          <w:rFonts w:hint="default" w:ascii="Times New Roman" w:hAnsi="Times New Roman" w:eastAsia="仿宋_GB2312" w:cs="Times New Roman"/>
          <w:b w:val="0"/>
          <w:bCs w:val="0"/>
          <w:i w:val="0"/>
          <w:caps w:val="0"/>
          <w:color w:val="auto"/>
          <w:spacing w:val="0"/>
          <w:sz w:val="32"/>
          <w:szCs w:val="32"/>
          <w:shd w:val="clear" w:color="auto" w:fill="FFFFFF"/>
        </w:rPr>
        <w:t>行政事业单位会计制度》等学习培训，规范部门预算收支核算，切实提高部门预算收支管理水平。</w:t>
      </w:r>
    </w:p>
    <w:p w14:paraId="3E4F72AC">
      <w:pPr>
        <w:rPr>
          <w:rFonts w:hint="eastAsia" w:ascii="方正小标宋简体" w:hAnsi="方正小标宋简体" w:eastAsia="方正小标宋简体" w:cs="方正小标宋简体"/>
          <w:b/>
          <w:bCs/>
          <w:spacing w:val="0"/>
          <w:sz w:val="44"/>
          <w:szCs w:val="44"/>
        </w:rPr>
      </w:pPr>
      <w:r>
        <w:rPr>
          <w:rFonts w:hint="eastAsia" w:hAnsi="宋体" w:cs="宋体"/>
          <w:color w:val="auto"/>
          <w:kern w:val="0"/>
          <w:sz w:val="32"/>
          <w:szCs w:val="32"/>
          <w:highlight w:val="none"/>
          <w:shd w:val="clear" w:color="auto" w:fill="FFFFFF"/>
          <w:lang w:val="zh-CN"/>
        </w:rPr>
        <w:br w:type="page"/>
      </w:r>
      <w:bookmarkStart w:id="152" w:name="_Toc4459"/>
      <w:bookmarkStart w:id="153" w:name="_Toc29648"/>
      <w:bookmarkStart w:id="154" w:name="_Toc965"/>
    </w:p>
    <w:p w14:paraId="56E6FCD4">
      <w:pPr>
        <w:spacing w:before="5" w:line="215" w:lineRule="auto"/>
        <w:jc w:val="center"/>
        <w:outlineLvl w:val="1"/>
        <w:rPr>
          <w:rFonts w:hint="eastAsia" w:ascii="方正小标宋简体" w:hAnsi="方正小标宋简体" w:eastAsia="方正小标宋简体" w:cs="方正小标宋简体"/>
          <w:spacing w:val="0"/>
          <w:sz w:val="44"/>
          <w:szCs w:val="44"/>
        </w:rPr>
      </w:pPr>
      <w:r>
        <w:rPr>
          <w:rFonts w:hint="eastAsia" w:ascii="方正小标宋简体" w:hAnsi="方正小标宋简体" w:eastAsia="方正小标宋简体" w:cs="方正小标宋简体"/>
          <w:b/>
          <w:bCs/>
          <w:spacing w:val="0"/>
          <w:sz w:val="44"/>
          <w:szCs w:val="44"/>
        </w:rPr>
        <w:t>广元市昭化区部门整体支出绩效目标自评表</w:t>
      </w:r>
      <w:bookmarkEnd w:id="152"/>
      <w:bookmarkEnd w:id="153"/>
      <w:bookmarkEnd w:id="154"/>
    </w:p>
    <w:p w14:paraId="52901FE1">
      <w:pPr>
        <w:spacing w:line="219" w:lineRule="auto"/>
        <w:ind w:left="4044"/>
        <w:rPr>
          <w:rFonts w:hint="eastAsia" w:ascii="Times New Roman" w:hAnsi="Times New Roman" w:eastAsia="宋体" w:cs="宋体"/>
          <w:sz w:val="25"/>
          <w:szCs w:val="25"/>
          <w:lang w:eastAsia="zh-CN"/>
        </w:rPr>
      </w:pPr>
      <w:r>
        <w:rPr>
          <w:rFonts w:hint="eastAsia" w:cs="宋体"/>
          <w:sz w:val="25"/>
          <w:szCs w:val="25"/>
          <w:lang w:eastAsia="zh-CN"/>
        </w:rPr>
        <w:t>（</w:t>
      </w:r>
      <w:r>
        <w:rPr>
          <w:rFonts w:hint="eastAsia" w:ascii="Times New Roman" w:hAnsi="Times New Roman" w:eastAsia="宋体" w:cs="宋体"/>
          <w:spacing w:val="24"/>
          <w:sz w:val="25"/>
          <w:szCs w:val="25"/>
          <w:lang w:val="en-US" w:eastAsia="zh-CN"/>
        </w:rPr>
        <w:t>2022</w:t>
      </w:r>
      <w:r>
        <w:rPr>
          <w:rFonts w:ascii="Times New Roman" w:hAnsi="Times New Roman" w:eastAsia="宋体" w:cs="宋体"/>
          <w:spacing w:val="-16"/>
          <w:sz w:val="25"/>
          <w:szCs w:val="25"/>
        </w:rPr>
        <w:t>年度</w:t>
      </w:r>
      <w:r>
        <w:rPr>
          <w:rFonts w:hint="eastAsia" w:cs="宋体"/>
          <w:sz w:val="25"/>
          <w:szCs w:val="25"/>
          <w:lang w:eastAsia="zh-CN"/>
        </w:rPr>
        <w:t>）</w:t>
      </w:r>
    </w:p>
    <w:p w14:paraId="6312108F">
      <w:pPr>
        <w:spacing w:line="147" w:lineRule="exact"/>
        <w:rPr>
          <w:rFonts w:ascii="Times New Roman" w:hAnsi="Times New Roman"/>
        </w:rPr>
      </w:pPr>
    </w:p>
    <w:tbl>
      <w:tblPr>
        <w:tblStyle w:val="39"/>
        <w:tblW w:w="969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840"/>
        <w:gridCol w:w="1350"/>
        <w:gridCol w:w="1005"/>
        <w:gridCol w:w="1560"/>
        <w:gridCol w:w="1155"/>
        <w:gridCol w:w="1350"/>
        <w:gridCol w:w="1770"/>
      </w:tblGrid>
      <w:tr w14:paraId="40E79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506" w:type="dxa"/>
            <w:gridSpan w:val="2"/>
            <w:vAlign w:val="top"/>
          </w:tcPr>
          <w:p w14:paraId="73622A0C">
            <w:pPr>
              <w:spacing w:before="92" w:line="219" w:lineRule="auto"/>
              <w:ind w:left="434"/>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主管部门</w:t>
            </w:r>
          </w:p>
        </w:tc>
        <w:tc>
          <w:tcPr>
            <w:tcW w:w="3915" w:type="dxa"/>
            <w:gridSpan w:val="3"/>
            <w:vAlign w:val="top"/>
          </w:tcPr>
          <w:p w14:paraId="7F0BF542">
            <w:pPr>
              <w:spacing w:line="36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5"/>
                <w:sz w:val="21"/>
                <w:szCs w:val="21"/>
                <w:lang w:eastAsia="zh-CN"/>
              </w:rPr>
              <w:t>昭化区磨滩镇人民政府</w:t>
            </w:r>
          </w:p>
        </w:tc>
        <w:tc>
          <w:tcPr>
            <w:tcW w:w="1155" w:type="dxa"/>
            <w:vAlign w:val="top"/>
          </w:tcPr>
          <w:p w14:paraId="5F78AE1E">
            <w:pPr>
              <w:spacing w:before="93"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实施单位</w:t>
            </w:r>
          </w:p>
        </w:tc>
        <w:tc>
          <w:tcPr>
            <w:tcW w:w="3120" w:type="dxa"/>
            <w:gridSpan w:val="2"/>
            <w:vAlign w:val="top"/>
          </w:tcPr>
          <w:p w14:paraId="2471F77A">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lang w:eastAsia="zh-CN"/>
              </w:rPr>
              <w:t>昭化区磨滩镇人民政府</w:t>
            </w:r>
          </w:p>
        </w:tc>
      </w:tr>
      <w:tr w14:paraId="20805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6" w:type="dxa"/>
            <w:gridSpan w:val="2"/>
            <w:vMerge w:val="restart"/>
            <w:tcBorders>
              <w:bottom w:val="nil"/>
            </w:tcBorders>
            <w:vAlign w:val="top"/>
          </w:tcPr>
          <w:p w14:paraId="05301742">
            <w:pPr>
              <w:spacing w:line="246" w:lineRule="auto"/>
              <w:rPr>
                <w:rFonts w:hint="eastAsia" w:ascii="仿宋_GB2312" w:hAnsi="仿宋_GB2312" w:eastAsia="仿宋_GB2312" w:cs="仿宋_GB2312"/>
                <w:sz w:val="21"/>
                <w:szCs w:val="21"/>
              </w:rPr>
            </w:pPr>
          </w:p>
          <w:p w14:paraId="41DD5D9D">
            <w:pPr>
              <w:spacing w:line="246" w:lineRule="auto"/>
              <w:rPr>
                <w:rFonts w:hint="eastAsia" w:ascii="仿宋_GB2312" w:hAnsi="仿宋_GB2312" w:eastAsia="仿宋_GB2312" w:cs="仿宋_GB2312"/>
                <w:sz w:val="21"/>
                <w:szCs w:val="21"/>
              </w:rPr>
            </w:pPr>
          </w:p>
          <w:p w14:paraId="20DEB112">
            <w:pPr>
              <w:spacing w:line="246" w:lineRule="auto"/>
              <w:rPr>
                <w:rFonts w:hint="eastAsia" w:ascii="仿宋_GB2312" w:hAnsi="仿宋_GB2312" w:eastAsia="仿宋_GB2312" w:cs="仿宋_GB2312"/>
                <w:sz w:val="21"/>
                <w:szCs w:val="21"/>
              </w:rPr>
            </w:pPr>
          </w:p>
          <w:p w14:paraId="707E7792">
            <w:pPr>
              <w:spacing w:line="247" w:lineRule="auto"/>
              <w:rPr>
                <w:rFonts w:hint="eastAsia" w:ascii="仿宋_GB2312" w:hAnsi="仿宋_GB2312" w:eastAsia="仿宋_GB2312" w:cs="仿宋_GB2312"/>
                <w:sz w:val="21"/>
                <w:szCs w:val="21"/>
              </w:rPr>
            </w:pPr>
          </w:p>
          <w:p w14:paraId="3C64701F">
            <w:pPr>
              <w:spacing w:line="247" w:lineRule="auto"/>
              <w:rPr>
                <w:rFonts w:hint="eastAsia" w:ascii="仿宋_GB2312" w:hAnsi="仿宋_GB2312" w:eastAsia="仿宋_GB2312" w:cs="仿宋_GB2312"/>
                <w:sz w:val="21"/>
                <w:szCs w:val="21"/>
              </w:rPr>
            </w:pPr>
          </w:p>
          <w:p w14:paraId="46506319">
            <w:pPr>
              <w:spacing w:before="59" w:line="248" w:lineRule="auto"/>
              <w:ind w:right="277"/>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项目(政策)资金</w:t>
            </w:r>
            <w:r>
              <w:rPr>
                <w:rFonts w:hint="eastAsia" w:ascii="仿宋_GB2312" w:hAnsi="仿宋_GB2312" w:eastAsia="仿宋_GB2312" w:cs="仿宋_GB2312"/>
                <w:spacing w:val="9"/>
                <w:sz w:val="21"/>
                <w:szCs w:val="21"/>
              </w:rPr>
              <w:t>(万元)</w:t>
            </w:r>
          </w:p>
        </w:tc>
        <w:tc>
          <w:tcPr>
            <w:tcW w:w="2355" w:type="dxa"/>
            <w:gridSpan w:val="2"/>
            <w:vAlign w:val="top"/>
          </w:tcPr>
          <w:p w14:paraId="7DE6399D">
            <w:pPr>
              <w:rPr>
                <w:rFonts w:hint="eastAsia" w:ascii="仿宋_GB2312" w:hAnsi="仿宋_GB2312" w:eastAsia="仿宋_GB2312" w:cs="仿宋_GB2312"/>
                <w:sz w:val="21"/>
                <w:szCs w:val="21"/>
              </w:rPr>
            </w:pPr>
          </w:p>
        </w:tc>
        <w:tc>
          <w:tcPr>
            <w:tcW w:w="1560" w:type="dxa"/>
            <w:vAlign w:val="top"/>
          </w:tcPr>
          <w:p w14:paraId="278B3571">
            <w:pPr>
              <w:spacing w:before="8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年初预算数</w:t>
            </w:r>
          </w:p>
        </w:tc>
        <w:tc>
          <w:tcPr>
            <w:tcW w:w="1155" w:type="dxa"/>
            <w:vAlign w:val="top"/>
          </w:tcPr>
          <w:p w14:paraId="7C458112">
            <w:pPr>
              <w:spacing w:before="8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全年预算数</w:t>
            </w:r>
          </w:p>
        </w:tc>
        <w:tc>
          <w:tcPr>
            <w:tcW w:w="1350" w:type="dxa"/>
            <w:vAlign w:val="top"/>
          </w:tcPr>
          <w:p w14:paraId="0827E15D">
            <w:pPr>
              <w:spacing w:before="8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全年执行数</w:t>
            </w:r>
          </w:p>
        </w:tc>
        <w:tc>
          <w:tcPr>
            <w:tcW w:w="1770" w:type="dxa"/>
            <w:vAlign w:val="top"/>
          </w:tcPr>
          <w:p w14:paraId="0EF087C4">
            <w:pPr>
              <w:spacing w:before="8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6"/>
                <w:sz w:val="21"/>
                <w:szCs w:val="21"/>
              </w:rPr>
              <w:t>执行率(%)</w:t>
            </w:r>
          </w:p>
        </w:tc>
      </w:tr>
      <w:tr w14:paraId="7661C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6" w:type="dxa"/>
            <w:gridSpan w:val="2"/>
            <w:vMerge w:val="continue"/>
            <w:tcBorders>
              <w:top w:val="nil"/>
              <w:bottom w:val="nil"/>
            </w:tcBorders>
            <w:vAlign w:val="top"/>
          </w:tcPr>
          <w:p w14:paraId="4D27E573">
            <w:pPr>
              <w:rPr>
                <w:rFonts w:hint="eastAsia" w:ascii="仿宋_GB2312" w:hAnsi="仿宋_GB2312" w:eastAsia="仿宋_GB2312" w:cs="仿宋_GB2312"/>
                <w:sz w:val="21"/>
                <w:szCs w:val="21"/>
              </w:rPr>
            </w:pPr>
          </w:p>
        </w:tc>
        <w:tc>
          <w:tcPr>
            <w:tcW w:w="2355" w:type="dxa"/>
            <w:gridSpan w:val="2"/>
            <w:vAlign w:val="top"/>
          </w:tcPr>
          <w:p w14:paraId="5B3989FD">
            <w:pPr>
              <w:spacing w:before="88" w:line="219"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年度资金总额</w:t>
            </w:r>
          </w:p>
        </w:tc>
        <w:tc>
          <w:tcPr>
            <w:tcW w:w="1560" w:type="dxa"/>
            <w:vAlign w:val="top"/>
          </w:tcPr>
          <w:p w14:paraId="036D11E7">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1134.84</w:t>
            </w:r>
          </w:p>
        </w:tc>
        <w:tc>
          <w:tcPr>
            <w:tcW w:w="1155" w:type="dxa"/>
            <w:vAlign w:val="top"/>
          </w:tcPr>
          <w:p w14:paraId="7895EDBE">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1155.99</w:t>
            </w:r>
          </w:p>
        </w:tc>
        <w:tc>
          <w:tcPr>
            <w:tcW w:w="1350" w:type="dxa"/>
            <w:vAlign w:val="top"/>
          </w:tcPr>
          <w:p w14:paraId="2F309C9B">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1155.99</w:t>
            </w:r>
          </w:p>
        </w:tc>
        <w:tc>
          <w:tcPr>
            <w:tcW w:w="1770" w:type="dxa"/>
            <w:vAlign w:val="top"/>
          </w:tcPr>
          <w:p w14:paraId="6FBCB85B">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100%</w:t>
            </w:r>
          </w:p>
        </w:tc>
      </w:tr>
      <w:tr w14:paraId="09CD6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6" w:type="dxa"/>
            <w:gridSpan w:val="2"/>
            <w:vMerge w:val="continue"/>
            <w:tcBorders>
              <w:top w:val="nil"/>
              <w:bottom w:val="nil"/>
            </w:tcBorders>
            <w:vAlign w:val="top"/>
          </w:tcPr>
          <w:p w14:paraId="1AB12C05">
            <w:pPr>
              <w:rPr>
                <w:rFonts w:hint="eastAsia" w:ascii="仿宋_GB2312" w:hAnsi="仿宋_GB2312" w:eastAsia="仿宋_GB2312" w:cs="仿宋_GB2312"/>
                <w:sz w:val="21"/>
                <w:szCs w:val="21"/>
              </w:rPr>
            </w:pPr>
          </w:p>
        </w:tc>
        <w:tc>
          <w:tcPr>
            <w:tcW w:w="2355" w:type="dxa"/>
            <w:gridSpan w:val="2"/>
            <w:vAlign w:val="top"/>
          </w:tcPr>
          <w:p w14:paraId="0EA30A61">
            <w:pPr>
              <w:spacing w:before="89" w:line="219"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(一)财政拨款小计</w:t>
            </w:r>
          </w:p>
        </w:tc>
        <w:tc>
          <w:tcPr>
            <w:tcW w:w="1560" w:type="dxa"/>
            <w:vAlign w:val="top"/>
          </w:tcPr>
          <w:p w14:paraId="2D8DE63D">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1134.84</w:t>
            </w:r>
          </w:p>
        </w:tc>
        <w:tc>
          <w:tcPr>
            <w:tcW w:w="1155" w:type="dxa"/>
            <w:vAlign w:val="top"/>
          </w:tcPr>
          <w:p w14:paraId="2062D241">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1155.99</w:t>
            </w:r>
          </w:p>
        </w:tc>
        <w:tc>
          <w:tcPr>
            <w:tcW w:w="1350" w:type="dxa"/>
            <w:vAlign w:val="top"/>
          </w:tcPr>
          <w:p w14:paraId="558CD99B">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1155.99</w:t>
            </w:r>
          </w:p>
        </w:tc>
        <w:tc>
          <w:tcPr>
            <w:tcW w:w="1770" w:type="dxa"/>
            <w:vAlign w:val="top"/>
          </w:tcPr>
          <w:p w14:paraId="0903BA43">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100%</w:t>
            </w:r>
          </w:p>
        </w:tc>
      </w:tr>
      <w:tr w14:paraId="0F261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506" w:type="dxa"/>
            <w:gridSpan w:val="2"/>
            <w:vMerge w:val="continue"/>
            <w:tcBorders>
              <w:top w:val="nil"/>
              <w:bottom w:val="nil"/>
            </w:tcBorders>
            <w:vAlign w:val="top"/>
          </w:tcPr>
          <w:p w14:paraId="4E66DE59">
            <w:pPr>
              <w:rPr>
                <w:rFonts w:hint="eastAsia" w:ascii="仿宋_GB2312" w:hAnsi="仿宋_GB2312" w:eastAsia="仿宋_GB2312" w:cs="仿宋_GB2312"/>
                <w:sz w:val="21"/>
                <w:szCs w:val="21"/>
              </w:rPr>
            </w:pPr>
          </w:p>
        </w:tc>
        <w:tc>
          <w:tcPr>
            <w:tcW w:w="2355" w:type="dxa"/>
            <w:gridSpan w:val="2"/>
            <w:vAlign w:val="top"/>
          </w:tcPr>
          <w:p w14:paraId="2ECB04A7">
            <w:pPr>
              <w:spacing w:before="90" w:line="219"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1.一般公共预算</w:t>
            </w:r>
          </w:p>
        </w:tc>
        <w:tc>
          <w:tcPr>
            <w:tcW w:w="1560" w:type="dxa"/>
            <w:vAlign w:val="top"/>
          </w:tcPr>
          <w:p w14:paraId="2E687139">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1134.84</w:t>
            </w:r>
          </w:p>
        </w:tc>
        <w:tc>
          <w:tcPr>
            <w:tcW w:w="1155" w:type="dxa"/>
            <w:vAlign w:val="top"/>
          </w:tcPr>
          <w:p w14:paraId="604F6104">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1149.49</w:t>
            </w:r>
          </w:p>
        </w:tc>
        <w:tc>
          <w:tcPr>
            <w:tcW w:w="1350" w:type="dxa"/>
            <w:vAlign w:val="top"/>
          </w:tcPr>
          <w:p w14:paraId="27E629AD">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1149.49</w:t>
            </w:r>
          </w:p>
        </w:tc>
        <w:tc>
          <w:tcPr>
            <w:tcW w:w="1770" w:type="dxa"/>
            <w:vAlign w:val="top"/>
          </w:tcPr>
          <w:p w14:paraId="3BD4FFB2">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100%</w:t>
            </w:r>
          </w:p>
        </w:tc>
      </w:tr>
      <w:tr w14:paraId="2BE41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506" w:type="dxa"/>
            <w:gridSpan w:val="2"/>
            <w:vMerge w:val="continue"/>
            <w:tcBorders>
              <w:top w:val="nil"/>
              <w:bottom w:val="nil"/>
            </w:tcBorders>
            <w:vAlign w:val="top"/>
          </w:tcPr>
          <w:p w14:paraId="59EEE8CD">
            <w:pPr>
              <w:rPr>
                <w:rFonts w:hint="eastAsia" w:ascii="仿宋_GB2312" w:hAnsi="仿宋_GB2312" w:eastAsia="仿宋_GB2312" w:cs="仿宋_GB2312"/>
                <w:sz w:val="21"/>
                <w:szCs w:val="21"/>
              </w:rPr>
            </w:pPr>
          </w:p>
        </w:tc>
        <w:tc>
          <w:tcPr>
            <w:tcW w:w="2355" w:type="dxa"/>
            <w:gridSpan w:val="2"/>
            <w:vAlign w:val="top"/>
          </w:tcPr>
          <w:p w14:paraId="6F797B96">
            <w:pPr>
              <w:spacing w:before="99" w:line="219"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2.政府性基金</w:t>
            </w:r>
          </w:p>
        </w:tc>
        <w:tc>
          <w:tcPr>
            <w:tcW w:w="1560" w:type="dxa"/>
            <w:vAlign w:val="top"/>
          </w:tcPr>
          <w:p w14:paraId="077FFCE8">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0</w:t>
            </w:r>
          </w:p>
        </w:tc>
        <w:tc>
          <w:tcPr>
            <w:tcW w:w="1155" w:type="dxa"/>
            <w:vAlign w:val="top"/>
          </w:tcPr>
          <w:p w14:paraId="5C18AB8B">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6.5</w:t>
            </w:r>
          </w:p>
        </w:tc>
        <w:tc>
          <w:tcPr>
            <w:tcW w:w="1350" w:type="dxa"/>
            <w:vAlign w:val="top"/>
          </w:tcPr>
          <w:p w14:paraId="146FB18B">
            <w:pPr>
              <w:spacing w:before="90" w:line="219" w:lineRule="auto"/>
              <w:ind w:left="162" w:leftChars="0"/>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6.5</w:t>
            </w:r>
          </w:p>
        </w:tc>
        <w:tc>
          <w:tcPr>
            <w:tcW w:w="1770" w:type="dxa"/>
            <w:vAlign w:val="top"/>
          </w:tcPr>
          <w:p w14:paraId="3144B5F3">
            <w:pPr>
              <w:spacing w:before="90" w:line="219" w:lineRule="auto"/>
              <w:ind w:left="162"/>
              <w:jc w:val="center"/>
              <w:rPr>
                <w:rFonts w:hint="eastAsia" w:ascii="仿宋_GB2312" w:hAnsi="仿宋_GB2312" w:eastAsia="仿宋_GB2312" w:cs="仿宋_GB2312"/>
                <w:spacing w:val="1"/>
                <w:sz w:val="21"/>
                <w:szCs w:val="21"/>
                <w:highlight w:val="none"/>
                <w:lang w:val="en-US" w:eastAsia="zh-CN"/>
              </w:rPr>
            </w:pPr>
            <w:r>
              <w:rPr>
                <w:rFonts w:hint="eastAsia" w:ascii="仿宋_GB2312" w:hAnsi="仿宋_GB2312" w:eastAsia="仿宋_GB2312" w:cs="仿宋_GB2312"/>
                <w:spacing w:val="1"/>
                <w:sz w:val="21"/>
                <w:szCs w:val="21"/>
                <w:highlight w:val="none"/>
                <w:lang w:val="en-US" w:eastAsia="zh-CN"/>
              </w:rPr>
              <w:t>100%</w:t>
            </w:r>
          </w:p>
        </w:tc>
      </w:tr>
      <w:tr w14:paraId="71182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06" w:type="dxa"/>
            <w:gridSpan w:val="2"/>
            <w:vMerge w:val="continue"/>
            <w:tcBorders>
              <w:top w:val="nil"/>
              <w:bottom w:val="nil"/>
            </w:tcBorders>
            <w:vAlign w:val="top"/>
          </w:tcPr>
          <w:p w14:paraId="113A074B">
            <w:pPr>
              <w:rPr>
                <w:rFonts w:hint="eastAsia" w:ascii="仿宋_GB2312" w:hAnsi="仿宋_GB2312" w:eastAsia="仿宋_GB2312" w:cs="仿宋_GB2312"/>
                <w:sz w:val="21"/>
                <w:szCs w:val="21"/>
              </w:rPr>
            </w:pPr>
          </w:p>
        </w:tc>
        <w:tc>
          <w:tcPr>
            <w:tcW w:w="2355" w:type="dxa"/>
            <w:gridSpan w:val="2"/>
            <w:vAlign w:val="top"/>
          </w:tcPr>
          <w:p w14:paraId="0E753BF0">
            <w:pPr>
              <w:spacing w:before="129" w:line="219"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3.国有资本经营预算</w:t>
            </w:r>
          </w:p>
        </w:tc>
        <w:tc>
          <w:tcPr>
            <w:tcW w:w="1560" w:type="dxa"/>
            <w:vAlign w:val="top"/>
          </w:tcPr>
          <w:p w14:paraId="7F8BA86B">
            <w:pPr>
              <w:rPr>
                <w:rFonts w:hint="eastAsia" w:ascii="仿宋_GB2312" w:hAnsi="仿宋_GB2312" w:eastAsia="仿宋_GB2312" w:cs="仿宋_GB2312"/>
                <w:sz w:val="21"/>
                <w:szCs w:val="21"/>
                <w:highlight w:val="none"/>
              </w:rPr>
            </w:pPr>
          </w:p>
        </w:tc>
        <w:tc>
          <w:tcPr>
            <w:tcW w:w="1155" w:type="dxa"/>
            <w:vAlign w:val="top"/>
          </w:tcPr>
          <w:p w14:paraId="11778742">
            <w:pPr>
              <w:rPr>
                <w:rFonts w:hint="eastAsia" w:ascii="仿宋_GB2312" w:hAnsi="仿宋_GB2312" w:eastAsia="仿宋_GB2312" w:cs="仿宋_GB2312"/>
                <w:sz w:val="21"/>
                <w:szCs w:val="21"/>
                <w:highlight w:val="none"/>
              </w:rPr>
            </w:pPr>
          </w:p>
        </w:tc>
        <w:tc>
          <w:tcPr>
            <w:tcW w:w="1350" w:type="dxa"/>
            <w:vAlign w:val="top"/>
          </w:tcPr>
          <w:p w14:paraId="018082EC">
            <w:pPr>
              <w:rPr>
                <w:rFonts w:hint="eastAsia" w:ascii="仿宋_GB2312" w:hAnsi="仿宋_GB2312" w:eastAsia="仿宋_GB2312" w:cs="仿宋_GB2312"/>
                <w:sz w:val="21"/>
                <w:szCs w:val="21"/>
                <w:highlight w:val="none"/>
              </w:rPr>
            </w:pPr>
          </w:p>
        </w:tc>
        <w:tc>
          <w:tcPr>
            <w:tcW w:w="1770" w:type="dxa"/>
            <w:vAlign w:val="top"/>
          </w:tcPr>
          <w:p w14:paraId="2B082245">
            <w:pPr>
              <w:spacing w:before="90" w:line="219" w:lineRule="auto"/>
              <w:ind w:left="162"/>
              <w:jc w:val="center"/>
              <w:rPr>
                <w:rFonts w:hint="eastAsia" w:ascii="仿宋_GB2312" w:hAnsi="仿宋_GB2312" w:eastAsia="仿宋_GB2312" w:cs="仿宋_GB2312"/>
                <w:sz w:val="21"/>
                <w:szCs w:val="21"/>
                <w:highlight w:val="none"/>
              </w:rPr>
            </w:pPr>
          </w:p>
        </w:tc>
      </w:tr>
      <w:tr w14:paraId="1C7A8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6" w:type="dxa"/>
            <w:gridSpan w:val="2"/>
            <w:vMerge w:val="continue"/>
            <w:tcBorders>
              <w:top w:val="nil"/>
              <w:bottom w:val="nil"/>
            </w:tcBorders>
            <w:vAlign w:val="top"/>
          </w:tcPr>
          <w:p w14:paraId="19A2BEF9">
            <w:pPr>
              <w:rPr>
                <w:rFonts w:hint="eastAsia" w:ascii="仿宋_GB2312" w:hAnsi="仿宋_GB2312" w:eastAsia="仿宋_GB2312" w:cs="仿宋_GB2312"/>
                <w:sz w:val="21"/>
                <w:szCs w:val="21"/>
              </w:rPr>
            </w:pPr>
          </w:p>
        </w:tc>
        <w:tc>
          <w:tcPr>
            <w:tcW w:w="2355" w:type="dxa"/>
            <w:gridSpan w:val="2"/>
            <w:vAlign w:val="top"/>
          </w:tcPr>
          <w:p w14:paraId="70C2AEF0">
            <w:pPr>
              <w:spacing w:before="91" w:line="219"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4.社保基金</w:t>
            </w:r>
          </w:p>
        </w:tc>
        <w:tc>
          <w:tcPr>
            <w:tcW w:w="1560" w:type="dxa"/>
            <w:vAlign w:val="top"/>
          </w:tcPr>
          <w:p w14:paraId="0F454757">
            <w:pPr>
              <w:rPr>
                <w:rFonts w:hint="eastAsia" w:ascii="仿宋_GB2312" w:hAnsi="仿宋_GB2312" w:eastAsia="仿宋_GB2312" w:cs="仿宋_GB2312"/>
                <w:sz w:val="21"/>
                <w:szCs w:val="21"/>
                <w:highlight w:val="none"/>
              </w:rPr>
            </w:pPr>
          </w:p>
        </w:tc>
        <w:tc>
          <w:tcPr>
            <w:tcW w:w="1155" w:type="dxa"/>
            <w:vAlign w:val="top"/>
          </w:tcPr>
          <w:p w14:paraId="2D00239B">
            <w:pPr>
              <w:rPr>
                <w:rFonts w:hint="eastAsia" w:ascii="仿宋_GB2312" w:hAnsi="仿宋_GB2312" w:eastAsia="仿宋_GB2312" w:cs="仿宋_GB2312"/>
                <w:sz w:val="21"/>
                <w:szCs w:val="21"/>
                <w:highlight w:val="none"/>
              </w:rPr>
            </w:pPr>
          </w:p>
        </w:tc>
        <w:tc>
          <w:tcPr>
            <w:tcW w:w="1350" w:type="dxa"/>
            <w:vAlign w:val="top"/>
          </w:tcPr>
          <w:p w14:paraId="41EFAFF5">
            <w:pPr>
              <w:rPr>
                <w:rFonts w:hint="eastAsia" w:ascii="仿宋_GB2312" w:hAnsi="仿宋_GB2312" w:eastAsia="仿宋_GB2312" w:cs="仿宋_GB2312"/>
                <w:sz w:val="21"/>
                <w:szCs w:val="21"/>
                <w:highlight w:val="none"/>
              </w:rPr>
            </w:pPr>
          </w:p>
        </w:tc>
        <w:tc>
          <w:tcPr>
            <w:tcW w:w="1770" w:type="dxa"/>
            <w:vAlign w:val="top"/>
          </w:tcPr>
          <w:p w14:paraId="3CBDCA5D">
            <w:pPr>
              <w:rPr>
                <w:rFonts w:hint="eastAsia" w:ascii="仿宋_GB2312" w:hAnsi="仿宋_GB2312" w:eastAsia="仿宋_GB2312" w:cs="仿宋_GB2312"/>
                <w:sz w:val="21"/>
                <w:szCs w:val="21"/>
                <w:highlight w:val="none"/>
              </w:rPr>
            </w:pPr>
          </w:p>
        </w:tc>
      </w:tr>
      <w:tr w14:paraId="01D79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06" w:type="dxa"/>
            <w:gridSpan w:val="2"/>
            <w:vMerge w:val="continue"/>
            <w:tcBorders>
              <w:top w:val="nil"/>
            </w:tcBorders>
            <w:vAlign w:val="top"/>
          </w:tcPr>
          <w:p w14:paraId="641A154A">
            <w:pPr>
              <w:rPr>
                <w:rFonts w:hint="eastAsia" w:ascii="仿宋_GB2312" w:hAnsi="仿宋_GB2312" w:eastAsia="仿宋_GB2312" w:cs="仿宋_GB2312"/>
                <w:sz w:val="21"/>
                <w:szCs w:val="21"/>
              </w:rPr>
            </w:pPr>
          </w:p>
        </w:tc>
        <w:tc>
          <w:tcPr>
            <w:tcW w:w="2355" w:type="dxa"/>
            <w:gridSpan w:val="2"/>
            <w:vAlign w:val="top"/>
          </w:tcPr>
          <w:p w14:paraId="7A47B9B1">
            <w:pPr>
              <w:spacing w:before="93" w:line="220" w:lineRule="auto"/>
              <w:ind w:left="162"/>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(二)其他资金</w:t>
            </w:r>
          </w:p>
        </w:tc>
        <w:tc>
          <w:tcPr>
            <w:tcW w:w="1560" w:type="dxa"/>
            <w:vAlign w:val="top"/>
          </w:tcPr>
          <w:p w14:paraId="3C41F0CA">
            <w:pPr>
              <w:jc w:val="center"/>
              <w:rPr>
                <w:rFonts w:hint="eastAsia" w:ascii="仿宋_GB2312" w:hAnsi="仿宋_GB2312" w:eastAsia="仿宋_GB2312" w:cs="仿宋_GB2312"/>
                <w:sz w:val="21"/>
                <w:szCs w:val="21"/>
                <w:highlight w:val="none"/>
              </w:rPr>
            </w:pPr>
          </w:p>
        </w:tc>
        <w:tc>
          <w:tcPr>
            <w:tcW w:w="1155" w:type="dxa"/>
            <w:vAlign w:val="top"/>
          </w:tcPr>
          <w:p w14:paraId="37005A44">
            <w:pPr>
              <w:jc w:val="center"/>
              <w:rPr>
                <w:rFonts w:hint="eastAsia" w:ascii="仿宋_GB2312" w:hAnsi="仿宋_GB2312" w:eastAsia="仿宋_GB2312" w:cs="仿宋_GB2312"/>
                <w:sz w:val="21"/>
                <w:szCs w:val="21"/>
                <w:highlight w:val="none"/>
              </w:rPr>
            </w:pPr>
          </w:p>
        </w:tc>
        <w:tc>
          <w:tcPr>
            <w:tcW w:w="1350" w:type="dxa"/>
            <w:vAlign w:val="top"/>
          </w:tcPr>
          <w:p w14:paraId="61015B64">
            <w:pPr>
              <w:jc w:val="center"/>
              <w:rPr>
                <w:rFonts w:hint="eastAsia" w:ascii="仿宋_GB2312" w:hAnsi="仿宋_GB2312" w:eastAsia="仿宋_GB2312" w:cs="仿宋_GB2312"/>
                <w:sz w:val="21"/>
                <w:szCs w:val="21"/>
                <w:highlight w:val="none"/>
              </w:rPr>
            </w:pPr>
          </w:p>
        </w:tc>
        <w:tc>
          <w:tcPr>
            <w:tcW w:w="1770" w:type="dxa"/>
            <w:vAlign w:val="top"/>
          </w:tcPr>
          <w:p w14:paraId="2FCCE339">
            <w:pPr>
              <w:jc w:val="center"/>
              <w:rPr>
                <w:rFonts w:hint="eastAsia" w:ascii="仿宋_GB2312" w:hAnsi="仿宋_GB2312" w:eastAsia="仿宋_GB2312" w:cs="仿宋_GB2312"/>
                <w:sz w:val="21"/>
                <w:szCs w:val="21"/>
                <w:highlight w:val="none"/>
                <w:lang w:val="en-US" w:eastAsia="zh-CN"/>
              </w:rPr>
            </w:pPr>
          </w:p>
        </w:tc>
      </w:tr>
      <w:tr w14:paraId="298D2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66" w:type="dxa"/>
            <w:vMerge w:val="restart"/>
            <w:tcBorders>
              <w:bottom w:val="nil"/>
            </w:tcBorders>
            <w:vAlign w:val="top"/>
          </w:tcPr>
          <w:p w14:paraId="5F34DA88">
            <w:pPr>
              <w:spacing w:line="423" w:lineRule="auto"/>
              <w:rPr>
                <w:rFonts w:hint="eastAsia" w:ascii="仿宋_GB2312" w:hAnsi="仿宋_GB2312" w:eastAsia="仿宋_GB2312" w:cs="仿宋_GB2312"/>
                <w:sz w:val="21"/>
                <w:szCs w:val="21"/>
              </w:rPr>
            </w:pPr>
          </w:p>
          <w:p w14:paraId="00A65EA1">
            <w:pPr>
              <w:spacing w:before="59" w:line="235" w:lineRule="auto"/>
              <w:ind w:left="204"/>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整体</w:t>
            </w:r>
          </w:p>
          <w:p w14:paraId="476F1D0E">
            <w:pPr>
              <w:spacing w:line="220" w:lineRule="auto"/>
              <w:ind w:left="204"/>
              <w:rPr>
                <w:rFonts w:hint="eastAsia" w:ascii="仿宋_GB2312" w:hAnsi="仿宋_GB2312" w:eastAsia="仿宋_GB2312" w:cs="仿宋_GB2312"/>
                <w:sz w:val="21"/>
                <w:szCs w:val="21"/>
              </w:rPr>
            </w:pPr>
            <w:r>
              <w:rPr>
                <w:rFonts w:hint="eastAsia" w:ascii="仿宋_GB2312" w:hAnsi="仿宋_GB2312" w:eastAsia="仿宋_GB2312" w:cs="仿宋_GB2312"/>
                <w:spacing w:val="7"/>
                <w:sz w:val="21"/>
                <w:szCs w:val="21"/>
              </w:rPr>
              <w:t>目标</w:t>
            </w:r>
          </w:p>
        </w:tc>
        <w:tc>
          <w:tcPr>
            <w:tcW w:w="5910" w:type="dxa"/>
            <w:gridSpan w:val="5"/>
            <w:vAlign w:val="top"/>
          </w:tcPr>
          <w:p w14:paraId="270FBE09">
            <w:pPr>
              <w:spacing w:before="223" w:line="219" w:lineRule="auto"/>
              <w:ind w:left="250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年度目标</w:t>
            </w:r>
          </w:p>
        </w:tc>
        <w:tc>
          <w:tcPr>
            <w:tcW w:w="3120" w:type="dxa"/>
            <w:gridSpan w:val="2"/>
            <w:vAlign w:val="top"/>
          </w:tcPr>
          <w:p w14:paraId="1B7A90AB">
            <w:pPr>
              <w:spacing w:before="223" w:line="219" w:lineRule="auto"/>
              <w:ind w:left="996"/>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完成情况</w:t>
            </w:r>
          </w:p>
        </w:tc>
      </w:tr>
      <w:tr w14:paraId="367AF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666" w:type="dxa"/>
            <w:vMerge w:val="continue"/>
            <w:tcBorders>
              <w:top w:val="nil"/>
            </w:tcBorders>
            <w:vAlign w:val="top"/>
          </w:tcPr>
          <w:p w14:paraId="074D8FF5">
            <w:pPr>
              <w:rPr>
                <w:rFonts w:hint="eastAsia" w:ascii="仿宋_GB2312" w:hAnsi="仿宋_GB2312" w:eastAsia="仿宋_GB2312" w:cs="仿宋_GB2312"/>
                <w:sz w:val="21"/>
                <w:szCs w:val="21"/>
              </w:rPr>
            </w:pPr>
          </w:p>
        </w:tc>
        <w:tc>
          <w:tcPr>
            <w:tcW w:w="5910" w:type="dxa"/>
            <w:gridSpan w:val="5"/>
            <w:vAlign w:val="top"/>
          </w:tcPr>
          <w:p w14:paraId="68AD4BD7">
            <w:pPr>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i w:val="0"/>
                <w:caps w:val="0"/>
                <w:color w:val="000000"/>
                <w:spacing w:val="0"/>
                <w:sz w:val="21"/>
                <w:szCs w:val="21"/>
                <w:shd w:val="clear" w:fill="FFFFFF"/>
              </w:rPr>
              <w:t>深入学习贯彻党的十九届六中全会精神，全面落实区、镇第八次党代会精神，紧紧围绕区委“四城新区”建设，围绕“两翼两带一片”总体布局和“四横五纵”交通网建设，聚焦产业发展、两项改革“后半篇”文章、招商引资、基层治理、民生改善、从严治党等重点工作，推动磨滩镇工作再上新台阶。一是完成区级各项目标任务；二是保障在职干部、临聘人员、退休干部、村（社区）干部的工资、保险、目标奖、生活补助和日常正常运转；三是做好基层组织活动和公共运行维护工作；四是做好烤烟生产发展工作；六是做好预备役征兵保障工作；七是做好农村税费改革农村税收工作；八是做好场镇环境卫生、路灯管理、人大等相关工作。服务对象覆盖镇域内所有村社区，群众满意度达到95%以上。</w:t>
            </w:r>
          </w:p>
        </w:tc>
        <w:tc>
          <w:tcPr>
            <w:tcW w:w="3120" w:type="dxa"/>
            <w:gridSpan w:val="2"/>
            <w:vAlign w:val="top"/>
          </w:tcPr>
          <w:p w14:paraId="13BB1002">
            <w:pPr>
              <w:ind w:firstLine="420" w:firstLineChars="200"/>
              <w:rPr>
                <w:rFonts w:hint="eastAsia" w:ascii="仿宋_GB2312" w:hAnsi="仿宋_GB2312" w:eastAsia="仿宋_GB2312" w:cs="仿宋_GB2312"/>
                <w:sz w:val="21"/>
                <w:szCs w:val="21"/>
                <w:lang w:eastAsia="zh-CN"/>
              </w:rPr>
            </w:pPr>
            <w:r>
              <w:rPr>
                <w:rFonts w:hint="eastAsia" w:ascii="仿宋_GB2312" w:hAnsi="仿宋_GB2312" w:eastAsia="仿宋_GB2312" w:cs="仿宋_GB2312"/>
                <w:i w:val="0"/>
                <w:caps w:val="0"/>
                <w:color w:val="000000"/>
                <w:spacing w:val="0"/>
                <w:sz w:val="21"/>
                <w:szCs w:val="21"/>
                <w:shd w:val="clear" w:fill="FFFFFF"/>
              </w:rPr>
              <w:t>完成区级各项目标任务；保障在职干部、临聘人员、退休干部、村（社区）干部的工资、保险、目标奖、生活补助和日常正常运转；做好</w:t>
            </w:r>
            <w:r>
              <w:rPr>
                <w:rFonts w:hint="eastAsia" w:ascii="仿宋_GB2312" w:hAnsi="仿宋_GB2312" w:eastAsia="仿宋_GB2312" w:cs="仿宋_GB2312"/>
                <w:i w:val="0"/>
                <w:caps w:val="0"/>
                <w:color w:val="000000"/>
                <w:spacing w:val="0"/>
                <w:sz w:val="21"/>
                <w:szCs w:val="21"/>
                <w:shd w:val="clear" w:fill="FFFFFF"/>
                <w:lang w:eastAsia="zh-CN"/>
              </w:rPr>
              <w:t>了</w:t>
            </w:r>
            <w:r>
              <w:rPr>
                <w:rFonts w:hint="eastAsia" w:ascii="仿宋_GB2312" w:hAnsi="仿宋_GB2312" w:eastAsia="仿宋_GB2312" w:cs="仿宋_GB2312"/>
                <w:i w:val="0"/>
                <w:caps w:val="0"/>
                <w:color w:val="000000"/>
                <w:spacing w:val="0"/>
                <w:sz w:val="21"/>
                <w:szCs w:val="21"/>
                <w:shd w:val="clear" w:fill="FFFFFF"/>
              </w:rPr>
              <w:t>基层组织活动和公共运行维护工作</w:t>
            </w:r>
            <w:r>
              <w:rPr>
                <w:rFonts w:hint="eastAsia" w:ascii="仿宋_GB2312" w:hAnsi="仿宋_GB2312" w:eastAsia="仿宋_GB2312" w:cs="仿宋_GB2312"/>
                <w:i w:val="0"/>
                <w:caps w:val="0"/>
                <w:color w:val="000000"/>
                <w:spacing w:val="0"/>
                <w:sz w:val="21"/>
                <w:szCs w:val="21"/>
                <w:shd w:val="clear" w:fill="FFFFFF"/>
                <w:lang w:eastAsia="zh-CN"/>
              </w:rPr>
              <w:t>、</w:t>
            </w:r>
            <w:r>
              <w:rPr>
                <w:rFonts w:hint="eastAsia" w:ascii="仿宋_GB2312" w:hAnsi="仿宋_GB2312" w:eastAsia="仿宋_GB2312" w:cs="仿宋_GB2312"/>
                <w:i w:val="0"/>
                <w:caps w:val="0"/>
                <w:color w:val="000000"/>
                <w:spacing w:val="0"/>
                <w:sz w:val="21"/>
                <w:szCs w:val="21"/>
                <w:shd w:val="clear" w:fill="FFFFFF"/>
              </w:rPr>
              <w:t>农业生产发展工作</w:t>
            </w:r>
            <w:r>
              <w:rPr>
                <w:rFonts w:hint="eastAsia" w:ascii="仿宋_GB2312" w:hAnsi="仿宋_GB2312" w:eastAsia="仿宋_GB2312" w:cs="仿宋_GB2312"/>
                <w:i w:val="0"/>
                <w:caps w:val="0"/>
                <w:color w:val="000000"/>
                <w:spacing w:val="0"/>
                <w:sz w:val="21"/>
                <w:szCs w:val="21"/>
                <w:shd w:val="clear" w:fill="FFFFFF"/>
                <w:lang w:eastAsia="zh-CN"/>
              </w:rPr>
              <w:t>、</w:t>
            </w:r>
            <w:r>
              <w:rPr>
                <w:rFonts w:hint="eastAsia" w:ascii="仿宋_GB2312" w:hAnsi="仿宋_GB2312" w:eastAsia="仿宋_GB2312" w:cs="仿宋_GB2312"/>
                <w:i w:val="0"/>
                <w:caps w:val="0"/>
                <w:color w:val="000000"/>
                <w:spacing w:val="0"/>
                <w:sz w:val="21"/>
                <w:szCs w:val="21"/>
                <w:shd w:val="clear" w:fill="FFFFFF"/>
              </w:rPr>
              <w:t>旅游文化的保护和维修工作</w:t>
            </w:r>
            <w:r>
              <w:rPr>
                <w:rFonts w:hint="eastAsia" w:ascii="仿宋_GB2312" w:hAnsi="仿宋_GB2312" w:eastAsia="仿宋_GB2312" w:cs="仿宋_GB2312"/>
                <w:i w:val="0"/>
                <w:caps w:val="0"/>
                <w:color w:val="000000"/>
                <w:spacing w:val="0"/>
                <w:sz w:val="21"/>
                <w:szCs w:val="21"/>
                <w:shd w:val="clear" w:fill="FFFFFF"/>
                <w:lang w:eastAsia="zh-CN"/>
              </w:rPr>
              <w:t>、</w:t>
            </w:r>
            <w:r>
              <w:rPr>
                <w:rFonts w:hint="eastAsia" w:ascii="仿宋_GB2312" w:hAnsi="仿宋_GB2312" w:eastAsia="仿宋_GB2312" w:cs="仿宋_GB2312"/>
                <w:i w:val="0"/>
                <w:caps w:val="0"/>
                <w:color w:val="000000"/>
                <w:spacing w:val="0"/>
                <w:sz w:val="21"/>
                <w:szCs w:val="21"/>
                <w:shd w:val="clear" w:fill="FFFFFF"/>
              </w:rPr>
              <w:t>预备役征兵保障工作</w:t>
            </w:r>
            <w:r>
              <w:rPr>
                <w:rFonts w:hint="eastAsia" w:ascii="仿宋_GB2312" w:hAnsi="仿宋_GB2312" w:eastAsia="仿宋_GB2312" w:cs="仿宋_GB2312"/>
                <w:i w:val="0"/>
                <w:caps w:val="0"/>
                <w:color w:val="000000"/>
                <w:spacing w:val="0"/>
                <w:sz w:val="21"/>
                <w:szCs w:val="21"/>
                <w:shd w:val="clear" w:fill="FFFFFF"/>
                <w:lang w:eastAsia="zh-CN"/>
              </w:rPr>
              <w:t>、</w:t>
            </w:r>
            <w:r>
              <w:rPr>
                <w:rFonts w:hint="eastAsia" w:ascii="仿宋_GB2312" w:hAnsi="仿宋_GB2312" w:eastAsia="仿宋_GB2312" w:cs="仿宋_GB2312"/>
                <w:i w:val="0"/>
                <w:caps w:val="0"/>
                <w:color w:val="000000"/>
                <w:spacing w:val="0"/>
                <w:sz w:val="21"/>
                <w:szCs w:val="21"/>
                <w:shd w:val="clear" w:fill="FFFFFF"/>
              </w:rPr>
              <w:t>农村税费改革农村税收工作</w:t>
            </w:r>
            <w:r>
              <w:rPr>
                <w:rFonts w:hint="eastAsia" w:ascii="仿宋_GB2312" w:hAnsi="仿宋_GB2312" w:eastAsia="仿宋_GB2312" w:cs="仿宋_GB2312"/>
                <w:i w:val="0"/>
                <w:caps w:val="0"/>
                <w:color w:val="000000"/>
                <w:spacing w:val="0"/>
                <w:sz w:val="21"/>
                <w:szCs w:val="21"/>
                <w:shd w:val="clear" w:fill="FFFFFF"/>
                <w:lang w:eastAsia="zh-CN"/>
              </w:rPr>
              <w:t>、</w:t>
            </w:r>
            <w:r>
              <w:rPr>
                <w:rFonts w:hint="eastAsia" w:ascii="仿宋_GB2312" w:hAnsi="仿宋_GB2312" w:eastAsia="仿宋_GB2312" w:cs="仿宋_GB2312"/>
                <w:i w:val="0"/>
                <w:caps w:val="0"/>
                <w:color w:val="000000"/>
                <w:spacing w:val="0"/>
                <w:sz w:val="21"/>
                <w:szCs w:val="21"/>
                <w:shd w:val="clear" w:fill="FFFFFF"/>
              </w:rPr>
              <w:t>场镇环境卫生、路灯管理、人大等相关工作</w:t>
            </w:r>
            <w:r>
              <w:rPr>
                <w:rFonts w:hint="eastAsia" w:ascii="仿宋_GB2312" w:hAnsi="仿宋_GB2312" w:eastAsia="仿宋_GB2312" w:cs="仿宋_GB2312"/>
                <w:i w:val="0"/>
                <w:caps w:val="0"/>
                <w:color w:val="000000"/>
                <w:spacing w:val="0"/>
                <w:sz w:val="21"/>
                <w:szCs w:val="21"/>
                <w:shd w:val="clear" w:fill="FFFFFF"/>
                <w:lang w:eastAsia="zh-CN"/>
              </w:rPr>
              <w:t>。</w:t>
            </w:r>
          </w:p>
        </w:tc>
      </w:tr>
      <w:tr w14:paraId="1B203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66" w:type="dxa"/>
            <w:vMerge w:val="restart"/>
            <w:tcBorders>
              <w:top w:val="single" w:color="auto" w:sz="4" w:space="0"/>
              <w:left w:val="single" w:color="auto" w:sz="4" w:space="0"/>
              <w:bottom w:val="single" w:color="auto" w:sz="4" w:space="0"/>
              <w:right w:val="single" w:color="auto" w:sz="4" w:space="0"/>
            </w:tcBorders>
            <w:vAlign w:val="top"/>
          </w:tcPr>
          <w:p w14:paraId="75C9385E">
            <w:pPr>
              <w:spacing w:line="256" w:lineRule="auto"/>
              <w:rPr>
                <w:rFonts w:hint="eastAsia" w:ascii="仿宋_GB2312" w:hAnsi="仿宋_GB2312" w:eastAsia="仿宋_GB2312" w:cs="仿宋_GB2312"/>
                <w:sz w:val="21"/>
                <w:szCs w:val="21"/>
              </w:rPr>
            </w:pPr>
          </w:p>
          <w:p w14:paraId="62C60E52">
            <w:pPr>
              <w:spacing w:line="256" w:lineRule="auto"/>
              <w:rPr>
                <w:rFonts w:hint="eastAsia" w:ascii="仿宋_GB2312" w:hAnsi="仿宋_GB2312" w:eastAsia="仿宋_GB2312" w:cs="仿宋_GB2312"/>
                <w:sz w:val="21"/>
                <w:szCs w:val="21"/>
              </w:rPr>
            </w:pPr>
          </w:p>
          <w:p w14:paraId="6003B996">
            <w:pPr>
              <w:spacing w:line="256" w:lineRule="auto"/>
              <w:rPr>
                <w:rFonts w:hint="eastAsia" w:ascii="仿宋_GB2312" w:hAnsi="仿宋_GB2312" w:eastAsia="仿宋_GB2312" w:cs="仿宋_GB2312"/>
                <w:sz w:val="21"/>
                <w:szCs w:val="21"/>
              </w:rPr>
            </w:pPr>
          </w:p>
          <w:p w14:paraId="1F9D4E1D">
            <w:pPr>
              <w:spacing w:line="256" w:lineRule="auto"/>
              <w:rPr>
                <w:rFonts w:hint="eastAsia" w:ascii="仿宋_GB2312" w:hAnsi="仿宋_GB2312" w:eastAsia="仿宋_GB2312" w:cs="仿宋_GB2312"/>
                <w:sz w:val="21"/>
                <w:szCs w:val="21"/>
              </w:rPr>
            </w:pPr>
          </w:p>
          <w:p w14:paraId="36CD8C23">
            <w:pPr>
              <w:spacing w:line="256" w:lineRule="auto"/>
              <w:rPr>
                <w:rFonts w:hint="eastAsia" w:ascii="仿宋_GB2312" w:hAnsi="仿宋_GB2312" w:eastAsia="仿宋_GB2312" w:cs="仿宋_GB2312"/>
                <w:sz w:val="21"/>
                <w:szCs w:val="21"/>
              </w:rPr>
            </w:pPr>
          </w:p>
          <w:p w14:paraId="0C930DA1">
            <w:pPr>
              <w:spacing w:line="256" w:lineRule="auto"/>
              <w:rPr>
                <w:rFonts w:hint="eastAsia" w:ascii="仿宋_GB2312" w:hAnsi="仿宋_GB2312" w:eastAsia="仿宋_GB2312" w:cs="仿宋_GB2312"/>
                <w:sz w:val="21"/>
                <w:szCs w:val="21"/>
              </w:rPr>
            </w:pPr>
          </w:p>
          <w:p w14:paraId="0778E2C9">
            <w:pPr>
              <w:spacing w:line="256" w:lineRule="auto"/>
              <w:rPr>
                <w:rFonts w:hint="eastAsia" w:ascii="仿宋_GB2312" w:hAnsi="仿宋_GB2312" w:eastAsia="仿宋_GB2312" w:cs="仿宋_GB2312"/>
                <w:sz w:val="21"/>
                <w:szCs w:val="21"/>
              </w:rPr>
            </w:pPr>
          </w:p>
          <w:p w14:paraId="5640E72C">
            <w:pPr>
              <w:spacing w:line="256" w:lineRule="auto"/>
              <w:rPr>
                <w:rFonts w:hint="eastAsia" w:ascii="仿宋_GB2312" w:hAnsi="仿宋_GB2312" w:eastAsia="仿宋_GB2312" w:cs="仿宋_GB2312"/>
                <w:sz w:val="21"/>
                <w:szCs w:val="21"/>
              </w:rPr>
            </w:pPr>
          </w:p>
          <w:p w14:paraId="782CE15C">
            <w:pPr>
              <w:spacing w:line="256" w:lineRule="auto"/>
              <w:rPr>
                <w:rFonts w:hint="eastAsia" w:ascii="仿宋_GB2312" w:hAnsi="仿宋_GB2312" w:eastAsia="仿宋_GB2312" w:cs="仿宋_GB2312"/>
                <w:sz w:val="21"/>
                <w:szCs w:val="21"/>
              </w:rPr>
            </w:pPr>
          </w:p>
          <w:p w14:paraId="570B3A0C">
            <w:pPr>
              <w:spacing w:line="256" w:lineRule="auto"/>
              <w:rPr>
                <w:rFonts w:hint="eastAsia" w:ascii="仿宋_GB2312" w:hAnsi="仿宋_GB2312" w:eastAsia="仿宋_GB2312" w:cs="仿宋_GB2312"/>
                <w:sz w:val="21"/>
                <w:szCs w:val="21"/>
              </w:rPr>
            </w:pPr>
          </w:p>
          <w:p w14:paraId="0FCA5F42">
            <w:pPr>
              <w:spacing w:line="256" w:lineRule="auto"/>
              <w:rPr>
                <w:rFonts w:hint="eastAsia" w:ascii="仿宋_GB2312" w:hAnsi="仿宋_GB2312" w:eastAsia="仿宋_GB2312" w:cs="仿宋_GB2312"/>
                <w:sz w:val="21"/>
                <w:szCs w:val="21"/>
              </w:rPr>
            </w:pPr>
          </w:p>
          <w:p w14:paraId="56C63A3D">
            <w:pPr>
              <w:spacing w:line="257" w:lineRule="auto"/>
              <w:rPr>
                <w:rFonts w:hint="eastAsia" w:ascii="仿宋_GB2312" w:hAnsi="仿宋_GB2312" w:eastAsia="仿宋_GB2312" w:cs="仿宋_GB2312"/>
                <w:sz w:val="21"/>
                <w:szCs w:val="21"/>
              </w:rPr>
            </w:pPr>
          </w:p>
          <w:p w14:paraId="02A98936">
            <w:pPr>
              <w:spacing w:line="257" w:lineRule="auto"/>
              <w:rPr>
                <w:rFonts w:hint="eastAsia" w:ascii="仿宋_GB2312" w:hAnsi="仿宋_GB2312" w:eastAsia="仿宋_GB2312" w:cs="仿宋_GB2312"/>
                <w:sz w:val="21"/>
                <w:szCs w:val="21"/>
              </w:rPr>
            </w:pPr>
          </w:p>
          <w:p w14:paraId="3DCCBE4C">
            <w:pPr>
              <w:spacing w:line="257" w:lineRule="auto"/>
              <w:rPr>
                <w:rFonts w:hint="eastAsia" w:ascii="仿宋_GB2312" w:hAnsi="仿宋_GB2312" w:eastAsia="仿宋_GB2312" w:cs="仿宋_GB2312"/>
                <w:sz w:val="21"/>
                <w:szCs w:val="21"/>
              </w:rPr>
            </w:pPr>
          </w:p>
          <w:p w14:paraId="28FA97C0">
            <w:pPr>
              <w:spacing w:before="55" w:line="241" w:lineRule="auto"/>
              <w:ind w:left="75"/>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部门整体绩效指标</w:t>
            </w:r>
          </w:p>
        </w:tc>
        <w:tc>
          <w:tcPr>
            <w:tcW w:w="840" w:type="dxa"/>
            <w:tcBorders>
              <w:top w:val="single" w:color="auto" w:sz="4" w:space="0"/>
              <w:left w:val="single" w:color="auto" w:sz="4" w:space="0"/>
              <w:bottom w:val="single" w:color="auto" w:sz="4" w:space="0"/>
              <w:right w:val="single" w:color="auto" w:sz="4" w:space="0"/>
            </w:tcBorders>
            <w:vAlign w:val="top"/>
          </w:tcPr>
          <w:p w14:paraId="197219CC">
            <w:pPr>
              <w:spacing w:before="176" w:line="220" w:lineRule="auto"/>
              <w:ind w:left="81"/>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一级指标</w:t>
            </w:r>
          </w:p>
        </w:tc>
        <w:tc>
          <w:tcPr>
            <w:tcW w:w="1350" w:type="dxa"/>
            <w:tcBorders>
              <w:top w:val="single" w:color="auto" w:sz="4" w:space="0"/>
              <w:left w:val="single" w:color="auto" w:sz="4" w:space="0"/>
              <w:bottom w:val="single" w:color="auto" w:sz="4" w:space="0"/>
              <w:right w:val="single" w:color="auto" w:sz="4" w:space="0"/>
            </w:tcBorders>
            <w:vAlign w:val="top"/>
          </w:tcPr>
          <w:p w14:paraId="319F4C83">
            <w:pPr>
              <w:spacing w:before="176" w:line="220" w:lineRule="auto"/>
              <w:ind w:left="191"/>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二级指标</w:t>
            </w:r>
          </w:p>
        </w:tc>
        <w:tc>
          <w:tcPr>
            <w:tcW w:w="2565" w:type="dxa"/>
            <w:gridSpan w:val="2"/>
            <w:tcBorders>
              <w:top w:val="single" w:color="auto" w:sz="4" w:space="0"/>
              <w:left w:val="single" w:color="auto" w:sz="4" w:space="0"/>
              <w:bottom w:val="single" w:color="auto" w:sz="4" w:space="0"/>
              <w:right w:val="single" w:color="auto" w:sz="4" w:space="0"/>
            </w:tcBorders>
            <w:vAlign w:val="top"/>
          </w:tcPr>
          <w:p w14:paraId="5B4D2A5A">
            <w:pPr>
              <w:spacing w:before="176" w:line="220" w:lineRule="auto"/>
              <w:ind w:left="833"/>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三级指标</w:t>
            </w:r>
          </w:p>
        </w:tc>
        <w:tc>
          <w:tcPr>
            <w:tcW w:w="1155" w:type="dxa"/>
            <w:tcBorders>
              <w:left w:val="single" w:color="auto" w:sz="4" w:space="0"/>
            </w:tcBorders>
            <w:vAlign w:val="top"/>
          </w:tcPr>
          <w:p w14:paraId="1C9E6A3F">
            <w:pPr>
              <w:spacing w:before="175" w:line="219" w:lineRule="auto"/>
              <w:ind w:left="22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年度指标值</w:t>
            </w:r>
          </w:p>
        </w:tc>
        <w:tc>
          <w:tcPr>
            <w:tcW w:w="1350" w:type="dxa"/>
            <w:vAlign w:val="top"/>
          </w:tcPr>
          <w:p w14:paraId="626F0910">
            <w:pPr>
              <w:spacing w:before="175" w:line="219" w:lineRule="auto"/>
              <w:ind w:left="287"/>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实际完成值</w:t>
            </w:r>
          </w:p>
        </w:tc>
        <w:tc>
          <w:tcPr>
            <w:tcW w:w="1770" w:type="dxa"/>
            <w:vAlign w:val="top"/>
          </w:tcPr>
          <w:p w14:paraId="53EBAB79">
            <w:pPr>
              <w:spacing w:before="85" w:line="236" w:lineRule="auto"/>
              <w:ind w:left="326" w:hanging="247"/>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偏差原因分析及</w:t>
            </w:r>
          </w:p>
          <w:p w14:paraId="6C98ED1D">
            <w:pPr>
              <w:spacing w:before="85" w:line="236" w:lineRule="auto"/>
              <w:ind w:left="326" w:hanging="247"/>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改进措施</w:t>
            </w:r>
          </w:p>
        </w:tc>
      </w:tr>
      <w:tr w14:paraId="643AA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5233886B">
            <w:pPr>
              <w:rPr>
                <w:rFonts w:hint="eastAsia" w:ascii="仿宋_GB2312" w:hAnsi="仿宋_GB2312" w:eastAsia="仿宋_GB2312" w:cs="仿宋_GB2312"/>
                <w:sz w:val="21"/>
                <w:szCs w:val="21"/>
              </w:rPr>
            </w:pPr>
          </w:p>
        </w:tc>
        <w:tc>
          <w:tcPr>
            <w:tcW w:w="840" w:type="dxa"/>
            <w:vMerge w:val="restart"/>
            <w:tcBorders>
              <w:top w:val="single" w:color="auto" w:sz="4" w:space="0"/>
              <w:left w:val="single" w:color="auto" w:sz="4" w:space="0"/>
              <w:bottom w:val="single" w:color="auto" w:sz="4" w:space="0"/>
              <w:right w:val="single" w:color="auto" w:sz="4" w:space="0"/>
            </w:tcBorders>
            <w:vAlign w:val="top"/>
          </w:tcPr>
          <w:p w14:paraId="151A5478">
            <w:pPr>
              <w:spacing w:line="266" w:lineRule="auto"/>
              <w:jc w:val="center"/>
              <w:rPr>
                <w:rFonts w:hint="eastAsia" w:ascii="仿宋_GB2312" w:hAnsi="仿宋_GB2312" w:eastAsia="仿宋_GB2312" w:cs="仿宋_GB2312"/>
                <w:sz w:val="21"/>
                <w:szCs w:val="21"/>
              </w:rPr>
            </w:pPr>
          </w:p>
          <w:p w14:paraId="0741FBB7">
            <w:pPr>
              <w:spacing w:line="266" w:lineRule="auto"/>
              <w:jc w:val="center"/>
              <w:rPr>
                <w:rFonts w:hint="eastAsia" w:ascii="仿宋_GB2312" w:hAnsi="仿宋_GB2312" w:eastAsia="仿宋_GB2312" w:cs="仿宋_GB2312"/>
                <w:sz w:val="21"/>
                <w:szCs w:val="21"/>
              </w:rPr>
            </w:pPr>
          </w:p>
          <w:p w14:paraId="75EBD1C5">
            <w:pPr>
              <w:spacing w:line="266" w:lineRule="auto"/>
              <w:jc w:val="center"/>
              <w:rPr>
                <w:rFonts w:hint="eastAsia" w:ascii="仿宋_GB2312" w:hAnsi="仿宋_GB2312" w:eastAsia="仿宋_GB2312" w:cs="仿宋_GB2312"/>
                <w:sz w:val="21"/>
                <w:szCs w:val="21"/>
              </w:rPr>
            </w:pPr>
          </w:p>
          <w:p w14:paraId="3ABBD5DB">
            <w:pPr>
              <w:spacing w:line="266" w:lineRule="auto"/>
              <w:jc w:val="center"/>
              <w:rPr>
                <w:rFonts w:hint="eastAsia" w:ascii="仿宋_GB2312" w:hAnsi="仿宋_GB2312" w:eastAsia="仿宋_GB2312" w:cs="仿宋_GB2312"/>
                <w:sz w:val="21"/>
                <w:szCs w:val="21"/>
              </w:rPr>
            </w:pPr>
          </w:p>
          <w:p w14:paraId="1FFF8442">
            <w:pPr>
              <w:spacing w:line="266" w:lineRule="auto"/>
              <w:jc w:val="center"/>
              <w:rPr>
                <w:rFonts w:hint="eastAsia" w:ascii="仿宋_GB2312" w:hAnsi="仿宋_GB2312" w:eastAsia="仿宋_GB2312" w:cs="仿宋_GB2312"/>
                <w:sz w:val="21"/>
                <w:szCs w:val="21"/>
              </w:rPr>
            </w:pPr>
          </w:p>
          <w:p w14:paraId="1EB125C8">
            <w:pPr>
              <w:spacing w:line="267" w:lineRule="auto"/>
              <w:jc w:val="center"/>
              <w:rPr>
                <w:rFonts w:hint="eastAsia" w:ascii="仿宋_GB2312" w:hAnsi="仿宋_GB2312" w:eastAsia="仿宋_GB2312" w:cs="仿宋_GB2312"/>
                <w:sz w:val="21"/>
                <w:szCs w:val="21"/>
              </w:rPr>
            </w:pPr>
          </w:p>
          <w:p w14:paraId="3AEEB8A2">
            <w:pPr>
              <w:spacing w:before="58" w:line="219" w:lineRule="auto"/>
              <w:ind w:left="81"/>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产出指标</w:t>
            </w:r>
          </w:p>
        </w:tc>
        <w:tc>
          <w:tcPr>
            <w:tcW w:w="1350" w:type="dxa"/>
            <w:vMerge w:val="restart"/>
            <w:tcBorders>
              <w:top w:val="single" w:color="auto" w:sz="4" w:space="0"/>
              <w:left w:val="single" w:color="auto" w:sz="4" w:space="0"/>
              <w:bottom w:val="single" w:color="auto" w:sz="4" w:space="0"/>
              <w:right w:val="single" w:color="auto" w:sz="4" w:space="0"/>
            </w:tcBorders>
            <w:vAlign w:val="top"/>
          </w:tcPr>
          <w:p w14:paraId="54679F91">
            <w:pPr>
              <w:spacing w:before="116" w:line="218" w:lineRule="auto"/>
              <w:ind w:left="371" w:right="215" w:hanging="180"/>
              <w:jc w:val="center"/>
              <w:rPr>
                <w:rFonts w:hint="eastAsia" w:ascii="仿宋_GB2312" w:hAnsi="仿宋_GB2312" w:eastAsia="仿宋_GB2312" w:cs="仿宋_GB2312"/>
                <w:spacing w:val="-3"/>
                <w:sz w:val="21"/>
                <w:szCs w:val="21"/>
              </w:rPr>
            </w:pPr>
          </w:p>
          <w:p w14:paraId="7ED3315C">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数量指标</w:t>
            </w: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6DC657F0">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保障村级基本运转正常数</w:t>
            </w:r>
          </w:p>
        </w:tc>
        <w:tc>
          <w:tcPr>
            <w:tcW w:w="1155" w:type="dxa"/>
            <w:tcBorders>
              <w:left w:val="single" w:color="auto" w:sz="4" w:space="0"/>
            </w:tcBorders>
            <w:vAlign w:val="center"/>
          </w:tcPr>
          <w:p w14:paraId="0098DCD3">
            <w:pPr>
              <w:spacing w:before="116" w:line="218" w:lineRule="auto"/>
              <w:ind w:left="371" w:right="215" w:hanging="180"/>
              <w:jc w:val="center"/>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9个</w:t>
            </w:r>
          </w:p>
        </w:tc>
        <w:tc>
          <w:tcPr>
            <w:tcW w:w="1350" w:type="dxa"/>
            <w:vAlign w:val="center"/>
          </w:tcPr>
          <w:p w14:paraId="7EE2B439">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9个</w:t>
            </w:r>
          </w:p>
        </w:tc>
        <w:tc>
          <w:tcPr>
            <w:tcW w:w="1770" w:type="dxa"/>
            <w:vAlign w:val="top"/>
          </w:tcPr>
          <w:p w14:paraId="6CF8BDCB">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162C1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53C57DEE">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01F369D8">
            <w:pPr>
              <w:jc w:val="center"/>
              <w:rPr>
                <w:rFonts w:hint="eastAsia" w:ascii="仿宋_GB2312" w:hAnsi="仿宋_GB2312" w:eastAsia="仿宋_GB2312" w:cs="仿宋_GB2312"/>
                <w:sz w:val="21"/>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top"/>
          </w:tcPr>
          <w:p w14:paraId="75F91168">
            <w:pPr>
              <w:spacing w:before="116" w:line="218" w:lineRule="auto"/>
              <w:ind w:left="371" w:right="215" w:hanging="180"/>
              <w:jc w:val="center"/>
              <w:rPr>
                <w:rFonts w:hint="eastAsia" w:ascii="仿宋_GB2312" w:hAnsi="仿宋_GB2312" w:eastAsia="仿宋_GB2312" w:cs="仿宋_GB2312"/>
                <w:spacing w:val="-3"/>
                <w:sz w:val="21"/>
                <w:szCs w:val="21"/>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2CF9FCF1">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镇在职干部保障人数</w:t>
            </w:r>
          </w:p>
        </w:tc>
        <w:tc>
          <w:tcPr>
            <w:tcW w:w="1155" w:type="dxa"/>
            <w:tcBorders>
              <w:left w:val="single" w:color="auto" w:sz="4" w:space="0"/>
            </w:tcBorders>
            <w:vAlign w:val="center"/>
          </w:tcPr>
          <w:p w14:paraId="4FE09961">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50人</w:t>
            </w:r>
          </w:p>
        </w:tc>
        <w:tc>
          <w:tcPr>
            <w:tcW w:w="1350" w:type="dxa"/>
            <w:vAlign w:val="center"/>
          </w:tcPr>
          <w:p w14:paraId="4D82D1ED">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50人</w:t>
            </w:r>
          </w:p>
        </w:tc>
        <w:tc>
          <w:tcPr>
            <w:tcW w:w="1770" w:type="dxa"/>
            <w:vAlign w:val="top"/>
          </w:tcPr>
          <w:p w14:paraId="092007E0">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30785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5CE85611">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58D959F5">
            <w:pPr>
              <w:jc w:val="center"/>
              <w:rPr>
                <w:rFonts w:hint="eastAsia" w:ascii="仿宋_GB2312" w:hAnsi="仿宋_GB2312" w:eastAsia="仿宋_GB2312" w:cs="仿宋_GB2312"/>
                <w:sz w:val="21"/>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top"/>
          </w:tcPr>
          <w:p w14:paraId="41F4AF67">
            <w:pPr>
              <w:spacing w:before="116" w:line="218" w:lineRule="auto"/>
              <w:ind w:left="371" w:right="215" w:hanging="180"/>
              <w:jc w:val="center"/>
              <w:rPr>
                <w:rFonts w:hint="eastAsia" w:ascii="仿宋_GB2312" w:hAnsi="仿宋_GB2312" w:eastAsia="仿宋_GB2312" w:cs="仿宋_GB2312"/>
                <w:spacing w:val="-3"/>
                <w:sz w:val="21"/>
                <w:szCs w:val="21"/>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20197282">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村（社区）干部的生活补助及保险人数</w:t>
            </w:r>
          </w:p>
        </w:tc>
        <w:tc>
          <w:tcPr>
            <w:tcW w:w="1155" w:type="dxa"/>
            <w:tcBorders>
              <w:left w:val="single" w:color="auto" w:sz="4" w:space="0"/>
            </w:tcBorders>
            <w:vAlign w:val="center"/>
          </w:tcPr>
          <w:p w14:paraId="18667EC5">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89人</w:t>
            </w:r>
          </w:p>
        </w:tc>
        <w:tc>
          <w:tcPr>
            <w:tcW w:w="1350" w:type="dxa"/>
            <w:vAlign w:val="center"/>
          </w:tcPr>
          <w:p w14:paraId="7AB3FA75">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89人</w:t>
            </w:r>
          </w:p>
        </w:tc>
        <w:tc>
          <w:tcPr>
            <w:tcW w:w="1770" w:type="dxa"/>
            <w:vAlign w:val="top"/>
          </w:tcPr>
          <w:p w14:paraId="17BB593A">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46A9A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0CEED950">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38EA698E">
            <w:pPr>
              <w:jc w:val="center"/>
              <w:rPr>
                <w:rFonts w:hint="eastAsia" w:ascii="仿宋_GB2312" w:hAnsi="仿宋_GB2312" w:eastAsia="仿宋_GB2312" w:cs="仿宋_GB2312"/>
                <w:sz w:val="21"/>
                <w:szCs w:val="21"/>
              </w:rPr>
            </w:pPr>
          </w:p>
        </w:tc>
        <w:tc>
          <w:tcPr>
            <w:tcW w:w="1350" w:type="dxa"/>
            <w:vMerge w:val="restart"/>
            <w:tcBorders>
              <w:top w:val="single" w:color="auto" w:sz="4" w:space="0"/>
              <w:left w:val="single" w:color="auto" w:sz="4" w:space="0"/>
              <w:bottom w:val="single" w:color="auto" w:sz="4" w:space="0"/>
              <w:right w:val="single" w:color="auto" w:sz="4" w:space="0"/>
            </w:tcBorders>
            <w:vAlign w:val="top"/>
          </w:tcPr>
          <w:p w14:paraId="0C26793D">
            <w:pPr>
              <w:spacing w:before="116" w:line="218" w:lineRule="auto"/>
              <w:ind w:left="371" w:right="215" w:hanging="180"/>
              <w:jc w:val="center"/>
              <w:rPr>
                <w:rFonts w:hint="eastAsia" w:ascii="仿宋_GB2312" w:hAnsi="仿宋_GB2312" w:eastAsia="仿宋_GB2312" w:cs="仿宋_GB2312"/>
                <w:spacing w:val="-3"/>
                <w:sz w:val="21"/>
                <w:szCs w:val="21"/>
              </w:rPr>
            </w:pPr>
          </w:p>
          <w:p w14:paraId="43FF0764">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质量指标</w:t>
            </w: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7DEE758C">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镇域内各项基本工作完成率</w:t>
            </w:r>
          </w:p>
        </w:tc>
        <w:tc>
          <w:tcPr>
            <w:tcW w:w="1155" w:type="dxa"/>
            <w:tcBorders>
              <w:left w:val="single" w:color="auto" w:sz="4" w:space="0"/>
            </w:tcBorders>
            <w:vAlign w:val="center"/>
          </w:tcPr>
          <w:p w14:paraId="5C3AA5D1">
            <w:pPr>
              <w:spacing w:before="116" w:line="218" w:lineRule="auto"/>
              <w:ind w:left="371" w:right="215" w:hanging="180"/>
              <w:jc w:val="center"/>
              <w:rPr>
                <w:rFonts w:hint="eastAsia" w:ascii="仿宋_GB2312" w:hAnsi="仿宋_GB2312" w:eastAsia="仿宋_GB2312" w:cs="仿宋_GB2312"/>
                <w:spacing w:val="-3"/>
                <w:sz w:val="21"/>
                <w:szCs w:val="21"/>
                <w:lang w:val="en-US"/>
              </w:rPr>
            </w:pPr>
            <w:r>
              <w:rPr>
                <w:rFonts w:hint="eastAsia" w:ascii="仿宋_GB2312" w:hAnsi="仿宋_GB2312" w:eastAsia="仿宋_GB2312" w:cs="仿宋_GB2312"/>
                <w:spacing w:val="-3"/>
                <w:sz w:val="21"/>
                <w:szCs w:val="21"/>
                <w:lang w:val="en-US" w:eastAsia="zh-CN"/>
              </w:rPr>
              <w:t>98%</w:t>
            </w:r>
          </w:p>
        </w:tc>
        <w:tc>
          <w:tcPr>
            <w:tcW w:w="1350" w:type="dxa"/>
            <w:vAlign w:val="center"/>
          </w:tcPr>
          <w:p w14:paraId="2D590ECB">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98%</w:t>
            </w:r>
          </w:p>
        </w:tc>
        <w:tc>
          <w:tcPr>
            <w:tcW w:w="1770" w:type="dxa"/>
            <w:vAlign w:val="top"/>
          </w:tcPr>
          <w:p w14:paraId="3771D0F1">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33743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5E5C2866">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229FF9D2">
            <w:pPr>
              <w:jc w:val="center"/>
              <w:rPr>
                <w:rFonts w:hint="eastAsia" w:ascii="仿宋_GB2312" w:hAnsi="仿宋_GB2312" w:eastAsia="仿宋_GB2312" w:cs="仿宋_GB2312"/>
                <w:sz w:val="21"/>
                <w:szCs w:val="21"/>
              </w:rPr>
            </w:pPr>
          </w:p>
        </w:tc>
        <w:tc>
          <w:tcPr>
            <w:tcW w:w="1350" w:type="dxa"/>
            <w:vMerge w:val="continue"/>
            <w:tcBorders>
              <w:top w:val="single" w:color="auto" w:sz="4" w:space="0"/>
              <w:left w:val="single" w:color="auto" w:sz="4" w:space="0"/>
              <w:bottom w:val="single" w:color="auto" w:sz="4" w:space="0"/>
              <w:right w:val="single" w:color="auto" w:sz="4" w:space="0"/>
            </w:tcBorders>
            <w:vAlign w:val="top"/>
          </w:tcPr>
          <w:p w14:paraId="720F4073">
            <w:pPr>
              <w:spacing w:before="116" w:line="218" w:lineRule="auto"/>
              <w:ind w:left="371" w:right="215" w:hanging="180"/>
              <w:jc w:val="center"/>
              <w:rPr>
                <w:rFonts w:hint="eastAsia" w:ascii="仿宋_GB2312" w:hAnsi="仿宋_GB2312" w:eastAsia="仿宋_GB2312" w:cs="仿宋_GB2312"/>
                <w:spacing w:val="-3"/>
                <w:sz w:val="21"/>
                <w:szCs w:val="21"/>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218C7DDD">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镇域内项目验收合格率</w:t>
            </w:r>
          </w:p>
        </w:tc>
        <w:tc>
          <w:tcPr>
            <w:tcW w:w="1155" w:type="dxa"/>
            <w:tcBorders>
              <w:left w:val="single" w:color="auto" w:sz="4" w:space="0"/>
            </w:tcBorders>
            <w:vAlign w:val="center"/>
          </w:tcPr>
          <w:p w14:paraId="67C0F85E">
            <w:pPr>
              <w:spacing w:before="116" w:line="218" w:lineRule="auto"/>
              <w:ind w:left="371" w:right="215" w:hanging="180"/>
              <w:jc w:val="center"/>
              <w:rPr>
                <w:rFonts w:hint="eastAsia" w:ascii="仿宋_GB2312" w:hAnsi="仿宋_GB2312" w:eastAsia="仿宋_GB2312" w:cs="仿宋_GB2312"/>
                <w:spacing w:val="-3"/>
                <w:sz w:val="21"/>
                <w:szCs w:val="21"/>
                <w:lang w:val="en-US"/>
              </w:rPr>
            </w:pPr>
            <w:r>
              <w:rPr>
                <w:rFonts w:hint="eastAsia" w:ascii="仿宋_GB2312" w:hAnsi="仿宋_GB2312" w:eastAsia="仿宋_GB2312" w:cs="仿宋_GB2312"/>
                <w:spacing w:val="-3"/>
                <w:sz w:val="21"/>
                <w:szCs w:val="21"/>
                <w:lang w:val="en-US" w:eastAsia="zh-CN"/>
              </w:rPr>
              <w:t>98%</w:t>
            </w:r>
          </w:p>
        </w:tc>
        <w:tc>
          <w:tcPr>
            <w:tcW w:w="1350" w:type="dxa"/>
            <w:vAlign w:val="center"/>
          </w:tcPr>
          <w:p w14:paraId="0BF5894E">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98%</w:t>
            </w:r>
          </w:p>
        </w:tc>
        <w:tc>
          <w:tcPr>
            <w:tcW w:w="1770" w:type="dxa"/>
            <w:vAlign w:val="top"/>
          </w:tcPr>
          <w:p w14:paraId="3A2F2BFE">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72352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7DA70A59">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06BCA3A7">
            <w:pPr>
              <w:jc w:val="center"/>
              <w:rPr>
                <w:rFonts w:hint="eastAsia" w:ascii="仿宋_GB2312" w:hAnsi="仿宋_GB2312" w:eastAsia="仿宋_GB2312" w:cs="仿宋_GB2312"/>
                <w:sz w:val="21"/>
                <w:szCs w:val="21"/>
              </w:rPr>
            </w:pPr>
          </w:p>
        </w:tc>
        <w:tc>
          <w:tcPr>
            <w:tcW w:w="1350" w:type="dxa"/>
            <w:tcBorders>
              <w:top w:val="single" w:color="auto" w:sz="4" w:space="0"/>
              <w:left w:val="single" w:color="auto" w:sz="4" w:space="0"/>
              <w:bottom w:val="single" w:color="auto" w:sz="4" w:space="0"/>
              <w:right w:val="single" w:color="auto" w:sz="4" w:space="0"/>
            </w:tcBorders>
            <w:vAlign w:val="top"/>
          </w:tcPr>
          <w:p w14:paraId="31B5439B">
            <w:pPr>
              <w:spacing w:before="116" w:line="218" w:lineRule="auto"/>
              <w:ind w:left="371" w:right="215" w:hanging="180"/>
              <w:jc w:val="center"/>
              <w:rPr>
                <w:rFonts w:hint="eastAsia" w:ascii="仿宋_GB2312" w:hAnsi="仿宋_GB2312" w:eastAsia="仿宋_GB2312" w:cs="仿宋_GB2312"/>
                <w:spacing w:val="-3"/>
                <w:sz w:val="21"/>
                <w:szCs w:val="21"/>
              </w:rPr>
            </w:pPr>
          </w:p>
          <w:p w14:paraId="761993EB">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时效指标</w:t>
            </w:r>
          </w:p>
        </w:tc>
        <w:tc>
          <w:tcPr>
            <w:tcW w:w="2565" w:type="dxa"/>
            <w:gridSpan w:val="2"/>
            <w:tcBorders>
              <w:top w:val="single" w:color="auto" w:sz="4" w:space="0"/>
              <w:left w:val="single" w:color="auto" w:sz="4" w:space="0"/>
              <w:bottom w:val="single" w:color="auto" w:sz="4" w:space="0"/>
              <w:right w:val="single" w:color="auto" w:sz="4" w:space="0"/>
            </w:tcBorders>
            <w:vAlign w:val="top"/>
          </w:tcPr>
          <w:p w14:paraId="23F4AF5A">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按工程建设、工作开展进度支付对应进度款</w:t>
            </w:r>
          </w:p>
        </w:tc>
        <w:tc>
          <w:tcPr>
            <w:tcW w:w="1155" w:type="dxa"/>
            <w:tcBorders>
              <w:left w:val="single" w:color="auto" w:sz="4" w:space="0"/>
            </w:tcBorders>
            <w:vAlign w:val="top"/>
          </w:tcPr>
          <w:p w14:paraId="63A204F9">
            <w:pPr>
              <w:spacing w:before="116" w:line="218" w:lineRule="auto"/>
              <w:ind w:left="371" w:right="215" w:hanging="180"/>
              <w:jc w:val="center"/>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1年</w:t>
            </w:r>
          </w:p>
        </w:tc>
        <w:tc>
          <w:tcPr>
            <w:tcW w:w="1350" w:type="dxa"/>
            <w:vAlign w:val="top"/>
          </w:tcPr>
          <w:p w14:paraId="12E9610D">
            <w:pPr>
              <w:spacing w:before="116" w:line="218" w:lineRule="auto"/>
              <w:ind w:left="371" w:right="215" w:hanging="180"/>
              <w:jc w:val="center"/>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1年</w:t>
            </w:r>
          </w:p>
        </w:tc>
        <w:tc>
          <w:tcPr>
            <w:tcW w:w="1770" w:type="dxa"/>
            <w:vAlign w:val="top"/>
          </w:tcPr>
          <w:p w14:paraId="05A832D0">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5936E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6DF6AB0C">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0FC4B1B8">
            <w:pPr>
              <w:jc w:val="center"/>
              <w:rPr>
                <w:rFonts w:hint="eastAsia" w:ascii="仿宋_GB2312" w:hAnsi="仿宋_GB2312" w:eastAsia="仿宋_GB2312" w:cs="仿宋_GB2312"/>
                <w:sz w:val="21"/>
                <w:szCs w:val="21"/>
              </w:rPr>
            </w:pPr>
          </w:p>
        </w:tc>
        <w:tc>
          <w:tcPr>
            <w:tcW w:w="1350" w:type="dxa"/>
            <w:tcBorders>
              <w:top w:val="single" w:color="auto" w:sz="4" w:space="0"/>
              <w:left w:val="single" w:color="auto" w:sz="4" w:space="0"/>
              <w:bottom w:val="single" w:color="auto" w:sz="4" w:space="0"/>
              <w:right w:val="single" w:color="auto" w:sz="4" w:space="0"/>
            </w:tcBorders>
            <w:vAlign w:val="top"/>
          </w:tcPr>
          <w:p w14:paraId="667CEC57">
            <w:pPr>
              <w:spacing w:before="116" w:line="218" w:lineRule="auto"/>
              <w:ind w:left="371" w:right="215" w:hanging="180"/>
              <w:jc w:val="center"/>
              <w:rPr>
                <w:rFonts w:hint="eastAsia" w:ascii="仿宋_GB2312" w:hAnsi="仿宋_GB2312" w:eastAsia="仿宋_GB2312" w:cs="仿宋_GB2312"/>
                <w:spacing w:val="-3"/>
                <w:sz w:val="21"/>
                <w:szCs w:val="21"/>
              </w:rPr>
            </w:pPr>
          </w:p>
          <w:p w14:paraId="54682570">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成本指标</w:t>
            </w: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28272A51">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全年全镇资金预算额</w:t>
            </w:r>
          </w:p>
        </w:tc>
        <w:tc>
          <w:tcPr>
            <w:tcW w:w="1155" w:type="dxa"/>
            <w:tcBorders>
              <w:left w:val="single" w:color="auto" w:sz="4" w:space="0"/>
            </w:tcBorders>
            <w:vAlign w:val="center"/>
          </w:tcPr>
          <w:p w14:paraId="0D4FFE1B">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1"/>
                <w:sz w:val="21"/>
                <w:szCs w:val="21"/>
                <w:highlight w:val="none"/>
                <w:lang w:val="en-US" w:eastAsia="zh-CN"/>
              </w:rPr>
              <w:t>1134.84</w:t>
            </w:r>
            <w:r>
              <w:rPr>
                <w:rFonts w:hint="eastAsia" w:ascii="仿宋_GB2312" w:hAnsi="仿宋_GB2312" w:eastAsia="仿宋_GB2312" w:cs="仿宋_GB2312"/>
                <w:spacing w:val="-3"/>
                <w:sz w:val="21"/>
                <w:szCs w:val="21"/>
                <w:lang w:val="en-US" w:eastAsia="zh-CN"/>
              </w:rPr>
              <w:t>万元</w:t>
            </w:r>
          </w:p>
        </w:tc>
        <w:tc>
          <w:tcPr>
            <w:tcW w:w="1350" w:type="dxa"/>
            <w:vAlign w:val="center"/>
          </w:tcPr>
          <w:p w14:paraId="4C3DCDA8">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1"/>
                <w:sz w:val="21"/>
                <w:szCs w:val="21"/>
                <w:highlight w:val="none"/>
                <w:lang w:val="en-US" w:eastAsia="zh-CN"/>
              </w:rPr>
              <w:t>1155.99</w:t>
            </w:r>
            <w:r>
              <w:rPr>
                <w:rFonts w:hint="eastAsia" w:ascii="仿宋_GB2312" w:hAnsi="仿宋_GB2312" w:eastAsia="仿宋_GB2312" w:cs="仿宋_GB2312"/>
                <w:spacing w:val="-3"/>
                <w:sz w:val="21"/>
                <w:szCs w:val="21"/>
                <w:lang w:val="en-US" w:eastAsia="zh-CN"/>
              </w:rPr>
              <w:t>万元</w:t>
            </w:r>
          </w:p>
        </w:tc>
        <w:tc>
          <w:tcPr>
            <w:tcW w:w="1770" w:type="dxa"/>
            <w:vAlign w:val="top"/>
          </w:tcPr>
          <w:p w14:paraId="50693949">
            <w:pPr>
              <w:spacing w:before="116" w:line="218" w:lineRule="auto"/>
              <w:ind w:left="371" w:right="215" w:hanging="180"/>
              <w:jc w:val="center"/>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人员变动、预算追加</w:t>
            </w:r>
          </w:p>
        </w:tc>
      </w:tr>
      <w:tr w14:paraId="2815E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27DEAED6">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60078567">
            <w:pPr>
              <w:jc w:val="center"/>
              <w:rPr>
                <w:rFonts w:hint="eastAsia" w:ascii="仿宋_GB2312" w:hAnsi="仿宋_GB2312" w:eastAsia="仿宋_GB2312" w:cs="仿宋_GB2312"/>
                <w:sz w:val="21"/>
                <w:szCs w:val="21"/>
              </w:rPr>
            </w:pPr>
          </w:p>
        </w:tc>
        <w:tc>
          <w:tcPr>
            <w:tcW w:w="1350" w:type="dxa"/>
            <w:tcBorders>
              <w:top w:val="single" w:color="auto" w:sz="4" w:space="0"/>
              <w:left w:val="single" w:color="auto" w:sz="4" w:space="0"/>
              <w:bottom w:val="single" w:color="auto" w:sz="4" w:space="0"/>
              <w:right w:val="single" w:color="auto" w:sz="4" w:space="0"/>
            </w:tcBorders>
            <w:vAlign w:val="top"/>
          </w:tcPr>
          <w:p w14:paraId="7A3E4199">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社会效益指标</w:t>
            </w:r>
          </w:p>
        </w:tc>
        <w:tc>
          <w:tcPr>
            <w:tcW w:w="2565" w:type="dxa"/>
            <w:gridSpan w:val="2"/>
            <w:tcBorders>
              <w:top w:val="single" w:color="auto" w:sz="4" w:space="0"/>
              <w:left w:val="single" w:color="auto" w:sz="4" w:space="0"/>
              <w:bottom w:val="single" w:color="auto" w:sz="4" w:space="0"/>
              <w:right w:val="single" w:color="auto" w:sz="4" w:space="0"/>
            </w:tcBorders>
            <w:vAlign w:val="top"/>
          </w:tcPr>
          <w:p w14:paraId="6469B60D">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完善政府公共服务能力，提升整体服务水平:</w:t>
            </w:r>
          </w:p>
        </w:tc>
        <w:tc>
          <w:tcPr>
            <w:tcW w:w="1155" w:type="dxa"/>
            <w:tcBorders>
              <w:left w:val="single" w:color="auto" w:sz="4" w:space="0"/>
            </w:tcBorders>
            <w:vAlign w:val="top"/>
          </w:tcPr>
          <w:p w14:paraId="451DFA88">
            <w:pPr>
              <w:spacing w:before="116" w:line="218" w:lineRule="auto"/>
              <w:ind w:left="371" w:right="215" w:hanging="180"/>
              <w:jc w:val="center"/>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定性</w:t>
            </w:r>
          </w:p>
        </w:tc>
        <w:tc>
          <w:tcPr>
            <w:tcW w:w="1350" w:type="dxa"/>
            <w:vAlign w:val="top"/>
          </w:tcPr>
          <w:p w14:paraId="0E697C5F">
            <w:pPr>
              <w:spacing w:before="116" w:line="218" w:lineRule="auto"/>
              <w:ind w:left="371" w:right="215" w:hanging="180"/>
              <w:jc w:val="center"/>
              <w:rPr>
                <w:rFonts w:hint="eastAsia" w:ascii="仿宋_GB2312" w:hAnsi="仿宋_GB2312" w:eastAsia="仿宋_GB2312" w:cs="仿宋_GB2312"/>
                <w:spacing w:val="-3"/>
                <w:sz w:val="21"/>
                <w:szCs w:val="21"/>
                <w:lang w:eastAsia="zh-CN"/>
              </w:rPr>
            </w:pPr>
            <w:r>
              <w:rPr>
                <w:rFonts w:hint="eastAsia" w:ascii="仿宋_GB2312" w:hAnsi="仿宋_GB2312" w:eastAsia="仿宋_GB2312" w:cs="仿宋_GB2312"/>
                <w:spacing w:val="-3"/>
                <w:sz w:val="21"/>
                <w:szCs w:val="21"/>
                <w:lang w:eastAsia="zh-CN"/>
              </w:rPr>
              <w:t>优</w:t>
            </w:r>
          </w:p>
        </w:tc>
        <w:tc>
          <w:tcPr>
            <w:tcW w:w="1770" w:type="dxa"/>
            <w:vAlign w:val="top"/>
          </w:tcPr>
          <w:p w14:paraId="39D266C0">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6936D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14522687">
            <w:pPr>
              <w:rPr>
                <w:rFonts w:hint="eastAsia" w:ascii="仿宋_GB2312" w:hAnsi="仿宋_GB2312" w:eastAsia="仿宋_GB2312" w:cs="仿宋_GB2312"/>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top"/>
          </w:tcPr>
          <w:p w14:paraId="5E17809C">
            <w:pPr>
              <w:jc w:val="center"/>
              <w:rPr>
                <w:rFonts w:hint="eastAsia" w:ascii="仿宋_GB2312" w:hAnsi="仿宋_GB2312" w:eastAsia="仿宋_GB2312" w:cs="仿宋_GB2312"/>
                <w:sz w:val="21"/>
                <w:szCs w:val="21"/>
              </w:rPr>
            </w:pPr>
          </w:p>
        </w:tc>
        <w:tc>
          <w:tcPr>
            <w:tcW w:w="1350" w:type="dxa"/>
            <w:tcBorders>
              <w:top w:val="single" w:color="auto" w:sz="4" w:space="0"/>
              <w:left w:val="single" w:color="auto" w:sz="4" w:space="0"/>
              <w:bottom w:val="single" w:color="auto" w:sz="4" w:space="0"/>
              <w:right w:val="single" w:color="auto" w:sz="4" w:space="0"/>
            </w:tcBorders>
            <w:vAlign w:val="top"/>
          </w:tcPr>
          <w:p w14:paraId="797DE013">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可持续影响 指标</w:t>
            </w:r>
          </w:p>
        </w:tc>
        <w:tc>
          <w:tcPr>
            <w:tcW w:w="2565" w:type="dxa"/>
            <w:gridSpan w:val="2"/>
            <w:tcBorders>
              <w:top w:val="single" w:color="auto" w:sz="4" w:space="0"/>
              <w:left w:val="single" w:color="auto" w:sz="4" w:space="0"/>
              <w:bottom w:val="single" w:color="auto" w:sz="4" w:space="0"/>
              <w:right w:val="single" w:color="auto" w:sz="4" w:space="0"/>
            </w:tcBorders>
            <w:vAlign w:val="top"/>
          </w:tcPr>
          <w:p w14:paraId="6209090C">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促进村民对国家政策理解支持率</w:t>
            </w:r>
          </w:p>
        </w:tc>
        <w:tc>
          <w:tcPr>
            <w:tcW w:w="1155" w:type="dxa"/>
            <w:tcBorders>
              <w:left w:val="single" w:color="auto" w:sz="4" w:space="0"/>
            </w:tcBorders>
            <w:vAlign w:val="top"/>
          </w:tcPr>
          <w:p w14:paraId="1FFE895A">
            <w:pPr>
              <w:spacing w:before="116" w:line="218" w:lineRule="auto"/>
              <w:ind w:left="371" w:right="215" w:hanging="180"/>
              <w:jc w:val="center"/>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95%</w:t>
            </w:r>
          </w:p>
        </w:tc>
        <w:tc>
          <w:tcPr>
            <w:tcW w:w="1350" w:type="dxa"/>
            <w:vAlign w:val="top"/>
          </w:tcPr>
          <w:p w14:paraId="2EB80744">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98%</w:t>
            </w:r>
          </w:p>
        </w:tc>
        <w:tc>
          <w:tcPr>
            <w:tcW w:w="1770" w:type="dxa"/>
            <w:vAlign w:val="top"/>
          </w:tcPr>
          <w:p w14:paraId="3BCE1A52">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4E7F8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666" w:type="dxa"/>
            <w:vMerge w:val="continue"/>
            <w:tcBorders>
              <w:top w:val="single" w:color="auto" w:sz="4" w:space="0"/>
              <w:left w:val="single" w:color="auto" w:sz="4" w:space="0"/>
              <w:bottom w:val="single" w:color="auto" w:sz="4" w:space="0"/>
              <w:right w:val="single" w:color="auto" w:sz="4" w:space="0"/>
            </w:tcBorders>
            <w:vAlign w:val="top"/>
          </w:tcPr>
          <w:p w14:paraId="5740C5B5">
            <w:pPr>
              <w:rPr>
                <w:rFonts w:hint="eastAsia" w:ascii="仿宋_GB2312" w:hAnsi="仿宋_GB2312" w:eastAsia="仿宋_GB2312" w:cs="仿宋_GB2312"/>
                <w:sz w:val="21"/>
                <w:szCs w:val="21"/>
              </w:rPr>
            </w:pPr>
          </w:p>
        </w:tc>
        <w:tc>
          <w:tcPr>
            <w:tcW w:w="840" w:type="dxa"/>
            <w:tcBorders>
              <w:top w:val="single" w:color="auto" w:sz="4" w:space="0"/>
              <w:left w:val="single" w:color="auto" w:sz="4" w:space="0"/>
              <w:bottom w:val="single" w:color="auto" w:sz="4" w:space="0"/>
              <w:right w:val="single" w:color="auto" w:sz="4" w:space="0"/>
            </w:tcBorders>
            <w:vAlign w:val="top"/>
          </w:tcPr>
          <w:p w14:paraId="7C3CE9B1">
            <w:pPr>
              <w:spacing w:before="165" w:line="237" w:lineRule="auto"/>
              <w:ind w:left="81"/>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满意度</w:t>
            </w:r>
          </w:p>
          <w:p w14:paraId="75DDD59E">
            <w:pPr>
              <w:spacing w:line="220" w:lineRule="auto"/>
              <w:ind w:left="22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指标</w:t>
            </w:r>
          </w:p>
        </w:tc>
        <w:tc>
          <w:tcPr>
            <w:tcW w:w="1350" w:type="dxa"/>
            <w:tcBorders>
              <w:top w:val="single" w:color="auto" w:sz="4" w:space="0"/>
              <w:left w:val="single" w:color="auto" w:sz="4" w:space="0"/>
              <w:bottom w:val="single" w:color="auto" w:sz="4" w:space="0"/>
              <w:right w:val="single" w:color="auto" w:sz="4" w:space="0"/>
            </w:tcBorders>
            <w:vAlign w:val="top"/>
          </w:tcPr>
          <w:p w14:paraId="348ED16C">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服务对象满</w:t>
            </w:r>
          </w:p>
          <w:p w14:paraId="420D8A6C">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意度指标</w:t>
            </w:r>
          </w:p>
        </w:tc>
        <w:tc>
          <w:tcPr>
            <w:tcW w:w="2565" w:type="dxa"/>
            <w:gridSpan w:val="2"/>
            <w:tcBorders>
              <w:top w:val="single" w:color="auto" w:sz="4" w:space="0"/>
              <w:left w:val="single" w:color="auto" w:sz="4" w:space="0"/>
              <w:bottom w:val="single" w:color="auto" w:sz="4" w:space="0"/>
              <w:right w:val="single" w:color="auto" w:sz="4" w:space="0"/>
            </w:tcBorders>
            <w:vAlign w:val="top"/>
          </w:tcPr>
          <w:p w14:paraId="2EB72DE4">
            <w:pPr>
              <w:spacing w:before="116" w:line="218" w:lineRule="auto"/>
              <w:ind w:right="215"/>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rPr>
              <w:t>全镇镇村组干部、退休干部、遗属人员、群众满意度</w:t>
            </w:r>
          </w:p>
        </w:tc>
        <w:tc>
          <w:tcPr>
            <w:tcW w:w="1155" w:type="dxa"/>
            <w:tcBorders>
              <w:left w:val="single" w:color="auto" w:sz="4" w:space="0"/>
            </w:tcBorders>
            <w:vAlign w:val="top"/>
          </w:tcPr>
          <w:p w14:paraId="4774F1BC">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95%</w:t>
            </w:r>
          </w:p>
        </w:tc>
        <w:tc>
          <w:tcPr>
            <w:tcW w:w="1350" w:type="dxa"/>
            <w:vAlign w:val="top"/>
          </w:tcPr>
          <w:p w14:paraId="5ABC8E14">
            <w:pPr>
              <w:spacing w:before="116" w:line="218" w:lineRule="auto"/>
              <w:ind w:left="371" w:right="215" w:hanging="180"/>
              <w:jc w:val="center"/>
              <w:rPr>
                <w:rFonts w:hint="eastAsia" w:ascii="仿宋_GB2312" w:hAnsi="仿宋_GB2312" w:eastAsia="仿宋_GB2312" w:cs="仿宋_GB2312"/>
                <w:spacing w:val="-3"/>
                <w:sz w:val="21"/>
                <w:szCs w:val="21"/>
              </w:rPr>
            </w:pPr>
            <w:r>
              <w:rPr>
                <w:rFonts w:hint="eastAsia" w:ascii="仿宋_GB2312" w:hAnsi="仿宋_GB2312" w:eastAsia="仿宋_GB2312" w:cs="仿宋_GB2312"/>
                <w:spacing w:val="-3"/>
                <w:sz w:val="21"/>
                <w:szCs w:val="21"/>
                <w:lang w:val="en-US" w:eastAsia="zh-CN"/>
              </w:rPr>
              <w:t>98%</w:t>
            </w:r>
          </w:p>
        </w:tc>
        <w:tc>
          <w:tcPr>
            <w:tcW w:w="1770" w:type="dxa"/>
            <w:vAlign w:val="top"/>
          </w:tcPr>
          <w:p w14:paraId="033B172C">
            <w:pPr>
              <w:spacing w:before="116" w:line="218" w:lineRule="auto"/>
              <w:ind w:left="371" w:right="215" w:hanging="180"/>
              <w:jc w:val="center"/>
              <w:rPr>
                <w:rFonts w:hint="eastAsia" w:ascii="仿宋_GB2312" w:hAnsi="仿宋_GB2312" w:eastAsia="仿宋_GB2312" w:cs="仿宋_GB2312"/>
                <w:spacing w:val="-3"/>
                <w:sz w:val="21"/>
                <w:szCs w:val="21"/>
              </w:rPr>
            </w:pPr>
          </w:p>
        </w:tc>
      </w:tr>
      <w:tr w14:paraId="60AFE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926" w:type="dxa"/>
            <w:gridSpan w:val="7"/>
            <w:tcBorders>
              <w:top w:val="single" w:color="auto" w:sz="4" w:space="0"/>
              <w:left w:val="single" w:color="auto" w:sz="4" w:space="0"/>
              <w:bottom w:val="single" w:color="auto" w:sz="4" w:space="0"/>
            </w:tcBorders>
            <w:vAlign w:val="top"/>
          </w:tcPr>
          <w:p w14:paraId="777E52E6">
            <w:pPr>
              <w:spacing w:before="116" w:line="218" w:lineRule="auto"/>
              <w:ind w:left="371" w:right="215" w:hanging="180"/>
              <w:jc w:val="center"/>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总分</w:t>
            </w:r>
          </w:p>
        </w:tc>
        <w:tc>
          <w:tcPr>
            <w:tcW w:w="1770" w:type="dxa"/>
            <w:vAlign w:val="top"/>
          </w:tcPr>
          <w:p w14:paraId="60034096">
            <w:pPr>
              <w:spacing w:before="116" w:line="218" w:lineRule="auto"/>
              <w:ind w:left="371" w:right="215" w:hanging="180"/>
              <w:jc w:val="center"/>
              <w:rPr>
                <w:rFonts w:hint="eastAsia" w:ascii="仿宋_GB2312" w:hAnsi="仿宋_GB2312" w:eastAsia="仿宋_GB2312" w:cs="仿宋_GB2312"/>
                <w:spacing w:val="-3"/>
                <w:sz w:val="21"/>
                <w:szCs w:val="21"/>
                <w:lang w:val="en-US" w:eastAsia="zh-CN"/>
              </w:rPr>
            </w:pPr>
            <w:r>
              <w:rPr>
                <w:rFonts w:hint="eastAsia" w:ascii="仿宋_GB2312" w:hAnsi="仿宋_GB2312" w:eastAsia="仿宋_GB2312" w:cs="仿宋_GB2312"/>
                <w:spacing w:val="-3"/>
                <w:sz w:val="21"/>
                <w:szCs w:val="21"/>
                <w:lang w:val="en-US" w:eastAsia="zh-CN"/>
              </w:rPr>
              <w:t>99.5</w:t>
            </w:r>
          </w:p>
        </w:tc>
      </w:tr>
    </w:tbl>
    <w:p w14:paraId="483E1B24">
      <w:pPr>
        <w:spacing w:line="320" w:lineRule="auto"/>
        <w:rPr>
          <w:rFonts w:ascii="Times New Roman" w:hAnsi="Times New Roman"/>
          <w:sz w:val="21"/>
        </w:rPr>
      </w:pPr>
    </w:p>
    <w:p w14:paraId="328565B5">
      <w:pPr>
        <w:rPr>
          <w:rFonts w:ascii="Times New Roman" w:hAnsi="Times New Roman"/>
        </w:rPr>
      </w:pPr>
    </w:p>
    <w:p w14:paraId="756EC5F6">
      <w:pPr>
        <w:pStyle w:val="6"/>
        <w:rPr>
          <w:rFonts w:hint="eastAsia" w:hAnsi="宋体" w:cs="宋体"/>
          <w:color w:val="auto"/>
          <w:kern w:val="0"/>
          <w:sz w:val="32"/>
          <w:szCs w:val="32"/>
          <w:highlight w:val="none"/>
          <w:shd w:val="clear" w:color="auto" w:fill="FFFFFF"/>
          <w:lang w:val="zh-CN"/>
        </w:rPr>
      </w:pPr>
    </w:p>
    <w:p w14:paraId="1E1DA523">
      <w:pPr>
        <w:pStyle w:val="6"/>
        <w:rPr>
          <w:rFonts w:hint="eastAsia" w:hAnsi="宋体" w:cs="宋体"/>
          <w:color w:val="auto"/>
          <w:kern w:val="0"/>
          <w:sz w:val="32"/>
          <w:szCs w:val="32"/>
          <w:highlight w:val="none"/>
          <w:shd w:val="clear" w:color="auto" w:fill="FFFFFF"/>
          <w:lang w:val="zh-CN"/>
        </w:rPr>
      </w:pPr>
    </w:p>
    <w:p w14:paraId="5B0EBA0A">
      <w:pPr>
        <w:pStyle w:val="6"/>
        <w:rPr>
          <w:rFonts w:hint="eastAsia" w:hAnsi="宋体" w:cs="宋体"/>
          <w:color w:val="auto"/>
          <w:kern w:val="0"/>
          <w:sz w:val="32"/>
          <w:szCs w:val="32"/>
          <w:highlight w:val="none"/>
          <w:shd w:val="clear" w:color="auto" w:fill="FFFFFF"/>
          <w:lang w:val="zh-CN"/>
        </w:rPr>
      </w:pPr>
    </w:p>
    <w:p w14:paraId="10399729">
      <w:pPr>
        <w:pStyle w:val="6"/>
        <w:rPr>
          <w:rFonts w:hint="eastAsia" w:hAnsi="宋体" w:cs="宋体"/>
          <w:color w:val="auto"/>
          <w:kern w:val="0"/>
          <w:sz w:val="32"/>
          <w:szCs w:val="32"/>
          <w:highlight w:val="none"/>
          <w:shd w:val="clear" w:color="auto" w:fill="FFFFFF"/>
          <w:lang w:val="zh-CN"/>
        </w:rPr>
      </w:pPr>
    </w:p>
    <w:p w14:paraId="46273AC4">
      <w:pPr>
        <w:pStyle w:val="6"/>
        <w:rPr>
          <w:rFonts w:hint="eastAsia" w:hAnsi="宋体" w:cs="宋体"/>
          <w:color w:val="auto"/>
          <w:kern w:val="0"/>
          <w:sz w:val="32"/>
          <w:szCs w:val="32"/>
          <w:highlight w:val="none"/>
          <w:shd w:val="clear" w:color="auto" w:fill="FFFFFF"/>
          <w:lang w:val="zh-CN"/>
        </w:rPr>
      </w:pPr>
    </w:p>
    <w:p w14:paraId="2F847A36">
      <w:pPr>
        <w:pStyle w:val="6"/>
        <w:rPr>
          <w:rFonts w:hint="eastAsia" w:hAnsi="宋体" w:cs="宋体"/>
          <w:color w:val="auto"/>
          <w:kern w:val="0"/>
          <w:sz w:val="32"/>
          <w:szCs w:val="32"/>
          <w:highlight w:val="none"/>
          <w:shd w:val="clear" w:color="auto" w:fill="FFFFFF"/>
          <w:lang w:val="zh-CN"/>
        </w:rPr>
      </w:pPr>
    </w:p>
    <w:p w14:paraId="022C24DC">
      <w:pPr>
        <w:pStyle w:val="6"/>
        <w:rPr>
          <w:rFonts w:hint="eastAsia" w:hAnsi="宋体" w:cs="宋体"/>
          <w:color w:val="auto"/>
          <w:kern w:val="0"/>
          <w:sz w:val="32"/>
          <w:szCs w:val="32"/>
          <w:highlight w:val="none"/>
          <w:shd w:val="clear" w:color="auto" w:fill="FFFFFF"/>
          <w:lang w:val="zh-CN"/>
        </w:rPr>
      </w:pPr>
    </w:p>
    <w:p w14:paraId="02442CC9">
      <w:pPr>
        <w:pStyle w:val="6"/>
        <w:rPr>
          <w:rFonts w:hint="eastAsia" w:hAnsi="宋体" w:cs="宋体"/>
          <w:color w:val="auto"/>
          <w:kern w:val="0"/>
          <w:sz w:val="32"/>
          <w:szCs w:val="32"/>
          <w:highlight w:val="none"/>
          <w:shd w:val="clear" w:color="auto" w:fill="FFFFFF"/>
          <w:lang w:val="zh-CN"/>
        </w:rPr>
      </w:pPr>
    </w:p>
    <w:p w14:paraId="1FCFEBFD">
      <w:pPr>
        <w:pStyle w:val="6"/>
        <w:rPr>
          <w:rFonts w:hint="eastAsia" w:ascii="黑体" w:hAnsi="黑体" w:eastAsia="黑体" w:cs="黑体"/>
          <w:color w:val="auto"/>
          <w:sz w:val="32"/>
          <w:szCs w:val="32"/>
          <w:highlight w:val="none"/>
          <w:lang w:val="en-US" w:eastAsia="zh-CN"/>
        </w:rPr>
      </w:pPr>
      <w:r>
        <w:rPr>
          <w:rFonts w:hint="eastAsia" w:ascii="黑体" w:hAnsi="黑体" w:eastAsia="黑体" w:cs="黑体"/>
          <w:color w:val="auto"/>
          <w:kern w:val="0"/>
          <w:sz w:val="32"/>
          <w:szCs w:val="32"/>
          <w:highlight w:val="none"/>
          <w:shd w:val="clear" w:color="auto" w:fill="FFFFFF"/>
          <w:lang w:val="zh-CN"/>
        </w:rPr>
        <w:t>附件</w:t>
      </w:r>
      <w:r>
        <w:rPr>
          <w:rFonts w:hint="eastAsia" w:ascii="黑体" w:hAnsi="黑体" w:eastAsia="黑体" w:cs="黑体"/>
          <w:color w:val="auto"/>
          <w:kern w:val="0"/>
          <w:sz w:val="32"/>
          <w:szCs w:val="32"/>
          <w:highlight w:val="none"/>
          <w:shd w:val="clear" w:color="auto" w:fill="FFFFFF"/>
          <w:lang w:val="en-US" w:eastAsia="zh-CN"/>
        </w:rPr>
        <w:t>2</w:t>
      </w:r>
    </w:p>
    <w:p w14:paraId="24E3694D">
      <w:pPr>
        <w:snapToGrid w:val="0"/>
        <w:spacing w:line="576" w:lineRule="exact"/>
        <w:jc w:val="center"/>
        <w:rPr>
          <w:rFonts w:hint="eastAsia" w:ascii="方正小标宋简体" w:hAnsi="方正小标宋简体" w:eastAsia="方正小标宋简体" w:cs="方正小标宋简体"/>
          <w:b w:val="0"/>
          <w:bCs w:val="0"/>
          <w:spacing w:val="-20"/>
          <w:sz w:val="44"/>
          <w:szCs w:val="44"/>
        </w:rPr>
      </w:pPr>
      <w:r>
        <w:rPr>
          <w:rFonts w:hint="eastAsia" w:ascii="方正小标宋简体" w:hAnsi="方正小标宋简体" w:eastAsia="方正小标宋简体" w:cs="方正小标宋简体"/>
          <w:b w:val="0"/>
          <w:bCs w:val="0"/>
          <w:spacing w:val="1"/>
          <w:w w:val="88"/>
          <w:kern w:val="0"/>
          <w:sz w:val="44"/>
          <w:szCs w:val="44"/>
          <w:fitText w:val="8800" w:id="851531223"/>
        </w:rPr>
        <w:t>关于</w:t>
      </w:r>
      <w:r>
        <w:rPr>
          <w:rFonts w:hint="eastAsia" w:ascii="方正小标宋简体" w:hAnsi="方正小标宋简体" w:eastAsia="方正小标宋简体" w:cs="方正小标宋简体"/>
          <w:b w:val="0"/>
          <w:bCs w:val="0"/>
          <w:spacing w:val="1"/>
          <w:w w:val="88"/>
          <w:kern w:val="0"/>
          <w:sz w:val="44"/>
          <w:szCs w:val="44"/>
          <w:fitText w:val="8800" w:id="851531223"/>
          <w:lang w:val="zh-CN"/>
        </w:rPr>
        <w:t>2022年基层组织活动和公共服务运行经费</w:t>
      </w:r>
      <w:r>
        <w:rPr>
          <w:rFonts w:hint="eastAsia" w:ascii="方正小标宋简体" w:hAnsi="方正小标宋简体" w:eastAsia="方正小标宋简体" w:cs="方正小标宋简体"/>
          <w:b w:val="0"/>
          <w:bCs w:val="0"/>
          <w:spacing w:val="1"/>
          <w:w w:val="88"/>
          <w:kern w:val="0"/>
          <w:sz w:val="44"/>
          <w:szCs w:val="44"/>
          <w:fitText w:val="8800" w:id="851531223"/>
        </w:rPr>
        <w:t>项</w:t>
      </w:r>
      <w:r>
        <w:rPr>
          <w:rFonts w:hint="eastAsia" w:ascii="方正小标宋简体" w:hAnsi="方正小标宋简体" w:eastAsia="方正小标宋简体" w:cs="方正小标宋简体"/>
          <w:b w:val="0"/>
          <w:bCs w:val="0"/>
          <w:spacing w:val="45"/>
          <w:w w:val="88"/>
          <w:kern w:val="0"/>
          <w:sz w:val="44"/>
          <w:szCs w:val="44"/>
          <w:fitText w:val="8800" w:id="851531223"/>
        </w:rPr>
        <w:t>目</w:t>
      </w:r>
      <w:r>
        <w:rPr>
          <w:rFonts w:hint="eastAsia" w:ascii="方正小标宋简体" w:hAnsi="方正小标宋简体" w:eastAsia="方正小标宋简体" w:cs="方正小标宋简体"/>
          <w:b w:val="0"/>
          <w:bCs w:val="0"/>
          <w:spacing w:val="-20"/>
          <w:sz w:val="44"/>
          <w:szCs w:val="44"/>
        </w:rPr>
        <w:t>支出绩效自评报告</w:t>
      </w:r>
    </w:p>
    <w:p w14:paraId="03A6E7CF">
      <w:pPr>
        <w:pStyle w:val="36"/>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p>
    <w:p w14:paraId="34B9D046">
      <w:pPr>
        <w:keepNext w:val="0"/>
        <w:keepLines w:val="0"/>
        <w:pageBreakBefore w:val="0"/>
        <w:widowControl w:val="0"/>
        <w:numPr>
          <w:ilvl w:val="0"/>
          <w:numId w:val="5"/>
        </w:numPr>
        <w:kinsoku/>
        <w:wordWrap/>
        <w:overflowPunct/>
        <w:topLinePunct w:val="0"/>
        <w:autoSpaceDE/>
        <w:autoSpaceDN/>
        <w:bidi w:val="0"/>
        <w:adjustRightInd w:val="0"/>
        <w:snapToGrid w:val="0"/>
        <w:spacing w:line="576" w:lineRule="exact"/>
        <w:ind w:firstLine="640" w:firstLineChars="200"/>
        <w:textAlignment w:val="auto"/>
        <w:outlineLvl w:val="1"/>
        <w:rPr>
          <w:rFonts w:hint="default" w:ascii="Times New Roman" w:hAnsi="Times New Roman" w:eastAsia="黑体" w:cs="Times New Roman"/>
          <w:sz w:val="32"/>
          <w:szCs w:val="32"/>
          <w:lang w:val="zh-CN"/>
        </w:rPr>
      </w:pPr>
      <w:bookmarkStart w:id="155" w:name="_Toc6801"/>
      <w:bookmarkStart w:id="156" w:name="_Toc22282"/>
      <w:bookmarkStart w:id="157" w:name="_Toc16495"/>
      <w:r>
        <w:rPr>
          <w:rFonts w:hint="default" w:ascii="Times New Roman" w:hAnsi="Times New Roman" w:eastAsia="黑体" w:cs="Times New Roman"/>
          <w:sz w:val="32"/>
          <w:szCs w:val="32"/>
          <w:lang w:val="zh-CN"/>
        </w:rPr>
        <w:t>项目概况</w:t>
      </w:r>
      <w:bookmarkEnd w:id="155"/>
      <w:bookmarkEnd w:id="156"/>
      <w:bookmarkEnd w:id="157"/>
    </w:p>
    <w:p w14:paraId="60093A8B">
      <w:pPr>
        <w:keepNext w:val="0"/>
        <w:keepLines w:val="0"/>
        <w:pageBreakBefore w:val="0"/>
        <w:numPr>
          <w:ilvl w:val="0"/>
          <w:numId w:val="0"/>
        </w:numPr>
        <w:wordWrap/>
        <w:overflowPunct/>
        <w:topLinePunct w:val="0"/>
        <w:bidi w:val="0"/>
        <w:adjustRightInd w:val="0"/>
        <w:snapToGrid w:val="0"/>
        <w:spacing w:line="576" w:lineRule="exact"/>
        <w:ind w:firstLine="643" w:firstLineChars="200"/>
        <w:outlineLvl w:val="2"/>
        <w:rPr>
          <w:rFonts w:hint="eastAsia" w:eastAsia="楷体_GB2312" w:cs="Times New Roman"/>
          <w:b/>
          <w:sz w:val="32"/>
          <w:szCs w:val="32"/>
          <w:lang w:val="zh-CN"/>
        </w:rPr>
      </w:pPr>
      <w:bookmarkStart w:id="158" w:name="_Toc25550"/>
      <w:r>
        <w:rPr>
          <w:rFonts w:hint="eastAsia" w:eastAsia="楷体_GB2312" w:cs="Times New Roman"/>
          <w:b/>
          <w:sz w:val="32"/>
          <w:szCs w:val="32"/>
          <w:lang w:val="zh-CN"/>
        </w:rPr>
        <w:t>（一）项目基本情况</w:t>
      </w:r>
      <w:bookmarkEnd w:id="158"/>
    </w:p>
    <w:p w14:paraId="1458E9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sz w:val="32"/>
          <w:szCs w:val="32"/>
          <w:lang w:val="zh-CN"/>
        </w:rPr>
      </w:pPr>
      <w:r>
        <w:rPr>
          <w:rFonts w:hint="eastAsia" w:ascii="仿宋_GB2312" w:hAnsi="宋体" w:eastAsia="仿宋_GB2312"/>
          <w:sz w:val="32"/>
          <w:szCs w:val="32"/>
        </w:rPr>
        <w:t>根据《广元市昭化区基层组织活动和公共服务运行经费管理使用管理办法》</w:t>
      </w:r>
      <w:r>
        <w:rPr>
          <w:rFonts w:hint="eastAsia" w:ascii="仿宋_GB2312" w:hAnsi="宋体" w:eastAsia="仿宋_GB2312"/>
          <w:sz w:val="32"/>
          <w:szCs w:val="32"/>
          <w:lang w:eastAsia="zh-CN"/>
        </w:rPr>
        <w:t>要求</w:t>
      </w:r>
      <w:r>
        <w:rPr>
          <w:rFonts w:hint="eastAsia" w:ascii="仿宋_GB2312" w:hAnsi="宋体" w:eastAsia="仿宋_GB2312"/>
          <w:sz w:val="32"/>
          <w:szCs w:val="32"/>
        </w:rPr>
        <w:t>，广元市昭化区</w:t>
      </w:r>
      <w:r>
        <w:rPr>
          <w:rFonts w:hint="eastAsia" w:ascii="仿宋_GB2312" w:hAnsi="宋体" w:eastAsia="仿宋_GB2312"/>
          <w:sz w:val="32"/>
          <w:szCs w:val="32"/>
          <w:lang w:eastAsia="zh-CN"/>
        </w:rPr>
        <w:t>磨滩</w:t>
      </w:r>
      <w:r>
        <w:rPr>
          <w:rFonts w:hint="eastAsia" w:ascii="仿宋_GB2312" w:hAnsi="宋体" w:eastAsia="仿宋_GB2312"/>
          <w:sz w:val="32"/>
          <w:szCs w:val="32"/>
        </w:rPr>
        <w:t>镇辖</w:t>
      </w:r>
      <w:r>
        <w:rPr>
          <w:rFonts w:hint="eastAsia" w:ascii="仿宋_GB2312" w:hAnsi="宋体" w:eastAsia="仿宋_GB2312"/>
          <w:sz w:val="32"/>
          <w:szCs w:val="32"/>
          <w:lang w:val="en-US" w:eastAsia="zh-CN"/>
        </w:rPr>
        <w:t>8</w:t>
      </w:r>
      <w:r>
        <w:rPr>
          <w:rFonts w:hint="eastAsia" w:ascii="仿宋_GB2312" w:hAnsi="宋体" w:eastAsia="仿宋_GB2312"/>
          <w:sz w:val="32"/>
          <w:szCs w:val="32"/>
        </w:rPr>
        <w:t>个村1个社区，</w:t>
      </w:r>
      <w:r>
        <w:rPr>
          <w:rFonts w:hint="eastAsia" w:ascii="仿宋_GB2312" w:hAnsi="仿宋_GB2312" w:eastAsia="仿宋_GB2312" w:cs="仿宋_GB2312"/>
          <w:b w:val="0"/>
          <w:bCs/>
          <w:sz w:val="32"/>
          <w:szCs w:val="32"/>
          <w:highlight w:val="none"/>
          <w:lang w:val="zh-CN"/>
        </w:rPr>
        <w:t>金华村、百胜村、龙门场社区、金堂村、中华村、佛岩村</w:t>
      </w:r>
      <w:r>
        <w:rPr>
          <w:rFonts w:hint="eastAsia" w:ascii="仿宋_GB2312" w:hAnsi="仿宋_GB2312" w:eastAsia="仿宋_GB2312" w:cs="仿宋_GB2312"/>
          <w:b w:val="0"/>
          <w:bCs/>
          <w:sz w:val="32"/>
          <w:szCs w:val="32"/>
          <w:highlight w:val="none"/>
          <w:lang w:val="en-US" w:eastAsia="zh-CN"/>
        </w:rPr>
        <w:t>6村</w:t>
      </w:r>
      <w:r>
        <w:rPr>
          <w:rFonts w:hint="eastAsia" w:ascii="仿宋_GB2312" w:hAnsi="仿宋_GB2312" w:eastAsia="仿宋_GB2312" w:cs="仿宋_GB2312"/>
          <w:b w:val="0"/>
          <w:bCs/>
          <w:sz w:val="32"/>
          <w:szCs w:val="32"/>
          <w:highlight w:val="none"/>
        </w:rPr>
        <w:t>按三类村（社区）</w:t>
      </w:r>
      <w:r>
        <w:rPr>
          <w:rFonts w:hint="eastAsia" w:ascii="仿宋_GB2312" w:hAnsi="仿宋_GB2312" w:eastAsia="仿宋_GB2312" w:cs="仿宋_GB2312"/>
          <w:b w:val="0"/>
          <w:bCs/>
          <w:sz w:val="32"/>
          <w:szCs w:val="32"/>
          <w:highlight w:val="none"/>
          <w:lang w:val="zh-CN"/>
        </w:rPr>
        <w:t>计划资金均分别为</w:t>
      </w:r>
      <w:r>
        <w:rPr>
          <w:rFonts w:hint="eastAsia" w:ascii="仿宋_GB2312" w:hAnsi="仿宋_GB2312" w:eastAsia="仿宋_GB2312" w:cs="仿宋_GB2312"/>
          <w:b w:val="0"/>
          <w:bCs/>
          <w:sz w:val="32"/>
          <w:szCs w:val="32"/>
          <w:highlight w:val="none"/>
        </w:rPr>
        <w:t>6万元；</w:t>
      </w:r>
      <w:r>
        <w:rPr>
          <w:rFonts w:hint="eastAsia" w:ascii="仿宋_GB2312" w:hAnsi="仿宋_GB2312" w:eastAsia="仿宋_GB2312" w:cs="仿宋_GB2312"/>
          <w:b w:val="0"/>
          <w:bCs/>
          <w:sz w:val="32"/>
          <w:szCs w:val="32"/>
          <w:highlight w:val="none"/>
          <w:lang w:eastAsia="zh-CN"/>
        </w:rPr>
        <w:t>桂花村、长青村、磨滩村</w:t>
      </w:r>
      <w:r>
        <w:rPr>
          <w:rFonts w:hint="eastAsia" w:ascii="仿宋_GB2312" w:hAnsi="仿宋_GB2312" w:eastAsia="仿宋_GB2312" w:cs="仿宋_GB2312"/>
          <w:b w:val="0"/>
          <w:bCs/>
          <w:sz w:val="32"/>
          <w:szCs w:val="32"/>
          <w:highlight w:val="none"/>
          <w:lang w:val="en-US" w:eastAsia="zh-CN"/>
        </w:rPr>
        <w:t>3</w:t>
      </w:r>
      <w:r>
        <w:rPr>
          <w:rFonts w:hint="eastAsia" w:ascii="仿宋_GB2312" w:hAnsi="仿宋_GB2312" w:eastAsia="仿宋_GB2312" w:cs="仿宋_GB2312"/>
          <w:b w:val="0"/>
          <w:bCs/>
          <w:sz w:val="32"/>
          <w:szCs w:val="32"/>
          <w:highlight w:val="none"/>
        </w:rPr>
        <w:t>村（社区）按二类村（社区）</w:t>
      </w:r>
      <w:r>
        <w:rPr>
          <w:rFonts w:hint="eastAsia" w:ascii="仿宋_GB2312" w:hAnsi="仿宋_GB2312" w:eastAsia="仿宋_GB2312" w:cs="仿宋_GB2312"/>
          <w:b w:val="0"/>
          <w:bCs/>
          <w:sz w:val="32"/>
          <w:szCs w:val="32"/>
          <w:highlight w:val="none"/>
          <w:lang w:val="zh-CN"/>
        </w:rPr>
        <w:t>计划资金分别为</w:t>
      </w:r>
      <w:r>
        <w:rPr>
          <w:rFonts w:hint="eastAsia" w:ascii="仿宋_GB2312" w:hAnsi="仿宋_GB2312" w:eastAsia="仿宋_GB2312" w:cs="仿宋_GB2312"/>
          <w:b w:val="0"/>
          <w:bCs/>
          <w:sz w:val="32"/>
          <w:szCs w:val="32"/>
          <w:highlight w:val="none"/>
        </w:rPr>
        <w:t>7万元；</w:t>
      </w:r>
      <w:r>
        <w:rPr>
          <w:rFonts w:hint="eastAsia" w:ascii="仿宋_GB2312" w:hAnsi="仿宋_GB2312" w:eastAsia="仿宋_GB2312" w:cs="仿宋_GB2312"/>
          <w:b w:val="0"/>
          <w:bCs/>
          <w:sz w:val="32"/>
          <w:szCs w:val="32"/>
          <w:highlight w:val="none"/>
          <w:lang w:val="zh-CN"/>
        </w:rPr>
        <w:t>村（社区）实行报账制度。区级、镇本级资金到位率均为100%。</w:t>
      </w:r>
    </w:p>
    <w:p w14:paraId="35B03DBA">
      <w:pPr>
        <w:keepNext w:val="0"/>
        <w:keepLines w:val="0"/>
        <w:pageBreakBefore w:val="0"/>
        <w:widowControl w:val="0"/>
        <w:numPr>
          <w:ilvl w:val="0"/>
          <w:numId w:val="6"/>
        </w:numPr>
        <w:kinsoku/>
        <w:wordWrap/>
        <w:overflowPunct/>
        <w:topLinePunct w:val="0"/>
        <w:autoSpaceDE/>
        <w:autoSpaceDN/>
        <w:bidi w:val="0"/>
        <w:adjustRightInd w:val="0"/>
        <w:snapToGrid w:val="0"/>
        <w:spacing w:line="576" w:lineRule="exact"/>
        <w:ind w:firstLine="643" w:firstLineChars="200"/>
        <w:textAlignment w:val="auto"/>
        <w:outlineLvl w:val="2"/>
        <w:rPr>
          <w:rFonts w:hint="default" w:ascii="Times New Roman" w:hAnsi="Times New Roman" w:eastAsia="楷体_GB2312" w:cs="Times New Roman"/>
          <w:b/>
          <w:sz w:val="32"/>
          <w:szCs w:val="32"/>
          <w:lang w:val="zh-CN"/>
        </w:rPr>
      </w:pPr>
      <w:bookmarkStart w:id="159" w:name="_Toc16929"/>
      <w:r>
        <w:rPr>
          <w:rFonts w:hint="default" w:ascii="Times New Roman" w:hAnsi="Times New Roman" w:eastAsia="楷体_GB2312" w:cs="Times New Roman"/>
          <w:b/>
          <w:sz w:val="32"/>
          <w:szCs w:val="32"/>
          <w:lang w:val="zh-CN"/>
        </w:rPr>
        <w:t>项目绩效目标</w:t>
      </w:r>
      <w:bookmarkEnd w:id="159"/>
    </w:p>
    <w:p w14:paraId="761F0D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val="zh-CN"/>
        </w:rPr>
      </w:pPr>
      <w:r>
        <w:rPr>
          <w:rFonts w:hint="eastAsia" w:ascii="仿宋_GB2312" w:hAnsi="宋体" w:eastAsia="仿宋_GB2312"/>
          <w:sz w:val="32"/>
          <w:szCs w:val="32"/>
          <w:lang w:val="zh-CN"/>
        </w:rPr>
        <w:t>20</w:t>
      </w:r>
      <w:r>
        <w:rPr>
          <w:rFonts w:hint="eastAsia" w:ascii="仿宋_GB2312" w:hAnsi="宋体" w:eastAsia="仿宋_GB2312"/>
          <w:sz w:val="32"/>
          <w:szCs w:val="32"/>
        </w:rPr>
        <w:t>2</w:t>
      </w:r>
      <w:r>
        <w:rPr>
          <w:rFonts w:hint="eastAsia" w:ascii="仿宋_GB2312" w:hAnsi="宋体" w:eastAsia="仿宋_GB2312"/>
          <w:sz w:val="32"/>
          <w:szCs w:val="32"/>
          <w:lang w:val="en-US" w:eastAsia="zh-CN"/>
        </w:rPr>
        <w:t>2</w:t>
      </w:r>
      <w:r>
        <w:rPr>
          <w:rFonts w:hint="eastAsia" w:ascii="仿宋_GB2312" w:hAnsi="宋体" w:eastAsia="仿宋_GB2312"/>
          <w:sz w:val="32"/>
          <w:szCs w:val="32"/>
          <w:lang w:val="zh-CN"/>
        </w:rPr>
        <w:t>年该项目主要用于磨滩镇</w:t>
      </w:r>
      <w:r>
        <w:rPr>
          <w:rFonts w:hint="eastAsia" w:ascii="仿宋_GB2312" w:hAnsi="宋体" w:eastAsia="仿宋_GB2312"/>
          <w:sz w:val="32"/>
          <w:szCs w:val="32"/>
          <w:lang w:val="en-US" w:eastAsia="zh-CN"/>
        </w:rPr>
        <w:t>8</w:t>
      </w:r>
      <w:r>
        <w:rPr>
          <w:rFonts w:hint="eastAsia" w:ascii="仿宋_GB2312" w:hAnsi="宋体" w:eastAsia="仿宋_GB2312"/>
          <w:sz w:val="32"/>
          <w:szCs w:val="32"/>
          <w:lang w:val="zh-CN"/>
        </w:rPr>
        <w:t>村</w:t>
      </w:r>
      <w:r>
        <w:rPr>
          <w:rFonts w:hint="eastAsia" w:ascii="仿宋_GB2312" w:hAnsi="宋体" w:eastAsia="仿宋_GB2312"/>
          <w:sz w:val="32"/>
          <w:szCs w:val="32"/>
        </w:rPr>
        <w:t>1</w:t>
      </w:r>
      <w:r>
        <w:rPr>
          <w:rFonts w:hint="eastAsia" w:ascii="仿宋_GB2312" w:hAnsi="宋体" w:eastAsia="仿宋_GB2312"/>
          <w:sz w:val="32"/>
          <w:szCs w:val="32"/>
          <w:lang w:val="zh-CN"/>
        </w:rPr>
        <w:t>社区的辖区内道路、水利、供水等基础设施，农村垃圾、园林绿化等；农业科技推广、农业信息化、农业资源与生态保护等；农村生活服务“村村通”、报刊图书阅览服务、文体及健身活动等；农村社会管理环境卫生监督管理、政策宣传、农村土地规划管理、食品安全保障等服务维护活动。</w:t>
      </w:r>
    </w:p>
    <w:p w14:paraId="6548C69A">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outlineLvl w:val="2"/>
        <w:rPr>
          <w:rFonts w:hint="eastAsia" w:ascii="Times New Roman" w:hAnsi="Times New Roman" w:eastAsia="楷体_GB2312" w:cs="Times New Roman"/>
          <w:b/>
          <w:sz w:val="32"/>
          <w:szCs w:val="32"/>
          <w:lang w:val="zh-CN"/>
        </w:rPr>
      </w:pPr>
      <w:bookmarkStart w:id="160" w:name="_Toc200"/>
      <w:r>
        <w:rPr>
          <w:rFonts w:hint="eastAsia" w:ascii="Times New Roman" w:hAnsi="Times New Roman" w:eastAsia="楷体_GB2312" w:cs="Times New Roman"/>
          <w:b/>
          <w:sz w:val="32"/>
          <w:szCs w:val="32"/>
          <w:lang w:val="zh-CN"/>
        </w:rPr>
        <w:t>（</w:t>
      </w:r>
      <w:r>
        <w:rPr>
          <w:rFonts w:hint="eastAsia" w:eastAsia="楷体_GB2312" w:cs="Times New Roman"/>
          <w:b/>
          <w:sz w:val="32"/>
          <w:szCs w:val="32"/>
          <w:lang w:val="zh-CN"/>
        </w:rPr>
        <w:t>三</w:t>
      </w:r>
      <w:r>
        <w:rPr>
          <w:rFonts w:hint="eastAsia" w:ascii="Times New Roman" w:hAnsi="Times New Roman" w:eastAsia="楷体_GB2312" w:cs="Times New Roman"/>
          <w:b/>
          <w:sz w:val="32"/>
          <w:szCs w:val="32"/>
          <w:lang w:val="zh-CN"/>
        </w:rPr>
        <w:t>）自评步骤及方法</w:t>
      </w:r>
      <w:bookmarkEnd w:id="160"/>
    </w:p>
    <w:p w14:paraId="7EECF3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val="zh-CN"/>
        </w:rPr>
      </w:pPr>
      <w:r>
        <w:rPr>
          <w:rFonts w:hint="eastAsia" w:ascii="仿宋_GB2312" w:hAnsi="宋体" w:eastAsia="仿宋_GB2312"/>
          <w:sz w:val="32"/>
          <w:szCs w:val="32"/>
          <w:lang w:val="zh-CN"/>
        </w:rPr>
        <w:t>本项目采取自评与他评相结合方式，成立项目自评小组，结合评价内容，做到有计划，有安排，扎实开展本次自评工作。按照上级下达的项目支出绩效评价指标体系，自评小组针对申报内容、实施情况、资金兑现、财务管理、社会效益等作出自我评价，认真听取村、社区居民建议意见，做好自评工作。</w:t>
      </w:r>
    </w:p>
    <w:p w14:paraId="21973A4A">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en-US" w:eastAsia="zh-CN" w:bidi="ar-SA"/>
        </w:rPr>
      </w:pPr>
      <w:bookmarkStart w:id="161" w:name="_Toc24354"/>
      <w:r>
        <w:rPr>
          <w:rFonts w:hint="default" w:ascii="黑体" w:hAnsi="黑体" w:eastAsia="黑体" w:cs="黑体"/>
          <w:color w:val="auto"/>
          <w:kern w:val="0"/>
          <w:sz w:val="32"/>
          <w:szCs w:val="32"/>
          <w:highlight w:val="none"/>
          <w:lang w:val="en-US" w:eastAsia="zh-CN" w:bidi="ar-SA"/>
        </w:rPr>
        <w:t>二、项目</w:t>
      </w:r>
      <w:r>
        <w:rPr>
          <w:rFonts w:hint="eastAsia" w:ascii="黑体" w:hAnsi="黑体" w:eastAsia="黑体" w:cs="黑体"/>
          <w:color w:val="auto"/>
          <w:kern w:val="0"/>
          <w:sz w:val="32"/>
          <w:szCs w:val="32"/>
          <w:highlight w:val="none"/>
          <w:lang w:val="en-US" w:eastAsia="zh-CN" w:bidi="ar-SA"/>
        </w:rPr>
        <w:t>资金申报及使用情况</w:t>
      </w:r>
      <w:bookmarkEnd w:id="161"/>
    </w:p>
    <w:p w14:paraId="24239A5F">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eastAsia" w:ascii="仿宋" w:hAnsi="仿宋" w:eastAsia="仿宋" w:cs="Times New Roman"/>
          <w:b/>
          <w:color w:val="auto"/>
          <w:sz w:val="32"/>
          <w:szCs w:val="32"/>
          <w:highlight w:val="none"/>
          <w:lang w:val="zh-CN" w:eastAsia="zh-CN"/>
        </w:rPr>
      </w:pPr>
      <w:bookmarkStart w:id="162" w:name="_Toc16276"/>
      <w:r>
        <w:rPr>
          <w:rFonts w:hint="eastAsia" w:ascii="仿宋" w:hAnsi="仿宋" w:eastAsia="仿宋" w:cs="Times New Roman"/>
          <w:b/>
          <w:color w:val="auto"/>
          <w:sz w:val="32"/>
          <w:szCs w:val="32"/>
          <w:highlight w:val="none"/>
          <w:lang w:val="zh-CN" w:eastAsia="zh-CN"/>
        </w:rPr>
        <w:t>（一）项目资金申报及批复情况</w:t>
      </w:r>
      <w:bookmarkEnd w:id="162"/>
    </w:p>
    <w:p w14:paraId="4773A9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val="zh-CN" w:eastAsia="zh-CN"/>
        </w:rPr>
      </w:pPr>
      <w:r>
        <w:rPr>
          <w:rFonts w:hint="eastAsia" w:ascii="仿宋_GB2312" w:hAnsi="宋体" w:eastAsia="仿宋_GB2312"/>
          <w:sz w:val="32"/>
          <w:szCs w:val="32"/>
          <w:lang w:val="en-US" w:eastAsia="zh-CN"/>
        </w:rPr>
        <w:t>2022年基</w:t>
      </w:r>
      <w:r>
        <w:rPr>
          <w:rFonts w:hint="eastAsia" w:ascii="仿宋_GB2312" w:hAnsi="宋体" w:eastAsia="仿宋_GB2312"/>
          <w:sz w:val="32"/>
          <w:szCs w:val="32"/>
          <w:lang w:val="zh-CN" w:eastAsia="zh-CN"/>
        </w:rPr>
        <w:t>层组织活动与公共服务运行经费项目预算</w:t>
      </w:r>
      <w:r>
        <w:rPr>
          <w:rFonts w:hint="eastAsia" w:ascii="仿宋_GB2312" w:hAnsi="宋体" w:eastAsia="仿宋_GB2312"/>
          <w:sz w:val="32"/>
          <w:szCs w:val="32"/>
          <w:lang w:val="en-US" w:eastAsia="zh-CN"/>
        </w:rPr>
        <w:t>57</w:t>
      </w:r>
      <w:r>
        <w:rPr>
          <w:rFonts w:hint="eastAsia" w:ascii="仿宋_GB2312" w:hAnsi="宋体" w:eastAsia="仿宋_GB2312"/>
          <w:sz w:val="32"/>
          <w:szCs w:val="32"/>
          <w:lang w:val="zh-CN" w:eastAsia="zh-CN"/>
        </w:rPr>
        <w:t>万元，区财政批复预算</w:t>
      </w:r>
      <w:r>
        <w:rPr>
          <w:rFonts w:hint="eastAsia" w:ascii="仿宋_GB2312" w:hAnsi="宋体" w:eastAsia="仿宋_GB2312"/>
          <w:sz w:val="32"/>
          <w:szCs w:val="32"/>
          <w:lang w:val="en-US" w:eastAsia="zh-CN"/>
        </w:rPr>
        <w:t>57</w:t>
      </w:r>
      <w:r>
        <w:rPr>
          <w:rFonts w:hint="eastAsia" w:ascii="仿宋_GB2312" w:hAnsi="宋体" w:eastAsia="仿宋_GB2312"/>
          <w:sz w:val="32"/>
          <w:szCs w:val="32"/>
          <w:lang w:val="zh-CN" w:eastAsia="zh-CN"/>
        </w:rPr>
        <w:t>万元，下达资金</w:t>
      </w:r>
      <w:r>
        <w:rPr>
          <w:rFonts w:hint="eastAsia" w:ascii="仿宋_GB2312" w:hAnsi="宋体" w:eastAsia="仿宋_GB2312"/>
          <w:sz w:val="32"/>
          <w:szCs w:val="32"/>
          <w:lang w:val="en-US" w:eastAsia="zh-CN"/>
        </w:rPr>
        <w:t>57万元，资金到位率100%。支付依据符合相关规定，项目资金支付与预算申请相符合。</w:t>
      </w:r>
    </w:p>
    <w:p w14:paraId="6F6C5D4E">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 w:hAnsi="仿宋" w:eastAsia="仿宋" w:cs="Times New Roman"/>
          <w:b/>
          <w:color w:val="auto"/>
          <w:sz w:val="32"/>
          <w:szCs w:val="32"/>
          <w:highlight w:val="none"/>
          <w:lang w:val="zh-CN" w:eastAsia="zh-CN"/>
        </w:rPr>
      </w:pPr>
      <w:bookmarkStart w:id="163" w:name="_Toc3181"/>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项目计划、到位及使用</w:t>
      </w:r>
      <w:r>
        <w:rPr>
          <w:rFonts w:hint="default" w:ascii="仿宋" w:hAnsi="仿宋" w:eastAsia="仿宋" w:cs="Times New Roman"/>
          <w:b/>
          <w:color w:val="auto"/>
          <w:sz w:val="32"/>
          <w:szCs w:val="32"/>
          <w:highlight w:val="none"/>
          <w:lang w:val="zh-CN" w:eastAsia="zh-CN"/>
        </w:rPr>
        <w:t>情况</w:t>
      </w:r>
      <w:bookmarkEnd w:id="163"/>
    </w:p>
    <w:p w14:paraId="4177B9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val="zh-CN" w:eastAsia="zh-CN"/>
        </w:rPr>
      </w:pPr>
      <w:r>
        <w:rPr>
          <w:rFonts w:hint="eastAsia" w:ascii="仿宋_GB2312" w:hAnsi="宋体" w:eastAsia="仿宋_GB2312"/>
          <w:sz w:val="32"/>
          <w:szCs w:val="32"/>
          <w:lang w:val="en-US" w:eastAsia="zh-CN"/>
        </w:rPr>
        <w:t>1.</w:t>
      </w:r>
      <w:r>
        <w:rPr>
          <w:rFonts w:hint="eastAsia" w:ascii="仿宋_GB2312" w:hAnsi="宋体" w:eastAsia="仿宋_GB2312"/>
          <w:sz w:val="32"/>
          <w:szCs w:val="32"/>
          <w:lang w:val="zh-CN" w:eastAsia="zh-CN"/>
        </w:rPr>
        <w:t>资金计划。</w:t>
      </w:r>
      <w:r>
        <w:rPr>
          <w:rFonts w:hint="eastAsia" w:ascii="仿宋_GB2312" w:hAnsi="宋体" w:eastAsia="仿宋_GB2312"/>
          <w:sz w:val="32"/>
          <w:szCs w:val="32"/>
          <w:lang w:val="en-US" w:eastAsia="zh-CN"/>
        </w:rPr>
        <w:t>该</w:t>
      </w:r>
      <w:r>
        <w:rPr>
          <w:rFonts w:hint="eastAsia" w:ascii="仿宋_GB2312" w:hAnsi="宋体" w:eastAsia="仿宋_GB2312"/>
          <w:sz w:val="32"/>
          <w:szCs w:val="32"/>
          <w:lang w:val="zh-CN" w:eastAsia="zh-CN"/>
        </w:rPr>
        <w:t>项目资金来源为财政拨款，总投入为</w:t>
      </w:r>
      <w:r>
        <w:rPr>
          <w:rFonts w:hint="eastAsia" w:ascii="仿宋_GB2312" w:hAnsi="宋体" w:eastAsia="仿宋_GB2312"/>
          <w:sz w:val="32"/>
          <w:szCs w:val="32"/>
          <w:lang w:val="en-US" w:eastAsia="zh-CN"/>
        </w:rPr>
        <w:t>57万元，资金于2022年初部门预算批复到位。</w:t>
      </w:r>
    </w:p>
    <w:p w14:paraId="5895A0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w:t>
      </w:r>
      <w:r>
        <w:rPr>
          <w:rFonts w:hint="eastAsia" w:ascii="仿宋_GB2312" w:hAnsi="宋体" w:eastAsia="仿宋_GB2312"/>
          <w:sz w:val="32"/>
          <w:szCs w:val="32"/>
          <w:lang w:val="zh-CN" w:eastAsia="zh-CN"/>
        </w:rPr>
        <w:t>资金到位。截止评价时点，该项目</w:t>
      </w:r>
      <w:r>
        <w:rPr>
          <w:rFonts w:hint="eastAsia" w:ascii="仿宋_GB2312" w:hAnsi="宋体" w:eastAsia="仿宋_GB2312"/>
          <w:sz w:val="32"/>
          <w:szCs w:val="32"/>
          <w:lang w:val="en-US" w:eastAsia="zh-CN"/>
        </w:rPr>
        <w:t>资金全部到位，资金到位率100%。</w:t>
      </w:r>
    </w:p>
    <w:p w14:paraId="6D48C3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val="zh-CN" w:eastAsia="zh-CN"/>
        </w:rPr>
      </w:pPr>
      <w:r>
        <w:rPr>
          <w:rFonts w:hint="eastAsia" w:ascii="仿宋_GB2312" w:hAnsi="宋体" w:eastAsia="仿宋_GB2312"/>
          <w:sz w:val="32"/>
          <w:szCs w:val="32"/>
          <w:lang w:val="en-US" w:eastAsia="zh-CN"/>
        </w:rPr>
        <w:t>3.</w:t>
      </w:r>
      <w:r>
        <w:rPr>
          <w:rFonts w:hint="eastAsia" w:ascii="仿宋_GB2312" w:hAnsi="宋体" w:eastAsia="仿宋_GB2312"/>
          <w:sz w:val="32"/>
          <w:szCs w:val="32"/>
          <w:lang w:val="zh-CN" w:eastAsia="zh-CN"/>
        </w:rPr>
        <w:t>资金使用。截止评价时点，该项目</w:t>
      </w:r>
      <w:r>
        <w:rPr>
          <w:rFonts w:hint="eastAsia" w:ascii="仿宋_GB2312" w:hAnsi="宋体" w:eastAsia="仿宋_GB2312"/>
          <w:sz w:val="32"/>
          <w:szCs w:val="32"/>
          <w:lang w:val="en-US" w:eastAsia="zh-CN"/>
        </w:rPr>
        <w:t>支付51.21万元，资金使用率89.84%。剩余部分2023年作为存量资金已全部拨付到位，</w:t>
      </w:r>
      <w:r>
        <w:rPr>
          <w:rFonts w:hint="eastAsia" w:ascii="仿宋_GB2312" w:hAnsi="宋体" w:eastAsia="仿宋_GB2312"/>
          <w:sz w:val="32"/>
          <w:szCs w:val="32"/>
          <w:lang w:val="zh-CN" w:eastAsia="zh-CN"/>
        </w:rPr>
        <w:t>资金使用</w:t>
      </w:r>
      <w:r>
        <w:rPr>
          <w:rFonts w:hint="eastAsia" w:ascii="仿宋_GB2312" w:hAnsi="宋体" w:eastAsia="仿宋_GB2312"/>
          <w:sz w:val="32"/>
          <w:szCs w:val="32"/>
          <w:lang w:val="en-US" w:eastAsia="zh-CN"/>
        </w:rPr>
        <w:t>具有</w:t>
      </w:r>
      <w:r>
        <w:rPr>
          <w:rFonts w:hint="eastAsia" w:ascii="仿宋_GB2312" w:hAnsi="宋体" w:eastAsia="仿宋_GB2312"/>
          <w:sz w:val="32"/>
          <w:szCs w:val="32"/>
          <w:lang w:val="zh-CN" w:eastAsia="zh-CN"/>
        </w:rPr>
        <w:t>安全性、规范性、有效性，</w:t>
      </w:r>
      <w:r>
        <w:rPr>
          <w:rFonts w:hint="eastAsia" w:ascii="仿宋_GB2312" w:hAnsi="宋体" w:eastAsia="仿宋_GB2312"/>
          <w:sz w:val="32"/>
          <w:szCs w:val="32"/>
          <w:lang w:val="en-US" w:eastAsia="zh-CN"/>
        </w:rPr>
        <w:t>严格按照</w:t>
      </w:r>
      <w:r>
        <w:rPr>
          <w:rFonts w:hint="eastAsia" w:ascii="仿宋_GB2312" w:hAnsi="宋体" w:eastAsia="仿宋_GB2312"/>
          <w:sz w:val="32"/>
          <w:szCs w:val="32"/>
          <w:lang w:val="zh-CN" w:eastAsia="zh-CN"/>
        </w:rPr>
        <w:t>资金支付范围、支付标准</w:t>
      </w:r>
      <w:r>
        <w:rPr>
          <w:rFonts w:hint="eastAsia" w:ascii="仿宋_GB2312" w:hAnsi="宋体" w:eastAsia="仿宋_GB2312"/>
          <w:sz w:val="32"/>
          <w:szCs w:val="32"/>
          <w:lang w:val="en-US" w:eastAsia="zh-CN"/>
        </w:rPr>
        <w:t>进行支付，</w:t>
      </w:r>
      <w:r>
        <w:rPr>
          <w:rFonts w:hint="eastAsia" w:ascii="仿宋_GB2312" w:hAnsi="宋体" w:eastAsia="仿宋_GB2312"/>
          <w:sz w:val="32"/>
          <w:szCs w:val="32"/>
          <w:lang w:val="zh-CN" w:eastAsia="zh-CN"/>
        </w:rPr>
        <w:t>支付进度、支付依据合规合法、与预算相符。</w:t>
      </w:r>
    </w:p>
    <w:p w14:paraId="040E325E">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outlineLvl w:val="2"/>
        <w:rPr>
          <w:rFonts w:hint="default" w:ascii="Times New Roman" w:hAnsi="Times New Roman" w:eastAsia="楷体_GB2312" w:cs="Times New Roman"/>
          <w:b/>
          <w:sz w:val="32"/>
          <w:szCs w:val="32"/>
          <w:lang w:val="zh-CN"/>
        </w:rPr>
      </w:pPr>
      <w:bookmarkStart w:id="164" w:name="_Toc31046"/>
      <w:r>
        <w:rPr>
          <w:rFonts w:hint="default" w:ascii="Times New Roman" w:hAnsi="Times New Roman" w:eastAsia="楷体_GB2312" w:cs="Times New Roman"/>
          <w:b/>
          <w:sz w:val="32"/>
          <w:szCs w:val="32"/>
          <w:lang w:val="zh-CN"/>
        </w:rPr>
        <w:t>（</w:t>
      </w:r>
      <w:r>
        <w:rPr>
          <w:rFonts w:hint="eastAsia" w:eastAsia="楷体_GB2312" w:cs="Times New Roman"/>
          <w:b/>
          <w:sz w:val="32"/>
          <w:szCs w:val="32"/>
          <w:lang w:val="zh-CN"/>
        </w:rPr>
        <w:t>三</w:t>
      </w:r>
      <w:r>
        <w:rPr>
          <w:rFonts w:hint="default" w:ascii="Times New Roman" w:hAnsi="Times New Roman" w:eastAsia="楷体_GB2312" w:cs="Times New Roman"/>
          <w:b/>
          <w:sz w:val="32"/>
          <w:szCs w:val="32"/>
          <w:lang w:val="zh-CN"/>
        </w:rPr>
        <w:t>）项目财务管理情况</w:t>
      </w:r>
      <w:bookmarkEnd w:id="164"/>
    </w:p>
    <w:p w14:paraId="243C00E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eastAsia="仿宋_GB2312" w:cs="Times New Roman"/>
          <w:sz w:val="32"/>
          <w:szCs w:val="32"/>
          <w:lang w:val="en-US" w:eastAsia="zh-CN"/>
        </w:rPr>
      </w:pPr>
      <w:r>
        <w:rPr>
          <w:rFonts w:hint="eastAsia" w:ascii="仿宋_GB2312" w:hAnsi="Calibri" w:eastAsia="仿宋_GB2312" w:cs="仿宋"/>
          <w:color w:val="auto"/>
          <w:kern w:val="0"/>
          <w:sz w:val="32"/>
          <w:szCs w:val="32"/>
          <w:highlight w:val="none"/>
          <w:lang w:val="en-US" w:eastAsia="zh-CN" w:bidi="ar-SA"/>
        </w:rPr>
        <w:t>磨滩镇基层活动和公共服务运行项目资金采取财政直接支付形式，由各村组织申报材料，形成项目专项资金申请报告报送财务部门，由财政所根据项目进度，严格按照项目资金管理办法对资金进行计划申请、划拨至所提供的第三方指定账户，及时、规范对收支进行账务处理和会计核算。对项目资金坚持专款专用、量入为出的原则，并建立好项目专项资金使用台账，加强项目专项资金的财务管理及使用监督管理。</w:t>
      </w:r>
    </w:p>
    <w:p w14:paraId="3C7A8060">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zh-CN" w:eastAsia="zh-CN" w:bidi="ar-SA"/>
        </w:rPr>
      </w:pPr>
      <w:bookmarkStart w:id="165" w:name="_Toc7872"/>
      <w:bookmarkStart w:id="166" w:name="_Toc397"/>
      <w:r>
        <w:rPr>
          <w:rFonts w:hint="default" w:ascii="黑体" w:hAnsi="黑体" w:eastAsia="黑体" w:cs="黑体"/>
          <w:color w:val="auto"/>
          <w:kern w:val="0"/>
          <w:sz w:val="32"/>
          <w:szCs w:val="32"/>
          <w:highlight w:val="none"/>
          <w:lang w:val="en-US" w:eastAsia="zh-CN" w:bidi="ar-SA"/>
        </w:rPr>
        <w:t>三、项目</w:t>
      </w:r>
      <w:r>
        <w:rPr>
          <w:rFonts w:hint="eastAsia" w:ascii="黑体" w:hAnsi="黑体" w:eastAsia="黑体" w:cs="黑体"/>
          <w:color w:val="auto"/>
          <w:kern w:val="0"/>
          <w:sz w:val="32"/>
          <w:szCs w:val="32"/>
          <w:highlight w:val="none"/>
          <w:lang w:val="en-US" w:eastAsia="zh-CN" w:bidi="ar-SA"/>
        </w:rPr>
        <w:t>实施及管理情况</w:t>
      </w:r>
      <w:bookmarkEnd w:id="165"/>
      <w:r>
        <w:rPr>
          <w:rFonts w:hint="default" w:ascii="黑体" w:hAnsi="黑体" w:eastAsia="黑体" w:cs="黑体"/>
          <w:color w:val="auto"/>
          <w:kern w:val="0"/>
          <w:sz w:val="32"/>
          <w:szCs w:val="32"/>
          <w:highlight w:val="none"/>
          <w:lang w:val="zh-CN" w:eastAsia="zh-CN" w:bidi="ar-SA"/>
        </w:rPr>
        <w:tab/>
      </w:r>
    </w:p>
    <w:p w14:paraId="2D590B4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一</w:t>
      </w: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项目组织架构及实施流程</w:t>
      </w:r>
    </w:p>
    <w:p w14:paraId="40A339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仿宋_GB2312"/>
          <w:sz w:val="32"/>
          <w:szCs w:val="32"/>
          <w:lang w:val="zh-CN"/>
        </w:rPr>
      </w:pPr>
      <w:r>
        <w:rPr>
          <w:rFonts w:hint="eastAsia" w:ascii="仿宋_GB2312" w:hAnsi="Calibri" w:eastAsia="仿宋_GB2312" w:cs="仿宋"/>
          <w:color w:val="auto"/>
          <w:kern w:val="0"/>
          <w:sz w:val="32"/>
          <w:szCs w:val="32"/>
          <w:highlight w:val="none"/>
          <w:lang w:val="zh-CN" w:eastAsia="zh-CN" w:bidi="ar-SA"/>
        </w:rPr>
        <w:t>镇党委政府高度重视</w:t>
      </w:r>
      <w:r>
        <w:rPr>
          <w:rFonts w:hint="eastAsia" w:ascii="仿宋_GB2312" w:hAnsi="Calibri" w:eastAsia="仿宋_GB2312" w:cs="仿宋"/>
          <w:color w:val="auto"/>
          <w:kern w:val="0"/>
          <w:sz w:val="32"/>
          <w:szCs w:val="32"/>
          <w:highlight w:val="none"/>
          <w:lang w:val="en-US" w:eastAsia="zh-CN" w:bidi="ar-SA"/>
        </w:rPr>
        <w:t>基层活动和公共服务运行项目</w:t>
      </w:r>
      <w:r>
        <w:rPr>
          <w:rFonts w:hint="eastAsia" w:ascii="仿宋_GB2312" w:hAnsi="Calibri" w:eastAsia="仿宋_GB2312" w:cs="仿宋"/>
          <w:color w:val="auto"/>
          <w:kern w:val="0"/>
          <w:sz w:val="32"/>
          <w:szCs w:val="32"/>
          <w:highlight w:val="none"/>
          <w:lang w:val="zh-CN" w:eastAsia="zh-CN" w:bidi="ar-SA"/>
        </w:rPr>
        <w:t>，并成立工作领导小组。以镇党委副书记、镇长为组长，各联村（社区）领导为副组长，财政所负责人、各村（社区书记）为成员。抓牢抓实此项目的实施。</w:t>
      </w:r>
    </w:p>
    <w:p w14:paraId="6D95271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二</w:t>
      </w: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项目管理情况</w:t>
      </w:r>
    </w:p>
    <w:p w14:paraId="3096780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项目资金由镇财政所具体管理，按投资计划，制定管理制度，对项目资金按项目单独核算实行“专款专用、专人管理”，不</w:t>
      </w:r>
      <w:r>
        <w:rPr>
          <w:rFonts w:hint="eastAsia" w:ascii="仿宋_GB2312" w:hAnsi="Calibri" w:eastAsia="仿宋_GB2312" w:cs="仿宋"/>
          <w:color w:val="auto"/>
          <w:kern w:val="0"/>
          <w:sz w:val="32"/>
          <w:szCs w:val="32"/>
          <w:highlight w:val="none"/>
          <w:lang w:val="en-US" w:eastAsia="zh-CN" w:bidi="ar-SA"/>
        </w:rPr>
        <w:t>存在</w:t>
      </w:r>
      <w:r>
        <w:rPr>
          <w:rFonts w:hint="eastAsia" w:ascii="仿宋_GB2312" w:hAnsi="Calibri" w:eastAsia="仿宋_GB2312" w:cs="仿宋"/>
          <w:color w:val="auto"/>
          <w:kern w:val="0"/>
          <w:sz w:val="32"/>
          <w:szCs w:val="32"/>
          <w:highlight w:val="none"/>
          <w:lang w:val="zh-CN" w:eastAsia="zh-CN" w:bidi="ar-SA"/>
        </w:rPr>
        <w:t>挤占挪用项目资金。</w:t>
      </w:r>
    </w:p>
    <w:p w14:paraId="2DA341A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200"/>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三</w:t>
      </w: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项目监管情况</w:t>
      </w:r>
    </w:p>
    <w:p w14:paraId="1B0211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项目的正常实施监督检查是保障。我</w:t>
      </w:r>
      <w:r>
        <w:rPr>
          <w:rFonts w:hint="eastAsia" w:ascii="仿宋_GB2312" w:hAnsi="Calibri" w:eastAsia="仿宋_GB2312" w:cs="仿宋"/>
          <w:color w:val="auto"/>
          <w:kern w:val="0"/>
          <w:sz w:val="32"/>
          <w:szCs w:val="32"/>
          <w:highlight w:val="none"/>
          <w:lang w:val="en-US" w:eastAsia="zh-CN" w:bidi="ar-SA"/>
        </w:rPr>
        <w:t>镇</w:t>
      </w:r>
      <w:r>
        <w:rPr>
          <w:rFonts w:hint="eastAsia" w:ascii="仿宋_GB2312" w:hAnsi="Calibri" w:eastAsia="仿宋_GB2312" w:cs="仿宋"/>
          <w:color w:val="auto"/>
          <w:kern w:val="0"/>
          <w:sz w:val="32"/>
          <w:szCs w:val="32"/>
          <w:highlight w:val="none"/>
          <w:lang w:val="zh-CN" w:eastAsia="zh-CN" w:bidi="ar-SA"/>
        </w:rPr>
        <w:t>定期或不定期对项目进行现场检查和督查，确保项目建设质量。</w:t>
      </w:r>
    </w:p>
    <w:p w14:paraId="50E739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Calibri" w:eastAsia="仿宋_GB2312" w:cs="仿宋"/>
          <w:color w:val="auto"/>
          <w:kern w:val="0"/>
          <w:sz w:val="32"/>
          <w:szCs w:val="32"/>
          <w:highlight w:val="none"/>
          <w:lang w:val="en-US" w:eastAsia="zh-CN" w:bidi="ar-SA"/>
        </w:rPr>
      </w:pPr>
    </w:p>
    <w:p w14:paraId="285261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eastAsia="仿宋_GB2312" w:cs="Times New Roman"/>
          <w:sz w:val="32"/>
          <w:szCs w:val="32"/>
          <w:lang w:val="zh-CN"/>
        </w:rPr>
      </w:pPr>
      <w:bookmarkStart w:id="167" w:name="_Toc30642"/>
      <w:bookmarkStart w:id="168" w:name="_Toc27178"/>
      <w:r>
        <w:rPr>
          <w:rFonts w:hint="eastAsia" w:eastAsia="黑体" w:cs="Times New Roman"/>
          <w:sz w:val="32"/>
          <w:szCs w:val="32"/>
          <w:lang w:eastAsia="zh-CN"/>
        </w:rPr>
        <w:t>四</w:t>
      </w:r>
      <w:r>
        <w:rPr>
          <w:rFonts w:hint="default" w:ascii="Times New Roman" w:hAnsi="Times New Roman" w:eastAsia="黑体" w:cs="Times New Roman"/>
          <w:sz w:val="32"/>
          <w:szCs w:val="32"/>
        </w:rPr>
        <w:t>、项目绩效情况</w:t>
      </w:r>
      <w:bookmarkEnd w:id="166"/>
      <w:bookmarkEnd w:id="167"/>
      <w:bookmarkEnd w:id="168"/>
    </w:p>
    <w:p w14:paraId="313F369D">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outlineLvl w:val="2"/>
        <w:rPr>
          <w:rFonts w:hint="default" w:ascii="Times New Roman" w:hAnsi="Times New Roman" w:eastAsia="楷体_GB2312" w:cs="Times New Roman"/>
          <w:b/>
          <w:sz w:val="32"/>
          <w:szCs w:val="32"/>
          <w:lang w:val="zh-CN"/>
        </w:rPr>
      </w:pPr>
      <w:bookmarkStart w:id="169" w:name="_Toc10342"/>
      <w:r>
        <w:rPr>
          <w:rFonts w:hint="default" w:ascii="Times New Roman" w:hAnsi="Times New Roman" w:eastAsia="楷体_GB2312" w:cs="Times New Roman"/>
          <w:b/>
          <w:sz w:val="32"/>
          <w:szCs w:val="32"/>
          <w:lang w:val="zh-CN"/>
        </w:rPr>
        <w:t>（一）项目完成情况</w:t>
      </w:r>
      <w:bookmarkEnd w:id="169"/>
    </w:p>
    <w:p w14:paraId="6EF5B8A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镇党委政府将</w:t>
      </w:r>
      <w:r>
        <w:rPr>
          <w:rFonts w:hint="eastAsia" w:ascii="仿宋_GB2312" w:hAnsi="仿宋_GB2312" w:eastAsia="仿宋_GB2312" w:cs="仿宋_GB2312"/>
          <w:sz w:val="32"/>
          <w:szCs w:val="32"/>
          <w:lang w:val="zh-CN" w:eastAsia="zh-CN"/>
        </w:rPr>
        <w:t>农村公共运行服务项目</w:t>
      </w:r>
      <w:r>
        <w:rPr>
          <w:rFonts w:hint="eastAsia" w:ascii="仿宋_GB2312" w:hAnsi="仿宋_GB2312" w:eastAsia="仿宋_GB2312" w:cs="仿宋_GB2312"/>
          <w:sz w:val="32"/>
          <w:szCs w:val="32"/>
          <w:lang w:val="zh-CN"/>
        </w:rPr>
        <w:t>工作纳入村级目标管理。</w:t>
      </w:r>
      <w:r>
        <w:rPr>
          <w:rFonts w:hint="eastAsia" w:ascii="仿宋_GB2312" w:hAnsi="仿宋_GB2312" w:eastAsia="仿宋_GB2312" w:cs="仿宋_GB2312"/>
          <w:sz w:val="32"/>
          <w:szCs w:val="32"/>
          <w:lang w:val="en-US" w:eastAsia="zh-CN"/>
        </w:rPr>
        <w:t>2022年我镇农村公共运行服务项目：完成了垃圾清运432余次、走访慰问10余次、开展组织活动10余次、人饮维护、村（社区）活动阵地房屋维修，阵地设施设备维护等，项目于2022年12月31日前全部实施完工。</w:t>
      </w:r>
    </w:p>
    <w:p w14:paraId="415904CA">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outlineLvl w:val="2"/>
        <w:rPr>
          <w:rFonts w:hint="default" w:ascii="Times New Roman" w:hAnsi="Times New Roman" w:eastAsia="楷体_GB2312" w:cs="Times New Roman"/>
          <w:b/>
          <w:sz w:val="32"/>
          <w:szCs w:val="32"/>
          <w:lang w:val="zh-CN"/>
        </w:rPr>
      </w:pPr>
      <w:bookmarkStart w:id="170" w:name="_Toc23711"/>
      <w:r>
        <w:rPr>
          <w:rFonts w:hint="default" w:ascii="Times New Roman" w:hAnsi="Times New Roman" w:eastAsia="楷体_GB2312" w:cs="Times New Roman"/>
          <w:b/>
          <w:sz w:val="32"/>
          <w:szCs w:val="32"/>
          <w:lang w:val="zh-CN"/>
        </w:rPr>
        <w:t>（</w:t>
      </w:r>
      <w:r>
        <w:rPr>
          <w:rFonts w:hint="eastAsia" w:eastAsia="楷体_GB2312" w:cs="Times New Roman"/>
          <w:b/>
          <w:sz w:val="32"/>
          <w:szCs w:val="32"/>
          <w:lang w:val="en-US" w:eastAsia="zh-CN"/>
        </w:rPr>
        <w:t>二</w:t>
      </w:r>
      <w:r>
        <w:rPr>
          <w:rFonts w:hint="default" w:ascii="Times New Roman" w:hAnsi="Times New Roman" w:eastAsia="楷体_GB2312" w:cs="Times New Roman"/>
          <w:b/>
          <w:sz w:val="32"/>
          <w:szCs w:val="32"/>
          <w:lang w:val="zh-CN"/>
        </w:rPr>
        <w:t>）项目效益情况</w:t>
      </w:r>
      <w:bookmarkEnd w:id="170"/>
    </w:p>
    <w:p w14:paraId="70316B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宋体" w:eastAsia="仿宋_GB2312"/>
          <w:sz w:val="32"/>
          <w:szCs w:val="32"/>
          <w:lang w:eastAsia="zh-CN"/>
        </w:rPr>
      </w:pPr>
      <w:r>
        <w:rPr>
          <w:rFonts w:hint="eastAsia" w:ascii="仿宋_GB2312" w:hAnsi="宋体" w:eastAsia="仿宋_GB2312"/>
          <w:sz w:val="32"/>
          <w:szCs w:val="32"/>
        </w:rPr>
        <w:t>为切实做好这项工作，省农村综合改革领导小组办公室特制定了《四川省农村公共服务运行维护机制建设工作手册》，结合</w:t>
      </w:r>
      <w:r>
        <w:rPr>
          <w:rFonts w:hint="eastAsia" w:ascii="仿宋_GB2312" w:hAnsi="宋体" w:eastAsia="仿宋_GB2312"/>
          <w:sz w:val="32"/>
          <w:szCs w:val="32"/>
          <w:lang w:eastAsia="zh-CN"/>
        </w:rPr>
        <w:t>我镇</w:t>
      </w:r>
      <w:r>
        <w:rPr>
          <w:rFonts w:hint="eastAsia" w:ascii="仿宋_GB2312" w:hAnsi="宋体" w:eastAsia="仿宋_GB2312"/>
          <w:sz w:val="32"/>
          <w:szCs w:val="32"/>
        </w:rPr>
        <w:t>的实际</w:t>
      </w:r>
      <w:r>
        <w:rPr>
          <w:rFonts w:hint="eastAsia" w:ascii="仿宋_GB2312" w:hAnsi="宋体" w:eastAsia="仿宋_GB2312"/>
          <w:sz w:val="32"/>
          <w:szCs w:val="32"/>
          <w:lang w:eastAsia="zh-CN"/>
        </w:rPr>
        <w:t>实施情况，将改善村（社区）办公场所、公共基础设施、环境卫生条件、提高群众的农技知识、提升群众的生活质量和幸福感、获得群众对政府的满意度和对党的感恩之心。</w:t>
      </w:r>
    </w:p>
    <w:p w14:paraId="62A192B1">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outlineLvl w:val="1"/>
        <w:rPr>
          <w:rFonts w:hint="default" w:ascii="Times New Roman" w:hAnsi="Times New Roman" w:eastAsia="黑体" w:cs="Times New Roman"/>
          <w:sz w:val="32"/>
          <w:szCs w:val="32"/>
        </w:rPr>
      </w:pPr>
      <w:bookmarkStart w:id="171" w:name="_Toc16937"/>
      <w:bookmarkStart w:id="172" w:name="_Toc22256"/>
      <w:bookmarkStart w:id="173" w:name="_Toc10654"/>
      <w:r>
        <w:rPr>
          <w:rFonts w:hint="default" w:ascii="Times New Roman" w:hAnsi="Times New Roman" w:eastAsia="黑体" w:cs="Times New Roman"/>
          <w:sz w:val="32"/>
          <w:szCs w:val="32"/>
        </w:rPr>
        <w:t>四、</w:t>
      </w:r>
      <w:r>
        <w:rPr>
          <w:rFonts w:hint="eastAsia" w:eastAsia="黑体" w:cs="Times New Roman"/>
          <w:sz w:val="32"/>
          <w:szCs w:val="32"/>
          <w:lang w:eastAsia="zh-CN"/>
        </w:rPr>
        <w:t>自评结论及</w:t>
      </w:r>
      <w:r>
        <w:rPr>
          <w:rFonts w:hint="default" w:ascii="Times New Roman" w:hAnsi="Times New Roman" w:eastAsia="黑体" w:cs="Times New Roman"/>
          <w:sz w:val="32"/>
          <w:szCs w:val="32"/>
        </w:rPr>
        <w:t>建议</w:t>
      </w:r>
      <w:bookmarkEnd w:id="171"/>
      <w:bookmarkEnd w:id="172"/>
      <w:bookmarkEnd w:id="173"/>
    </w:p>
    <w:p w14:paraId="50E62FA0">
      <w:pPr>
        <w:keepNext w:val="0"/>
        <w:keepLines w:val="0"/>
        <w:pageBreakBefore w:val="0"/>
        <w:widowControl w:val="0"/>
        <w:kinsoku/>
        <w:wordWrap/>
        <w:overflowPunct/>
        <w:topLinePunct w:val="0"/>
        <w:autoSpaceDE w:val="0"/>
        <w:autoSpaceDN w:val="0"/>
        <w:bidi w:val="0"/>
        <w:adjustRightInd w:val="0"/>
        <w:snapToGrid/>
        <w:spacing w:line="560" w:lineRule="exact"/>
        <w:ind w:firstLine="643" w:firstLineChars="200"/>
        <w:jc w:val="left"/>
        <w:textAlignment w:val="auto"/>
        <w:outlineLvl w:val="2"/>
        <w:rPr>
          <w:rFonts w:hint="eastAsia" w:ascii="Times New Roman" w:hAnsi="Times New Roman" w:eastAsia="楷体_GB2312" w:cs="Times New Roman"/>
          <w:b/>
          <w:sz w:val="32"/>
          <w:szCs w:val="32"/>
          <w:lang w:val="zh-CN" w:eastAsia="zh-CN"/>
        </w:rPr>
      </w:pPr>
      <w:bookmarkStart w:id="174" w:name="_Toc19290"/>
      <w:r>
        <w:rPr>
          <w:rFonts w:hint="eastAsia" w:ascii="Times New Roman" w:hAnsi="Times New Roman" w:eastAsia="楷体_GB2312" w:cs="Times New Roman"/>
          <w:b/>
          <w:sz w:val="32"/>
          <w:szCs w:val="32"/>
          <w:lang w:val="zh-CN" w:eastAsia="zh-CN"/>
        </w:rPr>
        <w:t>（一）评价结论</w:t>
      </w:r>
    </w:p>
    <w:p w14:paraId="5928A560">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outlineLvl w:val="2"/>
        <w:rPr>
          <w:rFonts w:hint="eastAsia" w:eastAsia="仿宋_GB2312" w:cs="Times New Roman"/>
          <w:sz w:val="32"/>
          <w:szCs w:val="32"/>
          <w:lang w:val="zh-CN" w:eastAsia="zh-CN"/>
        </w:rPr>
      </w:pPr>
      <w:r>
        <w:rPr>
          <w:rFonts w:hint="eastAsia" w:ascii="仿宋_GB2312" w:hAnsi="Calibri" w:eastAsia="仿宋_GB2312" w:cs="仿宋"/>
          <w:color w:val="auto"/>
          <w:kern w:val="0"/>
          <w:sz w:val="32"/>
          <w:szCs w:val="32"/>
          <w:highlight w:val="none"/>
          <w:lang w:val="en-US" w:eastAsia="zh-CN" w:bidi="ar-SA"/>
        </w:rPr>
        <w:t>开展</w:t>
      </w:r>
      <w:r>
        <w:rPr>
          <w:rFonts w:hint="eastAsia" w:ascii="仿宋_GB2312" w:hAnsi="Calibri" w:eastAsia="仿宋_GB2312" w:cs="仿宋"/>
          <w:color w:val="auto"/>
          <w:kern w:val="0"/>
          <w:sz w:val="32"/>
          <w:szCs w:val="32"/>
          <w:highlight w:val="none"/>
          <w:lang w:val="zh-CN" w:eastAsia="zh-CN" w:bidi="ar-SA"/>
        </w:rPr>
        <w:t>基层组织活动和农村公共运行维护机制建设工作，是贯彻落实统筹城乡发展战略的重要举措，是完善乡村治理机制的重要抓手，是加强基层民主政治建设的重要平台，是解决农村公共服务差异化需求的重要手段。我镇</w:t>
      </w:r>
      <w:r>
        <w:rPr>
          <w:rFonts w:hint="eastAsia" w:ascii="仿宋_GB2312" w:hAnsi="Calibri" w:eastAsia="仿宋_GB2312" w:cs="仿宋"/>
          <w:color w:val="auto"/>
          <w:kern w:val="0"/>
          <w:sz w:val="32"/>
          <w:szCs w:val="32"/>
          <w:highlight w:val="none"/>
          <w:lang w:val="en-US" w:eastAsia="zh-CN" w:bidi="ar-SA"/>
        </w:rPr>
        <w:t>2022年基层活动和公共服务运行项目</w:t>
      </w:r>
      <w:r>
        <w:rPr>
          <w:rFonts w:hint="eastAsia" w:ascii="仿宋_GB2312" w:hAnsi="Calibri" w:eastAsia="仿宋_GB2312" w:cs="仿宋"/>
          <w:color w:val="auto"/>
          <w:kern w:val="0"/>
          <w:sz w:val="32"/>
          <w:szCs w:val="32"/>
          <w:highlight w:val="none"/>
          <w:lang w:val="zh-CN" w:eastAsia="zh-CN" w:bidi="ar-SA"/>
        </w:rPr>
        <w:t>保障了我镇</w:t>
      </w:r>
      <w:r>
        <w:rPr>
          <w:rFonts w:hint="eastAsia" w:ascii="仿宋_GB2312" w:hAnsi="Calibri" w:eastAsia="仿宋_GB2312" w:cs="仿宋"/>
          <w:color w:val="auto"/>
          <w:kern w:val="0"/>
          <w:sz w:val="32"/>
          <w:szCs w:val="32"/>
          <w:highlight w:val="none"/>
          <w:lang w:val="en-US" w:eastAsia="zh-CN" w:bidi="ar-SA"/>
        </w:rPr>
        <w:t>各村</w:t>
      </w:r>
      <w:r>
        <w:rPr>
          <w:rFonts w:hint="eastAsia" w:ascii="仿宋_GB2312" w:hAnsi="Calibri" w:eastAsia="仿宋_GB2312" w:cs="仿宋"/>
          <w:color w:val="auto"/>
          <w:kern w:val="0"/>
          <w:sz w:val="32"/>
          <w:szCs w:val="32"/>
          <w:highlight w:val="none"/>
          <w:lang w:val="zh-CN" w:eastAsia="zh-CN" w:bidi="ar-SA"/>
        </w:rPr>
        <w:t>完成各项基本工作任务，</w:t>
      </w:r>
      <w:r>
        <w:rPr>
          <w:rFonts w:hint="eastAsia" w:ascii="仿宋_GB2312" w:hAnsi="Calibri" w:eastAsia="仿宋_GB2312" w:cs="仿宋"/>
          <w:color w:val="auto"/>
          <w:kern w:val="0"/>
          <w:sz w:val="32"/>
          <w:szCs w:val="32"/>
          <w:highlight w:val="none"/>
          <w:lang w:val="en-US" w:eastAsia="zh-CN" w:bidi="ar-SA"/>
        </w:rPr>
        <w:t>按照《广元市昭化区人民政府办公室关于印发&lt;广元市昭化区财政支出事后绩效评价管理办法&gt;的通知》(昭府办函〔2022〕37号)绩效评价指标体系开展绩效自评</w:t>
      </w:r>
      <w:r>
        <w:rPr>
          <w:rFonts w:hint="eastAsia" w:ascii="仿宋_GB2312" w:hAnsi="Calibri" w:eastAsia="仿宋_GB2312" w:cs="仿宋"/>
          <w:color w:val="auto"/>
          <w:kern w:val="0"/>
          <w:sz w:val="32"/>
          <w:szCs w:val="32"/>
          <w:highlight w:val="none"/>
          <w:lang w:val="zh-CN" w:eastAsia="zh-CN" w:bidi="ar-SA"/>
        </w:rPr>
        <w:t>，自评得分为</w:t>
      </w:r>
      <w:r>
        <w:rPr>
          <w:rFonts w:hint="eastAsia" w:ascii="仿宋_GB2312" w:hAnsi="Calibri" w:eastAsia="仿宋_GB2312" w:cs="仿宋"/>
          <w:color w:val="auto"/>
          <w:kern w:val="0"/>
          <w:sz w:val="32"/>
          <w:szCs w:val="32"/>
          <w:highlight w:val="none"/>
          <w:lang w:val="en-US" w:eastAsia="zh-CN" w:bidi="ar-SA"/>
        </w:rPr>
        <w:t>98分。</w:t>
      </w:r>
      <w:bookmarkEnd w:id="174"/>
    </w:p>
    <w:p w14:paraId="609CFC65">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outlineLvl w:val="2"/>
        <w:rPr>
          <w:rFonts w:hint="eastAsia" w:ascii="Times New Roman" w:hAnsi="Times New Roman" w:eastAsia="楷体_GB2312" w:cs="Times New Roman"/>
          <w:b/>
          <w:sz w:val="32"/>
          <w:szCs w:val="32"/>
          <w:lang w:val="zh-CN"/>
        </w:rPr>
      </w:pPr>
      <w:bookmarkStart w:id="175" w:name="_Toc265"/>
      <w:r>
        <w:rPr>
          <w:rFonts w:hint="eastAsia" w:ascii="Times New Roman" w:hAnsi="Times New Roman" w:eastAsia="楷体_GB2312" w:cs="Times New Roman"/>
          <w:b/>
          <w:sz w:val="32"/>
          <w:szCs w:val="32"/>
          <w:lang w:val="zh-CN"/>
        </w:rPr>
        <w:t>（二）存在的问题</w:t>
      </w:r>
      <w:bookmarkEnd w:id="175"/>
    </w:p>
    <w:p w14:paraId="26999B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eastAsia="仿宋_GB2312" w:cs="Times New Roman"/>
          <w:sz w:val="32"/>
          <w:szCs w:val="32"/>
          <w:lang w:val="zh-CN" w:eastAsia="zh-CN"/>
        </w:rPr>
      </w:pPr>
      <w:r>
        <w:rPr>
          <w:rFonts w:hint="eastAsia" w:ascii="Times New Roman" w:hAnsi="Times New Roman" w:eastAsia="仿宋_GB2312" w:cs="仿宋_GB2312"/>
          <w:sz w:val="32"/>
          <w:szCs w:val="32"/>
          <w:lang w:val="zh-CN" w:eastAsia="zh-CN"/>
        </w:rPr>
        <w:t>各村（社区）在维护运行过程中存在维护进度缓慢、资金不够等问题，建议在今后的农村公共服务运行维护项目中加强整体规划，融入天气、地理等因素，合理安排、精心规划。</w:t>
      </w:r>
    </w:p>
    <w:p w14:paraId="4624062F">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outlineLvl w:val="2"/>
        <w:rPr>
          <w:rFonts w:hint="eastAsia" w:ascii="Times New Roman" w:hAnsi="Times New Roman" w:eastAsia="楷体_GB2312" w:cs="Times New Roman"/>
          <w:b/>
          <w:sz w:val="32"/>
          <w:szCs w:val="32"/>
          <w:lang w:val="zh-CN"/>
        </w:rPr>
      </w:pPr>
      <w:bookmarkStart w:id="176" w:name="_Toc12332"/>
      <w:r>
        <w:rPr>
          <w:rFonts w:hint="eastAsia" w:ascii="Times New Roman" w:hAnsi="Times New Roman" w:eastAsia="楷体_GB2312" w:cs="Times New Roman"/>
          <w:b/>
          <w:sz w:val="32"/>
          <w:szCs w:val="32"/>
          <w:lang w:val="zh-CN"/>
        </w:rPr>
        <w:t>（三）相关建议</w:t>
      </w:r>
      <w:bookmarkEnd w:id="176"/>
    </w:p>
    <w:p w14:paraId="7810F3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1</w:t>
      </w:r>
      <w:r>
        <w:rPr>
          <w:rFonts w:hint="eastAsia" w:eastAsia="仿宋_GB2312" w:cs="Times New Roman"/>
          <w:sz w:val="32"/>
          <w:szCs w:val="32"/>
          <w:lang w:val="en-US" w:eastAsia="zh-CN"/>
        </w:rPr>
        <w:t>.</w:t>
      </w:r>
      <w:r>
        <w:rPr>
          <w:rFonts w:hint="eastAsia" w:eastAsia="仿宋_GB2312" w:cs="Times New Roman"/>
          <w:sz w:val="32"/>
          <w:szCs w:val="32"/>
          <w:lang w:val="zh-CN" w:eastAsia="zh-CN"/>
        </w:rPr>
        <w:t>加强资金管理，在公共服务运行维护资金的使用范围上严格把关，按规定进行公开透明；</w:t>
      </w:r>
    </w:p>
    <w:p w14:paraId="28CE68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eastAsia="仿宋_GB2312" w:cs="Times New Roman"/>
          <w:sz w:val="32"/>
          <w:szCs w:val="32"/>
          <w:lang w:val="zh-CN" w:eastAsia="zh-CN"/>
        </w:rPr>
      </w:pPr>
      <w:r>
        <w:rPr>
          <w:rFonts w:hint="eastAsia" w:eastAsia="仿宋_GB2312" w:cs="Times New Roman"/>
          <w:sz w:val="32"/>
          <w:szCs w:val="32"/>
          <w:lang w:val="zh-CN" w:eastAsia="zh-CN"/>
        </w:rPr>
        <w:t>2</w:t>
      </w:r>
      <w:r>
        <w:rPr>
          <w:rFonts w:hint="eastAsia" w:eastAsia="仿宋_GB2312" w:cs="Times New Roman"/>
          <w:sz w:val="32"/>
          <w:szCs w:val="32"/>
          <w:lang w:val="en-US" w:eastAsia="zh-CN"/>
        </w:rPr>
        <w:t>.</w:t>
      </w:r>
      <w:r>
        <w:rPr>
          <w:rFonts w:hint="eastAsia" w:eastAsia="仿宋_GB2312" w:cs="Times New Roman"/>
          <w:sz w:val="32"/>
          <w:szCs w:val="32"/>
          <w:lang w:val="zh-CN" w:eastAsia="zh-CN"/>
        </w:rPr>
        <w:t>该项目是国家一项长久的惠民政策。加强该项目资金实施的事前、事中、事后监督，提高项目资金使用精准，加强项目资金的财务核算管理。</w:t>
      </w:r>
    </w:p>
    <w:p w14:paraId="03EB0A4A">
      <w:pPr>
        <w:spacing w:line="580" w:lineRule="exact"/>
        <w:rPr>
          <w:rStyle w:val="30"/>
          <w:rFonts w:ascii="黑体" w:hAnsi="黑体" w:eastAsia="黑体"/>
          <w:b w:val="0"/>
          <w:color w:val="auto"/>
          <w:highlight w:val="none"/>
        </w:rPr>
      </w:pPr>
    </w:p>
    <w:p w14:paraId="68A33B4A">
      <w:r>
        <w:rPr>
          <w:rStyle w:val="30"/>
          <w:rFonts w:ascii="黑体" w:hAnsi="黑体" w:eastAsia="黑体"/>
          <w:b w:val="0"/>
          <w:color w:val="auto"/>
          <w:highlight w:val="none"/>
        </w:rPr>
        <w:br w:type="page"/>
      </w:r>
    </w:p>
    <w:p w14:paraId="21A25EB5">
      <w:pPr>
        <w:spacing w:before="103" w:line="219" w:lineRule="auto"/>
        <w:jc w:val="center"/>
        <w:outlineLvl w:val="1"/>
        <w:rPr>
          <w:rFonts w:ascii="宋体" w:hAnsi="宋体" w:eastAsia="宋体" w:cs="宋体"/>
          <w:sz w:val="34"/>
          <w:szCs w:val="34"/>
        </w:rPr>
      </w:pPr>
      <w:bookmarkStart w:id="177" w:name="_Toc30559"/>
      <w:bookmarkStart w:id="178" w:name="_Toc9829"/>
      <w:bookmarkStart w:id="179" w:name="_Toc9327"/>
      <w:r>
        <w:rPr>
          <w:rFonts w:hint="eastAsia" w:ascii="方正小标宋简体" w:hAnsi="方正小标宋简体" w:eastAsia="方正小标宋简体" w:cs="方正小标宋简体"/>
          <w:b/>
          <w:bCs/>
          <w:spacing w:val="-20"/>
          <w:sz w:val="44"/>
          <w:szCs w:val="44"/>
        </w:rPr>
        <w:t>广元市昭化区财政项目(政策)支出绩效自评表</w:t>
      </w:r>
      <w:bookmarkEnd w:id="177"/>
      <w:bookmarkEnd w:id="178"/>
      <w:bookmarkEnd w:id="179"/>
    </w:p>
    <w:p w14:paraId="78016E1D">
      <w:pPr>
        <w:spacing w:line="134" w:lineRule="exact"/>
      </w:pPr>
    </w:p>
    <w:p w14:paraId="27688E2E">
      <w:pPr>
        <w:pStyle w:val="2"/>
        <w:jc w:val="center"/>
        <w:rPr>
          <w:rFonts w:hint="eastAsia" w:eastAsia="宋体"/>
          <w:lang w:eastAsia="zh-CN"/>
        </w:rPr>
      </w:pPr>
      <w:r>
        <w:rPr>
          <w:rFonts w:hint="eastAsia"/>
          <w:lang w:eastAsia="zh-CN"/>
        </w:rPr>
        <w:t>（</w:t>
      </w:r>
      <w:r>
        <w:rPr>
          <w:rFonts w:hint="eastAsia" w:ascii="宋体" w:hAnsi="宋体" w:eastAsia="宋体" w:cs="宋体"/>
          <w:spacing w:val="32"/>
          <w:sz w:val="22"/>
          <w:szCs w:val="22"/>
          <w:lang w:val="en-US" w:eastAsia="zh-CN"/>
        </w:rPr>
        <w:t>2022</w:t>
      </w:r>
      <w:r>
        <w:rPr>
          <w:rFonts w:ascii="宋体" w:hAnsi="宋体" w:eastAsia="宋体" w:cs="宋体"/>
          <w:spacing w:val="-14"/>
          <w:sz w:val="22"/>
          <w:szCs w:val="22"/>
        </w:rPr>
        <w:t>年度</w:t>
      </w:r>
      <w:r>
        <w:rPr>
          <w:rFonts w:hint="eastAsia"/>
          <w:lang w:eastAsia="zh-CN"/>
        </w:rPr>
        <w:t>）</w:t>
      </w:r>
    </w:p>
    <w:tbl>
      <w:tblPr>
        <w:tblStyle w:val="39"/>
        <w:tblW w:w="91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759"/>
        <w:gridCol w:w="1009"/>
        <w:gridCol w:w="784"/>
        <w:gridCol w:w="1530"/>
        <w:gridCol w:w="1020"/>
        <w:gridCol w:w="885"/>
        <w:gridCol w:w="2490"/>
      </w:tblGrid>
      <w:tr w14:paraId="0840D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463" w:type="dxa"/>
            <w:gridSpan w:val="2"/>
            <w:vAlign w:val="top"/>
          </w:tcPr>
          <w:p w14:paraId="5E6D5353">
            <w:pPr>
              <w:spacing w:before="82" w:line="220" w:lineRule="auto"/>
              <w:ind w:left="75"/>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项目(政策)名称</w:t>
            </w:r>
          </w:p>
        </w:tc>
        <w:tc>
          <w:tcPr>
            <w:tcW w:w="7718" w:type="dxa"/>
            <w:gridSpan w:val="6"/>
            <w:vAlign w:val="top"/>
          </w:tcPr>
          <w:p w14:paraId="06FDDFA2">
            <w:pPr>
              <w:jc w:val="both"/>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202</w:t>
            </w:r>
            <w:r>
              <w:rPr>
                <w:rFonts w:hint="eastAsia" w:ascii="仿宋_GB2312" w:hAnsi="仿宋_GB2312" w:eastAsia="仿宋_GB2312" w:cs="仿宋_GB2312"/>
                <w:spacing w:val="-2"/>
                <w:sz w:val="21"/>
                <w:szCs w:val="21"/>
                <w:lang w:val="en-US" w:eastAsia="zh-CN"/>
              </w:rPr>
              <w:t>2</w:t>
            </w:r>
            <w:r>
              <w:rPr>
                <w:rFonts w:hint="eastAsia" w:ascii="仿宋_GB2312" w:hAnsi="仿宋_GB2312" w:eastAsia="仿宋_GB2312" w:cs="仿宋_GB2312"/>
                <w:spacing w:val="-2"/>
                <w:sz w:val="21"/>
                <w:szCs w:val="21"/>
              </w:rPr>
              <w:t>年基层组织活动和公共服务运行</w:t>
            </w:r>
          </w:p>
        </w:tc>
      </w:tr>
      <w:tr w14:paraId="48CEE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Align w:val="top"/>
          </w:tcPr>
          <w:p w14:paraId="67C544BE">
            <w:pPr>
              <w:spacing w:before="78" w:line="219" w:lineRule="auto"/>
              <w:ind w:left="40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主管部门</w:t>
            </w:r>
          </w:p>
        </w:tc>
        <w:tc>
          <w:tcPr>
            <w:tcW w:w="4343" w:type="dxa"/>
            <w:gridSpan w:val="4"/>
            <w:vAlign w:val="top"/>
          </w:tcPr>
          <w:p w14:paraId="5108EC4C">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eastAsia="zh-CN"/>
              </w:rPr>
              <w:t>磨滩镇</w:t>
            </w:r>
          </w:p>
        </w:tc>
        <w:tc>
          <w:tcPr>
            <w:tcW w:w="885" w:type="dxa"/>
            <w:vAlign w:val="top"/>
          </w:tcPr>
          <w:p w14:paraId="54CFACA3">
            <w:pPr>
              <w:spacing w:before="78" w:line="219"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实施单位</w:t>
            </w:r>
          </w:p>
        </w:tc>
        <w:tc>
          <w:tcPr>
            <w:tcW w:w="2490" w:type="dxa"/>
            <w:vAlign w:val="top"/>
          </w:tcPr>
          <w:p w14:paraId="5BF51583">
            <w:pPr>
              <w:spacing w:before="78" w:line="219" w:lineRule="auto"/>
              <w:jc w:val="center"/>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lang w:eastAsia="zh-CN"/>
              </w:rPr>
              <w:t>磨滩镇</w:t>
            </w:r>
          </w:p>
        </w:tc>
      </w:tr>
      <w:tr w14:paraId="73924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63" w:type="dxa"/>
            <w:gridSpan w:val="2"/>
            <w:vMerge w:val="restart"/>
            <w:tcBorders>
              <w:bottom w:val="nil"/>
            </w:tcBorders>
            <w:vAlign w:val="top"/>
          </w:tcPr>
          <w:p w14:paraId="6D9CC454">
            <w:pPr>
              <w:spacing w:line="279" w:lineRule="auto"/>
              <w:rPr>
                <w:rFonts w:hint="eastAsia" w:ascii="仿宋_GB2312" w:hAnsi="仿宋_GB2312" w:eastAsia="仿宋_GB2312" w:cs="仿宋_GB2312"/>
                <w:sz w:val="21"/>
                <w:szCs w:val="21"/>
              </w:rPr>
            </w:pPr>
          </w:p>
          <w:p w14:paraId="48B5429C">
            <w:pPr>
              <w:spacing w:line="279" w:lineRule="auto"/>
              <w:rPr>
                <w:rFonts w:hint="eastAsia" w:ascii="仿宋_GB2312" w:hAnsi="仿宋_GB2312" w:eastAsia="仿宋_GB2312" w:cs="仿宋_GB2312"/>
                <w:sz w:val="21"/>
                <w:szCs w:val="21"/>
              </w:rPr>
            </w:pPr>
          </w:p>
          <w:p w14:paraId="5E80A767">
            <w:pPr>
              <w:spacing w:line="279" w:lineRule="auto"/>
              <w:rPr>
                <w:rFonts w:hint="eastAsia" w:ascii="仿宋_GB2312" w:hAnsi="仿宋_GB2312" w:eastAsia="仿宋_GB2312" w:cs="仿宋_GB2312"/>
                <w:sz w:val="21"/>
                <w:szCs w:val="21"/>
              </w:rPr>
            </w:pPr>
          </w:p>
          <w:p w14:paraId="770CD560">
            <w:pPr>
              <w:spacing w:line="279" w:lineRule="auto"/>
              <w:rPr>
                <w:rFonts w:hint="eastAsia" w:ascii="仿宋_GB2312" w:hAnsi="仿宋_GB2312" w:eastAsia="仿宋_GB2312" w:cs="仿宋_GB2312"/>
                <w:sz w:val="21"/>
                <w:szCs w:val="21"/>
              </w:rPr>
            </w:pPr>
          </w:p>
          <w:p w14:paraId="3FC5CD1B">
            <w:pPr>
              <w:keepNext w:val="0"/>
              <w:keepLines w:val="0"/>
              <w:pageBreakBefore w:val="0"/>
              <w:widowControl w:val="0"/>
              <w:kinsoku/>
              <w:wordWrap/>
              <w:overflowPunct/>
              <w:topLinePunct w:val="0"/>
              <w:autoSpaceDE/>
              <w:autoSpaceDN/>
              <w:bidi w:val="0"/>
              <w:adjustRightInd/>
              <w:snapToGrid/>
              <w:spacing w:before="55" w:line="560" w:lineRule="exact"/>
              <w:ind w:left="0" w:right="0" w:firstLine="0"/>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项目(政策)资金</w:t>
            </w:r>
            <w:r>
              <w:rPr>
                <w:rFonts w:hint="eastAsia" w:ascii="仿宋_GB2312" w:hAnsi="仿宋_GB2312" w:eastAsia="仿宋_GB2312" w:cs="仿宋_GB2312"/>
                <w:spacing w:val="9"/>
                <w:sz w:val="21"/>
                <w:szCs w:val="21"/>
              </w:rPr>
              <w:t>(万元)</w:t>
            </w:r>
          </w:p>
        </w:tc>
        <w:tc>
          <w:tcPr>
            <w:tcW w:w="1793" w:type="dxa"/>
            <w:gridSpan w:val="2"/>
            <w:vAlign w:val="top"/>
          </w:tcPr>
          <w:p w14:paraId="59362DD1">
            <w:pPr>
              <w:rPr>
                <w:rFonts w:hint="eastAsia" w:ascii="仿宋_GB2312" w:hAnsi="仿宋_GB2312" w:eastAsia="仿宋_GB2312" w:cs="仿宋_GB2312"/>
                <w:sz w:val="21"/>
                <w:szCs w:val="21"/>
              </w:rPr>
            </w:pPr>
          </w:p>
        </w:tc>
        <w:tc>
          <w:tcPr>
            <w:tcW w:w="1530" w:type="dxa"/>
            <w:vAlign w:val="top"/>
          </w:tcPr>
          <w:p w14:paraId="14895DD3">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年初预算数</w:t>
            </w:r>
          </w:p>
        </w:tc>
        <w:tc>
          <w:tcPr>
            <w:tcW w:w="1020" w:type="dxa"/>
            <w:vAlign w:val="top"/>
          </w:tcPr>
          <w:p w14:paraId="1C0FB421">
            <w:pPr>
              <w:spacing w:before="98"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全年预算数</w:t>
            </w:r>
          </w:p>
        </w:tc>
        <w:tc>
          <w:tcPr>
            <w:tcW w:w="885" w:type="dxa"/>
            <w:vAlign w:val="top"/>
          </w:tcPr>
          <w:p w14:paraId="7F6C2E57">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全年执行数</w:t>
            </w:r>
          </w:p>
        </w:tc>
        <w:tc>
          <w:tcPr>
            <w:tcW w:w="2490" w:type="dxa"/>
            <w:vAlign w:val="top"/>
          </w:tcPr>
          <w:p w14:paraId="040CD662">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执行率</w:t>
            </w:r>
          </w:p>
        </w:tc>
      </w:tr>
      <w:tr w14:paraId="2EFB1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Merge w:val="continue"/>
            <w:tcBorders>
              <w:top w:val="nil"/>
              <w:bottom w:val="nil"/>
            </w:tcBorders>
            <w:vAlign w:val="top"/>
          </w:tcPr>
          <w:p w14:paraId="62767D43">
            <w:pPr>
              <w:rPr>
                <w:rFonts w:hint="eastAsia" w:ascii="仿宋_GB2312" w:hAnsi="仿宋_GB2312" w:eastAsia="仿宋_GB2312" w:cs="仿宋_GB2312"/>
                <w:sz w:val="21"/>
                <w:szCs w:val="21"/>
              </w:rPr>
            </w:pPr>
          </w:p>
        </w:tc>
        <w:tc>
          <w:tcPr>
            <w:tcW w:w="1793" w:type="dxa"/>
            <w:gridSpan w:val="2"/>
            <w:vAlign w:val="top"/>
          </w:tcPr>
          <w:p w14:paraId="127DAE97">
            <w:pPr>
              <w:spacing w:before="7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年度资金总额</w:t>
            </w:r>
          </w:p>
        </w:tc>
        <w:tc>
          <w:tcPr>
            <w:tcW w:w="1530" w:type="dxa"/>
            <w:vAlign w:val="top"/>
          </w:tcPr>
          <w:p w14:paraId="0C146FE4">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57</w:t>
            </w:r>
          </w:p>
        </w:tc>
        <w:tc>
          <w:tcPr>
            <w:tcW w:w="1020" w:type="dxa"/>
            <w:vAlign w:val="top"/>
          </w:tcPr>
          <w:p w14:paraId="0C55F73A">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57</w:t>
            </w:r>
          </w:p>
        </w:tc>
        <w:tc>
          <w:tcPr>
            <w:tcW w:w="885" w:type="dxa"/>
            <w:vAlign w:val="top"/>
          </w:tcPr>
          <w:p w14:paraId="1831A402">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51.21</w:t>
            </w:r>
          </w:p>
        </w:tc>
        <w:tc>
          <w:tcPr>
            <w:tcW w:w="2490" w:type="dxa"/>
            <w:vAlign w:val="top"/>
          </w:tcPr>
          <w:p w14:paraId="4C1A162E">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89.84%</w:t>
            </w:r>
          </w:p>
        </w:tc>
      </w:tr>
      <w:tr w14:paraId="063D5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63" w:type="dxa"/>
            <w:gridSpan w:val="2"/>
            <w:vMerge w:val="continue"/>
            <w:tcBorders>
              <w:top w:val="nil"/>
              <w:bottom w:val="nil"/>
            </w:tcBorders>
            <w:vAlign w:val="top"/>
          </w:tcPr>
          <w:p w14:paraId="62FE3EF9">
            <w:pPr>
              <w:rPr>
                <w:rFonts w:hint="eastAsia" w:ascii="仿宋_GB2312" w:hAnsi="仿宋_GB2312" w:eastAsia="仿宋_GB2312" w:cs="仿宋_GB2312"/>
                <w:sz w:val="21"/>
                <w:szCs w:val="21"/>
              </w:rPr>
            </w:pPr>
          </w:p>
        </w:tc>
        <w:tc>
          <w:tcPr>
            <w:tcW w:w="1793" w:type="dxa"/>
            <w:gridSpan w:val="2"/>
            <w:vAlign w:val="top"/>
          </w:tcPr>
          <w:p w14:paraId="4864CD43">
            <w:pPr>
              <w:spacing w:before="10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(一)财政拨款小计</w:t>
            </w:r>
          </w:p>
        </w:tc>
        <w:tc>
          <w:tcPr>
            <w:tcW w:w="1530" w:type="dxa"/>
            <w:vAlign w:val="top"/>
          </w:tcPr>
          <w:p w14:paraId="4B9834EE">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57</w:t>
            </w:r>
          </w:p>
        </w:tc>
        <w:tc>
          <w:tcPr>
            <w:tcW w:w="1020" w:type="dxa"/>
            <w:vAlign w:val="top"/>
          </w:tcPr>
          <w:p w14:paraId="4505B423">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57</w:t>
            </w:r>
          </w:p>
        </w:tc>
        <w:tc>
          <w:tcPr>
            <w:tcW w:w="885" w:type="dxa"/>
            <w:vAlign w:val="top"/>
          </w:tcPr>
          <w:p w14:paraId="4758CDF8">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51.21</w:t>
            </w:r>
          </w:p>
        </w:tc>
        <w:tc>
          <w:tcPr>
            <w:tcW w:w="2490" w:type="dxa"/>
            <w:vAlign w:val="top"/>
          </w:tcPr>
          <w:p w14:paraId="685CAEAC">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en-US" w:eastAsia="zh-CN"/>
              </w:rPr>
              <w:t>89.84%</w:t>
            </w:r>
          </w:p>
        </w:tc>
      </w:tr>
      <w:tr w14:paraId="0A28E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Merge w:val="continue"/>
            <w:tcBorders>
              <w:top w:val="nil"/>
              <w:bottom w:val="nil"/>
            </w:tcBorders>
            <w:vAlign w:val="top"/>
          </w:tcPr>
          <w:p w14:paraId="0AC6AB7A">
            <w:pPr>
              <w:rPr>
                <w:rFonts w:hint="eastAsia" w:ascii="仿宋_GB2312" w:hAnsi="仿宋_GB2312" w:eastAsia="仿宋_GB2312" w:cs="仿宋_GB2312"/>
                <w:sz w:val="21"/>
                <w:szCs w:val="21"/>
              </w:rPr>
            </w:pPr>
          </w:p>
        </w:tc>
        <w:tc>
          <w:tcPr>
            <w:tcW w:w="1793" w:type="dxa"/>
            <w:gridSpan w:val="2"/>
            <w:vAlign w:val="top"/>
          </w:tcPr>
          <w:p w14:paraId="2909F528">
            <w:pPr>
              <w:spacing w:before="80"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1.一般公共预算</w:t>
            </w:r>
          </w:p>
        </w:tc>
        <w:tc>
          <w:tcPr>
            <w:tcW w:w="1530" w:type="dxa"/>
            <w:vAlign w:val="top"/>
          </w:tcPr>
          <w:p w14:paraId="12574022">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57</w:t>
            </w:r>
          </w:p>
        </w:tc>
        <w:tc>
          <w:tcPr>
            <w:tcW w:w="1020" w:type="dxa"/>
            <w:vAlign w:val="top"/>
          </w:tcPr>
          <w:p w14:paraId="04D1FB3D">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57</w:t>
            </w:r>
          </w:p>
        </w:tc>
        <w:tc>
          <w:tcPr>
            <w:tcW w:w="885" w:type="dxa"/>
            <w:vAlign w:val="top"/>
          </w:tcPr>
          <w:p w14:paraId="3F741352">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51.21</w:t>
            </w:r>
          </w:p>
        </w:tc>
        <w:tc>
          <w:tcPr>
            <w:tcW w:w="2490" w:type="dxa"/>
            <w:vAlign w:val="top"/>
          </w:tcPr>
          <w:p w14:paraId="1AC32BD7">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en-US" w:eastAsia="zh-CN"/>
              </w:rPr>
              <w:t>89.84%</w:t>
            </w:r>
          </w:p>
        </w:tc>
      </w:tr>
      <w:tr w14:paraId="7BCE3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63" w:type="dxa"/>
            <w:gridSpan w:val="2"/>
            <w:vMerge w:val="continue"/>
            <w:tcBorders>
              <w:top w:val="nil"/>
              <w:bottom w:val="nil"/>
            </w:tcBorders>
            <w:vAlign w:val="top"/>
          </w:tcPr>
          <w:p w14:paraId="7E25D64D">
            <w:pPr>
              <w:rPr>
                <w:rFonts w:hint="eastAsia" w:ascii="仿宋_GB2312" w:hAnsi="仿宋_GB2312" w:eastAsia="仿宋_GB2312" w:cs="仿宋_GB2312"/>
                <w:sz w:val="21"/>
                <w:szCs w:val="21"/>
              </w:rPr>
            </w:pPr>
          </w:p>
        </w:tc>
        <w:tc>
          <w:tcPr>
            <w:tcW w:w="1793" w:type="dxa"/>
            <w:gridSpan w:val="2"/>
            <w:vAlign w:val="top"/>
          </w:tcPr>
          <w:p w14:paraId="57425AFC">
            <w:pPr>
              <w:spacing w:before="78"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2.政府性基金</w:t>
            </w:r>
          </w:p>
        </w:tc>
        <w:tc>
          <w:tcPr>
            <w:tcW w:w="1530" w:type="dxa"/>
            <w:vAlign w:val="top"/>
          </w:tcPr>
          <w:p w14:paraId="7FA55BAC">
            <w:pPr>
              <w:rPr>
                <w:rFonts w:hint="eastAsia" w:ascii="仿宋_GB2312" w:hAnsi="仿宋_GB2312" w:eastAsia="仿宋_GB2312" w:cs="仿宋_GB2312"/>
                <w:sz w:val="21"/>
                <w:szCs w:val="21"/>
              </w:rPr>
            </w:pPr>
          </w:p>
        </w:tc>
        <w:tc>
          <w:tcPr>
            <w:tcW w:w="1020" w:type="dxa"/>
            <w:vAlign w:val="top"/>
          </w:tcPr>
          <w:p w14:paraId="020B33B1">
            <w:pPr>
              <w:rPr>
                <w:rFonts w:hint="eastAsia" w:ascii="仿宋_GB2312" w:hAnsi="仿宋_GB2312" w:eastAsia="仿宋_GB2312" w:cs="仿宋_GB2312"/>
                <w:sz w:val="21"/>
                <w:szCs w:val="21"/>
              </w:rPr>
            </w:pPr>
          </w:p>
        </w:tc>
        <w:tc>
          <w:tcPr>
            <w:tcW w:w="885" w:type="dxa"/>
            <w:vAlign w:val="top"/>
          </w:tcPr>
          <w:p w14:paraId="3906AA63">
            <w:pPr>
              <w:rPr>
                <w:rFonts w:hint="eastAsia" w:ascii="仿宋_GB2312" w:hAnsi="仿宋_GB2312" w:eastAsia="仿宋_GB2312" w:cs="仿宋_GB2312"/>
                <w:sz w:val="21"/>
                <w:szCs w:val="21"/>
              </w:rPr>
            </w:pPr>
          </w:p>
        </w:tc>
        <w:tc>
          <w:tcPr>
            <w:tcW w:w="2490" w:type="dxa"/>
            <w:vAlign w:val="top"/>
          </w:tcPr>
          <w:p w14:paraId="52E2CF43">
            <w:pPr>
              <w:rPr>
                <w:rFonts w:hint="eastAsia" w:ascii="仿宋_GB2312" w:hAnsi="仿宋_GB2312" w:eastAsia="仿宋_GB2312" w:cs="仿宋_GB2312"/>
                <w:sz w:val="21"/>
                <w:szCs w:val="21"/>
              </w:rPr>
            </w:pPr>
          </w:p>
        </w:tc>
      </w:tr>
      <w:tr w14:paraId="5C29A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463" w:type="dxa"/>
            <w:gridSpan w:val="2"/>
            <w:vMerge w:val="continue"/>
            <w:tcBorders>
              <w:top w:val="nil"/>
              <w:bottom w:val="nil"/>
            </w:tcBorders>
            <w:vAlign w:val="top"/>
          </w:tcPr>
          <w:p w14:paraId="60AC6955">
            <w:pPr>
              <w:rPr>
                <w:rFonts w:hint="eastAsia" w:ascii="仿宋_GB2312" w:hAnsi="仿宋_GB2312" w:eastAsia="仿宋_GB2312" w:cs="仿宋_GB2312"/>
                <w:sz w:val="21"/>
                <w:szCs w:val="21"/>
              </w:rPr>
            </w:pPr>
          </w:p>
        </w:tc>
        <w:tc>
          <w:tcPr>
            <w:tcW w:w="1793" w:type="dxa"/>
            <w:gridSpan w:val="2"/>
            <w:vAlign w:val="top"/>
          </w:tcPr>
          <w:p w14:paraId="489A8E22">
            <w:pPr>
              <w:spacing w:before="11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3.国有资本经营预算</w:t>
            </w:r>
          </w:p>
        </w:tc>
        <w:tc>
          <w:tcPr>
            <w:tcW w:w="1530" w:type="dxa"/>
            <w:vAlign w:val="top"/>
          </w:tcPr>
          <w:p w14:paraId="6452E488">
            <w:pPr>
              <w:rPr>
                <w:rFonts w:hint="eastAsia" w:ascii="仿宋_GB2312" w:hAnsi="仿宋_GB2312" w:eastAsia="仿宋_GB2312" w:cs="仿宋_GB2312"/>
                <w:sz w:val="21"/>
                <w:szCs w:val="21"/>
              </w:rPr>
            </w:pPr>
          </w:p>
        </w:tc>
        <w:tc>
          <w:tcPr>
            <w:tcW w:w="1020" w:type="dxa"/>
            <w:vAlign w:val="top"/>
          </w:tcPr>
          <w:p w14:paraId="38E19506">
            <w:pPr>
              <w:rPr>
                <w:rFonts w:hint="eastAsia" w:ascii="仿宋_GB2312" w:hAnsi="仿宋_GB2312" w:eastAsia="仿宋_GB2312" w:cs="仿宋_GB2312"/>
                <w:sz w:val="21"/>
                <w:szCs w:val="21"/>
              </w:rPr>
            </w:pPr>
          </w:p>
        </w:tc>
        <w:tc>
          <w:tcPr>
            <w:tcW w:w="885" w:type="dxa"/>
            <w:vAlign w:val="top"/>
          </w:tcPr>
          <w:p w14:paraId="2F5D5394">
            <w:pPr>
              <w:rPr>
                <w:rFonts w:hint="eastAsia" w:ascii="仿宋_GB2312" w:hAnsi="仿宋_GB2312" w:eastAsia="仿宋_GB2312" w:cs="仿宋_GB2312"/>
                <w:sz w:val="21"/>
                <w:szCs w:val="21"/>
              </w:rPr>
            </w:pPr>
          </w:p>
        </w:tc>
        <w:tc>
          <w:tcPr>
            <w:tcW w:w="2490" w:type="dxa"/>
            <w:vAlign w:val="top"/>
          </w:tcPr>
          <w:p w14:paraId="4D0FD5BB">
            <w:pPr>
              <w:rPr>
                <w:rFonts w:hint="eastAsia" w:ascii="仿宋_GB2312" w:hAnsi="仿宋_GB2312" w:eastAsia="仿宋_GB2312" w:cs="仿宋_GB2312"/>
                <w:sz w:val="21"/>
                <w:szCs w:val="21"/>
              </w:rPr>
            </w:pPr>
          </w:p>
        </w:tc>
      </w:tr>
      <w:tr w14:paraId="0C01E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Merge w:val="continue"/>
            <w:tcBorders>
              <w:top w:val="nil"/>
              <w:bottom w:val="nil"/>
            </w:tcBorders>
            <w:vAlign w:val="top"/>
          </w:tcPr>
          <w:p w14:paraId="673EA3B2">
            <w:pPr>
              <w:rPr>
                <w:rFonts w:hint="eastAsia" w:ascii="仿宋_GB2312" w:hAnsi="仿宋_GB2312" w:eastAsia="仿宋_GB2312" w:cs="仿宋_GB2312"/>
                <w:sz w:val="21"/>
                <w:szCs w:val="21"/>
              </w:rPr>
            </w:pPr>
          </w:p>
        </w:tc>
        <w:tc>
          <w:tcPr>
            <w:tcW w:w="1793" w:type="dxa"/>
            <w:gridSpan w:val="2"/>
            <w:vAlign w:val="top"/>
          </w:tcPr>
          <w:p w14:paraId="56A21F37">
            <w:pPr>
              <w:spacing w:before="82"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4.社保基金</w:t>
            </w:r>
          </w:p>
        </w:tc>
        <w:tc>
          <w:tcPr>
            <w:tcW w:w="1530" w:type="dxa"/>
            <w:vAlign w:val="top"/>
          </w:tcPr>
          <w:p w14:paraId="05698610">
            <w:pPr>
              <w:rPr>
                <w:rFonts w:hint="eastAsia" w:ascii="仿宋_GB2312" w:hAnsi="仿宋_GB2312" w:eastAsia="仿宋_GB2312" w:cs="仿宋_GB2312"/>
                <w:sz w:val="21"/>
                <w:szCs w:val="21"/>
              </w:rPr>
            </w:pPr>
          </w:p>
        </w:tc>
        <w:tc>
          <w:tcPr>
            <w:tcW w:w="1020" w:type="dxa"/>
            <w:vAlign w:val="top"/>
          </w:tcPr>
          <w:p w14:paraId="7D49D39D">
            <w:pPr>
              <w:rPr>
                <w:rFonts w:hint="eastAsia" w:ascii="仿宋_GB2312" w:hAnsi="仿宋_GB2312" w:eastAsia="仿宋_GB2312" w:cs="仿宋_GB2312"/>
                <w:sz w:val="21"/>
                <w:szCs w:val="21"/>
              </w:rPr>
            </w:pPr>
          </w:p>
        </w:tc>
        <w:tc>
          <w:tcPr>
            <w:tcW w:w="885" w:type="dxa"/>
            <w:vAlign w:val="top"/>
          </w:tcPr>
          <w:p w14:paraId="5604273D">
            <w:pPr>
              <w:rPr>
                <w:rFonts w:hint="eastAsia" w:ascii="仿宋_GB2312" w:hAnsi="仿宋_GB2312" w:eastAsia="仿宋_GB2312" w:cs="仿宋_GB2312"/>
                <w:sz w:val="21"/>
                <w:szCs w:val="21"/>
              </w:rPr>
            </w:pPr>
          </w:p>
        </w:tc>
        <w:tc>
          <w:tcPr>
            <w:tcW w:w="2490" w:type="dxa"/>
            <w:vAlign w:val="top"/>
          </w:tcPr>
          <w:p w14:paraId="41243EE9">
            <w:pPr>
              <w:rPr>
                <w:rFonts w:hint="eastAsia" w:ascii="仿宋_GB2312" w:hAnsi="仿宋_GB2312" w:eastAsia="仿宋_GB2312" w:cs="仿宋_GB2312"/>
                <w:sz w:val="21"/>
                <w:szCs w:val="21"/>
              </w:rPr>
            </w:pPr>
          </w:p>
        </w:tc>
      </w:tr>
      <w:tr w14:paraId="4AC8E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63" w:type="dxa"/>
            <w:gridSpan w:val="2"/>
            <w:vMerge w:val="continue"/>
            <w:tcBorders>
              <w:top w:val="nil"/>
            </w:tcBorders>
            <w:vAlign w:val="top"/>
          </w:tcPr>
          <w:p w14:paraId="05D54CBD">
            <w:pPr>
              <w:rPr>
                <w:rFonts w:hint="eastAsia" w:ascii="仿宋_GB2312" w:hAnsi="仿宋_GB2312" w:eastAsia="仿宋_GB2312" w:cs="仿宋_GB2312"/>
                <w:sz w:val="21"/>
                <w:szCs w:val="21"/>
              </w:rPr>
            </w:pPr>
          </w:p>
        </w:tc>
        <w:tc>
          <w:tcPr>
            <w:tcW w:w="1793" w:type="dxa"/>
            <w:gridSpan w:val="2"/>
            <w:vAlign w:val="top"/>
          </w:tcPr>
          <w:p w14:paraId="5C8A3E58">
            <w:pPr>
              <w:spacing w:before="112" w:line="220"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(二)其他资金</w:t>
            </w:r>
          </w:p>
        </w:tc>
        <w:tc>
          <w:tcPr>
            <w:tcW w:w="1530" w:type="dxa"/>
            <w:vAlign w:val="top"/>
          </w:tcPr>
          <w:p w14:paraId="02C54008">
            <w:pPr>
              <w:rPr>
                <w:rFonts w:hint="eastAsia" w:ascii="仿宋_GB2312" w:hAnsi="仿宋_GB2312" w:eastAsia="仿宋_GB2312" w:cs="仿宋_GB2312"/>
                <w:sz w:val="21"/>
                <w:szCs w:val="21"/>
              </w:rPr>
            </w:pPr>
          </w:p>
        </w:tc>
        <w:tc>
          <w:tcPr>
            <w:tcW w:w="1020" w:type="dxa"/>
            <w:vAlign w:val="top"/>
          </w:tcPr>
          <w:p w14:paraId="30AB105E">
            <w:pPr>
              <w:rPr>
                <w:rFonts w:hint="eastAsia" w:ascii="仿宋_GB2312" w:hAnsi="仿宋_GB2312" w:eastAsia="仿宋_GB2312" w:cs="仿宋_GB2312"/>
                <w:sz w:val="21"/>
                <w:szCs w:val="21"/>
              </w:rPr>
            </w:pPr>
          </w:p>
        </w:tc>
        <w:tc>
          <w:tcPr>
            <w:tcW w:w="885" w:type="dxa"/>
            <w:vAlign w:val="top"/>
          </w:tcPr>
          <w:p w14:paraId="4A3151FA">
            <w:pPr>
              <w:rPr>
                <w:rFonts w:hint="eastAsia" w:ascii="仿宋_GB2312" w:hAnsi="仿宋_GB2312" w:eastAsia="仿宋_GB2312" w:cs="仿宋_GB2312"/>
                <w:sz w:val="21"/>
                <w:szCs w:val="21"/>
              </w:rPr>
            </w:pPr>
          </w:p>
        </w:tc>
        <w:tc>
          <w:tcPr>
            <w:tcW w:w="2490" w:type="dxa"/>
            <w:vAlign w:val="top"/>
          </w:tcPr>
          <w:p w14:paraId="19767796">
            <w:pPr>
              <w:rPr>
                <w:rFonts w:hint="eastAsia" w:ascii="仿宋_GB2312" w:hAnsi="仿宋_GB2312" w:eastAsia="仿宋_GB2312" w:cs="仿宋_GB2312"/>
                <w:sz w:val="21"/>
                <w:szCs w:val="21"/>
              </w:rPr>
            </w:pPr>
          </w:p>
        </w:tc>
      </w:tr>
      <w:tr w14:paraId="2E9CD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04" w:type="dxa"/>
            <w:vMerge w:val="restart"/>
            <w:tcBorders>
              <w:bottom w:val="nil"/>
            </w:tcBorders>
            <w:vAlign w:val="top"/>
          </w:tcPr>
          <w:p w14:paraId="30962E58">
            <w:pPr>
              <w:spacing w:line="385" w:lineRule="auto"/>
              <w:rPr>
                <w:rFonts w:hint="eastAsia" w:ascii="仿宋_GB2312" w:hAnsi="仿宋_GB2312" w:eastAsia="仿宋_GB2312" w:cs="仿宋_GB2312"/>
                <w:sz w:val="21"/>
                <w:szCs w:val="21"/>
              </w:rPr>
            </w:pPr>
          </w:p>
          <w:p w14:paraId="0C44F089">
            <w:pPr>
              <w:spacing w:before="55" w:line="219" w:lineRule="auto"/>
              <w:ind w:left="194" w:right="2" w:hanging="139"/>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年度总体</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6"/>
                <w:sz w:val="21"/>
                <w:szCs w:val="21"/>
              </w:rPr>
              <w:t>目标</w:t>
            </w:r>
          </w:p>
        </w:tc>
        <w:tc>
          <w:tcPr>
            <w:tcW w:w="5987" w:type="dxa"/>
            <w:gridSpan w:val="6"/>
            <w:vAlign w:val="top"/>
          </w:tcPr>
          <w:p w14:paraId="218F0E37">
            <w:pPr>
              <w:spacing w:before="183"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预期目标</w:t>
            </w:r>
          </w:p>
        </w:tc>
        <w:tc>
          <w:tcPr>
            <w:tcW w:w="2490" w:type="dxa"/>
            <w:vAlign w:val="top"/>
          </w:tcPr>
          <w:p w14:paraId="6C2B988A">
            <w:pPr>
              <w:spacing w:before="183" w:line="220"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完成情况</w:t>
            </w:r>
          </w:p>
        </w:tc>
      </w:tr>
      <w:tr w14:paraId="5AEE4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704" w:type="dxa"/>
            <w:vMerge w:val="continue"/>
            <w:tcBorders>
              <w:top w:val="nil"/>
              <w:bottom w:val="single" w:color="auto" w:sz="4" w:space="0"/>
            </w:tcBorders>
            <w:vAlign w:val="top"/>
          </w:tcPr>
          <w:p w14:paraId="41A66C29">
            <w:pPr>
              <w:rPr>
                <w:rFonts w:hint="eastAsia" w:ascii="仿宋_GB2312" w:hAnsi="仿宋_GB2312" w:eastAsia="仿宋_GB2312" w:cs="仿宋_GB2312"/>
                <w:sz w:val="21"/>
                <w:szCs w:val="21"/>
              </w:rPr>
            </w:pPr>
          </w:p>
        </w:tc>
        <w:tc>
          <w:tcPr>
            <w:tcW w:w="5987" w:type="dxa"/>
            <w:gridSpan w:val="6"/>
            <w:tcBorders>
              <w:bottom w:val="single" w:color="auto" w:sz="4" w:space="0"/>
            </w:tcBorders>
            <w:vAlign w:val="top"/>
          </w:tcPr>
          <w:p w14:paraId="3FD37489">
            <w:pP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加强基层组织建设，提高公共运行服务保障水平和社会治理能力，按照《广元市昭化区基层活动和公共服务运行经费使用管理办法》，开展组织活动全镇全年不少于10次，党员干部培训全镇全年不少于10次，走访慰问全镇每年不少于10次，全年清运垃圾次数432次，完成8个村1个社区组织活动场所维护、基础设施维护，维持8个村1个社区日常办公运转以及“村能办”便民服务平台建设。</w:t>
            </w:r>
          </w:p>
        </w:tc>
        <w:tc>
          <w:tcPr>
            <w:tcW w:w="2490" w:type="dxa"/>
            <w:vAlign w:val="top"/>
          </w:tcPr>
          <w:p w14:paraId="5B62A869">
            <w:pPr>
              <w:spacing w:before="183" w:line="220" w:lineRule="auto"/>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加强基层组织建设，提高公共运行服务保障水平和社会治理能力，按照《广元市昭化区基层活动和公共服务运行经费使用管理办法》，开展组织活动全镇全年不少于10次，党员干部培训全镇全年不少于10次，走访慰问全镇每年不少于10次，全年清运垃圾次数432次，完成8个村1个社区组织活动场所维护、基础设施维护，维持8个村1个社区日常办公运转以及“村能办”便民服务平台建设。</w:t>
            </w:r>
          </w:p>
        </w:tc>
      </w:tr>
      <w:tr w14:paraId="00C11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04" w:type="dxa"/>
            <w:vMerge w:val="restart"/>
            <w:tcBorders>
              <w:top w:val="single" w:color="auto" w:sz="4" w:space="0"/>
              <w:left w:val="single" w:color="auto" w:sz="4" w:space="0"/>
              <w:bottom w:val="single" w:color="auto" w:sz="4" w:space="0"/>
              <w:right w:val="single" w:color="auto" w:sz="4" w:space="0"/>
            </w:tcBorders>
            <w:vAlign w:val="top"/>
          </w:tcPr>
          <w:p w14:paraId="126A18C8">
            <w:pPr>
              <w:spacing w:line="253" w:lineRule="auto"/>
              <w:jc w:val="center"/>
              <w:rPr>
                <w:rFonts w:hint="eastAsia" w:ascii="仿宋_GB2312" w:hAnsi="仿宋_GB2312" w:eastAsia="仿宋_GB2312" w:cs="仿宋_GB2312"/>
                <w:sz w:val="21"/>
                <w:szCs w:val="21"/>
              </w:rPr>
            </w:pPr>
          </w:p>
          <w:p w14:paraId="1FF4124F">
            <w:pPr>
              <w:spacing w:line="253" w:lineRule="auto"/>
              <w:jc w:val="center"/>
              <w:rPr>
                <w:rFonts w:hint="eastAsia" w:ascii="仿宋_GB2312" w:hAnsi="仿宋_GB2312" w:eastAsia="仿宋_GB2312" w:cs="仿宋_GB2312"/>
                <w:sz w:val="21"/>
                <w:szCs w:val="21"/>
              </w:rPr>
            </w:pPr>
          </w:p>
          <w:p w14:paraId="5E222189">
            <w:pPr>
              <w:spacing w:line="253" w:lineRule="auto"/>
              <w:jc w:val="center"/>
              <w:rPr>
                <w:rFonts w:hint="eastAsia" w:ascii="仿宋_GB2312" w:hAnsi="仿宋_GB2312" w:eastAsia="仿宋_GB2312" w:cs="仿宋_GB2312"/>
                <w:sz w:val="21"/>
                <w:szCs w:val="21"/>
              </w:rPr>
            </w:pPr>
          </w:p>
          <w:p w14:paraId="307EE24C">
            <w:pPr>
              <w:spacing w:line="254" w:lineRule="auto"/>
              <w:jc w:val="center"/>
              <w:rPr>
                <w:rFonts w:hint="eastAsia" w:ascii="仿宋_GB2312" w:hAnsi="仿宋_GB2312" w:eastAsia="仿宋_GB2312" w:cs="仿宋_GB2312"/>
                <w:sz w:val="21"/>
                <w:szCs w:val="21"/>
              </w:rPr>
            </w:pPr>
          </w:p>
          <w:p w14:paraId="363B3661">
            <w:pPr>
              <w:spacing w:line="254" w:lineRule="auto"/>
              <w:jc w:val="center"/>
              <w:rPr>
                <w:rFonts w:hint="eastAsia" w:ascii="仿宋_GB2312" w:hAnsi="仿宋_GB2312" w:eastAsia="仿宋_GB2312" w:cs="仿宋_GB2312"/>
                <w:sz w:val="21"/>
                <w:szCs w:val="21"/>
              </w:rPr>
            </w:pPr>
          </w:p>
          <w:p w14:paraId="2A908A10">
            <w:pPr>
              <w:spacing w:line="254" w:lineRule="auto"/>
              <w:jc w:val="center"/>
              <w:rPr>
                <w:rFonts w:hint="eastAsia" w:ascii="仿宋_GB2312" w:hAnsi="仿宋_GB2312" w:eastAsia="仿宋_GB2312" w:cs="仿宋_GB2312"/>
                <w:sz w:val="21"/>
                <w:szCs w:val="21"/>
              </w:rPr>
            </w:pPr>
          </w:p>
          <w:p w14:paraId="0AC86EA2">
            <w:pPr>
              <w:spacing w:line="254" w:lineRule="auto"/>
              <w:jc w:val="center"/>
              <w:rPr>
                <w:rFonts w:hint="eastAsia" w:ascii="仿宋_GB2312" w:hAnsi="仿宋_GB2312" w:eastAsia="仿宋_GB2312" w:cs="仿宋_GB2312"/>
                <w:sz w:val="21"/>
                <w:szCs w:val="21"/>
              </w:rPr>
            </w:pPr>
          </w:p>
          <w:p w14:paraId="29371061">
            <w:pPr>
              <w:spacing w:line="254" w:lineRule="auto"/>
              <w:jc w:val="center"/>
              <w:rPr>
                <w:rFonts w:hint="eastAsia" w:ascii="仿宋_GB2312" w:hAnsi="仿宋_GB2312" w:eastAsia="仿宋_GB2312" w:cs="仿宋_GB2312"/>
                <w:sz w:val="21"/>
                <w:szCs w:val="21"/>
              </w:rPr>
            </w:pPr>
          </w:p>
          <w:p w14:paraId="7DDDB891">
            <w:pPr>
              <w:spacing w:line="254" w:lineRule="auto"/>
              <w:jc w:val="center"/>
              <w:rPr>
                <w:rFonts w:hint="eastAsia" w:ascii="仿宋_GB2312" w:hAnsi="仿宋_GB2312" w:eastAsia="仿宋_GB2312" w:cs="仿宋_GB2312"/>
                <w:sz w:val="21"/>
                <w:szCs w:val="21"/>
              </w:rPr>
            </w:pPr>
          </w:p>
          <w:p w14:paraId="0A3DA623">
            <w:pPr>
              <w:spacing w:line="254" w:lineRule="auto"/>
              <w:jc w:val="center"/>
              <w:rPr>
                <w:rFonts w:hint="eastAsia" w:ascii="仿宋_GB2312" w:hAnsi="仿宋_GB2312" w:eastAsia="仿宋_GB2312" w:cs="仿宋_GB2312"/>
                <w:sz w:val="21"/>
                <w:szCs w:val="21"/>
              </w:rPr>
            </w:pPr>
          </w:p>
          <w:p w14:paraId="68F74084">
            <w:pPr>
              <w:spacing w:line="254" w:lineRule="auto"/>
              <w:jc w:val="center"/>
              <w:rPr>
                <w:rFonts w:hint="eastAsia" w:ascii="仿宋_GB2312" w:hAnsi="仿宋_GB2312" w:eastAsia="仿宋_GB2312" w:cs="仿宋_GB2312"/>
                <w:sz w:val="21"/>
                <w:szCs w:val="21"/>
              </w:rPr>
            </w:pPr>
          </w:p>
          <w:p w14:paraId="5F03318B">
            <w:pPr>
              <w:spacing w:line="254" w:lineRule="auto"/>
              <w:jc w:val="center"/>
              <w:rPr>
                <w:rFonts w:hint="eastAsia" w:ascii="仿宋_GB2312" w:hAnsi="仿宋_GB2312" w:eastAsia="仿宋_GB2312" w:cs="仿宋_GB2312"/>
                <w:sz w:val="21"/>
                <w:szCs w:val="21"/>
              </w:rPr>
            </w:pPr>
          </w:p>
          <w:p w14:paraId="5CC166EC">
            <w:pPr>
              <w:spacing w:line="254" w:lineRule="auto"/>
              <w:jc w:val="center"/>
              <w:rPr>
                <w:rFonts w:hint="eastAsia" w:ascii="仿宋_GB2312" w:hAnsi="仿宋_GB2312" w:eastAsia="仿宋_GB2312" w:cs="仿宋_GB2312"/>
                <w:sz w:val="21"/>
                <w:szCs w:val="21"/>
              </w:rPr>
            </w:pPr>
          </w:p>
          <w:p w14:paraId="2C7FFA5B">
            <w:pPr>
              <w:spacing w:before="56" w:line="220" w:lineRule="auto"/>
              <w:ind w:left="55"/>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绩效指标</w:t>
            </w:r>
          </w:p>
        </w:tc>
        <w:tc>
          <w:tcPr>
            <w:tcW w:w="759" w:type="dxa"/>
            <w:tcBorders>
              <w:top w:val="single" w:color="auto" w:sz="4" w:space="0"/>
              <w:left w:val="single" w:color="auto" w:sz="4" w:space="0"/>
              <w:bottom w:val="single" w:color="auto" w:sz="4" w:space="0"/>
              <w:right w:val="single" w:color="auto" w:sz="4" w:space="0"/>
            </w:tcBorders>
            <w:vAlign w:val="top"/>
          </w:tcPr>
          <w:p w14:paraId="597CECAA">
            <w:pPr>
              <w:spacing w:before="155" w:line="220"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一级指标</w:t>
            </w:r>
          </w:p>
        </w:tc>
        <w:tc>
          <w:tcPr>
            <w:tcW w:w="1009" w:type="dxa"/>
            <w:tcBorders>
              <w:top w:val="single" w:color="auto" w:sz="4" w:space="0"/>
              <w:left w:val="single" w:color="auto" w:sz="4" w:space="0"/>
              <w:bottom w:val="single" w:color="auto" w:sz="4" w:space="0"/>
              <w:right w:val="single" w:color="auto" w:sz="4" w:space="0"/>
            </w:tcBorders>
            <w:vAlign w:val="top"/>
          </w:tcPr>
          <w:p w14:paraId="1D13D922">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二级指标</w:t>
            </w:r>
          </w:p>
        </w:tc>
        <w:tc>
          <w:tcPr>
            <w:tcW w:w="2314" w:type="dxa"/>
            <w:gridSpan w:val="2"/>
            <w:tcBorders>
              <w:top w:val="single" w:color="auto" w:sz="4" w:space="0"/>
              <w:left w:val="single" w:color="auto" w:sz="4" w:space="0"/>
              <w:bottom w:val="single" w:color="auto" w:sz="4" w:space="0"/>
              <w:right w:val="single" w:color="auto" w:sz="4" w:space="0"/>
            </w:tcBorders>
            <w:vAlign w:val="top"/>
          </w:tcPr>
          <w:p w14:paraId="0F9FD571">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三级指标</w:t>
            </w:r>
          </w:p>
        </w:tc>
        <w:tc>
          <w:tcPr>
            <w:tcW w:w="1020" w:type="dxa"/>
            <w:tcBorders>
              <w:top w:val="single" w:color="auto" w:sz="4" w:space="0"/>
              <w:left w:val="single" w:color="auto" w:sz="4" w:space="0"/>
              <w:bottom w:val="single" w:color="auto" w:sz="4" w:space="0"/>
              <w:right w:val="single" w:color="auto" w:sz="4" w:space="0"/>
            </w:tcBorders>
            <w:vAlign w:val="top"/>
          </w:tcPr>
          <w:p w14:paraId="1B522B97">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年度指标值</w:t>
            </w:r>
          </w:p>
        </w:tc>
        <w:tc>
          <w:tcPr>
            <w:tcW w:w="885" w:type="dxa"/>
            <w:tcBorders>
              <w:top w:val="single" w:color="auto" w:sz="4" w:space="0"/>
              <w:left w:val="single" w:color="auto" w:sz="4" w:space="0"/>
              <w:bottom w:val="single" w:color="auto" w:sz="4" w:space="0"/>
              <w:right w:val="single" w:color="auto" w:sz="4" w:space="0"/>
            </w:tcBorders>
            <w:vAlign w:val="top"/>
          </w:tcPr>
          <w:p w14:paraId="121A53E1">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实际完成值</w:t>
            </w:r>
          </w:p>
        </w:tc>
        <w:tc>
          <w:tcPr>
            <w:tcW w:w="2490" w:type="dxa"/>
            <w:tcBorders>
              <w:left w:val="single" w:color="auto" w:sz="4" w:space="0"/>
            </w:tcBorders>
            <w:vAlign w:val="top"/>
          </w:tcPr>
          <w:p w14:paraId="4FBA3114">
            <w:pPr>
              <w:spacing w:before="75" w:line="227"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偏差原因分析及</w:t>
            </w:r>
            <w:r>
              <w:rPr>
                <w:rFonts w:hint="eastAsia" w:ascii="仿宋_GB2312" w:hAnsi="仿宋_GB2312" w:eastAsia="仿宋_GB2312" w:cs="仿宋_GB2312"/>
                <w:spacing w:val="11"/>
                <w:sz w:val="21"/>
                <w:szCs w:val="21"/>
              </w:rPr>
              <w:t>改进措施</w:t>
            </w:r>
          </w:p>
        </w:tc>
      </w:tr>
      <w:tr w14:paraId="59B20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0CAAEE2D">
            <w:pPr>
              <w:jc w:val="center"/>
              <w:rPr>
                <w:rFonts w:hint="eastAsia" w:ascii="仿宋_GB2312" w:hAnsi="仿宋_GB2312" w:eastAsia="仿宋_GB2312" w:cs="仿宋_GB2312"/>
                <w:sz w:val="21"/>
                <w:szCs w:val="21"/>
              </w:rPr>
            </w:pP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6DE7E1A1">
            <w:pPr>
              <w:spacing w:line="286" w:lineRule="auto"/>
              <w:jc w:val="center"/>
              <w:rPr>
                <w:rFonts w:hint="eastAsia" w:ascii="仿宋_GB2312" w:hAnsi="仿宋_GB2312" w:eastAsia="仿宋_GB2312" w:cs="仿宋_GB2312"/>
                <w:sz w:val="21"/>
                <w:szCs w:val="21"/>
              </w:rPr>
            </w:pPr>
          </w:p>
          <w:p w14:paraId="10A2446C">
            <w:pPr>
              <w:spacing w:line="286" w:lineRule="auto"/>
              <w:jc w:val="center"/>
              <w:rPr>
                <w:rFonts w:hint="eastAsia" w:ascii="仿宋_GB2312" w:hAnsi="仿宋_GB2312" w:eastAsia="仿宋_GB2312" w:cs="仿宋_GB2312"/>
                <w:sz w:val="21"/>
                <w:szCs w:val="21"/>
              </w:rPr>
            </w:pPr>
          </w:p>
          <w:p w14:paraId="285705C7">
            <w:pPr>
              <w:spacing w:line="286" w:lineRule="auto"/>
              <w:jc w:val="center"/>
              <w:rPr>
                <w:rFonts w:hint="eastAsia" w:ascii="仿宋_GB2312" w:hAnsi="仿宋_GB2312" w:eastAsia="仿宋_GB2312" w:cs="仿宋_GB2312"/>
                <w:sz w:val="21"/>
                <w:szCs w:val="21"/>
              </w:rPr>
            </w:pPr>
          </w:p>
          <w:p w14:paraId="1F7CDA64">
            <w:pPr>
              <w:spacing w:line="286" w:lineRule="auto"/>
              <w:jc w:val="center"/>
              <w:rPr>
                <w:rFonts w:hint="eastAsia" w:ascii="仿宋_GB2312" w:hAnsi="仿宋_GB2312" w:eastAsia="仿宋_GB2312" w:cs="仿宋_GB2312"/>
                <w:sz w:val="21"/>
                <w:szCs w:val="21"/>
              </w:rPr>
            </w:pPr>
          </w:p>
          <w:p w14:paraId="68889A79">
            <w:pPr>
              <w:spacing w:line="287" w:lineRule="auto"/>
              <w:jc w:val="center"/>
              <w:rPr>
                <w:rFonts w:hint="eastAsia" w:ascii="仿宋_GB2312" w:hAnsi="仿宋_GB2312" w:eastAsia="仿宋_GB2312" w:cs="仿宋_GB2312"/>
                <w:sz w:val="21"/>
                <w:szCs w:val="21"/>
              </w:rPr>
            </w:pPr>
          </w:p>
          <w:p w14:paraId="40146A0A">
            <w:pPr>
              <w:spacing w:before="56" w:line="219"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产出指标</w:t>
            </w:r>
          </w:p>
        </w:tc>
        <w:tc>
          <w:tcPr>
            <w:tcW w:w="1009" w:type="dxa"/>
            <w:tcBorders>
              <w:top w:val="single" w:color="auto" w:sz="4" w:space="0"/>
              <w:left w:val="single" w:color="auto" w:sz="4" w:space="0"/>
              <w:bottom w:val="single" w:color="auto" w:sz="4" w:space="0"/>
              <w:right w:val="single" w:color="auto" w:sz="4" w:space="0"/>
            </w:tcBorders>
            <w:vAlign w:val="center"/>
          </w:tcPr>
          <w:p w14:paraId="34D7247A">
            <w:pPr>
              <w:spacing w:line="249" w:lineRule="auto"/>
              <w:jc w:val="center"/>
              <w:rPr>
                <w:rFonts w:hint="eastAsia" w:ascii="仿宋_GB2312" w:hAnsi="仿宋_GB2312" w:eastAsia="仿宋_GB2312" w:cs="仿宋_GB2312"/>
                <w:sz w:val="21"/>
                <w:szCs w:val="21"/>
              </w:rPr>
            </w:pPr>
          </w:p>
          <w:p w14:paraId="03C5EC97">
            <w:pPr>
              <w:spacing w:before="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数量指标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4BB2F593">
            <w:pPr>
              <w:spacing w:before="36" w:line="220"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走访慰问次数</w:t>
            </w:r>
          </w:p>
        </w:tc>
        <w:tc>
          <w:tcPr>
            <w:tcW w:w="1020" w:type="dxa"/>
            <w:tcBorders>
              <w:top w:val="single" w:color="auto" w:sz="4" w:space="0"/>
              <w:left w:val="single" w:color="auto" w:sz="4" w:space="0"/>
              <w:bottom w:val="single" w:color="auto" w:sz="4" w:space="0"/>
              <w:right w:val="single" w:color="auto" w:sz="4" w:space="0"/>
            </w:tcBorders>
            <w:vAlign w:val="center"/>
          </w:tcPr>
          <w:p w14:paraId="4B70D668">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≥10次</w:t>
            </w:r>
          </w:p>
        </w:tc>
        <w:tc>
          <w:tcPr>
            <w:tcW w:w="885" w:type="dxa"/>
            <w:tcBorders>
              <w:top w:val="single" w:color="auto" w:sz="4" w:space="0"/>
              <w:left w:val="single" w:color="auto" w:sz="4" w:space="0"/>
              <w:bottom w:val="single" w:color="auto" w:sz="4" w:space="0"/>
              <w:right w:val="single" w:color="auto" w:sz="4" w:space="0"/>
            </w:tcBorders>
            <w:vAlign w:val="center"/>
          </w:tcPr>
          <w:p w14:paraId="6351399A">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12次</w:t>
            </w:r>
          </w:p>
        </w:tc>
        <w:tc>
          <w:tcPr>
            <w:tcW w:w="2490" w:type="dxa"/>
            <w:tcBorders>
              <w:left w:val="single" w:color="auto" w:sz="4" w:space="0"/>
            </w:tcBorders>
            <w:vAlign w:val="center"/>
          </w:tcPr>
          <w:p w14:paraId="038120E1">
            <w:pPr>
              <w:jc w:val="center"/>
              <w:rPr>
                <w:rFonts w:hint="eastAsia" w:ascii="仿宋_GB2312" w:hAnsi="仿宋_GB2312" w:eastAsia="仿宋_GB2312" w:cs="仿宋_GB2312"/>
                <w:sz w:val="21"/>
                <w:szCs w:val="21"/>
              </w:rPr>
            </w:pPr>
          </w:p>
        </w:tc>
      </w:tr>
      <w:tr w14:paraId="19D69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6C636CA2">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5E95614E">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46EF81C8">
            <w:pPr>
              <w:keepNext w:val="0"/>
              <w:keepLines w:val="0"/>
              <w:pageBreakBefore w:val="0"/>
              <w:widowControl/>
              <w:kinsoku w:val="0"/>
              <w:wordWrap/>
              <w:overflowPunct/>
              <w:topLinePunct w:val="0"/>
              <w:autoSpaceDE w:val="0"/>
              <w:autoSpaceDN w:val="0"/>
              <w:bidi w:val="0"/>
              <w:adjustRightInd w:val="0"/>
              <w:snapToGrid w:val="0"/>
              <w:spacing w:before="55" w:line="220" w:lineRule="auto"/>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质量指标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000858DA">
            <w:pPr>
              <w:keepNext w:val="0"/>
              <w:keepLines w:val="0"/>
              <w:pageBreakBefore w:val="0"/>
              <w:widowControl/>
              <w:kinsoku w:val="0"/>
              <w:wordWrap/>
              <w:overflowPunct/>
              <w:topLinePunct w:val="0"/>
              <w:autoSpaceDE w:val="0"/>
              <w:autoSpaceDN w:val="0"/>
              <w:bidi w:val="0"/>
              <w:adjustRightInd w:val="0"/>
              <w:snapToGrid w:val="0"/>
              <w:spacing w:before="66" w:line="210" w:lineRule="auto"/>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村容村貌、基础设施配备率</w:t>
            </w:r>
          </w:p>
        </w:tc>
        <w:tc>
          <w:tcPr>
            <w:tcW w:w="1020" w:type="dxa"/>
            <w:tcBorders>
              <w:top w:val="single" w:color="auto" w:sz="4" w:space="0"/>
              <w:left w:val="single" w:color="auto" w:sz="4" w:space="0"/>
              <w:bottom w:val="single" w:color="auto" w:sz="4" w:space="0"/>
              <w:right w:val="single" w:color="auto" w:sz="4" w:space="0"/>
            </w:tcBorders>
            <w:vAlign w:val="center"/>
          </w:tcPr>
          <w:p w14:paraId="4AF166BB">
            <w:pPr>
              <w:keepNext w:val="0"/>
              <w:keepLines w:val="0"/>
              <w:pageBreakBefore w:val="0"/>
              <w:widowControl/>
              <w:kinsoku w:val="0"/>
              <w:wordWrap/>
              <w:overflowPunct/>
              <w:topLinePunct w:val="0"/>
              <w:autoSpaceDE w:val="0"/>
              <w:autoSpaceDN w:val="0"/>
              <w:bidi w:val="0"/>
              <w:adjustRightInd w:val="0"/>
              <w:snapToGrid w:val="0"/>
              <w:spacing w:before="36" w:line="220" w:lineRule="auto"/>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优良中低差</w:t>
            </w:r>
          </w:p>
        </w:tc>
        <w:tc>
          <w:tcPr>
            <w:tcW w:w="885" w:type="dxa"/>
            <w:tcBorders>
              <w:top w:val="single" w:color="auto" w:sz="4" w:space="0"/>
              <w:left w:val="single" w:color="auto" w:sz="4" w:space="0"/>
              <w:bottom w:val="single" w:color="auto" w:sz="4" w:space="0"/>
              <w:right w:val="single" w:color="auto" w:sz="4" w:space="0"/>
            </w:tcBorders>
            <w:vAlign w:val="center"/>
          </w:tcPr>
          <w:p w14:paraId="74765121">
            <w:pPr>
              <w:keepNext w:val="0"/>
              <w:keepLines w:val="0"/>
              <w:pageBreakBefore w:val="0"/>
              <w:widowControl/>
              <w:kinsoku w:val="0"/>
              <w:wordWrap/>
              <w:overflowPunct/>
              <w:topLinePunct w:val="0"/>
              <w:autoSpaceDE w:val="0"/>
              <w:autoSpaceDN w:val="0"/>
              <w:bidi w:val="0"/>
              <w:adjustRightInd w:val="0"/>
              <w:snapToGrid w:val="0"/>
              <w:spacing w:before="36" w:line="220" w:lineRule="auto"/>
              <w:ind w:left="202"/>
              <w:jc w:val="center"/>
              <w:textAlignment w:val="baseline"/>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优</w:t>
            </w:r>
          </w:p>
        </w:tc>
        <w:tc>
          <w:tcPr>
            <w:tcW w:w="2490" w:type="dxa"/>
            <w:tcBorders>
              <w:left w:val="single" w:color="auto" w:sz="4" w:space="0"/>
            </w:tcBorders>
            <w:vAlign w:val="center"/>
          </w:tcPr>
          <w:p w14:paraId="22474BBC">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仿宋_GB2312" w:hAnsi="仿宋_GB2312" w:eastAsia="仿宋_GB2312" w:cs="仿宋_GB2312"/>
                <w:sz w:val="21"/>
                <w:szCs w:val="21"/>
              </w:rPr>
            </w:pPr>
          </w:p>
        </w:tc>
      </w:tr>
      <w:tr w14:paraId="4B32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19DC2486">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5BDAD376">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61F1A6AF">
            <w:pPr>
              <w:spacing w:line="259" w:lineRule="auto"/>
              <w:jc w:val="center"/>
              <w:rPr>
                <w:rFonts w:hint="eastAsia" w:ascii="仿宋_GB2312" w:hAnsi="仿宋_GB2312" w:eastAsia="仿宋_GB2312" w:cs="仿宋_GB2312"/>
                <w:sz w:val="21"/>
                <w:szCs w:val="21"/>
              </w:rPr>
            </w:pPr>
          </w:p>
          <w:p w14:paraId="07871F64">
            <w:pPr>
              <w:spacing w:before="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时效指标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67D80290">
            <w:pPr>
              <w:spacing w:before="56" w:line="21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2022年1月</w:t>
            </w: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z w:val="21"/>
                <w:szCs w:val="21"/>
              </w:rPr>
              <w:t>12月期间内按质完成</w:t>
            </w:r>
          </w:p>
        </w:tc>
        <w:tc>
          <w:tcPr>
            <w:tcW w:w="1020" w:type="dxa"/>
            <w:tcBorders>
              <w:top w:val="single" w:color="auto" w:sz="4" w:space="0"/>
              <w:left w:val="single" w:color="auto" w:sz="4" w:space="0"/>
              <w:bottom w:val="single" w:color="auto" w:sz="4" w:space="0"/>
              <w:right w:val="single" w:color="auto" w:sz="4" w:space="0"/>
            </w:tcBorders>
            <w:vAlign w:val="center"/>
          </w:tcPr>
          <w:p w14:paraId="564B0A87">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1年</w:t>
            </w:r>
          </w:p>
        </w:tc>
        <w:tc>
          <w:tcPr>
            <w:tcW w:w="885" w:type="dxa"/>
            <w:tcBorders>
              <w:top w:val="single" w:color="auto" w:sz="4" w:space="0"/>
              <w:left w:val="single" w:color="auto" w:sz="4" w:space="0"/>
              <w:bottom w:val="single" w:color="auto" w:sz="4" w:space="0"/>
              <w:right w:val="single" w:color="auto" w:sz="4" w:space="0"/>
            </w:tcBorders>
            <w:vAlign w:val="center"/>
          </w:tcPr>
          <w:p w14:paraId="0C2EDAD2">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1年</w:t>
            </w:r>
          </w:p>
        </w:tc>
        <w:tc>
          <w:tcPr>
            <w:tcW w:w="2490" w:type="dxa"/>
            <w:tcBorders>
              <w:left w:val="single" w:color="auto" w:sz="4" w:space="0"/>
            </w:tcBorders>
            <w:vAlign w:val="center"/>
          </w:tcPr>
          <w:p w14:paraId="0FD6608C">
            <w:pPr>
              <w:jc w:val="center"/>
              <w:rPr>
                <w:rFonts w:hint="eastAsia" w:ascii="仿宋_GB2312" w:hAnsi="仿宋_GB2312" w:eastAsia="仿宋_GB2312" w:cs="仿宋_GB2312"/>
                <w:sz w:val="21"/>
                <w:szCs w:val="21"/>
              </w:rPr>
            </w:pPr>
          </w:p>
        </w:tc>
      </w:tr>
      <w:tr w14:paraId="37BF4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3C81929A">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28A9A6AC">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3EFC4F16">
            <w:pPr>
              <w:spacing w:line="258" w:lineRule="auto"/>
              <w:jc w:val="center"/>
              <w:rPr>
                <w:rFonts w:hint="eastAsia" w:ascii="仿宋_GB2312" w:hAnsi="仿宋_GB2312" w:eastAsia="仿宋_GB2312" w:cs="仿宋_GB2312"/>
                <w:sz w:val="21"/>
                <w:szCs w:val="21"/>
              </w:rPr>
            </w:pPr>
          </w:p>
          <w:p w14:paraId="7E1F7825">
            <w:pPr>
              <w:spacing w:before="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成本指标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07222BB3">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1"/>
                <w:szCs w:val="21"/>
                <w:u w:val="none"/>
              </w:rPr>
            </w:pPr>
            <w:r>
              <w:rPr>
                <w:rFonts w:hint="eastAsia" w:ascii="仿宋_GB2312" w:hAnsi="仿宋_GB2312" w:eastAsia="仿宋_GB2312" w:cs="仿宋_GB2312"/>
                <w:i w:val="0"/>
                <w:iCs w:val="0"/>
                <w:snapToGrid w:val="0"/>
                <w:color w:val="000000"/>
                <w:kern w:val="0"/>
                <w:sz w:val="21"/>
                <w:szCs w:val="21"/>
                <w:u w:val="none"/>
                <w:lang w:val="en-US" w:eastAsia="zh-CN" w:bidi="ar"/>
              </w:rPr>
              <w:t>2022年度基层组织活动和公共服务运行经费控制额</w:t>
            </w:r>
          </w:p>
        </w:tc>
        <w:tc>
          <w:tcPr>
            <w:tcW w:w="1020" w:type="dxa"/>
            <w:tcBorders>
              <w:top w:val="single" w:color="auto" w:sz="4" w:space="0"/>
              <w:left w:val="single" w:color="auto" w:sz="4" w:space="0"/>
              <w:bottom w:val="single" w:color="auto" w:sz="4" w:space="0"/>
              <w:right w:val="single" w:color="auto" w:sz="4" w:space="0"/>
            </w:tcBorders>
            <w:vAlign w:val="center"/>
          </w:tcPr>
          <w:p w14:paraId="3BEF965D">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10万元</w:t>
            </w:r>
          </w:p>
        </w:tc>
        <w:tc>
          <w:tcPr>
            <w:tcW w:w="885" w:type="dxa"/>
            <w:tcBorders>
              <w:top w:val="single" w:color="auto" w:sz="4" w:space="0"/>
              <w:left w:val="single" w:color="auto" w:sz="4" w:space="0"/>
              <w:bottom w:val="single" w:color="auto" w:sz="4" w:space="0"/>
              <w:right w:val="single" w:color="auto" w:sz="4" w:space="0"/>
            </w:tcBorders>
            <w:vAlign w:val="center"/>
          </w:tcPr>
          <w:p w14:paraId="70FF701B">
            <w:pPr>
              <w:spacing w:before="36" w:line="220" w:lineRule="auto"/>
              <w:ind w:left="202"/>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10万元</w:t>
            </w:r>
          </w:p>
        </w:tc>
        <w:tc>
          <w:tcPr>
            <w:tcW w:w="2490" w:type="dxa"/>
            <w:tcBorders>
              <w:left w:val="single" w:color="auto" w:sz="4" w:space="0"/>
            </w:tcBorders>
            <w:vAlign w:val="center"/>
          </w:tcPr>
          <w:p w14:paraId="09C1367E">
            <w:pPr>
              <w:jc w:val="center"/>
              <w:rPr>
                <w:rFonts w:hint="eastAsia" w:ascii="仿宋_GB2312" w:hAnsi="仿宋_GB2312" w:eastAsia="仿宋_GB2312" w:cs="仿宋_GB2312"/>
                <w:sz w:val="21"/>
                <w:szCs w:val="21"/>
              </w:rPr>
            </w:pPr>
          </w:p>
        </w:tc>
      </w:tr>
      <w:tr w14:paraId="3F3C6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593A9E2D">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1A285E31">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7277DF36">
            <w:pPr>
              <w:spacing w:before="55"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eastAsia="zh-CN"/>
              </w:rPr>
              <w:t>数量指标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25898DB8">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1"/>
                <w:szCs w:val="21"/>
                <w:u w:val="none"/>
                <w:lang w:val="en-US" w:eastAsia="zh-CN" w:bidi="ar"/>
              </w:rPr>
            </w:pPr>
            <w:r>
              <w:rPr>
                <w:rFonts w:hint="eastAsia" w:ascii="仿宋_GB2312" w:hAnsi="仿宋_GB2312" w:eastAsia="仿宋_GB2312" w:cs="仿宋_GB2312"/>
                <w:i w:val="0"/>
                <w:iCs w:val="0"/>
                <w:snapToGrid w:val="0"/>
                <w:color w:val="000000"/>
                <w:kern w:val="0"/>
                <w:sz w:val="21"/>
                <w:szCs w:val="21"/>
                <w:u w:val="none"/>
                <w:lang w:val="en-US" w:eastAsia="zh-CN" w:bidi="ar"/>
              </w:rPr>
              <w:t>全年垃圾清运次数</w:t>
            </w:r>
          </w:p>
        </w:tc>
        <w:tc>
          <w:tcPr>
            <w:tcW w:w="1020" w:type="dxa"/>
            <w:tcBorders>
              <w:top w:val="single" w:color="auto" w:sz="4" w:space="0"/>
              <w:left w:val="single" w:color="auto" w:sz="4" w:space="0"/>
              <w:bottom w:val="single" w:color="auto" w:sz="4" w:space="0"/>
              <w:right w:val="single" w:color="auto" w:sz="4" w:space="0"/>
            </w:tcBorders>
            <w:vAlign w:val="center"/>
          </w:tcPr>
          <w:p w14:paraId="7F9B3BC3">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≥432次</w:t>
            </w:r>
          </w:p>
        </w:tc>
        <w:tc>
          <w:tcPr>
            <w:tcW w:w="885" w:type="dxa"/>
            <w:tcBorders>
              <w:top w:val="single" w:color="auto" w:sz="4" w:space="0"/>
              <w:left w:val="single" w:color="auto" w:sz="4" w:space="0"/>
              <w:bottom w:val="single" w:color="auto" w:sz="4" w:space="0"/>
              <w:right w:val="single" w:color="auto" w:sz="4" w:space="0"/>
            </w:tcBorders>
            <w:vAlign w:val="center"/>
          </w:tcPr>
          <w:p w14:paraId="616CF1F2">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432次</w:t>
            </w:r>
          </w:p>
        </w:tc>
        <w:tc>
          <w:tcPr>
            <w:tcW w:w="2490" w:type="dxa"/>
            <w:tcBorders>
              <w:left w:val="single" w:color="auto" w:sz="4" w:space="0"/>
            </w:tcBorders>
            <w:vAlign w:val="center"/>
          </w:tcPr>
          <w:p w14:paraId="04C1B051">
            <w:pPr>
              <w:jc w:val="center"/>
              <w:rPr>
                <w:rFonts w:hint="eastAsia" w:ascii="仿宋_GB2312" w:hAnsi="仿宋_GB2312" w:eastAsia="仿宋_GB2312" w:cs="仿宋_GB2312"/>
                <w:sz w:val="21"/>
                <w:szCs w:val="21"/>
              </w:rPr>
            </w:pPr>
          </w:p>
        </w:tc>
      </w:tr>
      <w:tr w14:paraId="10469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3825FFCC">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3F37EA7C">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40AC658D">
            <w:pPr>
              <w:spacing w:before="55"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eastAsia="zh-CN"/>
              </w:rPr>
              <w:t>数量指标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19C1F0CC">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1"/>
                <w:szCs w:val="21"/>
                <w:u w:val="none"/>
                <w:lang w:val="en-US" w:eastAsia="zh-CN" w:bidi="ar"/>
              </w:rPr>
            </w:pPr>
            <w:r>
              <w:rPr>
                <w:rFonts w:hint="eastAsia" w:ascii="仿宋_GB2312" w:hAnsi="仿宋_GB2312" w:eastAsia="仿宋_GB2312" w:cs="仿宋_GB2312"/>
                <w:i w:val="0"/>
                <w:iCs w:val="0"/>
                <w:snapToGrid w:val="0"/>
                <w:color w:val="000000"/>
                <w:kern w:val="0"/>
                <w:sz w:val="21"/>
                <w:szCs w:val="21"/>
                <w:u w:val="none"/>
                <w:lang w:val="en-US" w:eastAsia="zh-CN" w:bidi="ar"/>
              </w:rPr>
              <w:t>基础设施维护场所个数</w:t>
            </w:r>
          </w:p>
        </w:tc>
        <w:tc>
          <w:tcPr>
            <w:tcW w:w="1020" w:type="dxa"/>
            <w:tcBorders>
              <w:top w:val="single" w:color="auto" w:sz="4" w:space="0"/>
              <w:left w:val="single" w:color="auto" w:sz="4" w:space="0"/>
              <w:bottom w:val="single" w:color="auto" w:sz="4" w:space="0"/>
              <w:right w:val="single" w:color="auto" w:sz="4" w:space="0"/>
            </w:tcBorders>
            <w:vAlign w:val="center"/>
          </w:tcPr>
          <w:p w14:paraId="685DFB8F">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9个</w:t>
            </w:r>
          </w:p>
        </w:tc>
        <w:tc>
          <w:tcPr>
            <w:tcW w:w="885" w:type="dxa"/>
            <w:tcBorders>
              <w:top w:val="single" w:color="auto" w:sz="4" w:space="0"/>
              <w:left w:val="single" w:color="auto" w:sz="4" w:space="0"/>
              <w:bottom w:val="single" w:color="auto" w:sz="4" w:space="0"/>
              <w:right w:val="single" w:color="auto" w:sz="4" w:space="0"/>
            </w:tcBorders>
            <w:vAlign w:val="center"/>
          </w:tcPr>
          <w:p w14:paraId="53D173C3">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9个</w:t>
            </w:r>
          </w:p>
        </w:tc>
        <w:tc>
          <w:tcPr>
            <w:tcW w:w="2490" w:type="dxa"/>
            <w:tcBorders>
              <w:left w:val="single" w:color="auto" w:sz="4" w:space="0"/>
            </w:tcBorders>
            <w:vAlign w:val="center"/>
          </w:tcPr>
          <w:p w14:paraId="4074D44B">
            <w:pPr>
              <w:jc w:val="center"/>
              <w:rPr>
                <w:rFonts w:hint="eastAsia" w:ascii="仿宋_GB2312" w:hAnsi="仿宋_GB2312" w:eastAsia="仿宋_GB2312" w:cs="仿宋_GB2312"/>
                <w:sz w:val="21"/>
                <w:szCs w:val="21"/>
              </w:rPr>
            </w:pPr>
          </w:p>
        </w:tc>
      </w:tr>
      <w:tr w14:paraId="17B64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5A64B822">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38BEBBBB">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18F4770D">
            <w:pPr>
              <w:spacing w:before="55"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eastAsia="zh-CN"/>
              </w:rPr>
              <w:t>数量指标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7DA112D9">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1"/>
                <w:szCs w:val="21"/>
                <w:u w:val="none"/>
                <w:lang w:val="en-US" w:eastAsia="zh-CN" w:bidi="ar"/>
              </w:rPr>
            </w:pPr>
            <w:r>
              <w:rPr>
                <w:rFonts w:hint="eastAsia" w:ascii="仿宋_GB2312" w:hAnsi="仿宋_GB2312" w:eastAsia="仿宋_GB2312" w:cs="仿宋_GB2312"/>
                <w:i w:val="0"/>
                <w:iCs w:val="0"/>
                <w:snapToGrid w:val="0"/>
                <w:color w:val="000000"/>
                <w:kern w:val="0"/>
                <w:sz w:val="21"/>
                <w:szCs w:val="21"/>
                <w:u w:val="none"/>
                <w:lang w:val="en-US" w:eastAsia="zh-CN" w:bidi="ar"/>
              </w:rPr>
              <w:t>党员干部培训次数</w:t>
            </w:r>
          </w:p>
        </w:tc>
        <w:tc>
          <w:tcPr>
            <w:tcW w:w="1020" w:type="dxa"/>
            <w:tcBorders>
              <w:top w:val="single" w:color="auto" w:sz="4" w:space="0"/>
              <w:left w:val="single" w:color="auto" w:sz="4" w:space="0"/>
              <w:bottom w:val="single" w:color="auto" w:sz="4" w:space="0"/>
              <w:right w:val="single" w:color="auto" w:sz="4" w:space="0"/>
            </w:tcBorders>
            <w:vAlign w:val="center"/>
          </w:tcPr>
          <w:p w14:paraId="23FBA707">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≥10次</w:t>
            </w:r>
          </w:p>
        </w:tc>
        <w:tc>
          <w:tcPr>
            <w:tcW w:w="885" w:type="dxa"/>
            <w:tcBorders>
              <w:top w:val="single" w:color="auto" w:sz="4" w:space="0"/>
              <w:left w:val="single" w:color="auto" w:sz="4" w:space="0"/>
              <w:bottom w:val="single" w:color="auto" w:sz="4" w:space="0"/>
              <w:right w:val="single" w:color="auto" w:sz="4" w:space="0"/>
            </w:tcBorders>
            <w:vAlign w:val="center"/>
          </w:tcPr>
          <w:p w14:paraId="7FE8B677">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10次</w:t>
            </w:r>
          </w:p>
        </w:tc>
        <w:tc>
          <w:tcPr>
            <w:tcW w:w="2490" w:type="dxa"/>
            <w:tcBorders>
              <w:left w:val="single" w:color="auto" w:sz="4" w:space="0"/>
            </w:tcBorders>
            <w:vAlign w:val="center"/>
          </w:tcPr>
          <w:p w14:paraId="6AEF40F0">
            <w:pPr>
              <w:jc w:val="center"/>
              <w:rPr>
                <w:rFonts w:hint="eastAsia" w:ascii="仿宋_GB2312" w:hAnsi="仿宋_GB2312" w:eastAsia="仿宋_GB2312" w:cs="仿宋_GB2312"/>
                <w:sz w:val="21"/>
                <w:szCs w:val="21"/>
              </w:rPr>
            </w:pPr>
          </w:p>
        </w:tc>
      </w:tr>
      <w:tr w14:paraId="026EE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3F02175B">
            <w:pPr>
              <w:jc w:val="center"/>
              <w:rPr>
                <w:rFonts w:hint="eastAsia" w:ascii="仿宋_GB2312" w:hAnsi="仿宋_GB2312" w:eastAsia="仿宋_GB2312" w:cs="仿宋_GB2312"/>
                <w:sz w:val="21"/>
                <w:szCs w:val="21"/>
              </w:rPr>
            </w:pPr>
          </w:p>
        </w:tc>
        <w:tc>
          <w:tcPr>
            <w:tcW w:w="759" w:type="dxa"/>
            <w:vMerge w:val="restart"/>
            <w:tcBorders>
              <w:top w:val="single" w:color="auto" w:sz="4" w:space="0"/>
              <w:left w:val="single" w:color="auto" w:sz="4" w:space="0"/>
              <w:bottom w:val="single" w:color="auto" w:sz="4" w:space="0"/>
              <w:right w:val="single" w:color="auto" w:sz="4" w:space="0"/>
            </w:tcBorders>
            <w:vAlign w:val="center"/>
          </w:tcPr>
          <w:p w14:paraId="31FC5B66">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eastAsia="zh-CN"/>
              </w:rPr>
              <w:t>效益指标</w:t>
            </w:r>
          </w:p>
        </w:tc>
        <w:tc>
          <w:tcPr>
            <w:tcW w:w="1009" w:type="dxa"/>
            <w:tcBorders>
              <w:top w:val="single" w:color="auto" w:sz="4" w:space="0"/>
              <w:left w:val="single" w:color="auto" w:sz="4" w:space="0"/>
              <w:bottom w:val="single" w:color="auto" w:sz="4" w:space="0"/>
              <w:right w:val="single" w:color="auto" w:sz="4" w:space="0"/>
            </w:tcBorders>
            <w:vAlign w:val="center"/>
          </w:tcPr>
          <w:p w14:paraId="5BAF63AB">
            <w:pPr>
              <w:spacing w:before="86" w:line="213" w:lineRule="auto"/>
              <w:ind w:right="16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生态效益</w:t>
            </w:r>
            <w:r>
              <w:rPr>
                <w:rFonts w:hint="eastAsia" w:ascii="仿宋_GB2312" w:hAnsi="仿宋_GB2312" w:eastAsia="仿宋_GB2312" w:cs="仿宋_GB2312"/>
                <w:spacing w:val="-2"/>
                <w:sz w:val="21"/>
                <w:szCs w:val="21"/>
                <w:lang w:val="en-US" w:eastAsia="zh-CN"/>
              </w:rPr>
              <w:t xml:space="preserve"> </w:t>
            </w:r>
            <w:r>
              <w:rPr>
                <w:rFonts w:hint="eastAsia" w:ascii="仿宋_GB2312" w:hAnsi="仿宋_GB2312" w:eastAsia="仿宋_GB2312" w:cs="仿宋_GB2312"/>
                <w:spacing w:val="-3"/>
                <w:sz w:val="21"/>
                <w:szCs w:val="21"/>
              </w:rPr>
              <w:t>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74CBF321">
            <w:pPr>
              <w:spacing w:before="56" w:line="21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环境卫生清洁度：全镇</w:t>
            </w:r>
            <w:r>
              <w:rPr>
                <w:rFonts w:hint="eastAsia" w:ascii="仿宋_GB2312" w:hAnsi="仿宋_GB2312" w:eastAsia="仿宋_GB2312" w:cs="仿宋_GB2312"/>
                <w:sz w:val="21"/>
                <w:szCs w:val="21"/>
                <w:lang w:val="en-US" w:eastAsia="zh-CN"/>
              </w:rPr>
              <w:t>8</w:t>
            </w:r>
            <w:r>
              <w:rPr>
                <w:rFonts w:hint="eastAsia" w:ascii="仿宋_GB2312" w:hAnsi="仿宋_GB2312" w:eastAsia="仿宋_GB2312" w:cs="仿宋_GB2312"/>
                <w:sz w:val="21"/>
                <w:szCs w:val="21"/>
              </w:rPr>
              <w:t>个村</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个社区环境卫生，无“脏、乱、差”现象，村容村貌良好</w:t>
            </w:r>
          </w:p>
        </w:tc>
        <w:tc>
          <w:tcPr>
            <w:tcW w:w="1020" w:type="dxa"/>
            <w:tcBorders>
              <w:top w:val="single" w:color="auto" w:sz="4" w:space="0"/>
              <w:left w:val="single" w:color="auto" w:sz="4" w:space="0"/>
              <w:bottom w:val="single" w:color="auto" w:sz="4" w:space="0"/>
              <w:right w:val="single" w:color="auto" w:sz="4" w:space="0"/>
            </w:tcBorders>
            <w:vAlign w:val="center"/>
          </w:tcPr>
          <w:p w14:paraId="057D301B">
            <w:pPr>
              <w:spacing w:before="36" w:line="220" w:lineRule="auto"/>
              <w:ind w:left="202"/>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优</w:t>
            </w:r>
          </w:p>
        </w:tc>
        <w:tc>
          <w:tcPr>
            <w:tcW w:w="885" w:type="dxa"/>
            <w:tcBorders>
              <w:top w:val="single" w:color="auto" w:sz="4" w:space="0"/>
              <w:left w:val="single" w:color="auto" w:sz="4" w:space="0"/>
              <w:bottom w:val="single" w:color="auto" w:sz="4" w:space="0"/>
              <w:right w:val="single" w:color="auto" w:sz="4" w:space="0"/>
            </w:tcBorders>
            <w:vAlign w:val="center"/>
          </w:tcPr>
          <w:p w14:paraId="2E40A28B">
            <w:pPr>
              <w:spacing w:before="36" w:line="220" w:lineRule="auto"/>
              <w:ind w:left="202"/>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优</w:t>
            </w:r>
          </w:p>
        </w:tc>
        <w:tc>
          <w:tcPr>
            <w:tcW w:w="2490" w:type="dxa"/>
            <w:tcBorders>
              <w:left w:val="single" w:color="auto" w:sz="4" w:space="0"/>
            </w:tcBorders>
            <w:vAlign w:val="center"/>
          </w:tcPr>
          <w:p w14:paraId="5A6C4EFC">
            <w:pPr>
              <w:jc w:val="center"/>
              <w:rPr>
                <w:rFonts w:hint="eastAsia" w:ascii="仿宋_GB2312" w:hAnsi="仿宋_GB2312" w:eastAsia="仿宋_GB2312" w:cs="仿宋_GB2312"/>
                <w:sz w:val="21"/>
                <w:szCs w:val="21"/>
              </w:rPr>
            </w:pPr>
          </w:p>
        </w:tc>
      </w:tr>
      <w:tr w14:paraId="13D1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6524155D">
            <w:pPr>
              <w:jc w:val="center"/>
              <w:rPr>
                <w:rFonts w:hint="eastAsia" w:ascii="仿宋_GB2312" w:hAnsi="仿宋_GB2312" w:eastAsia="仿宋_GB2312" w:cs="仿宋_GB2312"/>
                <w:sz w:val="21"/>
                <w:szCs w:val="21"/>
              </w:rPr>
            </w:pPr>
          </w:p>
        </w:tc>
        <w:tc>
          <w:tcPr>
            <w:tcW w:w="759" w:type="dxa"/>
            <w:vMerge w:val="continue"/>
            <w:tcBorders>
              <w:top w:val="single" w:color="auto" w:sz="4" w:space="0"/>
              <w:left w:val="single" w:color="auto" w:sz="4" w:space="0"/>
              <w:bottom w:val="single" w:color="auto" w:sz="4" w:space="0"/>
              <w:right w:val="single" w:color="auto" w:sz="4" w:space="0"/>
            </w:tcBorders>
            <w:vAlign w:val="center"/>
          </w:tcPr>
          <w:p w14:paraId="6F12C34D">
            <w:pPr>
              <w:jc w:val="center"/>
              <w:rPr>
                <w:rFonts w:hint="eastAsia" w:ascii="仿宋_GB2312" w:hAnsi="仿宋_GB2312" w:eastAsia="仿宋_GB2312" w:cs="仿宋_GB2312"/>
                <w:sz w:val="21"/>
                <w:szCs w:val="21"/>
              </w:rPr>
            </w:pPr>
          </w:p>
        </w:tc>
        <w:tc>
          <w:tcPr>
            <w:tcW w:w="1009" w:type="dxa"/>
            <w:tcBorders>
              <w:top w:val="single" w:color="auto" w:sz="4" w:space="0"/>
              <w:left w:val="single" w:color="auto" w:sz="4" w:space="0"/>
              <w:bottom w:val="single" w:color="auto" w:sz="4" w:space="0"/>
              <w:right w:val="single" w:color="auto" w:sz="4" w:space="0"/>
            </w:tcBorders>
            <w:vAlign w:val="center"/>
          </w:tcPr>
          <w:p w14:paraId="3075975C">
            <w:pPr>
              <w:spacing w:before="224" w:line="214" w:lineRule="auto"/>
              <w:ind w:right="103"/>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eastAsia="zh-CN"/>
              </w:rPr>
              <w:t>社会效益指标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09232CB9">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1"/>
                <w:szCs w:val="21"/>
                <w:u w:val="none"/>
              </w:rPr>
            </w:pPr>
            <w:r>
              <w:rPr>
                <w:rFonts w:hint="eastAsia" w:ascii="仿宋_GB2312" w:hAnsi="仿宋_GB2312" w:eastAsia="仿宋_GB2312" w:cs="仿宋_GB2312"/>
                <w:i w:val="0"/>
                <w:iCs w:val="0"/>
                <w:snapToGrid w:val="0"/>
                <w:color w:val="000000"/>
                <w:kern w:val="0"/>
                <w:sz w:val="21"/>
                <w:szCs w:val="21"/>
                <w:u w:val="none"/>
                <w:lang w:val="en-US" w:eastAsia="zh-CN" w:bidi="ar"/>
              </w:rPr>
              <w:t>提升群众服务水平率</w:t>
            </w:r>
          </w:p>
        </w:tc>
        <w:tc>
          <w:tcPr>
            <w:tcW w:w="1020" w:type="dxa"/>
            <w:tcBorders>
              <w:top w:val="single" w:color="auto" w:sz="4" w:space="0"/>
              <w:left w:val="single" w:color="auto" w:sz="4" w:space="0"/>
              <w:bottom w:val="single" w:color="auto" w:sz="4" w:space="0"/>
              <w:right w:val="single" w:color="auto" w:sz="4" w:space="0"/>
            </w:tcBorders>
            <w:vAlign w:val="center"/>
          </w:tcPr>
          <w:p w14:paraId="5AC589D6">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≥90%</w:t>
            </w:r>
          </w:p>
        </w:tc>
        <w:tc>
          <w:tcPr>
            <w:tcW w:w="885" w:type="dxa"/>
            <w:tcBorders>
              <w:top w:val="single" w:color="auto" w:sz="4" w:space="0"/>
              <w:left w:val="single" w:color="auto" w:sz="4" w:space="0"/>
              <w:bottom w:val="single" w:color="auto" w:sz="4" w:space="0"/>
              <w:right w:val="single" w:color="auto" w:sz="4" w:space="0"/>
            </w:tcBorders>
            <w:vAlign w:val="center"/>
          </w:tcPr>
          <w:p w14:paraId="77EBAE1A">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95%</w:t>
            </w:r>
          </w:p>
        </w:tc>
        <w:tc>
          <w:tcPr>
            <w:tcW w:w="2490" w:type="dxa"/>
            <w:tcBorders>
              <w:left w:val="single" w:color="auto" w:sz="4" w:space="0"/>
            </w:tcBorders>
            <w:vAlign w:val="center"/>
          </w:tcPr>
          <w:p w14:paraId="42C89B51">
            <w:pPr>
              <w:jc w:val="center"/>
              <w:rPr>
                <w:rFonts w:hint="eastAsia" w:ascii="仿宋_GB2312" w:hAnsi="仿宋_GB2312" w:eastAsia="仿宋_GB2312" w:cs="仿宋_GB2312"/>
                <w:sz w:val="21"/>
                <w:szCs w:val="21"/>
              </w:rPr>
            </w:pPr>
          </w:p>
        </w:tc>
      </w:tr>
      <w:tr w14:paraId="1664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04" w:type="dxa"/>
            <w:vMerge w:val="continue"/>
            <w:tcBorders>
              <w:top w:val="single" w:color="auto" w:sz="4" w:space="0"/>
              <w:left w:val="single" w:color="auto" w:sz="4" w:space="0"/>
              <w:bottom w:val="single" w:color="auto" w:sz="4" w:space="0"/>
              <w:right w:val="single" w:color="auto" w:sz="4" w:space="0"/>
            </w:tcBorders>
            <w:vAlign w:val="top"/>
          </w:tcPr>
          <w:p w14:paraId="03BA044D">
            <w:pPr>
              <w:jc w:val="center"/>
              <w:rPr>
                <w:rFonts w:hint="eastAsia" w:ascii="仿宋_GB2312" w:hAnsi="仿宋_GB2312" w:eastAsia="仿宋_GB2312" w:cs="仿宋_GB2312"/>
                <w:sz w:val="21"/>
                <w:szCs w:val="21"/>
              </w:rPr>
            </w:pPr>
          </w:p>
        </w:tc>
        <w:tc>
          <w:tcPr>
            <w:tcW w:w="759" w:type="dxa"/>
            <w:tcBorders>
              <w:top w:val="single" w:color="auto" w:sz="4" w:space="0"/>
              <w:left w:val="single" w:color="auto" w:sz="4" w:space="0"/>
              <w:bottom w:val="single" w:color="auto" w:sz="4" w:space="0"/>
              <w:right w:val="single" w:color="auto" w:sz="4" w:space="0"/>
            </w:tcBorders>
            <w:vAlign w:val="center"/>
          </w:tcPr>
          <w:p w14:paraId="5174DA01">
            <w:pPr>
              <w:spacing w:before="146" w:line="219" w:lineRule="auto"/>
              <w:ind w:left="191" w:right="124" w:hanging="7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满意度</w:t>
            </w:r>
            <w:r>
              <w:rPr>
                <w:rFonts w:hint="eastAsia" w:ascii="仿宋_GB2312" w:hAnsi="仿宋_GB2312" w:eastAsia="仿宋_GB2312" w:cs="仿宋_GB2312"/>
                <w:spacing w:val="1"/>
                <w:sz w:val="21"/>
                <w:szCs w:val="21"/>
              </w:rPr>
              <w:t xml:space="preserve"> </w:t>
            </w:r>
            <w:r>
              <w:rPr>
                <w:rFonts w:hint="eastAsia" w:ascii="仿宋_GB2312" w:hAnsi="仿宋_GB2312" w:eastAsia="仿宋_GB2312" w:cs="仿宋_GB2312"/>
                <w:spacing w:val="-3"/>
                <w:sz w:val="21"/>
                <w:szCs w:val="21"/>
              </w:rPr>
              <w:t>指标</w:t>
            </w:r>
          </w:p>
        </w:tc>
        <w:tc>
          <w:tcPr>
            <w:tcW w:w="1009" w:type="dxa"/>
            <w:tcBorders>
              <w:top w:val="single" w:color="auto" w:sz="4" w:space="0"/>
              <w:left w:val="single" w:color="auto" w:sz="4" w:space="0"/>
              <w:bottom w:val="single" w:color="auto" w:sz="4" w:space="0"/>
              <w:right w:val="single" w:color="auto" w:sz="4" w:space="0"/>
            </w:tcBorders>
            <w:vAlign w:val="center"/>
          </w:tcPr>
          <w:p w14:paraId="7516E07E">
            <w:pPr>
              <w:spacing w:before="155" w:line="214" w:lineRule="auto"/>
              <w:ind w:left="181" w:right="123" w:hanging="15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服务对象满</w:t>
            </w:r>
            <w:r>
              <w:rPr>
                <w:rFonts w:hint="eastAsia" w:ascii="仿宋_GB2312" w:hAnsi="仿宋_GB2312" w:eastAsia="仿宋_GB2312" w:cs="仿宋_GB2312"/>
                <w:spacing w:val="2"/>
                <w:sz w:val="21"/>
                <w:szCs w:val="21"/>
              </w:rPr>
              <w:t xml:space="preserve"> </w:t>
            </w:r>
            <w:r>
              <w:rPr>
                <w:rFonts w:hint="eastAsia" w:ascii="仿宋_GB2312" w:hAnsi="仿宋_GB2312" w:eastAsia="仿宋_GB2312" w:cs="仿宋_GB2312"/>
                <w:spacing w:val="-3"/>
                <w:sz w:val="21"/>
                <w:szCs w:val="21"/>
              </w:rPr>
              <w:t>意度指标</w:t>
            </w:r>
          </w:p>
        </w:tc>
        <w:tc>
          <w:tcPr>
            <w:tcW w:w="2314" w:type="dxa"/>
            <w:gridSpan w:val="2"/>
            <w:tcBorders>
              <w:top w:val="single" w:color="auto" w:sz="4" w:space="0"/>
              <w:left w:val="single" w:color="auto" w:sz="4" w:space="0"/>
              <w:bottom w:val="single" w:color="auto" w:sz="4" w:space="0"/>
              <w:right w:val="single" w:color="auto" w:sz="4" w:space="0"/>
            </w:tcBorders>
            <w:vAlign w:val="center"/>
          </w:tcPr>
          <w:p w14:paraId="061BFAFB">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8"/>
                <w:sz w:val="21"/>
                <w:szCs w:val="21"/>
              </w:rPr>
              <w:t>社会满意度：群众幸福指数提高，满意度达95%以上</w:t>
            </w:r>
          </w:p>
        </w:tc>
        <w:tc>
          <w:tcPr>
            <w:tcW w:w="1020" w:type="dxa"/>
            <w:tcBorders>
              <w:top w:val="single" w:color="auto" w:sz="4" w:space="0"/>
              <w:left w:val="single" w:color="auto" w:sz="4" w:space="0"/>
              <w:bottom w:val="single" w:color="auto" w:sz="4" w:space="0"/>
              <w:right w:val="single" w:color="auto" w:sz="4" w:space="0"/>
            </w:tcBorders>
            <w:vAlign w:val="center"/>
          </w:tcPr>
          <w:p w14:paraId="28DD7699">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95%</w:t>
            </w:r>
          </w:p>
        </w:tc>
        <w:tc>
          <w:tcPr>
            <w:tcW w:w="885" w:type="dxa"/>
            <w:tcBorders>
              <w:top w:val="single" w:color="auto" w:sz="4" w:space="0"/>
              <w:left w:val="single" w:color="auto" w:sz="4" w:space="0"/>
              <w:bottom w:val="single" w:color="auto" w:sz="4" w:space="0"/>
              <w:right w:val="single" w:color="auto" w:sz="4" w:space="0"/>
            </w:tcBorders>
            <w:vAlign w:val="center"/>
          </w:tcPr>
          <w:p w14:paraId="39887AE0">
            <w:pPr>
              <w:spacing w:before="36" w:line="220" w:lineRule="auto"/>
              <w:ind w:left="202"/>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95%</w:t>
            </w:r>
          </w:p>
        </w:tc>
        <w:tc>
          <w:tcPr>
            <w:tcW w:w="2490" w:type="dxa"/>
            <w:tcBorders>
              <w:left w:val="single" w:color="auto" w:sz="4" w:space="0"/>
            </w:tcBorders>
            <w:vAlign w:val="center"/>
          </w:tcPr>
          <w:p w14:paraId="1EB0CDEC">
            <w:pPr>
              <w:jc w:val="center"/>
              <w:rPr>
                <w:rFonts w:hint="eastAsia" w:ascii="仿宋_GB2312" w:hAnsi="仿宋_GB2312" w:eastAsia="仿宋_GB2312" w:cs="仿宋_GB2312"/>
                <w:sz w:val="21"/>
                <w:szCs w:val="21"/>
              </w:rPr>
            </w:pPr>
          </w:p>
        </w:tc>
      </w:tr>
      <w:tr w14:paraId="4210F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6691" w:type="dxa"/>
            <w:gridSpan w:val="7"/>
            <w:tcBorders>
              <w:top w:val="single" w:color="auto" w:sz="4" w:space="0"/>
              <w:left w:val="single" w:color="auto" w:sz="4" w:space="0"/>
              <w:bottom w:val="single" w:color="auto" w:sz="4" w:space="0"/>
              <w:right w:val="single" w:color="auto" w:sz="4" w:space="0"/>
            </w:tcBorders>
            <w:vAlign w:val="top"/>
          </w:tcPr>
          <w:p w14:paraId="3FF6AFDD">
            <w:pPr>
              <w:spacing w:before="36" w:line="220" w:lineRule="auto"/>
              <w:ind w:left="202"/>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总分</w:t>
            </w:r>
          </w:p>
        </w:tc>
        <w:tc>
          <w:tcPr>
            <w:tcW w:w="2490" w:type="dxa"/>
            <w:tcBorders>
              <w:left w:val="single" w:color="auto" w:sz="4" w:space="0"/>
            </w:tcBorders>
            <w:vAlign w:val="center"/>
          </w:tcPr>
          <w:p w14:paraId="4637D54B">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98</w:t>
            </w:r>
          </w:p>
        </w:tc>
      </w:tr>
    </w:tbl>
    <w:p w14:paraId="69877642">
      <w:pPr>
        <w:jc w:val="both"/>
        <w:rPr>
          <w:rFonts w:hint="eastAsia" w:ascii="仿宋_GB2312" w:hAnsi="仿宋_GB2312" w:eastAsia="仿宋_GB2312" w:cs="仿宋_GB2312"/>
          <w:sz w:val="21"/>
          <w:szCs w:val="21"/>
        </w:rPr>
      </w:pPr>
    </w:p>
    <w:p w14:paraId="42B6705D">
      <w:pPr>
        <w:widowControl/>
        <w:jc w:val="left"/>
        <w:rPr>
          <w:rStyle w:val="30"/>
          <w:rFonts w:ascii="黑体" w:hAnsi="黑体" w:eastAsia="黑体"/>
          <w:b w:val="0"/>
          <w:color w:val="auto"/>
          <w:highlight w:val="none"/>
        </w:rPr>
      </w:pPr>
    </w:p>
    <w:p w14:paraId="7CC4BDF4">
      <w:pPr>
        <w:widowControl/>
        <w:jc w:val="left"/>
        <w:rPr>
          <w:rStyle w:val="30"/>
          <w:rFonts w:ascii="黑体" w:hAnsi="黑体" w:eastAsia="黑体"/>
          <w:b w:val="0"/>
          <w:color w:val="auto"/>
          <w:highlight w:val="none"/>
        </w:rPr>
      </w:pPr>
    </w:p>
    <w:p w14:paraId="655E8091">
      <w:pPr>
        <w:rPr>
          <w:rStyle w:val="30"/>
          <w:rFonts w:ascii="黑体" w:hAnsi="黑体" w:eastAsia="黑体"/>
          <w:b w:val="0"/>
          <w:color w:val="auto"/>
          <w:highlight w:val="none"/>
        </w:rPr>
      </w:pPr>
      <w:r>
        <w:rPr>
          <w:rStyle w:val="30"/>
          <w:rFonts w:ascii="黑体" w:hAnsi="黑体" w:eastAsia="黑体"/>
          <w:b w:val="0"/>
          <w:color w:val="auto"/>
          <w:highlight w:val="none"/>
        </w:rPr>
        <w:br w:type="page"/>
      </w:r>
    </w:p>
    <w:p w14:paraId="49DECE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黑体" w:eastAsia="方正小标宋简体" w:cs="黑体"/>
          <w:b w:val="0"/>
          <w:bCs w:val="0"/>
          <w:sz w:val="44"/>
          <w:szCs w:val="44"/>
        </w:rPr>
      </w:pPr>
      <w:r>
        <w:rPr>
          <w:rFonts w:hint="eastAsia" w:ascii="方正小标宋简体" w:hAnsi="黑体" w:eastAsia="方正小标宋简体" w:cs="黑体"/>
          <w:b w:val="0"/>
          <w:bCs w:val="0"/>
          <w:sz w:val="44"/>
          <w:szCs w:val="44"/>
        </w:rPr>
        <w:t>关于2022年烤烟产业发展资金支出的绩效</w:t>
      </w:r>
    </w:p>
    <w:p w14:paraId="741BF3E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黑体" w:eastAsia="方正小标宋简体" w:cs="黑体"/>
          <w:b w:val="0"/>
          <w:bCs w:val="0"/>
          <w:sz w:val="44"/>
          <w:szCs w:val="44"/>
        </w:rPr>
      </w:pPr>
      <w:r>
        <w:rPr>
          <w:rFonts w:hint="eastAsia" w:ascii="方正小标宋简体" w:hAnsi="黑体" w:eastAsia="方正小标宋简体" w:cs="黑体"/>
          <w:b w:val="0"/>
          <w:bCs w:val="0"/>
          <w:sz w:val="44"/>
          <w:szCs w:val="44"/>
        </w:rPr>
        <w:t>自评报告</w:t>
      </w:r>
    </w:p>
    <w:p w14:paraId="339D3B68">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firstLine="640" w:firstLineChars="200"/>
        <w:textAlignment w:val="auto"/>
        <w:outlineLvl w:val="1"/>
        <w:rPr>
          <w:rFonts w:hint="eastAsia" w:ascii="Times New Roman" w:hAnsi="Times New Roman"/>
          <w:lang w:val="zh-CN"/>
        </w:rPr>
      </w:pPr>
      <w:bookmarkStart w:id="180" w:name="_Toc20701"/>
      <w:bookmarkStart w:id="181" w:name="_Toc7234"/>
      <w:bookmarkStart w:id="182" w:name="_Toc5693"/>
      <w:r>
        <w:rPr>
          <w:rFonts w:hint="eastAsia" w:ascii="Times New Roman" w:hAnsi="Times New Roman" w:eastAsia="黑体" w:cs="黑体"/>
          <w:sz w:val="32"/>
          <w:szCs w:val="32"/>
          <w:lang w:val="zh-CN"/>
        </w:rPr>
        <w:t>一、项目概况</w:t>
      </w:r>
      <w:bookmarkEnd w:id="180"/>
      <w:bookmarkEnd w:id="181"/>
      <w:bookmarkEnd w:id="182"/>
    </w:p>
    <w:p w14:paraId="37EC9E60">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Chars="200" w:firstLine="321" w:firstLineChars="100"/>
        <w:textAlignment w:val="auto"/>
        <w:outlineLvl w:val="2"/>
        <w:rPr>
          <w:rFonts w:hint="eastAsia" w:ascii="Times New Roman" w:hAnsi="Times New Roman" w:eastAsia="楷体_GB2312" w:cs="楷体_GB2312"/>
          <w:b/>
          <w:bCs w:val="0"/>
          <w:sz w:val="32"/>
          <w:szCs w:val="32"/>
          <w:lang w:val="zh-CN" w:eastAsia="zh-CN"/>
        </w:rPr>
      </w:pPr>
      <w:bookmarkStart w:id="183" w:name="_Toc18109"/>
      <w:r>
        <w:rPr>
          <w:rFonts w:hint="eastAsia" w:ascii="Times New Roman" w:hAnsi="Times New Roman" w:eastAsia="楷体_GB2312" w:cs="楷体_GB2312"/>
          <w:b/>
          <w:bCs w:val="0"/>
          <w:sz w:val="32"/>
          <w:szCs w:val="32"/>
          <w:lang w:val="zh-CN" w:eastAsia="zh-CN"/>
        </w:rPr>
        <w:t>（一）项目基本情况</w:t>
      </w:r>
      <w:bookmarkEnd w:id="183"/>
    </w:p>
    <w:p w14:paraId="69B7908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b w:val="0"/>
          <w:i w:val="0"/>
          <w:caps w:val="0"/>
          <w:spacing w:val="0"/>
          <w:w w:val="100"/>
          <w:sz w:val="32"/>
          <w:szCs w:val="32"/>
          <w:lang w:val="en-US" w:eastAsia="zh-CN"/>
        </w:rPr>
      </w:pPr>
      <w:r>
        <w:rPr>
          <w:rFonts w:hint="eastAsia" w:ascii="仿宋" w:hAnsi="仿宋" w:eastAsia="仿宋"/>
          <w:b w:val="0"/>
          <w:i w:val="0"/>
          <w:caps w:val="0"/>
          <w:spacing w:val="0"/>
          <w:w w:val="100"/>
          <w:sz w:val="32"/>
          <w:szCs w:val="32"/>
          <w:lang w:val="en-US" w:eastAsia="zh-CN"/>
        </w:rPr>
        <w:t>磨滩镇2022年烟叶产业发展资金</w:t>
      </w:r>
      <w:r>
        <w:rPr>
          <w:rFonts w:hint="default" w:ascii="仿宋" w:hAnsi="仿宋" w:eastAsia="仿宋"/>
          <w:b w:val="0"/>
          <w:i w:val="0"/>
          <w:caps w:val="0"/>
          <w:spacing w:val="0"/>
          <w:w w:val="100"/>
          <w:sz w:val="32"/>
          <w:szCs w:val="32"/>
          <w:lang w:val="en-US" w:eastAsia="zh-CN"/>
        </w:rPr>
        <w:t>项目</w:t>
      </w:r>
      <w:r>
        <w:rPr>
          <w:rFonts w:hint="eastAsia" w:ascii="仿宋" w:hAnsi="仿宋" w:eastAsia="仿宋"/>
          <w:b w:val="0"/>
          <w:i w:val="0"/>
          <w:caps w:val="0"/>
          <w:spacing w:val="0"/>
          <w:w w:val="100"/>
          <w:sz w:val="32"/>
          <w:szCs w:val="32"/>
          <w:lang w:val="en-US" w:eastAsia="zh-CN"/>
        </w:rPr>
        <w:t>为2022年预算指标，金额61.18万元，主要用于完成61.18万元烟叶税收目标任务，加强烤烟产业发展，开展烤烟种植技术培训不低于1次，种植烤烟面积1750亩，烟地整理600亩，提高烟农收入，返还烟农发展经费24.47万元，该项目符合资金管理办法等相关规定。</w:t>
      </w:r>
    </w:p>
    <w:p w14:paraId="7724CAD4">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outlineLvl w:val="2"/>
        <w:rPr>
          <w:rFonts w:hint="eastAsia" w:ascii="Times New Roman" w:hAnsi="Times New Roman" w:eastAsia="楷体_GB2312" w:cs="楷体_GB2312"/>
          <w:b/>
          <w:bCs w:val="0"/>
          <w:sz w:val="32"/>
          <w:szCs w:val="32"/>
          <w:lang w:val="zh-CN"/>
        </w:rPr>
      </w:pPr>
      <w:bookmarkStart w:id="184" w:name="_Toc8709"/>
      <w:r>
        <w:rPr>
          <w:rFonts w:hint="eastAsia" w:ascii="Times New Roman" w:hAnsi="Times New Roman" w:eastAsia="楷体_GB2312" w:cs="楷体_GB2312"/>
          <w:b/>
          <w:bCs w:val="0"/>
          <w:kern w:val="2"/>
          <w:sz w:val="32"/>
          <w:szCs w:val="32"/>
          <w:lang w:val="zh-CN" w:eastAsia="zh-CN" w:bidi="ar-SA"/>
        </w:rPr>
        <w:t>（</w:t>
      </w:r>
      <w:r>
        <w:rPr>
          <w:rFonts w:hint="eastAsia" w:eastAsia="楷体_GB2312" w:cs="楷体_GB2312"/>
          <w:b/>
          <w:bCs w:val="0"/>
          <w:kern w:val="2"/>
          <w:sz w:val="32"/>
          <w:szCs w:val="32"/>
          <w:lang w:val="zh-CN" w:eastAsia="zh-CN" w:bidi="ar-SA"/>
        </w:rPr>
        <w:t>二</w:t>
      </w:r>
      <w:r>
        <w:rPr>
          <w:rFonts w:hint="eastAsia" w:ascii="Times New Roman" w:hAnsi="Times New Roman" w:eastAsia="楷体_GB2312" w:cs="楷体_GB2312"/>
          <w:b/>
          <w:bCs w:val="0"/>
          <w:kern w:val="2"/>
          <w:sz w:val="32"/>
          <w:szCs w:val="32"/>
          <w:lang w:val="zh-CN" w:eastAsia="zh-CN" w:bidi="ar-SA"/>
        </w:rPr>
        <w:t>）</w:t>
      </w:r>
      <w:r>
        <w:rPr>
          <w:rFonts w:hint="eastAsia" w:ascii="Times New Roman" w:hAnsi="Times New Roman" w:eastAsia="楷体_GB2312" w:cs="楷体_GB2312"/>
          <w:b/>
          <w:bCs w:val="0"/>
          <w:sz w:val="32"/>
          <w:szCs w:val="32"/>
          <w:lang w:val="zh-CN"/>
        </w:rPr>
        <w:t>项目绩效目标</w:t>
      </w:r>
      <w:bookmarkEnd w:id="184"/>
    </w:p>
    <w:p w14:paraId="443003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b w:val="0"/>
          <w:i w:val="0"/>
          <w:caps w:val="0"/>
          <w:spacing w:val="0"/>
          <w:w w:val="100"/>
          <w:sz w:val="32"/>
          <w:szCs w:val="32"/>
          <w:lang w:val="zh-CN" w:eastAsia="zh-CN"/>
        </w:rPr>
      </w:pPr>
      <w:r>
        <w:rPr>
          <w:rFonts w:hint="eastAsia" w:ascii="仿宋" w:hAnsi="仿宋" w:eastAsia="仿宋"/>
          <w:b w:val="0"/>
          <w:i w:val="0"/>
          <w:caps w:val="0"/>
          <w:spacing w:val="0"/>
          <w:w w:val="100"/>
          <w:sz w:val="32"/>
          <w:szCs w:val="32"/>
          <w:lang w:val="en-US" w:eastAsia="zh-CN"/>
        </w:rPr>
        <w:t>目前完成烟叶税收目标任务，种植烤烟1240亩，开展烤烟种植技术培训2次，烟地整理521亩，维修烤房11间，烤房治漏29间，烟路整治2.71千米，全市烤烟现场会1次，申报返还烟农发展经费29.45万元。项目已完成总额的100%。</w:t>
      </w:r>
    </w:p>
    <w:p w14:paraId="24A83C8F">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Chars="200" w:firstLine="321" w:firstLineChars="100"/>
        <w:textAlignment w:val="auto"/>
        <w:outlineLvl w:val="2"/>
        <w:rPr>
          <w:rFonts w:hint="eastAsia" w:ascii="Times New Roman" w:hAnsi="Times New Roman" w:eastAsia="楷体_GB2312" w:cs="楷体_GB2312"/>
          <w:b/>
          <w:bCs w:val="0"/>
          <w:sz w:val="32"/>
          <w:szCs w:val="32"/>
          <w:lang w:val="zh-CN" w:eastAsia="zh-CN"/>
        </w:rPr>
      </w:pPr>
      <w:bookmarkStart w:id="185" w:name="_Toc17207"/>
      <w:bookmarkStart w:id="186" w:name="_Toc21278"/>
      <w:r>
        <w:rPr>
          <w:rFonts w:hint="eastAsia" w:ascii="Times New Roman" w:hAnsi="Times New Roman" w:eastAsia="楷体_GB2312" w:cs="楷体_GB2312"/>
          <w:b/>
          <w:bCs w:val="0"/>
          <w:sz w:val="32"/>
          <w:szCs w:val="32"/>
          <w:lang w:val="zh-CN" w:eastAsia="zh-CN"/>
        </w:rPr>
        <w:t>（</w:t>
      </w:r>
      <w:r>
        <w:rPr>
          <w:rFonts w:hint="eastAsia" w:ascii="Times New Roman" w:hAnsi="Times New Roman" w:eastAsia="楷体_GB2312" w:cs="楷体_GB2312"/>
          <w:b/>
          <w:bCs w:val="0"/>
          <w:sz w:val="32"/>
          <w:szCs w:val="32"/>
          <w:lang w:val="en-US" w:eastAsia="zh-CN"/>
        </w:rPr>
        <w:t>三</w:t>
      </w:r>
      <w:r>
        <w:rPr>
          <w:rFonts w:hint="eastAsia" w:ascii="Times New Roman" w:hAnsi="Times New Roman" w:eastAsia="楷体_GB2312" w:cs="楷体_GB2312"/>
          <w:b/>
          <w:bCs w:val="0"/>
          <w:sz w:val="32"/>
          <w:szCs w:val="32"/>
          <w:lang w:val="zh-CN" w:eastAsia="zh-CN"/>
        </w:rPr>
        <w:t>）自评步骤及方法</w:t>
      </w:r>
      <w:bookmarkEnd w:id="185"/>
    </w:p>
    <w:p w14:paraId="4172111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 w:hAnsi="仿宋" w:eastAsia="仿宋"/>
          <w:b w:val="0"/>
          <w:i w:val="0"/>
          <w:caps w:val="0"/>
          <w:spacing w:val="0"/>
          <w:w w:val="100"/>
          <w:sz w:val="32"/>
          <w:szCs w:val="32"/>
          <w:lang w:val="en-US" w:eastAsia="zh-CN"/>
        </w:rPr>
      </w:pPr>
      <w:r>
        <w:rPr>
          <w:rFonts w:hint="eastAsia" w:ascii="仿宋" w:hAnsi="仿宋" w:eastAsia="仿宋"/>
          <w:b w:val="0"/>
          <w:i w:val="0"/>
          <w:caps w:val="0"/>
          <w:spacing w:val="0"/>
          <w:w w:val="100"/>
          <w:sz w:val="32"/>
          <w:szCs w:val="32"/>
          <w:lang w:val="en-US" w:eastAsia="zh-CN"/>
        </w:rPr>
        <w:t>该项目采取自评与他评相结合方式，成立项目自评小组，结合评价内容，做到有计划，有安排，扎实开展本次自评工作。按照上级下达的项目支出绩效评价指标体系，自评小组针对申报内容、实施情况、资金兑现、财务管理、社会效益等作出自我评价，认真听取村、社区居民建议意见，做好自评工作。</w:t>
      </w:r>
      <w:r>
        <w:rPr>
          <w:rFonts w:hint="eastAsia" w:ascii="仿宋" w:hAnsi="仿宋" w:eastAsia="仿宋"/>
          <w:b w:val="0"/>
          <w:i w:val="0"/>
          <w:caps w:val="0"/>
          <w:spacing w:val="0"/>
          <w:w w:val="100"/>
          <w:sz w:val="32"/>
          <w:szCs w:val="32"/>
          <w:lang w:val="zh-CN" w:eastAsia="zh-CN"/>
        </w:rPr>
        <w:t>并对照年初预算的绩效目标使用《广元市昭化区财政项目（政策）支出绩效自评表》进行打分，出具评价结果并提交绩效</w:t>
      </w:r>
      <w:r>
        <w:rPr>
          <w:rFonts w:hint="eastAsia" w:ascii="仿宋" w:hAnsi="仿宋" w:eastAsia="仿宋"/>
          <w:b w:val="0"/>
          <w:i w:val="0"/>
          <w:caps w:val="0"/>
          <w:spacing w:val="0"/>
          <w:w w:val="100"/>
          <w:sz w:val="32"/>
          <w:szCs w:val="32"/>
          <w:lang w:val="en-US" w:eastAsia="zh-CN"/>
        </w:rPr>
        <w:t>自评</w:t>
      </w:r>
      <w:r>
        <w:rPr>
          <w:rFonts w:hint="eastAsia" w:ascii="仿宋" w:hAnsi="仿宋" w:eastAsia="仿宋"/>
          <w:b w:val="0"/>
          <w:i w:val="0"/>
          <w:caps w:val="0"/>
          <w:spacing w:val="0"/>
          <w:w w:val="100"/>
          <w:sz w:val="32"/>
          <w:szCs w:val="32"/>
          <w:lang w:val="zh-CN" w:eastAsia="zh-CN"/>
        </w:rPr>
        <w:t>报告等程序进行。</w:t>
      </w:r>
    </w:p>
    <w:bookmarkEnd w:id="186"/>
    <w:p w14:paraId="30CF8CE7">
      <w:pPr>
        <w:keepNext w:val="0"/>
        <w:keepLines w:val="0"/>
        <w:pageBreakBefore w:val="0"/>
        <w:numPr>
          <w:ilvl w:val="0"/>
          <w:numId w:val="0"/>
        </w:numPr>
        <w:wordWrap/>
        <w:overflowPunct/>
        <w:topLinePunct w:val="0"/>
        <w:bidi w:val="0"/>
        <w:adjustRightInd w:val="0"/>
        <w:snapToGrid w:val="0"/>
        <w:spacing w:line="576" w:lineRule="exact"/>
        <w:ind w:firstLine="640" w:firstLineChars="200"/>
        <w:outlineLvl w:val="1"/>
        <w:rPr>
          <w:rFonts w:hint="eastAsia" w:ascii="黑体" w:hAnsi="黑体" w:eastAsia="黑体" w:cs="黑体"/>
          <w:color w:val="auto"/>
          <w:kern w:val="0"/>
          <w:sz w:val="32"/>
          <w:szCs w:val="32"/>
          <w:highlight w:val="none"/>
          <w:lang w:val="en-US" w:eastAsia="zh-CN" w:bidi="ar-SA"/>
        </w:rPr>
      </w:pPr>
      <w:bookmarkStart w:id="187" w:name="_Toc15600"/>
      <w:r>
        <w:rPr>
          <w:rFonts w:hint="eastAsia" w:ascii="黑体" w:hAnsi="黑体" w:eastAsia="黑体" w:cs="黑体"/>
          <w:color w:val="auto"/>
          <w:kern w:val="0"/>
          <w:sz w:val="32"/>
          <w:szCs w:val="32"/>
          <w:highlight w:val="none"/>
          <w:lang w:val="en-US" w:eastAsia="zh-CN" w:bidi="ar-SA"/>
        </w:rPr>
        <w:t>二、项目资金申报及使用情况</w:t>
      </w:r>
      <w:bookmarkEnd w:id="187"/>
    </w:p>
    <w:p w14:paraId="67521040">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eastAsia" w:ascii="仿宋" w:hAnsi="仿宋" w:eastAsia="仿宋" w:cs="Times New Roman"/>
          <w:b/>
          <w:color w:val="auto"/>
          <w:sz w:val="32"/>
          <w:szCs w:val="32"/>
          <w:highlight w:val="none"/>
          <w:lang w:val="zh-CN" w:eastAsia="zh-CN"/>
        </w:rPr>
      </w:pPr>
      <w:bookmarkStart w:id="188" w:name="_Toc5256"/>
      <w:bookmarkStart w:id="189" w:name="_Toc23339"/>
      <w:r>
        <w:rPr>
          <w:rFonts w:hint="eastAsia" w:ascii="仿宋" w:hAnsi="仿宋" w:eastAsia="仿宋" w:cs="Times New Roman"/>
          <w:b/>
          <w:color w:val="auto"/>
          <w:sz w:val="32"/>
          <w:szCs w:val="32"/>
          <w:highlight w:val="none"/>
          <w:lang w:val="zh-CN" w:eastAsia="zh-CN"/>
        </w:rPr>
        <w:t>（一）项目资金申报及批复情况</w:t>
      </w:r>
      <w:bookmarkEnd w:id="188"/>
    </w:p>
    <w:p w14:paraId="35416399">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 w:hAnsi="仿宋" w:eastAsia="仿宋"/>
          <w:b w:val="0"/>
          <w:i w:val="0"/>
          <w:caps w:val="0"/>
          <w:spacing w:val="0"/>
          <w:w w:val="100"/>
          <w:sz w:val="32"/>
          <w:szCs w:val="32"/>
          <w:lang w:val="en-US" w:eastAsia="zh-CN"/>
        </w:rPr>
        <w:t>2022年烟叶发展资金</w:t>
      </w:r>
      <w:r>
        <w:rPr>
          <w:rFonts w:hint="eastAsia" w:ascii="仿宋" w:hAnsi="仿宋" w:eastAsia="仿宋"/>
          <w:b w:val="0"/>
          <w:i w:val="0"/>
          <w:caps w:val="0"/>
          <w:spacing w:val="0"/>
          <w:w w:val="100"/>
          <w:sz w:val="32"/>
          <w:szCs w:val="32"/>
          <w:lang w:val="zh-CN" w:eastAsia="zh-CN"/>
        </w:rPr>
        <w:t>项目预算</w:t>
      </w:r>
      <w:r>
        <w:rPr>
          <w:rFonts w:hint="eastAsia" w:ascii="仿宋" w:hAnsi="仿宋" w:eastAsia="仿宋"/>
          <w:b w:val="0"/>
          <w:i w:val="0"/>
          <w:caps w:val="0"/>
          <w:spacing w:val="0"/>
          <w:w w:val="100"/>
          <w:sz w:val="32"/>
          <w:szCs w:val="32"/>
          <w:lang w:val="en-US" w:eastAsia="zh-CN"/>
        </w:rPr>
        <w:t>61.18</w:t>
      </w:r>
      <w:r>
        <w:rPr>
          <w:rFonts w:hint="eastAsia" w:ascii="仿宋" w:hAnsi="仿宋" w:eastAsia="仿宋"/>
          <w:b w:val="0"/>
          <w:i w:val="0"/>
          <w:caps w:val="0"/>
          <w:spacing w:val="0"/>
          <w:w w:val="100"/>
          <w:sz w:val="32"/>
          <w:szCs w:val="32"/>
          <w:lang w:val="zh-CN" w:eastAsia="zh-CN"/>
        </w:rPr>
        <w:t>万元，区财政批复预算</w:t>
      </w:r>
      <w:r>
        <w:rPr>
          <w:rFonts w:hint="eastAsia" w:ascii="仿宋" w:hAnsi="仿宋" w:eastAsia="仿宋"/>
          <w:b w:val="0"/>
          <w:i w:val="0"/>
          <w:caps w:val="0"/>
          <w:spacing w:val="0"/>
          <w:w w:val="100"/>
          <w:sz w:val="32"/>
          <w:szCs w:val="32"/>
          <w:lang w:val="en-US" w:eastAsia="zh-CN"/>
        </w:rPr>
        <w:t>61.18</w:t>
      </w:r>
      <w:r>
        <w:rPr>
          <w:rFonts w:hint="eastAsia" w:ascii="仿宋" w:hAnsi="仿宋" w:eastAsia="仿宋"/>
          <w:b w:val="0"/>
          <w:i w:val="0"/>
          <w:caps w:val="0"/>
          <w:spacing w:val="0"/>
          <w:w w:val="100"/>
          <w:sz w:val="32"/>
          <w:szCs w:val="32"/>
          <w:lang w:val="zh-CN" w:eastAsia="zh-CN"/>
        </w:rPr>
        <w:t>万元，下达资金</w:t>
      </w:r>
      <w:r>
        <w:rPr>
          <w:rFonts w:hint="eastAsia" w:ascii="仿宋" w:hAnsi="仿宋" w:eastAsia="仿宋"/>
          <w:b w:val="0"/>
          <w:i w:val="0"/>
          <w:caps w:val="0"/>
          <w:spacing w:val="0"/>
          <w:w w:val="100"/>
          <w:sz w:val="32"/>
          <w:szCs w:val="32"/>
          <w:lang w:val="en-US" w:eastAsia="zh-CN"/>
        </w:rPr>
        <w:t>61.18万元，资金到位率100%。支付依据符合相关规定，项目资金支付与预算申请相符合。</w:t>
      </w:r>
    </w:p>
    <w:p w14:paraId="5869D0BB">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default" w:ascii="仿宋" w:hAnsi="仿宋" w:eastAsia="仿宋" w:cs="Times New Roman"/>
          <w:b/>
          <w:color w:val="auto"/>
          <w:sz w:val="32"/>
          <w:szCs w:val="32"/>
          <w:highlight w:val="none"/>
          <w:lang w:val="zh-CN" w:eastAsia="zh-CN"/>
        </w:rPr>
      </w:pPr>
      <w:bookmarkStart w:id="190" w:name="_Toc26986"/>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二</w:t>
      </w:r>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项目计划、到位及使用</w:t>
      </w:r>
      <w:r>
        <w:rPr>
          <w:rFonts w:hint="default" w:ascii="仿宋" w:hAnsi="仿宋" w:eastAsia="仿宋" w:cs="Times New Roman"/>
          <w:b/>
          <w:color w:val="auto"/>
          <w:sz w:val="32"/>
          <w:szCs w:val="32"/>
          <w:highlight w:val="none"/>
          <w:lang w:val="zh-CN" w:eastAsia="zh-CN"/>
        </w:rPr>
        <w:t>情况</w:t>
      </w:r>
      <w:bookmarkEnd w:id="190"/>
    </w:p>
    <w:p w14:paraId="0D496B46">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 w:hAnsi="仿宋" w:eastAsia="仿宋"/>
          <w:b w:val="0"/>
          <w:i w:val="0"/>
          <w:caps w:val="0"/>
          <w:spacing w:val="0"/>
          <w:w w:val="100"/>
          <w:sz w:val="32"/>
          <w:szCs w:val="32"/>
          <w:lang w:val="zh-CN" w:eastAsia="zh-CN"/>
        </w:rPr>
      </w:pPr>
      <w:r>
        <w:rPr>
          <w:rFonts w:hint="eastAsia" w:ascii="仿宋" w:hAnsi="仿宋" w:eastAsia="仿宋"/>
          <w:b w:val="0"/>
          <w:i w:val="0"/>
          <w:caps w:val="0"/>
          <w:spacing w:val="0"/>
          <w:w w:val="100"/>
          <w:sz w:val="32"/>
          <w:szCs w:val="32"/>
          <w:lang w:val="en-US" w:eastAsia="zh-CN"/>
        </w:rPr>
        <w:t>1.</w:t>
      </w:r>
      <w:r>
        <w:rPr>
          <w:rFonts w:hint="eastAsia" w:ascii="仿宋" w:hAnsi="仿宋" w:eastAsia="仿宋"/>
          <w:b w:val="0"/>
          <w:i w:val="0"/>
          <w:caps w:val="0"/>
          <w:spacing w:val="0"/>
          <w:w w:val="100"/>
          <w:sz w:val="32"/>
          <w:szCs w:val="32"/>
          <w:lang w:val="zh-CN" w:eastAsia="zh-CN"/>
        </w:rPr>
        <w:t>资金计划。</w:t>
      </w:r>
      <w:r>
        <w:rPr>
          <w:rFonts w:hint="eastAsia" w:ascii="仿宋" w:hAnsi="仿宋" w:eastAsia="仿宋"/>
          <w:b w:val="0"/>
          <w:i w:val="0"/>
          <w:caps w:val="0"/>
          <w:spacing w:val="0"/>
          <w:w w:val="100"/>
          <w:sz w:val="32"/>
          <w:szCs w:val="32"/>
          <w:lang w:val="en-US" w:eastAsia="zh-CN"/>
        </w:rPr>
        <w:t>该</w:t>
      </w:r>
      <w:r>
        <w:rPr>
          <w:rFonts w:hint="eastAsia" w:ascii="仿宋" w:hAnsi="仿宋" w:eastAsia="仿宋"/>
          <w:b w:val="0"/>
          <w:i w:val="0"/>
          <w:caps w:val="0"/>
          <w:spacing w:val="0"/>
          <w:w w:val="100"/>
          <w:sz w:val="32"/>
          <w:szCs w:val="32"/>
          <w:lang w:val="zh-CN" w:eastAsia="zh-CN"/>
        </w:rPr>
        <w:t>项目资金来源为财政拨款，总投入为</w:t>
      </w:r>
      <w:r>
        <w:rPr>
          <w:rFonts w:hint="eastAsia" w:ascii="仿宋" w:hAnsi="仿宋" w:eastAsia="仿宋"/>
          <w:b w:val="0"/>
          <w:i w:val="0"/>
          <w:caps w:val="0"/>
          <w:spacing w:val="0"/>
          <w:w w:val="100"/>
          <w:sz w:val="32"/>
          <w:szCs w:val="32"/>
          <w:lang w:val="en-US" w:eastAsia="zh-CN"/>
        </w:rPr>
        <w:t>61.18万元，资金于2022年初部门预算批复到位。</w:t>
      </w:r>
    </w:p>
    <w:p w14:paraId="274EC891">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 w:hAnsi="仿宋" w:eastAsia="仿宋"/>
          <w:b w:val="0"/>
          <w:i w:val="0"/>
          <w:caps w:val="0"/>
          <w:spacing w:val="0"/>
          <w:w w:val="100"/>
          <w:sz w:val="32"/>
          <w:szCs w:val="32"/>
          <w:lang w:val="en-US" w:eastAsia="zh-CN"/>
        </w:rPr>
      </w:pPr>
      <w:r>
        <w:rPr>
          <w:rFonts w:hint="eastAsia" w:ascii="仿宋" w:hAnsi="仿宋" w:eastAsia="仿宋"/>
          <w:b w:val="0"/>
          <w:i w:val="0"/>
          <w:caps w:val="0"/>
          <w:spacing w:val="0"/>
          <w:w w:val="100"/>
          <w:sz w:val="32"/>
          <w:szCs w:val="32"/>
          <w:lang w:val="en-US" w:eastAsia="zh-CN"/>
        </w:rPr>
        <w:t>2.</w:t>
      </w:r>
      <w:r>
        <w:rPr>
          <w:rFonts w:hint="eastAsia" w:ascii="仿宋" w:hAnsi="仿宋" w:eastAsia="仿宋"/>
          <w:b w:val="0"/>
          <w:i w:val="0"/>
          <w:caps w:val="0"/>
          <w:spacing w:val="0"/>
          <w:w w:val="100"/>
          <w:sz w:val="32"/>
          <w:szCs w:val="32"/>
          <w:lang w:val="zh-CN" w:eastAsia="zh-CN"/>
        </w:rPr>
        <w:t>资金到位。截止评价时点，该项目</w:t>
      </w:r>
      <w:r>
        <w:rPr>
          <w:rFonts w:hint="eastAsia" w:ascii="仿宋" w:hAnsi="仿宋" w:eastAsia="仿宋"/>
          <w:b w:val="0"/>
          <w:i w:val="0"/>
          <w:caps w:val="0"/>
          <w:spacing w:val="0"/>
          <w:w w:val="100"/>
          <w:sz w:val="32"/>
          <w:szCs w:val="32"/>
          <w:lang w:val="en-US" w:eastAsia="zh-CN"/>
        </w:rPr>
        <w:t>资金全部到位，资金到位率100%。</w:t>
      </w:r>
    </w:p>
    <w:p w14:paraId="65842CA8">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 w:hAnsi="仿宋" w:eastAsia="仿宋"/>
          <w:b w:val="0"/>
          <w:i w:val="0"/>
          <w:caps w:val="0"/>
          <w:spacing w:val="0"/>
          <w:w w:val="100"/>
          <w:sz w:val="32"/>
          <w:szCs w:val="32"/>
          <w:lang w:val="zh-CN" w:eastAsia="zh-CN"/>
        </w:rPr>
      </w:pPr>
      <w:r>
        <w:rPr>
          <w:rFonts w:hint="eastAsia" w:ascii="仿宋" w:hAnsi="仿宋" w:eastAsia="仿宋"/>
          <w:b w:val="0"/>
          <w:i w:val="0"/>
          <w:caps w:val="0"/>
          <w:spacing w:val="0"/>
          <w:w w:val="100"/>
          <w:sz w:val="32"/>
          <w:szCs w:val="32"/>
          <w:lang w:val="en-US" w:eastAsia="zh-CN"/>
        </w:rPr>
        <w:t>3.</w:t>
      </w:r>
      <w:r>
        <w:rPr>
          <w:rFonts w:hint="eastAsia" w:ascii="仿宋" w:hAnsi="仿宋" w:eastAsia="仿宋"/>
          <w:b w:val="0"/>
          <w:i w:val="0"/>
          <w:caps w:val="0"/>
          <w:spacing w:val="0"/>
          <w:w w:val="100"/>
          <w:sz w:val="32"/>
          <w:szCs w:val="32"/>
          <w:lang w:val="zh-CN" w:eastAsia="zh-CN"/>
        </w:rPr>
        <w:t>资金使用。截止评价时点，</w:t>
      </w:r>
      <w:r>
        <w:rPr>
          <w:rFonts w:hint="eastAsia" w:ascii="仿宋" w:hAnsi="仿宋" w:eastAsia="仿宋"/>
          <w:b w:val="0"/>
          <w:i w:val="0"/>
          <w:caps w:val="0"/>
          <w:spacing w:val="0"/>
          <w:w w:val="100"/>
          <w:sz w:val="32"/>
          <w:szCs w:val="32"/>
          <w:lang w:val="en-US" w:eastAsia="zh-CN"/>
        </w:rPr>
        <w:t>已申请支付10.55万元（为解决2021年度绩效分成资金），剩余50.63万元由于项目特殊性，2023年作为存量资金已全部拨付到位，资金使用率17.24%。</w:t>
      </w:r>
      <w:r>
        <w:rPr>
          <w:rFonts w:hint="eastAsia" w:ascii="仿宋" w:hAnsi="仿宋" w:eastAsia="仿宋"/>
          <w:b w:val="0"/>
          <w:i w:val="0"/>
          <w:caps w:val="0"/>
          <w:spacing w:val="0"/>
          <w:w w:val="100"/>
          <w:sz w:val="32"/>
          <w:szCs w:val="32"/>
          <w:lang w:val="zh-CN" w:eastAsia="zh-CN"/>
        </w:rPr>
        <w:t>资金使用</w:t>
      </w:r>
      <w:r>
        <w:rPr>
          <w:rFonts w:hint="eastAsia" w:ascii="仿宋" w:hAnsi="仿宋" w:eastAsia="仿宋"/>
          <w:b w:val="0"/>
          <w:i w:val="0"/>
          <w:caps w:val="0"/>
          <w:spacing w:val="0"/>
          <w:w w:val="100"/>
          <w:sz w:val="32"/>
          <w:szCs w:val="32"/>
          <w:lang w:val="en-US" w:eastAsia="zh-CN"/>
        </w:rPr>
        <w:t>具有</w:t>
      </w:r>
      <w:r>
        <w:rPr>
          <w:rFonts w:hint="eastAsia" w:ascii="仿宋" w:hAnsi="仿宋" w:eastAsia="仿宋"/>
          <w:b w:val="0"/>
          <w:i w:val="0"/>
          <w:caps w:val="0"/>
          <w:spacing w:val="0"/>
          <w:w w:val="100"/>
          <w:sz w:val="32"/>
          <w:szCs w:val="32"/>
          <w:lang w:val="zh-CN" w:eastAsia="zh-CN"/>
        </w:rPr>
        <w:t>安全性、规范性、有效性，</w:t>
      </w:r>
      <w:r>
        <w:rPr>
          <w:rFonts w:hint="eastAsia" w:ascii="仿宋" w:hAnsi="仿宋" w:eastAsia="仿宋"/>
          <w:b w:val="0"/>
          <w:i w:val="0"/>
          <w:caps w:val="0"/>
          <w:spacing w:val="0"/>
          <w:w w:val="100"/>
          <w:sz w:val="32"/>
          <w:szCs w:val="32"/>
          <w:lang w:val="en-US" w:eastAsia="zh-CN"/>
        </w:rPr>
        <w:t>严格按照</w:t>
      </w:r>
      <w:r>
        <w:rPr>
          <w:rFonts w:hint="eastAsia" w:ascii="仿宋" w:hAnsi="仿宋" w:eastAsia="仿宋"/>
          <w:b w:val="0"/>
          <w:i w:val="0"/>
          <w:caps w:val="0"/>
          <w:spacing w:val="0"/>
          <w:w w:val="100"/>
          <w:sz w:val="32"/>
          <w:szCs w:val="32"/>
          <w:lang w:val="zh-CN" w:eastAsia="zh-CN"/>
        </w:rPr>
        <w:t>资金支付范围、支付标准</w:t>
      </w:r>
      <w:r>
        <w:rPr>
          <w:rFonts w:hint="eastAsia" w:ascii="仿宋" w:hAnsi="仿宋" w:eastAsia="仿宋"/>
          <w:b w:val="0"/>
          <w:i w:val="0"/>
          <w:caps w:val="0"/>
          <w:spacing w:val="0"/>
          <w:w w:val="100"/>
          <w:sz w:val="32"/>
          <w:szCs w:val="32"/>
          <w:lang w:val="en-US" w:eastAsia="zh-CN"/>
        </w:rPr>
        <w:t>进行支付，</w:t>
      </w:r>
      <w:r>
        <w:rPr>
          <w:rFonts w:hint="eastAsia" w:ascii="仿宋" w:hAnsi="仿宋" w:eastAsia="仿宋"/>
          <w:b w:val="0"/>
          <w:i w:val="0"/>
          <w:caps w:val="0"/>
          <w:spacing w:val="0"/>
          <w:w w:val="100"/>
          <w:sz w:val="32"/>
          <w:szCs w:val="32"/>
          <w:lang w:val="zh-CN" w:eastAsia="zh-CN"/>
        </w:rPr>
        <w:t>支付进度、支付依据合规合法、与预算相符。</w:t>
      </w:r>
    </w:p>
    <w:p w14:paraId="723B61C1">
      <w:pPr>
        <w:pageBreakBefore w:val="0"/>
        <w:kinsoku/>
        <w:wordWrap/>
        <w:overflowPunct/>
        <w:topLinePunct w:val="0"/>
        <w:autoSpaceDE w:val="0"/>
        <w:autoSpaceDN w:val="0"/>
        <w:bidi w:val="0"/>
        <w:adjustRightInd w:val="0"/>
        <w:spacing w:line="576" w:lineRule="exact"/>
        <w:ind w:firstLine="643" w:firstLineChars="200"/>
        <w:jc w:val="left"/>
        <w:textAlignment w:val="auto"/>
        <w:outlineLvl w:val="2"/>
        <w:rPr>
          <w:rFonts w:hint="eastAsia" w:ascii="仿宋" w:hAnsi="仿宋" w:eastAsia="仿宋" w:cs="Times New Roman"/>
          <w:b/>
          <w:color w:val="auto"/>
          <w:sz w:val="32"/>
          <w:szCs w:val="32"/>
          <w:highlight w:val="none"/>
          <w:lang w:val="en-US" w:eastAsia="zh-CN"/>
        </w:rPr>
      </w:pPr>
      <w:bookmarkStart w:id="191" w:name="_Toc6645"/>
      <w:r>
        <w:rPr>
          <w:rFonts w:hint="default" w:ascii="仿宋" w:hAnsi="仿宋" w:eastAsia="仿宋" w:cs="Times New Roman"/>
          <w:b/>
          <w:color w:val="auto"/>
          <w:sz w:val="32"/>
          <w:szCs w:val="32"/>
          <w:highlight w:val="none"/>
          <w:lang w:val="zh-CN" w:eastAsia="zh-CN"/>
        </w:rPr>
        <w:t>（</w:t>
      </w:r>
      <w:r>
        <w:rPr>
          <w:rFonts w:hint="eastAsia" w:ascii="仿宋" w:hAnsi="仿宋" w:eastAsia="仿宋" w:cs="Times New Roman"/>
          <w:b/>
          <w:color w:val="auto"/>
          <w:sz w:val="32"/>
          <w:szCs w:val="32"/>
          <w:highlight w:val="none"/>
          <w:lang w:val="en-US" w:eastAsia="zh-CN"/>
        </w:rPr>
        <w:t>三</w:t>
      </w:r>
      <w:r>
        <w:rPr>
          <w:rFonts w:hint="default" w:ascii="仿宋" w:hAnsi="仿宋" w:eastAsia="仿宋" w:cs="Times New Roman"/>
          <w:b/>
          <w:color w:val="auto"/>
          <w:sz w:val="32"/>
          <w:szCs w:val="32"/>
          <w:highlight w:val="none"/>
          <w:lang w:val="zh-CN" w:eastAsia="zh-CN"/>
        </w:rPr>
        <w:t>）项目财务管理情况</w:t>
      </w:r>
      <w:bookmarkEnd w:id="191"/>
    </w:p>
    <w:p w14:paraId="31B3850B">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 w:hAnsi="仿宋" w:eastAsia="仿宋"/>
          <w:b w:val="0"/>
          <w:i w:val="0"/>
          <w:caps w:val="0"/>
          <w:spacing w:val="0"/>
          <w:w w:val="100"/>
          <w:sz w:val="32"/>
          <w:szCs w:val="32"/>
          <w:lang w:val="en-US" w:eastAsia="zh-CN"/>
        </w:rPr>
        <w:t>2022年磨滩镇烟叶发展资金按摩</w:t>
      </w:r>
      <w:r>
        <w:rPr>
          <w:rFonts w:hint="eastAsia" w:ascii="仿宋" w:hAnsi="仿宋" w:eastAsia="仿宋"/>
          <w:b w:val="0"/>
          <w:i w:val="0"/>
          <w:caps w:val="0"/>
          <w:spacing w:val="0"/>
          <w:w w:val="100"/>
          <w:sz w:val="32"/>
          <w:szCs w:val="32"/>
          <w:lang w:val="zh-CN" w:eastAsia="zh-CN"/>
        </w:rPr>
        <w:t>滩</w:t>
      </w:r>
      <w:r>
        <w:rPr>
          <w:rFonts w:hint="default" w:ascii="仿宋" w:hAnsi="仿宋" w:eastAsia="仿宋"/>
          <w:b w:val="0"/>
          <w:i w:val="0"/>
          <w:caps w:val="0"/>
          <w:spacing w:val="0"/>
          <w:w w:val="100"/>
          <w:sz w:val="32"/>
          <w:szCs w:val="32"/>
          <w:lang w:val="zh-CN" w:eastAsia="zh-CN"/>
        </w:rPr>
        <w:t>镇财务管理制度规定执行，</w:t>
      </w:r>
      <w:r>
        <w:rPr>
          <w:rFonts w:hint="eastAsia" w:ascii="仿宋" w:hAnsi="仿宋" w:eastAsia="仿宋"/>
          <w:b w:val="0"/>
          <w:i w:val="0"/>
          <w:caps w:val="0"/>
          <w:spacing w:val="0"/>
          <w:w w:val="100"/>
          <w:sz w:val="32"/>
          <w:szCs w:val="32"/>
          <w:lang w:val="en-US" w:eastAsia="zh-CN"/>
        </w:rPr>
        <w:t>采取财政直接支付方式，由镇组织申报材料，形成项目专项资金申请报告报送财务部门，由财政所根据项目进度，严格按照项目资金管理办法对资金进行计划申请、划拨至所提供的第三方指定账户，及时、规范对收支进行账务处理和会计核算。对项目资金坚持专款专用、量入为出的原则，并建立好项目专项资金使用台账，加强项目专项资金的财务管理及使用监督管理。</w:t>
      </w:r>
    </w:p>
    <w:p w14:paraId="020B3FE3">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en-US" w:eastAsia="zh-CN" w:bidi="ar-SA"/>
        </w:rPr>
      </w:pPr>
      <w:bookmarkStart w:id="192" w:name="_Toc29748"/>
      <w:r>
        <w:rPr>
          <w:rFonts w:hint="eastAsia" w:ascii="黑体" w:hAnsi="黑体" w:eastAsia="黑体" w:cs="黑体"/>
          <w:color w:val="auto"/>
          <w:kern w:val="0"/>
          <w:sz w:val="32"/>
          <w:szCs w:val="32"/>
          <w:highlight w:val="none"/>
          <w:lang w:val="en-US" w:eastAsia="zh-CN" w:bidi="ar-SA"/>
        </w:rPr>
        <w:t>三</w:t>
      </w:r>
      <w:r>
        <w:rPr>
          <w:rFonts w:hint="default" w:ascii="黑体" w:hAnsi="黑体" w:eastAsia="黑体" w:cs="黑体"/>
          <w:color w:val="auto"/>
          <w:kern w:val="0"/>
          <w:sz w:val="32"/>
          <w:szCs w:val="32"/>
          <w:highlight w:val="none"/>
          <w:lang w:val="en-US" w:eastAsia="zh-CN" w:bidi="ar-SA"/>
        </w:rPr>
        <w:t>、项目实施及管理情况</w:t>
      </w:r>
      <w:bookmarkEnd w:id="192"/>
    </w:p>
    <w:p w14:paraId="2AC45F34">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仿宋" w:hAnsi="仿宋" w:eastAsia="仿宋" w:cs="Times New Roman"/>
          <w:b/>
          <w:color w:val="auto"/>
          <w:sz w:val="32"/>
          <w:szCs w:val="32"/>
          <w:highlight w:val="none"/>
          <w:lang w:val="zh-CN" w:eastAsia="zh-CN"/>
        </w:rPr>
      </w:pPr>
      <w:r>
        <w:rPr>
          <w:rFonts w:hint="eastAsia" w:ascii="楷体" w:hAnsi="楷体" w:eastAsia="楷体" w:cs="楷体"/>
          <w:b/>
          <w:color w:val="auto"/>
          <w:sz w:val="32"/>
          <w:szCs w:val="32"/>
          <w:highlight w:val="none"/>
          <w:lang w:val="zh-CN" w:eastAsia="zh-CN"/>
        </w:rPr>
        <w:t>（一）项目组织架构及实施流程</w:t>
      </w:r>
    </w:p>
    <w:p w14:paraId="1D8D73F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镇党委政府高度重视</w:t>
      </w:r>
      <w:r>
        <w:rPr>
          <w:rFonts w:hint="eastAsia" w:ascii="仿宋_GB2312" w:hAnsi="Calibri" w:eastAsia="仿宋_GB2312" w:cs="仿宋"/>
          <w:color w:val="auto"/>
          <w:kern w:val="0"/>
          <w:sz w:val="32"/>
          <w:szCs w:val="32"/>
          <w:highlight w:val="none"/>
          <w:lang w:val="en-US" w:eastAsia="zh-CN" w:bidi="ar-SA"/>
        </w:rPr>
        <w:t>该项目</w:t>
      </w:r>
      <w:r>
        <w:rPr>
          <w:rFonts w:hint="eastAsia" w:ascii="仿宋_GB2312" w:hAnsi="Calibri" w:eastAsia="仿宋_GB2312" w:cs="仿宋"/>
          <w:color w:val="auto"/>
          <w:kern w:val="0"/>
          <w:sz w:val="32"/>
          <w:szCs w:val="32"/>
          <w:highlight w:val="none"/>
          <w:lang w:val="zh-CN" w:eastAsia="zh-CN" w:bidi="ar-SA"/>
        </w:rPr>
        <w:t>，并成立工作领导小组。以镇党委副书记、镇长为组长，各联村（社区）领导为副组长，财政所负责人、各村（社区书记）为成员。抓牢抓实此项目的实施。</w:t>
      </w:r>
    </w:p>
    <w:p w14:paraId="7F592CF1">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二</w:t>
      </w:r>
      <w:r>
        <w:rPr>
          <w:rFonts w:hint="eastAsia" w:ascii="楷体" w:hAnsi="楷体" w:eastAsia="楷体" w:cs="楷体"/>
          <w:b/>
          <w:color w:val="auto"/>
          <w:sz w:val="32"/>
          <w:szCs w:val="32"/>
          <w:highlight w:val="none"/>
          <w:lang w:val="zh-CN" w:eastAsia="zh-CN"/>
        </w:rPr>
        <w:t>）项目管理情况</w:t>
      </w:r>
    </w:p>
    <w:p w14:paraId="046DC194">
      <w:pPr>
        <w:keepNext w:val="0"/>
        <w:keepLines w:val="0"/>
        <w:pageBreakBefore w:val="0"/>
        <w:numPr>
          <w:ilvl w:val="0"/>
          <w:numId w:val="0"/>
        </w:numPr>
        <w:kinsoku/>
        <w:wordWrap/>
        <w:overflowPunct/>
        <w:topLinePunct w:val="0"/>
        <w:autoSpaceDE/>
        <w:bidi w:val="0"/>
        <w:adjustRightInd/>
        <w:spacing w:line="576" w:lineRule="exact"/>
        <w:ind w:left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项目资金由镇财政所具体管理，按投资计划，制定管理制度，对项目资金按项目单独核算实行“专款专用、专人管理”，不</w:t>
      </w:r>
      <w:r>
        <w:rPr>
          <w:rFonts w:hint="eastAsia" w:ascii="仿宋_GB2312" w:hAnsi="Calibri" w:eastAsia="仿宋_GB2312" w:cs="仿宋"/>
          <w:color w:val="auto"/>
          <w:kern w:val="0"/>
          <w:sz w:val="32"/>
          <w:szCs w:val="32"/>
          <w:highlight w:val="none"/>
          <w:lang w:val="en-US" w:eastAsia="zh-CN" w:bidi="ar-SA"/>
        </w:rPr>
        <w:t>存在</w:t>
      </w:r>
      <w:r>
        <w:rPr>
          <w:rFonts w:hint="eastAsia" w:ascii="仿宋_GB2312" w:hAnsi="Calibri" w:eastAsia="仿宋_GB2312" w:cs="仿宋"/>
          <w:color w:val="auto"/>
          <w:kern w:val="0"/>
          <w:sz w:val="32"/>
          <w:szCs w:val="32"/>
          <w:highlight w:val="none"/>
          <w:lang w:val="zh-CN" w:eastAsia="zh-CN" w:bidi="ar-SA"/>
        </w:rPr>
        <w:t>挤占挪用项目资金。</w:t>
      </w:r>
    </w:p>
    <w:p w14:paraId="6CEFA339">
      <w:pPr>
        <w:keepNext w:val="0"/>
        <w:keepLines w:val="0"/>
        <w:pageBreakBefore w:val="0"/>
        <w:widowControl w:val="0"/>
        <w:numPr>
          <w:ilvl w:val="0"/>
          <w:numId w:val="6"/>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en-US" w:eastAsia="zh-CN"/>
        </w:rPr>
        <w:t>项目监管情况</w:t>
      </w:r>
    </w:p>
    <w:p w14:paraId="4433E3A2">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Chars="200"/>
        <w:textAlignment w:val="auto"/>
        <w:rPr>
          <w:rFonts w:hint="default"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项目的正常实施监督检查是保障。我</w:t>
      </w:r>
      <w:r>
        <w:rPr>
          <w:rFonts w:hint="eastAsia" w:ascii="仿宋_GB2312" w:hAnsi="Calibri" w:eastAsia="仿宋_GB2312" w:cs="仿宋"/>
          <w:color w:val="auto"/>
          <w:kern w:val="0"/>
          <w:sz w:val="32"/>
          <w:szCs w:val="32"/>
          <w:highlight w:val="none"/>
          <w:lang w:val="en-US" w:eastAsia="zh-CN" w:bidi="ar-SA"/>
        </w:rPr>
        <w:t>镇</w:t>
      </w:r>
      <w:r>
        <w:rPr>
          <w:rFonts w:hint="eastAsia" w:ascii="仿宋_GB2312" w:hAnsi="Calibri" w:eastAsia="仿宋_GB2312" w:cs="仿宋"/>
          <w:color w:val="auto"/>
          <w:kern w:val="0"/>
          <w:sz w:val="32"/>
          <w:szCs w:val="32"/>
          <w:highlight w:val="none"/>
          <w:lang w:val="zh-CN" w:eastAsia="zh-CN" w:bidi="ar-SA"/>
        </w:rPr>
        <w:t>定期或不定期对项目进行现场检查和督查，确保项目建设质量。</w:t>
      </w:r>
    </w:p>
    <w:p w14:paraId="7773AC4F">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eastAsia" w:ascii="黑体" w:hAnsi="黑体" w:eastAsia="黑体" w:cs="黑体"/>
          <w:color w:val="auto"/>
          <w:kern w:val="0"/>
          <w:sz w:val="32"/>
          <w:szCs w:val="32"/>
          <w:highlight w:val="none"/>
          <w:lang w:val="zh-CN" w:eastAsia="zh-CN" w:bidi="ar-SA"/>
        </w:rPr>
      </w:pPr>
      <w:bookmarkStart w:id="193" w:name="_Toc23511"/>
      <w:bookmarkStart w:id="194" w:name="_Toc30083"/>
      <w:r>
        <w:rPr>
          <w:rFonts w:hint="eastAsia" w:ascii="黑体" w:hAnsi="黑体" w:eastAsia="黑体" w:cs="黑体"/>
          <w:color w:val="auto"/>
          <w:kern w:val="0"/>
          <w:sz w:val="32"/>
          <w:szCs w:val="32"/>
          <w:highlight w:val="none"/>
          <w:lang w:val="zh-CN" w:eastAsia="zh-CN" w:bidi="ar-SA"/>
        </w:rPr>
        <w:t>四、项目绩效情况</w:t>
      </w:r>
      <w:bookmarkEnd w:id="189"/>
      <w:bookmarkEnd w:id="193"/>
      <w:bookmarkEnd w:id="194"/>
    </w:p>
    <w:p w14:paraId="0A11F973">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楷体" w:hAnsi="楷体" w:eastAsia="楷体" w:cs="楷体"/>
          <w:b/>
          <w:color w:val="auto"/>
          <w:sz w:val="32"/>
          <w:szCs w:val="32"/>
          <w:highlight w:val="none"/>
          <w:lang w:val="zh-CN" w:eastAsia="zh-CN"/>
        </w:rPr>
      </w:pPr>
      <w:bookmarkStart w:id="195" w:name="_Toc1633"/>
      <w:r>
        <w:rPr>
          <w:rFonts w:hint="eastAsia" w:ascii="楷体" w:hAnsi="楷体" w:eastAsia="楷体" w:cs="楷体"/>
          <w:b/>
          <w:color w:val="auto"/>
          <w:sz w:val="32"/>
          <w:szCs w:val="32"/>
          <w:highlight w:val="none"/>
          <w:lang w:val="zh-CN" w:eastAsia="zh-CN"/>
        </w:rPr>
        <w:t>（一）项目完成情况</w:t>
      </w:r>
      <w:bookmarkEnd w:id="195"/>
    </w:p>
    <w:p w14:paraId="2960972C">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2022年度，我镇种植烤烟1240亩，开展烤烟种植技术培训2次，烟地整理521亩，维修烤房11间，烤房治漏29间，烟路整治2.71千米，全市烤烟现场会1次，申报返还烟农发展经费29.45万元，烟叶税完成率为102.13%。</w:t>
      </w:r>
    </w:p>
    <w:p w14:paraId="4CCA18F9">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楷体" w:hAnsi="楷体" w:eastAsia="楷体" w:cs="楷体"/>
          <w:b/>
          <w:color w:val="auto"/>
          <w:sz w:val="32"/>
          <w:szCs w:val="32"/>
          <w:highlight w:val="none"/>
          <w:lang w:val="zh-CN" w:eastAsia="zh-CN"/>
        </w:rPr>
      </w:pPr>
      <w:bookmarkStart w:id="196" w:name="_Toc1686"/>
      <w:r>
        <w:rPr>
          <w:rFonts w:hint="eastAsia" w:ascii="楷体" w:hAnsi="楷体" w:eastAsia="楷体" w:cs="楷体"/>
          <w:b/>
          <w:color w:val="auto"/>
          <w:sz w:val="32"/>
          <w:szCs w:val="32"/>
          <w:highlight w:val="none"/>
          <w:lang w:val="zh-CN" w:eastAsia="zh-CN"/>
        </w:rPr>
        <w:t>（二）项目效益情况</w:t>
      </w:r>
      <w:bookmarkEnd w:id="196"/>
    </w:p>
    <w:p w14:paraId="10BE8CB2">
      <w:pPr>
        <w:keepNext w:val="0"/>
        <w:keepLines w:val="0"/>
        <w:pageBreakBefore w:val="0"/>
        <w:widowControl w:val="0"/>
        <w:kinsoku/>
        <w:wordWrap/>
        <w:overflowPunct/>
        <w:topLinePunct w:val="0"/>
        <w:autoSpaceDE/>
        <w:autoSpaceDN/>
        <w:bidi w:val="0"/>
        <w:adjustRightInd w:val="0"/>
        <w:snapToGrid w:val="0"/>
        <w:spacing w:line="576" w:lineRule="exact"/>
        <w:ind w:firstLine="640" w:firstLineChars="200"/>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2022年烟农整体收益增加，实际超额完成税收，提升了烟叶产出质量，群众收益提高。通过技术培训，着力培育一支品行好、懂技术、善管理和有一定经济实力的稳定职业烟农队伍，大力推广烟叶种植规模化、精细化。正常使用的烟路、烤房及配套的烟水、电力等烟基设施，为职业烟农规模种植烟叶奠定了坚实的物质基础确保我镇烟草产业减人不减面积烟农得实惠，烟叶发展可持续。</w:t>
      </w:r>
    </w:p>
    <w:p w14:paraId="3461DF0D">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eastAsia" w:ascii="黑体" w:hAnsi="黑体" w:eastAsia="黑体" w:cs="黑体"/>
          <w:color w:val="auto"/>
          <w:kern w:val="0"/>
          <w:sz w:val="32"/>
          <w:szCs w:val="32"/>
          <w:highlight w:val="none"/>
          <w:lang w:val="zh-CN" w:eastAsia="zh-CN" w:bidi="ar-SA"/>
        </w:rPr>
      </w:pPr>
      <w:bookmarkStart w:id="197" w:name="_Toc23030"/>
      <w:bookmarkStart w:id="198" w:name="_Toc26181"/>
      <w:bookmarkStart w:id="199" w:name="_Toc31832"/>
      <w:r>
        <w:rPr>
          <w:rFonts w:hint="eastAsia" w:ascii="黑体" w:hAnsi="黑体" w:eastAsia="黑体" w:cs="黑体"/>
          <w:color w:val="auto"/>
          <w:kern w:val="0"/>
          <w:sz w:val="32"/>
          <w:szCs w:val="32"/>
          <w:highlight w:val="none"/>
          <w:lang w:val="en-US" w:eastAsia="zh-CN" w:bidi="ar-SA"/>
        </w:rPr>
        <w:t>五</w:t>
      </w:r>
      <w:r>
        <w:rPr>
          <w:rFonts w:hint="eastAsia" w:ascii="黑体" w:hAnsi="黑体" w:eastAsia="黑体" w:cs="黑体"/>
          <w:color w:val="auto"/>
          <w:kern w:val="0"/>
          <w:sz w:val="32"/>
          <w:szCs w:val="32"/>
          <w:highlight w:val="none"/>
          <w:lang w:val="zh-CN" w:eastAsia="zh-CN" w:bidi="ar-SA"/>
        </w:rPr>
        <w:t>、自评结论及建议</w:t>
      </w:r>
      <w:bookmarkEnd w:id="197"/>
      <w:bookmarkEnd w:id="198"/>
      <w:bookmarkEnd w:id="199"/>
    </w:p>
    <w:p w14:paraId="111502ED">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楷体" w:hAnsi="楷体" w:eastAsia="楷体" w:cs="楷体"/>
          <w:b/>
          <w:color w:val="auto"/>
          <w:sz w:val="32"/>
          <w:szCs w:val="32"/>
          <w:highlight w:val="none"/>
          <w:lang w:val="zh-CN" w:eastAsia="zh-CN"/>
        </w:rPr>
      </w:pPr>
      <w:bookmarkStart w:id="200" w:name="_Toc24203"/>
      <w:r>
        <w:rPr>
          <w:rFonts w:hint="eastAsia" w:ascii="楷体" w:hAnsi="楷体" w:eastAsia="楷体" w:cs="楷体"/>
          <w:b/>
          <w:color w:val="auto"/>
          <w:sz w:val="32"/>
          <w:szCs w:val="32"/>
          <w:highlight w:val="none"/>
          <w:lang w:val="zh-CN" w:eastAsia="zh-CN"/>
        </w:rPr>
        <w:t>（一）评价结论</w:t>
      </w:r>
      <w:bookmarkEnd w:id="200"/>
    </w:p>
    <w:p w14:paraId="74F5B32D">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default" w:ascii="仿宋_GB2312" w:hAnsi="Calibri" w:eastAsia="仿宋_GB2312" w:cs="仿宋"/>
          <w:color w:val="auto"/>
          <w:kern w:val="0"/>
          <w:sz w:val="32"/>
          <w:szCs w:val="32"/>
          <w:highlight w:val="none"/>
          <w:lang w:val="zh-CN" w:eastAsia="zh-CN" w:bidi="ar-SA"/>
        </w:rPr>
        <w:t>20</w:t>
      </w:r>
      <w:r>
        <w:rPr>
          <w:rFonts w:hint="eastAsia" w:ascii="仿宋_GB2312" w:hAnsi="Calibri" w:eastAsia="仿宋_GB2312" w:cs="仿宋"/>
          <w:color w:val="auto"/>
          <w:kern w:val="0"/>
          <w:sz w:val="32"/>
          <w:szCs w:val="32"/>
          <w:highlight w:val="none"/>
          <w:lang w:val="en-US" w:eastAsia="zh-CN" w:bidi="ar-SA"/>
        </w:rPr>
        <w:t>22</w:t>
      </w:r>
      <w:r>
        <w:rPr>
          <w:rFonts w:hint="default" w:ascii="仿宋_GB2312" w:hAnsi="Calibri" w:eastAsia="仿宋_GB2312" w:cs="仿宋"/>
          <w:color w:val="auto"/>
          <w:kern w:val="0"/>
          <w:sz w:val="32"/>
          <w:szCs w:val="32"/>
          <w:highlight w:val="none"/>
          <w:lang w:val="zh-CN" w:eastAsia="zh-CN" w:bidi="ar-SA"/>
        </w:rPr>
        <w:t>年度烟叶专项资金能按照相关规定进行使用和管理，程序较为规范，取得了</w:t>
      </w:r>
      <w:r>
        <w:rPr>
          <w:rFonts w:hint="eastAsia" w:ascii="仿宋_GB2312" w:hAnsi="Calibri" w:eastAsia="仿宋_GB2312" w:cs="仿宋"/>
          <w:color w:val="auto"/>
          <w:kern w:val="0"/>
          <w:sz w:val="32"/>
          <w:szCs w:val="32"/>
          <w:highlight w:val="none"/>
          <w:lang w:val="zh-CN" w:eastAsia="zh-CN" w:bidi="ar-SA"/>
        </w:rPr>
        <w:t>良好的</w:t>
      </w:r>
      <w:r>
        <w:rPr>
          <w:rFonts w:hint="default" w:ascii="仿宋_GB2312" w:hAnsi="Calibri" w:eastAsia="仿宋_GB2312" w:cs="仿宋"/>
          <w:color w:val="auto"/>
          <w:kern w:val="0"/>
          <w:sz w:val="32"/>
          <w:szCs w:val="32"/>
          <w:highlight w:val="none"/>
          <w:lang w:val="zh-CN" w:eastAsia="zh-CN" w:bidi="ar-SA"/>
        </w:rPr>
        <w:t>经济收益和社会效益。</w:t>
      </w:r>
      <w:r>
        <w:rPr>
          <w:rFonts w:hint="eastAsia" w:ascii="仿宋_GB2312" w:hAnsi="Calibri" w:eastAsia="仿宋_GB2312" w:cs="仿宋"/>
          <w:color w:val="auto"/>
          <w:kern w:val="0"/>
          <w:sz w:val="32"/>
          <w:szCs w:val="32"/>
          <w:highlight w:val="none"/>
          <w:lang w:val="zh-CN" w:eastAsia="zh-CN" w:bidi="ar-SA"/>
        </w:rPr>
        <w:t>根据项目决策、管理和绩效方面分析，我镇</w:t>
      </w:r>
      <w:r>
        <w:rPr>
          <w:rFonts w:hint="eastAsia" w:ascii="仿宋_GB2312" w:hAnsi="Calibri" w:eastAsia="仿宋_GB2312" w:cs="仿宋"/>
          <w:color w:val="auto"/>
          <w:kern w:val="0"/>
          <w:sz w:val="32"/>
          <w:szCs w:val="32"/>
          <w:highlight w:val="none"/>
          <w:lang w:val="en-US" w:eastAsia="zh-CN" w:bidi="ar-SA"/>
        </w:rPr>
        <w:t>烟叶发展资金</w:t>
      </w:r>
      <w:r>
        <w:rPr>
          <w:rFonts w:hint="eastAsia" w:ascii="仿宋_GB2312" w:hAnsi="Calibri" w:eastAsia="仿宋_GB2312" w:cs="仿宋"/>
          <w:color w:val="auto"/>
          <w:kern w:val="0"/>
          <w:sz w:val="32"/>
          <w:szCs w:val="32"/>
          <w:highlight w:val="none"/>
          <w:lang w:val="zh-CN" w:eastAsia="zh-CN" w:bidi="ar-SA"/>
        </w:rPr>
        <w:t>在202</w:t>
      </w:r>
      <w:r>
        <w:rPr>
          <w:rFonts w:hint="eastAsia" w:ascii="仿宋_GB2312" w:hAnsi="Calibri" w:eastAsia="仿宋_GB2312" w:cs="仿宋"/>
          <w:color w:val="auto"/>
          <w:kern w:val="0"/>
          <w:sz w:val="32"/>
          <w:szCs w:val="32"/>
          <w:highlight w:val="none"/>
          <w:lang w:val="en-US" w:eastAsia="zh-CN" w:bidi="ar-SA"/>
        </w:rPr>
        <w:t>2</w:t>
      </w:r>
      <w:r>
        <w:rPr>
          <w:rFonts w:hint="eastAsia" w:ascii="仿宋_GB2312" w:hAnsi="Calibri" w:eastAsia="仿宋_GB2312" w:cs="仿宋"/>
          <w:color w:val="auto"/>
          <w:kern w:val="0"/>
          <w:sz w:val="32"/>
          <w:szCs w:val="32"/>
          <w:highlight w:val="none"/>
          <w:lang w:val="zh-CN" w:eastAsia="zh-CN" w:bidi="ar-SA"/>
        </w:rPr>
        <w:t>年期间保障了我镇</w:t>
      </w:r>
      <w:r>
        <w:rPr>
          <w:rFonts w:hint="eastAsia" w:ascii="仿宋_GB2312" w:hAnsi="Calibri" w:eastAsia="仿宋_GB2312" w:cs="仿宋"/>
          <w:color w:val="auto"/>
          <w:kern w:val="0"/>
          <w:sz w:val="32"/>
          <w:szCs w:val="32"/>
          <w:highlight w:val="none"/>
          <w:lang w:val="en-US" w:eastAsia="zh-CN" w:bidi="ar-SA"/>
        </w:rPr>
        <w:t>完成了烟叶发展任务</w:t>
      </w:r>
      <w:r>
        <w:rPr>
          <w:rFonts w:hint="eastAsia" w:ascii="仿宋_GB2312" w:hAnsi="Calibri" w:eastAsia="仿宋_GB2312" w:cs="仿宋"/>
          <w:color w:val="auto"/>
          <w:kern w:val="0"/>
          <w:sz w:val="32"/>
          <w:szCs w:val="32"/>
          <w:highlight w:val="none"/>
          <w:lang w:val="zh-CN" w:eastAsia="zh-CN" w:bidi="ar-SA"/>
        </w:rPr>
        <w:t>。</w:t>
      </w:r>
      <w:r>
        <w:rPr>
          <w:rFonts w:hint="eastAsia" w:ascii="仿宋_GB2312" w:hAnsi="Calibri" w:eastAsia="仿宋_GB2312" w:cs="仿宋"/>
          <w:color w:val="auto"/>
          <w:kern w:val="0"/>
          <w:sz w:val="32"/>
          <w:szCs w:val="32"/>
          <w:highlight w:val="none"/>
          <w:lang w:val="en-US" w:eastAsia="zh-CN" w:bidi="ar-SA"/>
        </w:rPr>
        <w:t>我单位按照《广元市昭化区人民政府办公室关于印发&lt;广元市昭化区财政支出事后绩效评价管理办法&gt;的通知》（昭府办函〔2022〕37号）绩效评价指标体系开展绩效评价</w:t>
      </w:r>
      <w:r>
        <w:rPr>
          <w:rFonts w:hint="eastAsia" w:ascii="仿宋_GB2312" w:hAnsi="Calibri" w:eastAsia="仿宋_GB2312" w:cs="仿宋"/>
          <w:color w:val="auto"/>
          <w:kern w:val="0"/>
          <w:sz w:val="32"/>
          <w:szCs w:val="32"/>
          <w:highlight w:val="none"/>
          <w:lang w:val="zh-CN" w:eastAsia="zh-CN" w:bidi="ar-SA"/>
        </w:rPr>
        <w:t>，自评得分为</w:t>
      </w:r>
      <w:r>
        <w:rPr>
          <w:rFonts w:hint="eastAsia" w:ascii="仿宋_GB2312" w:hAnsi="Calibri" w:eastAsia="仿宋_GB2312" w:cs="仿宋"/>
          <w:color w:val="auto"/>
          <w:kern w:val="0"/>
          <w:sz w:val="32"/>
          <w:szCs w:val="32"/>
          <w:highlight w:val="none"/>
          <w:lang w:val="en-US" w:eastAsia="zh-CN" w:bidi="ar-SA"/>
        </w:rPr>
        <w:t>97.5分。</w:t>
      </w:r>
    </w:p>
    <w:p w14:paraId="1AE49E56">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楷体" w:hAnsi="楷体" w:eastAsia="楷体" w:cs="楷体"/>
          <w:b/>
          <w:color w:val="auto"/>
          <w:sz w:val="32"/>
          <w:szCs w:val="32"/>
          <w:highlight w:val="none"/>
          <w:lang w:val="zh-CN" w:eastAsia="zh-CN"/>
        </w:rPr>
      </w:pPr>
      <w:bookmarkStart w:id="201" w:name="_Toc9377"/>
      <w:r>
        <w:rPr>
          <w:rFonts w:hint="eastAsia" w:ascii="楷体" w:hAnsi="楷体" w:eastAsia="楷体" w:cs="楷体"/>
          <w:b/>
          <w:color w:val="auto"/>
          <w:sz w:val="32"/>
          <w:szCs w:val="32"/>
          <w:highlight w:val="none"/>
          <w:lang w:val="zh-CN" w:eastAsia="zh-CN"/>
        </w:rPr>
        <w:t>（二）存在的问题</w:t>
      </w:r>
      <w:bookmarkEnd w:id="201"/>
    </w:p>
    <w:p w14:paraId="07946CD6">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一是项目预算编制还需细化；二是资金申报不及时。</w:t>
      </w:r>
    </w:p>
    <w:p w14:paraId="20EE0455">
      <w:pPr>
        <w:keepNext w:val="0"/>
        <w:keepLines w:val="0"/>
        <w:pageBreakBefore w:val="0"/>
        <w:widowControl w:val="0"/>
        <w:kinsoku/>
        <w:wordWrap/>
        <w:overflowPunct/>
        <w:topLinePunct w:val="0"/>
        <w:autoSpaceDE/>
        <w:autoSpaceDN/>
        <w:bidi w:val="0"/>
        <w:adjustRightInd w:val="0"/>
        <w:snapToGrid w:val="0"/>
        <w:spacing w:line="576" w:lineRule="exact"/>
        <w:ind w:firstLine="643" w:firstLineChars="200"/>
        <w:textAlignment w:val="auto"/>
        <w:rPr>
          <w:rFonts w:hint="eastAsia" w:ascii="楷体" w:hAnsi="楷体" w:eastAsia="楷体" w:cs="楷体"/>
          <w:b/>
          <w:color w:val="auto"/>
          <w:sz w:val="32"/>
          <w:szCs w:val="32"/>
          <w:highlight w:val="none"/>
          <w:lang w:val="zh-CN" w:eastAsia="zh-CN"/>
        </w:rPr>
      </w:pPr>
      <w:bookmarkStart w:id="202" w:name="_Toc9997"/>
      <w:r>
        <w:rPr>
          <w:rFonts w:hint="eastAsia" w:ascii="楷体" w:hAnsi="楷体" w:eastAsia="楷体" w:cs="楷体"/>
          <w:b/>
          <w:color w:val="auto"/>
          <w:sz w:val="32"/>
          <w:szCs w:val="32"/>
          <w:highlight w:val="none"/>
          <w:lang w:val="zh-CN" w:eastAsia="zh-CN"/>
        </w:rPr>
        <w:t>（三）相关建议</w:t>
      </w:r>
      <w:bookmarkEnd w:id="202"/>
    </w:p>
    <w:p w14:paraId="4B590202">
      <w:pPr>
        <w:pStyle w:val="6"/>
        <w:keepNext w:val="0"/>
        <w:keepLines w:val="0"/>
        <w:pageBreakBefore w:val="0"/>
        <w:wordWrap/>
        <w:overflowPunct/>
        <w:topLinePunct w:val="0"/>
        <w:bidi w:val="0"/>
        <w:snapToGrid w:val="0"/>
        <w:spacing w:line="576" w:lineRule="exact"/>
        <w:ind w:firstLine="640" w:firstLineChars="200"/>
        <w:rPr>
          <w:rFonts w:hint="eastAsia" w:ascii="仿宋" w:hAnsi="仿宋" w:eastAsia="仿宋" w:cs="Arial"/>
          <w:b w:val="0"/>
          <w:i w:val="0"/>
          <w:caps w:val="0"/>
          <w:snapToGrid w:val="0"/>
          <w:color w:val="000000"/>
          <w:spacing w:val="0"/>
          <w:w w:val="100"/>
          <w:kern w:val="0"/>
          <w:sz w:val="32"/>
          <w:szCs w:val="32"/>
          <w:lang w:val="zh-CN" w:eastAsia="zh-CN"/>
        </w:rPr>
      </w:pPr>
      <w:r>
        <w:rPr>
          <w:rFonts w:hint="eastAsia" w:ascii="仿宋_GB2312" w:hAnsi="Calibri" w:eastAsia="仿宋_GB2312" w:cs="仿宋"/>
          <w:color w:val="auto"/>
          <w:kern w:val="0"/>
          <w:sz w:val="32"/>
          <w:szCs w:val="32"/>
          <w:highlight w:val="none"/>
          <w:lang w:val="zh-CN" w:eastAsia="zh-CN" w:bidi="ar-SA"/>
        </w:rPr>
        <w:t>一是细化项目预算编制工作，进一步提高预算编制的科学性、合理性、严谨性和可控性；二是根据项目任务完成情况积极申报资金计划，尽可能实现资金兑付与项目完成同步。</w:t>
      </w:r>
    </w:p>
    <w:p w14:paraId="204B18E4">
      <w:r>
        <w:rPr>
          <w:rStyle w:val="30"/>
          <w:rFonts w:ascii="黑体" w:hAnsi="黑体" w:eastAsia="黑体"/>
          <w:b w:val="0"/>
          <w:color w:val="auto"/>
          <w:highlight w:val="none"/>
        </w:rPr>
        <w:br w:type="page"/>
      </w:r>
    </w:p>
    <w:p w14:paraId="7D1CB915">
      <w:pPr>
        <w:spacing w:before="103" w:line="219" w:lineRule="auto"/>
        <w:jc w:val="center"/>
        <w:outlineLvl w:val="1"/>
        <w:rPr>
          <w:rFonts w:hint="eastAsia" w:ascii="方正小标宋简体" w:hAnsi="方正小标宋简体" w:eastAsia="方正小标宋简体" w:cs="方正小标宋简体"/>
          <w:spacing w:val="-20"/>
          <w:sz w:val="44"/>
          <w:szCs w:val="44"/>
        </w:rPr>
      </w:pPr>
      <w:bookmarkStart w:id="203" w:name="_Toc25842"/>
      <w:bookmarkStart w:id="204" w:name="_Toc28977"/>
      <w:bookmarkStart w:id="205" w:name="_Toc11304"/>
      <w:bookmarkStart w:id="206" w:name="_Toc32534"/>
      <w:r>
        <w:rPr>
          <w:rFonts w:hint="eastAsia" w:ascii="方正小标宋简体" w:hAnsi="方正小标宋简体" w:eastAsia="方正小标宋简体" w:cs="方正小标宋简体"/>
          <w:b/>
          <w:bCs/>
          <w:spacing w:val="-20"/>
          <w:sz w:val="44"/>
          <w:szCs w:val="44"/>
        </w:rPr>
        <w:t>广元市昭化区财政项目(政策)支出绩效自评表</w:t>
      </w:r>
      <w:bookmarkEnd w:id="203"/>
      <w:bookmarkEnd w:id="204"/>
      <w:bookmarkEnd w:id="205"/>
      <w:bookmarkEnd w:id="206"/>
    </w:p>
    <w:p w14:paraId="7D46FADD">
      <w:pPr>
        <w:spacing w:before="86" w:line="219" w:lineRule="auto"/>
        <w:ind w:left="3894"/>
        <w:rPr>
          <w:rFonts w:hint="eastAsia" w:ascii="宋体" w:hAnsi="宋体" w:eastAsia="宋体" w:cs="宋体"/>
          <w:sz w:val="22"/>
          <w:szCs w:val="22"/>
          <w:lang w:eastAsia="zh-CN"/>
        </w:rPr>
      </w:pPr>
      <w:r>
        <w:rPr>
          <w:rFonts w:hint="eastAsia" w:ascii="仿宋_GB2312" w:hAnsi="仿宋_GB2312" w:eastAsia="仿宋_GB2312" w:cs="仿宋_GB2312"/>
          <w:sz w:val="21"/>
          <w:szCs w:val="21"/>
          <w:lang w:eastAsia="zh-CN"/>
        </w:rPr>
        <w:t>（</w:t>
      </w:r>
      <w:r>
        <w:rPr>
          <w:rFonts w:hint="eastAsia" w:ascii="仿宋_GB2312" w:hAnsi="仿宋_GB2312" w:eastAsia="仿宋_GB2312" w:cs="仿宋_GB2312"/>
          <w:spacing w:val="32"/>
          <w:sz w:val="21"/>
          <w:szCs w:val="21"/>
          <w:lang w:val="en-US" w:eastAsia="zh-CN"/>
        </w:rPr>
        <w:t>2022</w:t>
      </w:r>
      <w:r>
        <w:rPr>
          <w:rFonts w:hint="eastAsia" w:ascii="仿宋_GB2312" w:hAnsi="仿宋_GB2312" w:eastAsia="仿宋_GB2312" w:cs="仿宋_GB2312"/>
          <w:spacing w:val="-14"/>
          <w:sz w:val="21"/>
          <w:szCs w:val="21"/>
        </w:rPr>
        <w:t>年度</w:t>
      </w:r>
      <w:r>
        <w:rPr>
          <w:rFonts w:hint="eastAsia" w:ascii="仿宋_GB2312" w:hAnsi="仿宋_GB2312" w:eastAsia="仿宋_GB2312" w:cs="仿宋_GB2312"/>
          <w:sz w:val="21"/>
          <w:szCs w:val="21"/>
          <w:lang w:eastAsia="zh-CN"/>
        </w:rPr>
        <w:t>）</w:t>
      </w:r>
    </w:p>
    <w:p w14:paraId="78D3927F">
      <w:pPr>
        <w:spacing w:line="134" w:lineRule="exact"/>
      </w:pPr>
    </w:p>
    <w:tbl>
      <w:tblPr>
        <w:tblStyle w:val="39"/>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B775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3" w:hRule="atLeast"/>
        </w:trPr>
        <w:tc>
          <w:tcPr>
            <w:tcW w:w="1449" w:type="dxa"/>
            <w:gridSpan w:val="2"/>
            <w:vAlign w:val="top"/>
          </w:tcPr>
          <w:p w14:paraId="7CF6D177">
            <w:pPr>
              <w:spacing w:before="82" w:line="220" w:lineRule="auto"/>
              <w:ind w:left="75"/>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项目(政策)名称</w:t>
            </w:r>
          </w:p>
        </w:tc>
        <w:tc>
          <w:tcPr>
            <w:tcW w:w="7650" w:type="dxa"/>
            <w:gridSpan w:val="6"/>
            <w:vAlign w:val="top"/>
          </w:tcPr>
          <w:p w14:paraId="660A7CD3">
            <w:pPr>
              <w:jc w:val="both"/>
              <w:rPr>
                <w:rFonts w:hint="eastAsia" w:ascii="仿宋_GB2312" w:hAnsi="仿宋_GB2312" w:eastAsia="仿宋_GB2312" w:cs="仿宋_GB2312"/>
                <w:sz w:val="21"/>
                <w:szCs w:val="21"/>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烤烟发展经费</w:t>
            </w:r>
          </w:p>
        </w:tc>
      </w:tr>
      <w:tr w14:paraId="436A7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Align w:val="top"/>
          </w:tcPr>
          <w:p w14:paraId="38718FFF">
            <w:pPr>
              <w:spacing w:before="78" w:line="219" w:lineRule="auto"/>
              <w:ind w:left="40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主管部门</w:t>
            </w:r>
          </w:p>
        </w:tc>
        <w:tc>
          <w:tcPr>
            <w:tcW w:w="4230" w:type="dxa"/>
            <w:gridSpan w:val="4"/>
            <w:vAlign w:val="top"/>
          </w:tcPr>
          <w:p w14:paraId="1489BF84">
            <w:pPr>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val="0"/>
                <w:bCs w:val="0"/>
                <w:color w:val="000000" w:themeColor="text1"/>
                <w:sz w:val="21"/>
                <w:szCs w:val="21"/>
                <w:highlight w:val="none"/>
                <w:lang w:val="en-US" w:eastAsia="zh-CN"/>
                <w14:textFill>
                  <w14:solidFill>
                    <w14:schemeClr w14:val="tx1"/>
                  </w14:solidFill>
                </w14:textFill>
              </w:rPr>
              <w:t>广元市昭化区人民政府</w:t>
            </w:r>
          </w:p>
        </w:tc>
        <w:tc>
          <w:tcPr>
            <w:tcW w:w="951" w:type="dxa"/>
            <w:vAlign w:val="top"/>
          </w:tcPr>
          <w:p w14:paraId="29B90A5B">
            <w:pPr>
              <w:spacing w:before="78" w:line="219"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实施单位</w:t>
            </w:r>
          </w:p>
        </w:tc>
        <w:tc>
          <w:tcPr>
            <w:tcW w:w="2469" w:type="dxa"/>
            <w:vAlign w:val="top"/>
          </w:tcPr>
          <w:p w14:paraId="4BFA59D7">
            <w:pPr>
              <w:spacing w:before="78" w:line="219" w:lineRule="auto"/>
              <w:jc w:val="center"/>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lang w:eastAsia="zh-CN"/>
              </w:rPr>
              <w:t>磨滩镇人民政府</w:t>
            </w:r>
          </w:p>
        </w:tc>
      </w:tr>
      <w:tr w14:paraId="5C7B4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vAlign w:val="top"/>
          </w:tcPr>
          <w:p w14:paraId="0FBE3ACF">
            <w:pPr>
              <w:spacing w:line="279" w:lineRule="auto"/>
              <w:rPr>
                <w:rFonts w:hint="eastAsia" w:ascii="仿宋_GB2312" w:hAnsi="仿宋_GB2312" w:eastAsia="仿宋_GB2312" w:cs="仿宋_GB2312"/>
                <w:sz w:val="21"/>
                <w:szCs w:val="21"/>
              </w:rPr>
            </w:pPr>
          </w:p>
          <w:p w14:paraId="0A3C7A0A">
            <w:pPr>
              <w:spacing w:line="279" w:lineRule="auto"/>
              <w:rPr>
                <w:rFonts w:hint="eastAsia" w:ascii="仿宋_GB2312" w:hAnsi="仿宋_GB2312" w:eastAsia="仿宋_GB2312" w:cs="仿宋_GB2312"/>
                <w:sz w:val="21"/>
                <w:szCs w:val="21"/>
              </w:rPr>
            </w:pPr>
          </w:p>
          <w:p w14:paraId="5CECC63C">
            <w:pPr>
              <w:spacing w:line="279" w:lineRule="auto"/>
              <w:rPr>
                <w:rFonts w:hint="eastAsia" w:ascii="仿宋_GB2312" w:hAnsi="仿宋_GB2312" w:eastAsia="仿宋_GB2312" w:cs="仿宋_GB2312"/>
                <w:sz w:val="21"/>
                <w:szCs w:val="21"/>
              </w:rPr>
            </w:pPr>
          </w:p>
          <w:p w14:paraId="6CAF989B">
            <w:pPr>
              <w:spacing w:line="279" w:lineRule="auto"/>
              <w:rPr>
                <w:rFonts w:hint="eastAsia" w:ascii="仿宋_GB2312" w:hAnsi="仿宋_GB2312" w:eastAsia="仿宋_GB2312" w:cs="仿宋_GB2312"/>
                <w:sz w:val="21"/>
                <w:szCs w:val="21"/>
              </w:rPr>
            </w:pPr>
          </w:p>
          <w:p w14:paraId="69D16C06">
            <w:pPr>
              <w:keepNext w:val="0"/>
              <w:keepLines w:val="0"/>
              <w:pageBreakBefore w:val="0"/>
              <w:widowControl w:val="0"/>
              <w:kinsoku/>
              <w:wordWrap/>
              <w:overflowPunct/>
              <w:topLinePunct w:val="0"/>
              <w:autoSpaceDE/>
              <w:autoSpaceDN/>
              <w:bidi w:val="0"/>
              <w:adjustRightInd/>
              <w:snapToGrid/>
              <w:spacing w:line="560" w:lineRule="exact"/>
              <w:ind w:left="0" w:right="0" w:firstLine="0"/>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项目(政策)资金</w:t>
            </w:r>
            <w:r>
              <w:rPr>
                <w:rFonts w:hint="eastAsia" w:ascii="仿宋_GB2312" w:hAnsi="仿宋_GB2312" w:eastAsia="仿宋_GB2312" w:cs="仿宋_GB2312"/>
                <w:spacing w:val="9"/>
                <w:sz w:val="21"/>
                <w:szCs w:val="21"/>
              </w:rPr>
              <w:t>(万元)</w:t>
            </w:r>
          </w:p>
        </w:tc>
        <w:tc>
          <w:tcPr>
            <w:tcW w:w="1777" w:type="dxa"/>
            <w:gridSpan w:val="2"/>
            <w:vAlign w:val="top"/>
          </w:tcPr>
          <w:p w14:paraId="4F633F34">
            <w:pPr>
              <w:rPr>
                <w:rFonts w:hint="eastAsia" w:ascii="仿宋_GB2312" w:hAnsi="仿宋_GB2312" w:eastAsia="仿宋_GB2312" w:cs="仿宋_GB2312"/>
                <w:sz w:val="21"/>
                <w:szCs w:val="21"/>
              </w:rPr>
            </w:pPr>
          </w:p>
        </w:tc>
        <w:tc>
          <w:tcPr>
            <w:tcW w:w="1308" w:type="dxa"/>
            <w:vAlign w:val="top"/>
          </w:tcPr>
          <w:p w14:paraId="7F475317">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年初预算数</w:t>
            </w:r>
          </w:p>
        </w:tc>
        <w:tc>
          <w:tcPr>
            <w:tcW w:w="1145" w:type="dxa"/>
            <w:vAlign w:val="top"/>
          </w:tcPr>
          <w:p w14:paraId="6D87EA91">
            <w:pPr>
              <w:spacing w:before="98"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全年预算数</w:t>
            </w:r>
          </w:p>
        </w:tc>
        <w:tc>
          <w:tcPr>
            <w:tcW w:w="951" w:type="dxa"/>
            <w:vAlign w:val="top"/>
          </w:tcPr>
          <w:p w14:paraId="37805B6C">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全年执行数</w:t>
            </w:r>
          </w:p>
        </w:tc>
        <w:tc>
          <w:tcPr>
            <w:tcW w:w="2469" w:type="dxa"/>
            <w:vAlign w:val="top"/>
          </w:tcPr>
          <w:p w14:paraId="7BF24218">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执行率</w:t>
            </w:r>
          </w:p>
        </w:tc>
      </w:tr>
      <w:tr w14:paraId="16B2A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vAlign w:val="top"/>
          </w:tcPr>
          <w:p w14:paraId="0B9D13DF">
            <w:pPr>
              <w:rPr>
                <w:rFonts w:hint="eastAsia" w:ascii="仿宋_GB2312" w:hAnsi="仿宋_GB2312" w:eastAsia="仿宋_GB2312" w:cs="仿宋_GB2312"/>
                <w:sz w:val="21"/>
                <w:szCs w:val="21"/>
              </w:rPr>
            </w:pPr>
          </w:p>
        </w:tc>
        <w:tc>
          <w:tcPr>
            <w:tcW w:w="1777" w:type="dxa"/>
            <w:gridSpan w:val="2"/>
            <w:vAlign w:val="top"/>
          </w:tcPr>
          <w:p w14:paraId="08D1B8DE">
            <w:pPr>
              <w:spacing w:before="7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年度资金总额</w:t>
            </w:r>
          </w:p>
        </w:tc>
        <w:tc>
          <w:tcPr>
            <w:tcW w:w="1308" w:type="dxa"/>
            <w:vAlign w:val="top"/>
          </w:tcPr>
          <w:p w14:paraId="25E7AA05">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61.18</w:t>
            </w:r>
          </w:p>
        </w:tc>
        <w:tc>
          <w:tcPr>
            <w:tcW w:w="1145" w:type="dxa"/>
            <w:vAlign w:val="top"/>
          </w:tcPr>
          <w:p w14:paraId="5DC4D518">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61.18</w:t>
            </w:r>
          </w:p>
        </w:tc>
        <w:tc>
          <w:tcPr>
            <w:tcW w:w="951" w:type="dxa"/>
            <w:vAlign w:val="top"/>
          </w:tcPr>
          <w:p w14:paraId="78A5BD14">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10.55</w:t>
            </w:r>
          </w:p>
        </w:tc>
        <w:tc>
          <w:tcPr>
            <w:tcW w:w="2469" w:type="dxa"/>
            <w:vAlign w:val="top"/>
          </w:tcPr>
          <w:p w14:paraId="51414C3D">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17.24%</w:t>
            </w:r>
          </w:p>
        </w:tc>
      </w:tr>
      <w:tr w14:paraId="2D1BA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vAlign w:val="top"/>
          </w:tcPr>
          <w:p w14:paraId="390F075A">
            <w:pPr>
              <w:rPr>
                <w:rFonts w:hint="eastAsia" w:ascii="仿宋_GB2312" w:hAnsi="仿宋_GB2312" w:eastAsia="仿宋_GB2312" w:cs="仿宋_GB2312"/>
                <w:sz w:val="21"/>
                <w:szCs w:val="21"/>
              </w:rPr>
            </w:pPr>
          </w:p>
        </w:tc>
        <w:tc>
          <w:tcPr>
            <w:tcW w:w="1777" w:type="dxa"/>
            <w:gridSpan w:val="2"/>
            <w:vAlign w:val="top"/>
          </w:tcPr>
          <w:p w14:paraId="7E70F452">
            <w:pPr>
              <w:spacing w:before="10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(一)财政拨款小计</w:t>
            </w:r>
          </w:p>
        </w:tc>
        <w:tc>
          <w:tcPr>
            <w:tcW w:w="1308" w:type="dxa"/>
            <w:vAlign w:val="top"/>
          </w:tcPr>
          <w:p w14:paraId="785DF5DD">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61.18</w:t>
            </w:r>
          </w:p>
        </w:tc>
        <w:tc>
          <w:tcPr>
            <w:tcW w:w="1145" w:type="dxa"/>
            <w:vAlign w:val="top"/>
          </w:tcPr>
          <w:p w14:paraId="0F824915">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61.18</w:t>
            </w:r>
          </w:p>
        </w:tc>
        <w:tc>
          <w:tcPr>
            <w:tcW w:w="951" w:type="dxa"/>
            <w:vAlign w:val="top"/>
          </w:tcPr>
          <w:p w14:paraId="1004A643">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10.55</w:t>
            </w:r>
          </w:p>
        </w:tc>
        <w:tc>
          <w:tcPr>
            <w:tcW w:w="2469" w:type="dxa"/>
            <w:vAlign w:val="top"/>
          </w:tcPr>
          <w:p w14:paraId="599A1816">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en-US" w:eastAsia="zh-CN"/>
              </w:rPr>
              <w:t>17.24%</w:t>
            </w:r>
          </w:p>
        </w:tc>
      </w:tr>
      <w:tr w14:paraId="065AE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vAlign w:val="top"/>
          </w:tcPr>
          <w:p w14:paraId="7EA10300">
            <w:pPr>
              <w:rPr>
                <w:rFonts w:hint="eastAsia" w:ascii="仿宋_GB2312" w:hAnsi="仿宋_GB2312" w:eastAsia="仿宋_GB2312" w:cs="仿宋_GB2312"/>
                <w:sz w:val="21"/>
                <w:szCs w:val="21"/>
              </w:rPr>
            </w:pPr>
          </w:p>
        </w:tc>
        <w:tc>
          <w:tcPr>
            <w:tcW w:w="1777" w:type="dxa"/>
            <w:gridSpan w:val="2"/>
            <w:vAlign w:val="top"/>
          </w:tcPr>
          <w:p w14:paraId="1E68ADCC">
            <w:pPr>
              <w:spacing w:before="80"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1.一般公共预算</w:t>
            </w:r>
          </w:p>
        </w:tc>
        <w:tc>
          <w:tcPr>
            <w:tcW w:w="1308" w:type="dxa"/>
            <w:vAlign w:val="top"/>
          </w:tcPr>
          <w:p w14:paraId="367A0A00">
            <w:pPr>
              <w:spacing w:before="77" w:line="219" w:lineRule="auto"/>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pacing w:val="-2"/>
                <w:sz w:val="21"/>
                <w:szCs w:val="21"/>
                <w:lang w:val="en-US" w:eastAsia="zh-CN"/>
              </w:rPr>
              <w:t>61.18</w:t>
            </w:r>
          </w:p>
        </w:tc>
        <w:tc>
          <w:tcPr>
            <w:tcW w:w="1145" w:type="dxa"/>
            <w:vAlign w:val="top"/>
          </w:tcPr>
          <w:p w14:paraId="294E8FE5">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61.18</w:t>
            </w:r>
          </w:p>
        </w:tc>
        <w:tc>
          <w:tcPr>
            <w:tcW w:w="951" w:type="dxa"/>
            <w:vAlign w:val="top"/>
          </w:tcPr>
          <w:p w14:paraId="5CC55CF8">
            <w:pPr>
              <w:spacing w:before="77" w:line="219" w:lineRule="auto"/>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10.55</w:t>
            </w:r>
          </w:p>
        </w:tc>
        <w:tc>
          <w:tcPr>
            <w:tcW w:w="2469" w:type="dxa"/>
            <w:vAlign w:val="top"/>
          </w:tcPr>
          <w:p w14:paraId="354F9610">
            <w:pPr>
              <w:jc w:val="center"/>
              <w:rPr>
                <w:rFonts w:hint="eastAsia" w:ascii="仿宋_GB2312" w:hAnsi="仿宋_GB2312" w:eastAsia="仿宋_GB2312" w:cs="仿宋_GB2312"/>
                <w:sz w:val="21"/>
                <w:szCs w:val="21"/>
                <w:lang w:val="en-US"/>
              </w:rPr>
            </w:pPr>
            <w:r>
              <w:rPr>
                <w:rFonts w:hint="eastAsia" w:ascii="仿宋_GB2312" w:hAnsi="仿宋_GB2312" w:eastAsia="仿宋_GB2312" w:cs="仿宋_GB2312"/>
                <w:spacing w:val="-2"/>
                <w:sz w:val="21"/>
                <w:szCs w:val="21"/>
                <w:lang w:val="en-US" w:eastAsia="zh-CN"/>
              </w:rPr>
              <w:t>17.24%</w:t>
            </w:r>
          </w:p>
        </w:tc>
      </w:tr>
      <w:tr w14:paraId="1834C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vAlign w:val="top"/>
          </w:tcPr>
          <w:p w14:paraId="43790492">
            <w:pPr>
              <w:rPr>
                <w:rFonts w:hint="eastAsia" w:ascii="仿宋_GB2312" w:hAnsi="仿宋_GB2312" w:eastAsia="仿宋_GB2312" w:cs="仿宋_GB2312"/>
                <w:sz w:val="21"/>
                <w:szCs w:val="21"/>
              </w:rPr>
            </w:pPr>
          </w:p>
        </w:tc>
        <w:tc>
          <w:tcPr>
            <w:tcW w:w="1777" w:type="dxa"/>
            <w:gridSpan w:val="2"/>
            <w:vAlign w:val="top"/>
          </w:tcPr>
          <w:p w14:paraId="45EF9E7E">
            <w:pPr>
              <w:spacing w:before="78"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2.政府性基金</w:t>
            </w:r>
          </w:p>
        </w:tc>
        <w:tc>
          <w:tcPr>
            <w:tcW w:w="1308" w:type="dxa"/>
            <w:vAlign w:val="top"/>
          </w:tcPr>
          <w:p w14:paraId="184888BA">
            <w:pPr>
              <w:rPr>
                <w:rFonts w:hint="eastAsia" w:ascii="仿宋_GB2312" w:hAnsi="仿宋_GB2312" w:eastAsia="仿宋_GB2312" w:cs="仿宋_GB2312"/>
                <w:sz w:val="21"/>
                <w:szCs w:val="21"/>
              </w:rPr>
            </w:pPr>
          </w:p>
        </w:tc>
        <w:tc>
          <w:tcPr>
            <w:tcW w:w="1145" w:type="dxa"/>
            <w:vAlign w:val="top"/>
          </w:tcPr>
          <w:p w14:paraId="062A243E">
            <w:pPr>
              <w:rPr>
                <w:rFonts w:hint="eastAsia" w:ascii="仿宋_GB2312" w:hAnsi="仿宋_GB2312" w:eastAsia="仿宋_GB2312" w:cs="仿宋_GB2312"/>
                <w:sz w:val="21"/>
                <w:szCs w:val="21"/>
              </w:rPr>
            </w:pPr>
          </w:p>
        </w:tc>
        <w:tc>
          <w:tcPr>
            <w:tcW w:w="951" w:type="dxa"/>
            <w:vAlign w:val="top"/>
          </w:tcPr>
          <w:p w14:paraId="31987DB7">
            <w:pPr>
              <w:rPr>
                <w:rFonts w:hint="eastAsia" w:ascii="仿宋_GB2312" w:hAnsi="仿宋_GB2312" w:eastAsia="仿宋_GB2312" w:cs="仿宋_GB2312"/>
                <w:sz w:val="21"/>
                <w:szCs w:val="21"/>
              </w:rPr>
            </w:pPr>
          </w:p>
        </w:tc>
        <w:tc>
          <w:tcPr>
            <w:tcW w:w="2469" w:type="dxa"/>
            <w:vAlign w:val="top"/>
          </w:tcPr>
          <w:p w14:paraId="286B0BB1">
            <w:pPr>
              <w:rPr>
                <w:rFonts w:hint="eastAsia" w:ascii="仿宋_GB2312" w:hAnsi="仿宋_GB2312" w:eastAsia="仿宋_GB2312" w:cs="仿宋_GB2312"/>
                <w:sz w:val="21"/>
                <w:szCs w:val="21"/>
              </w:rPr>
            </w:pPr>
          </w:p>
        </w:tc>
      </w:tr>
      <w:tr w14:paraId="3435D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1449" w:type="dxa"/>
            <w:gridSpan w:val="2"/>
            <w:vMerge w:val="continue"/>
            <w:tcBorders>
              <w:top w:val="nil"/>
              <w:bottom w:val="nil"/>
            </w:tcBorders>
            <w:vAlign w:val="top"/>
          </w:tcPr>
          <w:p w14:paraId="3B5B643F">
            <w:pPr>
              <w:rPr>
                <w:rFonts w:hint="eastAsia" w:ascii="仿宋_GB2312" w:hAnsi="仿宋_GB2312" w:eastAsia="仿宋_GB2312" w:cs="仿宋_GB2312"/>
                <w:sz w:val="21"/>
                <w:szCs w:val="21"/>
              </w:rPr>
            </w:pPr>
          </w:p>
        </w:tc>
        <w:tc>
          <w:tcPr>
            <w:tcW w:w="1777" w:type="dxa"/>
            <w:gridSpan w:val="2"/>
            <w:vAlign w:val="top"/>
          </w:tcPr>
          <w:p w14:paraId="2BFD0600">
            <w:pPr>
              <w:spacing w:before="11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3.国有资本经营预算</w:t>
            </w:r>
          </w:p>
        </w:tc>
        <w:tc>
          <w:tcPr>
            <w:tcW w:w="1308" w:type="dxa"/>
            <w:vAlign w:val="top"/>
          </w:tcPr>
          <w:p w14:paraId="052720FD">
            <w:pPr>
              <w:rPr>
                <w:rFonts w:hint="eastAsia" w:ascii="仿宋_GB2312" w:hAnsi="仿宋_GB2312" w:eastAsia="仿宋_GB2312" w:cs="仿宋_GB2312"/>
                <w:sz w:val="21"/>
                <w:szCs w:val="21"/>
              </w:rPr>
            </w:pPr>
          </w:p>
        </w:tc>
        <w:tc>
          <w:tcPr>
            <w:tcW w:w="1145" w:type="dxa"/>
            <w:vAlign w:val="top"/>
          </w:tcPr>
          <w:p w14:paraId="3365E96D">
            <w:pPr>
              <w:rPr>
                <w:rFonts w:hint="eastAsia" w:ascii="仿宋_GB2312" w:hAnsi="仿宋_GB2312" w:eastAsia="仿宋_GB2312" w:cs="仿宋_GB2312"/>
                <w:sz w:val="21"/>
                <w:szCs w:val="21"/>
              </w:rPr>
            </w:pPr>
          </w:p>
        </w:tc>
        <w:tc>
          <w:tcPr>
            <w:tcW w:w="951" w:type="dxa"/>
            <w:vAlign w:val="top"/>
          </w:tcPr>
          <w:p w14:paraId="40BC0153">
            <w:pPr>
              <w:rPr>
                <w:rFonts w:hint="eastAsia" w:ascii="仿宋_GB2312" w:hAnsi="仿宋_GB2312" w:eastAsia="仿宋_GB2312" w:cs="仿宋_GB2312"/>
                <w:sz w:val="21"/>
                <w:szCs w:val="21"/>
              </w:rPr>
            </w:pPr>
          </w:p>
        </w:tc>
        <w:tc>
          <w:tcPr>
            <w:tcW w:w="2469" w:type="dxa"/>
            <w:vAlign w:val="top"/>
          </w:tcPr>
          <w:p w14:paraId="5D7139EE">
            <w:pPr>
              <w:rPr>
                <w:rFonts w:hint="eastAsia" w:ascii="仿宋_GB2312" w:hAnsi="仿宋_GB2312" w:eastAsia="仿宋_GB2312" w:cs="仿宋_GB2312"/>
                <w:sz w:val="21"/>
                <w:szCs w:val="21"/>
              </w:rPr>
            </w:pPr>
          </w:p>
        </w:tc>
      </w:tr>
      <w:tr w14:paraId="0AF2E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vAlign w:val="top"/>
          </w:tcPr>
          <w:p w14:paraId="6CCA96ED">
            <w:pPr>
              <w:rPr>
                <w:rFonts w:hint="eastAsia" w:ascii="仿宋_GB2312" w:hAnsi="仿宋_GB2312" w:eastAsia="仿宋_GB2312" w:cs="仿宋_GB2312"/>
                <w:sz w:val="21"/>
                <w:szCs w:val="21"/>
              </w:rPr>
            </w:pPr>
          </w:p>
        </w:tc>
        <w:tc>
          <w:tcPr>
            <w:tcW w:w="1777" w:type="dxa"/>
            <w:gridSpan w:val="2"/>
            <w:vAlign w:val="top"/>
          </w:tcPr>
          <w:p w14:paraId="6D8C61A0">
            <w:pPr>
              <w:spacing w:before="82"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4.社保基金</w:t>
            </w:r>
          </w:p>
        </w:tc>
        <w:tc>
          <w:tcPr>
            <w:tcW w:w="1308" w:type="dxa"/>
            <w:vAlign w:val="top"/>
          </w:tcPr>
          <w:p w14:paraId="1A2339D2">
            <w:pPr>
              <w:rPr>
                <w:rFonts w:hint="eastAsia" w:ascii="仿宋_GB2312" w:hAnsi="仿宋_GB2312" w:eastAsia="仿宋_GB2312" w:cs="仿宋_GB2312"/>
                <w:sz w:val="21"/>
                <w:szCs w:val="21"/>
              </w:rPr>
            </w:pPr>
          </w:p>
        </w:tc>
        <w:tc>
          <w:tcPr>
            <w:tcW w:w="1145" w:type="dxa"/>
            <w:vAlign w:val="top"/>
          </w:tcPr>
          <w:p w14:paraId="63FEDBE9">
            <w:pPr>
              <w:rPr>
                <w:rFonts w:hint="eastAsia" w:ascii="仿宋_GB2312" w:hAnsi="仿宋_GB2312" w:eastAsia="仿宋_GB2312" w:cs="仿宋_GB2312"/>
                <w:sz w:val="21"/>
                <w:szCs w:val="21"/>
              </w:rPr>
            </w:pPr>
          </w:p>
        </w:tc>
        <w:tc>
          <w:tcPr>
            <w:tcW w:w="951" w:type="dxa"/>
            <w:vAlign w:val="top"/>
          </w:tcPr>
          <w:p w14:paraId="595558B1">
            <w:pPr>
              <w:rPr>
                <w:rFonts w:hint="eastAsia" w:ascii="仿宋_GB2312" w:hAnsi="仿宋_GB2312" w:eastAsia="仿宋_GB2312" w:cs="仿宋_GB2312"/>
                <w:sz w:val="21"/>
                <w:szCs w:val="21"/>
              </w:rPr>
            </w:pPr>
          </w:p>
        </w:tc>
        <w:tc>
          <w:tcPr>
            <w:tcW w:w="2469" w:type="dxa"/>
            <w:vAlign w:val="top"/>
          </w:tcPr>
          <w:p w14:paraId="3075CEE3">
            <w:pPr>
              <w:rPr>
                <w:rFonts w:hint="eastAsia" w:ascii="仿宋_GB2312" w:hAnsi="仿宋_GB2312" w:eastAsia="仿宋_GB2312" w:cs="仿宋_GB2312"/>
                <w:sz w:val="21"/>
                <w:szCs w:val="21"/>
              </w:rPr>
            </w:pPr>
          </w:p>
        </w:tc>
      </w:tr>
      <w:tr w14:paraId="6911D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vAlign w:val="top"/>
          </w:tcPr>
          <w:p w14:paraId="25D82C7D">
            <w:pPr>
              <w:rPr>
                <w:rFonts w:hint="eastAsia" w:ascii="仿宋_GB2312" w:hAnsi="仿宋_GB2312" w:eastAsia="仿宋_GB2312" w:cs="仿宋_GB2312"/>
                <w:sz w:val="21"/>
                <w:szCs w:val="21"/>
              </w:rPr>
            </w:pPr>
          </w:p>
        </w:tc>
        <w:tc>
          <w:tcPr>
            <w:tcW w:w="1777" w:type="dxa"/>
            <w:gridSpan w:val="2"/>
            <w:vAlign w:val="top"/>
          </w:tcPr>
          <w:p w14:paraId="23A9504E">
            <w:pPr>
              <w:spacing w:before="112" w:line="220"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(二)其他资金</w:t>
            </w:r>
          </w:p>
        </w:tc>
        <w:tc>
          <w:tcPr>
            <w:tcW w:w="1308" w:type="dxa"/>
            <w:vAlign w:val="top"/>
          </w:tcPr>
          <w:p w14:paraId="549474E5">
            <w:pPr>
              <w:rPr>
                <w:rFonts w:hint="eastAsia" w:ascii="仿宋_GB2312" w:hAnsi="仿宋_GB2312" w:eastAsia="仿宋_GB2312" w:cs="仿宋_GB2312"/>
                <w:sz w:val="21"/>
                <w:szCs w:val="21"/>
              </w:rPr>
            </w:pPr>
          </w:p>
        </w:tc>
        <w:tc>
          <w:tcPr>
            <w:tcW w:w="1145" w:type="dxa"/>
            <w:vAlign w:val="top"/>
          </w:tcPr>
          <w:p w14:paraId="62F93770">
            <w:pPr>
              <w:rPr>
                <w:rFonts w:hint="eastAsia" w:ascii="仿宋_GB2312" w:hAnsi="仿宋_GB2312" w:eastAsia="仿宋_GB2312" w:cs="仿宋_GB2312"/>
                <w:sz w:val="21"/>
                <w:szCs w:val="21"/>
              </w:rPr>
            </w:pPr>
          </w:p>
        </w:tc>
        <w:tc>
          <w:tcPr>
            <w:tcW w:w="951" w:type="dxa"/>
            <w:vAlign w:val="top"/>
          </w:tcPr>
          <w:p w14:paraId="3806CA25">
            <w:pPr>
              <w:rPr>
                <w:rFonts w:hint="eastAsia" w:ascii="仿宋_GB2312" w:hAnsi="仿宋_GB2312" w:eastAsia="仿宋_GB2312" w:cs="仿宋_GB2312"/>
                <w:sz w:val="21"/>
                <w:szCs w:val="21"/>
              </w:rPr>
            </w:pPr>
          </w:p>
        </w:tc>
        <w:tc>
          <w:tcPr>
            <w:tcW w:w="2469" w:type="dxa"/>
            <w:vAlign w:val="top"/>
          </w:tcPr>
          <w:p w14:paraId="2EC64E02">
            <w:pPr>
              <w:rPr>
                <w:rFonts w:hint="eastAsia" w:ascii="仿宋_GB2312" w:hAnsi="仿宋_GB2312" w:eastAsia="仿宋_GB2312" w:cs="仿宋_GB2312"/>
                <w:sz w:val="21"/>
                <w:szCs w:val="21"/>
              </w:rPr>
            </w:pPr>
          </w:p>
        </w:tc>
      </w:tr>
      <w:tr w14:paraId="73DB1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697" w:type="dxa"/>
            <w:vMerge w:val="restart"/>
            <w:tcBorders>
              <w:bottom w:val="nil"/>
            </w:tcBorders>
            <w:vAlign w:val="top"/>
          </w:tcPr>
          <w:p w14:paraId="1F386663">
            <w:pPr>
              <w:spacing w:line="385" w:lineRule="auto"/>
              <w:rPr>
                <w:rFonts w:hint="eastAsia" w:ascii="仿宋_GB2312" w:hAnsi="仿宋_GB2312" w:eastAsia="仿宋_GB2312" w:cs="仿宋_GB2312"/>
                <w:sz w:val="21"/>
                <w:szCs w:val="21"/>
              </w:rPr>
            </w:pPr>
          </w:p>
          <w:p w14:paraId="0B56CD14">
            <w:pPr>
              <w:spacing w:before="55" w:line="219" w:lineRule="auto"/>
              <w:ind w:left="194" w:right="2" w:hanging="139"/>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年度总体</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6"/>
                <w:sz w:val="21"/>
                <w:szCs w:val="21"/>
              </w:rPr>
              <w:t>目标</w:t>
            </w:r>
          </w:p>
        </w:tc>
        <w:tc>
          <w:tcPr>
            <w:tcW w:w="5933" w:type="dxa"/>
            <w:gridSpan w:val="6"/>
            <w:vAlign w:val="top"/>
          </w:tcPr>
          <w:p w14:paraId="35964AA8">
            <w:pPr>
              <w:spacing w:before="183"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预期目标</w:t>
            </w:r>
          </w:p>
        </w:tc>
        <w:tc>
          <w:tcPr>
            <w:tcW w:w="2469" w:type="dxa"/>
            <w:vAlign w:val="top"/>
          </w:tcPr>
          <w:p w14:paraId="67F445D3">
            <w:pPr>
              <w:spacing w:before="183" w:line="220"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完成情况</w:t>
            </w:r>
          </w:p>
        </w:tc>
      </w:tr>
      <w:tr w14:paraId="7CB9E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vAlign w:val="top"/>
          </w:tcPr>
          <w:p w14:paraId="27C5A0FA">
            <w:pPr>
              <w:rPr>
                <w:rFonts w:hint="eastAsia" w:ascii="仿宋_GB2312" w:hAnsi="仿宋_GB2312" w:eastAsia="仿宋_GB2312" w:cs="仿宋_GB2312"/>
                <w:sz w:val="21"/>
                <w:szCs w:val="21"/>
              </w:rPr>
            </w:pPr>
          </w:p>
        </w:tc>
        <w:tc>
          <w:tcPr>
            <w:tcW w:w="5933" w:type="dxa"/>
            <w:gridSpan w:val="6"/>
            <w:vAlign w:val="center"/>
          </w:tcPr>
          <w:p w14:paraId="292018F7">
            <w:pPr>
              <w:jc w:val="both"/>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zh-CN" w:eastAsia="zh-CN"/>
              </w:rPr>
              <w:t>加强烟叶产业发展，提高烟农收入，计划种植烤烟1750亩，实现税收61.18万元，实现烤烟返税24.47万元，全年集中开展技术培训1次，烟地整理600亩。年底烟叶税收目标和烟叶种植目标任务完成100%，对生态环境不造成任何污染，全年烟农效益增收率为15%，群众满意度达到95%。</w:t>
            </w:r>
          </w:p>
        </w:tc>
        <w:tc>
          <w:tcPr>
            <w:tcW w:w="2469" w:type="dxa"/>
            <w:vAlign w:val="center"/>
          </w:tcPr>
          <w:p w14:paraId="7154590D">
            <w:pPr>
              <w:spacing w:before="183" w:line="220" w:lineRule="auto"/>
              <w:jc w:val="both"/>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lang w:val="en-US" w:eastAsia="zh-CN"/>
              </w:rPr>
              <w:t>完成烟叶税收目标任务，种植烤烟1240亩，开展烤烟种植技术培训2次，烟地整理521亩，维修烤房11间，烤房治漏29间，烟路整治2.71千米，全市烤烟现场会1次，申报返还烟农发展经费29.45万元。</w:t>
            </w:r>
          </w:p>
        </w:tc>
      </w:tr>
      <w:tr w14:paraId="00722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vAlign w:val="top"/>
          </w:tcPr>
          <w:p w14:paraId="2972B52D">
            <w:pPr>
              <w:spacing w:line="253" w:lineRule="auto"/>
              <w:jc w:val="center"/>
              <w:rPr>
                <w:rFonts w:hint="eastAsia" w:ascii="仿宋_GB2312" w:hAnsi="仿宋_GB2312" w:eastAsia="仿宋_GB2312" w:cs="仿宋_GB2312"/>
                <w:sz w:val="21"/>
                <w:szCs w:val="21"/>
              </w:rPr>
            </w:pPr>
          </w:p>
          <w:p w14:paraId="0C55AF27">
            <w:pPr>
              <w:spacing w:line="253" w:lineRule="auto"/>
              <w:jc w:val="center"/>
              <w:rPr>
                <w:rFonts w:hint="eastAsia" w:ascii="仿宋_GB2312" w:hAnsi="仿宋_GB2312" w:eastAsia="仿宋_GB2312" w:cs="仿宋_GB2312"/>
                <w:sz w:val="21"/>
                <w:szCs w:val="21"/>
              </w:rPr>
            </w:pPr>
          </w:p>
          <w:p w14:paraId="06EB5451">
            <w:pPr>
              <w:spacing w:line="253" w:lineRule="auto"/>
              <w:jc w:val="center"/>
              <w:rPr>
                <w:rFonts w:hint="eastAsia" w:ascii="仿宋_GB2312" w:hAnsi="仿宋_GB2312" w:eastAsia="仿宋_GB2312" w:cs="仿宋_GB2312"/>
                <w:sz w:val="21"/>
                <w:szCs w:val="21"/>
              </w:rPr>
            </w:pPr>
          </w:p>
          <w:p w14:paraId="46C0D164">
            <w:pPr>
              <w:spacing w:line="254" w:lineRule="auto"/>
              <w:jc w:val="center"/>
              <w:rPr>
                <w:rFonts w:hint="eastAsia" w:ascii="仿宋_GB2312" w:hAnsi="仿宋_GB2312" w:eastAsia="仿宋_GB2312" w:cs="仿宋_GB2312"/>
                <w:sz w:val="21"/>
                <w:szCs w:val="21"/>
              </w:rPr>
            </w:pPr>
          </w:p>
          <w:p w14:paraId="3E3CF514">
            <w:pPr>
              <w:spacing w:line="254" w:lineRule="auto"/>
              <w:jc w:val="center"/>
              <w:rPr>
                <w:rFonts w:hint="eastAsia" w:ascii="仿宋_GB2312" w:hAnsi="仿宋_GB2312" w:eastAsia="仿宋_GB2312" w:cs="仿宋_GB2312"/>
                <w:sz w:val="21"/>
                <w:szCs w:val="21"/>
              </w:rPr>
            </w:pPr>
          </w:p>
          <w:p w14:paraId="1436C4E3">
            <w:pPr>
              <w:spacing w:line="254" w:lineRule="auto"/>
              <w:jc w:val="center"/>
              <w:rPr>
                <w:rFonts w:hint="eastAsia" w:ascii="仿宋_GB2312" w:hAnsi="仿宋_GB2312" w:eastAsia="仿宋_GB2312" w:cs="仿宋_GB2312"/>
                <w:sz w:val="21"/>
                <w:szCs w:val="21"/>
              </w:rPr>
            </w:pPr>
          </w:p>
          <w:p w14:paraId="575DDCE8">
            <w:pPr>
              <w:spacing w:line="254" w:lineRule="auto"/>
              <w:jc w:val="center"/>
              <w:rPr>
                <w:rFonts w:hint="eastAsia" w:ascii="仿宋_GB2312" w:hAnsi="仿宋_GB2312" w:eastAsia="仿宋_GB2312" w:cs="仿宋_GB2312"/>
                <w:sz w:val="21"/>
                <w:szCs w:val="21"/>
              </w:rPr>
            </w:pPr>
          </w:p>
          <w:p w14:paraId="75613EE0">
            <w:pPr>
              <w:spacing w:line="254" w:lineRule="auto"/>
              <w:jc w:val="center"/>
              <w:rPr>
                <w:rFonts w:hint="eastAsia" w:ascii="仿宋_GB2312" w:hAnsi="仿宋_GB2312" w:eastAsia="仿宋_GB2312" w:cs="仿宋_GB2312"/>
                <w:sz w:val="21"/>
                <w:szCs w:val="21"/>
              </w:rPr>
            </w:pPr>
          </w:p>
          <w:p w14:paraId="3DC62FF6">
            <w:pPr>
              <w:spacing w:line="254" w:lineRule="auto"/>
              <w:jc w:val="center"/>
              <w:rPr>
                <w:rFonts w:hint="eastAsia" w:ascii="仿宋_GB2312" w:hAnsi="仿宋_GB2312" w:eastAsia="仿宋_GB2312" w:cs="仿宋_GB2312"/>
                <w:sz w:val="21"/>
                <w:szCs w:val="21"/>
              </w:rPr>
            </w:pPr>
          </w:p>
          <w:p w14:paraId="12097A67">
            <w:pPr>
              <w:spacing w:line="254" w:lineRule="auto"/>
              <w:jc w:val="center"/>
              <w:rPr>
                <w:rFonts w:hint="eastAsia" w:ascii="仿宋_GB2312" w:hAnsi="仿宋_GB2312" w:eastAsia="仿宋_GB2312" w:cs="仿宋_GB2312"/>
                <w:sz w:val="21"/>
                <w:szCs w:val="21"/>
              </w:rPr>
            </w:pPr>
          </w:p>
          <w:p w14:paraId="3618869F">
            <w:pPr>
              <w:spacing w:line="254" w:lineRule="auto"/>
              <w:jc w:val="center"/>
              <w:rPr>
                <w:rFonts w:hint="eastAsia" w:ascii="仿宋_GB2312" w:hAnsi="仿宋_GB2312" w:eastAsia="仿宋_GB2312" w:cs="仿宋_GB2312"/>
                <w:sz w:val="21"/>
                <w:szCs w:val="21"/>
              </w:rPr>
            </w:pPr>
          </w:p>
          <w:p w14:paraId="75188622">
            <w:pPr>
              <w:spacing w:line="254" w:lineRule="auto"/>
              <w:jc w:val="center"/>
              <w:rPr>
                <w:rFonts w:hint="eastAsia" w:ascii="仿宋_GB2312" w:hAnsi="仿宋_GB2312" w:eastAsia="仿宋_GB2312" w:cs="仿宋_GB2312"/>
                <w:sz w:val="21"/>
                <w:szCs w:val="21"/>
              </w:rPr>
            </w:pPr>
          </w:p>
          <w:p w14:paraId="553E8AD7">
            <w:pPr>
              <w:spacing w:line="254" w:lineRule="auto"/>
              <w:jc w:val="center"/>
              <w:rPr>
                <w:rFonts w:hint="eastAsia" w:ascii="仿宋_GB2312" w:hAnsi="仿宋_GB2312" w:eastAsia="仿宋_GB2312" w:cs="仿宋_GB2312"/>
                <w:sz w:val="21"/>
                <w:szCs w:val="21"/>
              </w:rPr>
            </w:pPr>
          </w:p>
          <w:p w14:paraId="0CD17A47">
            <w:pPr>
              <w:spacing w:before="56" w:line="220" w:lineRule="auto"/>
              <w:ind w:left="55"/>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绩效指标</w:t>
            </w:r>
          </w:p>
        </w:tc>
        <w:tc>
          <w:tcPr>
            <w:tcW w:w="752" w:type="dxa"/>
            <w:tcBorders>
              <w:bottom w:val="single" w:color="auto" w:sz="4" w:space="0"/>
            </w:tcBorders>
            <w:vAlign w:val="top"/>
          </w:tcPr>
          <w:p w14:paraId="0EC93496">
            <w:pPr>
              <w:spacing w:before="155" w:line="220"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一级指标</w:t>
            </w:r>
          </w:p>
        </w:tc>
        <w:tc>
          <w:tcPr>
            <w:tcW w:w="999" w:type="dxa"/>
            <w:vAlign w:val="top"/>
          </w:tcPr>
          <w:p w14:paraId="6F53F649">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二级指标</w:t>
            </w:r>
          </w:p>
        </w:tc>
        <w:tc>
          <w:tcPr>
            <w:tcW w:w="2086" w:type="dxa"/>
            <w:gridSpan w:val="2"/>
            <w:vAlign w:val="top"/>
          </w:tcPr>
          <w:p w14:paraId="3A9B648C">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三级指标</w:t>
            </w:r>
          </w:p>
        </w:tc>
        <w:tc>
          <w:tcPr>
            <w:tcW w:w="1145" w:type="dxa"/>
            <w:vAlign w:val="top"/>
          </w:tcPr>
          <w:p w14:paraId="6568AE92">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年度指标值</w:t>
            </w:r>
          </w:p>
        </w:tc>
        <w:tc>
          <w:tcPr>
            <w:tcW w:w="951" w:type="dxa"/>
            <w:vAlign w:val="top"/>
          </w:tcPr>
          <w:p w14:paraId="5BAD12AC">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实际完成值</w:t>
            </w:r>
          </w:p>
        </w:tc>
        <w:tc>
          <w:tcPr>
            <w:tcW w:w="2469" w:type="dxa"/>
            <w:vAlign w:val="top"/>
          </w:tcPr>
          <w:p w14:paraId="4AE1CA45">
            <w:pPr>
              <w:spacing w:before="75" w:line="227"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偏差原因分析及</w:t>
            </w:r>
            <w:r>
              <w:rPr>
                <w:rFonts w:hint="eastAsia" w:ascii="仿宋_GB2312" w:hAnsi="仿宋_GB2312" w:eastAsia="仿宋_GB2312" w:cs="仿宋_GB2312"/>
                <w:spacing w:val="11"/>
                <w:sz w:val="21"/>
                <w:szCs w:val="21"/>
              </w:rPr>
              <w:t>改进措施</w:t>
            </w:r>
          </w:p>
        </w:tc>
      </w:tr>
      <w:tr w14:paraId="4B3C6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697" w:type="dxa"/>
            <w:vMerge w:val="continue"/>
            <w:vAlign w:val="center"/>
          </w:tcPr>
          <w:p w14:paraId="05BEF3B2">
            <w:pPr>
              <w:jc w:val="center"/>
              <w:rPr>
                <w:rFonts w:hint="eastAsia" w:ascii="仿宋_GB2312" w:hAnsi="仿宋_GB2312" w:eastAsia="仿宋_GB2312" w:cs="仿宋_GB2312"/>
                <w:sz w:val="21"/>
                <w:szCs w:val="21"/>
              </w:rP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4423F085">
            <w:pPr>
              <w:spacing w:line="286" w:lineRule="auto"/>
              <w:jc w:val="center"/>
              <w:rPr>
                <w:rFonts w:hint="eastAsia" w:ascii="仿宋_GB2312" w:hAnsi="仿宋_GB2312" w:eastAsia="仿宋_GB2312" w:cs="仿宋_GB2312"/>
                <w:sz w:val="21"/>
                <w:szCs w:val="21"/>
              </w:rPr>
            </w:pPr>
          </w:p>
          <w:p w14:paraId="0AD62BA3">
            <w:pPr>
              <w:spacing w:line="286" w:lineRule="auto"/>
              <w:jc w:val="center"/>
              <w:rPr>
                <w:rFonts w:hint="eastAsia" w:ascii="仿宋_GB2312" w:hAnsi="仿宋_GB2312" w:eastAsia="仿宋_GB2312" w:cs="仿宋_GB2312"/>
                <w:sz w:val="21"/>
                <w:szCs w:val="21"/>
              </w:rPr>
            </w:pPr>
          </w:p>
          <w:p w14:paraId="3E29547A">
            <w:pPr>
              <w:spacing w:line="286" w:lineRule="auto"/>
              <w:jc w:val="center"/>
              <w:rPr>
                <w:rFonts w:hint="eastAsia" w:ascii="仿宋_GB2312" w:hAnsi="仿宋_GB2312" w:eastAsia="仿宋_GB2312" w:cs="仿宋_GB2312"/>
                <w:sz w:val="21"/>
                <w:szCs w:val="21"/>
              </w:rPr>
            </w:pPr>
          </w:p>
          <w:p w14:paraId="11F71F3E">
            <w:pPr>
              <w:spacing w:line="286" w:lineRule="auto"/>
              <w:jc w:val="center"/>
              <w:rPr>
                <w:rFonts w:hint="eastAsia" w:ascii="仿宋_GB2312" w:hAnsi="仿宋_GB2312" w:eastAsia="仿宋_GB2312" w:cs="仿宋_GB2312"/>
                <w:sz w:val="21"/>
                <w:szCs w:val="21"/>
              </w:rPr>
            </w:pPr>
          </w:p>
          <w:p w14:paraId="68A9AA62">
            <w:pPr>
              <w:spacing w:line="287" w:lineRule="auto"/>
              <w:jc w:val="center"/>
              <w:rPr>
                <w:rFonts w:hint="eastAsia" w:ascii="仿宋_GB2312" w:hAnsi="仿宋_GB2312" w:eastAsia="仿宋_GB2312" w:cs="仿宋_GB2312"/>
                <w:sz w:val="21"/>
                <w:szCs w:val="21"/>
              </w:rPr>
            </w:pPr>
          </w:p>
          <w:p w14:paraId="683E6768">
            <w:pPr>
              <w:spacing w:before="56" w:line="219"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产出指标</w:t>
            </w:r>
          </w:p>
        </w:tc>
        <w:tc>
          <w:tcPr>
            <w:tcW w:w="999" w:type="dxa"/>
            <w:tcBorders>
              <w:left w:val="single" w:color="auto" w:sz="4" w:space="0"/>
              <w:bottom w:val="nil"/>
            </w:tcBorders>
            <w:vAlign w:val="center"/>
          </w:tcPr>
          <w:p w14:paraId="42FEE94A">
            <w:pPr>
              <w:spacing w:before="67" w:line="209" w:lineRule="auto"/>
              <w:ind w:left="23" w:leftChars="0"/>
              <w:jc w:val="center"/>
              <w:rPr>
                <w:rFonts w:hint="eastAsia" w:ascii="仿宋_GB2312" w:hAnsi="仿宋_GB2312" w:eastAsia="仿宋_GB2312" w:cs="仿宋_GB2312"/>
                <w:snapToGrid w:val="0"/>
                <w:color w:val="000000"/>
                <w:kern w:val="0"/>
                <w:sz w:val="21"/>
                <w:szCs w:val="21"/>
                <w:lang w:eastAsia="zh-CN"/>
              </w:rPr>
            </w:pPr>
            <w:r>
              <w:rPr>
                <w:rFonts w:hint="eastAsia" w:ascii="仿宋_GB2312" w:hAnsi="仿宋_GB2312" w:eastAsia="仿宋_GB2312" w:cs="仿宋_GB2312"/>
                <w:sz w:val="21"/>
                <w:szCs w:val="21"/>
                <w:lang w:val="en-US" w:eastAsia="zh-CN"/>
              </w:rPr>
              <w:t>数量指标</w:t>
            </w:r>
          </w:p>
        </w:tc>
        <w:tc>
          <w:tcPr>
            <w:tcW w:w="2086" w:type="dxa"/>
            <w:gridSpan w:val="2"/>
            <w:vAlign w:val="center"/>
          </w:tcPr>
          <w:p w14:paraId="4411A4B8">
            <w:pPr>
              <w:spacing w:before="67" w:line="209" w:lineRule="auto"/>
              <w:ind w:left="23" w:leftChars="0"/>
              <w:jc w:val="center"/>
              <w:rPr>
                <w:rFonts w:hint="eastAsia" w:ascii="仿宋_GB2312" w:hAnsi="仿宋_GB2312" w:eastAsia="仿宋_GB2312" w:cs="仿宋_GB2312"/>
                <w:snapToGrid w:val="0"/>
                <w:color w:val="000000"/>
                <w:kern w:val="0"/>
                <w:sz w:val="21"/>
                <w:szCs w:val="21"/>
                <w:lang w:eastAsia="zh-CN"/>
              </w:rPr>
            </w:pPr>
            <w:r>
              <w:rPr>
                <w:rFonts w:hint="eastAsia" w:ascii="仿宋_GB2312" w:hAnsi="仿宋_GB2312" w:eastAsia="仿宋_GB2312" w:cs="仿宋_GB2312"/>
                <w:sz w:val="21"/>
                <w:szCs w:val="21"/>
                <w:lang w:val="en-US" w:eastAsia="zh-CN"/>
              </w:rPr>
              <w:t>全年对烟农烤烟技术集中培训次数</w:t>
            </w:r>
          </w:p>
        </w:tc>
        <w:tc>
          <w:tcPr>
            <w:tcW w:w="1145" w:type="dxa"/>
            <w:vAlign w:val="center"/>
          </w:tcPr>
          <w:p w14:paraId="5C5C638C">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1次</w:t>
            </w:r>
          </w:p>
        </w:tc>
        <w:tc>
          <w:tcPr>
            <w:tcW w:w="951" w:type="dxa"/>
            <w:vAlign w:val="center"/>
          </w:tcPr>
          <w:p w14:paraId="13878DC4">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2次</w:t>
            </w:r>
          </w:p>
        </w:tc>
        <w:tc>
          <w:tcPr>
            <w:tcW w:w="2469" w:type="dxa"/>
            <w:vAlign w:val="top"/>
          </w:tcPr>
          <w:p w14:paraId="0C384CBE">
            <w:pPr>
              <w:jc w:val="center"/>
              <w:rPr>
                <w:rFonts w:hint="eastAsia" w:ascii="仿宋_GB2312" w:hAnsi="仿宋_GB2312" w:eastAsia="仿宋_GB2312" w:cs="仿宋_GB2312"/>
                <w:sz w:val="21"/>
                <w:szCs w:val="21"/>
              </w:rPr>
            </w:pPr>
          </w:p>
        </w:tc>
      </w:tr>
      <w:tr w14:paraId="1BBA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697" w:type="dxa"/>
            <w:vMerge w:val="continue"/>
            <w:vAlign w:val="center"/>
          </w:tcPr>
          <w:p w14:paraId="293A0647">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F1CEF29">
            <w:pPr>
              <w:jc w:val="center"/>
              <w:rPr>
                <w:rFonts w:hint="eastAsia" w:ascii="仿宋_GB2312" w:hAnsi="仿宋_GB2312" w:eastAsia="仿宋_GB2312" w:cs="仿宋_GB2312"/>
                <w:sz w:val="21"/>
                <w:szCs w:val="21"/>
              </w:rPr>
            </w:pPr>
          </w:p>
        </w:tc>
        <w:tc>
          <w:tcPr>
            <w:tcW w:w="999" w:type="dxa"/>
            <w:tcBorders>
              <w:left w:val="single" w:color="auto" w:sz="4" w:space="0"/>
            </w:tcBorders>
            <w:vAlign w:val="center"/>
          </w:tcPr>
          <w:p w14:paraId="298A0E93">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数量指标</w:t>
            </w:r>
          </w:p>
        </w:tc>
        <w:tc>
          <w:tcPr>
            <w:tcW w:w="2086" w:type="dxa"/>
            <w:gridSpan w:val="2"/>
            <w:vAlign w:val="center"/>
          </w:tcPr>
          <w:p w14:paraId="2FE4733A">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种植烤烟面积</w:t>
            </w:r>
          </w:p>
        </w:tc>
        <w:tc>
          <w:tcPr>
            <w:tcW w:w="1145" w:type="dxa"/>
            <w:vAlign w:val="center"/>
          </w:tcPr>
          <w:p w14:paraId="44EE3C30">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1750亩</w:t>
            </w:r>
          </w:p>
        </w:tc>
        <w:tc>
          <w:tcPr>
            <w:tcW w:w="951" w:type="dxa"/>
            <w:vAlign w:val="center"/>
          </w:tcPr>
          <w:p w14:paraId="7EC8493E">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1240亩</w:t>
            </w:r>
          </w:p>
        </w:tc>
        <w:tc>
          <w:tcPr>
            <w:tcW w:w="2469" w:type="dxa"/>
            <w:vAlign w:val="center"/>
          </w:tcPr>
          <w:p w14:paraId="42B29C8C">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干旱，种植户减少</w:t>
            </w:r>
          </w:p>
        </w:tc>
      </w:tr>
      <w:tr w14:paraId="31BFC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97" w:type="dxa"/>
            <w:vMerge w:val="continue"/>
            <w:vAlign w:val="center"/>
          </w:tcPr>
          <w:p w14:paraId="13ACCAA8">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16AF35A">
            <w:pPr>
              <w:jc w:val="center"/>
              <w:rPr>
                <w:rFonts w:hint="eastAsia" w:ascii="仿宋_GB2312" w:hAnsi="仿宋_GB2312" w:eastAsia="仿宋_GB2312" w:cs="仿宋_GB2312"/>
                <w:sz w:val="21"/>
                <w:szCs w:val="21"/>
              </w:rPr>
            </w:pPr>
          </w:p>
        </w:tc>
        <w:tc>
          <w:tcPr>
            <w:tcW w:w="999" w:type="dxa"/>
            <w:tcBorders>
              <w:left w:val="single" w:color="auto" w:sz="4" w:space="0"/>
            </w:tcBorders>
            <w:vAlign w:val="center"/>
          </w:tcPr>
          <w:p w14:paraId="19D33131">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数量指标</w:t>
            </w:r>
          </w:p>
        </w:tc>
        <w:tc>
          <w:tcPr>
            <w:tcW w:w="2086" w:type="dxa"/>
            <w:gridSpan w:val="2"/>
            <w:vAlign w:val="center"/>
          </w:tcPr>
          <w:p w14:paraId="4172BE09">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烟地整理面积</w:t>
            </w:r>
          </w:p>
        </w:tc>
        <w:tc>
          <w:tcPr>
            <w:tcW w:w="1145" w:type="dxa"/>
            <w:vAlign w:val="center"/>
          </w:tcPr>
          <w:p w14:paraId="7202D4F9">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600亩</w:t>
            </w:r>
          </w:p>
        </w:tc>
        <w:tc>
          <w:tcPr>
            <w:tcW w:w="951" w:type="dxa"/>
            <w:vAlign w:val="center"/>
          </w:tcPr>
          <w:p w14:paraId="3EF61CFF">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521亩</w:t>
            </w:r>
          </w:p>
        </w:tc>
        <w:tc>
          <w:tcPr>
            <w:tcW w:w="2469" w:type="dxa"/>
            <w:vAlign w:val="center"/>
          </w:tcPr>
          <w:p w14:paraId="1D72E2FB">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烤烟种植面积减少</w:t>
            </w:r>
          </w:p>
        </w:tc>
      </w:tr>
      <w:tr w14:paraId="2B45F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697" w:type="dxa"/>
            <w:vMerge w:val="continue"/>
            <w:vAlign w:val="center"/>
          </w:tcPr>
          <w:p w14:paraId="24DBDB2B">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31C1E60">
            <w:pPr>
              <w:jc w:val="center"/>
              <w:rPr>
                <w:rFonts w:hint="eastAsia" w:ascii="仿宋_GB2312" w:hAnsi="仿宋_GB2312" w:eastAsia="仿宋_GB2312" w:cs="仿宋_GB2312"/>
                <w:sz w:val="21"/>
                <w:szCs w:val="21"/>
              </w:rPr>
            </w:pPr>
          </w:p>
        </w:tc>
        <w:tc>
          <w:tcPr>
            <w:tcW w:w="999" w:type="dxa"/>
            <w:tcBorders>
              <w:left w:val="single" w:color="auto" w:sz="4" w:space="0"/>
            </w:tcBorders>
            <w:vAlign w:val="center"/>
          </w:tcPr>
          <w:p w14:paraId="4CCB53B5">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时效指标</w:t>
            </w:r>
          </w:p>
        </w:tc>
        <w:tc>
          <w:tcPr>
            <w:tcW w:w="2086" w:type="dxa"/>
            <w:gridSpan w:val="2"/>
            <w:vAlign w:val="center"/>
          </w:tcPr>
          <w:p w14:paraId="4444FACB">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项目实施时限</w:t>
            </w:r>
          </w:p>
        </w:tc>
        <w:tc>
          <w:tcPr>
            <w:tcW w:w="1145" w:type="dxa"/>
            <w:vAlign w:val="center"/>
          </w:tcPr>
          <w:p w14:paraId="5555E759">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1年</w:t>
            </w:r>
          </w:p>
        </w:tc>
        <w:tc>
          <w:tcPr>
            <w:tcW w:w="951" w:type="dxa"/>
            <w:vAlign w:val="center"/>
          </w:tcPr>
          <w:p w14:paraId="1B9C0A40">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1年</w:t>
            </w:r>
          </w:p>
        </w:tc>
        <w:tc>
          <w:tcPr>
            <w:tcW w:w="2469" w:type="dxa"/>
            <w:vAlign w:val="top"/>
          </w:tcPr>
          <w:p w14:paraId="5418B3E4">
            <w:pPr>
              <w:jc w:val="center"/>
              <w:rPr>
                <w:rFonts w:hint="eastAsia" w:ascii="仿宋_GB2312" w:hAnsi="仿宋_GB2312" w:eastAsia="仿宋_GB2312" w:cs="仿宋_GB2312"/>
                <w:sz w:val="21"/>
                <w:szCs w:val="21"/>
              </w:rPr>
            </w:pPr>
          </w:p>
        </w:tc>
      </w:tr>
      <w:tr w14:paraId="7C916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697" w:type="dxa"/>
            <w:vMerge w:val="continue"/>
            <w:vAlign w:val="center"/>
          </w:tcPr>
          <w:p w14:paraId="18086790">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C4CAEF3">
            <w:pPr>
              <w:jc w:val="center"/>
              <w:rPr>
                <w:rFonts w:hint="eastAsia" w:ascii="仿宋_GB2312" w:hAnsi="仿宋_GB2312" w:eastAsia="仿宋_GB2312" w:cs="仿宋_GB2312"/>
                <w:sz w:val="21"/>
                <w:szCs w:val="21"/>
              </w:rPr>
            </w:pPr>
          </w:p>
        </w:tc>
        <w:tc>
          <w:tcPr>
            <w:tcW w:w="999" w:type="dxa"/>
            <w:tcBorders>
              <w:left w:val="single" w:color="auto" w:sz="4" w:space="0"/>
              <w:bottom w:val="nil"/>
            </w:tcBorders>
            <w:vAlign w:val="center"/>
          </w:tcPr>
          <w:p w14:paraId="24C34A04">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质量指标</w:t>
            </w:r>
          </w:p>
        </w:tc>
        <w:tc>
          <w:tcPr>
            <w:tcW w:w="2086" w:type="dxa"/>
            <w:gridSpan w:val="2"/>
            <w:vAlign w:val="center"/>
          </w:tcPr>
          <w:p w14:paraId="1F88C91D">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烟叶税收目标任务完成率</w:t>
            </w:r>
          </w:p>
        </w:tc>
        <w:tc>
          <w:tcPr>
            <w:tcW w:w="1145" w:type="dxa"/>
            <w:vAlign w:val="center"/>
          </w:tcPr>
          <w:p w14:paraId="0B01340C">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100%</w:t>
            </w:r>
          </w:p>
        </w:tc>
        <w:tc>
          <w:tcPr>
            <w:tcW w:w="951" w:type="dxa"/>
            <w:vAlign w:val="center"/>
          </w:tcPr>
          <w:p w14:paraId="2F586A24">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102.13%</w:t>
            </w:r>
          </w:p>
        </w:tc>
        <w:tc>
          <w:tcPr>
            <w:tcW w:w="2469" w:type="dxa"/>
            <w:vAlign w:val="top"/>
          </w:tcPr>
          <w:p w14:paraId="3454018B">
            <w:pPr>
              <w:jc w:val="center"/>
              <w:rPr>
                <w:rFonts w:hint="eastAsia" w:ascii="仿宋_GB2312" w:hAnsi="仿宋_GB2312" w:eastAsia="仿宋_GB2312" w:cs="仿宋_GB2312"/>
                <w:sz w:val="21"/>
                <w:szCs w:val="21"/>
              </w:rPr>
            </w:pPr>
          </w:p>
        </w:tc>
      </w:tr>
      <w:tr w14:paraId="171DF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97" w:type="dxa"/>
            <w:vMerge w:val="continue"/>
            <w:vAlign w:val="center"/>
          </w:tcPr>
          <w:p w14:paraId="77F2B02A">
            <w:pPr>
              <w:jc w:val="center"/>
              <w:rPr>
                <w:rFonts w:hint="eastAsia" w:ascii="仿宋_GB2312" w:hAnsi="仿宋_GB2312" w:eastAsia="仿宋_GB2312" w:cs="仿宋_GB2312"/>
                <w:sz w:val="21"/>
                <w:szCs w:val="21"/>
              </w:rPr>
            </w:pPr>
          </w:p>
        </w:tc>
        <w:tc>
          <w:tcPr>
            <w:tcW w:w="752" w:type="dxa"/>
            <w:vMerge w:val="restart"/>
            <w:tcBorders>
              <w:top w:val="single" w:color="auto" w:sz="4" w:space="0"/>
              <w:left w:val="single" w:color="auto" w:sz="4" w:space="0"/>
              <w:right w:val="single" w:color="auto" w:sz="4" w:space="0"/>
            </w:tcBorders>
            <w:vAlign w:val="center"/>
          </w:tcPr>
          <w:p w14:paraId="7FDA41D1">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eastAsia="zh-CN"/>
              </w:rPr>
              <w:t>效益指标</w:t>
            </w:r>
          </w:p>
        </w:tc>
        <w:tc>
          <w:tcPr>
            <w:tcW w:w="999" w:type="dxa"/>
            <w:tcBorders>
              <w:left w:val="single" w:color="auto" w:sz="4" w:space="0"/>
              <w:bottom w:val="nil"/>
            </w:tcBorders>
            <w:vAlign w:val="center"/>
          </w:tcPr>
          <w:p w14:paraId="22CC9A80">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社会效益指标</w:t>
            </w:r>
          </w:p>
        </w:tc>
        <w:tc>
          <w:tcPr>
            <w:tcW w:w="2086" w:type="dxa"/>
            <w:gridSpan w:val="2"/>
            <w:vAlign w:val="center"/>
          </w:tcPr>
          <w:p w14:paraId="73FEDF55">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全年烟农返税</w:t>
            </w:r>
          </w:p>
        </w:tc>
        <w:tc>
          <w:tcPr>
            <w:tcW w:w="1145" w:type="dxa"/>
            <w:vAlign w:val="center"/>
          </w:tcPr>
          <w:p w14:paraId="2BA7ECBD">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24.47万元%</w:t>
            </w:r>
          </w:p>
        </w:tc>
        <w:tc>
          <w:tcPr>
            <w:tcW w:w="951" w:type="dxa"/>
            <w:vAlign w:val="center"/>
          </w:tcPr>
          <w:p w14:paraId="78D5EB67">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29.45万元</w:t>
            </w:r>
          </w:p>
        </w:tc>
        <w:tc>
          <w:tcPr>
            <w:tcW w:w="2469" w:type="dxa"/>
            <w:vAlign w:val="center"/>
          </w:tcPr>
          <w:p w14:paraId="015C022A">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2022年度烤烟受灾严重，提高补贴比例，待申报计划，未支付</w:t>
            </w:r>
          </w:p>
        </w:tc>
      </w:tr>
      <w:tr w14:paraId="7A412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97" w:type="dxa"/>
            <w:vMerge w:val="continue"/>
            <w:vAlign w:val="center"/>
          </w:tcPr>
          <w:p w14:paraId="0605E371">
            <w:pPr>
              <w:jc w:val="center"/>
              <w:rPr>
                <w:rFonts w:hint="eastAsia" w:ascii="仿宋_GB2312" w:hAnsi="仿宋_GB2312" w:eastAsia="仿宋_GB2312" w:cs="仿宋_GB2312"/>
                <w:sz w:val="21"/>
                <w:szCs w:val="21"/>
              </w:rPr>
            </w:pPr>
          </w:p>
        </w:tc>
        <w:tc>
          <w:tcPr>
            <w:tcW w:w="752" w:type="dxa"/>
            <w:vMerge w:val="continue"/>
            <w:tcBorders>
              <w:left w:val="single" w:color="auto" w:sz="4" w:space="0"/>
              <w:bottom w:val="single" w:color="auto" w:sz="4" w:space="0"/>
              <w:right w:val="single" w:color="auto" w:sz="4" w:space="0"/>
            </w:tcBorders>
            <w:vAlign w:val="center"/>
          </w:tcPr>
          <w:p w14:paraId="5355930C">
            <w:pPr>
              <w:jc w:val="center"/>
              <w:rPr>
                <w:rFonts w:hint="eastAsia" w:ascii="仿宋_GB2312" w:hAnsi="仿宋_GB2312" w:eastAsia="仿宋_GB2312" w:cs="仿宋_GB2312"/>
                <w:spacing w:val="-2"/>
                <w:sz w:val="21"/>
                <w:szCs w:val="21"/>
                <w:lang w:eastAsia="zh-CN"/>
              </w:rPr>
            </w:pPr>
          </w:p>
        </w:tc>
        <w:tc>
          <w:tcPr>
            <w:tcW w:w="999" w:type="dxa"/>
            <w:tcBorders>
              <w:left w:val="single" w:color="auto" w:sz="4" w:space="0"/>
              <w:bottom w:val="nil"/>
            </w:tcBorders>
            <w:vAlign w:val="center"/>
          </w:tcPr>
          <w:p w14:paraId="7BBAFCED">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生态效益指标</w:t>
            </w:r>
          </w:p>
        </w:tc>
        <w:tc>
          <w:tcPr>
            <w:tcW w:w="2086" w:type="dxa"/>
            <w:gridSpan w:val="2"/>
            <w:vAlign w:val="center"/>
          </w:tcPr>
          <w:p w14:paraId="7CF9B9EB">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生态环保影响</w:t>
            </w:r>
          </w:p>
        </w:tc>
        <w:tc>
          <w:tcPr>
            <w:tcW w:w="1145" w:type="dxa"/>
            <w:vAlign w:val="center"/>
          </w:tcPr>
          <w:p w14:paraId="4A7891EC">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优</w:t>
            </w:r>
          </w:p>
        </w:tc>
        <w:tc>
          <w:tcPr>
            <w:tcW w:w="951" w:type="dxa"/>
            <w:vAlign w:val="center"/>
          </w:tcPr>
          <w:p w14:paraId="2336B286">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优</w:t>
            </w:r>
          </w:p>
        </w:tc>
        <w:tc>
          <w:tcPr>
            <w:tcW w:w="2469" w:type="dxa"/>
            <w:vAlign w:val="center"/>
          </w:tcPr>
          <w:p w14:paraId="4F932C27">
            <w:pPr>
              <w:jc w:val="center"/>
              <w:rPr>
                <w:rFonts w:hint="eastAsia" w:ascii="仿宋_GB2312" w:hAnsi="仿宋_GB2312" w:eastAsia="仿宋_GB2312" w:cs="仿宋_GB2312"/>
                <w:sz w:val="21"/>
                <w:szCs w:val="21"/>
              </w:rPr>
            </w:pPr>
          </w:p>
        </w:tc>
      </w:tr>
      <w:tr w14:paraId="4645B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697" w:type="dxa"/>
            <w:vMerge w:val="continue"/>
            <w:vAlign w:val="center"/>
          </w:tcPr>
          <w:p w14:paraId="65E3D877">
            <w:pPr>
              <w:jc w:val="center"/>
              <w:rPr>
                <w:rFonts w:hint="eastAsia" w:ascii="仿宋_GB2312" w:hAnsi="仿宋_GB2312" w:eastAsia="仿宋_GB2312" w:cs="仿宋_GB2312"/>
                <w:sz w:val="21"/>
                <w:szCs w:val="21"/>
              </w:rPr>
            </w:pPr>
          </w:p>
        </w:tc>
        <w:tc>
          <w:tcPr>
            <w:tcW w:w="752" w:type="dxa"/>
            <w:tcBorders>
              <w:top w:val="single" w:color="auto" w:sz="4" w:space="0"/>
              <w:bottom w:val="nil"/>
            </w:tcBorders>
            <w:vAlign w:val="center"/>
          </w:tcPr>
          <w:p w14:paraId="56D9E0D7">
            <w:pPr>
              <w:spacing w:before="146" w:line="219" w:lineRule="auto"/>
              <w:ind w:left="191" w:right="124" w:hanging="7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满意度</w:t>
            </w:r>
            <w:r>
              <w:rPr>
                <w:rFonts w:hint="eastAsia" w:ascii="仿宋_GB2312" w:hAnsi="仿宋_GB2312" w:eastAsia="仿宋_GB2312" w:cs="仿宋_GB2312"/>
                <w:spacing w:val="1"/>
                <w:sz w:val="21"/>
                <w:szCs w:val="21"/>
              </w:rPr>
              <w:t xml:space="preserve"> </w:t>
            </w:r>
            <w:r>
              <w:rPr>
                <w:rFonts w:hint="eastAsia" w:ascii="仿宋_GB2312" w:hAnsi="仿宋_GB2312" w:eastAsia="仿宋_GB2312" w:cs="仿宋_GB2312"/>
                <w:spacing w:val="-3"/>
                <w:sz w:val="21"/>
                <w:szCs w:val="21"/>
              </w:rPr>
              <w:t>指标</w:t>
            </w:r>
          </w:p>
        </w:tc>
        <w:tc>
          <w:tcPr>
            <w:tcW w:w="999" w:type="dxa"/>
            <w:tcBorders>
              <w:bottom w:val="nil"/>
            </w:tcBorders>
            <w:vAlign w:val="center"/>
          </w:tcPr>
          <w:p w14:paraId="185E5EB4">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服务对象满 意度指标</w:t>
            </w:r>
          </w:p>
        </w:tc>
        <w:tc>
          <w:tcPr>
            <w:tcW w:w="2086" w:type="dxa"/>
            <w:gridSpan w:val="2"/>
            <w:vAlign w:val="center"/>
          </w:tcPr>
          <w:p w14:paraId="57CCA8AA">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辖内群众满意度</w:t>
            </w:r>
          </w:p>
        </w:tc>
        <w:tc>
          <w:tcPr>
            <w:tcW w:w="1145" w:type="dxa"/>
            <w:vAlign w:val="center"/>
          </w:tcPr>
          <w:p w14:paraId="2F852F2A">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≥95%</w:t>
            </w:r>
          </w:p>
        </w:tc>
        <w:tc>
          <w:tcPr>
            <w:tcW w:w="951" w:type="dxa"/>
            <w:vAlign w:val="center"/>
          </w:tcPr>
          <w:p w14:paraId="56CC4D51">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95%</w:t>
            </w:r>
          </w:p>
        </w:tc>
        <w:tc>
          <w:tcPr>
            <w:tcW w:w="2469" w:type="dxa"/>
            <w:vAlign w:val="top"/>
          </w:tcPr>
          <w:p w14:paraId="6DAE2440">
            <w:pPr>
              <w:jc w:val="center"/>
              <w:rPr>
                <w:rFonts w:hint="eastAsia" w:ascii="仿宋_GB2312" w:hAnsi="仿宋_GB2312" w:eastAsia="仿宋_GB2312" w:cs="仿宋_GB2312"/>
                <w:sz w:val="21"/>
                <w:szCs w:val="21"/>
              </w:rPr>
            </w:pPr>
          </w:p>
        </w:tc>
      </w:tr>
      <w:tr w14:paraId="37C2B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97" w:type="dxa"/>
            <w:vMerge w:val="continue"/>
            <w:vAlign w:val="center"/>
          </w:tcPr>
          <w:p w14:paraId="2FE2E3C9">
            <w:pPr>
              <w:spacing w:before="48" w:line="220" w:lineRule="auto"/>
              <w:ind w:left="3664"/>
              <w:jc w:val="center"/>
              <w:rPr>
                <w:rFonts w:hint="eastAsia" w:ascii="仿宋_GB2312" w:hAnsi="仿宋_GB2312" w:eastAsia="仿宋_GB2312" w:cs="仿宋_GB2312"/>
                <w:sz w:val="21"/>
                <w:szCs w:val="21"/>
              </w:rPr>
            </w:pPr>
          </w:p>
        </w:tc>
        <w:tc>
          <w:tcPr>
            <w:tcW w:w="752" w:type="dxa"/>
            <w:vAlign w:val="center"/>
          </w:tcPr>
          <w:p w14:paraId="6087B166">
            <w:pPr>
              <w:spacing w:before="146" w:line="219" w:lineRule="auto"/>
              <w:ind w:left="191" w:leftChars="0" w:right="124" w:rightChars="0" w:hanging="70" w:firstLineChars="0"/>
              <w:jc w:val="center"/>
              <w:rPr>
                <w:rFonts w:hint="eastAsia" w:ascii="仿宋_GB2312" w:hAnsi="仿宋_GB2312" w:eastAsia="仿宋_GB2312" w:cs="仿宋_GB2312"/>
                <w:snapToGrid w:val="0"/>
                <w:color w:val="000000"/>
                <w:kern w:val="0"/>
                <w:sz w:val="21"/>
                <w:szCs w:val="21"/>
                <w:lang w:eastAsia="zh-CN"/>
              </w:rPr>
            </w:pPr>
            <w:r>
              <w:rPr>
                <w:rFonts w:hint="eastAsia" w:ascii="仿宋_GB2312" w:hAnsi="仿宋_GB2312" w:eastAsia="仿宋_GB2312" w:cs="仿宋_GB2312"/>
                <w:spacing w:val="-3"/>
                <w:sz w:val="21"/>
                <w:szCs w:val="21"/>
                <w:lang w:eastAsia="zh-CN"/>
              </w:rPr>
              <w:t>成本指标</w:t>
            </w:r>
          </w:p>
        </w:tc>
        <w:tc>
          <w:tcPr>
            <w:tcW w:w="999" w:type="dxa"/>
            <w:vAlign w:val="center"/>
          </w:tcPr>
          <w:p w14:paraId="68341323">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经济成本指标</w:t>
            </w:r>
          </w:p>
        </w:tc>
        <w:tc>
          <w:tcPr>
            <w:tcW w:w="2086" w:type="dxa"/>
            <w:gridSpan w:val="2"/>
            <w:vAlign w:val="center"/>
          </w:tcPr>
          <w:p w14:paraId="35FECC2F">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全年投入额</w:t>
            </w:r>
          </w:p>
        </w:tc>
        <w:tc>
          <w:tcPr>
            <w:tcW w:w="1145" w:type="dxa"/>
            <w:vAlign w:val="center"/>
          </w:tcPr>
          <w:p w14:paraId="21498D45">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61.18万元</w:t>
            </w:r>
          </w:p>
        </w:tc>
        <w:tc>
          <w:tcPr>
            <w:tcW w:w="951" w:type="dxa"/>
            <w:vAlign w:val="center"/>
          </w:tcPr>
          <w:p w14:paraId="14BB07CF">
            <w:pPr>
              <w:spacing w:before="67" w:line="209" w:lineRule="auto"/>
              <w:ind w:left="23" w:leftChars="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rPr>
              <w:t>10.55万元</w:t>
            </w:r>
          </w:p>
        </w:tc>
        <w:tc>
          <w:tcPr>
            <w:tcW w:w="2469" w:type="dxa"/>
            <w:vAlign w:val="center"/>
          </w:tcPr>
          <w:p w14:paraId="0E37CAF1">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项目特殊性，剩余部分将于2023年度支付</w:t>
            </w:r>
          </w:p>
        </w:tc>
      </w:tr>
      <w:tr w14:paraId="41D3C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6630" w:type="dxa"/>
            <w:gridSpan w:val="7"/>
            <w:vAlign w:val="center"/>
          </w:tcPr>
          <w:p w14:paraId="6275103B">
            <w:pPr>
              <w:spacing w:before="67" w:line="209" w:lineRule="auto"/>
              <w:ind w:left="23" w:leftChars="0"/>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总分</w:t>
            </w:r>
          </w:p>
        </w:tc>
        <w:tc>
          <w:tcPr>
            <w:tcW w:w="2469" w:type="dxa"/>
            <w:vAlign w:val="center"/>
          </w:tcPr>
          <w:p w14:paraId="4031F19A">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97.5</w:t>
            </w:r>
          </w:p>
        </w:tc>
      </w:tr>
    </w:tbl>
    <w:p w14:paraId="551C0ED5">
      <w:pPr>
        <w:widowControl/>
        <w:jc w:val="left"/>
        <w:rPr>
          <w:rStyle w:val="30"/>
          <w:rFonts w:ascii="黑体" w:hAnsi="黑体" w:eastAsia="黑体"/>
          <w:b w:val="0"/>
          <w:color w:val="auto"/>
          <w:highlight w:val="none"/>
        </w:rPr>
      </w:pPr>
      <w:r>
        <w:rPr>
          <w:rStyle w:val="30"/>
          <w:rFonts w:ascii="黑体" w:hAnsi="黑体" w:eastAsia="黑体"/>
          <w:b w:val="0"/>
          <w:color w:val="auto"/>
          <w:highlight w:val="none"/>
        </w:rPr>
        <w:br w:type="page"/>
      </w:r>
    </w:p>
    <w:p w14:paraId="3F3868F2">
      <w:pPr>
        <w:spacing w:line="576" w:lineRule="exact"/>
        <w:jc w:val="center"/>
        <w:rPr>
          <w:rFonts w:hint="eastAsia" w:ascii="方正小标宋简体" w:hAnsi="方正小标宋简体" w:eastAsia="方正小标宋简体" w:cs="方正小标宋简体"/>
          <w:color w:val="000000" w:themeColor="text1"/>
          <w:spacing w:val="11"/>
          <w:sz w:val="44"/>
          <w:szCs w:val="44"/>
          <w:lang w:val="zh-CN"/>
          <w14:textFill>
            <w14:solidFill>
              <w14:schemeClr w14:val="tx1"/>
            </w14:solidFill>
          </w14:textFill>
        </w:rPr>
      </w:pPr>
      <w:r>
        <w:rPr>
          <w:rFonts w:hint="eastAsia" w:ascii="方正小标宋简体" w:hAnsi="方正小标宋简体" w:eastAsia="方正小标宋简体" w:cs="方正小标宋简体"/>
          <w:sz w:val="44"/>
          <w:szCs w:val="44"/>
          <w:lang w:val="zh-CN"/>
        </w:rPr>
        <w:t>关于2022年中央纪检监察转移支付资金财政项目支出绩效自评报告</w:t>
      </w:r>
    </w:p>
    <w:p w14:paraId="4D71068B">
      <w:pPr>
        <w:spacing w:line="576" w:lineRule="exact"/>
        <w:ind w:firstLine="640" w:firstLineChars="200"/>
        <w:rPr>
          <w:rFonts w:eastAsia="仿宋_GB2312" w:cs="仿宋_GB2312"/>
          <w:color w:val="000000" w:themeColor="text1"/>
          <w:sz w:val="32"/>
          <w:szCs w:val="32"/>
          <w:lang w:val="zh-CN"/>
          <w14:textFill>
            <w14:solidFill>
              <w14:schemeClr w14:val="tx1"/>
            </w14:solidFill>
          </w14:textFill>
        </w:rPr>
      </w:pPr>
    </w:p>
    <w:p w14:paraId="2C7E1B7F">
      <w:pPr>
        <w:spacing w:line="536" w:lineRule="exact"/>
        <w:ind w:firstLine="640" w:firstLineChars="200"/>
        <w:outlineLvl w:val="1"/>
        <w:rPr>
          <w:rFonts w:eastAsia="黑体" w:cs="黑体"/>
          <w:color w:val="000000" w:themeColor="text1"/>
          <w:sz w:val="32"/>
          <w:szCs w:val="32"/>
          <w:lang w:val="zh-CN"/>
          <w14:textFill>
            <w14:solidFill>
              <w14:schemeClr w14:val="tx1"/>
            </w14:solidFill>
          </w14:textFill>
        </w:rPr>
      </w:pPr>
      <w:bookmarkStart w:id="207" w:name="_Toc28730"/>
      <w:r>
        <w:rPr>
          <w:rFonts w:hint="eastAsia" w:eastAsia="黑体" w:cs="黑体"/>
          <w:color w:val="000000" w:themeColor="text1"/>
          <w:sz w:val="32"/>
          <w:szCs w:val="32"/>
          <w:lang w:val="zh-CN"/>
          <w14:textFill>
            <w14:solidFill>
              <w14:schemeClr w14:val="tx1"/>
            </w14:solidFill>
          </w14:textFill>
        </w:rPr>
        <w:t>一、项目概况</w:t>
      </w:r>
      <w:bookmarkEnd w:id="207"/>
    </w:p>
    <w:p w14:paraId="70AD9C69">
      <w:pPr>
        <w:spacing w:line="536" w:lineRule="exact"/>
        <w:ind w:firstLine="643" w:firstLineChars="200"/>
        <w:outlineLvl w:val="2"/>
        <w:rPr>
          <w:rFonts w:hint="eastAsia" w:eastAsia="楷体_GB2312" w:cs="楷体_GB2312"/>
          <w:color w:val="000000" w:themeColor="text1"/>
          <w:sz w:val="32"/>
          <w:szCs w:val="32"/>
          <w:lang w:val="zh-CN"/>
          <w14:textFill>
            <w14:solidFill>
              <w14:schemeClr w14:val="tx1"/>
            </w14:solidFill>
          </w14:textFill>
        </w:rPr>
      </w:pPr>
      <w:bookmarkStart w:id="208" w:name="_Toc9647"/>
      <w:r>
        <w:rPr>
          <w:rFonts w:hint="eastAsia" w:ascii="楷体" w:hAnsi="楷体" w:eastAsia="楷体" w:cs="楷体"/>
          <w:b/>
          <w:bCs/>
          <w:color w:val="000000" w:themeColor="text1"/>
          <w:sz w:val="32"/>
          <w:szCs w:val="32"/>
          <w:lang w:val="zh-CN"/>
          <w14:textFill>
            <w14:solidFill>
              <w14:schemeClr w14:val="tx1"/>
            </w14:solidFill>
          </w14:textFill>
        </w:rPr>
        <w:t>(一)项目资金申报及批复情况</w:t>
      </w:r>
      <w:bookmarkEnd w:id="208"/>
    </w:p>
    <w:p w14:paraId="131B47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该项目申报资金性质为一般公共预算，总申报金额为4.6万元。上级实际批复和安排预算资金为4.6万元。</w:t>
      </w:r>
      <w:r>
        <w:rPr>
          <w:rFonts w:hint="eastAsia" w:eastAsia="楷体_GB2312" w:cs="楷体_GB2312"/>
          <w:color w:val="000000" w:themeColor="text1"/>
          <w:sz w:val="32"/>
          <w:szCs w:val="32"/>
          <w:lang w:val="zh-CN"/>
          <w14:textFill>
            <w14:solidFill>
              <w14:schemeClr w14:val="tx1"/>
            </w14:solidFill>
          </w14:textFill>
        </w:rPr>
        <w:t xml:space="preserve"> </w:t>
      </w:r>
    </w:p>
    <w:p w14:paraId="76EB2595">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09" w:name="_Toc19670"/>
      <w:r>
        <w:rPr>
          <w:rFonts w:hint="eastAsia" w:ascii="楷体" w:hAnsi="楷体" w:eastAsia="楷体" w:cs="楷体"/>
          <w:b/>
          <w:bCs/>
          <w:color w:val="000000" w:themeColor="text1"/>
          <w:sz w:val="32"/>
          <w:szCs w:val="32"/>
          <w:lang w:val="zh-CN"/>
          <w14:textFill>
            <w14:solidFill>
              <w14:schemeClr w14:val="tx1"/>
            </w14:solidFill>
          </w14:textFill>
        </w:rPr>
        <w:t>(二)项目绩效目标</w:t>
      </w:r>
      <w:bookmarkEnd w:id="209"/>
    </w:p>
    <w:p w14:paraId="40E813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项目年初申报绩效目标为：</w:t>
      </w:r>
      <w:r>
        <w:rPr>
          <w:rFonts w:hint="eastAsia" w:ascii="仿宋_GB2312" w:hAnsi="仿宋_GB2312" w:eastAsia="仿宋_GB2312" w:cs="仿宋_GB2312"/>
          <w:sz w:val="32"/>
          <w:szCs w:val="32"/>
          <w:lang w:val="zh-CN"/>
        </w:rPr>
        <w:t>用于强化监督执纪问责和监督调查处置职能，围绕现代化建设大局发挥监督保障作用，以便更好的服务民生大众。</w:t>
      </w:r>
    </w:p>
    <w:p w14:paraId="3B634A54">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10" w:name="_Toc9024"/>
      <w:r>
        <w:rPr>
          <w:rFonts w:hint="eastAsia" w:ascii="楷体" w:hAnsi="楷体" w:eastAsia="楷体" w:cs="楷体"/>
          <w:b/>
          <w:bCs/>
          <w:color w:val="000000" w:themeColor="text1"/>
          <w:sz w:val="32"/>
          <w:szCs w:val="32"/>
          <w:lang w:val="zh-CN"/>
          <w14:textFill>
            <w14:solidFill>
              <w14:schemeClr w14:val="tx1"/>
            </w14:solidFill>
          </w14:textFill>
        </w:rPr>
        <w:t>(三)项目资金申报相符性</w:t>
      </w:r>
      <w:bookmarkEnd w:id="210"/>
    </w:p>
    <w:p w14:paraId="4FDE25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纪检监察转移支付资金严格按照年初项目经费申报要求执行，项目经费申报符合当年本单位工作需要，并达到预期目标。申报内容与实际相符、申报目标合理可行。</w:t>
      </w:r>
    </w:p>
    <w:p w14:paraId="1B103D64">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11" w:name="_Toc5397"/>
      <w:r>
        <w:rPr>
          <w:rFonts w:hint="eastAsia" w:ascii="楷体" w:hAnsi="楷体" w:eastAsia="楷体" w:cs="楷体"/>
          <w:b/>
          <w:bCs/>
          <w:color w:val="000000" w:themeColor="text1"/>
          <w:sz w:val="32"/>
          <w:szCs w:val="32"/>
          <w:lang w:val="zh-CN"/>
          <w14:textFill>
            <w14:solidFill>
              <w14:schemeClr w14:val="tx1"/>
            </w14:solidFill>
          </w14:textFill>
        </w:rPr>
        <w:t>(四)自评步骤及方法</w:t>
      </w:r>
      <w:bookmarkEnd w:id="211"/>
    </w:p>
    <w:p w14:paraId="2A2B3A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制定方案、资料收集、审核评价资料及撰写报告等几个阶段，认真、准确填写自评数据表，形成详实的自评报告，并在2023年4月20日之前按时完成自评工作，对所报送自评材料的真实性、完整性、一致性、规范性负责。</w:t>
      </w:r>
    </w:p>
    <w:p w14:paraId="33E9BA82">
      <w:pPr>
        <w:spacing w:line="536" w:lineRule="exact"/>
        <w:ind w:firstLine="640" w:firstLineChars="200"/>
        <w:outlineLvl w:val="1"/>
        <w:rPr>
          <w:rFonts w:hint="eastAsia" w:eastAsia="黑体" w:cs="黑体"/>
          <w:color w:val="000000" w:themeColor="text1"/>
          <w:sz w:val="32"/>
          <w:szCs w:val="32"/>
          <w:lang w:val="zh-CN"/>
          <w14:textFill>
            <w14:solidFill>
              <w14:schemeClr w14:val="tx1"/>
            </w14:solidFill>
          </w14:textFill>
        </w:rPr>
      </w:pPr>
      <w:bookmarkStart w:id="212" w:name="_Toc5703"/>
      <w:r>
        <w:rPr>
          <w:rFonts w:hint="eastAsia" w:eastAsia="黑体" w:cs="黑体"/>
          <w:color w:val="000000" w:themeColor="text1"/>
          <w:sz w:val="32"/>
          <w:szCs w:val="32"/>
          <w:lang w:val="zh-CN"/>
          <w14:textFill>
            <w14:solidFill>
              <w14:schemeClr w14:val="tx1"/>
            </w14:solidFill>
          </w14:textFill>
        </w:rPr>
        <w:t>二、项目实施及管理情况</w:t>
      </w:r>
      <w:bookmarkEnd w:id="212"/>
    </w:p>
    <w:p w14:paraId="141BA060">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13" w:name="_Toc11470"/>
      <w:r>
        <w:rPr>
          <w:rFonts w:hint="eastAsia" w:ascii="楷体" w:hAnsi="楷体" w:eastAsia="楷体" w:cs="楷体"/>
          <w:b/>
          <w:bCs/>
          <w:color w:val="000000" w:themeColor="text1"/>
          <w:sz w:val="32"/>
          <w:szCs w:val="32"/>
          <w:lang w:val="zh-CN"/>
          <w14:textFill>
            <w14:solidFill>
              <w14:schemeClr w14:val="tx1"/>
            </w14:solidFill>
          </w14:textFill>
        </w:rPr>
        <w:t>(一)资金计划、到位及使用情况</w:t>
      </w:r>
      <w:bookmarkEnd w:id="213"/>
    </w:p>
    <w:p w14:paraId="3DEB80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1.资金计划及到位</w:t>
      </w:r>
    </w:p>
    <w:p w14:paraId="202AF5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各项目资金来源均为财政资金。资金到位及时，资金到位率100%、到位及时性90%。</w:t>
      </w:r>
    </w:p>
    <w:p w14:paraId="515939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2.资金使用</w:t>
      </w:r>
    </w:p>
    <w:p w14:paraId="4EC508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2022年中央纪检监察转移支付资金预算支出4.6万元，实际支出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lang w:val="zh-CN"/>
        </w:rPr>
        <w:t>万元，</w:t>
      </w:r>
      <w:r>
        <w:rPr>
          <w:rFonts w:hint="eastAsia" w:ascii="仿宋_GB2312" w:hAnsi="仿宋_GB2312" w:eastAsia="仿宋_GB2312" w:cs="仿宋_GB2312"/>
          <w:sz w:val="32"/>
          <w:szCs w:val="32"/>
          <w:lang w:val="zh-CN" w:eastAsia="zh-CN"/>
        </w:rPr>
        <w:t>将于</w:t>
      </w:r>
      <w:r>
        <w:rPr>
          <w:rFonts w:hint="eastAsia" w:ascii="仿宋_GB2312" w:hAnsi="仿宋_GB2312" w:eastAsia="仿宋_GB2312" w:cs="仿宋_GB2312"/>
          <w:sz w:val="32"/>
          <w:szCs w:val="32"/>
          <w:lang w:val="en-US" w:eastAsia="zh-CN"/>
        </w:rPr>
        <w:t>2023年度支付，</w:t>
      </w:r>
      <w:r>
        <w:rPr>
          <w:rFonts w:hint="eastAsia" w:ascii="仿宋_GB2312" w:hAnsi="仿宋_GB2312" w:eastAsia="仿宋_GB2312" w:cs="仿宋_GB2312"/>
          <w:sz w:val="32"/>
          <w:szCs w:val="32"/>
          <w:lang w:val="zh-CN"/>
        </w:rPr>
        <w:t>主要用于</w:t>
      </w:r>
      <w:r>
        <w:rPr>
          <w:rFonts w:hint="eastAsia" w:ascii="仿宋_GB2312" w:hAnsi="仿宋_GB2312" w:eastAsia="仿宋_GB2312" w:cs="仿宋_GB2312"/>
          <w:sz w:val="32"/>
          <w:szCs w:val="32"/>
          <w:lang w:val="zh-CN" w:eastAsia="zh-CN"/>
        </w:rPr>
        <w:t>磨滩</w:t>
      </w:r>
      <w:r>
        <w:rPr>
          <w:rFonts w:hint="eastAsia" w:ascii="仿宋_GB2312" w:hAnsi="仿宋_GB2312" w:eastAsia="仿宋_GB2312" w:cs="仿宋_GB2312"/>
          <w:sz w:val="32"/>
          <w:szCs w:val="32"/>
          <w:lang w:val="zh-CN"/>
        </w:rPr>
        <w:t>镇纪委谈话室的建设。</w:t>
      </w:r>
    </w:p>
    <w:p w14:paraId="7AA8FB52">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14" w:name="_Toc89"/>
      <w:r>
        <w:rPr>
          <w:rFonts w:hint="eastAsia" w:ascii="楷体" w:hAnsi="楷体" w:eastAsia="楷体" w:cs="楷体"/>
          <w:b/>
          <w:bCs/>
          <w:color w:val="000000" w:themeColor="text1"/>
          <w:sz w:val="32"/>
          <w:szCs w:val="32"/>
          <w:lang w:val="zh-CN"/>
          <w14:textFill>
            <w14:solidFill>
              <w14:schemeClr w14:val="tx1"/>
            </w14:solidFill>
          </w14:textFill>
        </w:rPr>
        <w:t>(二)项目财务管理情况</w:t>
      </w:r>
      <w:bookmarkEnd w:id="214"/>
    </w:p>
    <w:p w14:paraId="704875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我镇有健全的财务制度，资金拨付严格按照财务管理制度进行管理，保证专款专用，资金发放复查由财务人员按照财务制度进行资金的审核、支付和核算，所有支出均按政策执行，在具体支付时，具备了资金发票等相关材料，手续完善，不存在虚假会计凭证的情况，会计严格执行财务管理制度，财务处理及时，核算规范。</w:t>
      </w:r>
    </w:p>
    <w:p w14:paraId="7472DEBA">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15" w:name="_Toc20487"/>
      <w:r>
        <w:rPr>
          <w:rFonts w:hint="eastAsia" w:ascii="楷体" w:hAnsi="楷体" w:eastAsia="楷体" w:cs="楷体"/>
          <w:b/>
          <w:bCs/>
          <w:color w:val="000000" w:themeColor="text1"/>
          <w:sz w:val="32"/>
          <w:szCs w:val="32"/>
          <w:lang w:val="zh-CN"/>
          <w14:textFill>
            <w14:solidFill>
              <w14:schemeClr w14:val="tx1"/>
            </w14:solidFill>
          </w14:textFill>
        </w:rPr>
        <w:t>(三)项目组织实施及管理情况</w:t>
      </w:r>
      <w:bookmarkEnd w:id="215"/>
    </w:p>
    <w:p w14:paraId="45279E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该资金主要用于</w:t>
      </w:r>
      <w:r>
        <w:rPr>
          <w:rFonts w:hint="eastAsia" w:ascii="仿宋_GB2312" w:hAnsi="仿宋_GB2312" w:eastAsia="仿宋_GB2312" w:cs="仿宋_GB2312"/>
          <w:sz w:val="32"/>
          <w:szCs w:val="32"/>
          <w:lang w:val="zh-CN" w:eastAsia="zh-CN"/>
        </w:rPr>
        <w:t>磨滩</w:t>
      </w:r>
      <w:r>
        <w:rPr>
          <w:rFonts w:hint="eastAsia" w:ascii="仿宋_GB2312" w:hAnsi="仿宋_GB2312" w:eastAsia="仿宋_GB2312" w:cs="仿宋_GB2312"/>
          <w:sz w:val="32"/>
          <w:szCs w:val="32"/>
          <w:lang w:val="zh-CN"/>
        </w:rPr>
        <w:t>镇纪检谈话室建设，为全镇查处违反纪政纪案提供硬件设施及相关服务，为合理规范使用项目资金，提高资金使用效率，确保资金安全，我镇严格执行相关法律法规及项目管理制度，严格按照项目资金管理办法实施，资金拨付程序合规，符合资金批复用途。</w:t>
      </w:r>
    </w:p>
    <w:p w14:paraId="48DFF907">
      <w:pPr>
        <w:spacing w:line="536" w:lineRule="exact"/>
        <w:ind w:firstLine="640" w:firstLineChars="200"/>
        <w:outlineLvl w:val="1"/>
        <w:rPr>
          <w:rFonts w:hint="eastAsia" w:eastAsia="黑体" w:cs="黑体"/>
          <w:color w:val="000000" w:themeColor="text1"/>
          <w:sz w:val="32"/>
          <w:szCs w:val="32"/>
          <w:lang w:val="zh-CN"/>
          <w14:textFill>
            <w14:solidFill>
              <w14:schemeClr w14:val="tx1"/>
            </w14:solidFill>
          </w14:textFill>
        </w:rPr>
      </w:pPr>
      <w:bookmarkStart w:id="216" w:name="_Toc4861"/>
      <w:r>
        <w:rPr>
          <w:rFonts w:hint="eastAsia" w:eastAsia="黑体" w:cs="黑体"/>
          <w:color w:val="000000" w:themeColor="text1"/>
          <w:sz w:val="32"/>
          <w:szCs w:val="32"/>
          <w:lang w:val="zh-CN"/>
          <w14:textFill>
            <w14:solidFill>
              <w14:schemeClr w14:val="tx1"/>
            </w14:solidFill>
          </w14:textFill>
        </w:rPr>
        <w:t>三、项目绩效情况</w:t>
      </w:r>
      <w:bookmarkEnd w:id="216"/>
    </w:p>
    <w:p w14:paraId="6B8B9A2F">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17" w:name="_Toc16711"/>
      <w:r>
        <w:rPr>
          <w:rFonts w:hint="eastAsia" w:ascii="楷体" w:hAnsi="楷体" w:eastAsia="楷体" w:cs="楷体"/>
          <w:b/>
          <w:bCs/>
          <w:color w:val="000000" w:themeColor="text1"/>
          <w:sz w:val="32"/>
          <w:szCs w:val="32"/>
          <w:lang w:val="zh-CN"/>
          <w14:textFill>
            <w14:solidFill>
              <w14:schemeClr w14:val="tx1"/>
            </w14:solidFill>
          </w14:textFill>
        </w:rPr>
        <w:t>(一)项目完成情况</w:t>
      </w:r>
      <w:bookmarkEnd w:id="217"/>
    </w:p>
    <w:p w14:paraId="0032E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完成改造纪委谈话室一间，有效提升乡镇案件查办质效，营造良好的政治生态环境，群众及相关干部满意度达98%，项目时效为2022年1月1日-12月31日。</w:t>
      </w:r>
    </w:p>
    <w:p w14:paraId="4299D4C0">
      <w:pPr>
        <w:spacing w:line="536" w:lineRule="exact"/>
        <w:ind w:firstLine="643" w:firstLineChars="200"/>
        <w:outlineLvl w:val="2"/>
        <w:rPr>
          <w:rFonts w:eastAsia="仿宋_GB2312" w:cs="仿宋_GB2312"/>
          <w:color w:val="000000" w:themeColor="text1"/>
          <w:sz w:val="32"/>
          <w:szCs w:val="32"/>
          <w:lang w:val="zh-CN"/>
          <w14:textFill>
            <w14:solidFill>
              <w14:schemeClr w14:val="tx1"/>
            </w14:solidFill>
          </w14:textFill>
        </w:rPr>
      </w:pPr>
      <w:bookmarkStart w:id="218" w:name="_Toc26967"/>
      <w:r>
        <w:rPr>
          <w:rFonts w:hint="eastAsia" w:ascii="楷体" w:hAnsi="楷体" w:eastAsia="楷体" w:cs="楷体"/>
          <w:b/>
          <w:bCs/>
          <w:color w:val="000000" w:themeColor="text1"/>
          <w:sz w:val="32"/>
          <w:szCs w:val="32"/>
          <w:lang w:val="zh-CN"/>
          <w14:textFill>
            <w14:solidFill>
              <w14:schemeClr w14:val="tx1"/>
            </w14:solidFill>
          </w14:textFill>
        </w:rPr>
        <w:t>(二)项目效益情况</w:t>
      </w:r>
      <w:bookmarkEnd w:id="218"/>
    </w:p>
    <w:p w14:paraId="4EA89F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本单位2022年中央纪检监察转移支付资金4.6万元，数量指标完成100%；为经济发展提供了坚强的政治保障，营造了风清气正的良好政治生态，推动纪检监察工作高质量发展。</w:t>
      </w:r>
    </w:p>
    <w:p w14:paraId="41690A4A">
      <w:pPr>
        <w:spacing w:line="536" w:lineRule="exact"/>
        <w:ind w:firstLine="640" w:firstLineChars="200"/>
        <w:outlineLvl w:val="1"/>
        <w:rPr>
          <w:rFonts w:eastAsia="黑体" w:cs="黑体"/>
          <w:color w:val="000000" w:themeColor="text1"/>
          <w:sz w:val="32"/>
          <w:szCs w:val="32"/>
          <w:lang w:val="zh-CN"/>
          <w14:textFill>
            <w14:solidFill>
              <w14:schemeClr w14:val="tx1"/>
            </w14:solidFill>
          </w14:textFill>
        </w:rPr>
      </w:pPr>
      <w:bookmarkStart w:id="219" w:name="_Toc20239"/>
      <w:r>
        <w:rPr>
          <w:rFonts w:hint="eastAsia" w:eastAsia="黑体" w:cs="黑体"/>
          <w:color w:val="000000" w:themeColor="text1"/>
          <w:sz w:val="32"/>
          <w:szCs w:val="32"/>
          <w:lang w:val="zh-CN"/>
          <w14:textFill>
            <w14:solidFill>
              <w14:schemeClr w14:val="tx1"/>
            </w14:solidFill>
          </w14:textFill>
        </w:rPr>
        <w:t>四、自评结论及建议</w:t>
      </w:r>
      <w:bookmarkEnd w:id="219"/>
    </w:p>
    <w:p w14:paraId="43ADC44F">
      <w:pPr>
        <w:spacing w:line="536" w:lineRule="exact"/>
        <w:ind w:firstLine="643" w:firstLineChars="200"/>
        <w:outlineLvl w:val="2"/>
        <w:rPr>
          <w:rFonts w:eastAsia="仿宋_GB2312" w:cs="仿宋_GB2312"/>
          <w:color w:val="000000" w:themeColor="text1"/>
          <w:sz w:val="32"/>
          <w:szCs w:val="32"/>
          <w:lang w:val="zh-CN"/>
          <w14:textFill>
            <w14:solidFill>
              <w14:schemeClr w14:val="tx1"/>
            </w14:solidFill>
          </w14:textFill>
        </w:rPr>
      </w:pPr>
      <w:bookmarkStart w:id="220" w:name="_Toc24612"/>
      <w:r>
        <w:rPr>
          <w:rFonts w:hint="eastAsia" w:ascii="楷体" w:hAnsi="楷体" w:eastAsia="楷体" w:cs="楷体"/>
          <w:b/>
          <w:bCs/>
          <w:color w:val="000000" w:themeColor="text1"/>
          <w:sz w:val="32"/>
          <w:szCs w:val="32"/>
          <w:lang w:val="zh-CN"/>
          <w14:textFill>
            <w14:solidFill>
              <w14:schemeClr w14:val="tx1"/>
            </w14:solidFill>
          </w14:textFill>
        </w:rPr>
        <w:t>(一)评价结论</w:t>
      </w:r>
      <w:bookmarkEnd w:id="220"/>
    </w:p>
    <w:p w14:paraId="537E50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我镇项目设立经过严格评估论证，属于部门职责相符，属于公共财政支持范围，符合地方事权支出责任划分原则，与相关部门同类项目或部门内部无相关项目重复。项目规划符合省委、区委、省政府、区政府重大决策部署，项目绩效目标合理、明确，与项目年度目标一致。总体评价98.5分。</w:t>
      </w:r>
    </w:p>
    <w:p w14:paraId="4E1CECAA">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21" w:name="_Toc4700"/>
      <w:r>
        <w:rPr>
          <w:rFonts w:hint="eastAsia" w:ascii="楷体" w:hAnsi="楷体" w:eastAsia="楷体" w:cs="楷体"/>
          <w:b/>
          <w:bCs/>
          <w:color w:val="000000" w:themeColor="text1"/>
          <w:sz w:val="32"/>
          <w:szCs w:val="32"/>
          <w:lang w:val="zh-CN"/>
          <w14:textFill>
            <w14:solidFill>
              <w14:schemeClr w14:val="tx1"/>
            </w14:solidFill>
          </w14:textFill>
        </w:rPr>
        <w:t>(二)存在的问题</w:t>
      </w:r>
      <w:bookmarkEnd w:id="221"/>
    </w:p>
    <w:p w14:paraId="78CD48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无</w:t>
      </w:r>
    </w:p>
    <w:p w14:paraId="4EFD395A">
      <w:pPr>
        <w:spacing w:line="536" w:lineRule="exact"/>
        <w:ind w:firstLine="643" w:firstLineChars="200"/>
        <w:outlineLvl w:val="2"/>
        <w:rPr>
          <w:rFonts w:eastAsia="仿宋_GB2312" w:cs="仿宋_GB2312"/>
          <w:color w:val="000000" w:themeColor="text1"/>
          <w:sz w:val="32"/>
          <w:szCs w:val="32"/>
          <w:lang w:val="zh-CN"/>
          <w14:textFill>
            <w14:solidFill>
              <w14:schemeClr w14:val="tx1"/>
            </w14:solidFill>
          </w14:textFill>
        </w:rPr>
      </w:pPr>
      <w:bookmarkStart w:id="222" w:name="_Toc1724"/>
      <w:r>
        <w:rPr>
          <w:rFonts w:hint="eastAsia" w:ascii="楷体" w:hAnsi="楷体" w:eastAsia="楷体" w:cs="楷体"/>
          <w:b/>
          <w:bCs/>
          <w:color w:val="000000" w:themeColor="text1"/>
          <w:sz w:val="32"/>
          <w:szCs w:val="32"/>
          <w:lang w:val="zh-CN"/>
          <w14:textFill>
            <w14:solidFill>
              <w14:schemeClr w14:val="tx1"/>
            </w14:solidFill>
          </w14:textFill>
        </w:rPr>
        <w:t>(三)相关建议</w:t>
      </w:r>
      <w:bookmarkEnd w:id="222"/>
    </w:p>
    <w:p w14:paraId="737E8F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强化转移支付资金的使用和管理，按时对转移支付资金的绩效目标自评报告进行公开，广泛接受社会监督。</w:t>
      </w:r>
    </w:p>
    <w:p w14:paraId="3A7F7B9D">
      <w:pPr>
        <w:rPr>
          <w:rFonts w:hint="eastAsia"/>
        </w:rPr>
      </w:pPr>
      <w:r>
        <w:rPr>
          <w:rFonts w:hint="eastAsia"/>
        </w:rPr>
        <w:br w:type="page"/>
      </w:r>
    </w:p>
    <w:p w14:paraId="4EFB347D">
      <w:pPr>
        <w:spacing w:before="103" w:line="219" w:lineRule="auto"/>
        <w:jc w:val="center"/>
        <w:rPr>
          <w:rFonts w:ascii="宋体" w:hAnsi="宋体" w:cs="宋体"/>
          <w:sz w:val="34"/>
          <w:szCs w:val="34"/>
        </w:rPr>
      </w:pPr>
      <w:r>
        <w:rPr>
          <w:rFonts w:hint="eastAsia" w:ascii="方正小标宋简体" w:hAnsi="方正小标宋简体" w:eastAsia="方正小标宋简体" w:cs="方正小标宋简体"/>
          <w:spacing w:val="-28"/>
          <w:sz w:val="44"/>
          <w:szCs w:val="44"/>
        </w:rPr>
        <w:t>广元市昭化区财政项目(政策)支出绩效自评表</w:t>
      </w:r>
    </w:p>
    <w:p w14:paraId="3EACBCED">
      <w:pPr>
        <w:spacing w:before="86" w:line="219" w:lineRule="auto"/>
        <w:ind w:left="3894"/>
        <w:rPr>
          <w:rFonts w:ascii="宋体" w:hAnsi="宋体" w:cs="宋体"/>
          <w:sz w:val="22"/>
          <w:szCs w:val="22"/>
        </w:rPr>
      </w:pPr>
      <w:r>
        <w:rPr>
          <w:rFonts w:ascii="宋体" w:hAnsi="宋体" w:cs="宋体"/>
          <w:spacing w:val="-14"/>
          <w:sz w:val="22"/>
          <w:szCs w:val="22"/>
        </w:rPr>
        <w:t>(</w:t>
      </w:r>
      <w:r>
        <w:rPr>
          <w:rFonts w:hint="eastAsia" w:ascii="宋体" w:hAnsi="宋体" w:cs="宋体"/>
          <w:spacing w:val="32"/>
          <w:sz w:val="22"/>
          <w:szCs w:val="22"/>
        </w:rPr>
        <w:t>2022</w:t>
      </w:r>
      <w:r>
        <w:rPr>
          <w:rFonts w:ascii="宋体" w:hAnsi="宋体" w:cs="宋体"/>
          <w:spacing w:val="-14"/>
          <w:sz w:val="22"/>
          <w:szCs w:val="22"/>
        </w:rPr>
        <w:t>年度)</w:t>
      </w:r>
    </w:p>
    <w:p w14:paraId="10F16935">
      <w:pPr>
        <w:spacing w:line="134" w:lineRule="exact"/>
      </w:pPr>
    </w:p>
    <w:tbl>
      <w:tblPr>
        <w:tblStyle w:val="39"/>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754F8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5F66979F">
            <w:pPr>
              <w:spacing w:before="82" w:line="220" w:lineRule="auto"/>
              <w:ind w:left="75"/>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项目(政策)名称</w:t>
            </w:r>
          </w:p>
        </w:tc>
        <w:tc>
          <w:tcPr>
            <w:tcW w:w="7650" w:type="dxa"/>
            <w:gridSpan w:val="6"/>
          </w:tcPr>
          <w:p w14:paraId="1E637075">
            <w:pPr>
              <w:rPr>
                <w:rFonts w:hint="eastAsia" w:ascii="仿宋_GB2312" w:hAnsi="仿宋_GB2312" w:eastAsia="仿宋_GB2312" w:cs="仿宋_GB2312"/>
                <w:sz w:val="21"/>
                <w:szCs w:val="21"/>
              </w:rPr>
            </w:pPr>
            <w:r>
              <w:rPr>
                <w:rFonts w:hint="eastAsia" w:ascii="仿宋_GB2312" w:hAnsi="仿宋_GB2312" w:eastAsia="仿宋_GB2312" w:cs="仿宋_GB2312"/>
                <w:color w:val="000000" w:themeColor="text1"/>
                <w:sz w:val="21"/>
                <w:szCs w:val="21"/>
                <w14:textFill>
                  <w14:solidFill>
                    <w14:schemeClr w14:val="tx1"/>
                  </w14:solidFill>
                </w14:textFill>
              </w:rPr>
              <w:t>2022年中央纪检监察转移支付资金</w:t>
            </w:r>
          </w:p>
        </w:tc>
      </w:tr>
      <w:tr w14:paraId="7179C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6664C065">
            <w:pPr>
              <w:spacing w:before="78" w:line="219" w:lineRule="auto"/>
              <w:ind w:left="40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主管部门</w:t>
            </w:r>
          </w:p>
        </w:tc>
        <w:tc>
          <w:tcPr>
            <w:tcW w:w="4230" w:type="dxa"/>
            <w:gridSpan w:val="4"/>
          </w:tcPr>
          <w:p w14:paraId="02D08FB5">
            <w:pPr>
              <w:rPr>
                <w:rFonts w:hint="eastAsia" w:ascii="仿宋_GB2312" w:hAnsi="仿宋_GB2312" w:eastAsia="仿宋_GB2312" w:cs="仿宋_GB2312"/>
                <w:sz w:val="21"/>
                <w:szCs w:val="21"/>
              </w:rPr>
            </w:pPr>
            <w:r>
              <w:rPr>
                <w:rFonts w:hint="eastAsia" w:ascii="仿宋_GB2312" w:hAnsi="仿宋_GB2312" w:eastAsia="仿宋_GB2312" w:cs="仿宋_GB2312"/>
                <w:color w:val="000000" w:themeColor="text1"/>
                <w:sz w:val="21"/>
                <w:szCs w:val="21"/>
                <w14:textFill>
                  <w14:solidFill>
                    <w14:schemeClr w14:val="tx1"/>
                  </w14:solidFill>
                </w14:textFill>
              </w:rPr>
              <w:t>广元市昭化区纪委监委</w:t>
            </w:r>
          </w:p>
        </w:tc>
        <w:tc>
          <w:tcPr>
            <w:tcW w:w="951" w:type="dxa"/>
          </w:tcPr>
          <w:p w14:paraId="3E4C0C9F">
            <w:pPr>
              <w:spacing w:before="78" w:line="219"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实施单位</w:t>
            </w:r>
          </w:p>
        </w:tc>
        <w:tc>
          <w:tcPr>
            <w:tcW w:w="2469" w:type="dxa"/>
          </w:tcPr>
          <w:p w14:paraId="226B9D10">
            <w:pPr>
              <w:spacing w:before="78" w:line="219"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lang w:eastAsia="zh-CN"/>
              </w:rPr>
              <w:t>磨滩</w:t>
            </w:r>
            <w:r>
              <w:rPr>
                <w:rFonts w:hint="eastAsia" w:ascii="仿宋_GB2312" w:hAnsi="仿宋_GB2312" w:eastAsia="仿宋_GB2312" w:cs="仿宋_GB2312"/>
                <w:spacing w:val="4"/>
                <w:sz w:val="21"/>
                <w:szCs w:val="21"/>
              </w:rPr>
              <w:t>镇人民政府</w:t>
            </w:r>
          </w:p>
        </w:tc>
      </w:tr>
      <w:tr w14:paraId="08D9B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0970329">
            <w:pPr>
              <w:spacing w:line="279" w:lineRule="auto"/>
              <w:rPr>
                <w:rFonts w:hint="eastAsia" w:ascii="仿宋_GB2312" w:hAnsi="仿宋_GB2312" w:eastAsia="仿宋_GB2312" w:cs="仿宋_GB2312"/>
                <w:sz w:val="21"/>
                <w:szCs w:val="21"/>
              </w:rPr>
            </w:pPr>
          </w:p>
          <w:p w14:paraId="638C633F">
            <w:pPr>
              <w:spacing w:line="279" w:lineRule="auto"/>
              <w:rPr>
                <w:rFonts w:hint="eastAsia" w:ascii="仿宋_GB2312" w:hAnsi="仿宋_GB2312" w:eastAsia="仿宋_GB2312" w:cs="仿宋_GB2312"/>
                <w:sz w:val="21"/>
                <w:szCs w:val="21"/>
              </w:rPr>
            </w:pPr>
          </w:p>
          <w:p w14:paraId="4FF38F99">
            <w:pPr>
              <w:spacing w:line="279" w:lineRule="auto"/>
              <w:rPr>
                <w:rFonts w:hint="eastAsia" w:ascii="仿宋_GB2312" w:hAnsi="仿宋_GB2312" w:eastAsia="仿宋_GB2312" w:cs="仿宋_GB2312"/>
                <w:sz w:val="21"/>
                <w:szCs w:val="21"/>
              </w:rPr>
            </w:pPr>
          </w:p>
          <w:p w14:paraId="01CE22DA">
            <w:pPr>
              <w:spacing w:line="279" w:lineRule="auto"/>
              <w:rPr>
                <w:rFonts w:hint="eastAsia" w:ascii="仿宋_GB2312" w:hAnsi="仿宋_GB2312" w:eastAsia="仿宋_GB2312" w:cs="仿宋_GB2312"/>
                <w:sz w:val="21"/>
                <w:szCs w:val="21"/>
              </w:rPr>
            </w:pPr>
          </w:p>
          <w:p w14:paraId="227BBE45">
            <w:pPr>
              <w:keepNext w:val="0"/>
              <w:keepLines w:val="0"/>
              <w:pageBreakBefore w:val="0"/>
              <w:widowControl w:val="0"/>
              <w:kinsoku/>
              <w:wordWrap/>
              <w:overflowPunct/>
              <w:topLinePunct w:val="0"/>
              <w:autoSpaceDE/>
              <w:autoSpaceDN/>
              <w:bidi w:val="0"/>
              <w:adjustRightInd/>
              <w:snapToGrid/>
              <w:spacing w:line="560" w:lineRule="exact"/>
              <w:ind w:left="0" w:right="0" w:firstLine="0"/>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项目(政策)资金</w:t>
            </w:r>
            <w:r>
              <w:rPr>
                <w:rFonts w:hint="eastAsia" w:ascii="仿宋_GB2312" w:hAnsi="仿宋_GB2312" w:eastAsia="仿宋_GB2312" w:cs="仿宋_GB2312"/>
                <w:spacing w:val="9"/>
                <w:sz w:val="21"/>
                <w:szCs w:val="21"/>
              </w:rPr>
              <w:t>(万元)</w:t>
            </w:r>
          </w:p>
        </w:tc>
        <w:tc>
          <w:tcPr>
            <w:tcW w:w="1777" w:type="dxa"/>
            <w:gridSpan w:val="2"/>
          </w:tcPr>
          <w:p w14:paraId="2CDE558C">
            <w:pPr>
              <w:rPr>
                <w:rFonts w:hint="eastAsia" w:ascii="仿宋_GB2312" w:hAnsi="仿宋_GB2312" w:eastAsia="仿宋_GB2312" w:cs="仿宋_GB2312"/>
                <w:sz w:val="21"/>
                <w:szCs w:val="21"/>
              </w:rPr>
            </w:pPr>
          </w:p>
        </w:tc>
        <w:tc>
          <w:tcPr>
            <w:tcW w:w="1308" w:type="dxa"/>
          </w:tcPr>
          <w:p w14:paraId="233B1535">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年初预算数</w:t>
            </w:r>
          </w:p>
        </w:tc>
        <w:tc>
          <w:tcPr>
            <w:tcW w:w="1145" w:type="dxa"/>
          </w:tcPr>
          <w:p w14:paraId="0256BB1C">
            <w:pPr>
              <w:spacing w:before="98"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全年预算数</w:t>
            </w:r>
          </w:p>
        </w:tc>
        <w:tc>
          <w:tcPr>
            <w:tcW w:w="951" w:type="dxa"/>
          </w:tcPr>
          <w:p w14:paraId="61D98269">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全年执行数</w:t>
            </w:r>
          </w:p>
        </w:tc>
        <w:tc>
          <w:tcPr>
            <w:tcW w:w="2469" w:type="dxa"/>
          </w:tcPr>
          <w:p w14:paraId="06C62A58">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执行率</w:t>
            </w:r>
          </w:p>
        </w:tc>
      </w:tr>
      <w:tr w14:paraId="3B0C2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3A8D14B">
            <w:pPr>
              <w:rPr>
                <w:rFonts w:hint="eastAsia" w:ascii="仿宋_GB2312" w:hAnsi="仿宋_GB2312" w:eastAsia="仿宋_GB2312" w:cs="仿宋_GB2312"/>
                <w:sz w:val="21"/>
                <w:szCs w:val="21"/>
              </w:rPr>
            </w:pPr>
          </w:p>
        </w:tc>
        <w:tc>
          <w:tcPr>
            <w:tcW w:w="1777" w:type="dxa"/>
            <w:gridSpan w:val="2"/>
          </w:tcPr>
          <w:p w14:paraId="72B87282">
            <w:pPr>
              <w:spacing w:before="7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年度资金总额</w:t>
            </w:r>
          </w:p>
        </w:tc>
        <w:tc>
          <w:tcPr>
            <w:tcW w:w="1308" w:type="dxa"/>
          </w:tcPr>
          <w:p w14:paraId="2876BBA4">
            <w:pPr>
              <w:spacing w:before="77" w:line="219"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4.6</w:t>
            </w:r>
          </w:p>
        </w:tc>
        <w:tc>
          <w:tcPr>
            <w:tcW w:w="1145" w:type="dxa"/>
          </w:tcPr>
          <w:p w14:paraId="7B3AD72E">
            <w:pPr>
              <w:spacing w:before="77" w:line="219"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4.6</w:t>
            </w:r>
          </w:p>
        </w:tc>
        <w:tc>
          <w:tcPr>
            <w:tcW w:w="951" w:type="dxa"/>
          </w:tcPr>
          <w:p w14:paraId="566E1E9A">
            <w:pPr>
              <w:spacing w:before="77"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val="en-US" w:eastAsia="zh-CN"/>
              </w:rPr>
              <w:t>0</w:t>
            </w:r>
          </w:p>
        </w:tc>
        <w:tc>
          <w:tcPr>
            <w:tcW w:w="2469" w:type="dxa"/>
            <w:vAlign w:val="center"/>
          </w:tcPr>
          <w:p w14:paraId="64A7FAC9">
            <w:pPr>
              <w:spacing w:before="77" w:line="219" w:lineRule="auto"/>
              <w:jc w:val="center"/>
              <w:rPr>
                <w:rFonts w:hint="eastAsia" w:ascii="仿宋_GB2312" w:hAnsi="仿宋_GB2312" w:eastAsia="仿宋_GB2312" w:cs="仿宋_GB2312"/>
                <w:spacing w:val="-2"/>
                <w:sz w:val="21"/>
                <w:szCs w:val="21"/>
                <w:lang w:val="en-US" w:eastAsia="zh-CN"/>
              </w:rPr>
            </w:pPr>
            <w:r>
              <w:rPr>
                <w:rFonts w:hint="eastAsia" w:ascii="仿宋_GB2312" w:hAnsi="仿宋_GB2312" w:eastAsia="仿宋_GB2312" w:cs="仿宋_GB2312"/>
                <w:spacing w:val="-2"/>
                <w:sz w:val="21"/>
                <w:szCs w:val="21"/>
                <w:lang w:val="en-US" w:eastAsia="zh-CN"/>
              </w:rPr>
              <w:t>0%</w:t>
            </w:r>
          </w:p>
        </w:tc>
      </w:tr>
      <w:tr w14:paraId="2DF8A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23A02548">
            <w:pPr>
              <w:rPr>
                <w:rFonts w:hint="eastAsia" w:ascii="仿宋_GB2312" w:hAnsi="仿宋_GB2312" w:eastAsia="仿宋_GB2312" w:cs="仿宋_GB2312"/>
                <w:sz w:val="21"/>
                <w:szCs w:val="21"/>
              </w:rPr>
            </w:pPr>
          </w:p>
        </w:tc>
        <w:tc>
          <w:tcPr>
            <w:tcW w:w="1777" w:type="dxa"/>
            <w:gridSpan w:val="2"/>
          </w:tcPr>
          <w:p w14:paraId="20729F48">
            <w:pPr>
              <w:spacing w:before="10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(一)财政拨款小计</w:t>
            </w:r>
          </w:p>
        </w:tc>
        <w:tc>
          <w:tcPr>
            <w:tcW w:w="1308" w:type="dxa"/>
          </w:tcPr>
          <w:p w14:paraId="70E07091">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4.6</w:t>
            </w:r>
          </w:p>
        </w:tc>
        <w:tc>
          <w:tcPr>
            <w:tcW w:w="1145" w:type="dxa"/>
          </w:tcPr>
          <w:p w14:paraId="24C16F0A">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4.6</w:t>
            </w:r>
          </w:p>
        </w:tc>
        <w:tc>
          <w:tcPr>
            <w:tcW w:w="951" w:type="dxa"/>
          </w:tcPr>
          <w:p w14:paraId="6A7A9F0C">
            <w:pPr>
              <w:spacing w:before="77" w:line="219"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0</w:t>
            </w:r>
          </w:p>
        </w:tc>
        <w:tc>
          <w:tcPr>
            <w:tcW w:w="2469" w:type="dxa"/>
            <w:vAlign w:val="center"/>
          </w:tcPr>
          <w:p w14:paraId="52D61EA7">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en-US" w:eastAsia="zh-CN"/>
              </w:rPr>
              <w:t>0%</w:t>
            </w:r>
          </w:p>
        </w:tc>
      </w:tr>
      <w:tr w14:paraId="4D84B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3E7278C">
            <w:pPr>
              <w:rPr>
                <w:rFonts w:hint="eastAsia" w:ascii="仿宋_GB2312" w:hAnsi="仿宋_GB2312" w:eastAsia="仿宋_GB2312" w:cs="仿宋_GB2312"/>
                <w:sz w:val="21"/>
                <w:szCs w:val="21"/>
              </w:rPr>
            </w:pPr>
          </w:p>
        </w:tc>
        <w:tc>
          <w:tcPr>
            <w:tcW w:w="1777" w:type="dxa"/>
            <w:gridSpan w:val="2"/>
          </w:tcPr>
          <w:p w14:paraId="7527C0A4">
            <w:pPr>
              <w:spacing w:before="80"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1.一般公共预算</w:t>
            </w:r>
          </w:p>
        </w:tc>
        <w:tc>
          <w:tcPr>
            <w:tcW w:w="1308" w:type="dxa"/>
          </w:tcPr>
          <w:p w14:paraId="36F7B8ED">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4.6</w:t>
            </w:r>
          </w:p>
        </w:tc>
        <w:tc>
          <w:tcPr>
            <w:tcW w:w="1145" w:type="dxa"/>
          </w:tcPr>
          <w:p w14:paraId="5EFA78DC">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4.6</w:t>
            </w:r>
          </w:p>
        </w:tc>
        <w:tc>
          <w:tcPr>
            <w:tcW w:w="951" w:type="dxa"/>
          </w:tcPr>
          <w:p w14:paraId="23F8F547">
            <w:pPr>
              <w:spacing w:before="77" w:line="219"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0</w:t>
            </w:r>
          </w:p>
        </w:tc>
        <w:tc>
          <w:tcPr>
            <w:tcW w:w="2469" w:type="dxa"/>
            <w:vAlign w:val="center"/>
          </w:tcPr>
          <w:p w14:paraId="73508CE6">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en-US" w:eastAsia="zh-CN"/>
              </w:rPr>
              <w:t>0%</w:t>
            </w:r>
          </w:p>
        </w:tc>
      </w:tr>
      <w:tr w14:paraId="71D24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5F8AFD34">
            <w:pPr>
              <w:rPr>
                <w:rFonts w:hint="eastAsia" w:ascii="仿宋_GB2312" w:hAnsi="仿宋_GB2312" w:eastAsia="仿宋_GB2312" w:cs="仿宋_GB2312"/>
                <w:sz w:val="21"/>
                <w:szCs w:val="21"/>
              </w:rPr>
            </w:pPr>
          </w:p>
        </w:tc>
        <w:tc>
          <w:tcPr>
            <w:tcW w:w="1777" w:type="dxa"/>
            <w:gridSpan w:val="2"/>
          </w:tcPr>
          <w:p w14:paraId="2442C08F">
            <w:pPr>
              <w:spacing w:before="78"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2.政府性基金</w:t>
            </w:r>
          </w:p>
        </w:tc>
        <w:tc>
          <w:tcPr>
            <w:tcW w:w="1308" w:type="dxa"/>
          </w:tcPr>
          <w:p w14:paraId="5B7E7D86">
            <w:pPr>
              <w:rPr>
                <w:rFonts w:hint="eastAsia" w:ascii="仿宋_GB2312" w:hAnsi="仿宋_GB2312" w:eastAsia="仿宋_GB2312" w:cs="仿宋_GB2312"/>
                <w:sz w:val="21"/>
                <w:szCs w:val="21"/>
              </w:rPr>
            </w:pPr>
          </w:p>
        </w:tc>
        <w:tc>
          <w:tcPr>
            <w:tcW w:w="1145" w:type="dxa"/>
          </w:tcPr>
          <w:p w14:paraId="06BEA467">
            <w:pPr>
              <w:rPr>
                <w:rFonts w:hint="eastAsia" w:ascii="仿宋_GB2312" w:hAnsi="仿宋_GB2312" w:eastAsia="仿宋_GB2312" w:cs="仿宋_GB2312"/>
                <w:sz w:val="21"/>
                <w:szCs w:val="21"/>
              </w:rPr>
            </w:pPr>
          </w:p>
        </w:tc>
        <w:tc>
          <w:tcPr>
            <w:tcW w:w="951" w:type="dxa"/>
          </w:tcPr>
          <w:p w14:paraId="23F6FCC5">
            <w:pPr>
              <w:rPr>
                <w:rFonts w:hint="eastAsia" w:ascii="仿宋_GB2312" w:hAnsi="仿宋_GB2312" w:eastAsia="仿宋_GB2312" w:cs="仿宋_GB2312"/>
                <w:sz w:val="21"/>
                <w:szCs w:val="21"/>
              </w:rPr>
            </w:pPr>
          </w:p>
        </w:tc>
        <w:tc>
          <w:tcPr>
            <w:tcW w:w="2469" w:type="dxa"/>
          </w:tcPr>
          <w:p w14:paraId="066BC22D">
            <w:pPr>
              <w:rPr>
                <w:rFonts w:hint="eastAsia" w:ascii="仿宋_GB2312" w:hAnsi="仿宋_GB2312" w:eastAsia="仿宋_GB2312" w:cs="仿宋_GB2312"/>
                <w:sz w:val="21"/>
                <w:szCs w:val="21"/>
              </w:rPr>
            </w:pPr>
          </w:p>
        </w:tc>
      </w:tr>
      <w:tr w14:paraId="285B9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69B4449">
            <w:pPr>
              <w:rPr>
                <w:rFonts w:hint="eastAsia" w:ascii="仿宋_GB2312" w:hAnsi="仿宋_GB2312" w:eastAsia="仿宋_GB2312" w:cs="仿宋_GB2312"/>
                <w:sz w:val="21"/>
                <w:szCs w:val="21"/>
              </w:rPr>
            </w:pPr>
          </w:p>
        </w:tc>
        <w:tc>
          <w:tcPr>
            <w:tcW w:w="1777" w:type="dxa"/>
            <w:gridSpan w:val="2"/>
          </w:tcPr>
          <w:p w14:paraId="141B318D">
            <w:pPr>
              <w:spacing w:before="11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3.国有资本经营预算</w:t>
            </w:r>
          </w:p>
        </w:tc>
        <w:tc>
          <w:tcPr>
            <w:tcW w:w="1308" w:type="dxa"/>
          </w:tcPr>
          <w:p w14:paraId="61E48A9C">
            <w:pPr>
              <w:rPr>
                <w:rFonts w:hint="eastAsia" w:ascii="仿宋_GB2312" w:hAnsi="仿宋_GB2312" w:eastAsia="仿宋_GB2312" w:cs="仿宋_GB2312"/>
                <w:sz w:val="21"/>
                <w:szCs w:val="21"/>
              </w:rPr>
            </w:pPr>
          </w:p>
        </w:tc>
        <w:tc>
          <w:tcPr>
            <w:tcW w:w="1145" w:type="dxa"/>
          </w:tcPr>
          <w:p w14:paraId="335E08FB">
            <w:pPr>
              <w:rPr>
                <w:rFonts w:hint="eastAsia" w:ascii="仿宋_GB2312" w:hAnsi="仿宋_GB2312" w:eastAsia="仿宋_GB2312" w:cs="仿宋_GB2312"/>
                <w:sz w:val="21"/>
                <w:szCs w:val="21"/>
              </w:rPr>
            </w:pPr>
          </w:p>
        </w:tc>
        <w:tc>
          <w:tcPr>
            <w:tcW w:w="951" w:type="dxa"/>
          </w:tcPr>
          <w:p w14:paraId="6FE0E816">
            <w:pPr>
              <w:rPr>
                <w:rFonts w:hint="eastAsia" w:ascii="仿宋_GB2312" w:hAnsi="仿宋_GB2312" w:eastAsia="仿宋_GB2312" w:cs="仿宋_GB2312"/>
                <w:sz w:val="21"/>
                <w:szCs w:val="21"/>
              </w:rPr>
            </w:pPr>
          </w:p>
        </w:tc>
        <w:tc>
          <w:tcPr>
            <w:tcW w:w="2469" w:type="dxa"/>
          </w:tcPr>
          <w:p w14:paraId="09D83A92">
            <w:pPr>
              <w:rPr>
                <w:rFonts w:hint="eastAsia" w:ascii="仿宋_GB2312" w:hAnsi="仿宋_GB2312" w:eastAsia="仿宋_GB2312" w:cs="仿宋_GB2312"/>
                <w:sz w:val="21"/>
                <w:szCs w:val="21"/>
              </w:rPr>
            </w:pPr>
          </w:p>
        </w:tc>
      </w:tr>
      <w:tr w14:paraId="3E232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2C0F66CB">
            <w:pPr>
              <w:rPr>
                <w:rFonts w:hint="eastAsia" w:ascii="仿宋_GB2312" w:hAnsi="仿宋_GB2312" w:eastAsia="仿宋_GB2312" w:cs="仿宋_GB2312"/>
                <w:sz w:val="21"/>
                <w:szCs w:val="21"/>
              </w:rPr>
            </w:pPr>
          </w:p>
        </w:tc>
        <w:tc>
          <w:tcPr>
            <w:tcW w:w="1777" w:type="dxa"/>
            <w:gridSpan w:val="2"/>
          </w:tcPr>
          <w:p w14:paraId="56E40256">
            <w:pPr>
              <w:spacing w:before="82"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4.社保基金</w:t>
            </w:r>
          </w:p>
        </w:tc>
        <w:tc>
          <w:tcPr>
            <w:tcW w:w="1308" w:type="dxa"/>
          </w:tcPr>
          <w:p w14:paraId="68D8FC13">
            <w:pPr>
              <w:rPr>
                <w:rFonts w:hint="eastAsia" w:ascii="仿宋_GB2312" w:hAnsi="仿宋_GB2312" w:eastAsia="仿宋_GB2312" w:cs="仿宋_GB2312"/>
                <w:sz w:val="21"/>
                <w:szCs w:val="21"/>
              </w:rPr>
            </w:pPr>
          </w:p>
        </w:tc>
        <w:tc>
          <w:tcPr>
            <w:tcW w:w="1145" w:type="dxa"/>
          </w:tcPr>
          <w:p w14:paraId="6349EDD6">
            <w:pPr>
              <w:rPr>
                <w:rFonts w:hint="eastAsia" w:ascii="仿宋_GB2312" w:hAnsi="仿宋_GB2312" w:eastAsia="仿宋_GB2312" w:cs="仿宋_GB2312"/>
                <w:sz w:val="21"/>
                <w:szCs w:val="21"/>
              </w:rPr>
            </w:pPr>
          </w:p>
        </w:tc>
        <w:tc>
          <w:tcPr>
            <w:tcW w:w="951" w:type="dxa"/>
          </w:tcPr>
          <w:p w14:paraId="4FB0AEF6">
            <w:pPr>
              <w:rPr>
                <w:rFonts w:hint="eastAsia" w:ascii="仿宋_GB2312" w:hAnsi="仿宋_GB2312" w:eastAsia="仿宋_GB2312" w:cs="仿宋_GB2312"/>
                <w:sz w:val="21"/>
                <w:szCs w:val="21"/>
              </w:rPr>
            </w:pPr>
          </w:p>
        </w:tc>
        <w:tc>
          <w:tcPr>
            <w:tcW w:w="2469" w:type="dxa"/>
          </w:tcPr>
          <w:p w14:paraId="762B0562">
            <w:pPr>
              <w:rPr>
                <w:rFonts w:hint="eastAsia" w:ascii="仿宋_GB2312" w:hAnsi="仿宋_GB2312" w:eastAsia="仿宋_GB2312" w:cs="仿宋_GB2312"/>
                <w:sz w:val="21"/>
                <w:szCs w:val="21"/>
              </w:rPr>
            </w:pPr>
          </w:p>
        </w:tc>
      </w:tr>
      <w:tr w14:paraId="71998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64C4264B">
            <w:pPr>
              <w:rPr>
                <w:rFonts w:hint="eastAsia" w:ascii="仿宋_GB2312" w:hAnsi="仿宋_GB2312" w:eastAsia="仿宋_GB2312" w:cs="仿宋_GB2312"/>
                <w:sz w:val="21"/>
                <w:szCs w:val="21"/>
              </w:rPr>
            </w:pPr>
          </w:p>
        </w:tc>
        <w:tc>
          <w:tcPr>
            <w:tcW w:w="1777" w:type="dxa"/>
            <w:gridSpan w:val="2"/>
          </w:tcPr>
          <w:p w14:paraId="0274E8F7">
            <w:pPr>
              <w:spacing w:before="112" w:line="220"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(二)其他资金</w:t>
            </w:r>
          </w:p>
        </w:tc>
        <w:tc>
          <w:tcPr>
            <w:tcW w:w="1308" w:type="dxa"/>
          </w:tcPr>
          <w:p w14:paraId="664E9BDE">
            <w:pPr>
              <w:rPr>
                <w:rFonts w:hint="eastAsia" w:ascii="仿宋_GB2312" w:hAnsi="仿宋_GB2312" w:eastAsia="仿宋_GB2312" w:cs="仿宋_GB2312"/>
                <w:sz w:val="21"/>
                <w:szCs w:val="21"/>
              </w:rPr>
            </w:pPr>
          </w:p>
        </w:tc>
        <w:tc>
          <w:tcPr>
            <w:tcW w:w="1145" w:type="dxa"/>
          </w:tcPr>
          <w:p w14:paraId="5217E3FB">
            <w:pPr>
              <w:rPr>
                <w:rFonts w:hint="eastAsia" w:ascii="仿宋_GB2312" w:hAnsi="仿宋_GB2312" w:eastAsia="仿宋_GB2312" w:cs="仿宋_GB2312"/>
                <w:sz w:val="21"/>
                <w:szCs w:val="21"/>
              </w:rPr>
            </w:pPr>
          </w:p>
        </w:tc>
        <w:tc>
          <w:tcPr>
            <w:tcW w:w="951" w:type="dxa"/>
          </w:tcPr>
          <w:p w14:paraId="7A4E9519">
            <w:pPr>
              <w:rPr>
                <w:rFonts w:hint="eastAsia" w:ascii="仿宋_GB2312" w:hAnsi="仿宋_GB2312" w:eastAsia="仿宋_GB2312" w:cs="仿宋_GB2312"/>
                <w:sz w:val="21"/>
                <w:szCs w:val="21"/>
              </w:rPr>
            </w:pPr>
          </w:p>
        </w:tc>
        <w:tc>
          <w:tcPr>
            <w:tcW w:w="2469" w:type="dxa"/>
          </w:tcPr>
          <w:p w14:paraId="53E53D06">
            <w:pPr>
              <w:rPr>
                <w:rFonts w:hint="eastAsia" w:ascii="仿宋_GB2312" w:hAnsi="仿宋_GB2312" w:eastAsia="仿宋_GB2312" w:cs="仿宋_GB2312"/>
                <w:sz w:val="21"/>
                <w:szCs w:val="21"/>
              </w:rPr>
            </w:pPr>
          </w:p>
        </w:tc>
      </w:tr>
      <w:tr w14:paraId="2DD6A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164AE9C1">
            <w:pPr>
              <w:spacing w:line="385" w:lineRule="auto"/>
              <w:rPr>
                <w:rFonts w:hint="eastAsia" w:ascii="仿宋_GB2312" w:hAnsi="仿宋_GB2312" w:eastAsia="仿宋_GB2312" w:cs="仿宋_GB2312"/>
                <w:sz w:val="21"/>
                <w:szCs w:val="21"/>
              </w:rPr>
            </w:pPr>
          </w:p>
          <w:p w14:paraId="37426F35">
            <w:pPr>
              <w:spacing w:before="55" w:line="219" w:lineRule="auto"/>
              <w:ind w:left="194" w:right="2" w:hanging="139"/>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年度总体</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6"/>
                <w:sz w:val="21"/>
                <w:szCs w:val="21"/>
              </w:rPr>
              <w:t>目标</w:t>
            </w:r>
          </w:p>
        </w:tc>
        <w:tc>
          <w:tcPr>
            <w:tcW w:w="5933" w:type="dxa"/>
            <w:gridSpan w:val="6"/>
          </w:tcPr>
          <w:p w14:paraId="76CE09D0">
            <w:pPr>
              <w:spacing w:before="183"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预期目标</w:t>
            </w:r>
          </w:p>
        </w:tc>
        <w:tc>
          <w:tcPr>
            <w:tcW w:w="2469" w:type="dxa"/>
          </w:tcPr>
          <w:p w14:paraId="61AF3880">
            <w:pPr>
              <w:spacing w:before="183" w:line="22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完成情况</w:t>
            </w:r>
          </w:p>
        </w:tc>
      </w:tr>
      <w:tr w14:paraId="63CD2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742B8B90">
            <w:pPr>
              <w:rPr>
                <w:rFonts w:hint="eastAsia" w:ascii="仿宋_GB2312" w:hAnsi="仿宋_GB2312" w:eastAsia="仿宋_GB2312" w:cs="仿宋_GB2312"/>
                <w:sz w:val="21"/>
                <w:szCs w:val="21"/>
              </w:rPr>
            </w:pPr>
          </w:p>
        </w:tc>
        <w:tc>
          <w:tcPr>
            <w:tcW w:w="5933" w:type="dxa"/>
            <w:gridSpan w:val="6"/>
            <w:vAlign w:val="center"/>
          </w:tcPr>
          <w:p w14:paraId="4A9B7D1A">
            <w:pP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lang w:val="zh-CN"/>
              </w:rPr>
              <w:t xml:space="preserve">    中央纪检监察转移支付资金，主要用于强化监督执纪问责和监督调查处置职能，围绕现代化建设大局发挥监督保障作用，以便更好的服务民生大众。</w:t>
            </w:r>
          </w:p>
        </w:tc>
        <w:tc>
          <w:tcPr>
            <w:tcW w:w="2469" w:type="dxa"/>
            <w:vAlign w:val="center"/>
          </w:tcPr>
          <w:p w14:paraId="1232758F">
            <w:pP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lang w:val="zh-CN"/>
              </w:rPr>
              <w:t xml:space="preserve">   中央纪检监察转移支付资金，主要用于强化监督执纪问责和监督调查处置职能，围绕现代化建设大局发挥监督保障作用，以便更好的服务民生大众。</w:t>
            </w:r>
          </w:p>
          <w:p w14:paraId="0FAC1977">
            <w:pPr>
              <w:spacing w:before="183" w:line="220" w:lineRule="auto"/>
              <w:rPr>
                <w:rFonts w:hint="eastAsia" w:ascii="仿宋_GB2312" w:hAnsi="仿宋_GB2312" w:eastAsia="仿宋_GB2312" w:cs="仿宋_GB2312"/>
                <w:spacing w:val="-2"/>
                <w:sz w:val="21"/>
                <w:szCs w:val="21"/>
              </w:rPr>
            </w:pPr>
          </w:p>
        </w:tc>
      </w:tr>
      <w:tr w14:paraId="6A3C0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7B74D45A">
            <w:pPr>
              <w:spacing w:line="253" w:lineRule="auto"/>
              <w:jc w:val="center"/>
              <w:rPr>
                <w:rFonts w:hint="eastAsia" w:ascii="仿宋_GB2312" w:hAnsi="仿宋_GB2312" w:eastAsia="仿宋_GB2312" w:cs="仿宋_GB2312"/>
                <w:sz w:val="21"/>
                <w:szCs w:val="21"/>
              </w:rPr>
            </w:pPr>
          </w:p>
          <w:p w14:paraId="154E1EA4">
            <w:pPr>
              <w:spacing w:line="253" w:lineRule="auto"/>
              <w:jc w:val="center"/>
              <w:rPr>
                <w:rFonts w:hint="eastAsia" w:ascii="仿宋_GB2312" w:hAnsi="仿宋_GB2312" w:eastAsia="仿宋_GB2312" w:cs="仿宋_GB2312"/>
                <w:sz w:val="21"/>
                <w:szCs w:val="21"/>
              </w:rPr>
            </w:pPr>
          </w:p>
          <w:p w14:paraId="5A06AA82">
            <w:pPr>
              <w:spacing w:line="253" w:lineRule="auto"/>
              <w:jc w:val="center"/>
              <w:rPr>
                <w:rFonts w:hint="eastAsia" w:ascii="仿宋_GB2312" w:hAnsi="仿宋_GB2312" w:eastAsia="仿宋_GB2312" w:cs="仿宋_GB2312"/>
                <w:sz w:val="21"/>
                <w:szCs w:val="21"/>
              </w:rPr>
            </w:pPr>
          </w:p>
          <w:p w14:paraId="7EE8F338">
            <w:pPr>
              <w:spacing w:line="254" w:lineRule="auto"/>
              <w:jc w:val="center"/>
              <w:rPr>
                <w:rFonts w:hint="eastAsia" w:ascii="仿宋_GB2312" w:hAnsi="仿宋_GB2312" w:eastAsia="仿宋_GB2312" w:cs="仿宋_GB2312"/>
                <w:sz w:val="21"/>
                <w:szCs w:val="21"/>
              </w:rPr>
            </w:pPr>
          </w:p>
          <w:p w14:paraId="06B61ADE">
            <w:pPr>
              <w:spacing w:line="254" w:lineRule="auto"/>
              <w:jc w:val="center"/>
              <w:rPr>
                <w:rFonts w:hint="eastAsia" w:ascii="仿宋_GB2312" w:hAnsi="仿宋_GB2312" w:eastAsia="仿宋_GB2312" w:cs="仿宋_GB2312"/>
                <w:sz w:val="21"/>
                <w:szCs w:val="21"/>
              </w:rPr>
            </w:pPr>
          </w:p>
          <w:p w14:paraId="30C75A66">
            <w:pPr>
              <w:spacing w:line="254" w:lineRule="auto"/>
              <w:jc w:val="center"/>
              <w:rPr>
                <w:rFonts w:hint="eastAsia" w:ascii="仿宋_GB2312" w:hAnsi="仿宋_GB2312" w:eastAsia="仿宋_GB2312" w:cs="仿宋_GB2312"/>
                <w:sz w:val="21"/>
                <w:szCs w:val="21"/>
              </w:rPr>
            </w:pPr>
          </w:p>
          <w:p w14:paraId="61F2FB13">
            <w:pPr>
              <w:spacing w:line="254" w:lineRule="auto"/>
              <w:jc w:val="center"/>
              <w:rPr>
                <w:rFonts w:hint="eastAsia" w:ascii="仿宋_GB2312" w:hAnsi="仿宋_GB2312" w:eastAsia="仿宋_GB2312" w:cs="仿宋_GB2312"/>
                <w:sz w:val="21"/>
                <w:szCs w:val="21"/>
              </w:rPr>
            </w:pPr>
          </w:p>
          <w:p w14:paraId="79412EEB">
            <w:pPr>
              <w:spacing w:line="254" w:lineRule="auto"/>
              <w:jc w:val="center"/>
              <w:rPr>
                <w:rFonts w:hint="eastAsia" w:ascii="仿宋_GB2312" w:hAnsi="仿宋_GB2312" w:eastAsia="仿宋_GB2312" w:cs="仿宋_GB2312"/>
                <w:sz w:val="21"/>
                <w:szCs w:val="21"/>
              </w:rPr>
            </w:pPr>
          </w:p>
          <w:p w14:paraId="29D12F39">
            <w:pPr>
              <w:spacing w:line="254" w:lineRule="auto"/>
              <w:jc w:val="center"/>
              <w:rPr>
                <w:rFonts w:hint="eastAsia" w:ascii="仿宋_GB2312" w:hAnsi="仿宋_GB2312" w:eastAsia="仿宋_GB2312" w:cs="仿宋_GB2312"/>
                <w:sz w:val="21"/>
                <w:szCs w:val="21"/>
              </w:rPr>
            </w:pPr>
          </w:p>
          <w:p w14:paraId="71D30CE4">
            <w:pPr>
              <w:spacing w:line="254" w:lineRule="auto"/>
              <w:jc w:val="center"/>
              <w:rPr>
                <w:rFonts w:hint="eastAsia" w:ascii="仿宋_GB2312" w:hAnsi="仿宋_GB2312" w:eastAsia="仿宋_GB2312" w:cs="仿宋_GB2312"/>
                <w:sz w:val="21"/>
                <w:szCs w:val="21"/>
              </w:rPr>
            </w:pPr>
          </w:p>
          <w:p w14:paraId="0462D34F">
            <w:pPr>
              <w:spacing w:line="254" w:lineRule="auto"/>
              <w:jc w:val="center"/>
              <w:rPr>
                <w:rFonts w:hint="eastAsia" w:ascii="仿宋_GB2312" w:hAnsi="仿宋_GB2312" w:eastAsia="仿宋_GB2312" w:cs="仿宋_GB2312"/>
                <w:sz w:val="21"/>
                <w:szCs w:val="21"/>
              </w:rPr>
            </w:pPr>
          </w:p>
          <w:p w14:paraId="0647AEB9">
            <w:pPr>
              <w:spacing w:line="254" w:lineRule="auto"/>
              <w:jc w:val="center"/>
              <w:rPr>
                <w:rFonts w:hint="eastAsia" w:ascii="仿宋_GB2312" w:hAnsi="仿宋_GB2312" w:eastAsia="仿宋_GB2312" w:cs="仿宋_GB2312"/>
                <w:sz w:val="21"/>
                <w:szCs w:val="21"/>
              </w:rPr>
            </w:pPr>
          </w:p>
          <w:p w14:paraId="5CBE9127">
            <w:pPr>
              <w:spacing w:line="254" w:lineRule="auto"/>
              <w:jc w:val="center"/>
              <w:rPr>
                <w:rFonts w:hint="eastAsia" w:ascii="仿宋_GB2312" w:hAnsi="仿宋_GB2312" w:eastAsia="仿宋_GB2312" w:cs="仿宋_GB2312"/>
                <w:sz w:val="21"/>
                <w:szCs w:val="21"/>
              </w:rPr>
            </w:pPr>
          </w:p>
          <w:p w14:paraId="1A905803">
            <w:pPr>
              <w:spacing w:before="56" w:line="220" w:lineRule="auto"/>
              <w:ind w:left="55"/>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绩效指标</w:t>
            </w:r>
          </w:p>
        </w:tc>
        <w:tc>
          <w:tcPr>
            <w:tcW w:w="752" w:type="dxa"/>
            <w:tcBorders>
              <w:bottom w:val="single" w:color="auto" w:sz="4" w:space="0"/>
            </w:tcBorders>
          </w:tcPr>
          <w:p w14:paraId="0B0A0A31">
            <w:pPr>
              <w:spacing w:before="155" w:line="220"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一级指标</w:t>
            </w:r>
          </w:p>
        </w:tc>
        <w:tc>
          <w:tcPr>
            <w:tcW w:w="999" w:type="dxa"/>
          </w:tcPr>
          <w:p w14:paraId="70781FEF">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二级指标</w:t>
            </w:r>
          </w:p>
        </w:tc>
        <w:tc>
          <w:tcPr>
            <w:tcW w:w="2086" w:type="dxa"/>
            <w:gridSpan w:val="2"/>
          </w:tcPr>
          <w:p w14:paraId="560AC366">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三级指标</w:t>
            </w:r>
          </w:p>
        </w:tc>
        <w:tc>
          <w:tcPr>
            <w:tcW w:w="1145" w:type="dxa"/>
          </w:tcPr>
          <w:p w14:paraId="177BD58F">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年度指标值</w:t>
            </w:r>
          </w:p>
        </w:tc>
        <w:tc>
          <w:tcPr>
            <w:tcW w:w="951" w:type="dxa"/>
          </w:tcPr>
          <w:p w14:paraId="753BB0F2">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实际完成值</w:t>
            </w:r>
          </w:p>
        </w:tc>
        <w:tc>
          <w:tcPr>
            <w:tcW w:w="2469" w:type="dxa"/>
          </w:tcPr>
          <w:p w14:paraId="76B70B3C">
            <w:pPr>
              <w:spacing w:before="75" w:line="227"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偏差原因分析及</w:t>
            </w:r>
            <w:r>
              <w:rPr>
                <w:rFonts w:hint="eastAsia" w:ascii="仿宋_GB2312" w:hAnsi="仿宋_GB2312" w:eastAsia="仿宋_GB2312" w:cs="仿宋_GB2312"/>
                <w:spacing w:val="11"/>
                <w:sz w:val="21"/>
                <w:szCs w:val="21"/>
              </w:rPr>
              <w:t>改进措施</w:t>
            </w:r>
          </w:p>
        </w:tc>
      </w:tr>
      <w:tr w14:paraId="543FB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38DDDE78">
            <w:pPr>
              <w:jc w:val="center"/>
              <w:rPr>
                <w:rFonts w:hint="eastAsia" w:ascii="仿宋_GB2312" w:hAnsi="仿宋_GB2312" w:eastAsia="仿宋_GB2312" w:cs="仿宋_GB2312"/>
                <w:sz w:val="21"/>
                <w:szCs w:val="21"/>
              </w:rP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49B9A725">
            <w:pPr>
              <w:spacing w:line="286" w:lineRule="auto"/>
              <w:jc w:val="center"/>
              <w:rPr>
                <w:rFonts w:hint="eastAsia" w:ascii="仿宋_GB2312" w:hAnsi="仿宋_GB2312" w:eastAsia="仿宋_GB2312" w:cs="仿宋_GB2312"/>
                <w:sz w:val="21"/>
                <w:szCs w:val="21"/>
              </w:rPr>
            </w:pPr>
          </w:p>
          <w:p w14:paraId="2902E123">
            <w:pPr>
              <w:spacing w:line="286" w:lineRule="auto"/>
              <w:jc w:val="center"/>
              <w:rPr>
                <w:rFonts w:hint="eastAsia" w:ascii="仿宋_GB2312" w:hAnsi="仿宋_GB2312" w:eastAsia="仿宋_GB2312" w:cs="仿宋_GB2312"/>
                <w:sz w:val="21"/>
                <w:szCs w:val="21"/>
              </w:rPr>
            </w:pPr>
          </w:p>
          <w:p w14:paraId="5E42068C">
            <w:pPr>
              <w:spacing w:line="286" w:lineRule="auto"/>
              <w:jc w:val="center"/>
              <w:rPr>
                <w:rFonts w:hint="eastAsia" w:ascii="仿宋_GB2312" w:hAnsi="仿宋_GB2312" w:eastAsia="仿宋_GB2312" w:cs="仿宋_GB2312"/>
                <w:sz w:val="21"/>
                <w:szCs w:val="21"/>
              </w:rPr>
            </w:pPr>
          </w:p>
          <w:p w14:paraId="4A3CA4CE">
            <w:pPr>
              <w:spacing w:line="286" w:lineRule="auto"/>
              <w:jc w:val="center"/>
              <w:rPr>
                <w:rFonts w:hint="eastAsia" w:ascii="仿宋_GB2312" w:hAnsi="仿宋_GB2312" w:eastAsia="仿宋_GB2312" w:cs="仿宋_GB2312"/>
                <w:sz w:val="21"/>
                <w:szCs w:val="21"/>
              </w:rPr>
            </w:pPr>
          </w:p>
          <w:p w14:paraId="259CF227">
            <w:pPr>
              <w:spacing w:line="287" w:lineRule="auto"/>
              <w:jc w:val="center"/>
              <w:rPr>
                <w:rFonts w:hint="eastAsia" w:ascii="仿宋_GB2312" w:hAnsi="仿宋_GB2312" w:eastAsia="仿宋_GB2312" w:cs="仿宋_GB2312"/>
                <w:sz w:val="21"/>
                <w:szCs w:val="21"/>
              </w:rPr>
            </w:pPr>
          </w:p>
          <w:p w14:paraId="07791A97">
            <w:pPr>
              <w:spacing w:before="56" w:line="219"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产出指标</w:t>
            </w:r>
          </w:p>
        </w:tc>
        <w:tc>
          <w:tcPr>
            <w:tcW w:w="999" w:type="dxa"/>
            <w:tcBorders>
              <w:left w:val="single" w:color="auto" w:sz="4" w:space="0"/>
              <w:bottom w:val="nil"/>
            </w:tcBorders>
            <w:vAlign w:val="center"/>
          </w:tcPr>
          <w:p w14:paraId="78131CE6">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时效指标</w:t>
            </w:r>
          </w:p>
        </w:tc>
        <w:tc>
          <w:tcPr>
            <w:tcW w:w="2086" w:type="dxa"/>
            <w:gridSpan w:val="2"/>
            <w:vAlign w:val="center"/>
          </w:tcPr>
          <w:p w14:paraId="31D35E13">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项目使用年限</w:t>
            </w:r>
          </w:p>
        </w:tc>
        <w:tc>
          <w:tcPr>
            <w:tcW w:w="1145" w:type="dxa"/>
            <w:vAlign w:val="center"/>
          </w:tcPr>
          <w:p w14:paraId="63579958">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1年</w:t>
            </w:r>
          </w:p>
        </w:tc>
        <w:tc>
          <w:tcPr>
            <w:tcW w:w="951" w:type="dxa"/>
            <w:vAlign w:val="center"/>
          </w:tcPr>
          <w:p w14:paraId="1569CA90">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1年</w:t>
            </w:r>
          </w:p>
        </w:tc>
        <w:tc>
          <w:tcPr>
            <w:tcW w:w="2469" w:type="dxa"/>
          </w:tcPr>
          <w:p w14:paraId="7CA05D6B">
            <w:pPr>
              <w:jc w:val="center"/>
              <w:rPr>
                <w:rFonts w:hint="eastAsia" w:ascii="仿宋_GB2312" w:hAnsi="仿宋_GB2312" w:eastAsia="仿宋_GB2312" w:cs="仿宋_GB2312"/>
                <w:sz w:val="21"/>
                <w:szCs w:val="21"/>
              </w:rPr>
            </w:pPr>
          </w:p>
        </w:tc>
      </w:tr>
      <w:tr w14:paraId="0DBD7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84F77E5">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BF2A707">
            <w:pPr>
              <w:jc w:val="center"/>
              <w:rPr>
                <w:rFonts w:hint="eastAsia" w:ascii="仿宋_GB2312" w:hAnsi="仿宋_GB2312" w:eastAsia="仿宋_GB2312" w:cs="仿宋_GB2312"/>
                <w:sz w:val="21"/>
                <w:szCs w:val="21"/>
              </w:rPr>
            </w:pPr>
          </w:p>
        </w:tc>
        <w:tc>
          <w:tcPr>
            <w:tcW w:w="999" w:type="dxa"/>
            <w:tcBorders>
              <w:left w:val="single" w:color="auto" w:sz="4" w:space="0"/>
            </w:tcBorders>
            <w:vAlign w:val="center"/>
          </w:tcPr>
          <w:p w14:paraId="7F29BF9B">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质量指标</w:t>
            </w:r>
          </w:p>
        </w:tc>
        <w:tc>
          <w:tcPr>
            <w:tcW w:w="2086" w:type="dxa"/>
            <w:gridSpan w:val="2"/>
            <w:vAlign w:val="center"/>
          </w:tcPr>
          <w:p w14:paraId="3BD98871">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提升乡镇案件查办质效</w:t>
            </w:r>
          </w:p>
        </w:tc>
        <w:tc>
          <w:tcPr>
            <w:tcW w:w="1145" w:type="dxa"/>
            <w:vAlign w:val="center"/>
          </w:tcPr>
          <w:p w14:paraId="62E03A2F">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定性</w:t>
            </w:r>
          </w:p>
        </w:tc>
        <w:tc>
          <w:tcPr>
            <w:tcW w:w="951" w:type="dxa"/>
            <w:vAlign w:val="center"/>
          </w:tcPr>
          <w:p w14:paraId="65AEDC62">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有效</w:t>
            </w:r>
          </w:p>
        </w:tc>
        <w:tc>
          <w:tcPr>
            <w:tcW w:w="2469" w:type="dxa"/>
          </w:tcPr>
          <w:p w14:paraId="7D402428">
            <w:pPr>
              <w:jc w:val="center"/>
              <w:rPr>
                <w:rFonts w:hint="eastAsia" w:ascii="仿宋_GB2312" w:hAnsi="仿宋_GB2312" w:eastAsia="仿宋_GB2312" w:cs="仿宋_GB2312"/>
                <w:sz w:val="21"/>
                <w:szCs w:val="21"/>
              </w:rPr>
            </w:pPr>
          </w:p>
        </w:tc>
      </w:tr>
      <w:tr w14:paraId="3CEE9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A80269E">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C849ED8">
            <w:pPr>
              <w:jc w:val="center"/>
              <w:rPr>
                <w:rFonts w:hint="eastAsia" w:ascii="仿宋_GB2312" w:hAnsi="仿宋_GB2312" w:eastAsia="仿宋_GB2312" w:cs="仿宋_GB2312"/>
                <w:sz w:val="21"/>
                <w:szCs w:val="21"/>
              </w:rPr>
            </w:pPr>
          </w:p>
        </w:tc>
        <w:tc>
          <w:tcPr>
            <w:tcW w:w="999" w:type="dxa"/>
            <w:tcBorders>
              <w:left w:val="single" w:color="auto" w:sz="4" w:space="0"/>
              <w:bottom w:val="nil"/>
            </w:tcBorders>
            <w:vAlign w:val="center"/>
          </w:tcPr>
          <w:p w14:paraId="43B76E65">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质量指标</w:t>
            </w:r>
          </w:p>
        </w:tc>
        <w:tc>
          <w:tcPr>
            <w:tcW w:w="2086" w:type="dxa"/>
            <w:gridSpan w:val="2"/>
            <w:vAlign w:val="center"/>
          </w:tcPr>
          <w:p w14:paraId="0A95D948">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质量达标情况</w:t>
            </w:r>
          </w:p>
        </w:tc>
        <w:tc>
          <w:tcPr>
            <w:tcW w:w="1145" w:type="dxa"/>
            <w:vAlign w:val="center"/>
          </w:tcPr>
          <w:p w14:paraId="3983B8E6">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=100%</w:t>
            </w:r>
          </w:p>
        </w:tc>
        <w:tc>
          <w:tcPr>
            <w:tcW w:w="951" w:type="dxa"/>
            <w:vAlign w:val="center"/>
          </w:tcPr>
          <w:p w14:paraId="1CC9EF6E">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100%</w:t>
            </w:r>
          </w:p>
        </w:tc>
        <w:tc>
          <w:tcPr>
            <w:tcW w:w="2469" w:type="dxa"/>
          </w:tcPr>
          <w:p w14:paraId="4DBCB8AF">
            <w:pPr>
              <w:jc w:val="center"/>
              <w:rPr>
                <w:rFonts w:hint="eastAsia" w:ascii="仿宋_GB2312" w:hAnsi="仿宋_GB2312" w:eastAsia="仿宋_GB2312" w:cs="仿宋_GB2312"/>
                <w:sz w:val="21"/>
                <w:szCs w:val="21"/>
              </w:rPr>
            </w:pPr>
          </w:p>
        </w:tc>
      </w:tr>
      <w:tr w14:paraId="050F7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A413B26">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A16C786">
            <w:pPr>
              <w:jc w:val="center"/>
              <w:rPr>
                <w:rFonts w:hint="eastAsia" w:ascii="仿宋_GB2312" w:hAnsi="仿宋_GB2312" w:eastAsia="仿宋_GB2312" w:cs="仿宋_GB2312"/>
                <w:sz w:val="21"/>
                <w:szCs w:val="21"/>
              </w:rPr>
            </w:pPr>
          </w:p>
        </w:tc>
        <w:tc>
          <w:tcPr>
            <w:tcW w:w="999" w:type="dxa"/>
            <w:tcBorders>
              <w:left w:val="single" w:color="auto" w:sz="4" w:space="0"/>
              <w:bottom w:val="nil"/>
            </w:tcBorders>
            <w:vAlign w:val="center"/>
          </w:tcPr>
          <w:p w14:paraId="1AF46F6D">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数量指标</w:t>
            </w:r>
          </w:p>
        </w:tc>
        <w:tc>
          <w:tcPr>
            <w:tcW w:w="2086" w:type="dxa"/>
            <w:gridSpan w:val="2"/>
            <w:vAlign w:val="center"/>
          </w:tcPr>
          <w:p w14:paraId="1BC45A0E">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纪委谈话室数量</w:t>
            </w:r>
          </w:p>
        </w:tc>
        <w:tc>
          <w:tcPr>
            <w:tcW w:w="1145" w:type="dxa"/>
            <w:vAlign w:val="center"/>
          </w:tcPr>
          <w:p w14:paraId="16F9AD88">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=1间</w:t>
            </w:r>
          </w:p>
        </w:tc>
        <w:tc>
          <w:tcPr>
            <w:tcW w:w="951" w:type="dxa"/>
            <w:vAlign w:val="center"/>
          </w:tcPr>
          <w:p w14:paraId="2E275837">
            <w:pPr>
              <w:spacing w:before="67" w:line="209" w:lineRule="auto"/>
              <w:ind w:left="23"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1间</w:t>
            </w:r>
          </w:p>
        </w:tc>
        <w:tc>
          <w:tcPr>
            <w:tcW w:w="2469" w:type="dxa"/>
          </w:tcPr>
          <w:p w14:paraId="577915C1">
            <w:pPr>
              <w:jc w:val="center"/>
              <w:rPr>
                <w:rFonts w:hint="eastAsia" w:ascii="仿宋_GB2312" w:hAnsi="仿宋_GB2312" w:eastAsia="仿宋_GB2312" w:cs="仿宋_GB2312"/>
                <w:sz w:val="21"/>
                <w:szCs w:val="21"/>
              </w:rPr>
            </w:pPr>
          </w:p>
        </w:tc>
      </w:tr>
      <w:tr w14:paraId="70DFD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FF28919">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DA74A6C">
            <w:pPr>
              <w:jc w:val="center"/>
              <w:rPr>
                <w:rFonts w:hint="eastAsia" w:ascii="仿宋_GB2312" w:hAnsi="仿宋_GB2312" w:eastAsia="仿宋_GB2312" w:cs="仿宋_GB2312"/>
                <w:sz w:val="21"/>
                <w:szCs w:val="21"/>
              </w:rPr>
            </w:pPr>
          </w:p>
        </w:tc>
        <w:tc>
          <w:tcPr>
            <w:tcW w:w="999" w:type="dxa"/>
            <w:tcBorders>
              <w:left w:val="single" w:color="auto" w:sz="4" w:space="0"/>
              <w:bottom w:val="nil"/>
            </w:tcBorders>
            <w:vAlign w:val="center"/>
          </w:tcPr>
          <w:p w14:paraId="55D64759">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数量指标</w:t>
            </w:r>
          </w:p>
        </w:tc>
        <w:tc>
          <w:tcPr>
            <w:tcW w:w="2086" w:type="dxa"/>
            <w:gridSpan w:val="2"/>
            <w:vAlign w:val="center"/>
          </w:tcPr>
          <w:p w14:paraId="2DE9455A">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房屋装修（含水电灯安装、墙体粉刷、软包等）</w:t>
            </w:r>
          </w:p>
        </w:tc>
        <w:tc>
          <w:tcPr>
            <w:tcW w:w="1145" w:type="dxa"/>
            <w:vAlign w:val="center"/>
          </w:tcPr>
          <w:p w14:paraId="67BC1EFF">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30</w:t>
            </w:r>
            <w:r>
              <w:rPr>
                <w:rFonts w:hint="eastAsia" w:ascii="仿宋_GB2312" w:hAnsi="仿宋_GB2312" w:eastAsia="仿宋_GB2312" w:cs="仿宋_GB2312"/>
                <w:sz w:val="21"/>
                <w:szCs w:val="21"/>
              </w:rPr>
              <w:t>平方米</w:t>
            </w:r>
          </w:p>
        </w:tc>
        <w:tc>
          <w:tcPr>
            <w:tcW w:w="951" w:type="dxa"/>
            <w:vAlign w:val="center"/>
          </w:tcPr>
          <w:p w14:paraId="0E890FC4">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30</w:t>
            </w:r>
            <w:r>
              <w:rPr>
                <w:rFonts w:hint="eastAsia" w:ascii="仿宋_GB2312" w:hAnsi="仿宋_GB2312" w:eastAsia="仿宋_GB2312" w:cs="仿宋_GB2312"/>
                <w:sz w:val="21"/>
                <w:szCs w:val="21"/>
              </w:rPr>
              <w:t>平方米</w:t>
            </w:r>
          </w:p>
        </w:tc>
        <w:tc>
          <w:tcPr>
            <w:tcW w:w="2469" w:type="dxa"/>
          </w:tcPr>
          <w:p w14:paraId="2E7E0B23">
            <w:pPr>
              <w:jc w:val="center"/>
              <w:rPr>
                <w:rFonts w:hint="eastAsia" w:ascii="仿宋_GB2312" w:hAnsi="仿宋_GB2312" w:eastAsia="仿宋_GB2312" w:cs="仿宋_GB2312"/>
                <w:sz w:val="21"/>
                <w:szCs w:val="21"/>
              </w:rPr>
            </w:pPr>
          </w:p>
        </w:tc>
      </w:tr>
      <w:tr w14:paraId="0B229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173BA98">
            <w:pPr>
              <w:jc w:val="center"/>
              <w:rPr>
                <w:rFonts w:hint="eastAsia" w:ascii="仿宋_GB2312" w:hAnsi="仿宋_GB2312" w:eastAsia="仿宋_GB2312" w:cs="仿宋_GB2312"/>
                <w:sz w:val="21"/>
                <w:szCs w:val="21"/>
              </w:rPr>
            </w:pPr>
          </w:p>
        </w:tc>
        <w:tc>
          <w:tcPr>
            <w:tcW w:w="752" w:type="dxa"/>
            <w:vMerge w:val="restart"/>
            <w:tcBorders>
              <w:top w:val="single" w:color="auto" w:sz="4" w:space="0"/>
              <w:left w:val="single" w:color="auto" w:sz="4" w:space="0"/>
              <w:right w:val="single" w:color="auto" w:sz="4" w:space="0"/>
            </w:tcBorders>
            <w:vAlign w:val="center"/>
          </w:tcPr>
          <w:p w14:paraId="051D797B">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效益指标</w:t>
            </w:r>
          </w:p>
        </w:tc>
        <w:tc>
          <w:tcPr>
            <w:tcW w:w="999" w:type="dxa"/>
            <w:tcBorders>
              <w:left w:val="single" w:color="auto" w:sz="4" w:space="0"/>
              <w:bottom w:val="nil"/>
            </w:tcBorders>
            <w:vAlign w:val="center"/>
          </w:tcPr>
          <w:p w14:paraId="27690835">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经济效益指标</w:t>
            </w:r>
          </w:p>
        </w:tc>
        <w:tc>
          <w:tcPr>
            <w:tcW w:w="2086" w:type="dxa"/>
            <w:gridSpan w:val="2"/>
            <w:vAlign w:val="center"/>
          </w:tcPr>
          <w:p w14:paraId="0DC98387">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财政资金预算内执行</w:t>
            </w:r>
          </w:p>
        </w:tc>
        <w:tc>
          <w:tcPr>
            <w:tcW w:w="1145" w:type="dxa"/>
            <w:vAlign w:val="center"/>
          </w:tcPr>
          <w:p w14:paraId="592DE437">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≤4.6万元</w:t>
            </w:r>
          </w:p>
        </w:tc>
        <w:tc>
          <w:tcPr>
            <w:tcW w:w="951" w:type="dxa"/>
            <w:vAlign w:val="center"/>
          </w:tcPr>
          <w:p w14:paraId="1890F233">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0</w:t>
            </w:r>
            <w:r>
              <w:rPr>
                <w:rFonts w:hint="eastAsia" w:ascii="仿宋_GB2312" w:hAnsi="仿宋_GB2312" w:eastAsia="仿宋_GB2312" w:cs="仿宋_GB2312"/>
                <w:sz w:val="21"/>
                <w:szCs w:val="21"/>
              </w:rPr>
              <w:t>万元</w:t>
            </w:r>
          </w:p>
        </w:tc>
        <w:tc>
          <w:tcPr>
            <w:tcW w:w="2469" w:type="dxa"/>
          </w:tcPr>
          <w:p w14:paraId="786E1BF0">
            <w:pPr>
              <w:jc w:val="center"/>
              <w:rPr>
                <w:rFonts w:hint="eastAsia" w:ascii="仿宋_GB2312" w:hAnsi="仿宋_GB2312" w:eastAsia="仿宋_GB2312" w:cs="仿宋_GB2312"/>
                <w:sz w:val="21"/>
                <w:szCs w:val="21"/>
              </w:rPr>
            </w:pPr>
          </w:p>
        </w:tc>
      </w:tr>
      <w:tr w14:paraId="71034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ED5BAB8">
            <w:pPr>
              <w:jc w:val="center"/>
              <w:rPr>
                <w:rFonts w:hint="eastAsia" w:ascii="仿宋_GB2312" w:hAnsi="仿宋_GB2312" w:eastAsia="仿宋_GB2312" w:cs="仿宋_GB2312"/>
                <w:sz w:val="21"/>
                <w:szCs w:val="21"/>
              </w:rPr>
            </w:pPr>
          </w:p>
        </w:tc>
        <w:tc>
          <w:tcPr>
            <w:tcW w:w="752" w:type="dxa"/>
            <w:vMerge w:val="continue"/>
            <w:tcBorders>
              <w:left w:val="single" w:color="auto" w:sz="4" w:space="0"/>
              <w:bottom w:val="single" w:color="auto" w:sz="4" w:space="0"/>
              <w:right w:val="single" w:color="auto" w:sz="4" w:space="0"/>
            </w:tcBorders>
            <w:vAlign w:val="center"/>
          </w:tcPr>
          <w:p w14:paraId="75A8CA64">
            <w:pPr>
              <w:jc w:val="center"/>
              <w:rPr>
                <w:rFonts w:hint="eastAsia" w:ascii="仿宋_GB2312" w:hAnsi="仿宋_GB2312" w:eastAsia="仿宋_GB2312" w:cs="仿宋_GB2312"/>
                <w:sz w:val="21"/>
                <w:szCs w:val="21"/>
              </w:rPr>
            </w:pPr>
          </w:p>
        </w:tc>
        <w:tc>
          <w:tcPr>
            <w:tcW w:w="999" w:type="dxa"/>
            <w:tcBorders>
              <w:left w:val="single" w:color="auto" w:sz="4" w:space="0"/>
              <w:bottom w:val="nil"/>
            </w:tcBorders>
            <w:vAlign w:val="center"/>
          </w:tcPr>
          <w:p w14:paraId="4AEB7863">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社会效益指标</w:t>
            </w:r>
          </w:p>
        </w:tc>
        <w:tc>
          <w:tcPr>
            <w:tcW w:w="2086" w:type="dxa"/>
            <w:gridSpan w:val="2"/>
            <w:vAlign w:val="center"/>
          </w:tcPr>
          <w:p w14:paraId="34872873">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营造良好的政治生态环境</w:t>
            </w:r>
          </w:p>
        </w:tc>
        <w:tc>
          <w:tcPr>
            <w:tcW w:w="1145" w:type="dxa"/>
            <w:vAlign w:val="center"/>
          </w:tcPr>
          <w:p w14:paraId="058D4367">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定性</w:t>
            </w:r>
          </w:p>
        </w:tc>
        <w:tc>
          <w:tcPr>
            <w:tcW w:w="951" w:type="dxa"/>
            <w:vAlign w:val="center"/>
          </w:tcPr>
          <w:p w14:paraId="73192A4F">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rPr>
              <w:t>优</w:t>
            </w:r>
          </w:p>
        </w:tc>
        <w:tc>
          <w:tcPr>
            <w:tcW w:w="2469" w:type="dxa"/>
          </w:tcPr>
          <w:p w14:paraId="0F1BF814">
            <w:pPr>
              <w:jc w:val="center"/>
              <w:rPr>
                <w:rFonts w:hint="eastAsia" w:ascii="仿宋_GB2312" w:hAnsi="仿宋_GB2312" w:eastAsia="仿宋_GB2312" w:cs="仿宋_GB2312"/>
                <w:sz w:val="21"/>
                <w:szCs w:val="21"/>
              </w:rPr>
            </w:pPr>
          </w:p>
        </w:tc>
      </w:tr>
      <w:tr w14:paraId="67478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8984E2A">
            <w:pPr>
              <w:jc w:val="center"/>
              <w:rPr>
                <w:rFonts w:hint="eastAsia" w:ascii="仿宋_GB2312" w:hAnsi="仿宋_GB2312" w:eastAsia="仿宋_GB2312" w:cs="仿宋_GB2312"/>
                <w:sz w:val="21"/>
                <w:szCs w:val="21"/>
              </w:rPr>
            </w:pPr>
          </w:p>
        </w:tc>
        <w:tc>
          <w:tcPr>
            <w:tcW w:w="752" w:type="dxa"/>
            <w:tcBorders>
              <w:top w:val="single" w:color="auto" w:sz="4" w:space="0"/>
              <w:bottom w:val="nil"/>
            </w:tcBorders>
            <w:vAlign w:val="center"/>
          </w:tcPr>
          <w:p w14:paraId="08119724">
            <w:pPr>
              <w:spacing w:before="146" w:line="219" w:lineRule="auto"/>
              <w:ind w:left="191" w:right="124" w:hanging="7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满意度</w:t>
            </w:r>
            <w:r>
              <w:rPr>
                <w:rFonts w:hint="eastAsia" w:ascii="仿宋_GB2312" w:hAnsi="仿宋_GB2312" w:eastAsia="仿宋_GB2312" w:cs="仿宋_GB2312"/>
                <w:spacing w:val="1"/>
                <w:sz w:val="21"/>
                <w:szCs w:val="21"/>
              </w:rPr>
              <w:t xml:space="preserve"> </w:t>
            </w:r>
            <w:r>
              <w:rPr>
                <w:rFonts w:hint="eastAsia" w:ascii="仿宋_GB2312" w:hAnsi="仿宋_GB2312" w:eastAsia="仿宋_GB2312" w:cs="仿宋_GB2312"/>
                <w:spacing w:val="-3"/>
                <w:sz w:val="21"/>
                <w:szCs w:val="21"/>
              </w:rPr>
              <w:t>指标</w:t>
            </w:r>
          </w:p>
        </w:tc>
        <w:tc>
          <w:tcPr>
            <w:tcW w:w="999" w:type="dxa"/>
            <w:tcBorders>
              <w:bottom w:val="nil"/>
            </w:tcBorders>
            <w:vAlign w:val="center"/>
          </w:tcPr>
          <w:p w14:paraId="2470B50B">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满意度指标</w:t>
            </w:r>
          </w:p>
        </w:tc>
        <w:tc>
          <w:tcPr>
            <w:tcW w:w="2086" w:type="dxa"/>
            <w:gridSpan w:val="2"/>
            <w:vAlign w:val="center"/>
          </w:tcPr>
          <w:p w14:paraId="5C2E75FE">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群众及相关干部满意度</w:t>
            </w:r>
          </w:p>
        </w:tc>
        <w:tc>
          <w:tcPr>
            <w:tcW w:w="1145" w:type="dxa"/>
            <w:vAlign w:val="center"/>
          </w:tcPr>
          <w:p w14:paraId="415A5523">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≥98%</w:t>
            </w:r>
          </w:p>
        </w:tc>
        <w:tc>
          <w:tcPr>
            <w:tcW w:w="951" w:type="dxa"/>
            <w:vAlign w:val="center"/>
          </w:tcPr>
          <w:p w14:paraId="24B5410B">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99%</w:t>
            </w:r>
          </w:p>
        </w:tc>
        <w:tc>
          <w:tcPr>
            <w:tcW w:w="2469" w:type="dxa"/>
          </w:tcPr>
          <w:p w14:paraId="5FF51C6E">
            <w:pPr>
              <w:jc w:val="center"/>
              <w:rPr>
                <w:rFonts w:hint="eastAsia" w:ascii="仿宋_GB2312" w:hAnsi="仿宋_GB2312" w:eastAsia="仿宋_GB2312" w:cs="仿宋_GB2312"/>
                <w:sz w:val="21"/>
                <w:szCs w:val="21"/>
              </w:rPr>
            </w:pPr>
          </w:p>
        </w:tc>
      </w:tr>
      <w:tr w14:paraId="22605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320C0800">
            <w:pPr>
              <w:spacing w:before="48" w:line="220" w:lineRule="auto"/>
              <w:ind w:left="366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总分</w:t>
            </w:r>
          </w:p>
        </w:tc>
        <w:tc>
          <w:tcPr>
            <w:tcW w:w="2469" w:type="dxa"/>
            <w:vAlign w:val="center"/>
          </w:tcPr>
          <w:p w14:paraId="3B79B096">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98.5</w:t>
            </w:r>
          </w:p>
        </w:tc>
      </w:tr>
    </w:tbl>
    <w:p w14:paraId="02DF7F1F">
      <w:pPr>
        <w:rPr>
          <w:rStyle w:val="30"/>
          <w:rFonts w:ascii="黑体" w:hAnsi="黑体" w:eastAsia="黑体"/>
          <w:b w:val="0"/>
          <w:color w:val="auto"/>
          <w:highlight w:val="none"/>
        </w:rPr>
      </w:pPr>
      <w:r>
        <w:rPr>
          <w:rStyle w:val="30"/>
          <w:rFonts w:ascii="黑体" w:hAnsi="黑体" w:eastAsia="黑体"/>
          <w:b w:val="0"/>
          <w:color w:val="auto"/>
          <w:highlight w:val="none"/>
        </w:rPr>
        <w:br w:type="page"/>
      </w:r>
    </w:p>
    <w:p w14:paraId="294D4A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rPr>
        <w:t>关于2022年抗旱应急财政补助资金支出的绩效</w:t>
      </w:r>
    </w:p>
    <w:p w14:paraId="50FC082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rPr>
        <w:t>自评报告</w:t>
      </w:r>
    </w:p>
    <w:p w14:paraId="5F2551A1">
      <w:pPr>
        <w:spacing w:line="576" w:lineRule="exact"/>
        <w:ind w:firstLine="560" w:firstLineChars="200"/>
        <w:jc w:val="left"/>
        <w:rPr>
          <w:rFonts w:ascii="仿宋_GB2312" w:hAnsi="楷体_GB2312" w:eastAsia="仿宋_GB2312" w:cs="楷体_GB2312"/>
          <w:spacing w:val="-20"/>
          <w:sz w:val="32"/>
          <w:szCs w:val="32"/>
        </w:rPr>
      </w:pPr>
    </w:p>
    <w:p w14:paraId="0651DEF5">
      <w:pPr>
        <w:spacing w:line="576" w:lineRule="exact"/>
        <w:ind w:firstLine="640" w:firstLineChars="200"/>
        <w:outlineLvl w:val="1"/>
        <w:rPr>
          <w:rFonts w:ascii="黑体" w:hAnsi="黑体" w:eastAsia="黑体" w:cs="黑体"/>
          <w:sz w:val="32"/>
          <w:szCs w:val="32"/>
        </w:rPr>
      </w:pPr>
      <w:bookmarkStart w:id="223" w:name="_Toc5685"/>
      <w:r>
        <w:rPr>
          <w:rFonts w:hint="eastAsia" w:ascii="黑体" w:hAnsi="黑体" w:eastAsia="黑体" w:cs="黑体"/>
          <w:sz w:val="32"/>
          <w:szCs w:val="32"/>
        </w:rPr>
        <w:t>一、项目概况</w:t>
      </w:r>
      <w:bookmarkEnd w:id="223"/>
    </w:p>
    <w:p w14:paraId="41B32FEF">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24" w:name="_Toc14575"/>
      <w:r>
        <w:rPr>
          <w:rFonts w:hint="eastAsia" w:ascii="楷体" w:hAnsi="楷体" w:eastAsia="楷体" w:cs="楷体"/>
          <w:b/>
          <w:bCs/>
          <w:color w:val="000000" w:themeColor="text1"/>
          <w:sz w:val="32"/>
          <w:szCs w:val="32"/>
          <w:lang w:val="zh-CN"/>
          <w14:textFill>
            <w14:solidFill>
              <w14:schemeClr w14:val="tx1"/>
            </w14:solidFill>
          </w14:textFill>
        </w:rPr>
        <w:t>（一）项目资金申报及批复情况</w:t>
      </w:r>
      <w:bookmarkEnd w:id="224"/>
    </w:p>
    <w:p w14:paraId="063E49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w:t>
      </w:r>
      <w:r>
        <w:rPr>
          <w:rFonts w:hint="eastAsia" w:eastAsia="仿宋_GB2312"/>
          <w:sz w:val="32"/>
          <w:szCs w:val="32"/>
          <w:lang w:val="en-US" w:eastAsia="zh-CN"/>
        </w:rPr>
        <w:t>8</w:t>
      </w:r>
      <w:r>
        <w:rPr>
          <w:rFonts w:hint="eastAsia" w:ascii="仿宋_GB2312" w:hAnsi="仿宋_GB2312" w:eastAsia="仿宋_GB2312" w:cs="仿宋_GB2312"/>
          <w:sz w:val="32"/>
          <w:szCs w:val="32"/>
        </w:rPr>
        <w:t>万元，申报项目涉及全镇</w:t>
      </w:r>
      <w:r>
        <w:rPr>
          <w:rFonts w:hint="eastAsia" w:eastAsia="仿宋_GB2312"/>
          <w:sz w:val="32"/>
          <w:szCs w:val="32"/>
          <w:lang w:val="en-US" w:eastAsia="zh-CN"/>
        </w:rPr>
        <w:t>8</w:t>
      </w:r>
      <w:r>
        <w:rPr>
          <w:rFonts w:hint="eastAsia" w:ascii="仿宋_GB2312" w:hAnsi="仿宋_GB2312" w:eastAsia="仿宋_GB2312" w:cs="仿宋_GB2312"/>
          <w:sz w:val="32"/>
          <w:szCs w:val="32"/>
        </w:rPr>
        <w:t>村。上级实际批复和安排预算资金为</w:t>
      </w:r>
      <w:r>
        <w:rPr>
          <w:rFonts w:hint="eastAsia" w:eastAsia="仿宋_GB2312"/>
          <w:sz w:val="32"/>
          <w:szCs w:val="32"/>
          <w:lang w:val="en-US" w:eastAsia="zh-CN"/>
        </w:rPr>
        <w:t>8</w:t>
      </w:r>
      <w:r>
        <w:rPr>
          <w:rFonts w:hint="eastAsia" w:ascii="仿宋_GB2312" w:hAnsi="仿宋_GB2312" w:eastAsia="仿宋_GB2312" w:cs="仿宋_GB2312"/>
          <w:sz w:val="32"/>
          <w:szCs w:val="32"/>
        </w:rPr>
        <w:t>万元。</w:t>
      </w:r>
    </w:p>
    <w:p w14:paraId="18029AFF">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25" w:name="_Toc22658"/>
      <w:r>
        <w:rPr>
          <w:rFonts w:hint="eastAsia" w:ascii="楷体" w:hAnsi="楷体" w:eastAsia="楷体" w:cs="楷体"/>
          <w:b/>
          <w:bCs/>
          <w:color w:val="000000" w:themeColor="text1"/>
          <w:sz w:val="32"/>
          <w:szCs w:val="32"/>
          <w:lang w:val="zh-CN"/>
          <w14:textFill>
            <w14:solidFill>
              <w14:schemeClr w14:val="tx1"/>
            </w14:solidFill>
          </w14:textFill>
        </w:rPr>
        <w:t>（二）项目绩效目标</w:t>
      </w:r>
      <w:bookmarkEnd w:id="225"/>
    </w:p>
    <w:p w14:paraId="73F8F0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项目申报绩效目标为：</w:t>
      </w:r>
      <w:r>
        <w:rPr>
          <w:rFonts w:hint="eastAsia" w:ascii="仿宋_GB2312" w:hAnsi="仿宋_GB2312" w:eastAsia="仿宋_GB2312" w:cs="仿宋_GB2312"/>
          <w:sz w:val="32"/>
          <w:szCs w:val="32"/>
          <w:lang w:val="zh-CN"/>
        </w:rPr>
        <w:t>用于送水燃油、抽水电价的补助及人饮及渠系维护，解决受灾人畜饮水困难问题，确保受灾群众生活生产秩序正常，增强群众抗旱意识和自救能力，使受灾群众对解决生活饮水、抗旱满意度达98%</w:t>
      </w:r>
      <w:r>
        <w:rPr>
          <w:rFonts w:hint="eastAsia" w:ascii="仿宋_GB2312" w:hAnsi="仿宋_GB2312" w:eastAsia="仿宋_GB2312" w:cs="仿宋_GB2312"/>
          <w:sz w:val="32"/>
          <w:szCs w:val="32"/>
        </w:rPr>
        <w:t>。</w:t>
      </w:r>
    </w:p>
    <w:p w14:paraId="1FC2CDFD">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26" w:name="_Toc12534"/>
      <w:r>
        <w:rPr>
          <w:rFonts w:hint="eastAsia" w:ascii="楷体" w:hAnsi="楷体" w:eastAsia="楷体" w:cs="楷体"/>
          <w:b/>
          <w:bCs/>
          <w:color w:val="000000" w:themeColor="text1"/>
          <w:sz w:val="32"/>
          <w:szCs w:val="32"/>
          <w:lang w:val="zh-CN"/>
          <w14:textFill>
            <w14:solidFill>
              <w14:schemeClr w14:val="tx1"/>
            </w14:solidFill>
          </w14:textFill>
        </w:rPr>
        <w:t>（三）项目资金申报相符性</w:t>
      </w:r>
      <w:bookmarkEnd w:id="226"/>
    </w:p>
    <w:p w14:paraId="5FDFE2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该项目申报内容是结合我镇多年实施该项目的实际情况编报，</w:t>
      </w:r>
      <w:r>
        <w:rPr>
          <w:rFonts w:hint="eastAsia" w:ascii="仿宋_GB2312" w:hAnsi="仿宋_GB2312" w:eastAsia="仿宋_GB2312" w:cs="仿宋_GB2312"/>
          <w:sz w:val="32"/>
          <w:szCs w:val="32"/>
          <w:lang w:val="zh-CN"/>
        </w:rPr>
        <w:t>申报目标合理，实施项目均与项目绩效实施范围、申报相符，</w:t>
      </w:r>
      <w:r>
        <w:rPr>
          <w:rFonts w:hint="eastAsia" w:ascii="仿宋_GB2312" w:hAnsi="仿宋_GB2312" w:eastAsia="仿宋_GB2312" w:cs="仿宋_GB2312"/>
          <w:sz w:val="32"/>
          <w:szCs w:val="32"/>
        </w:rPr>
        <w:t>申报目标合理可行。</w:t>
      </w:r>
    </w:p>
    <w:p w14:paraId="4DBACA05">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27" w:name="_Toc22210"/>
      <w:r>
        <w:rPr>
          <w:rFonts w:hint="eastAsia" w:ascii="楷体" w:hAnsi="楷体" w:eastAsia="楷体" w:cs="楷体"/>
          <w:b/>
          <w:bCs/>
          <w:color w:val="000000" w:themeColor="text1"/>
          <w:sz w:val="32"/>
          <w:szCs w:val="32"/>
          <w:lang w:val="zh-CN"/>
          <w14:textFill>
            <w14:solidFill>
              <w14:schemeClr w14:val="tx1"/>
            </w14:solidFill>
          </w14:textFill>
        </w:rPr>
        <w:t>（四）自评步骤及方法</w:t>
      </w:r>
      <w:bookmarkEnd w:id="227"/>
    </w:p>
    <w:p w14:paraId="1C8D5A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按区财政部门绩效管理相关规定，认真开展项目绩效评价工作，</w:t>
      </w:r>
      <w:r>
        <w:rPr>
          <w:rFonts w:hint="eastAsia" w:ascii="仿宋_GB2312" w:hAnsi="仿宋_GB2312" w:eastAsia="仿宋_GB2312" w:cs="仿宋_GB2312"/>
          <w:sz w:val="32"/>
          <w:szCs w:val="32"/>
        </w:rPr>
        <w:t>本项目采取自评与他评相结合方式，成立项目自评小组，结合评价内容，做到有计划，有安排，扎实开展本次自评工作。按照上级下达的项目支出绩效评价指标体系，自评小组针对申报内容、实施情况、资金兑现、财务管理、社会效益等</w:t>
      </w:r>
      <w:r>
        <w:rPr>
          <w:rFonts w:hint="eastAsia" w:ascii="仿宋_GB2312" w:hAnsi="仿宋_GB2312" w:eastAsia="仿宋_GB2312" w:cs="仿宋_GB2312"/>
          <w:sz w:val="32"/>
          <w:szCs w:val="32"/>
          <w:lang w:eastAsia="zh-CN"/>
        </w:rPr>
        <w:t>作出</w:t>
      </w:r>
      <w:r>
        <w:rPr>
          <w:rFonts w:hint="eastAsia" w:ascii="仿宋_GB2312" w:hAnsi="仿宋_GB2312" w:eastAsia="仿宋_GB2312" w:cs="仿宋_GB2312"/>
          <w:sz w:val="32"/>
          <w:szCs w:val="32"/>
        </w:rPr>
        <w:t>自我评价，认真听取村、社区群众建议意见，做好自评工作</w:t>
      </w:r>
      <w:r>
        <w:rPr>
          <w:rFonts w:hint="eastAsia" w:ascii="仿宋_GB2312" w:hAnsi="仿宋_GB2312" w:eastAsia="仿宋_GB2312" w:cs="仿宋_GB2312"/>
          <w:sz w:val="32"/>
          <w:szCs w:val="32"/>
          <w:lang w:val="zh-CN"/>
        </w:rPr>
        <w:t>。</w:t>
      </w:r>
    </w:p>
    <w:p w14:paraId="0D6CAFF1">
      <w:pPr>
        <w:spacing w:line="576" w:lineRule="exact"/>
        <w:ind w:firstLine="640" w:firstLineChars="200"/>
        <w:outlineLvl w:val="1"/>
        <w:rPr>
          <w:rFonts w:hint="eastAsia" w:ascii="黑体" w:hAnsi="黑体" w:eastAsia="黑体" w:cs="黑体"/>
          <w:sz w:val="32"/>
          <w:szCs w:val="32"/>
        </w:rPr>
      </w:pPr>
      <w:bookmarkStart w:id="228" w:name="_Toc6614"/>
      <w:r>
        <w:rPr>
          <w:rFonts w:hint="eastAsia" w:ascii="黑体" w:hAnsi="黑体" w:eastAsia="黑体" w:cs="黑体"/>
          <w:sz w:val="32"/>
          <w:szCs w:val="32"/>
        </w:rPr>
        <w:t>二、项目实施及管理情况</w:t>
      </w:r>
      <w:bookmarkEnd w:id="228"/>
    </w:p>
    <w:p w14:paraId="2CE3A67B">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29" w:name="_Toc11616"/>
      <w:r>
        <w:rPr>
          <w:rFonts w:hint="eastAsia" w:ascii="楷体" w:hAnsi="楷体" w:eastAsia="楷体" w:cs="楷体"/>
          <w:b/>
          <w:bCs/>
          <w:color w:val="000000" w:themeColor="text1"/>
          <w:sz w:val="32"/>
          <w:szCs w:val="32"/>
          <w:lang w:val="zh-CN"/>
          <w14:textFill>
            <w14:solidFill>
              <w14:schemeClr w14:val="tx1"/>
            </w14:solidFill>
          </w14:textFill>
        </w:rPr>
        <w:t>（一）资金计划、到位及使用情况</w:t>
      </w:r>
      <w:bookmarkEnd w:id="229"/>
    </w:p>
    <w:p w14:paraId="25E9CF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资金预算及时到位。该项目资金预算</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万元，实际到位资金</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万元。由村申报、镇审核，报区财政部门审批直接拨付到各村。</w:t>
      </w:r>
    </w:p>
    <w:p w14:paraId="37963D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资金使用。该项目实际应支出</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实际支付</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万元，均按规定支付抗旱资金。</w:t>
      </w:r>
    </w:p>
    <w:p w14:paraId="3BD4A68A">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0" w:name="_Toc11745"/>
      <w:r>
        <w:rPr>
          <w:rFonts w:hint="eastAsia" w:ascii="楷体" w:hAnsi="楷体" w:eastAsia="楷体" w:cs="楷体"/>
          <w:b/>
          <w:bCs/>
          <w:color w:val="000000" w:themeColor="text1"/>
          <w:sz w:val="32"/>
          <w:szCs w:val="32"/>
          <w:lang w:val="zh-CN"/>
          <w14:textFill>
            <w14:solidFill>
              <w14:schemeClr w14:val="tx1"/>
            </w14:solidFill>
          </w14:textFill>
        </w:rPr>
        <w:t>（二）项目财务管理情况</w:t>
      </w:r>
      <w:bookmarkEnd w:id="230"/>
    </w:p>
    <w:p w14:paraId="5051EFC3">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该项资金实务中严格按照财经制度进行结算支付，财务制度健全、管理规范。一是严控资金使用范围。各村均做到了资金“专款专用”，对不符合项目绩效设施范围的项目，坚决不予使用该项资金报销；二是严格管理报销流程，</w:t>
      </w:r>
      <w:r>
        <w:rPr>
          <w:rFonts w:hint="eastAsia" w:ascii="仿宋_GB2312" w:hAnsi="仿宋_GB2312" w:eastAsia="仿宋_GB2312" w:cs="仿宋_GB2312"/>
          <w:sz w:val="32"/>
          <w:szCs w:val="32"/>
        </w:rPr>
        <w:t>由镇相关部门完善相关报账资料，并经财务负责人、分管领导以及镇长签字后，上报区财政相关股室审核和领导审批后，直接打卡到各村。</w:t>
      </w:r>
    </w:p>
    <w:p w14:paraId="5D631504">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1" w:name="_Toc18096"/>
      <w:r>
        <w:rPr>
          <w:rFonts w:hint="eastAsia" w:ascii="楷体" w:hAnsi="楷体" w:eastAsia="楷体" w:cs="楷体"/>
          <w:b/>
          <w:bCs/>
          <w:color w:val="000000" w:themeColor="text1"/>
          <w:sz w:val="32"/>
          <w:szCs w:val="32"/>
          <w:lang w:val="zh-CN"/>
          <w14:textFill>
            <w14:solidFill>
              <w14:schemeClr w14:val="tx1"/>
            </w14:solidFill>
          </w14:textFill>
        </w:rPr>
        <w:t>（</w:t>
      </w:r>
      <w:r>
        <w:rPr>
          <w:rFonts w:hint="eastAsia" w:ascii="楷体" w:hAnsi="楷体" w:eastAsia="楷体" w:cs="楷体"/>
          <w:b/>
          <w:bCs/>
          <w:color w:val="000000" w:themeColor="text1"/>
          <w:sz w:val="32"/>
          <w:szCs w:val="32"/>
          <w:lang w:val="en-US" w:eastAsia="zh-CN"/>
          <w14:textFill>
            <w14:solidFill>
              <w14:schemeClr w14:val="tx1"/>
            </w14:solidFill>
          </w14:textFill>
        </w:rPr>
        <w:t>三</w:t>
      </w:r>
      <w:r>
        <w:rPr>
          <w:rFonts w:hint="eastAsia" w:ascii="楷体" w:hAnsi="楷体" w:eastAsia="楷体" w:cs="楷体"/>
          <w:b/>
          <w:bCs/>
          <w:color w:val="000000" w:themeColor="text1"/>
          <w:sz w:val="32"/>
          <w:szCs w:val="32"/>
          <w:lang w:val="zh-CN"/>
          <w14:textFill>
            <w14:solidFill>
              <w14:schemeClr w14:val="tx1"/>
            </w14:solidFill>
          </w14:textFill>
        </w:rPr>
        <w:t>）项目组织实施及管理情况</w:t>
      </w:r>
      <w:bookmarkEnd w:id="231"/>
    </w:p>
    <w:p w14:paraId="5268C2D9">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财政批复抗旱资金项目，主要包括送水燃油、抽水电价的补助及人饮及渠系维护，解决受灾人畜饮水困难。按照年初预算安排，认真论证项目实施的可行性和效益性，并在项目实施过程中认真完善项目建设中的相关手续办理和基础资料的收集整理、组织呈报等，加强与相关部门之间工作的及时沟通协调，确保项目顺利开展。在项目实施中，工作职责明确，许多情况都能跟踪跟进，有效地推进项目建设进度和保证项目质量。资金开支的范围、标准及支付进度完全按照预算要求进行，项目实施村按镇批准方案。</w:t>
      </w:r>
    </w:p>
    <w:p w14:paraId="2D8C45EC">
      <w:pPr>
        <w:spacing w:line="576" w:lineRule="exact"/>
        <w:ind w:firstLine="640" w:firstLineChars="200"/>
        <w:outlineLvl w:val="1"/>
        <w:rPr>
          <w:rFonts w:hint="eastAsia" w:ascii="黑体" w:hAnsi="黑体" w:eastAsia="黑体" w:cs="黑体"/>
          <w:sz w:val="32"/>
          <w:szCs w:val="32"/>
        </w:rPr>
      </w:pPr>
      <w:bookmarkStart w:id="232" w:name="_Toc2619"/>
      <w:r>
        <w:rPr>
          <w:rFonts w:hint="eastAsia" w:ascii="黑体" w:hAnsi="黑体" w:eastAsia="黑体" w:cs="黑体"/>
          <w:sz w:val="32"/>
          <w:szCs w:val="32"/>
          <w:lang w:val="en-US" w:eastAsia="zh-CN"/>
        </w:rPr>
        <w:t>三、</w:t>
      </w:r>
      <w:r>
        <w:rPr>
          <w:rFonts w:hint="eastAsia" w:ascii="黑体" w:hAnsi="黑体" w:eastAsia="黑体" w:cs="黑体"/>
          <w:sz w:val="32"/>
          <w:szCs w:val="32"/>
        </w:rPr>
        <w:t>项目绩效情况</w:t>
      </w:r>
      <w:bookmarkEnd w:id="232"/>
    </w:p>
    <w:p w14:paraId="1B79575E">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3" w:name="_Toc16097"/>
      <w:r>
        <w:rPr>
          <w:rFonts w:hint="eastAsia" w:ascii="楷体" w:hAnsi="楷体" w:eastAsia="楷体" w:cs="楷体"/>
          <w:b/>
          <w:bCs/>
          <w:color w:val="000000" w:themeColor="text1"/>
          <w:sz w:val="32"/>
          <w:szCs w:val="32"/>
          <w:lang w:val="zh-CN"/>
          <w14:textFill>
            <w14:solidFill>
              <w14:schemeClr w14:val="tx1"/>
            </w14:solidFill>
          </w14:textFill>
        </w:rPr>
        <w:t>（一）目标完成情况</w:t>
      </w:r>
      <w:bookmarkEnd w:id="233"/>
    </w:p>
    <w:p w14:paraId="636B399A">
      <w:pPr>
        <w:pStyle w:val="16"/>
        <w:widowControl/>
        <w:spacing w:beforeAutospacing="0" w:afterAutospacing="0" w:line="576" w:lineRule="exact"/>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保障临时饮水困难人员约200人，修复渠系耗材及租赁抽水设施质量合格率达100%，抗旱资金兑付及时率100%，受灾群众人饮及生活困难解决率99%，有效维护受灾群众生活生产秩序正常，提高群众抗旱意识和自救能力受灾群众对解决生活饮水、抗旱满意度达98%。</w:t>
      </w:r>
    </w:p>
    <w:p w14:paraId="6D48F95C">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4" w:name="_Toc26510"/>
      <w:r>
        <w:rPr>
          <w:rFonts w:hint="eastAsia" w:ascii="楷体" w:hAnsi="楷体" w:eastAsia="楷体" w:cs="楷体"/>
          <w:b/>
          <w:bCs/>
          <w:color w:val="000000" w:themeColor="text1"/>
          <w:sz w:val="32"/>
          <w:szCs w:val="32"/>
          <w:lang w:val="zh-CN"/>
          <w14:textFill>
            <w14:solidFill>
              <w14:schemeClr w14:val="tx1"/>
            </w14:solidFill>
          </w14:textFill>
        </w:rPr>
        <w:t>（二）项目效益情况</w:t>
      </w:r>
      <w:bookmarkEnd w:id="234"/>
    </w:p>
    <w:p w14:paraId="7AADD810">
      <w:pPr>
        <w:pStyle w:val="16"/>
        <w:widowControl/>
        <w:spacing w:beforeAutospacing="0" w:afterAutospacing="0" w:line="576" w:lineRule="exact"/>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确保安全，最大限度地减轻干旱灾害的影响和损失，保障人民生命财产的安全和社会的稳定。</w:t>
      </w:r>
    </w:p>
    <w:p w14:paraId="10EC393E">
      <w:pPr>
        <w:adjustRightInd w:val="0"/>
        <w:snapToGrid w:val="0"/>
        <w:spacing w:line="576" w:lineRule="exact"/>
        <w:ind w:firstLine="640" w:firstLineChars="200"/>
        <w:outlineLvl w:val="1"/>
        <w:rPr>
          <w:rFonts w:ascii="黑体" w:hAnsi="黑体" w:eastAsia="黑体" w:cs="黑体"/>
          <w:sz w:val="32"/>
          <w:szCs w:val="32"/>
        </w:rPr>
      </w:pPr>
      <w:bookmarkStart w:id="235" w:name="_Toc3168"/>
      <w:r>
        <w:rPr>
          <w:rFonts w:hint="eastAsia" w:ascii="黑体" w:hAnsi="黑体" w:eastAsia="黑体" w:cs="黑体"/>
          <w:sz w:val="32"/>
          <w:szCs w:val="32"/>
        </w:rPr>
        <w:t>四、评价结论及问题建议</w:t>
      </w:r>
      <w:bookmarkEnd w:id="235"/>
    </w:p>
    <w:p w14:paraId="5876C21C">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6" w:name="_Toc10574"/>
      <w:r>
        <w:rPr>
          <w:rFonts w:hint="eastAsia" w:ascii="楷体" w:hAnsi="楷体" w:eastAsia="楷体" w:cs="楷体"/>
          <w:b/>
          <w:bCs/>
          <w:color w:val="000000" w:themeColor="text1"/>
          <w:sz w:val="32"/>
          <w:szCs w:val="32"/>
          <w:lang w:val="zh-CN"/>
          <w14:textFill>
            <w14:solidFill>
              <w14:schemeClr w14:val="tx1"/>
            </w14:solidFill>
          </w14:textFill>
        </w:rPr>
        <w:t>（一）评价结论</w:t>
      </w:r>
      <w:bookmarkEnd w:id="236"/>
    </w:p>
    <w:p w14:paraId="7FB7C6BC">
      <w:pPr>
        <w:adjustRightInd w:val="0"/>
        <w:snapToGrid w:val="0"/>
        <w:spacing w:line="576"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kern w:val="2"/>
          <w:sz w:val="32"/>
          <w:szCs w:val="32"/>
          <w:lang w:val="en-US" w:eastAsia="zh-CN" w:bidi="ar-SA"/>
        </w:rPr>
        <w:t>综合评价情况及评价结论：该项目以维护受灾群众生活生产秩序，增强群众抗旱意识和自救能力为出发点；以完善基础设施为保障点；真正使财政资金实现令人民满意和取得最大绩效。我镇按照《广元市昭化区财政支出事后绩效评价管理办法》（昭府办函〔2022〕37号）开展绩效评价，自评得分为98.5分。</w:t>
      </w:r>
    </w:p>
    <w:p w14:paraId="669AA04E">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7" w:name="_Toc14471"/>
      <w:r>
        <w:rPr>
          <w:rFonts w:hint="eastAsia" w:ascii="楷体" w:hAnsi="楷体" w:eastAsia="楷体" w:cs="楷体"/>
          <w:b/>
          <w:bCs/>
          <w:color w:val="000000" w:themeColor="text1"/>
          <w:sz w:val="32"/>
          <w:szCs w:val="32"/>
          <w:lang w:val="zh-CN"/>
          <w14:textFill>
            <w14:solidFill>
              <w14:schemeClr w14:val="tx1"/>
            </w14:solidFill>
          </w14:textFill>
        </w:rPr>
        <w:t>（二）存在的问题</w:t>
      </w:r>
      <w:bookmarkEnd w:id="237"/>
    </w:p>
    <w:p w14:paraId="7C441899">
      <w:pPr>
        <w:adjustRightInd w:val="0"/>
        <w:snapToGrid w:val="0"/>
        <w:spacing w:line="576"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各村抗旱预案未细化，底数不清。受灾群众覆盖面还有待不断扩充；部分群众未得到有效救助。</w:t>
      </w:r>
    </w:p>
    <w:p w14:paraId="6D79892D">
      <w:pPr>
        <w:spacing w:line="536" w:lineRule="exact"/>
        <w:ind w:firstLine="643" w:firstLineChars="200"/>
        <w:outlineLvl w:val="2"/>
        <w:rPr>
          <w:rFonts w:hint="eastAsia" w:ascii="楷体" w:hAnsi="楷体" w:eastAsia="楷体" w:cs="楷体"/>
          <w:b/>
          <w:bCs/>
          <w:color w:val="000000" w:themeColor="text1"/>
          <w:sz w:val="32"/>
          <w:szCs w:val="32"/>
          <w:lang w:val="zh-CN"/>
          <w14:textFill>
            <w14:solidFill>
              <w14:schemeClr w14:val="tx1"/>
            </w14:solidFill>
          </w14:textFill>
        </w:rPr>
      </w:pPr>
      <w:bookmarkStart w:id="238" w:name="_Toc67"/>
      <w:r>
        <w:rPr>
          <w:rFonts w:hint="eastAsia" w:ascii="楷体" w:hAnsi="楷体" w:eastAsia="楷体" w:cs="楷体"/>
          <w:b/>
          <w:bCs/>
          <w:color w:val="000000" w:themeColor="text1"/>
          <w:sz w:val="32"/>
          <w:szCs w:val="32"/>
          <w:lang w:val="zh-CN"/>
          <w14:textFill>
            <w14:solidFill>
              <w14:schemeClr w14:val="tx1"/>
            </w14:solidFill>
          </w14:textFill>
        </w:rPr>
        <w:t>（三）相关措施建议</w:t>
      </w:r>
      <w:bookmarkEnd w:id="238"/>
    </w:p>
    <w:p w14:paraId="0C933910">
      <w:pPr>
        <w:adjustRightInd w:val="0"/>
        <w:snapToGrid w:val="0"/>
        <w:spacing w:line="576"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完善应急调水预案，做好水源调度，合理利用雨洪资源，提高水资源利用效率；动员农民群众消除等靠思想，自觉投入抗旱工作中去。</w:t>
      </w:r>
    </w:p>
    <w:p w14:paraId="5406E6F4">
      <w:pPr>
        <w:rPr>
          <w:rFonts w:hint="eastAsia"/>
        </w:rPr>
      </w:pPr>
      <w:r>
        <w:rPr>
          <w:rFonts w:hint="eastAsia"/>
        </w:rPr>
        <w:br w:type="page"/>
      </w:r>
    </w:p>
    <w:p w14:paraId="30ED85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pacing w:val="0"/>
          <w:sz w:val="44"/>
          <w:szCs w:val="44"/>
        </w:rPr>
      </w:pPr>
      <w:r>
        <w:rPr>
          <w:rFonts w:hint="eastAsia" w:ascii="方正小标宋简体" w:hAnsi="方正小标宋简体" w:eastAsia="方正小标宋简体" w:cs="方正小标宋简体"/>
          <w:spacing w:val="0"/>
          <w:sz w:val="44"/>
          <w:szCs w:val="44"/>
        </w:rPr>
        <w:t>广元市昭化区财政项目(政策)支出绩效自评表</w:t>
      </w:r>
    </w:p>
    <w:p w14:paraId="09572DBA">
      <w:pPr>
        <w:spacing w:before="86" w:line="219" w:lineRule="auto"/>
        <w:ind w:left="3894"/>
        <w:rPr>
          <w:rFonts w:hint="eastAsia" w:ascii="宋体" w:hAnsi="宋体" w:eastAsia="宋体" w:cs="宋体"/>
          <w:sz w:val="22"/>
          <w:szCs w:val="22"/>
          <w:lang w:eastAsia="zh-CN"/>
        </w:rPr>
      </w:pPr>
      <w:r>
        <w:rPr>
          <w:rFonts w:hint="eastAsia" w:ascii="宋体" w:hAnsi="宋体" w:cs="宋体"/>
          <w:sz w:val="22"/>
          <w:szCs w:val="22"/>
          <w:lang w:eastAsia="zh-CN"/>
        </w:rPr>
        <w:t>（</w:t>
      </w:r>
      <w:r>
        <w:rPr>
          <w:rFonts w:hint="eastAsia" w:ascii="宋体" w:hAnsi="宋体" w:cs="宋体"/>
          <w:spacing w:val="32"/>
          <w:sz w:val="22"/>
          <w:szCs w:val="22"/>
        </w:rPr>
        <w:t>2022</w:t>
      </w:r>
      <w:r>
        <w:rPr>
          <w:rFonts w:ascii="宋体" w:hAnsi="宋体" w:cs="宋体"/>
          <w:spacing w:val="-14"/>
          <w:sz w:val="22"/>
          <w:szCs w:val="22"/>
        </w:rPr>
        <w:t>年度</w:t>
      </w:r>
      <w:r>
        <w:rPr>
          <w:rFonts w:hint="eastAsia" w:ascii="宋体" w:hAnsi="宋体" w:cs="宋体"/>
          <w:sz w:val="22"/>
          <w:szCs w:val="22"/>
          <w:lang w:eastAsia="zh-CN"/>
        </w:rPr>
        <w:t>）</w:t>
      </w:r>
    </w:p>
    <w:p w14:paraId="08784E52">
      <w:pPr>
        <w:spacing w:line="134" w:lineRule="exact"/>
      </w:pPr>
    </w:p>
    <w:tbl>
      <w:tblPr>
        <w:tblStyle w:val="39"/>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013A9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573327C6">
            <w:pPr>
              <w:spacing w:before="82" w:line="220" w:lineRule="auto"/>
              <w:ind w:left="75"/>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项目(政策)名称</w:t>
            </w:r>
          </w:p>
        </w:tc>
        <w:tc>
          <w:tcPr>
            <w:tcW w:w="7650" w:type="dxa"/>
            <w:gridSpan w:val="6"/>
          </w:tcPr>
          <w:p w14:paraId="7CD943D8">
            <w:pPr>
              <w:rPr>
                <w:rFonts w:hint="eastAsia" w:ascii="仿宋_GB2312" w:hAnsi="仿宋_GB2312" w:eastAsia="仿宋_GB2312" w:cs="仿宋_GB2312"/>
                <w:sz w:val="21"/>
                <w:szCs w:val="21"/>
              </w:rPr>
            </w:pPr>
            <w:r>
              <w:rPr>
                <w:rFonts w:hint="eastAsia" w:ascii="仿宋_GB2312" w:hAnsi="仿宋_GB2312" w:eastAsia="仿宋_GB2312" w:cs="仿宋_GB2312"/>
                <w:color w:val="000000" w:themeColor="text1"/>
                <w:sz w:val="21"/>
                <w:szCs w:val="21"/>
                <w14:textFill>
                  <w14:solidFill>
                    <w14:schemeClr w14:val="tx1"/>
                  </w14:solidFill>
                </w14:textFill>
              </w:rPr>
              <w:t>抗旱应急财政补助资金</w:t>
            </w:r>
          </w:p>
        </w:tc>
      </w:tr>
      <w:tr w14:paraId="6896C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0A8694BD">
            <w:pPr>
              <w:spacing w:before="78" w:line="219" w:lineRule="auto"/>
              <w:ind w:left="40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主管部门</w:t>
            </w:r>
          </w:p>
        </w:tc>
        <w:tc>
          <w:tcPr>
            <w:tcW w:w="4230" w:type="dxa"/>
            <w:gridSpan w:val="4"/>
          </w:tcPr>
          <w:p w14:paraId="11A8A09D">
            <w:pPr>
              <w:rPr>
                <w:rFonts w:hint="eastAsia" w:ascii="仿宋_GB2312" w:hAnsi="仿宋_GB2312" w:eastAsia="仿宋_GB2312" w:cs="仿宋_GB2312"/>
                <w:sz w:val="21"/>
                <w:szCs w:val="21"/>
              </w:rPr>
            </w:pPr>
            <w:r>
              <w:rPr>
                <w:rFonts w:hint="eastAsia" w:ascii="仿宋_GB2312" w:hAnsi="仿宋_GB2312" w:eastAsia="仿宋_GB2312" w:cs="仿宋_GB2312"/>
                <w:color w:val="000000" w:themeColor="text1"/>
                <w:sz w:val="21"/>
                <w:szCs w:val="21"/>
                <w14:textFill>
                  <w14:solidFill>
                    <w14:schemeClr w14:val="tx1"/>
                  </w14:solidFill>
                </w14:textFill>
              </w:rPr>
              <w:t>广元市昭化区人民政府</w:t>
            </w:r>
          </w:p>
        </w:tc>
        <w:tc>
          <w:tcPr>
            <w:tcW w:w="951" w:type="dxa"/>
          </w:tcPr>
          <w:p w14:paraId="39C1159F">
            <w:pPr>
              <w:spacing w:before="78" w:line="219"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实施单位</w:t>
            </w:r>
          </w:p>
        </w:tc>
        <w:tc>
          <w:tcPr>
            <w:tcW w:w="2469" w:type="dxa"/>
          </w:tcPr>
          <w:p w14:paraId="18112AB7">
            <w:pPr>
              <w:spacing w:before="78" w:line="219" w:lineRule="auto"/>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lang w:eastAsia="zh-CN"/>
              </w:rPr>
              <w:t>磨滩</w:t>
            </w:r>
            <w:r>
              <w:rPr>
                <w:rFonts w:hint="eastAsia" w:ascii="仿宋_GB2312" w:hAnsi="仿宋_GB2312" w:eastAsia="仿宋_GB2312" w:cs="仿宋_GB2312"/>
                <w:spacing w:val="4"/>
                <w:sz w:val="21"/>
                <w:szCs w:val="21"/>
              </w:rPr>
              <w:t>镇人民政府</w:t>
            </w:r>
          </w:p>
        </w:tc>
      </w:tr>
      <w:tr w14:paraId="29C66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2839AECC">
            <w:pPr>
              <w:spacing w:line="279" w:lineRule="auto"/>
              <w:rPr>
                <w:rFonts w:hint="eastAsia" w:ascii="仿宋_GB2312" w:hAnsi="仿宋_GB2312" w:eastAsia="仿宋_GB2312" w:cs="仿宋_GB2312"/>
                <w:sz w:val="21"/>
                <w:szCs w:val="21"/>
              </w:rPr>
            </w:pPr>
          </w:p>
          <w:p w14:paraId="05FB9558">
            <w:pPr>
              <w:spacing w:line="279" w:lineRule="auto"/>
              <w:rPr>
                <w:rFonts w:hint="eastAsia" w:ascii="仿宋_GB2312" w:hAnsi="仿宋_GB2312" w:eastAsia="仿宋_GB2312" w:cs="仿宋_GB2312"/>
                <w:sz w:val="21"/>
                <w:szCs w:val="21"/>
              </w:rPr>
            </w:pPr>
          </w:p>
          <w:p w14:paraId="513F887A">
            <w:pPr>
              <w:spacing w:line="279" w:lineRule="auto"/>
              <w:rPr>
                <w:rFonts w:hint="eastAsia" w:ascii="仿宋_GB2312" w:hAnsi="仿宋_GB2312" w:eastAsia="仿宋_GB2312" w:cs="仿宋_GB2312"/>
                <w:sz w:val="21"/>
                <w:szCs w:val="21"/>
              </w:rPr>
            </w:pPr>
          </w:p>
          <w:p w14:paraId="50F3BC43">
            <w:pPr>
              <w:spacing w:line="279" w:lineRule="auto"/>
              <w:rPr>
                <w:rFonts w:hint="eastAsia" w:ascii="仿宋_GB2312" w:hAnsi="仿宋_GB2312" w:eastAsia="仿宋_GB2312" w:cs="仿宋_GB2312"/>
                <w:sz w:val="21"/>
                <w:szCs w:val="21"/>
              </w:rPr>
            </w:pPr>
          </w:p>
          <w:p w14:paraId="540D743C">
            <w:pPr>
              <w:keepNext w:val="0"/>
              <w:keepLines w:val="0"/>
              <w:pageBreakBefore w:val="0"/>
              <w:widowControl w:val="0"/>
              <w:kinsoku/>
              <w:wordWrap/>
              <w:overflowPunct/>
              <w:topLinePunct w:val="0"/>
              <w:autoSpaceDE/>
              <w:autoSpaceDN/>
              <w:bidi w:val="0"/>
              <w:adjustRightInd/>
              <w:snapToGrid/>
              <w:spacing w:line="560" w:lineRule="exact"/>
              <w:ind w:left="0" w:right="0" w:firstLine="0"/>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项目(政策)资金</w:t>
            </w:r>
            <w:r>
              <w:rPr>
                <w:rFonts w:hint="eastAsia" w:ascii="仿宋_GB2312" w:hAnsi="仿宋_GB2312" w:eastAsia="仿宋_GB2312" w:cs="仿宋_GB2312"/>
                <w:spacing w:val="9"/>
                <w:sz w:val="21"/>
                <w:szCs w:val="21"/>
              </w:rPr>
              <w:t>(万元)</w:t>
            </w:r>
          </w:p>
        </w:tc>
        <w:tc>
          <w:tcPr>
            <w:tcW w:w="1777" w:type="dxa"/>
            <w:gridSpan w:val="2"/>
          </w:tcPr>
          <w:p w14:paraId="63E0F9CB">
            <w:pPr>
              <w:rPr>
                <w:rFonts w:hint="eastAsia" w:ascii="仿宋_GB2312" w:hAnsi="仿宋_GB2312" w:eastAsia="仿宋_GB2312" w:cs="仿宋_GB2312"/>
                <w:sz w:val="21"/>
                <w:szCs w:val="21"/>
              </w:rPr>
            </w:pPr>
          </w:p>
        </w:tc>
        <w:tc>
          <w:tcPr>
            <w:tcW w:w="1308" w:type="dxa"/>
          </w:tcPr>
          <w:p w14:paraId="7BC1C2A1">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年初预算数</w:t>
            </w:r>
          </w:p>
        </w:tc>
        <w:tc>
          <w:tcPr>
            <w:tcW w:w="1145" w:type="dxa"/>
          </w:tcPr>
          <w:p w14:paraId="7798A171">
            <w:pPr>
              <w:spacing w:before="98"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全年预算数</w:t>
            </w:r>
          </w:p>
        </w:tc>
        <w:tc>
          <w:tcPr>
            <w:tcW w:w="951" w:type="dxa"/>
          </w:tcPr>
          <w:p w14:paraId="221508C3">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全年执行数</w:t>
            </w:r>
          </w:p>
        </w:tc>
        <w:tc>
          <w:tcPr>
            <w:tcW w:w="2469" w:type="dxa"/>
          </w:tcPr>
          <w:p w14:paraId="4D2842AA">
            <w:pPr>
              <w:spacing w:before="77"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执行率</w:t>
            </w:r>
          </w:p>
        </w:tc>
      </w:tr>
      <w:tr w14:paraId="282A0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81D0C6F">
            <w:pPr>
              <w:rPr>
                <w:rFonts w:hint="eastAsia" w:ascii="仿宋_GB2312" w:hAnsi="仿宋_GB2312" w:eastAsia="仿宋_GB2312" w:cs="仿宋_GB2312"/>
                <w:sz w:val="21"/>
                <w:szCs w:val="21"/>
              </w:rPr>
            </w:pPr>
          </w:p>
        </w:tc>
        <w:tc>
          <w:tcPr>
            <w:tcW w:w="1777" w:type="dxa"/>
            <w:gridSpan w:val="2"/>
          </w:tcPr>
          <w:p w14:paraId="1239BFF8">
            <w:pPr>
              <w:spacing w:before="7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年度资金总额</w:t>
            </w:r>
          </w:p>
        </w:tc>
        <w:tc>
          <w:tcPr>
            <w:tcW w:w="1308" w:type="dxa"/>
          </w:tcPr>
          <w:p w14:paraId="10EC3CC2">
            <w:pPr>
              <w:spacing w:before="77"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val="en-US" w:eastAsia="zh-CN"/>
              </w:rPr>
              <w:t>8</w:t>
            </w:r>
          </w:p>
        </w:tc>
        <w:tc>
          <w:tcPr>
            <w:tcW w:w="1145" w:type="dxa"/>
          </w:tcPr>
          <w:p w14:paraId="3806ED3C">
            <w:pPr>
              <w:spacing w:before="77"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val="en-US" w:eastAsia="zh-CN"/>
              </w:rPr>
              <w:t>8</w:t>
            </w:r>
          </w:p>
        </w:tc>
        <w:tc>
          <w:tcPr>
            <w:tcW w:w="951" w:type="dxa"/>
          </w:tcPr>
          <w:p w14:paraId="7958CDDD">
            <w:pPr>
              <w:spacing w:before="77" w:line="219" w:lineRule="auto"/>
              <w:jc w:val="center"/>
              <w:rPr>
                <w:rFonts w:hint="eastAsia" w:ascii="仿宋_GB2312" w:hAnsi="仿宋_GB2312" w:eastAsia="仿宋_GB2312" w:cs="仿宋_GB2312"/>
                <w:spacing w:val="-2"/>
                <w:sz w:val="21"/>
                <w:szCs w:val="21"/>
                <w:lang w:eastAsia="zh-CN"/>
              </w:rPr>
            </w:pPr>
            <w:r>
              <w:rPr>
                <w:rFonts w:hint="eastAsia" w:ascii="仿宋_GB2312" w:hAnsi="仿宋_GB2312" w:eastAsia="仿宋_GB2312" w:cs="仿宋_GB2312"/>
                <w:spacing w:val="-2"/>
                <w:sz w:val="21"/>
                <w:szCs w:val="21"/>
                <w:lang w:val="en-US" w:eastAsia="zh-CN"/>
              </w:rPr>
              <w:t>8</w:t>
            </w:r>
          </w:p>
        </w:tc>
        <w:tc>
          <w:tcPr>
            <w:tcW w:w="2469" w:type="dxa"/>
            <w:vAlign w:val="center"/>
          </w:tcPr>
          <w:p w14:paraId="65838E9B">
            <w:pPr>
              <w:spacing w:before="77" w:line="219"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100%</w:t>
            </w:r>
          </w:p>
        </w:tc>
      </w:tr>
      <w:tr w14:paraId="24E9C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4EEBF685">
            <w:pPr>
              <w:rPr>
                <w:rFonts w:hint="eastAsia" w:ascii="仿宋_GB2312" w:hAnsi="仿宋_GB2312" w:eastAsia="仿宋_GB2312" w:cs="仿宋_GB2312"/>
                <w:sz w:val="21"/>
                <w:szCs w:val="21"/>
              </w:rPr>
            </w:pPr>
          </w:p>
        </w:tc>
        <w:tc>
          <w:tcPr>
            <w:tcW w:w="1777" w:type="dxa"/>
            <w:gridSpan w:val="2"/>
          </w:tcPr>
          <w:p w14:paraId="1D5E7945">
            <w:pPr>
              <w:spacing w:before="10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(一)财政拨款小计</w:t>
            </w:r>
          </w:p>
        </w:tc>
        <w:tc>
          <w:tcPr>
            <w:tcW w:w="1308" w:type="dxa"/>
          </w:tcPr>
          <w:p w14:paraId="4AA1D364">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8</w:t>
            </w:r>
          </w:p>
        </w:tc>
        <w:tc>
          <w:tcPr>
            <w:tcW w:w="1145" w:type="dxa"/>
          </w:tcPr>
          <w:p w14:paraId="5CE3A18F">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8</w:t>
            </w:r>
          </w:p>
        </w:tc>
        <w:tc>
          <w:tcPr>
            <w:tcW w:w="951" w:type="dxa"/>
          </w:tcPr>
          <w:p w14:paraId="0CAF444E">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8</w:t>
            </w:r>
          </w:p>
        </w:tc>
        <w:tc>
          <w:tcPr>
            <w:tcW w:w="2469" w:type="dxa"/>
            <w:vAlign w:val="center"/>
          </w:tcPr>
          <w:p w14:paraId="4A375CB1">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100%</w:t>
            </w:r>
          </w:p>
        </w:tc>
      </w:tr>
      <w:tr w14:paraId="4C695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862E3D4">
            <w:pPr>
              <w:rPr>
                <w:rFonts w:hint="eastAsia" w:ascii="仿宋_GB2312" w:hAnsi="仿宋_GB2312" w:eastAsia="仿宋_GB2312" w:cs="仿宋_GB2312"/>
                <w:sz w:val="21"/>
                <w:szCs w:val="21"/>
              </w:rPr>
            </w:pPr>
          </w:p>
        </w:tc>
        <w:tc>
          <w:tcPr>
            <w:tcW w:w="1777" w:type="dxa"/>
            <w:gridSpan w:val="2"/>
          </w:tcPr>
          <w:p w14:paraId="65A37807">
            <w:pPr>
              <w:spacing w:before="80"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1.一般公共预算</w:t>
            </w:r>
          </w:p>
        </w:tc>
        <w:tc>
          <w:tcPr>
            <w:tcW w:w="1308" w:type="dxa"/>
          </w:tcPr>
          <w:p w14:paraId="7EB618CB">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8</w:t>
            </w:r>
          </w:p>
        </w:tc>
        <w:tc>
          <w:tcPr>
            <w:tcW w:w="1145" w:type="dxa"/>
          </w:tcPr>
          <w:p w14:paraId="5A4B9337">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8</w:t>
            </w:r>
          </w:p>
        </w:tc>
        <w:tc>
          <w:tcPr>
            <w:tcW w:w="951" w:type="dxa"/>
          </w:tcPr>
          <w:p w14:paraId="6E69BC97">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pacing w:val="-2"/>
                <w:sz w:val="21"/>
                <w:szCs w:val="21"/>
                <w:lang w:val="en-US" w:eastAsia="zh-CN"/>
              </w:rPr>
              <w:t>8</w:t>
            </w:r>
          </w:p>
        </w:tc>
        <w:tc>
          <w:tcPr>
            <w:tcW w:w="2469" w:type="dxa"/>
            <w:vAlign w:val="center"/>
          </w:tcPr>
          <w:p w14:paraId="4E5177B1">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100%</w:t>
            </w:r>
          </w:p>
        </w:tc>
      </w:tr>
      <w:tr w14:paraId="44318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C124BEA">
            <w:pPr>
              <w:rPr>
                <w:rFonts w:hint="eastAsia" w:ascii="仿宋_GB2312" w:hAnsi="仿宋_GB2312" w:eastAsia="仿宋_GB2312" w:cs="仿宋_GB2312"/>
                <w:sz w:val="21"/>
                <w:szCs w:val="21"/>
              </w:rPr>
            </w:pPr>
          </w:p>
        </w:tc>
        <w:tc>
          <w:tcPr>
            <w:tcW w:w="1777" w:type="dxa"/>
            <w:gridSpan w:val="2"/>
          </w:tcPr>
          <w:p w14:paraId="2DA4587F">
            <w:pPr>
              <w:spacing w:before="78"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2.政府性基金</w:t>
            </w:r>
          </w:p>
        </w:tc>
        <w:tc>
          <w:tcPr>
            <w:tcW w:w="1308" w:type="dxa"/>
          </w:tcPr>
          <w:p w14:paraId="0C554C73">
            <w:pPr>
              <w:rPr>
                <w:rFonts w:hint="eastAsia" w:ascii="仿宋_GB2312" w:hAnsi="仿宋_GB2312" w:eastAsia="仿宋_GB2312" w:cs="仿宋_GB2312"/>
                <w:sz w:val="21"/>
                <w:szCs w:val="21"/>
              </w:rPr>
            </w:pPr>
          </w:p>
        </w:tc>
        <w:tc>
          <w:tcPr>
            <w:tcW w:w="1145" w:type="dxa"/>
          </w:tcPr>
          <w:p w14:paraId="1E499E35">
            <w:pPr>
              <w:rPr>
                <w:rFonts w:hint="eastAsia" w:ascii="仿宋_GB2312" w:hAnsi="仿宋_GB2312" w:eastAsia="仿宋_GB2312" w:cs="仿宋_GB2312"/>
                <w:sz w:val="21"/>
                <w:szCs w:val="21"/>
              </w:rPr>
            </w:pPr>
          </w:p>
        </w:tc>
        <w:tc>
          <w:tcPr>
            <w:tcW w:w="951" w:type="dxa"/>
          </w:tcPr>
          <w:p w14:paraId="73487DC7">
            <w:pPr>
              <w:rPr>
                <w:rFonts w:hint="eastAsia" w:ascii="仿宋_GB2312" w:hAnsi="仿宋_GB2312" w:eastAsia="仿宋_GB2312" w:cs="仿宋_GB2312"/>
                <w:sz w:val="21"/>
                <w:szCs w:val="21"/>
              </w:rPr>
            </w:pPr>
          </w:p>
        </w:tc>
        <w:tc>
          <w:tcPr>
            <w:tcW w:w="2469" w:type="dxa"/>
          </w:tcPr>
          <w:p w14:paraId="05B9B647">
            <w:pPr>
              <w:rPr>
                <w:rFonts w:hint="eastAsia" w:ascii="仿宋_GB2312" w:hAnsi="仿宋_GB2312" w:eastAsia="仿宋_GB2312" w:cs="仿宋_GB2312"/>
                <w:sz w:val="21"/>
                <w:szCs w:val="21"/>
              </w:rPr>
            </w:pPr>
          </w:p>
        </w:tc>
      </w:tr>
      <w:tr w14:paraId="78BA8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DCBD1CC">
            <w:pPr>
              <w:rPr>
                <w:rFonts w:hint="eastAsia" w:ascii="仿宋_GB2312" w:hAnsi="仿宋_GB2312" w:eastAsia="仿宋_GB2312" w:cs="仿宋_GB2312"/>
                <w:sz w:val="21"/>
                <w:szCs w:val="21"/>
              </w:rPr>
            </w:pPr>
          </w:p>
        </w:tc>
        <w:tc>
          <w:tcPr>
            <w:tcW w:w="1777" w:type="dxa"/>
            <w:gridSpan w:val="2"/>
          </w:tcPr>
          <w:p w14:paraId="022F9BAB">
            <w:pPr>
              <w:spacing w:before="119"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3.国有资本经营预算</w:t>
            </w:r>
          </w:p>
        </w:tc>
        <w:tc>
          <w:tcPr>
            <w:tcW w:w="1308" w:type="dxa"/>
          </w:tcPr>
          <w:p w14:paraId="5CCDE80C">
            <w:pPr>
              <w:rPr>
                <w:rFonts w:hint="eastAsia" w:ascii="仿宋_GB2312" w:hAnsi="仿宋_GB2312" w:eastAsia="仿宋_GB2312" w:cs="仿宋_GB2312"/>
                <w:sz w:val="21"/>
                <w:szCs w:val="21"/>
              </w:rPr>
            </w:pPr>
          </w:p>
        </w:tc>
        <w:tc>
          <w:tcPr>
            <w:tcW w:w="1145" w:type="dxa"/>
          </w:tcPr>
          <w:p w14:paraId="0940B0AF">
            <w:pPr>
              <w:rPr>
                <w:rFonts w:hint="eastAsia" w:ascii="仿宋_GB2312" w:hAnsi="仿宋_GB2312" w:eastAsia="仿宋_GB2312" w:cs="仿宋_GB2312"/>
                <w:sz w:val="21"/>
                <w:szCs w:val="21"/>
              </w:rPr>
            </w:pPr>
          </w:p>
        </w:tc>
        <w:tc>
          <w:tcPr>
            <w:tcW w:w="951" w:type="dxa"/>
          </w:tcPr>
          <w:p w14:paraId="5FA62482">
            <w:pPr>
              <w:rPr>
                <w:rFonts w:hint="eastAsia" w:ascii="仿宋_GB2312" w:hAnsi="仿宋_GB2312" w:eastAsia="仿宋_GB2312" w:cs="仿宋_GB2312"/>
                <w:sz w:val="21"/>
                <w:szCs w:val="21"/>
              </w:rPr>
            </w:pPr>
          </w:p>
        </w:tc>
        <w:tc>
          <w:tcPr>
            <w:tcW w:w="2469" w:type="dxa"/>
          </w:tcPr>
          <w:p w14:paraId="24049A2F">
            <w:pPr>
              <w:rPr>
                <w:rFonts w:hint="eastAsia" w:ascii="仿宋_GB2312" w:hAnsi="仿宋_GB2312" w:eastAsia="仿宋_GB2312" w:cs="仿宋_GB2312"/>
                <w:sz w:val="21"/>
                <w:szCs w:val="21"/>
              </w:rPr>
            </w:pPr>
          </w:p>
        </w:tc>
      </w:tr>
      <w:tr w14:paraId="0569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7BBCFF8E">
            <w:pPr>
              <w:rPr>
                <w:rFonts w:hint="eastAsia" w:ascii="仿宋_GB2312" w:hAnsi="仿宋_GB2312" w:eastAsia="仿宋_GB2312" w:cs="仿宋_GB2312"/>
                <w:sz w:val="21"/>
                <w:szCs w:val="21"/>
              </w:rPr>
            </w:pPr>
          </w:p>
        </w:tc>
        <w:tc>
          <w:tcPr>
            <w:tcW w:w="1777" w:type="dxa"/>
            <w:gridSpan w:val="2"/>
          </w:tcPr>
          <w:p w14:paraId="6FD81C4F">
            <w:pPr>
              <w:spacing w:before="82" w:line="219"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4.社保基金</w:t>
            </w:r>
          </w:p>
        </w:tc>
        <w:tc>
          <w:tcPr>
            <w:tcW w:w="1308" w:type="dxa"/>
          </w:tcPr>
          <w:p w14:paraId="34219304">
            <w:pPr>
              <w:rPr>
                <w:rFonts w:hint="eastAsia" w:ascii="仿宋_GB2312" w:hAnsi="仿宋_GB2312" w:eastAsia="仿宋_GB2312" w:cs="仿宋_GB2312"/>
                <w:sz w:val="21"/>
                <w:szCs w:val="21"/>
              </w:rPr>
            </w:pPr>
          </w:p>
        </w:tc>
        <w:tc>
          <w:tcPr>
            <w:tcW w:w="1145" w:type="dxa"/>
          </w:tcPr>
          <w:p w14:paraId="2A119292">
            <w:pPr>
              <w:rPr>
                <w:rFonts w:hint="eastAsia" w:ascii="仿宋_GB2312" w:hAnsi="仿宋_GB2312" w:eastAsia="仿宋_GB2312" w:cs="仿宋_GB2312"/>
                <w:sz w:val="21"/>
                <w:szCs w:val="21"/>
              </w:rPr>
            </w:pPr>
          </w:p>
        </w:tc>
        <w:tc>
          <w:tcPr>
            <w:tcW w:w="951" w:type="dxa"/>
          </w:tcPr>
          <w:p w14:paraId="0BDAE38C">
            <w:pPr>
              <w:rPr>
                <w:rFonts w:hint="eastAsia" w:ascii="仿宋_GB2312" w:hAnsi="仿宋_GB2312" w:eastAsia="仿宋_GB2312" w:cs="仿宋_GB2312"/>
                <w:sz w:val="21"/>
                <w:szCs w:val="21"/>
              </w:rPr>
            </w:pPr>
          </w:p>
        </w:tc>
        <w:tc>
          <w:tcPr>
            <w:tcW w:w="2469" w:type="dxa"/>
          </w:tcPr>
          <w:p w14:paraId="41D817BC">
            <w:pPr>
              <w:rPr>
                <w:rFonts w:hint="eastAsia" w:ascii="仿宋_GB2312" w:hAnsi="仿宋_GB2312" w:eastAsia="仿宋_GB2312" w:cs="仿宋_GB2312"/>
                <w:sz w:val="21"/>
                <w:szCs w:val="21"/>
              </w:rPr>
            </w:pPr>
          </w:p>
        </w:tc>
      </w:tr>
      <w:tr w14:paraId="1D28B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7BA7AA9A">
            <w:pPr>
              <w:rPr>
                <w:rFonts w:hint="eastAsia" w:ascii="仿宋_GB2312" w:hAnsi="仿宋_GB2312" w:eastAsia="仿宋_GB2312" w:cs="仿宋_GB2312"/>
                <w:sz w:val="21"/>
                <w:szCs w:val="21"/>
              </w:rPr>
            </w:pPr>
          </w:p>
        </w:tc>
        <w:tc>
          <w:tcPr>
            <w:tcW w:w="1777" w:type="dxa"/>
            <w:gridSpan w:val="2"/>
          </w:tcPr>
          <w:p w14:paraId="4100FF89">
            <w:pPr>
              <w:spacing w:before="112" w:line="220" w:lineRule="auto"/>
              <w:ind w:left="151"/>
              <w:rPr>
                <w:rFonts w:hint="eastAsia" w:ascii="仿宋_GB2312" w:hAnsi="仿宋_GB2312" w:eastAsia="仿宋_GB2312" w:cs="仿宋_GB2312"/>
                <w:sz w:val="21"/>
                <w:szCs w:val="21"/>
              </w:rPr>
            </w:pPr>
            <w:r>
              <w:rPr>
                <w:rFonts w:hint="eastAsia" w:ascii="仿宋_GB2312" w:hAnsi="仿宋_GB2312" w:eastAsia="仿宋_GB2312" w:cs="仿宋_GB2312"/>
                <w:spacing w:val="1"/>
                <w:sz w:val="21"/>
                <w:szCs w:val="21"/>
              </w:rPr>
              <w:t>(二)其他资金</w:t>
            </w:r>
          </w:p>
        </w:tc>
        <w:tc>
          <w:tcPr>
            <w:tcW w:w="1308" w:type="dxa"/>
          </w:tcPr>
          <w:p w14:paraId="50C5DB15">
            <w:pPr>
              <w:rPr>
                <w:rFonts w:hint="eastAsia" w:ascii="仿宋_GB2312" w:hAnsi="仿宋_GB2312" w:eastAsia="仿宋_GB2312" w:cs="仿宋_GB2312"/>
                <w:sz w:val="21"/>
                <w:szCs w:val="21"/>
              </w:rPr>
            </w:pPr>
          </w:p>
        </w:tc>
        <w:tc>
          <w:tcPr>
            <w:tcW w:w="1145" w:type="dxa"/>
          </w:tcPr>
          <w:p w14:paraId="2461C006">
            <w:pPr>
              <w:rPr>
                <w:rFonts w:hint="eastAsia" w:ascii="仿宋_GB2312" w:hAnsi="仿宋_GB2312" w:eastAsia="仿宋_GB2312" w:cs="仿宋_GB2312"/>
                <w:sz w:val="21"/>
                <w:szCs w:val="21"/>
              </w:rPr>
            </w:pPr>
          </w:p>
        </w:tc>
        <w:tc>
          <w:tcPr>
            <w:tcW w:w="951" w:type="dxa"/>
          </w:tcPr>
          <w:p w14:paraId="03B27FF2">
            <w:pPr>
              <w:rPr>
                <w:rFonts w:hint="eastAsia" w:ascii="仿宋_GB2312" w:hAnsi="仿宋_GB2312" w:eastAsia="仿宋_GB2312" w:cs="仿宋_GB2312"/>
                <w:sz w:val="21"/>
                <w:szCs w:val="21"/>
              </w:rPr>
            </w:pPr>
          </w:p>
        </w:tc>
        <w:tc>
          <w:tcPr>
            <w:tcW w:w="2469" w:type="dxa"/>
          </w:tcPr>
          <w:p w14:paraId="6825155C">
            <w:pPr>
              <w:rPr>
                <w:rFonts w:hint="eastAsia" w:ascii="仿宋_GB2312" w:hAnsi="仿宋_GB2312" w:eastAsia="仿宋_GB2312" w:cs="仿宋_GB2312"/>
                <w:sz w:val="21"/>
                <w:szCs w:val="21"/>
              </w:rPr>
            </w:pPr>
          </w:p>
        </w:tc>
      </w:tr>
      <w:tr w14:paraId="2AD41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1D8AD45B">
            <w:pPr>
              <w:spacing w:line="385" w:lineRule="auto"/>
              <w:rPr>
                <w:rFonts w:hint="eastAsia" w:ascii="仿宋_GB2312" w:hAnsi="仿宋_GB2312" w:eastAsia="仿宋_GB2312" w:cs="仿宋_GB2312"/>
                <w:sz w:val="21"/>
                <w:szCs w:val="21"/>
              </w:rPr>
            </w:pPr>
          </w:p>
          <w:p w14:paraId="0EA379B4">
            <w:pPr>
              <w:spacing w:before="55" w:line="219" w:lineRule="auto"/>
              <w:ind w:left="194" w:right="2" w:hanging="139"/>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年度总体</w:t>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pacing w:val="6"/>
                <w:sz w:val="21"/>
                <w:szCs w:val="21"/>
              </w:rPr>
              <w:t>目标</w:t>
            </w:r>
          </w:p>
        </w:tc>
        <w:tc>
          <w:tcPr>
            <w:tcW w:w="5933" w:type="dxa"/>
            <w:gridSpan w:val="6"/>
          </w:tcPr>
          <w:p w14:paraId="19359667">
            <w:pPr>
              <w:spacing w:before="183"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预期目标</w:t>
            </w:r>
          </w:p>
        </w:tc>
        <w:tc>
          <w:tcPr>
            <w:tcW w:w="2469" w:type="dxa"/>
          </w:tcPr>
          <w:p w14:paraId="23C8A3E9">
            <w:pPr>
              <w:spacing w:before="183" w:line="220" w:lineRule="auto"/>
              <w:jc w:val="cente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rPr>
              <w:t>完成情况</w:t>
            </w:r>
          </w:p>
        </w:tc>
      </w:tr>
      <w:tr w14:paraId="53B9B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2AF14803">
            <w:pPr>
              <w:rPr>
                <w:rFonts w:hint="eastAsia" w:ascii="仿宋_GB2312" w:hAnsi="仿宋_GB2312" w:eastAsia="仿宋_GB2312" w:cs="仿宋_GB2312"/>
                <w:sz w:val="21"/>
                <w:szCs w:val="21"/>
              </w:rPr>
            </w:pPr>
          </w:p>
        </w:tc>
        <w:tc>
          <w:tcPr>
            <w:tcW w:w="5933" w:type="dxa"/>
            <w:gridSpan w:val="6"/>
            <w:vAlign w:val="center"/>
          </w:tcPr>
          <w:p w14:paraId="3441BC43">
            <w:pP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lang w:val="zh-CN"/>
              </w:rPr>
              <w:t xml:space="preserve">    用于送水燃油、抽水电价的补助及人饮及渠系维护，解决受灾人畜饮水困难问题，确保受灾群众生活生产秩序正常，增强群众抗旱意识和自救能力，使受灾群众对解决生活饮水、抗旱满意度达98%。</w:t>
            </w:r>
          </w:p>
          <w:p w14:paraId="24DE35D9">
            <w:pPr>
              <w:rPr>
                <w:rFonts w:hint="eastAsia" w:ascii="仿宋_GB2312" w:hAnsi="仿宋_GB2312" w:eastAsia="仿宋_GB2312" w:cs="仿宋_GB2312"/>
                <w:sz w:val="21"/>
                <w:szCs w:val="21"/>
              </w:rPr>
            </w:pPr>
          </w:p>
        </w:tc>
        <w:tc>
          <w:tcPr>
            <w:tcW w:w="2469" w:type="dxa"/>
            <w:vAlign w:val="center"/>
          </w:tcPr>
          <w:p w14:paraId="48E6CD5D">
            <w:pPr>
              <w:rPr>
                <w:rFonts w:hint="eastAsia" w:ascii="仿宋_GB2312" w:hAnsi="仿宋_GB2312" w:eastAsia="仿宋_GB2312" w:cs="仿宋_GB2312"/>
                <w:spacing w:val="-2"/>
                <w:sz w:val="21"/>
                <w:szCs w:val="21"/>
              </w:rPr>
            </w:pPr>
            <w:r>
              <w:rPr>
                <w:rFonts w:hint="eastAsia" w:ascii="仿宋_GB2312" w:hAnsi="仿宋_GB2312" w:eastAsia="仿宋_GB2312" w:cs="仿宋_GB2312"/>
                <w:spacing w:val="-2"/>
                <w:sz w:val="21"/>
                <w:szCs w:val="21"/>
                <w:lang w:val="zh-CN"/>
              </w:rPr>
              <w:t xml:space="preserve">     用于送水燃油、抽水电价的补助及人饮及渠系维护，解决受灾人畜饮水困难问题，确保受灾群众生活生产秩序正常，增强群众抗旱意识和自救能力，使受灾群众对解决生活饮水、抗旱满意度达98%。</w:t>
            </w:r>
          </w:p>
          <w:p w14:paraId="3EB6766B">
            <w:pPr>
              <w:spacing w:before="183" w:line="220" w:lineRule="auto"/>
              <w:rPr>
                <w:rFonts w:hint="eastAsia" w:ascii="仿宋_GB2312" w:hAnsi="仿宋_GB2312" w:eastAsia="仿宋_GB2312" w:cs="仿宋_GB2312"/>
                <w:spacing w:val="-2"/>
                <w:sz w:val="21"/>
                <w:szCs w:val="21"/>
              </w:rPr>
            </w:pPr>
          </w:p>
        </w:tc>
      </w:tr>
      <w:tr w14:paraId="0287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11FB53F2">
            <w:pPr>
              <w:spacing w:line="253" w:lineRule="auto"/>
              <w:jc w:val="center"/>
              <w:rPr>
                <w:rFonts w:hint="eastAsia" w:ascii="仿宋_GB2312" w:hAnsi="仿宋_GB2312" w:eastAsia="仿宋_GB2312" w:cs="仿宋_GB2312"/>
                <w:sz w:val="21"/>
                <w:szCs w:val="21"/>
              </w:rPr>
            </w:pPr>
          </w:p>
          <w:p w14:paraId="310D38E4">
            <w:pPr>
              <w:spacing w:line="253" w:lineRule="auto"/>
              <w:jc w:val="center"/>
              <w:rPr>
                <w:rFonts w:hint="eastAsia" w:ascii="仿宋_GB2312" w:hAnsi="仿宋_GB2312" w:eastAsia="仿宋_GB2312" w:cs="仿宋_GB2312"/>
                <w:sz w:val="21"/>
                <w:szCs w:val="21"/>
              </w:rPr>
            </w:pPr>
          </w:p>
          <w:p w14:paraId="1E2F529A">
            <w:pPr>
              <w:spacing w:line="253" w:lineRule="auto"/>
              <w:jc w:val="center"/>
              <w:rPr>
                <w:rFonts w:hint="eastAsia" w:ascii="仿宋_GB2312" w:hAnsi="仿宋_GB2312" w:eastAsia="仿宋_GB2312" w:cs="仿宋_GB2312"/>
                <w:sz w:val="21"/>
                <w:szCs w:val="21"/>
              </w:rPr>
            </w:pPr>
          </w:p>
          <w:p w14:paraId="7867D3CF">
            <w:pPr>
              <w:spacing w:line="254" w:lineRule="auto"/>
              <w:jc w:val="center"/>
              <w:rPr>
                <w:rFonts w:hint="eastAsia" w:ascii="仿宋_GB2312" w:hAnsi="仿宋_GB2312" w:eastAsia="仿宋_GB2312" w:cs="仿宋_GB2312"/>
                <w:sz w:val="21"/>
                <w:szCs w:val="21"/>
              </w:rPr>
            </w:pPr>
          </w:p>
          <w:p w14:paraId="2DFD1AB7">
            <w:pPr>
              <w:spacing w:line="254" w:lineRule="auto"/>
              <w:jc w:val="center"/>
              <w:rPr>
                <w:rFonts w:hint="eastAsia" w:ascii="仿宋_GB2312" w:hAnsi="仿宋_GB2312" w:eastAsia="仿宋_GB2312" w:cs="仿宋_GB2312"/>
                <w:sz w:val="21"/>
                <w:szCs w:val="21"/>
              </w:rPr>
            </w:pPr>
          </w:p>
          <w:p w14:paraId="7438DAD1">
            <w:pPr>
              <w:spacing w:line="254" w:lineRule="auto"/>
              <w:jc w:val="center"/>
              <w:rPr>
                <w:rFonts w:hint="eastAsia" w:ascii="仿宋_GB2312" w:hAnsi="仿宋_GB2312" w:eastAsia="仿宋_GB2312" w:cs="仿宋_GB2312"/>
                <w:sz w:val="21"/>
                <w:szCs w:val="21"/>
              </w:rPr>
            </w:pPr>
          </w:p>
          <w:p w14:paraId="7A54A9CD">
            <w:pPr>
              <w:spacing w:line="254" w:lineRule="auto"/>
              <w:jc w:val="center"/>
              <w:rPr>
                <w:rFonts w:hint="eastAsia" w:ascii="仿宋_GB2312" w:hAnsi="仿宋_GB2312" w:eastAsia="仿宋_GB2312" w:cs="仿宋_GB2312"/>
                <w:sz w:val="21"/>
                <w:szCs w:val="21"/>
              </w:rPr>
            </w:pPr>
          </w:p>
          <w:p w14:paraId="0E23A121">
            <w:pPr>
              <w:spacing w:line="254" w:lineRule="auto"/>
              <w:jc w:val="center"/>
              <w:rPr>
                <w:rFonts w:hint="eastAsia" w:ascii="仿宋_GB2312" w:hAnsi="仿宋_GB2312" w:eastAsia="仿宋_GB2312" w:cs="仿宋_GB2312"/>
                <w:sz w:val="21"/>
                <w:szCs w:val="21"/>
              </w:rPr>
            </w:pPr>
          </w:p>
          <w:p w14:paraId="2DA05AD5">
            <w:pPr>
              <w:spacing w:line="254" w:lineRule="auto"/>
              <w:jc w:val="center"/>
              <w:rPr>
                <w:rFonts w:hint="eastAsia" w:ascii="仿宋_GB2312" w:hAnsi="仿宋_GB2312" w:eastAsia="仿宋_GB2312" w:cs="仿宋_GB2312"/>
                <w:sz w:val="21"/>
                <w:szCs w:val="21"/>
              </w:rPr>
            </w:pPr>
          </w:p>
          <w:p w14:paraId="24EC9915">
            <w:pPr>
              <w:spacing w:line="254" w:lineRule="auto"/>
              <w:jc w:val="center"/>
              <w:rPr>
                <w:rFonts w:hint="eastAsia" w:ascii="仿宋_GB2312" w:hAnsi="仿宋_GB2312" w:eastAsia="仿宋_GB2312" w:cs="仿宋_GB2312"/>
                <w:sz w:val="21"/>
                <w:szCs w:val="21"/>
              </w:rPr>
            </w:pPr>
          </w:p>
          <w:p w14:paraId="7060B464">
            <w:pPr>
              <w:spacing w:line="254" w:lineRule="auto"/>
              <w:jc w:val="center"/>
              <w:rPr>
                <w:rFonts w:hint="eastAsia" w:ascii="仿宋_GB2312" w:hAnsi="仿宋_GB2312" w:eastAsia="仿宋_GB2312" w:cs="仿宋_GB2312"/>
                <w:sz w:val="21"/>
                <w:szCs w:val="21"/>
              </w:rPr>
            </w:pPr>
          </w:p>
          <w:p w14:paraId="576F143C">
            <w:pPr>
              <w:spacing w:line="254" w:lineRule="auto"/>
              <w:jc w:val="center"/>
              <w:rPr>
                <w:rFonts w:hint="eastAsia" w:ascii="仿宋_GB2312" w:hAnsi="仿宋_GB2312" w:eastAsia="仿宋_GB2312" w:cs="仿宋_GB2312"/>
                <w:sz w:val="21"/>
                <w:szCs w:val="21"/>
              </w:rPr>
            </w:pPr>
          </w:p>
          <w:p w14:paraId="73A10B4A">
            <w:pPr>
              <w:spacing w:line="254" w:lineRule="auto"/>
              <w:jc w:val="center"/>
              <w:rPr>
                <w:rFonts w:hint="eastAsia" w:ascii="仿宋_GB2312" w:hAnsi="仿宋_GB2312" w:eastAsia="仿宋_GB2312" w:cs="仿宋_GB2312"/>
                <w:sz w:val="21"/>
                <w:szCs w:val="21"/>
              </w:rPr>
            </w:pPr>
          </w:p>
          <w:p w14:paraId="36740A70">
            <w:pPr>
              <w:spacing w:before="56" w:line="220" w:lineRule="auto"/>
              <w:ind w:left="55"/>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11"/>
                <w:sz w:val="21"/>
                <w:szCs w:val="21"/>
              </w:rPr>
              <w:t>绩效指标</w:t>
            </w:r>
          </w:p>
        </w:tc>
        <w:tc>
          <w:tcPr>
            <w:tcW w:w="752" w:type="dxa"/>
            <w:tcBorders>
              <w:bottom w:val="single" w:color="auto" w:sz="4" w:space="0"/>
              <w:right w:val="single" w:color="auto" w:sz="4" w:space="0"/>
            </w:tcBorders>
          </w:tcPr>
          <w:p w14:paraId="083FAAFA">
            <w:pPr>
              <w:spacing w:before="155" w:line="220"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一级指标</w:t>
            </w:r>
          </w:p>
        </w:tc>
        <w:tc>
          <w:tcPr>
            <w:tcW w:w="999" w:type="dxa"/>
            <w:tcBorders>
              <w:top w:val="single" w:color="auto" w:sz="4" w:space="0"/>
              <w:left w:val="single" w:color="auto" w:sz="4" w:space="0"/>
              <w:bottom w:val="single" w:color="auto" w:sz="4" w:space="0"/>
              <w:right w:val="single" w:color="auto" w:sz="4" w:space="0"/>
            </w:tcBorders>
          </w:tcPr>
          <w:p w14:paraId="25223253">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二级指标</w:t>
            </w:r>
          </w:p>
        </w:tc>
        <w:tc>
          <w:tcPr>
            <w:tcW w:w="2086" w:type="dxa"/>
            <w:gridSpan w:val="2"/>
            <w:tcBorders>
              <w:left w:val="single" w:color="auto" w:sz="4" w:space="0"/>
            </w:tcBorders>
          </w:tcPr>
          <w:p w14:paraId="7E5FB063">
            <w:pPr>
              <w:spacing w:before="155" w:line="220"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三级指标</w:t>
            </w:r>
          </w:p>
        </w:tc>
        <w:tc>
          <w:tcPr>
            <w:tcW w:w="1145" w:type="dxa"/>
          </w:tcPr>
          <w:p w14:paraId="04FE0042">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年度指标值</w:t>
            </w:r>
          </w:p>
        </w:tc>
        <w:tc>
          <w:tcPr>
            <w:tcW w:w="951" w:type="dxa"/>
          </w:tcPr>
          <w:p w14:paraId="6D5FE4FB">
            <w:pPr>
              <w:spacing w:before="155" w:line="219"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实际完成值</w:t>
            </w:r>
          </w:p>
        </w:tc>
        <w:tc>
          <w:tcPr>
            <w:tcW w:w="2469" w:type="dxa"/>
          </w:tcPr>
          <w:p w14:paraId="3AA66B31">
            <w:pPr>
              <w:spacing w:before="75" w:line="227"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偏差原因分析及</w:t>
            </w:r>
            <w:r>
              <w:rPr>
                <w:rFonts w:hint="eastAsia" w:ascii="仿宋_GB2312" w:hAnsi="仿宋_GB2312" w:eastAsia="仿宋_GB2312" w:cs="仿宋_GB2312"/>
                <w:spacing w:val="11"/>
                <w:sz w:val="21"/>
                <w:szCs w:val="21"/>
              </w:rPr>
              <w:t>改进措施</w:t>
            </w:r>
          </w:p>
        </w:tc>
      </w:tr>
      <w:tr w14:paraId="0C923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50453705">
            <w:pPr>
              <w:jc w:val="center"/>
              <w:rPr>
                <w:rFonts w:hint="eastAsia" w:ascii="仿宋_GB2312" w:hAnsi="仿宋_GB2312" w:eastAsia="仿宋_GB2312" w:cs="仿宋_GB2312"/>
                <w:sz w:val="21"/>
                <w:szCs w:val="21"/>
              </w:rP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10C8691B">
            <w:pPr>
              <w:spacing w:line="286" w:lineRule="auto"/>
              <w:jc w:val="center"/>
              <w:rPr>
                <w:rFonts w:hint="eastAsia" w:ascii="仿宋_GB2312" w:hAnsi="仿宋_GB2312" w:eastAsia="仿宋_GB2312" w:cs="仿宋_GB2312"/>
                <w:sz w:val="21"/>
                <w:szCs w:val="21"/>
              </w:rPr>
            </w:pPr>
          </w:p>
          <w:p w14:paraId="144FB5E4">
            <w:pPr>
              <w:spacing w:line="286" w:lineRule="auto"/>
              <w:jc w:val="center"/>
              <w:rPr>
                <w:rFonts w:hint="eastAsia" w:ascii="仿宋_GB2312" w:hAnsi="仿宋_GB2312" w:eastAsia="仿宋_GB2312" w:cs="仿宋_GB2312"/>
                <w:sz w:val="21"/>
                <w:szCs w:val="21"/>
              </w:rPr>
            </w:pPr>
          </w:p>
          <w:p w14:paraId="1CD55601">
            <w:pPr>
              <w:spacing w:line="286" w:lineRule="auto"/>
              <w:jc w:val="center"/>
              <w:rPr>
                <w:rFonts w:hint="eastAsia" w:ascii="仿宋_GB2312" w:hAnsi="仿宋_GB2312" w:eastAsia="仿宋_GB2312" w:cs="仿宋_GB2312"/>
                <w:sz w:val="21"/>
                <w:szCs w:val="21"/>
              </w:rPr>
            </w:pPr>
          </w:p>
          <w:p w14:paraId="6AE1C77C">
            <w:pPr>
              <w:spacing w:line="286" w:lineRule="auto"/>
              <w:jc w:val="center"/>
              <w:rPr>
                <w:rFonts w:hint="eastAsia" w:ascii="仿宋_GB2312" w:hAnsi="仿宋_GB2312" w:eastAsia="仿宋_GB2312" w:cs="仿宋_GB2312"/>
                <w:sz w:val="21"/>
                <w:szCs w:val="21"/>
              </w:rPr>
            </w:pPr>
          </w:p>
          <w:p w14:paraId="0FC9214C">
            <w:pPr>
              <w:spacing w:line="287" w:lineRule="auto"/>
              <w:jc w:val="center"/>
              <w:rPr>
                <w:rFonts w:hint="eastAsia" w:ascii="仿宋_GB2312" w:hAnsi="仿宋_GB2312" w:eastAsia="仿宋_GB2312" w:cs="仿宋_GB2312"/>
                <w:sz w:val="21"/>
                <w:szCs w:val="21"/>
              </w:rPr>
            </w:pPr>
          </w:p>
          <w:p w14:paraId="10DD9B15">
            <w:pPr>
              <w:spacing w:before="56" w:line="219" w:lineRule="auto"/>
              <w:ind w:left="4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产出指标</w:t>
            </w:r>
          </w:p>
        </w:tc>
        <w:tc>
          <w:tcPr>
            <w:tcW w:w="999" w:type="dxa"/>
            <w:tcBorders>
              <w:top w:val="single" w:color="auto" w:sz="4" w:space="0"/>
              <w:left w:val="single" w:color="auto" w:sz="4" w:space="0"/>
              <w:bottom w:val="single" w:color="auto" w:sz="4" w:space="0"/>
              <w:right w:val="single" w:color="auto" w:sz="4" w:space="0"/>
            </w:tcBorders>
            <w:vAlign w:val="center"/>
          </w:tcPr>
          <w:p w14:paraId="4AF81B72">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时效指标</w:t>
            </w:r>
          </w:p>
        </w:tc>
        <w:tc>
          <w:tcPr>
            <w:tcW w:w="2086" w:type="dxa"/>
            <w:gridSpan w:val="2"/>
            <w:tcBorders>
              <w:left w:val="single" w:color="auto" w:sz="4" w:space="0"/>
            </w:tcBorders>
            <w:vAlign w:val="center"/>
          </w:tcPr>
          <w:p w14:paraId="4860E43A">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抗旱资金兑付及时率</w:t>
            </w:r>
          </w:p>
        </w:tc>
        <w:tc>
          <w:tcPr>
            <w:tcW w:w="1145" w:type="dxa"/>
            <w:vAlign w:val="center"/>
          </w:tcPr>
          <w:p w14:paraId="6A724FEA">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≥95%</w:t>
            </w:r>
          </w:p>
        </w:tc>
        <w:tc>
          <w:tcPr>
            <w:tcW w:w="951" w:type="dxa"/>
            <w:vAlign w:val="center"/>
          </w:tcPr>
          <w:p w14:paraId="4BDD0FAF">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98%</w:t>
            </w:r>
          </w:p>
        </w:tc>
        <w:tc>
          <w:tcPr>
            <w:tcW w:w="2469" w:type="dxa"/>
          </w:tcPr>
          <w:p w14:paraId="29691FBC">
            <w:pPr>
              <w:jc w:val="center"/>
              <w:rPr>
                <w:rFonts w:hint="eastAsia" w:ascii="仿宋_GB2312" w:hAnsi="仿宋_GB2312" w:eastAsia="仿宋_GB2312" w:cs="仿宋_GB2312"/>
                <w:sz w:val="21"/>
                <w:szCs w:val="21"/>
              </w:rPr>
            </w:pPr>
          </w:p>
        </w:tc>
      </w:tr>
      <w:tr w14:paraId="489D4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B049D93">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3E4C4C7">
            <w:pPr>
              <w:jc w:val="center"/>
              <w:rPr>
                <w:rFonts w:hint="eastAsia" w:ascii="仿宋_GB2312" w:hAnsi="仿宋_GB2312" w:eastAsia="仿宋_GB2312" w:cs="仿宋_GB2312"/>
                <w:sz w:val="21"/>
                <w:szCs w:val="21"/>
              </w:rPr>
            </w:pPr>
          </w:p>
        </w:tc>
        <w:tc>
          <w:tcPr>
            <w:tcW w:w="999" w:type="dxa"/>
            <w:tcBorders>
              <w:top w:val="single" w:color="auto" w:sz="4" w:space="0"/>
              <w:left w:val="single" w:color="auto" w:sz="4" w:space="0"/>
            </w:tcBorders>
            <w:vAlign w:val="center"/>
          </w:tcPr>
          <w:p w14:paraId="3D622929">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质量指标</w:t>
            </w:r>
          </w:p>
        </w:tc>
        <w:tc>
          <w:tcPr>
            <w:tcW w:w="2086" w:type="dxa"/>
            <w:gridSpan w:val="2"/>
            <w:vAlign w:val="center"/>
          </w:tcPr>
          <w:p w14:paraId="61601427">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修复渠系耗材及租赁抽水设施质量合格率</w:t>
            </w:r>
          </w:p>
        </w:tc>
        <w:tc>
          <w:tcPr>
            <w:tcW w:w="1145" w:type="dxa"/>
            <w:vAlign w:val="center"/>
          </w:tcPr>
          <w:p w14:paraId="5E593EA7">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=100%</w:t>
            </w:r>
          </w:p>
        </w:tc>
        <w:tc>
          <w:tcPr>
            <w:tcW w:w="951" w:type="dxa"/>
            <w:vAlign w:val="center"/>
          </w:tcPr>
          <w:p w14:paraId="434736A5">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=100%</w:t>
            </w:r>
          </w:p>
        </w:tc>
        <w:tc>
          <w:tcPr>
            <w:tcW w:w="2469" w:type="dxa"/>
          </w:tcPr>
          <w:p w14:paraId="6B094D1D">
            <w:pPr>
              <w:jc w:val="center"/>
              <w:rPr>
                <w:rFonts w:hint="eastAsia" w:ascii="仿宋_GB2312" w:hAnsi="仿宋_GB2312" w:eastAsia="仿宋_GB2312" w:cs="仿宋_GB2312"/>
                <w:sz w:val="21"/>
                <w:szCs w:val="21"/>
              </w:rPr>
            </w:pPr>
          </w:p>
        </w:tc>
      </w:tr>
      <w:tr w14:paraId="78BDE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1EF7B453">
            <w:pPr>
              <w:jc w:val="center"/>
              <w:rPr>
                <w:rFonts w:hint="eastAsia" w:ascii="仿宋_GB2312" w:hAnsi="仿宋_GB2312" w:eastAsia="仿宋_GB2312" w:cs="仿宋_GB2312"/>
                <w:sz w:val="21"/>
                <w:szCs w:val="21"/>
              </w:rP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968E881">
            <w:pPr>
              <w:jc w:val="center"/>
              <w:rPr>
                <w:rFonts w:hint="eastAsia" w:ascii="仿宋_GB2312" w:hAnsi="仿宋_GB2312" w:eastAsia="仿宋_GB2312" w:cs="仿宋_GB2312"/>
                <w:sz w:val="21"/>
                <w:szCs w:val="21"/>
              </w:rPr>
            </w:pPr>
          </w:p>
        </w:tc>
        <w:tc>
          <w:tcPr>
            <w:tcW w:w="999" w:type="dxa"/>
            <w:tcBorders>
              <w:left w:val="single" w:color="auto" w:sz="4" w:space="0"/>
              <w:bottom w:val="single" w:color="auto" w:sz="4" w:space="0"/>
            </w:tcBorders>
            <w:vAlign w:val="center"/>
          </w:tcPr>
          <w:p w14:paraId="1BFD4FF9">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数量指标</w:t>
            </w:r>
          </w:p>
        </w:tc>
        <w:tc>
          <w:tcPr>
            <w:tcW w:w="2086" w:type="dxa"/>
            <w:gridSpan w:val="2"/>
            <w:vAlign w:val="center"/>
          </w:tcPr>
          <w:p w14:paraId="065A73E8">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保障临时饮水困难人员</w:t>
            </w:r>
          </w:p>
        </w:tc>
        <w:tc>
          <w:tcPr>
            <w:tcW w:w="1145" w:type="dxa"/>
            <w:vAlign w:val="center"/>
          </w:tcPr>
          <w:p w14:paraId="2F8ED9CB">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w:t>
            </w:r>
            <w:r>
              <w:rPr>
                <w:rFonts w:hint="eastAsia" w:ascii="仿宋_GB2312" w:hAnsi="仿宋_GB2312" w:eastAsia="仿宋_GB2312" w:cs="仿宋_GB2312"/>
                <w:sz w:val="21"/>
                <w:szCs w:val="21"/>
                <w:lang w:val="en-US" w:eastAsia="zh-CN"/>
              </w:rPr>
              <w:t>100</w:t>
            </w:r>
            <w:r>
              <w:rPr>
                <w:rFonts w:hint="eastAsia" w:ascii="仿宋_GB2312" w:hAnsi="仿宋_GB2312" w:eastAsia="仿宋_GB2312" w:cs="仿宋_GB2312"/>
                <w:sz w:val="21"/>
                <w:szCs w:val="21"/>
              </w:rPr>
              <w:t>人</w:t>
            </w:r>
          </w:p>
        </w:tc>
        <w:tc>
          <w:tcPr>
            <w:tcW w:w="951" w:type="dxa"/>
            <w:vAlign w:val="center"/>
          </w:tcPr>
          <w:p w14:paraId="52C48273">
            <w:pPr>
              <w:spacing w:before="67" w:line="209" w:lineRule="auto"/>
              <w:ind w:left="23"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200</w:t>
            </w:r>
            <w:r>
              <w:rPr>
                <w:rFonts w:hint="eastAsia" w:ascii="仿宋_GB2312" w:hAnsi="仿宋_GB2312" w:eastAsia="仿宋_GB2312" w:cs="仿宋_GB2312"/>
                <w:sz w:val="21"/>
                <w:szCs w:val="21"/>
              </w:rPr>
              <w:t>人</w:t>
            </w:r>
          </w:p>
        </w:tc>
        <w:tc>
          <w:tcPr>
            <w:tcW w:w="2469" w:type="dxa"/>
          </w:tcPr>
          <w:p w14:paraId="70BD0932">
            <w:pPr>
              <w:jc w:val="center"/>
              <w:rPr>
                <w:rFonts w:hint="eastAsia" w:ascii="仿宋_GB2312" w:hAnsi="仿宋_GB2312" w:eastAsia="仿宋_GB2312" w:cs="仿宋_GB2312"/>
                <w:sz w:val="21"/>
                <w:szCs w:val="21"/>
              </w:rPr>
            </w:pPr>
          </w:p>
        </w:tc>
      </w:tr>
      <w:tr w14:paraId="4753E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2F50E36">
            <w:pPr>
              <w:jc w:val="center"/>
              <w:rPr>
                <w:rFonts w:hint="eastAsia" w:ascii="仿宋_GB2312" w:hAnsi="仿宋_GB2312" w:eastAsia="仿宋_GB2312" w:cs="仿宋_GB2312"/>
                <w:sz w:val="21"/>
                <w:szCs w:val="21"/>
              </w:rPr>
            </w:pPr>
          </w:p>
        </w:tc>
        <w:tc>
          <w:tcPr>
            <w:tcW w:w="752" w:type="dxa"/>
            <w:vMerge w:val="restart"/>
            <w:tcBorders>
              <w:top w:val="single" w:color="auto" w:sz="4" w:space="0"/>
              <w:left w:val="single" w:color="auto" w:sz="4" w:space="0"/>
              <w:right w:val="single" w:color="auto" w:sz="4" w:space="0"/>
            </w:tcBorders>
            <w:vAlign w:val="center"/>
          </w:tcPr>
          <w:p w14:paraId="4ED332B9">
            <w:pPr>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效益指标</w:t>
            </w:r>
          </w:p>
        </w:tc>
        <w:tc>
          <w:tcPr>
            <w:tcW w:w="999" w:type="dxa"/>
            <w:tcBorders>
              <w:top w:val="single" w:color="auto" w:sz="4" w:space="0"/>
              <w:left w:val="single" w:color="auto" w:sz="4" w:space="0"/>
              <w:bottom w:val="single" w:color="auto" w:sz="4" w:space="0"/>
              <w:right w:val="single" w:color="auto" w:sz="4" w:space="0"/>
            </w:tcBorders>
            <w:vAlign w:val="center"/>
          </w:tcPr>
          <w:p w14:paraId="04DF8AB5">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可持续影响指标</w:t>
            </w:r>
          </w:p>
        </w:tc>
        <w:tc>
          <w:tcPr>
            <w:tcW w:w="2086" w:type="dxa"/>
            <w:gridSpan w:val="2"/>
            <w:tcBorders>
              <w:left w:val="single" w:color="auto" w:sz="4" w:space="0"/>
            </w:tcBorders>
            <w:vAlign w:val="center"/>
          </w:tcPr>
          <w:p w14:paraId="2342111B">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确保受灾群众生活生产秩序正常，</w:t>
            </w:r>
            <w:r>
              <w:rPr>
                <w:rFonts w:hint="eastAsia" w:ascii="仿宋_GB2312" w:hAnsi="仿宋_GB2312" w:eastAsia="仿宋_GB2312" w:cs="仿宋_GB2312"/>
                <w:sz w:val="21"/>
                <w:szCs w:val="21"/>
                <w:lang w:eastAsia="zh-CN"/>
              </w:rPr>
              <w:t>增强</w:t>
            </w:r>
            <w:r>
              <w:rPr>
                <w:rFonts w:hint="eastAsia" w:ascii="仿宋_GB2312" w:hAnsi="仿宋_GB2312" w:eastAsia="仿宋_GB2312" w:cs="仿宋_GB2312"/>
                <w:sz w:val="21"/>
                <w:szCs w:val="21"/>
              </w:rPr>
              <w:t>群众抗旱意识和自救能力</w:t>
            </w:r>
          </w:p>
        </w:tc>
        <w:tc>
          <w:tcPr>
            <w:tcW w:w="1145" w:type="dxa"/>
            <w:vAlign w:val="center"/>
          </w:tcPr>
          <w:p w14:paraId="5E261EAE">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定性</w:t>
            </w:r>
          </w:p>
        </w:tc>
        <w:tc>
          <w:tcPr>
            <w:tcW w:w="951" w:type="dxa"/>
            <w:vAlign w:val="center"/>
          </w:tcPr>
          <w:p w14:paraId="21D1AADC">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有效</w:t>
            </w:r>
          </w:p>
        </w:tc>
        <w:tc>
          <w:tcPr>
            <w:tcW w:w="2469" w:type="dxa"/>
          </w:tcPr>
          <w:p w14:paraId="3AE87D71">
            <w:pPr>
              <w:jc w:val="center"/>
              <w:rPr>
                <w:rFonts w:hint="eastAsia" w:ascii="仿宋_GB2312" w:hAnsi="仿宋_GB2312" w:eastAsia="仿宋_GB2312" w:cs="仿宋_GB2312"/>
                <w:sz w:val="21"/>
                <w:szCs w:val="21"/>
              </w:rPr>
            </w:pPr>
          </w:p>
        </w:tc>
      </w:tr>
      <w:tr w14:paraId="6D369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DE0900E">
            <w:pPr>
              <w:jc w:val="center"/>
              <w:rPr>
                <w:rFonts w:hint="eastAsia" w:ascii="仿宋_GB2312" w:hAnsi="仿宋_GB2312" w:eastAsia="仿宋_GB2312" w:cs="仿宋_GB2312"/>
                <w:sz w:val="21"/>
                <w:szCs w:val="21"/>
              </w:rPr>
            </w:pPr>
          </w:p>
        </w:tc>
        <w:tc>
          <w:tcPr>
            <w:tcW w:w="752" w:type="dxa"/>
            <w:vMerge w:val="continue"/>
            <w:tcBorders>
              <w:left w:val="single" w:color="auto" w:sz="4" w:space="0"/>
              <w:bottom w:val="single" w:color="auto" w:sz="4" w:space="0"/>
              <w:right w:val="single" w:color="auto" w:sz="4" w:space="0"/>
            </w:tcBorders>
            <w:vAlign w:val="center"/>
          </w:tcPr>
          <w:p w14:paraId="77BE2275">
            <w:pPr>
              <w:jc w:val="center"/>
              <w:rPr>
                <w:rFonts w:hint="eastAsia" w:ascii="仿宋_GB2312" w:hAnsi="仿宋_GB2312" w:eastAsia="仿宋_GB2312" w:cs="仿宋_GB2312"/>
                <w:sz w:val="21"/>
                <w:szCs w:val="21"/>
              </w:rPr>
            </w:pPr>
          </w:p>
        </w:tc>
        <w:tc>
          <w:tcPr>
            <w:tcW w:w="999" w:type="dxa"/>
            <w:tcBorders>
              <w:top w:val="single" w:color="auto" w:sz="4" w:space="0"/>
              <w:left w:val="single" w:color="auto" w:sz="4" w:space="0"/>
              <w:bottom w:val="single" w:color="auto" w:sz="4" w:space="0"/>
              <w:right w:val="single" w:color="auto" w:sz="4" w:space="0"/>
            </w:tcBorders>
            <w:vAlign w:val="center"/>
          </w:tcPr>
          <w:p w14:paraId="01BC4CCC">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社会效益指标</w:t>
            </w:r>
          </w:p>
        </w:tc>
        <w:tc>
          <w:tcPr>
            <w:tcW w:w="2086" w:type="dxa"/>
            <w:gridSpan w:val="2"/>
            <w:tcBorders>
              <w:left w:val="single" w:color="auto" w:sz="4" w:space="0"/>
            </w:tcBorders>
            <w:vAlign w:val="center"/>
          </w:tcPr>
          <w:p w14:paraId="59D297FE">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受灾群众人饮及生活困难解决率</w:t>
            </w:r>
          </w:p>
        </w:tc>
        <w:tc>
          <w:tcPr>
            <w:tcW w:w="1145" w:type="dxa"/>
            <w:vAlign w:val="center"/>
          </w:tcPr>
          <w:p w14:paraId="36FF04F8">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≥95%</w:t>
            </w:r>
          </w:p>
        </w:tc>
        <w:tc>
          <w:tcPr>
            <w:tcW w:w="951" w:type="dxa"/>
            <w:vAlign w:val="center"/>
          </w:tcPr>
          <w:p w14:paraId="30990493">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99%</w:t>
            </w:r>
          </w:p>
        </w:tc>
        <w:tc>
          <w:tcPr>
            <w:tcW w:w="2469" w:type="dxa"/>
          </w:tcPr>
          <w:p w14:paraId="3E4517E6">
            <w:pPr>
              <w:jc w:val="center"/>
              <w:rPr>
                <w:rFonts w:hint="eastAsia" w:ascii="仿宋_GB2312" w:hAnsi="仿宋_GB2312" w:eastAsia="仿宋_GB2312" w:cs="仿宋_GB2312"/>
                <w:sz w:val="21"/>
                <w:szCs w:val="21"/>
              </w:rPr>
            </w:pPr>
          </w:p>
        </w:tc>
      </w:tr>
      <w:tr w14:paraId="4EA88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AD1D1A3">
            <w:pPr>
              <w:jc w:val="center"/>
              <w:rPr>
                <w:rFonts w:hint="eastAsia" w:ascii="仿宋_GB2312" w:hAnsi="仿宋_GB2312" w:eastAsia="仿宋_GB2312" w:cs="仿宋_GB2312"/>
                <w:sz w:val="21"/>
                <w:szCs w:val="21"/>
              </w:rPr>
            </w:pPr>
          </w:p>
        </w:tc>
        <w:tc>
          <w:tcPr>
            <w:tcW w:w="752" w:type="dxa"/>
            <w:tcBorders>
              <w:top w:val="single" w:color="auto" w:sz="4" w:space="0"/>
              <w:bottom w:val="nil"/>
            </w:tcBorders>
            <w:vAlign w:val="center"/>
          </w:tcPr>
          <w:p w14:paraId="57F7D79D">
            <w:pPr>
              <w:spacing w:before="146" w:line="219" w:lineRule="auto"/>
              <w:ind w:left="191" w:right="124" w:hanging="70"/>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满意度</w:t>
            </w:r>
            <w:r>
              <w:rPr>
                <w:rFonts w:hint="eastAsia" w:ascii="仿宋_GB2312" w:hAnsi="仿宋_GB2312" w:eastAsia="仿宋_GB2312" w:cs="仿宋_GB2312"/>
                <w:spacing w:val="1"/>
                <w:sz w:val="21"/>
                <w:szCs w:val="21"/>
              </w:rPr>
              <w:t xml:space="preserve"> </w:t>
            </w:r>
            <w:r>
              <w:rPr>
                <w:rFonts w:hint="eastAsia" w:ascii="仿宋_GB2312" w:hAnsi="仿宋_GB2312" w:eastAsia="仿宋_GB2312" w:cs="仿宋_GB2312"/>
                <w:spacing w:val="-3"/>
                <w:sz w:val="21"/>
                <w:szCs w:val="21"/>
              </w:rPr>
              <w:t>指标</w:t>
            </w:r>
          </w:p>
        </w:tc>
        <w:tc>
          <w:tcPr>
            <w:tcW w:w="999" w:type="dxa"/>
            <w:tcBorders>
              <w:top w:val="single" w:color="auto" w:sz="4" w:space="0"/>
              <w:bottom w:val="nil"/>
            </w:tcBorders>
            <w:vAlign w:val="center"/>
          </w:tcPr>
          <w:p w14:paraId="113EFE65">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帮扶对象满意度指标</w:t>
            </w:r>
          </w:p>
        </w:tc>
        <w:tc>
          <w:tcPr>
            <w:tcW w:w="2086" w:type="dxa"/>
            <w:gridSpan w:val="2"/>
            <w:vAlign w:val="center"/>
          </w:tcPr>
          <w:p w14:paraId="3FFCD302">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受灾群众对解决生活饮水、抗旱满意度</w:t>
            </w:r>
          </w:p>
        </w:tc>
        <w:tc>
          <w:tcPr>
            <w:tcW w:w="1145" w:type="dxa"/>
            <w:vAlign w:val="center"/>
          </w:tcPr>
          <w:p w14:paraId="312B37CD">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≥98%</w:t>
            </w:r>
          </w:p>
        </w:tc>
        <w:tc>
          <w:tcPr>
            <w:tcW w:w="951" w:type="dxa"/>
            <w:vAlign w:val="center"/>
          </w:tcPr>
          <w:p w14:paraId="1CEBB6C8">
            <w:pPr>
              <w:spacing w:before="67" w:line="209" w:lineRule="auto"/>
              <w:ind w:left="23"/>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99%</w:t>
            </w:r>
          </w:p>
        </w:tc>
        <w:tc>
          <w:tcPr>
            <w:tcW w:w="2469" w:type="dxa"/>
          </w:tcPr>
          <w:p w14:paraId="148BD3A0">
            <w:pPr>
              <w:jc w:val="center"/>
              <w:rPr>
                <w:rFonts w:hint="eastAsia" w:ascii="仿宋_GB2312" w:hAnsi="仿宋_GB2312" w:eastAsia="仿宋_GB2312" w:cs="仿宋_GB2312"/>
                <w:sz w:val="21"/>
                <w:szCs w:val="21"/>
              </w:rPr>
            </w:pPr>
          </w:p>
        </w:tc>
      </w:tr>
      <w:tr w14:paraId="36117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5224FB82">
            <w:pPr>
              <w:spacing w:before="48" w:line="220" w:lineRule="auto"/>
              <w:ind w:left="3664"/>
              <w:jc w:val="center"/>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总分</w:t>
            </w:r>
          </w:p>
        </w:tc>
        <w:tc>
          <w:tcPr>
            <w:tcW w:w="2469" w:type="dxa"/>
            <w:vAlign w:val="center"/>
          </w:tcPr>
          <w:p w14:paraId="2B400E2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98.5</w:t>
            </w:r>
          </w:p>
        </w:tc>
      </w:tr>
    </w:tbl>
    <w:p w14:paraId="7A9159A0">
      <w:r>
        <w:br w:type="page"/>
      </w:r>
    </w:p>
    <w:p w14:paraId="648BB2ED">
      <w:pPr>
        <w:pageBreakBefore w:val="0"/>
        <w:kinsoku/>
        <w:wordWrap/>
        <w:overflowPunct/>
        <w:topLinePunct w:val="0"/>
        <w:bidi w:val="0"/>
        <w:spacing w:line="576" w:lineRule="exact"/>
        <w:jc w:val="center"/>
        <w:textAlignment w:val="auto"/>
        <w:outlineLvl w:val="1"/>
        <w:rPr>
          <w:rStyle w:val="30"/>
          <w:rFonts w:hint="eastAsia" w:ascii="方正小标宋简体" w:hAnsi="方正小标宋简体" w:eastAsia="方正小标宋简体" w:cs="方正小标宋简体"/>
          <w:b w:val="0"/>
          <w:bCs/>
          <w:color w:val="auto"/>
          <w:spacing w:val="-20"/>
          <w:sz w:val="44"/>
          <w:szCs w:val="44"/>
          <w:highlight w:val="none"/>
          <w:lang w:val="en-US" w:eastAsia="zh-CN"/>
        </w:rPr>
      </w:pPr>
      <w:bookmarkStart w:id="239" w:name="_Toc4747"/>
      <w:bookmarkStart w:id="240" w:name="_Toc24975"/>
      <w:r>
        <w:rPr>
          <w:rStyle w:val="30"/>
          <w:rFonts w:hint="eastAsia" w:ascii="方正小标宋简体" w:hAnsi="方正小标宋简体" w:eastAsia="方正小标宋简体" w:cs="方正小标宋简体"/>
          <w:b w:val="0"/>
          <w:bCs/>
          <w:color w:val="auto"/>
          <w:spacing w:val="1"/>
          <w:w w:val="86"/>
          <w:kern w:val="0"/>
          <w:sz w:val="44"/>
          <w:szCs w:val="44"/>
          <w:highlight w:val="none"/>
          <w:fitText w:val="8580" w:id="577530115"/>
          <w:lang w:val="en-US" w:eastAsia="zh-CN"/>
        </w:rPr>
        <w:t>关于2022年驻村工作队工作经费项目绩效自评报</w:t>
      </w:r>
      <w:r>
        <w:rPr>
          <w:rStyle w:val="30"/>
          <w:rFonts w:hint="eastAsia" w:ascii="方正小标宋简体" w:hAnsi="方正小标宋简体" w:eastAsia="方正小标宋简体" w:cs="方正小标宋简体"/>
          <w:b w:val="0"/>
          <w:bCs/>
          <w:color w:val="auto"/>
          <w:spacing w:val="14"/>
          <w:w w:val="86"/>
          <w:kern w:val="0"/>
          <w:sz w:val="44"/>
          <w:szCs w:val="44"/>
          <w:highlight w:val="none"/>
          <w:fitText w:val="8580" w:id="577530115"/>
          <w:lang w:val="en-US" w:eastAsia="zh-CN"/>
        </w:rPr>
        <w:t>告</w:t>
      </w:r>
      <w:bookmarkEnd w:id="239"/>
      <w:bookmarkEnd w:id="240"/>
    </w:p>
    <w:p w14:paraId="0CD9BE49">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eastAsia" w:ascii="黑体" w:hAnsi="黑体" w:eastAsia="黑体" w:cs="黑体"/>
          <w:color w:val="auto"/>
          <w:kern w:val="0"/>
          <w:sz w:val="32"/>
          <w:szCs w:val="32"/>
          <w:highlight w:val="none"/>
          <w:lang w:val="en-US" w:eastAsia="zh-CN" w:bidi="ar-SA"/>
        </w:rPr>
      </w:pPr>
      <w:bookmarkStart w:id="241" w:name="_Toc558"/>
    </w:p>
    <w:p w14:paraId="021C2EB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zh-CN" w:eastAsia="zh-CN" w:bidi="ar-SA"/>
        </w:rPr>
      </w:pPr>
      <w:r>
        <w:rPr>
          <w:rFonts w:hint="eastAsia" w:ascii="黑体" w:hAnsi="黑体" w:eastAsia="黑体" w:cs="黑体"/>
          <w:color w:val="auto"/>
          <w:kern w:val="0"/>
          <w:sz w:val="32"/>
          <w:szCs w:val="32"/>
          <w:highlight w:val="none"/>
          <w:lang w:val="en-US" w:eastAsia="zh-CN" w:bidi="ar-SA"/>
        </w:rPr>
        <w:t>一、</w:t>
      </w:r>
      <w:r>
        <w:rPr>
          <w:rFonts w:hint="default" w:ascii="黑体" w:hAnsi="黑体" w:eastAsia="黑体" w:cs="黑体"/>
          <w:color w:val="auto"/>
          <w:kern w:val="0"/>
          <w:sz w:val="32"/>
          <w:szCs w:val="32"/>
          <w:highlight w:val="none"/>
          <w:lang w:val="zh-CN" w:eastAsia="zh-CN" w:bidi="ar-SA"/>
        </w:rPr>
        <w:t>项目概况</w:t>
      </w:r>
      <w:bookmarkEnd w:id="241"/>
    </w:p>
    <w:p w14:paraId="59CD8FD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一</w:t>
      </w:r>
      <w:r>
        <w:rPr>
          <w:rFonts w:hint="eastAsia" w:ascii="楷体" w:hAnsi="楷体" w:eastAsia="楷体" w:cs="楷体"/>
          <w:b/>
          <w:color w:val="auto"/>
          <w:sz w:val="32"/>
          <w:szCs w:val="32"/>
          <w:highlight w:val="none"/>
          <w:lang w:val="zh-CN" w:eastAsia="zh-CN"/>
        </w:rPr>
        <w:t>）项目</w:t>
      </w:r>
      <w:r>
        <w:rPr>
          <w:rFonts w:hint="eastAsia" w:ascii="楷体" w:hAnsi="楷体" w:eastAsia="楷体" w:cs="楷体"/>
          <w:b/>
          <w:color w:val="auto"/>
          <w:sz w:val="32"/>
          <w:szCs w:val="32"/>
          <w:highlight w:val="none"/>
          <w:lang w:val="en-US" w:eastAsia="zh-CN"/>
        </w:rPr>
        <w:t>基本情况</w:t>
      </w:r>
    </w:p>
    <w:p w14:paraId="496D20A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加强驻村第一书记和工作队员管理，巩固拓展脱贫攻坚成果。为了乡村振兴工作有序开展，防止返贫动态监测，从各级党政机关、人民团体、事业单位等，选派</w:t>
      </w:r>
      <w:r>
        <w:rPr>
          <w:rFonts w:hint="eastAsia" w:ascii="仿宋_GB2312" w:hAnsi="Calibri" w:eastAsia="仿宋_GB2312" w:cs="仿宋"/>
          <w:color w:val="auto"/>
          <w:kern w:val="0"/>
          <w:sz w:val="32"/>
          <w:szCs w:val="32"/>
          <w:highlight w:val="none"/>
          <w:lang w:val="en-US" w:eastAsia="zh-CN" w:bidi="ar-SA"/>
        </w:rPr>
        <w:t>4个工作队共计13人</w:t>
      </w:r>
      <w:r>
        <w:rPr>
          <w:rFonts w:hint="eastAsia" w:ascii="仿宋_GB2312" w:hAnsi="Calibri" w:eastAsia="仿宋_GB2312" w:cs="仿宋"/>
          <w:color w:val="auto"/>
          <w:kern w:val="0"/>
          <w:sz w:val="32"/>
          <w:szCs w:val="32"/>
          <w:highlight w:val="none"/>
          <w:lang w:val="zh-CN" w:eastAsia="zh-CN" w:bidi="ar-SA"/>
        </w:rPr>
        <w:t>担任驻村第一书记和工作队员。</w:t>
      </w:r>
    </w:p>
    <w:p w14:paraId="3C56466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楷体" w:hAnsi="楷体" w:eastAsia="楷体" w:cs="楷体"/>
          <w:b/>
          <w:color w:val="auto"/>
          <w:sz w:val="32"/>
          <w:szCs w:val="32"/>
          <w:highlight w:val="none"/>
          <w:lang w:val="zh-CN" w:eastAsia="zh-CN"/>
        </w:rPr>
      </w:pPr>
      <w:r>
        <w:rPr>
          <w:rFonts w:hint="default"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二</w:t>
      </w:r>
      <w:r>
        <w:rPr>
          <w:rFonts w:hint="default" w:ascii="楷体" w:hAnsi="楷体" w:eastAsia="楷体" w:cs="楷体"/>
          <w:b/>
          <w:color w:val="auto"/>
          <w:sz w:val="32"/>
          <w:szCs w:val="32"/>
          <w:highlight w:val="none"/>
          <w:lang w:val="zh-CN" w:eastAsia="zh-CN"/>
        </w:rPr>
        <w:t>）项目绩效目标</w:t>
      </w:r>
    </w:p>
    <w:p w14:paraId="4AC2503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驻村工作队工作经费4个工作队13人，每人5000元，总资金6.5万元，由上级公共财政补助安排，属于一次性项目，主要用于第一书记和工作队经费，日常工作运转以及报销驻村期间因公产生的差旅费等。</w:t>
      </w:r>
    </w:p>
    <w:p w14:paraId="6FC6634E">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bookmarkStart w:id="242" w:name="_Toc22274"/>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三</w:t>
      </w:r>
      <w:r>
        <w:rPr>
          <w:rFonts w:hint="eastAsia" w:ascii="楷体" w:hAnsi="楷体" w:eastAsia="楷体" w:cs="楷体"/>
          <w:b/>
          <w:color w:val="auto"/>
          <w:sz w:val="32"/>
          <w:szCs w:val="32"/>
          <w:highlight w:val="none"/>
          <w:lang w:val="zh-CN" w:eastAsia="zh-CN"/>
        </w:rPr>
        <w:t>）自评步骤及方法</w:t>
      </w:r>
      <w:bookmarkEnd w:id="242"/>
    </w:p>
    <w:p w14:paraId="719181C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该项目采取自评与他评相结合方式，成立项目自评小组，结合评价内容，做到有计划，有安排，扎实开展本次自评工作。按照上级下达的项目支出绩效评价指标体系，自评小组针对申报内容、实施情况、资金兑现、财务管理、社会效益等作出自我评价，认真听取村、社区居民建议意见，做好自评工作。</w:t>
      </w:r>
      <w:r>
        <w:rPr>
          <w:rFonts w:hint="eastAsia" w:ascii="仿宋_GB2312" w:hAnsi="Calibri" w:eastAsia="仿宋_GB2312" w:cs="仿宋"/>
          <w:color w:val="auto"/>
          <w:kern w:val="0"/>
          <w:sz w:val="32"/>
          <w:szCs w:val="32"/>
          <w:highlight w:val="none"/>
          <w:lang w:val="zh-CN" w:eastAsia="zh-CN" w:bidi="ar-SA"/>
        </w:rPr>
        <w:t>并对照年初预算的绩效目标使用《广元市昭化区财政项目（政策）支出绩效自评表》进行打分，出具评价结果并提交绩效</w:t>
      </w:r>
      <w:r>
        <w:rPr>
          <w:rFonts w:hint="eastAsia" w:ascii="仿宋_GB2312" w:hAnsi="Calibri" w:eastAsia="仿宋_GB2312" w:cs="仿宋"/>
          <w:color w:val="auto"/>
          <w:kern w:val="0"/>
          <w:sz w:val="32"/>
          <w:szCs w:val="32"/>
          <w:highlight w:val="none"/>
          <w:lang w:val="en-US" w:eastAsia="zh-CN" w:bidi="ar-SA"/>
        </w:rPr>
        <w:t>自评</w:t>
      </w:r>
      <w:r>
        <w:rPr>
          <w:rFonts w:hint="eastAsia" w:ascii="仿宋_GB2312" w:hAnsi="Calibri" w:eastAsia="仿宋_GB2312" w:cs="仿宋"/>
          <w:color w:val="auto"/>
          <w:kern w:val="0"/>
          <w:sz w:val="32"/>
          <w:szCs w:val="32"/>
          <w:highlight w:val="none"/>
          <w:lang w:val="zh-CN" w:eastAsia="zh-CN" w:bidi="ar-SA"/>
        </w:rPr>
        <w:t>报告等程序进行。</w:t>
      </w:r>
    </w:p>
    <w:p w14:paraId="0A72DB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en-US" w:eastAsia="zh-CN" w:bidi="ar-SA"/>
        </w:rPr>
      </w:pPr>
      <w:bookmarkStart w:id="243" w:name="_Toc26562"/>
      <w:r>
        <w:rPr>
          <w:rFonts w:hint="default" w:ascii="黑体" w:hAnsi="黑体" w:eastAsia="黑体" w:cs="黑体"/>
          <w:color w:val="auto"/>
          <w:kern w:val="0"/>
          <w:sz w:val="32"/>
          <w:szCs w:val="32"/>
          <w:highlight w:val="none"/>
          <w:lang w:val="en-US" w:eastAsia="zh-CN" w:bidi="ar-SA"/>
        </w:rPr>
        <w:t>二、项目</w:t>
      </w:r>
      <w:r>
        <w:rPr>
          <w:rFonts w:hint="eastAsia" w:ascii="黑体" w:hAnsi="黑体" w:eastAsia="黑体" w:cs="黑体"/>
          <w:color w:val="auto"/>
          <w:kern w:val="0"/>
          <w:sz w:val="32"/>
          <w:szCs w:val="32"/>
          <w:highlight w:val="none"/>
          <w:lang w:val="en-US" w:eastAsia="zh-CN" w:bidi="ar-SA"/>
        </w:rPr>
        <w:t>资金申报及使用情况</w:t>
      </w:r>
      <w:bookmarkEnd w:id="243"/>
    </w:p>
    <w:p w14:paraId="1DE1402A">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bookmarkStart w:id="244" w:name="_Toc22651"/>
      <w:r>
        <w:rPr>
          <w:rFonts w:hint="eastAsia" w:ascii="楷体" w:hAnsi="楷体" w:eastAsia="楷体" w:cs="楷体"/>
          <w:b/>
          <w:color w:val="auto"/>
          <w:sz w:val="32"/>
          <w:szCs w:val="32"/>
          <w:highlight w:val="none"/>
          <w:lang w:val="zh-CN" w:eastAsia="zh-CN"/>
        </w:rPr>
        <w:t>（一）项目资金申报及批复情况</w:t>
      </w:r>
      <w:bookmarkEnd w:id="244"/>
    </w:p>
    <w:p w14:paraId="7E0D757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en-US" w:eastAsia="zh-CN" w:bidi="ar-SA"/>
        </w:rPr>
        <w:t>关于下达2022年驻村工作队工作经费</w:t>
      </w:r>
      <w:r>
        <w:rPr>
          <w:rFonts w:hint="eastAsia" w:ascii="仿宋_GB2312" w:hAnsi="Calibri" w:eastAsia="仿宋_GB2312" w:cs="仿宋"/>
          <w:color w:val="auto"/>
          <w:kern w:val="0"/>
          <w:sz w:val="32"/>
          <w:szCs w:val="32"/>
          <w:highlight w:val="none"/>
          <w:lang w:val="zh-CN" w:eastAsia="zh-CN" w:bidi="ar-SA"/>
        </w:rPr>
        <w:t>项目预算</w:t>
      </w:r>
      <w:r>
        <w:rPr>
          <w:rFonts w:hint="eastAsia" w:ascii="仿宋_GB2312" w:hAnsi="Calibri" w:eastAsia="仿宋_GB2312" w:cs="仿宋"/>
          <w:color w:val="auto"/>
          <w:kern w:val="0"/>
          <w:sz w:val="32"/>
          <w:szCs w:val="32"/>
          <w:highlight w:val="none"/>
          <w:lang w:val="en-US" w:eastAsia="zh-CN" w:bidi="ar-SA"/>
        </w:rPr>
        <w:t>6.5</w:t>
      </w:r>
      <w:r>
        <w:rPr>
          <w:rFonts w:hint="eastAsia" w:ascii="仿宋_GB2312" w:hAnsi="Calibri" w:eastAsia="仿宋_GB2312" w:cs="仿宋"/>
          <w:color w:val="auto"/>
          <w:kern w:val="0"/>
          <w:sz w:val="32"/>
          <w:szCs w:val="32"/>
          <w:highlight w:val="none"/>
          <w:lang w:val="zh-CN" w:eastAsia="zh-CN" w:bidi="ar-SA"/>
        </w:rPr>
        <w:t>万元，区财政批复预算</w:t>
      </w:r>
      <w:r>
        <w:rPr>
          <w:rFonts w:hint="eastAsia" w:ascii="仿宋_GB2312" w:hAnsi="Calibri" w:eastAsia="仿宋_GB2312" w:cs="仿宋"/>
          <w:color w:val="auto"/>
          <w:kern w:val="0"/>
          <w:sz w:val="32"/>
          <w:szCs w:val="32"/>
          <w:highlight w:val="none"/>
          <w:lang w:val="en-US" w:eastAsia="zh-CN" w:bidi="ar-SA"/>
        </w:rPr>
        <w:t>6.5</w:t>
      </w:r>
      <w:r>
        <w:rPr>
          <w:rFonts w:hint="eastAsia" w:ascii="仿宋_GB2312" w:hAnsi="Calibri" w:eastAsia="仿宋_GB2312" w:cs="仿宋"/>
          <w:color w:val="auto"/>
          <w:kern w:val="0"/>
          <w:sz w:val="32"/>
          <w:szCs w:val="32"/>
          <w:highlight w:val="none"/>
          <w:lang w:val="zh-CN" w:eastAsia="zh-CN" w:bidi="ar-SA"/>
        </w:rPr>
        <w:t>万元，下达资金</w:t>
      </w:r>
      <w:r>
        <w:rPr>
          <w:rFonts w:hint="eastAsia" w:ascii="仿宋_GB2312" w:hAnsi="Calibri" w:eastAsia="仿宋_GB2312" w:cs="仿宋"/>
          <w:color w:val="auto"/>
          <w:kern w:val="0"/>
          <w:sz w:val="32"/>
          <w:szCs w:val="32"/>
          <w:highlight w:val="none"/>
          <w:lang w:val="en-US" w:eastAsia="zh-CN" w:bidi="ar-SA"/>
        </w:rPr>
        <w:t>6.5万元，资金到位率100%。支付依据符合相关规定，项目资金支付与预算申请相符合。</w:t>
      </w:r>
    </w:p>
    <w:p w14:paraId="03F3358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楷体" w:hAnsi="楷体" w:eastAsia="楷体" w:cs="楷体"/>
          <w:b/>
          <w:color w:val="auto"/>
          <w:sz w:val="32"/>
          <w:szCs w:val="32"/>
          <w:highlight w:val="none"/>
          <w:lang w:val="zh-CN" w:eastAsia="zh-CN"/>
        </w:rPr>
      </w:pPr>
      <w:bookmarkStart w:id="245" w:name="_Toc27473"/>
      <w:r>
        <w:rPr>
          <w:rFonts w:hint="default"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二</w:t>
      </w:r>
      <w:r>
        <w:rPr>
          <w:rFonts w:hint="default"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项目计划、到位及使用</w:t>
      </w:r>
      <w:r>
        <w:rPr>
          <w:rFonts w:hint="default" w:ascii="楷体" w:hAnsi="楷体" w:eastAsia="楷体" w:cs="楷体"/>
          <w:b/>
          <w:color w:val="auto"/>
          <w:sz w:val="32"/>
          <w:szCs w:val="32"/>
          <w:highlight w:val="none"/>
          <w:lang w:val="zh-CN" w:eastAsia="zh-CN"/>
        </w:rPr>
        <w:t>情况</w:t>
      </w:r>
      <w:bookmarkEnd w:id="245"/>
    </w:p>
    <w:p w14:paraId="5665FA5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en-US" w:eastAsia="zh-CN" w:bidi="ar-SA"/>
        </w:rPr>
        <w:t>1.</w:t>
      </w:r>
      <w:r>
        <w:rPr>
          <w:rFonts w:hint="eastAsia" w:ascii="仿宋_GB2312" w:hAnsi="Calibri" w:eastAsia="仿宋_GB2312" w:cs="仿宋"/>
          <w:color w:val="auto"/>
          <w:kern w:val="0"/>
          <w:sz w:val="32"/>
          <w:szCs w:val="32"/>
          <w:highlight w:val="none"/>
          <w:lang w:val="zh-CN" w:eastAsia="zh-CN" w:bidi="ar-SA"/>
        </w:rPr>
        <w:t>资金计划。</w:t>
      </w:r>
      <w:r>
        <w:rPr>
          <w:rFonts w:hint="eastAsia" w:ascii="仿宋_GB2312" w:hAnsi="Calibri" w:eastAsia="仿宋_GB2312" w:cs="仿宋"/>
          <w:color w:val="auto"/>
          <w:kern w:val="0"/>
          <w:sz w:val="32"/>
          <w:szCs w:val="32"/>
          <w:highlight w:val="none"/>
          <w:lang w:val="en-US" w:eastAsia="zh-CN" w:bidi="ar-SA"/>
        </w:rPr>
        <w:t>该</w:t>
      </w:r>
      <w:r>
        <w:rPr>
          <w:rFonts w:hint="eastAsia" w:ascii="仿宋_GB2312" w:hAnsi="Calibri" w:eastAsia="仿宋_GB2312" w:cs="仿宋"/>
          <w:color w:val="auto"/>
          <w:kern w:val="0"/>
          <w:sz w:val="32"/>
          <w:szCs w:val="32"/>
          <w:highlight w:val="none"/>
          <w:lang w:val="zh-CN" w:eastAsia="zh-CN" w:bidi="ar-SA"/>
        </w:rPr>
        <w:t>项目资金来源为财政拨款，总投入为</w:t>
      </w:r>
      <w:r>
        <w:rPr>
          <w:rFonts w:hint="eastAsia" w:ascii="仿宋_GB2312" w:hAnsi="Calibri" w:eastAsia="仿宋_GB2312" w:cs="仿宋"/>
          <w:color w:val="auto"/>
          <w:kern w:val="0"/>
          <w:sz w:val="32"/>
          <w:szCs w:val="32"/>
          <w:highlight w:val="none"/>
          <w:lang w:val="en-US" w:eastAsia="zh-CN" w:bidi="ar-SA"/>
        </w:rPr>
        <w:t>6.5万元，资金于2022年全部到位。</w:t>
      </w:r>
    </w:p>
    <w:p w14:paraId="6AEE79A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2.</w:t>
      </w:r>
      <w:r>
        <w:rPr>
          <w:rFonts w:hint="eastAsia" w:ascii="仿宋_GB2312" w:hAnsi="Calibri" w:eastAsia="仿宋_GB2312" w:cs="仿宋"/>
          <w:color w:val="auto"/>
          <w:kern w:val="0"/>
          <w:sz w:val="32"/>
          <w:szCs w:val="32"/>
          <w:highlight w:val="none"/>
          <w:lang w:val="zh-CN" w:eastAsia="zh-CN" w:bidi="ar-SA"/>
        </w:rPr>
        <w:t>资金到位。截止评价时点，该项目</w:t>
      </w:r>
      <w:r>
        <w:rPr>
          <w:rFonts w:hint="eastAsia" w:ascii="仿宋_GB2312" w:hAnsi="Calibri" w:eastAsia="仿宋_GB2312" w:cs="仿宋"/>
          <w:color w:val="auto"/>
          <w:kern w:val="0"/>
          <w:sz w:val="32"/>
          <w:szCs w:val="32"/>
          <w:highlight w:val="none"/>
          <w:lang w:val="en-US" w:eastAsia="zh-CN" w:bidi="ar-SA"/>
        </w:rPr>
        <w:t>资金全部到位，资金到位率100%。</w:t>
      </w:r>
    </w:p>
    <w:p w14:paraId="317FA75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en-US" w:eastAsia="zh-CN" w:bidi="ar-SA"/>
        </w:rPr>
        <w:t>3.</w:t>
      </w:r>
      <w:r>
        <w:rPr>
          <w:rFonts w:hint="eastAsia" w:ascii="仿宋_GB2312" w:hAnsi="Calibri" w:eastAsia="仿宋_GB2312" w:cs="仿宋"/>
          <w:color w:val="auto"/>
          <w:kern w:val="0"/>
          <w:sz w:val="32"/>
          <w:szCs w:val="32"/>
          <w:highlight w:val="none"/>
          <w:lang w:val="zh-CN" w:eastAsia="zh-CN" w:bidi="ar-SA"/>
        </w:rPr>
        <w:t>资金使用。截止评价时点，该项目</w:t>
      </w:r>
      <w:r>
        <w:rPr>
          <w:rFonts w:hint="eastAsia" w:ascii="仿宋_GB2312" w:hAnsi="Calibri" w:eastAsia="仿宋_GB2312" w:cs="仿宋"/>
          <w:color w:val="auto"/>
          <w:kern w:val="0"/>
          <w:sz w:val="32"/>
          <w:szCs w:val="32"/>
          <w:highlight w:val="none"/>
          <w:lang w:val="en-US" w:eastAsia="zh-CN" w:bidi="ar-SA"/>
        </w:rPr>
        <w:t>已支付，资金使用率100%。</w:t>
      </w:r>
      <w:r>
        <w:rPr>
          <w:rFonts w:hint="eastAsia" w:ascii="仿宋_GB2312" w:hAnsi="Calibri" w:eastAsia="仿宋_GB2312" w:cs="仿宋"/>
          <w:color w:val="auto"/>
          <w:kern w:val="0"/>
          <w:sz w:val="32"/>
          <w:szCs w:val="32"/>
          <w:highlight w:val="none"/>
          <w:lang w:val="zh-CN" w:eastAsia="zh-CN" w:bidi="ar-SA"/>
        </w:rPr>
        <w:t>资金使用</w:t>
      </w:r>
      <w:r>
        <w:rPr>
          <w:rFonts w:hint="eastAsia" w:ascii="仿宋_GB2312" w:hAnsi="Calibri" w:eastAsia="仿宋_GB2312" w:cs="仿宋"/>
          <w:color w:val="auto"/>
          <w:kern w:val="0"/>
          <w:sz w:val="32"/>
          <w:szCs w:val="32"/>
          <w:highlight w:val="none"/>
          <w:lang w:val="en-US" w:eastAsia="zh-CN" w:bidi="ar-SA"/>
        </w:rPr>
        <w:t>具有</w:t>
      </w:r>
      <w:r>
        <w:rPr>
          <w:rFonts w:hint="eastAsia" w:ascii="仿宋_GB2312" w:hAnsi="Calibri" w:eastAsia="仿宋_GB2312" w:cs="仿宋"/>
          <w:color w:val="auto"/>
          <w:kern w:val="0"/>
          <w:sz w:val="32"/>
          <w:szCs w:val="32"/>
          <w:highlight w:val="none"/>
          <w:lang w:val="zh-CN" w:eastAsia="zh-CN" w:bidi="ar-SA"/>
        </w:rPr>
        <w:t>安全性、规范性、有效性，</w:t>
      </w:r>
      <w:r>
        <w:rPr>
          <w:rFonts w:hint="eastAsia" w:ascii="仿宋_GB2312" w:hAnsi="Calibri" w:eastAsia="仿宋_GB2312" w:cs="仿宋"/>
          <w:color w:val="auto"/>
          <w:kern w:val="0"/>
          <w:sz w:val="32"/>
          <w:szCs w:val="32"/>
          <w:highlight w:val="none"/>
          <w:lang w:val="en-US" w:eastAsia="zh-CN" w:bidi="ar-SA"/>
        </w:rPr>
        <w:t>严格按照</w:t>
      </w:r>
      <w:r>
        <w:rPr>
          <w:rFonts w:hint="eastAsia" w:ascii="仿宋_GB2312" w:hAnsi="Calibri" w:eastAsia="仿宋_GB2312" w:cs="仿宋"/>
          <w:color w:val="auto"/>
          <w:kern w:val="0"/>
          <w:sz w:val="32"/>
          <w:szCs w:val="32"/>
          <w:highlight w:val="none"/>
          <w:lang w:val="zh-CN" w:eastAsia="zh-CN" w:bidi="ar-SA"/>
        </w:rPr>
        <w:t>资金支付范围、支付标准</w:t>
      </w:r>
      <w:r>
        <w:rPr>
          <w:rFonts w:hint="eastAsia" w:ascii="仿宋_GB2312" w:hAnsi="Calibri" w:eastAsia="仿宋_GB2312" w:cs="仿宋"/>
          <w:color w:val="auto"/>
          <w:kern w:val="0"/>
          <w:sz w:val="32"/>
          <w:szCs w:val="32"/>
          <w:highlight w:val="none"/>
          <w:lang w:val="en-US" w:eastAsia="zh-CN" w:bidi="ar-SA"/>
        </w:rPr>
        <w:t>进行支付，</w:t>
      </w:r>
      <w:r>
        <w:rPr>
          <w:rFonts w:hint="eastAsia" w:ascii="仿宋_GB2312" w:hAnsi="Calibri" w:eastAsia="仿宋_GB2312" w:cs="仿宋"/>
          <w:color w:val="auto"/>
          <w:kern w:val="0"/>
          <w:sz w:val="32"/>
          <w:szCs w:val="32"/>
          <w:highlight w:val="none"/>
          <w:lang w:val="zh-CN" w:eastAsia="zh-CN" w:bidi="ar-SA"/>
        </w:rPr>
        <w:t>支付进度、支付依据合规合法、与预算相符。</w:t>
      </w:r>
    </w:p>
    <w:p w14:paraId="4D387BE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楷体" w:hAnsi="楷体" w:eastAsia="楷体" w:cs="楷体"/>
          <w:b/>
          <w:color w:val="auto"/>
          <w:sz w:val="32"/>
          <w:szCs w:val="32"/>
          <w:highlight w:val="none"/>
          <w:lang w:val="zh-CN" w:eastAsia="zh-CN"/>
        </w:rPr>
      </w:pPr>
      <w:bookmarkStart w:id="246" w:name="_Toc23041"/>
      <w:r>
        <w:rPr>
          <w:rFonts w:hint="default"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三</w:t>
      </w:r>
      <w:r>
        <w:rPr>
          <w:rFonts w:hint="default" w:ascii="楷体" w:hAnsi="楷体" w:eastAsia="楷体" w:cs="楷体"/>
          <w:b/>
          <w:color w:val="auto"/>
          <w:sz w:val="32"/>
          <w:szCs w:val="32"/>
          <w:highlight w:val="none"/>
          <w:lang w:val="zh-CN" w:eastAsia="zh-CN"/>
        </w:rPr>
        <w:t>）项目财务管理情况</w:t>
      </w:r>
      <w:bookmarkEnd w:id="246"/>
    </w:p>
    <w:p w14:paraId="01A22F8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en-US" w:eastAsia="zh-CN" w:bidi="ar-SA"/>
        </w:rPr>
        <w:t>关于下达2022年驻村工作队工作经费项目资金采取财政直接支付方式，由镇相关部门组织申报材料，形成项目专项资金申请报告报送财务部门，由财政所根据项目进度，严格按照项目资金管理办法对资金进行计划申请、划拨至所提供的个人指定账户，及时、规范对收支进行账务处理和会计核算。对项目资金坚持专款专用、量入为出的原则，并建立好项目专项资金使用台账，加强项目专项资金的财务管理及使用监督管理。</w:t>
      </w:r>
    </w:p>
    <w:p w14:paraId="14167AB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zh-CN" w:eastAsia="zh-CN" w:bidi="ar-SA"/>
        </w:rPr>
      </w:pPr>
      <w:bookmarkStart w:id="247" w:name="_Toc21966"/>
      <w:r>
        <w:rPr>
          <w:rFonts w:hint="default" w:ascii="黑体" w:hAnsi="黑体" w:eastAsia="黑体" w:cs="黑体"/>
          <w:color w:val="auto"/>
          <w:kern w:val="0"/>
          <w:sz w:val="32"/>
          <w:szCs w:val="32"/>
          <w:highlight w:val="none"/>
          <w:lang w:val="en-US" w:eastAsia="zh-CN" w:bidi="ar-SA"/>
        </w:rPr>
        <w:t>三、项目</w:t>
      </w:r>
      <w:r>
        <w:rPr>
          <w:rFonts w:hint="eastAsia" w:ascii="黑体" w:hAnsi="黑体" w:eastAsia="黑体" w:cs="黑体"/>
          <w:color w:val="auto"/>
          <w:kern w:val="0"/>
          <w:sz w:val="32"/>
          <w:szCs w:val="32"/>
          <w:highlight w:val="none"/>
          <w:lang w:val="en-US" w:eastAsia="zh-CN" w:bidi="ar-SA"/>
        </w:rPr>
        <w:t>实施及管理情况</w:t>
      </w:r>
      <w:bookmarkEnd w:id="247"/>
    </w:p>
    <w:p w14:paraId="56B6BA15">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一</w:t>
      </w: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项目组织架构及实施流程</w:t>
      </w:r>
    </w:p>
    <w:p w14:paraId="04C9B0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仿宋_GB2312"/>
          <w:sz w:val="32"/>
          <w:szCs w:val="32"/>
          <w:highlight w:val="none"/>
          <w:lang w:val="zh-CN"/>
        </w:rPr>
      </w:pPr>
      <w:r>
        <w:rPr>
          <w:rFonts w:hint="eastAsia" w:ascii="仿宋_GB2312" w:hAnsi="仿宋_GB2312" w:eastAsia="仿宋_GB2312" w:cs="仿宋_GB2312"/>
          <w:b w:val="0"/>
          <w:bCs/>
          <w:sz w:val="32"/>
          <w:szCs w:val="32"/>
          <w:highlight w:val="none"/>
          <w:lang w:val="zh-CN"/>
        </w:rPr>
        <w:t>磨滩镇高度重视</w:t>
      </w:r>
      <w:r>
        <w:rPr>
          <w:rFonts w:hint="eastAsia" w:ascii="仿宋_GB2312" w:hAnsi="仿宋_GB2312" w:eastAsia="仿宋_GB2312" w:cs="仿宋_GB2312"/>
          <w:b w:val="0"/>
          <w:bCs/>
          <w:sz w:val="32"/>
          <w:szCs w:val="32"/>
          <w:highlight w:val="none"/>
          <w:lang w:val="en-US" w:eastAsia="zh-CN"/>
        </w:rPr>
        <w:t>关于</w:t>
      </w:r>
      <w:r>
        <w:rPr>
          <w:rFonts w:hint="eastAsia" w:ascii="仿宋_GB2312" w:hAnsi="Calibri" w:eastAsia="仿宋_GB2312" w:cs="仿宋"/>
          <w:color w:val="auto"/>
          <w:kern w:val="0"/>
          <w:sz w:val="32"/>
          <w:szCs w:val="32"/>
          <w:highlight w:val="none"/>
          <w:lang w:val="en-US" w:eastAsia="zh-CN" w:bidi="ar-SA"/>
        </w:rPr>
        <w:t>下达驻村工作队工作经费</w:t>
      </w:r>
      <w:r>
        <w:rPr>
          <w:rFonts w:hint="eastAsia" w:ascii="仿宋_GB2312" w:hAnsi="仿宋_GB2312" w:eastAsia="仿宋_GB2312" w:cs="仿宋_GB2312"/>
          <w:b w:val="0"/>
          <w:bCs/>
          <w:sz w:val="32"/>
          <w:szCs w:val="32"/>
          <w:highlight w:val="none"/>
        </w:rPr>
        <w:t>项目</w:t>
      </w:r>
      <w:r>
        <w:rPr>
          <w:rFonts w:hint="eastAsia" w:ascii="仿宋_GB2312" w:hAnsi="仿宋_GB2312" w:eastAsia="仿宋_GB2312" w:cs="仿宋_GB2312"/>
          <w:b w:val="0"/>
          <w:bCs/>
          <w:sz w:val="32"/>
          <w:szCs w:val="32"/>
          <w:highlight w:val="none"/>
          <w:lang w:val="zh-CN"/>
        </w:rPr>
        <w:t>，并成立工作领导小组。以镇党委副书记、镇长为组长，</w:t>
      </w:r>
      <w:r>
        <w:rPr>
          <w:rFonts w:hint="eastAsia" w:ascii="仿宋_GB2312" w:hAnsi="仿宋_GB2312" w:eastAsia="仿宋_GB2312" w:cs="仿宋_GB2312"/>
          <w:b w:val="0"/>
          <w:bCs/>
          <w:sz w:val="32"/>
          <w:szCs w:val="32"/>
          <w:highlight w:val="none"/>
          <w:lang w:val="en-US" w:eastAsia="zh-CN"/>
        </w:rPr>
        <w:t>党委副书记</w:t>
      </w:r>
      <w:r>
        <w:rPr>
          <w:rFonts w:hint="eastAsia" w:ascii="仿宋_GB2312" w:hAnsi="仿宋_GB2312" w:eastAsia="仿宋_GB2312" w:cs="仿宋_GB2312"/>
          <w:b w:val="0"/>
          <w:bCs/>
          <w:sz w:val="32"/>
          <w:szCs w:val="32"/>
          <w:highlight w:val="none"/>
          <w:lang w:val="zh-CN"/>
        </w:rPr>
        <w:t>为副组长，</w:t>
      </w:r>
      <w:r>
        <w:rPr>
          <w:rFonts w:hint="eastAsia" w:ascii="仿宋_GB2312" w:hAnsi="仿宋_GB2312" w:eastAsia="仿宋_GB2312" w:cs="仿宋_GB2312"/>
          <w:b w:val="0"/>
          <w:bCs/>
          <w:sz w:val="32"/>
          <w:szCs w:val="32"/>
          <w:highlight w:val="none"/>
          <w:lang w:val="en-US" w:eastAsia="zh-CN"/>
        </w:rPr>
        <w:t>相关站所负责人</w:t>
      </w:r>
      <w:r>
        <w:rPr>
          <w:rFonts w:hint="eastAsia" w:ascii="仿宋_GB2312" w:hAnsi="仿宋_GB2312" w:eastAsia="仿宋_GB2312" w:cs="仿宋_GB2312"/>
          <w:b w:val="0"/>
          <w:bCs/>
          <w:sz w:val="32"/>
          <w:szCs w:val="32"/>
          <w:highlight w:val="none"/>
          <w:lang w:val="zh-CN"/>
        </w:rPr>
        <w:t>为成员。抓</w:t>
      </w:r>
      <w:r>
        <w:rPr>
          <w:rFonts w:hint="eastAsia" w:ascii="Times New Roman" w:hAnsi="Times New Roman" w:eastAsia="仿宋_GB2312" w:cs="仿宋_GB2312"/>
          <w:sz w:val="32"/>
          <w:szCs w:val="32"/>
          <w:highlight w:val="none"/>
          <w:lang w:val="zh-CN"/>
        </w:rPr>
        <w:t>牢抓实此项目的实施。</w:t>
      </w:r>
    </w:p>
    <w:p w14:paraId="0F504DBB">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二</w:t>
      </w: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项目管理情况</w:t>
      </w:r>
    </w:p>
    <w:p w14:paraId="660003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 w:val="0"/>
          <w:bCs/>
          <w:sz w:val="32"/>
          <w:szCs w:val="32"/>
          <w:highlight w:val="none"/>
          <w:lang w:val="zh-CN"/>
        </w:rPr>
      </w:pPr>
      <w:r>
        <w:rPr>
          <w:rFonts w:hint="eastAsia" w:ascii="仿宋_GB2312" w:hAnsi="仿宋_GB2312" w:eastAsia="仿宋_GB2312" w:cs="仿宋_GB2312"/>
          <w:b w:val="0"/>
          <w:bCs/>
          <w:sz w:val="32"/>
          <w:szCs w:val="32"/>
          <w:highlight w:val="none"/>
          <w:lang w:val="zh-CN"/>
        </w:rPr>
        <w:t>项目资金由镇财政所具体管理，按投资计划，制定管理制度，对项目资金按项目单独核算实行“专款专用、专人管理”，不</w:t>
      </w:r>
      <w:r>
        <w:rPr>
          <w:rFonts w:hint="eastAsia" w:ascii="仿宋_GB2312" w:hAnsi="仿宋_GB2312" w:eastAsia="仿宋_GB2312" w:cs="仿宋_GB2312"/>
          <w:b w:val="0"/>
          <w:bCs/>
          <w:sz w:val="32"/>
          <w:szCs w:val="32"/>
          <w:highlight w:val="none"/>
          <w:lang w:val="en-US" w:eastAsia="zh-CN"/>
        </w:rPr>
        <w:t>存在</w:t>
      </w:r>
      <w:r>
        <w:rPr>
          <w:rFonts w:hint="eastAsia" w:ascii="仿宋_GB2312" w:hAnsi="仿宋_GB2312" w:eastAsia="仿宋_GB2312" w:cs="仿宋_GB2312"/>
          <w:b w:val="0"/>
          <w:bCs/>
          <w:sz w:val="32"/>
          <w:szCs w:val="32"/>
          <w:highlight w:val="none"/>
          <w:lang w:val="zh-CN"/>
        </w:rPr>
        <w:t>挤占挪用项目资金。</w:t>
      </w:r>
    </w:p>
    <w:p w14:paraId="684DF050">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eastAsia" w:ascii="楷体" w:hAnsi="楷体" w:eastAsia="楷体" w:cs="楷体"/>
          <w:b/>
          <w:color w:val="auto"/>
          <w:sz w:val="32"/>
          <w:szCs w:val="32"/>
          <w:highlight w:val="none"/>
          <w:lang w:val="en-US" w:eastAsia="zh-CN"/>
        </w:rPr>
      </w:pP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三</w:t>
      </w:r>
      <w:r>
        <w:rPr>
          <w:rFonts w:hint="eastAsia" w:ascii="楷体" w:hAnsi="楷体" w:eastAsia="楷体" w:cs="楷体"/>
          <w:b/>
          <w:color w:val="auto"/>
          <w:sz w:val="32"/>
          <w:szCs w:val="32"/>
          <w:highlight w:val="none"/>
          <w:lang w:val="zh-CN" w:eastAsia="zh-CN"/>
        </w:rPr>
        <w:t>）</w:t>
      </w:r>
      <w:r>
        <w:rPr>
          <w:rFonts w:hint="eastAsia" w:ascii="楷体" w:hAnsi="楷体" w:eastAsia="楷体" w:cs="楷体"/>
          <w:b/>
          <w:color w:val="auto"/>
          <w:sz w:val="32"/>
          <w:szCs w:val="32"/>
          <w:highlight w:val="none"/>
          <w:lang w:val="en-US" w:eastAsia="zh-CN"/>
        </w:rPr>
        <w:t>项目监管情况</w:t>
      </w:r>
    </w:p>
    <w:p w14:paraId="6D39EC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val="zh-CN"/>
        </w:rPr>
        <w:t>项目的正常实施监督检查是保障。我</w:t>
      </w:r>
      <w:r>
        <w:rPr>
          <w:rFonts w:hint="eastAsia" w:ascii="仿宋_GB2312" w:hAnsi="仿宋_GB2312" w:eastAsia="仿宋_GB2312" w:cs="仿宋_GB2312"/>
          <w:b w:val="0"/>
          <w:bCs/>
          <w:sz w:val="32"/>
          <w:szCs w:val="32"/>
          <w:highlight w:val="none"/>
          <w:lang w:val="en-US" w:eastAsia="zh-CN"/>
        </w:rPr>
        <w:t>镇</w:t>
      </w:r>
      <w:r>
        <w:rPr>
          <w:rFonts w:hint="eastAsia" w:ascii="仿宋_GB2312" w:hAnsi="仿宋_GB2312" w:eastAsia="仿宋_GB2312" w:cs="仿宋_GB2312"/>
          <w:b w:val="0"/>
          <w:bCs/>
          <w:sz w:val="32"/>
          <w:szCs w:val="32"/>
          <w:highlight w:val="none"/>
          <w:lang w:val="zh-CN"/>
        </w:rPr>
        <w:t>定期或不定期对项目进行现场检查和督查，确保项目建设质量。</w:t>
      </w:r>
    </w:p>
    <w:p w14:paraId="5B086DCE">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zh-CN" w:eastAsia="zh-CN" w:bidi="ar-SA"/>
        </w:rPr>
      </w:pPr>
      <w:bookmarkStart w:id="248" w:name="_Toc4731"/>
      <w:r>
        <w:rPr>
          <w:rFonts w:hint="eastAsia" w:ascii="黑体" w:hAnsi="黑体" w:eastAsia="黑体" w:cs="黑体"/>
          <w:color w:val="auto"/>
          <w:kern w:val="0"/>
          <w:sz w:val="32"/>
          <w:szCs w:val="32"/>
          <w:highlight w:val="none"/>
          <w:lang w:val="en-US" w:eastAsia="zh-CN" w:bidi="ar-SA"/>
        </w:rPr>
        <w:t>四</w:t>
      </w:r>
      <w:r>
        <w:rPr>
          <w:rFonts w:hint="default" w:ascii="黑体" w:hAnsi="黑体" w:eastAsia="黑体" w:cs="黑体"/>
          <w:color w:val="auto"/>
          <w:kern w:val="0"/>
          <w:sz w:val="32"/>
          <w:szCs w:val="32"/>
          <w:highlight w:val="none"/>
          <w:lang w:val="en-US" w:eastAsia="zh-CN" w:bidi="ar-SA"/>
        </w:rPr>
        <w:t>、项目绩效情况</w:t>
      </w:r>
      <w:bookmarkEnd w:id="248"/>
      <w:r>
        <w:rPr>
          <w:rFonts w:hint="default" w:ascii="黑体" w:hAnsi="黑体" w:eastAsia="黑体" w:cs="黑体"/>
          <w:color w:val="auto"/>
          <w:kern w:val="0"/>
          <w:sz w:val="32"/>
          <w:szCs w:val="32"/>
          <w:highlight w:val="none"/>
          <w:lang w:val="zh-CN" w:eastAsia="zh-CN" w:bidi="ar-SA"/>
        </w:rPr>
        <w:tab/>
      </w:r>
    </w:p>
    <w:p w14:paraId="34DFA15F">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楷体" w:hAnsi="楷体" w:eastAsia="楷体" w:cs="楷体"/>
          <w:b/>
          <w:color w:val="auto"/>
          <w:sz w:val="32"/>
          <w:szCs w:val="32"/>
          <w:highlight w:val="none"/>
          <w:lang w:val="zh-CN" w:eastAsia="zh-CN"/>
        </w:rPr>
      </w:pPr>
      <w:bookmarkStart w:id="249" w:name="_Toc29989"/>
      <w:r>
        <w:rPr>
          <w:rFonts w:hint="default" w:ascii="楷体" w:hAnsi="楷体" w:eastAsia="楷体" w:cs="楷体"/>
          <w:b/>
          <w:color w:val="auto"/>
          <w:sz w:val="32"/>
          <w:szCs w:val="32"/>
          <w:highlight w:val="none"/>
          <w:lang w:val="zh-CN" w:eastAsia="zh-CN"/>
        </w:rPr>
        <w:t>（一）项目完成情况</w:t>
      </w:r>
      <w:bookmarkEnd w:id="249"/>
    </w:p>
    <w:p w14:paraId="56827566">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磨滩镇</w:t>
      </w:r>
      <w:r>
        <w:rPr>
          <w:rFonts w:hint="eastAsia" w:ascii="仿宋_GB2312" w:hAnsi="Calibri" w:eastAsia="仿宋_GB2312" w:cs="仿宋"/>
          <w:color w:val="auto"/>
          <w:kern w:val="0"/>
          <w:sz w:val="32"/>
          <w:szCs w:val="32"/>
          <w:highlight w:val="none"/>
          <w:lang w:val="en-US" w:eastAsia="zh-CN" w:bidi="ar-SA"/>
        </w:rPr>
        <w:t>高度重视关于下达2022年驻村工作队工作经费</w:t>
      </w:r>
      <w:r>
        <w:rPr>
          <w:rFonts w:hint="eastAsia" w:ascii="仿宋_GB2312" w:hAnsi="Calibri" w:eastAsia="仿宋_GB2312" w:cs="仿宋"/>
          <w:color w:val="auto"/>
          <w:kern w:val="0"/>
          <w:sz w:val="32"/>
          <w:szCs w:val="32"/>
          <w:highlight w:val="none"/>
          <w:lang w:val="zh-CN" w:eastAsia="zh-CN" w:bidi="ar-SA"/>
        </w:rPr>
        <w:t>项目，</w:t>
      </w:r>
      <w:r>
        <w:rPr>
          <w:rFonts w:hint="eastAsia" w:ascii="仿宋_GB2312" w:hAnsi="Calibri" w:eastAsia="仿宋_GB2312" w:cs="仿宋"/>
          <w:color w:val="auto"/>
          <w:kern w:val="0"/>
          <w:sz w:val="32"/>
          <w:szCs w:val="32"/>
          <w:highlight w:val="none"/>
          <w:lang w:val="en-US" w:eastAsia="zh-CN" w:bidi="ar-SA"/>
        </w:rPr>
        <w:t>按照质量标准、经济成本指标、社会效益指标、帮扶对象满意度指标，完成了驻村工作队成员13人的考察调研、驻村日常工作运转及报销驻村期间因公产生的差旅费等。</w:t>
      </w:r>
    </w:p>
    <w:p w14:paraId="5B65F237">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楷体" w:hAnsi="楷体" w:eastAsia="楷体" w:cs="楷体"/>
          <w:b/>
          <w:color w:val="auto"/>
          <w:sz w:val="32"/>
          <w:szCs w:val="32"/>
          <w:highlight w:val="none"/>
          <w:lang w:val="zh-CN" w:eastAsia="zh-CN"/>
        </w:rPr>
      </w:pPr>
      <w:bookmarkStart w:id="250" w:name="_Toc18504"/>
      <w:r>
        <w:rPr>
          <w:rFonts w:hint="default" w:ascii="楷体" w:hAnsi="楷体" w:eastAsia="楷体" w:cs="楷体"/>
          <w:b/>
          <w:color w:val="auto"/>
          <w:sz w:val="32"/>
          <w:szCs w:val="32"/>
          <w:highlight w:val="none"/>
          <w:lang w:val="zh-CN" w:eastAsia="zh-CN"/>
        </w:rPr>
        <w:t>（二）项目效益情况</w:t>
      </w:r>
      <w:bookmarkEnd w:id="250"/>
    </w:p>
    <w:p w14:paraId="3D83CA76">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zh-CN" w:eastAsia="zh-CN" w:bidi="ar-SA"/>
        </w:rPr>
        <w:t>磨滩镇</w:t>
      </w:r>
      <w:r>
        <w:rPr>
          <w:rFonts w:hint="eastAsia" w:ascii="仿宋_GB2312" w:hAnsi="Calibri" w:eastAsia="仿宋_GB2312" w:cs="仿宋"/>
          <w:color w:val="auto"/>
          <w:kern w:val="0"/>
          <w:sz w:val="32"/>
          <w:szCs w:val="32"/>
          <w:highlight w:val="none"/>
          <w:lang w:val="en-US" w:eastAsia="zh-CN" w:bidi="ar-SA"/>
        </w:rPr>
        <w:t>高度重视关于下达2022年驻村工作队作经费</w:t>
      </w:r>
      <w:r>
        <w:rPr>
          <w:rFonts w:hint="eastAsia" w:ascii="仿宋_GB2312" w:hAnsi="Calibri" w:eastAsia="仿宋_GB2312" w:cs="仿宋"/>
          <w:color w:val="auto"/>
          <w:kern w:val="0"/>
          <w:sz w:val="32"/>
          <w:szCs w:val="32"/>
          <w:highlight w:val="none"/>
          <w:lang w:val="zh-CN" w:eastAsia="zh-CN" w:bidi="ar-SA"/>
        </w:rPr>
        <w:t>项目，</w:t>
      </w:r>
      <w:r>
        <w:rPr>
          <w:rFonts w:hint="eastAsia" w:ascii="仿宋_GB2312" w:hAnsi="Calibri" w:eastAsia="仿宋_GB2312" w:cs="仿宋"/>
          <w:color w:val="auto"/>
          <w:kern w:val="0"/>
          <w:sz w:val="32"/>
          <w:szCs w:val="32"/>
          <w:highlight w:val="none"/>
          <w:lang w:val="en-US" w:eastAsia="zh-CN" w:bidi="ar-SA"/>
        </w:rPr>
        <w:t>按照质量标准、经济成本指标、社会效益指标、帮扶对象满意度指标，完成了4个村驻村工作队成员13人的考察调研、驻村日常工作运转及报销驻村期间因公产生的差旅费等；完成了4个村的帮扶，帮扶对象满意度达95%。</w:t>
      </w:r>
    </w:p>
    <w:p w14:paraId="6E31C3C2">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outlineLvl w:val="1"/>
        <w:rPr>
          <w:rFonts w:hint="default" w:ascii="黑体" w:hAnsi="黑体" w:eastAsia="黑体" w:cs="黑体"/>
          <w:color w:val="auto"/>
          <w:kern w:val="0"/>
          <w:sz w:val="32"/>
          <w:szCs w:val="32"/>
          <w:highlight w:val="none"/>
          <w:lang w:val="en-US" w:eastAsia="zh-CN" w:bidi="ar-SA"/>
        </w:rPr>
      </w:pPr>
      <w:bookmarkStart w:id="251" w:name="_Toc19948"/>
      <w:r>
        <w:rPr>
          <w:rFonts w:hint="eastAsia" w:ascii="黑体" w:hAnsi="黑体" w:eastAsia="黑体" w:cs="黑体"/>
          <w:color w:val="auto"/>
          <w:kern w:val="0"/>
          <w:sz w:val="32"/>
          <w:szCs w:val="32"/>
          <w:highlight w:val="none"/>
          <w:lang w:val="en-US" w:eastAsia="zh-CN" w:bidi="ar-SA"/>
        </w:rPr>
        <w:t>五</w:t>
      </w:r>
      <w:r>
        <w:rPr>
          <w:rFonts w:hint="default" w:ascii="黑体" w:hAnsi="黑体" w:eastAsia="黑体" w:cs="黑体"/>
          <w:color w:val="auto"/>
          <w:kern w:val="0"/>
          <w:sz w:val="32"/>
          <w:szCs w:val="32"/>
          <w:highlight w:val="none"/>
          <w:lang w:val="en-US" w:eastAsia="zh-CN" w:bidi="ar-SA"/>
        </w:rPr>
        <w:t>、</w:t>
      </w:r>
      <w:r>
        <w:rPr>
          <w:rFonts w:hint="eastAsia" w:ascii="黑体" w:hAnsi="黑体" w:eastAsia="黑体" w:cs="黑体"/>
          <w:color w:val="auto"/>
          <w:kern w:val="0"/>
          <w:sz w:val="32"/>
          <w:szCs w:val="32"/>
          <w:highlight w:val="none"/>
          <w:lang w:val="en-US" w:eastAsia="zh-CN" w:bidi="ar-SA"/>
        </w:rPr>
        <w:t>自评结论及</w:t>
      </w:r>
      <w:r>
        <w:rPr>
          <w:rFonts w:hint="default" w:ascii="黑体" w:hAnsi="黑体" w:eastAsia="黑体" w:cs="黑体"/>
          <w:color w:val="auto"/>
          <w:kern w:val="0"/>
          <w:sz w:val="32"/>
          <w:szCs w:val="32"/>
          <w:highlight w:val="none"/>
          <w:lang w:val="en-US" w:eastAsia="zh-CN" w:bidi="ar-SA"/>
        </w:rPr>
        <w:t>建议</w:t>
      </w:r>
      <w:bookmarkEnd w:id="251"/>
    </w:p>
    <w:p w14:paraId="2881A12F">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r>
        <w:rPr>
          <w:rFonts w:hint="eastAsia" w:ascii="楷体" w:hAnsi="楷体" w:eastAsia="楷体" w:cs="楷体"/>
          <w:b/>
          <w:color w:val="auto"/>
          <w:sz w:val="32"/>
          <w:szCs w:val="32"/>
          <w:highlight w:val="none"/>
          <w:lang w:val="zh-CN" w:eastAsia="zh-CN"/>
        </w:rPr>
        <w:t>（一）评价结论</w:t>
      </w:r>
    </w:p>
    <w:p w14:paraId="578B4C6F">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zh-CN" w:eastAsia="zh-CN" w:bidi="ar-SA"/>
        </w:rPr>
        <w:t>根据项目决策、管理和绩效方面分析，我镇</w:t>
      </w:r>
      <w:r>
        <w:rPr>
          <w:rFonts w:hint="eastAsia" w:ascii="仿宋_GB2312" w:hAnsi="Calibri" w:eastAsia="仿宋_GB2312" w:cs="仿宋"/>
          <w:color w:val="auto"/>
          <w:kern w:val="0"/>
          <w:sz w:val="32"/>
          <w:szCs w:val="32"/>
          <w:highlight w:val="none"/>
          <w:lang w:val="en-US" w:eastAsia="zh-CN" w:bidi="ar-SA"/>
        </w:rPr>
        <w:t>2022年关于下达2022年驻村工作队工作经费</w:t>
      </w:r>
      <w:r>
        <w:rPr>
          <w:rFonts w:hint="eastAsia" w:ascii="仿宋_GB2312" w:hAnsi="Calibri" w:eastAsia="仿宋_GB2312" w:cs="仿宋"/>
          <w:color w:val="auto"/>
          <w:kern w:val="0"/>
          <w:sz w:val="32"/>
          <w:szCs w:val="32"/>
          <w:highlight w:val="none"/>
          <w:lang w:val="zh-CN" w:eastAsia="zh-CN" w:bidi="ar-SA"/>
        </w:rPr>
        <w:t>项目保障了驻村工作队工作正常运转</w:t>
      </w:r>
      <w:r>
        <w:rPr>
          <w:rFonts w:hint="eastAsia" w:ascii="仿宋_GB2312" w:hAnsi="Calibri" w:eastAsia="仿宋_GB2312" w:cs="仿宋"/>
          <w:color w:val="auto"/>
          <w:kern w:val="0"/>
          <w:sz w:val="32"/>
          <w:szCs w:val="32"/>
          <w:highlight w:val="none"/>
          <w:lang w:val="en-US" w:eastAsia="zh-CN" w:bidi="ar-SA"/>
        </w:rPr>
        <w:t>，我按照《广元市昭化区人民政府办公室关于印发&lt;广元市昭化区财政支出事后绩效评价管理办法&gt;的通知》(昭府办函〔2022〕37号)绩效评价指标体系开展绩效评价</w:t>
      </w:r>
      <w:r>
        <w:rPr>
          <w:rFonts w:hint="eastAsia" w:ascii="仿宋_GB2312" w:hAnsi="Calibri" w:eastAsia="仿宋_GB2312" w:cs="仿宋"/>
          <w:color w:val="auto"/>
          <w:kern w:val="0"/>
          <w:sz w:val="32"/>
          <w:szCs w:val="32"/>
          <w:highlight w:val="none"/>
          <w:lang w:val="zh-CN" w:eastAsia="zh-CN" w:bidi="ar-SA"/>
        </w:rPr>
        <w:t>，自评得分为</w:t>
      </w:r>
      <w:r>
        <w:rPr>
          <w:rFonts w:hint="eastAsia" w:ascii="仿宋_GB2312" w:hAnsi="Calibri" w:eastAsia="仿宋_GB2312" w:cs="仿宋"/>
          <w:color w:val="auto"/>
          <w:kern w:val="0"/>
          <w:sz w:val="32"/>
          <w:szCs w:val="32"/>
          <w:highlight w:val="none"/>
          <w:lang w:val="en-US" w:eastAsia="zh-CN" w:bidi="ar-SA"/>
        </w:rPr>
        <w:t>100分。</w:t>
      </w:r>
    </w:p>
    <w:p w14:paraId="7B8C5328">
      <w:pPr>
        <w:keepNext w:val="0"/>
        <w:keepLines w:val="0"/>
        <w:pageBreakBefore w:val="0"/>
        <w:kinsoku/>
        <w:wordWrap/>
        <w:overflowPunct/>
        <w:topLinePunct w:val="0"/>
        <w:autoSpaceDE/>
        <w:bidi w:val="0"/>
        <w:adjustRightInd/>
        <w:spacing w:line="576"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bookmarkStart w:id="252" w:name="_Toc11916"/>
      <w:r>
        <w:rPr>
          <w:rFonts w:hint="eastAsia" w:ascii="楷体" w:hAnsi="楷体" w:eastAsia="楷体" w:cs="楷体"/>
          <w:b/>
          <w:color w:val="auto"/>
          <w:sz w:val="32"/>
          <w:szCs w:val="32"/>
          <w:highlight w:val="none"/>
          <w:lang w:val="zh-CN" w:eastAsia="zh-CN"/>
        </w:rPr>
        <w:t>（二）存在的问题</w:t>
      </w:r>
      <w:bookmarkEnd w:id="252"/>
    </w:p>
    <w:p w14:paraId="210A293F">
      <w:pPr>
        <w:pStyle w:val="2"/>
        <w:ind w:left="1058" w:leftChars="504" w:firstLine="0" w:firstLineChars="0"/>
        <w:rPr>
          <w:rFonts w:hint="default" w:ascii="仿宋_GB2312" w:hAnsi="Calibri" w:eastAsia="仿宋_GB2312" w:cs="仿宋"/>
          <w:color w:val="auto"/>
          <w:kern w:val="0"/>
          <w:sz w:val="32"/>
          <w:szCs w:val="32"/>
          <w:highlight w:val="none"/>
          <w:lang w:val="en-US" w:eastAsia="zh-CN" w:bidi="ar-SA"/>
        </w:rPr>
      </w:pPr>
      <w:r>
        <w:rPr>
          <w:rFonts w:hint="eastAsia" w:ascii="仿宋_GB2312" w:hAnsi="Calibri" w:eastAsia="仿宋_GB2312" w:cs="仿宋"/>
          <w:color w:val="auto"/>
          <w:kern w:val="0"/>
          <w:sz w:val="32"/>
          <w:szCs w:val="32"/>
          <w:highlight w:val="none"/>
          <w:lang w:val="zh-CN" w:eastAsia="zh-CN" w:bidi="ar-SA"/>
        </w:rPr>
        <w:t>无。</w:t>
      </w:r>
    </w:p>
    <w:p w14:paraId="7CDBFC61">
      <w:pPr>
        <w:keepNext w:val="0"/>
        <w:keepLines w:val="0"/>
        <w:pageBreakBefore w:val="0"/>
        <w:numPr>
          <w:ilvl w:val="0"/>
          <w:numId w:val="6"/>
        </w:numPr>
        <w:kinsoku/>
        <w:wordWrap/>
        <w:overflowPunct/>
        <w:topLinePunct w:val="0"/>
        <w:autoSpaceDE/>
        <w:bidi w:val="0"/>
        <w:adjustRightInd/>
        <w:spacing w:line="576" w:lineRule="exact"/>
        <w:ind w:left="0" w:leftChars="0" w:firstLine="643" w:firstLineChars="200"/>
        <w:jc w:val="both"/>
        <w:textAlignment w:val="auto"/>
        <w:rPr>
          <w:rFonts w:hint="eastAsia" w:ascii="楷体" w:hAnsi="楷体" w:eastAsia="楷体" w:cs="楷体"/>
          <w:b/>
          <w:color w:val="auto"/>
          <w:sz w:val="32"/>
          <w:szCs w:val="32"/>
          <w:highlight w:val="none"/>
          <w:lang w:val="zh-CN" w:eastAsia="zh-CN"/>
        </w:rPr>
      </w:pPr>
      <w:r>
        <w:rPr>
          <w:rFonts w:hint="eastAsia" w:ascii="楷体" w:hAnsi="楷体" w:eastAsia="楷体" w:cs="楷体"/>
          <w:b/>
          <w:color w:val="auto"/>
          <w:sz w:val="32"/>
          <w:szCs w:val="32"/>
          <w:highlight w:val="none"/>
          <w:lang w:val="zh-CN" w:eastAsia="zh-CN"/>
        </w:rPr>
        <w:t>相关建议</w:t>
      </w:r>
    </w:p>
    <w:p w14:paraId="00444BC6">
      <w:pPr>
        <w:keepNext w:val="0"/>
        <w:keepLines w:val="0"/>
        <w:pageBreakBefore w:val="0"/>
        <w:kinsoku/>
        <w:wordWrap/>
        <w:overflowPunct/>
        <w:topLinePunct w:val="0"/>
        <w:autoSpaceDE/>
        <w:bidi w:val="0"/>
        <w:adjustRightInd/>
        <w:spacing w:line="576" w:lineRule="exact"/>
        <w:ind w:left="0" w:leftChars="0" w:firstLine="640" w:firstLineChars="200"/>
        <w:jc w:val="both"/>
        <w:textAlignment w:val="auto"/>
        <w:rPr>
          <w:rFonts w:hint="eastAsia" w:ascii="仿宋_GB2312" w:hAnsi="Calibri" w:eastAsia="仿宋_GB2312" w:cs="仿宋"/>
          <w:color w:val="auto"/>
          <w:kern w:val="0"/>
          <w:sz w:val="32"/>
          <w:szCs w:val="32"/>
          <w:highlight w:val="none"/>
          <w:lang w:val="zh-CN" w:eastAsia="zh-CN" w:bidi="ar-SA"/>
        </w:rPr>
      </w:pPr>
      <w:r>
        <w:rPr>
          <w:rFonts w:hint="eastAsia" w:ascii="仿宋_GB2312" w:hAnsi="Calibri" w:eastAsia="仿宋_GB2312" w:cs="仿宋"/>
          <w:color w:val="auto"/>
          <w:kern w:val="0"/>
          <w:sz w:val="32"/>
          <w:szCs w:val="32"/>
          <w:highlight w:val="none"/>
          <w:lang w:val="zh-CN" w:eastAsia="zh-CN" w:bidi="ar-SA"/>
        </w:rPr>
        <w:t>加强该项目资金实施的事前、事中、事后监督，提高项目资金使用精准，加强项目资金的财务核算管理，</w:t>
      </w:r>
      <w:r>
        <w:rPr>
          <w:rFonts w:hint="eastAsia" w:ascii="仿宋_GB2312" w:hAnsi="Calibri" w:eastAsia="仿宋_GB2312" w:cs="仿宋"/>
          <w:color w:val="auto"/>
          <w:kern w:val="0"/>
          <w:sz w:val="32"/>
          <w:szCs w:val="32"/>
          <w:highlight w:val="none"/>
          <w:lang w:val="en-US" w:eastAsia="zh-CN" w:bidi="ar-SA"/>
        </w:rPr>
        <w:t>及时报送审核项目资料</w:t>
      </w:r>
      <w:r>
        <w:rPr>
          <w:rFonts w:hint="eastAsia" w:ascii="仿宋_GB2312" w:hAnsi="Calibri" w:eastAsia="仿宋_GB2312" w:cs="仿宋"/>
          <w:color w:val="auto"/>
          <w:kern w:val="0"/>
          <w:sz w:val="32"/>
          <w:szCs w:val="32"/>
          <w:highlight w:val="none"/>
          <w:lang w:val="zh-CN" w:eastAsia="zh-CN" w:bidi="ar-SA"/>
        </w:rPr>
        <w:t>。</w:t>
      </w:r>
    </w:p>
    <w:p w14:paraId="1F8033A6">
      <w:pPr>
        <w:pStyle w:val="2"/>
        <w:rPr>
          <w:rFonts w:hint="eastAsia"/>
          <w:lang w:val="zh-CN" w:eastAsia="zh-CN"/>
        </w:rPr>
      </w:pPr>
    </w:p>
    <w:p w14:paraId="3BCD336A">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000000"/>
          <w:kern w:val="0"/>
          <w:sz w:val="32"/>
          <w:szCs w:val="32"/>
          <w:u w:val="none"/>
          <w:lang w:val="en-US" w:eastAsia="zh-CN" w:bidi="ar"/>
        </w:rPr>
      </w:pPr>
      <w:r>
        <w:rPr>
          <w:rFonts w:hint="default" w:ascii="方正小标宋简体" w:hAnsi="方正小标宋简体" w:eastAsia="方正小标宋简体" w:cs="方正小标宋简体"/>
          <w:i w:val="0"/>
          <w:iCs w:val="0"/>
          <w:color w:val="000000"/>
          <w:kern w:val="0"/>
          <w:sz w:val="32"/>
          <w:szCs w:val="32"/>
          <w:u w:val="none"/>
          <w:lang w:val="en-US" w:eastAsia="zh-CN" w:bidi="ar"/>
        </w:rPr>
        <w:br w:type="page"/>
      </w:r>
    </w:p>
    <w:tbl>
      <w:tblPr>
        <w:tblStyle w:val="17"/>
        <w:tblW w:w="95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2"/>
        <w:gridCol w:w="818"/>
        <w:gridCol w:w="1003"/>
        <w:gridCol w:w="724"/>
        <w:gridCol w:w="1113"/>
        <w:gridCol w:w="2232"/>
        <w:gridCol w:w="1472"/>
        <w:gridCol w:w="1264"/>
      </w:tblGrid>
      <w:tr w14:paraId="7C13D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9580" w:type="dxa"/>
            <w:gridSpan w:val="8"/>
            <w:tcBorders>
              <w:top w:val="nil"/>
              <w:left w:val="nil"/>
              <w:bottom w:val="nil"/>
              <w:right w:val="nil"/>
            </w:tcBorders>
            <w:shd w:val="clear" w:color="auto" w:fill="auto"/>
            <w:vAlign w:val="center"/>
          </w:tcPr>
          <w:p w14:paraId="5E8EF13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i w:val="0"/>
                <w:iCs w:val="0"/>
                <w:color w:val="000000"/>
                <w:sz w:val="40"/>
                <w:szCs w:val="40"/>
                <w:u w:val="none"/>
              </w:rPr>
            </w:pPr>
            <w:r>
              <w:rPr>
                <w:rFonts w:hint="default" w:ascii="方正小标宋简体" w:hAnsi="方正小标宋简体" w:eastAsia="方正小标宋简体" w:cs="方正小标宋简体"/>
                <w:i w:val="0"/>
                <w:iCs w:val="0"/>
                <w:color w:val="000000"/>
                <w:spacing w:val="1"/>
                <w:w w:val="86"/>
                <w:kern w:val="0"/>
                <w:sz w:val="44"/>
                <w:szCs w:val="44"/>
                <w:u w:val="none"/>
                <w:fitText w:val="9680" w:id="550395941"/>
                <w:lang w:val="en-US" w:eastAsia="zh-CN" w:bidi="ar"/>
              </w:rPr>
              <w:t>广元市昭化区</w:t>
            </w:r>
            <w:r>
              <w:rPr>
                <w:rFonts w:hint="eastAsia" w:ascii="方正小标宋简体" w:hAnsi="方正小标宋简体" w:eastAsia="方正小标宋简体" w:cs="方正小标宋简体"/>
                <w:i w:val="0"/>
                <w:iCs w:val="0"/>
                <w:color w:val="000000"/>
                <w:spacing w:val="1"/>
                <w:w w:val="86"/>
                <w:kern w:val="0"/>
                <w:sz w:val="44"/>
                <w:szCs w:val="44"/>
                <w:u w:val="none"/>
                <w:fitText w:val="9680" w:id="550395941"/>
                <w:lang w:val="en-US" w:eastAsia="zh-CN" w:bidi="ar"/>
              </w:rPr>
              <w:t>2022年驻村工作队工作经费</w:t>
            </w:r>
            <w:r>
              <w:rPr>
                <w:rFonts w:hint="default" w:ascii="方正小标宋简体" w:hAnsi="方正小标宋简体" w:eastAsia="方正小标宋简体" w:cs="方正小标宋简体"/>
                <w:i w:val="0"/>
                <w:iCs w:val="0"/>
                <w:color w:val="000000"/>
                <w:spacing w:val="1"/>
                <w:w w:val="86"/>
                <w:kern w:val="0"/>
                <w:sz w:val="44"/>
                <w:szCs w:val="44"/>
                <w:u w:val="none"/>
                <w:fitText w:val="9680" w:id="550395941"/>
                <w:lang w:val="en-US" w:eastAsia="zh-CN" w:bidi="ar"/>
              </w:rPr>
              <w:t>绩效目标自评</w:t>
            </w:r>
            <w:r>
              <w:rPr>
                <w:rFonts w:hint="default" w:ascii="方正小标宋简体" w:hAnsi="方正小标宋简体" w:eastAsia="方正小标宋简体" w:cs="方正小标宋简体"/>
                <w:i w:val="0"/>
                <w:iCs w:val="0"/>
                <w:color w:val="000000"/>
                <w:spacing w:val="-5"/>
                <w:w w:val="86"/>
                <w:kern w:val="0"/>
                <w:sz w:val="44"/>
                <w:szCs w:val="44"/>
                <w:u w:val="none"/>
                <w:fitText w:val="9680" w:id="550395941"/>
                <w:lang w:val="en-US" w:eastAsia="zh-CN" w:bidi="ar"/>
              </w:rPr>
              <w:t>表</w:t>
            </w:r>
          </w:p>
        </w:tc>
      </w:tr>
      <w:tr w14:paraId="02D4B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9580" w:type="dxa"/>
            <w:gridSpan w:val="8"/>
            <w:tcBorders>
              <w:top w:val="nil"/>
              <w:left w:val="nil"/>
              <w:bottom w:val="nil"/>
              <w:right w:val="nil"/>
            </w:tcBorders>
            <w:shd w:val="clear" w:color="auto" w:fill="auto"/>
            <w:vAlign w:val="top"/>
          </w:tcPr>
          <w:p w14:paraId="4886ECD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（2022年度）</w:t>
            </w:r>
          </w:p>
        </w:tc>
      </w:tr>
      <w:tr w14:paraId="34CDE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7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67F9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项目（政策）名称</w:t>
            </w:r>
          </w:p>
        </w:tc>
        <w:tc>
          <w:tcPr>
            <w:tcW w:w="784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3498A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关于下达2022年驻村工作队工作经费</w:t>
            </w:r>
          </w:p>
        </w:tc>
      </w:tr>
      <w:tr w14:paraId="48DF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7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DABA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主管部门</w:t>
            </w:r>
          </w:p>
        </w:tc>
        <w:tc>
          <w:tcPr>
            <w:tcW w:w="50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DC3D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广元市昭化区磨滩镇人民政府</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606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实施单位</w:t>
            </w:r>
          </w:p>
        </w:tc>
        <w:tc>
          <w:tcPr>
            <w:tcW w:w="1248" w:type="dxa"/>
            <w:tcBorders>
              <w:top w:val="single" w:color="000000" w:sz="4" w:space="0"/>
              <w:left w:val="single" w:color="000000" w:sz="4" w:space="0"/>
              <w:bottom w:val="nil"/>
              <w:right w:val="single" w:color="000000" w:sz="4" w:space="0"/>
            </w:tcBorders>
            <w:shd w:val="clear" w:color="auto" w:fill="auto"/>
            <w:vAlign w:val="center"/>
          </w:tcPr>
          <w:p w14:paraId="04C9F51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磨滩镇</w:t>
            </w:r>
          </w:p>
        </w:tc>
      </w:tr>
      <w:tr w14:paraId="016DD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739"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3442510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项目（政策）资金（万元）</w:t>
            </w:r>
          </w:p>
        </w:tc>
        <w:tc>
          <w:tcPr>
            <w:tcW w:w="2144" w:type="dxa"/>
            <w:gridSpan w:val="2"/>
            <w:tcBorders>
              <w:top w:val="nil"/>
              <w:left w:val="single" w:color="000000" w:sz="4" w:space="0"/>
              <w:bottom w:val="single" w:color="000000" w:sz="4" w:space="0"/>
              <w:right w:val="single" w:color="000000" w:sz="4" w:space="0"/>
            </w:tcBorders>
            <w:shd w:val="clear" w:color="auto" w:fill="auto"/>
            <w:vAlign w:val="center"/>
          </w:tcPr>
          <w:p w14:paraId="627F5265">
            <w:pPr>
              <w:jc w:val="center"/>
              <w:rPr>
                <w:rFonts w:hint="eastAsia" w:ascii="仿宋_GB2312" w:hAnsi="仿宋_GB2312" w:eastAsia="仿宋_GB2312" w:cs="仿宋_GB2312"/>
                <w:i w:val="0"/>
                <w:iCs w:val="0"/>
                <w:color w:val="000000"/>
                <w:sz w:val="21"/>
                <w:szCs w:val="21"/>
                <w:u w:val="none"/>
              </w:rPr>
            </w:pPr>
          </w:p>
        </w:tc>
        <w:tc>
          <w:tcPr>
            <w:tcW w:w="1232" w:type="dxa"/>
            <w:tcBorders>
              <w:top w:val="nil"/>
              <w:left w:val="single" w:color="000000" w:sz="4" w:space="0"/>
              <w:bottom w:val="single" w:color="000000" w:sz="4" w:space="0"/>
              <w:right w:val="single" w:color="000000" w:sz="4" w:space="0"/>
            </w:tcBorders>
            <w:shd w:val="clear" w:color="auto" w:fill="auto"/>
            <w:vAlign w:val="center"/>
          </w:tcPr>
          <w:p w14:paraId="4160557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年初预算数</w:t>
            </w:r>
          </w:p>
        </w:tc>
        <w:tc>
          <w:tcPr>
            <w:tcW w:w="1662" w:type="dxa"/>
            <w:tcBorders>
              <w:top w:val="nil"/>
              <w:left w:val="single" w:color="000000" w:sz="4" w:space="0"/>
              <w:bottom w:val="single" w:color="000000" w:sz="4" w:space="0"/>
              <w:right w:val="single" w:color="000000" w:sz="4" w:space="0"/>
            </w:tcBorders>
            <w:shd w:val="clear" w:color="auto" w:fill="auto"/>
            <w:vAlign w:val="center"/>
          </w:tcPr>
          <w:p w14:paraId="7268C05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调整后预算数</w:t>
            </w:r>
          </w:p>
        </w:tc>
        <w:tc>
          <w:tcPr>
            <w:tcW w:w="1555" w:type="dxa"/>
            <w:tcBorders>
              <w:top w:val="nil"/>
              <w:left w:val="single" w:color="000000" w:sz="4" w:space="0"/>
              <w:bottom w:val="single" w:color="000000" w:sz="4" w:space="0"/>
              <w:right w:val="single" w:color="000000" w:sz="4" w:space="0"/>
            </w:tcBorders>
            <w:shd w:val="clear" w:color="auto" w:fill="auto"/>
            <w:vAlign w:val="center"/>
          </w:tcPr>
          <w:p w14:paraId="28818B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全年执行数</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1D9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执行率</w:t>
            </w:r>
          </w:p>
        </w:tc>
      </w:tr>
      <w:tr w14:paraId="5D88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E804D66">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E8A6F">
            <w:pPr>
              <w:keepNext w:val="0"/>
              <w:keepLines w:val="0"/>
              <w:widowControl/>
              <w:suppressLineNumbers w:val="0"/>
              <w:jc w:val="both"/>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年度资金总额</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5FE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0</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B3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6.5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2D2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6.5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261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r>
      <w:tr w14:paraId="11FBC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58C7D46">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D6825">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（一）财政拨款小计</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F90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0</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534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6.5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EAB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6.5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0D1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r>
      <w:tr w14:paraId="09859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49C7FE3">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4D5294">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1.一般公共预算</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7696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0</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826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6.5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B6C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6.5</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672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r>
      <w:tr w14:paraId="167D9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BE69CD0">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BE9A1B">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2.政府性基金</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7D59">
            <w:pPr>
              <w:jc w:val="left"/>
              <w:rPr>
                <w:rFonts w:hint="eastAsia" w:ascii="仿宋_GB2312" w:hAnsi="仿宋_GB2312" w:eastAsia="仿宋_GB2312" w:cs="仿宋_GB2312"/>
                <w:i w:val="0"/>
                <w:iCs w:val="0"/>
                <w:color w:val="000000"/>
                <w:sz w:val="21"/>
                <w:szCs w:val="21"/>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1393">
            <w:pPr>
              <w:jc w:val="center"/>
              <w:rPr>
                <w:rFonts w:hint="eastAsia" w:ascii="仿宋_GB2312" w:hAnsi="仿宋_GB2312" w:eastAsia="仿宋_GB2312" w:cs="仿宋_GB2312"/>
                <w:i w:val="0"/>
                <w:iCs w:val="0"/>
                <w:color w:val="000000"/>
                <w:sz w:val="21"/>
                <w:szCs w:val="21"/>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2091">
            <w:pPr>
              <w:jc w:val="center"/>
              <w:rPr>
                <w:rFonts w:hint="eastAsia" w:ascii="仿宋_GB2312" w:hAnsi="仿宋_GB2312" w:eastAsia="仿宋_GB2312" w:cs="仿宋_GB2312"/>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8AC3">
            <w:pPr>
              <w:jc w:val="center"/>
              <w:rPr>
                <w:rFonts w:hint="eastAsia" w:ascii="仿宋_GB2312" w:hAnsi="仿宋_GB2312" w:eastAsia="仿宋_GB2312" w:cs="仿宋_GB2312"/>
                <w:i w:val="0"/>
                <w:iCs w:val="0"/>
                <w:color w:val="000000"/>
                <w:sz w:val="21"/>
                <w:szCs w:val="21"/>
                <w:u w:val="none"/>
              </w:rPr>
            </w:pPr>
          </w:p>
        </w:tc>
      </w:tr>
      <w:tr w14:paraId="438E9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E2EAA03">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E1CFF">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3.国有资本经营预算</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FE21">
            <w:pPr>
              <w:jc w:val="left"/>
              <w:rPr>
                <w:rFonts w:hint="eastAsia" w:ascii="仿宋_GB2312" w:hAnsi="仿宋_GB2312" w:eastAsia="仿宋_GB2312" w:cs="仿宋_GB2312"/>
                <w:i w:val="0"/>
                <w:iCs w:val="0"/>
                <w:color w:val="000000"/>
                <w:sz w:val="21"/>
                <w:szCs w:val="21"/>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62CD">
            <w:pPr>
              <w:jc w:val="center"/>
              <w:rPr>
                <w:rFonts w:hint="eastAsia" w:ascii="仿宋_GB2312" w:hAnsi="仿宋_GB2312" w:eastAsia="仿宋_GB2312" w:cs="仿宋_GB2312"/>
                <w:i w:val="0"/>
                <w:iCs w:val="0"/>
                <w:color w:val="000000"/>
                <w:sz w:val="21"/>
                <w:szCs w:val="21"/>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A17F">
            <w:pPr>
              <w:jc w:val="center"/>
              <w:rPr>
                <w:rFonts w:hint="eastAsia" w:ascii="仿宋_GB2312" w:hAnsi="仿宋_GB2312" w:eastAsia="仿宋_GB2312" w:cs="仿宋_GB2312"/>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3A4F">
            <w:pPr>
              <w:jc w:val="center"/>
              <w:rPr>
                <w:rFonts w:hint="eastAsia" w:ascii="仿宋_GB2312" w:hAnsi="仿宋_GB2312" w:eastAsia="仿宋_GB2312" w:cs="仿宋_GB2312"/>
                <w:i w:val="0"/>
                <w:iCs w:val="0"/>
                <w:color w:val="000000"/>
                <w:sz w:val="21"/>
                <w:szCs w:val="21"/>
                <w:u w:val="none"/>
              </w:rPr>
            </w:pPr>
          </w:p>
        </w:tc>
      </w:tr>
      <w:tr w14:paraId="70B20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D995B20">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913B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  4.社保基金</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7171">
            <w:pPr>
              <w:jc w:val="left"/>
              <w:rPr>
                <w:rFonts w:hint="eastAsia" w:ascii="仿宋_GB2312" w:hAnsi="仿宋_GB2312" w:eastAsia="仿宋_GB2312" w:cs="仿宋_GB2312"/>
                <w:i w:val="0"/>
                <w:iCs w:val="0"/>
                <w:color w:val="000000"/>
                <w:sz w:val="21"/>
                <w:szCs w:val="21"/>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5ADD">
            <w:pPr>
              <w:jc w:val="center"/>
              <w:rPr>
                <w:rFonts w:hint="eastAsia" w:ascii="仿宋_GB2312" w:hAnsi="仿宋_GB2312" w:eastAsia="仿宋_GB2312" w:cs="仿宋_GB2312"/>
                <w:i w:val="0"/>
                <w:iCs w:val="0"/>
                <w:color w:val="000000"/>
                <w:sz w:val="21"/>
                <w:szCs w:val="21"/>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67A3">
            <w:pPr>
              <w:jc w:val="center"/>
              <w:rPr>
                <w:rFonts w:hint="eastAsia" w:ascii="仿宋_GB2312" w:hAnsi="仿宋_GB2312" w:eastAsia="仿宋_GB2312" w:cs="仿宋_GB2312"/>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2609">
            <w:pPr>
              <w:jc w:val="center"/>
              <w:rPr>
                <w:rFonts w:hint="eastAsia" w:ascii="仿宋_GB2312" w:hAnsi="仿宋_GB2312" w:eastAsia="仿宋_GB2312" w:cs="仿宋_GB2312"/>
                <w:i w:val="0"/>
                <w:iCs w:val="0"/>
                <w:color w:val="000000"/>
                <w:sz w:val="21"/>
                <w:szCs w:val="21"/>
                <w:u w:val="none"/>
              </w:rPr>
            </w:pPr>
          </w:p>
        </w:tc>
      </w:tr>
      <w:tr w14:paraId="5D255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73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5F005F5">
            <w:pPr>
              <w:jc w:val="center"/>
              <w:rPr>
                <w:rFonts w:hint="eastAsia" w:ascii="仿宋_GB2312" w:hAnsi="仿宋_GB2312" w:eastAsia="仿宋_GB2312" w:cs="仿宋_GB2312"/>
                <w:i w:val="0"/>
                <w:iCs w:val="0"/>
                <w:color w:val="000000"/>
                <w:sz w:val="21"/>
                <w:szCs w:val="21"/>
                <w:u w:val="none"/>
              </w:rPr>
            </w:pP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6692A">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（二）其他资金</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E9C9">
            <w:pPr>
              <w:rPr>
                <w:rFonts w:hint="eastAsia" w:ascii="仿宋_GB2312" w:hAnsi="仿宋_GB2312" w:eastAsia="仿宋_GB2312" w:cs="仿宋_GB2312"/>
                <w:i w:val="0"/>
                <w:iCs w:val="0"/>
                <w:color w:val="000000"/>
                <w:sz w:val="21"/>
                <w:szCs w:val="21"/>
                <w:u w:val="none"/>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E49B">
            <w:pPr>
              <w:jc w:val="center"/>
              <w:rPr>
                <w:rFonts w:hint="eastAsia" w:ascii="仿宋_GB2312" w:hAnsi="仿宋_GB2312" w:eastAsia="仿宋_GB2312" w:cs="仿宋_GB2312"/>
                <w:i w:val="0"/>
                <w:iCs w:val="0"/>
                <w:color w:val="000000"/>
                <w:sz w:val="21"/>
                <w:szCs w:val="21"/>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6E56">
            <w:pPr>
              <w:jc w:val="center"/>
              <w:rPr>
                <w:rFonts w:hint="eastAsia" w:ascii="仿宋_GB2312" w:hAnsi="仿宋_GB2312" w:eastAsia="仿宋_GB2312" w:cs="仿宋_GB2312"/>
                <w:i w:val="0"/>
                <w:iCs w:val="0"/>
                <w:color w:val="000000"/>
                <w:sz w:val="21"/>
                <w:szCs w:val="21"/>
                <w:u w:val="none"/>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30A3">
            <w:pPr>
              <w:jc w:val="center"/>
              <w:rPr>
                <w:rFonts w:hint="eastAsia" w:ascii="仿宋_GB2312" w:hAnsi="仿宋_GB2312" w:eastAsia="仿宋_GB2312" w:cs="仿宋_GB2312"/>
                <w:i w:val="0"/>
                <w:iCs w:val="0"/>
                <w:color w:val="000000"/>
                <w:sz w:val="21"/>
                <w:szCs w:val="21"/>
                <w:u w:val="none"/>
              </w:rPr>
            </w:pPr>
          </w:p>
        </w:tc>
      </w:tr>
      <w:tr w14:paraId="2AD4F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947"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5F54AE2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年度总体目标</w:t>
            </w:r>
          </w:p>
        </w:tc>
        <w:tc>
          <w:tcPr>
            <w:tcW w:w="738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979449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预期目标</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14:paraId="349BBC0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全年实际完成情况</w:t>
            </w:r>
          </w:p>
        </w:tc>
      </w:tr>
      <w:tr w14:paraId="7736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6"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A9356">
            <w:pPr>
              <w:jc w:val="center"/>
              <w:rPr>
                <w:rFonts w:hint="eastAsia" w:ascii="仿宋_GB2312" w:hAnsi="仿宋_GB2312" w:eastAsia="仿宋_GB2312" w:cs="仿宋_GB2312"/>
                <w:i w:val="0"/>
                <w:iCs w:val="0"/>
                <w:color w:val="000000"/>
                <w:sz w:val="21"/>
                <w:szCs w:val="21"/>
                <w:u w:val="none"/>
              </w:rPr>
            </w:pPr>
          </w:p>
        </w:tc>
        <w:tc>
          <w:tcPr>
            <w:tcW w:w="7385"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14:paraId="4E5B14A9">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zh-CN" w:eastAsia="zh-CN" w:bidi="ar"/>
              </w:rPr>
              <w:t>加强驻村第一书记和工作队员管理，巩固拓展脱贫攻坚成果。为了乡村振兴工作有序开展，防止返贫动态监测，从各级党政机关、人民团体、事业单位等 ，选派</w:t>
            </w:r>
            <w:r>
              <w:rPr>
                <w:rFonts w:hint="eastAsia" w:ascii="仿宋_GB2312" w:hAnsi="仿宋_GB2312" w:eastAsia="仿宋_GB2312" w:cs="仿宋_GB2312"/>
                <w:i w:val="0"/>
                <w:iCs w:val="0"/>
                <w:color w:val="000000"/>
                <w:kern w:val="0"/>
                <w:sz w:val="21"/>
                <w:szCs w:val="21"/>
                <w:u w:val="none"/>
                <w:lang w:val="en-US" w:eastAsia="zh-CN" w:bidi="ar"/>
              </w:rPr>
              <w:t>6个工作队共计13人</w:t>
            </w:r>
            <w:r>
              <w:rPr>
                <w:rFonts w:hint="eastAsia" w:ascii="仿宋_GB2312" w:hAnsi="仿宋_GB2312" w:eastAsia="仿宋_GB2312" w:cs="仿宋_GB2312"/>
                <w:i w:val="0"/>
                <w:iCs w:val="0"/>
                <w:color w:val="000000"/>
                <w:kern w:val="0"/>
                <w:sz w:val="21"/>
                <w:szCs w:val="21"/>
                <w:u w:val="none"/>
                <w:lang w:val="zh-CN" w:eastAsia="zh-CN" w:bidi="ar"/>
              </w:rPr>
              <w:t>担任驻村第一书记和工作队员</w:t>
            </w:r>
            <w:r>
              <w:rPr>
                <w:rFonts w:hint="eastAsia" w:ascii="仿宋_GB2312" w:hAnsi="仿宋_GB2312" w:eastAsia="仿宋_GB2312" w:cs="仿宋_GB2312"/>
                <w:i w:val="0"/>
                <w:iCs w:val="0"/>
                <w:color w:val="000000"/>
                <w:kern w:val="0"/>
                <w:sz w:val="21"/>
                <w:szCs w:val="21"/>
                <w:u w:val="none"/>
                <w:lang w:val="en-US" w:eastAsia="zh-CN" w:bidi="ar"/>
              </w:rPr>
              <w:t>。</w:t>
            </w:r>
          </w:p>
        </w:tc>
        <w:tc>
          <w:tcPr>
            <w:tcW w:w="1248" w:type="dxa"/>
            <w:tcBorders>
              <w:top w:val="single" w:color="auto" w:sz="4" w:space="0"/>
              <w:left w:val="single" w:color="000000" w:sz="4" w:space="0"/>
              <w:bottom w:val="single" w:color="000000" w:sz="4" w:space="0"/>
              <w:right w:val="single" w:color="000000" w:sz="4" w:space="0"/>
            </w:tcBorders>
            <w:shd w:val="clear" w:color="auto" w:fill="auto"/>
            <w:vAlign w:val="center"/>
          </w:tcPr>
          <w:p w14:paraId="6C761848">
            <w:pPr>
              <w:keepNext w:val="0"/>
              <w:keepLines w:val="0"/>
              <w:widowControl/>
              <w:suppressLineNumbers w:val="0"/>
              <w:jc w:val="left"/>
              <w:textAlignment w:val="center"/>
              <w:rPr>
                <w:rFonts w:hint="eastAsia" w:ascii="仿宋_GB2312" w:hAnsi="仿宋_GB2312" w:eastAsia="仿宋_GB2312" w:cs="仿宋_GB2312"/>
                <w:color w:val="auto"/>
                <w:kern w:val="0"/>
                <w:sz w:val="21"/>
                <w:szCs w:val="21"/>
                <w:highlight w:val="none"/>
                <w:lang w:val="zh-CN" w:eastAsia="zh-CN" w:bidi="ar-SA"/>
              </w:rPr>
            </w:pPr>
            <w:r>
              <w:rPr>
                <w:rFonts w:hint="eastAsia" w:ascii="仿宋_GB2312" w:hAnsi="仿宋_GB2312" w:eastAsia="仿宋_GB2312" w:cs="仿宋_GB2312"/>
                <w:color w:val="auto"/>
                <w:kern w:val="0"/>
                <w:sz w:val="21"/>
                <w:szCs w:val="21"/>
                <w:highlight w:val="none"/>
                <w:lang w:val="zh-CN" w:eastAsia="zh-CN" w:bidi="ar-SA"/>
              </w:rPr>
              <w:t>全部完成</w:t>
            </w:r>
          </w:p>
          <w:p w14:paraId="3E23F8DE">
            <w:pPr>
              <w:keepNext w:val="0"/>
              <w:keepLines w:val="0"/>
              <w:widowControl/>
              <w:suppressLineNumbers w:val="0"/>
              <w:jc w:val="left"/>
              <w:textAlignment w:val="center"/>
              <w:rPr>
                <w:rFonts w:hint="eastAsia" w:ascii="仿宋_GB2312" w:hAnsi="仿宋_GB2312" w:eastAsia="仿宋_GB2312" w:cs="仿宋_GB2312"/>
                <w:i w:val="0"/>
                <w:iCs w:val="0"/>
                <w:color w:val="000000"/>
                <w:sz w:val="21"/>
                <w:szCs w:val="21"/>
                <w:u w:val="none"/>
              </w:rPr>
            </w:pPr>
          </w:p>
        </w:tc>
      </w:tr>
      <w:tr w14:paraId="36835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947" w:type="dxa"/>
            <w:vMerge w:val="restart"/>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243EE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绩效指标</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E1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一级</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54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二级指标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1952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三级指标</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58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指标值</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DA8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全年实际完成值</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89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未完成原因和改进措施</w:t>
            </w:r>
          </w:p>
        </w:tc>
      </w:tr>
      <w:tr w14:paraId="148C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88AC8BC">
            <w:pPr>
              <w:jc w:val="center"/>
              <w:rPr>
                <w:rFonts w:hint="eastAsia" w:ascii="仿宋_GB2312" w:hAnsi="仿宋_GB2312" w:eastAsia="仿宋_GB2312" w:cs="仿宋_GB2312"/>
                <w:i w:val="0"/>
                <w:iCs w:val="0"/>
                <w:color w:val="000000"/>
                <w:sz w:val="21"/>
                <w:szCs w:val="21"/>
                <w:u w:val="none"/>
              </w:rPr>
            </w:pPr>
          </w:p>
        </w:tc>
        <w:tc>
          <w:tcPr>
            <w:tcW w:w="792" w:type="dxa"/>
            <w:tcBorders>
              <w:top w:val="single" w:color="000000" w:sz="4" w:space="0"/>
              <w:left w:val="single" w:color="000000" w:sz="4" w:space="0"/>
              <w:right w:val="single" w:color="000000" w:sz="4" w:space="0"/>
            </w:tcBorders>
            <w:shd w:val="clear" w:color="auto" w:fill="auto"/>
            <w:vAlign w:val="center"/>
          </w:tcPr>
          <w:p w14:paraId="68ED5715">
            <w:pPr>
              <w:jc w:val="center"/>
              <w:rPr>
                <w:rFonts w:hint="eastAsia" w:ascii="仿宋_GB2312" w:hAnsi="仿宋_GB2312" w:eastAsia="仿宋_GB2312" w:cs="仿宋_GB2312"/>
                <w:i w:val="0"/>
                <w:iCs w:val="0"/>
                <w:color w:val="000000"/>
                <w:sz w:val="21"/>
                <w:szCs w:val="21"/>
                <w:u w:val="none"/>
                <w:lang w:eastAsia="zh-CN"/>
              </w:rPr>
            </w:pPr>
            <w:r>
              <w:rPr>
                <w:rFonts w:hint="eastAsia" w:ascii="仿宋_GB2312" w:hAnsi="仿宋_GB2312" w:eastAsia="仿宋_GB2312" w:cs="仿宋_GB2312"/>
                <w:i w:val="0"/>
                <w:iCs w:val="0"/>
                <w:color w:val="000000"/>
                <w:sz w:val="21"/>
                <w:szCs w:val="21"/>
                <w:u w:val="none"/>
                <w:lang w:eastAsia="zh-CN"/>
              </w:rPr>
              <w:t>产出</w:t>
            </w:r>
          </w:p>
          <w:p w14:paraId="6DB02E9A">
            <w:pPr>
              <w:jc w:val="center"/>
              <w:rPr>
                <w:rFonts w:hint="eastAsia" w:ascii="仿宋_GB2312" w:hAnsi="仿宋_GB2312" w:eastAsia="仿宋_GB2312" w:cs="仿宋_GB2312"/>
                <w:i w:val="0"/>
                <w:iCs w:val="0"/>
                <w:color w:val="000000"/>
                <w:sz w:val="21"/>
                <w:szCs w:val="21"/>
                <w:u w:val="none"/>
                <w:lang w:eastAsia="zh-CN"/>
              </w:rPr>
            </w:pPr>
            <w:r>
              <w:rPr>
                <w:rFonts w:hint="eastAsia" w:ascii="仿宋_GB2312" w:hAnsi="仿宋_GB2312" w:eastAsia="仿宋_GB2312" w:cs="仿宋_GB2312"/>
                <w:i w:val="0"/>
                <w:iCs w:val="0"/>
                <w:color w:val="000000"/>
                <w:sz w:val="21"/>
                <w:szCs w:val="21"/>
                <w:u w:val="none"/>
                <w:lang w:eastAsia="zh-CN"/>
              </w:rPr>
              <w:t>指标</w:t>
            </w:r>
          </w:p>
        </w:tc>
        <w:tc>
          <w:tcPr>
            <w:tcW w:w="1067" w:type="dxa"/>
            <w:tcBorders>
              <w:top w:val="single" w:color="000000" w:sz="4" w:space="0"/>
              <w:left w:val="single" w:color="000000" w:sz="4" w:space="0"/>
              <w:bottom w:val="nil"/>
              <w:right w:val="single" w:color="000000" w:sz="4" w:space="0"/>
            </w:tcBorders>
            <w:shd w:val="clear" w:color="auto" w:fill="auto"/>
            <w:vAlign w:val="center"/>
          </w:tcPr>
          <w:p w14:paraId="554E0EE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数量指标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6351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驻村工作队人数</w:t>
            </w:r>
          </w:p>
        </w:tc>
        <w:tc>
          <w:tcPr>
            <w:tcW w:w="1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B61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=13人</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80D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AA08">
            <w:pPr>
              <w:jc w:val="center"/>
              <w:rPr>
                <w:rFonts w:hint="eastAsia" w:ascii="仿宋_GB2312" w:hAnsi="仿宋_GB2312" w:eastAsia="仿宋_GB2312" w:cs="仿宋_GB2312"/>
                <w:i w:val="0"/>
                <w:iCs w:val="0"/>
                <w:color w:val="000000"/>
                <w:sz w:val="21"/>
                <w:szCs w:val="21"/>
                <w:u w:val="none"/>
              </w:rPr>
            </w:pPr>
          </w:p>
        </w:tc>
      </w:tr>
      <w:tr w14:paraId="1047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7C1D05F">
            <w:pPr>
              <w:jc w:val="center"/>
              <w:rPr>
                <w:rFonts w:hint="eastAsia" w:ascii="仿宋_GB2312" w:hAnsi="仿宋_GB2312" w:eastAsia="仿宋_GB2312" w:cs="仿宋_GB2312"/>
                <w:i w:val="0"/>
                <w:iCs w:val="0"/>
                <w:color w:val="000000"/>
                <w:sz w:val="21"/>
                <w:szCs w:val="21"/>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E29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效益指标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C32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社会效益指标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E1EA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驻村帮扶效益</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FDFC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≥90%</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DF9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3F76">
            <w:pPr>
              <w:jc w:val="center"/>
              <w:rPr>
                <w:rFonts w:hint="eastAsia" w:ascii="仿宋_GB2312" w:hAnsi="仿宋_GB2312" w:eastAsia="仿宋_GB2312" w:cs="仿宋_GB2312"/>
                <w:i w:val="0"/>
                <w:iCs w:val="0"/>
                <w:color w:val="000000"/>
                <w:sz w:val="21"/>
                <w:szCs w:val="21"/>
                <w:u w:val="none"/>
              </w:rPr>
            </w:pPr>
          </w:p>
        </w:tc>
      </w:tr>
      <w:tr w14:paraId="4DF5A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A422827">
            <w:pPr>
              <w:jc w:val="center"/>
              <w:rPr>
                <w:rFonts w:hint="eastAsia" w:ascii="仿宋_GB2312" w:hAnsi="仿宋_GB2312" w:eastAsia="仿宋_GB2312" w:cs="仿宋_GB2312"/>
                <w:i w:val="0"/>
                <w:iCs w:val="0"/>
                <w:color w:val="000000"/>
                <w:sz w:val="21"/>
                <w:szCs w:val="21"/>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213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成本指标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F90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经济成本指标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F14A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驻村工作队人均</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69A2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=5000元/人年</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07E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8D48">
            <w:pPr>
              <w:jc w:val="center"/>
              <w:rPr>
                <w:rFonts w:hint="eastAsia" w:ascii="仿宋_GB2312" w:hAnsi="仿宋_GB2312" w:eastAsia="仿宋_GB2312" w:cs="仿宋_GB2312"/>
                <w:i w:val="0"/>
                <w:iCs w:val="0"/>
                <w:color w:val="000000"/>
                <w:sz w:val="21"/>
                <w:szCs w:val="21"/>
                <w:u w:val="none"/>
              </w:rPr>
            </w:pPr>
          </w:p>
        </w:tc>
      </w:tr>
      <w:tr w14:paraId="13013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2" w:hRule="atLeast"/>
        </w:trPr>
        <w:tc>
          <w:tcPr>
            <w:tcW w:w="947" w:type="dxa"/>
            <w:vMerge w:val="continue"/>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6EE64647">
            <w:pPr>
              <w:jc w:val="center"/>
              <w:rPr>
                <w:rFonts w:hint="eastAsia" w:ascii="仿宋_GB2312" w:hAnsi="仿宋_GB2312" w:eastAsia="仿宋_GB2312" w:cs="仿宋_GB2312"/>
                <w:i w:val="0"/>
                <w:iCs w:val="0"/>
                <w:color w:val="000000"/>
                <w:sz w:val="21"/>
                <w:szCs w:val="21"/>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A94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满意度指标</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A00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帮扶对象</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满意度指标</w:t>
            </w:r>
          </w:p>
        </w:tc>
        <w:tc>
          <w:tcPr>
            <w:tcW w:w="2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5F00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满意度</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1469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2C9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584B">
            <w:pPr>
              <w:jc w:val="center"/>
              <w:rPr>
                <w:rFonts w:hint="eastAsia" w:ascii="仿宋_GB2312" w:hAnsi="仿宋_GB2312" w:eastAsia="仿宋_GB2312" w:cs="仿宋_GB2312"/>
                <w:i w:val="0"/>
                <w:iCs w:val="0"/>
                <w:color w:val="000000"/>
                <w:sz w:val="21"/>
                <w:szCs w:val="21"/>
                <w:u w:val="none"/>
              </w:rPr>
            </w:pPr>
          </w:p>
        </w:tc>
      </w:tr>
      <w:tr w14:paraId="42BCA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6777" w:type="dxa"/>
            <w:gridSpan w:val="6"/>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4C6994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总分</w:t>
            </w:r>
          </w:p>
        </w:tc>
        <w:tc>
          <w:tcPr>
            <w:tcW w:w="2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DE816">
            <w:pPr>
              <w:jc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100分</w:t>
            </w:r>
          </w:p>
        </w:tc>
      </w:tr>
    </w:tbl>
    <w:p w14:paraId="398D43AB">
      <w:pPr>
        <w:rPr>
          <w:rStyle w:val="30"/>
          <w:rFonts w:ascii="黑体" w:hAnsi="黑体" w:eastAsia="黑体"/>
          <w:b w:val="0"/>
          <w:color w:val="auto"/>
          <w:highlight w:val="none"/>
        </w:rPr>
      </w:pPr>
    </w:p>
    <w:p w14:paraId="3BCDED7E">
      <w:pPr>
        <w:pStyle w:val="8"/>
        <w:rPr>
          <w:rStyle w:val="30"/>
          <w:rFonts w:ascii="黑体" w:hAnsi="黑体" w:eastAsia="黑体"/>
          <w:b w:val="0"/>
          <w:color w:val="auto"/>
          <w:highlight w:val="none"/>
        </w:rPr>
      </w:pPr>
    </w:p>
    <w:p w14:paraId="4E35D815">
      <w:pPr>
        <w:rPr>
          <w:rStyle w:val="30"/>
          <w:rFonts w:ascii="黑体" w:hAnsi="黑体" w:eastAsia="黑体"/>
          <w:b w:val="0"/>
          <w:color w:val="auto"/>
          <w:highlight w:val="none"/>
        </w:rPr>
      </w:pPr>
    </w:p>
    <w:p w14:paraId="5558CAC6">
      <w:pPr>
        <w:pStyle w:val="8"/>
        <w:rPr>
          <w:rStyle w:val="30"/>
          <w:rFonts w:ascii="黑体" w:hAnsi="黑体" w:eastAsia="黑体"/>
          <w:b w:val="0"/>
          <w:color w:val="auto"/>
          <w:highlight w:val="none"/>
        </w:rPr>
      </w:pPr>
    </w:p>
    <w:p w14:paraId="76CE61A0">
      <w:pPr>
        <w:rPr>
          <w:rStyle w:val="30"/>
          <w:rFonts w:ascii="黑体" w:hAnsi="黑体" w:eastAsia="黑体"/>
          <w:b w:val="0"/>
          <w:color w:val="auto"/>
          <w:highlight w:val="none"/>
        </w:rPr>
      </w:pPr>
    </w:p>
    <w:p w14:paraId="13C435E7">
      <w:pPr>
        <w:pStyle w:val="8"/>
        <w:rPr>
          <w:rStyle w:val="30"/>
          <w:rFonts w:ascii="黑体" w:hAnsi="黑体" w:eastAsia="黑体"/>
          <w:b w:val="0"/>
          <w:color w:val="auto"/>
          <w:highlight w:val="none"/>
        </w:rPr>
      </w:pPr>
    </w:p>
    <w:p w14:paraId="44A80C9D">
      <w:pPr>
        <w:rPr>
          <w:rStyle w:val="30"/>
          <w:rFonts w:ascii="黑体" w:hAnsi="黑体" w:eastAsia="黑体"/>
          <w:b w:val="0"/>
          <w:color w:val="auto"/>
          <w:highlight w:val="none"/>
        </w:rPr>
      </w:pPr>
    </w:p>
    <w:p w14:paraId="75E704A8">
      <w:pPr>
        <w:pStyle w:val="8"/>
        <w:rPr>
          <w:rStyle w:val="30"/>
          <w:rFonts w:ascii="黑体" w:hAnsi="黑体" w:eastAsia="黑体"/>
          <w:b w:val="0"/>
          <w:color w:val="auto"/>
          <w:highlight w:val="none"/>
        </w:rPr>
      </w:pPr>
    </w:p>
    <w:p w14:paraId="194A3E67">
      <w:pPr>
        <w:rPr>
          <w:rStyle w:val="30"/>
          <w:rFonts w:ascii="黑体" w:hAnsi="黑体" w:eastAsia="黑体"/>
          <w:b w:val="0"/>
          <w:color w:val="auto"/>
          <w:highlight w:val="none"/>
        </w:rPr>
      </w:pPr>
    </w:p>
    <w:p w14:paraId="586B9188">
      <w:pPr>
        <w:pStyle w:val="8"/>
        <w:rPr>
          <w:rStyle w:val="30"/>
          <w:rFonts w:ascii="黑体" w:hAnsi="黑体" w:eastAsia="黑体"/>
          <w:b w:val="0"/>
          <w:color w:val="auto"/>
          <w:highlight w:val="none"/>
        </w:rPr>
      </w:pPr>
    </w:p>
    <w:p w14:paraId="026EAE06"/>
    <w:p w14:paraId="64060F23">
      <w:pPr>
        <w:spacing w:line="600" w:lineRule="exact"/>
        <w:jc w:val="center"/>
        <w:outlineLvl w:val="0"/>
        <w:rPr>
          <w:rFonts w:hint="eastAsia" w:ascii="黑体" w:hAnsi="黑体" w:eastAsia="黑体"/>
          <w:color w:val="auto"/>
          <w:sz w:val="44"/>
          <w:szCs w:val="44"/>
          <w:highlight w:val="none"/>
        </w:rPr>
      </w:pPr>
      <w:bookmarkStart w:id="253" w:name="_Toc29627"/>
      <w:bookmarkStart w:id="254" w:name="_Toc15396618"/>
      <w:bookmarkStart w:id="255" w:name="_Toc11255"/>
    </w:p>
    <w:p w14:paraId="18755B46">
      <w:pPr>
        <w:spacing w:line="600" w:lineRule="exact"/>
        <w:jc w:val="center"/>
        <w:outlineLvl w:val="0"/>
        <w:rPr>
          <w:rFonts w:hint="eastAsia" w:ascii="黑体" w:hAnsi="黑体" w:eastAsia="黑体"/>
          <w:color w:val="auto"/>
          <w:sz w:val="44"/>
          <w:szCs w:val="44"/>
          <w:highlight w:val="none"/>
        </w:rPr>
      </w:pPr>
    </w:p>
    <w:p w14:paraId="76E8F7AF">
      <w:pPr>
        <w:spacing w:line="600" w:lineRule="exact"/>
        <w:jc w:val="center"/>
        <w:outlineLvl w:val="0"/>
        <w:rPr>
          <w:rFonts w:hint="eastAsia" w:ascii="仿宋" w:hAnsi="仿宋" w:eastAsia="仿宋"/>
          <w:b w:val="0"/>
          <w:color w:val="auto"/>
          <w:highlight w:val="none"/>
        </w:rPr>
      </w:pPr>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五部分 附表</w:t>
      </w:r>
      <w:bookmarkEnd w:id="117"/>
      <w:bookmarkEnd w:id="253"/>
      <w:bookmarkEnd w:id="254"/>
      <w:bookmarkEnd w:id="255"/>
      <w:bookmarkStart w:id="256" w:name="_Toc15396619"/>
    </w:p>
    <w:p w14:paraId="7AF43957">
      <w:pPr>
        <w:pStyle w:val="4"/>
        <w:rPr>
          <w:rFonts w:ascii="仿宋" w:hAnsi="仿宋" w:eastAsia="仿宋"/>
          <w:color w:val="auto"/>
          <w:highlight w:val="none"/>
        </w:rPr>
      </w:pPr>
      <w:bookmarkStart w:id="257" w:name="_Toc14850"/>
      <w:bookmarkStart w:id="258" w:name="_Toc25438"/>
      <w:r>
        <w:rPr>
          <w:rFonts w:hint="eastAsia" w:ascii="仿宋" w:hAnsi="仿宋" w:eastAsia="仿宋"/>
          <w:b w:val="0"/>
          <w:color w:val="auto"/>
          <w:highlight w:val="none"/>
        </w:rPr>
        <w:t>一、收</w:t>
      </w:r>
      <w:r>
        <w:rPr>
          <w:rStyle w:val="31"/>
          <w:rFonts w:hint="eastAsia" w:ascii="仿宋" w:hAnsi="仿宋" w:eastAsia="仿宋"/>
          <w:b w:val="0"/>
          <w:bCs w:val="0"/>
          <w:color w:val="auto"/>
          <w:highlight w:val="none"/>
        </w:rPr>
        <w:t>入支出决算总表</w:t>
      </w:r>
      <w:bookmarkEnd w:id="256"/>
      <w:bookmarkEnd w:id="257"/>
      <w:bookmarkEnd w:id="258"/>
    </w:p>
    <w:p w14:paraId="4507542C">
      <w:pPr>
        <w:pStyle w:val="4"/>
        <w:rPr>
          <w:rFonts w:ascii="仿宋" w:hAnsi="仿宋" w:eastAsia="仿宋"/>
          <w:color w:val="auto"/>
          <w:highlight w:val="none"/>
        </w:rPr>
      </w:pPr>
      <w:bookmarkStart w:id="259" w:name="_Toc26926"/>
      <w:bookmarkStart w:id="260" w:name="_Toc15396620"/>
      <w:bookmarkStart w:id="261" w:name="_Toc4199"/>
      <w:r>
        <w:rPr>
          <w:rFonts w:hint="eastAsia" w:ascii="仿宋" w:hAnsi="仿宋" w:eastAsia="仿宋"/>
          <w:b w:val="0"/>
          <w:color w:val="auto"/>
          <w:highlight w:val="none"/>
        </w:rPr>
        <w:t>二、收</w:t>
      </w:r>
      <w:r>
        <w:rPr>
          <w:rStyle w:val="31"/>
          <w:rFonts w:hint="eastAsia" w:ascii="仿宋" w:hAnsi="仿宋" w:eastAsia="仿宋"/>
          <w:b w:val="0"/>
          <w:bCs w:val="0"/>
          <w:color w:val="auto"/>
          <w:highlight w:val="none"/>
        </w:rPr>
        <w:t>入决算表</w:t>
      </w:r>
      <w:bookmarkEnd w:id="259"/>
      <w:bookmarkEnd w:id="260"/>
      <w:bookmarkEnd w:id="261"/>
    </w:p>
    <w:p w14:paraId="09488B63">
      <w:pPr>
        <w:pStyle w:val="4"/>
        <w:rPr>
          <w:rFonts w:ascii="仿宋" w:hAnsi="仿宋" w:eastAsia="仿宋"/>
          <w:color w:val="auto"/>
          <w:highlight w:val="none"/>
        </w:rPr>
      </w:pPr>
      <w:bookmarkStart w:id="262" w:name="_Toc15396621"/>
      <w:bookmarkStart w:id="263" w:name="_Toc17415"/>
      <w:bookmarkStart w:id="264" w:name="_Toc4441"/>
      <w:r>
        <w:rPr>
          <w:rStyle w:val="3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31"/>
          <w:rFonts w:hint="eastAsia" w:ascii="仿宋" w:hAnsi="仿宋" w:eastAsia="仿宋"/>
          <w:b w:val="0"/>
          <w:bCs w:val="0"/>
          <w:color w:val="auto"/>
          <w:highlight w:val="none"/>
        </w:rPr>
        <w:t>出决算表</w:t>
      </w:r>
      <w:bookmarkEnd w:id="262"/>
      <w:bookmarkEnd w:id="263"/>
      <w:bookmarkEnd w:id="264"/>
    </w:p>
    <w:p w14:paraId="1BD83789">
      <w:pPr>
        <w:pStyle w:val="4"/>
        <w:rPr>
          <w:rFonts w:ascii="仿宋" w:hAnsi="仿宋" w:eastAsia="仿宋"/>
          <w:b w:val="0"/>
          <w:color w:val="auto"/>
          <w:highlight w:val="none"/>
        </w:rPr>
      </w:pPr>
      <w:bookmarkStart w:id="265" w:name="_Toc28498"/>
      <w:bookmarkStart w:id="266" w:name="_Toc15396622"/>
      <w:bookmarkStart w:id="267" w:name="_Toc12565"/>
      <w:r>
        <w:rPr>
          <w:rStyle w:val="3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政拨款收入支出决算总表</w:t>
      </w:r>
      <w:bookmarkEnd w:id="265"/>
      <w:bookmarkEnd w:id="266"/>
      <w:bookmarkEnd w:id="267"/>
    </w:p>
    <w:p w14:paraId="0253F85B">
      <w:pPr>
        <w:pStyle w:val="4"/>
        <w:rPr>
          <w:rStyle w:val="31"/>
          <w:rFonts w:ascii="仿宋" w:hAnsi="仿宋" w:eastAsia="仿宋"/>
          <w:b w:val="0"/>
          <w:bCs w:val="0"/>
          <w:color w:val="auto"/>
          <w:highlight w:val="none"/>
        </w:rPr>
      </w:pPr>
      <w:bookmarkStart w:id="268" w:name="_Toc15396623"/>
      <w:bookmarkStart w:id="269" w:name="_Toc30684"/>
      <w:bookmarkStart w:id="270" w:name="_Toc7513"/>
      <w:r>
        <w:rPr>
          <w:rStyle w:val="3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31"/>
          <w:rFonts w:hint="eastAsia" w:ascii="仿宋" w:hAnsi="仿宋" w:eastAsia="仿宋"/>
          <w:b w:val="0"/>
          <w:bCs w:val="0"/>
          <w:color w:val="auto"/>
          <w:highlight w:val="none"/>
        </w:rPr>
        <w:t>政拨款支出决算明细表</w:t>
      </w:r>
      <w:bookmarkEnd w:id="268"/>
      <w:bookmarkEnd w:id="269"/>
      <w:bookmarkEnd w:id="270"/>
      <w:bookmarkStart w:id="271" w:name="_Toc15396624"/>
    </w:p>
    <w:p w14:paraId="0B56951F">
      <w:pPr>
        <w:pStyle w:val="4"/>
        <w:rPr>
          <w:rFonts w:ascii="仿宋" w:hAnsi="仿宋" w:eastAsia="仿宋"/>
          <w:color w:val="auto"/>
          <w:highlight w:val="none"/>
        </w:rPr>
      </w:pPr>
      <w:bookmarkStart w:id="272" w:name="_Toc7318"/>
      <w:bookmarkStart w:id="273" w:name="_Toc17706"/>
      <w:r>
        <w:rPr>
          <w:rStyle w:val="3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般公共预算财政拨款支出决算表</w:t>
      </w:r>
      <w:bookmarkEnd w:id="271"/>
      <w:bookmarkEnd w:id="272"/>
      <w:bookmarkEnd w:id="273"/>
    </w:p>
    <w:p w14:paraId="302A8114">
      <w:pPr>
        <w:pStyle w:val="4"/>
        <w:rPr>
          <w:rFonts w:ascii="仿宋" w:hAnsi="仿宋" w:eastAsia="仿宋"/>
          <w:color w:val="auto"/>
          <w:highlight w:val="none"/>
        </w:rPr>
      </w:pPr>
      <w:bookmarkStart w:id="274" w:name="_Toc8045"/>
      <w:bookmarkStart w:id="275" w:name="_Toc21995"/>
      <w:bookmarkStart w:id="276" w:name="_Toc15396625"/>
      <w:r>
        <w:rPr>
          <w:rStyle w:val="3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般公共预算财政拨款支出决算明细表</w:t>
      </w:r>
      <w:bookmarkEnd w:id="274"/>
      <w:bookmarkEnd w:id="275"/>
      <w:bookmarkEnd w:id="276"/>
    </w:p>
    <w:p w14:paraId="3AEA0D86">
      <w:pPr>
        <w:pStyle w:val="4"/>
        <w:rPr>
          <w:rFonts w:ascii="仿宋" w:hAnsi="仿宋" w:eastAsia="仿宋"/>
          <w:color w:val="auto"/>
          <w:highlight w:val="none"/>
        </w:rPr>
      </w:pPr>
      <w:bookmarkStart w:id="277" w:name="_Toc15396626"/>
      <w:bookmarkStart w:id="278" w:name="_Toc28463"/>
      <w:bookmarkStart w:id="279" w:name="_Toc29019"/>
      <w:r>
        <w:rPr>
          <w:rStyle w:val="3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般公共预算财政拨款基本支出决算表</w:t>
      </w:r>
      <w:bookmarkEnd w:id="277"/>
      <w:bookmarkEnd w:id="278"/>
      <w:bookmarkEnd w:id="279"/>
    </w:p>
    <w:p w14:paraId="56EAE73A">
      <w:pPr>
        <w:pStyle w:val="4"/>
        <w:rPr>
          <w:rFonts w:ascii="仿宋" w:hAnsi="仿宋" w:eastAsia="仿宋"/>
          <w:color w:val="auto"/>
          <w:highlight w:val="none"/>
        </w:rPr>
      </w:pPr>
      <w:bookmarkStart w:id="280" w:name="_Toc15396627"/>
      <w:bookmarkStart w:id="281" w:name="_Toc10565"/>
      <w:bookmarkStart w:id="282" w:name="_Toc20198"/>
      <w:r>
        <w:rPr>
          <w:rStyle w:val="3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般公共预算财政拨款项目支出决算表</w:t>
      </w:r>
      <w:bookmarkEnd w:id="280"/>
      <w:bookmarkEnd w:id="281"/>
      <w:bookmarkEnd w:id="282"/>
    </w:p>
    <w:p w14:paraId="46A4A10A">
      <w:pPr>
        <w:pStyle w:val="4"/>
        <w:rPr>
          <w:rFonts w:ascii="仿宋" w:hAnsi="仿宋" w:eastAsia="仿宋"/>
          <w:color w:val="auto"/>
          <w:highlight w:val="none"/>
        </w:rPr>
      </w:pPr>
      <w:bookmarkStart w:id="283" w:name="_Toc15396628"/>
      <w:bookmarkStart w:id="284" w:name="_Toc10337"/>
      <w:bookmarkStart w:id="285" w:name="_Toc7139"/>
      <w:r>
        <w:rPr>
          <w:rStyle w:val="31"/>
          <w:rFonts w:hint="eastAsia" w:ascii="仿宋" w:hAnsi="仿宋" w:eastAsia="仿宋"/>
          <w:b w:val="0"/>
          <w:bCs w:val="0"/>
          <w:color w:val="auto"/>
          <w:highlight w:val="none"/>
        </w:rPr>
        <w:t>十、</w:t>
      </w:r>
      <w:bookmarkEnd w:id="283"/>
      <w:r>
        <w:rPr>
          <w:rFonts w:hint="eastAsia" w:ascii="仿宋" w:hAnsi="仿宋" w:eastAsia="仿宋"/>
          <w:b w:val="0"/>
          <w:color w:val="auto"/>
          <w:highlight w:val="none"/>
        </w:rPr>
        <w:t>政</w:t>
      </w:r>
      <w:r>
        <w:rPr>
          <w:rStyle w:val="31"/>
          <w:rFonts w:hint="eastAsia" w:ascii="仿宋" w:hAnsi="仿宋" w:eastAsia="仿宋"/>
          <w:b w:val="0"/>
          <w:bCs w:val="0"/>
          <w:color w:val="auto"/>
          <w:highlight w:val="none"/>
        </w:rPr>
        <w:t>府性基金预算财政拨款收入支出决算表</w:t>
      </w:r>
      <w:bookmarkEnd w:id="284"/>
      <w:bookmarkEnd w:id="285"/>
    </w:p>
    <w:p w14:paraId="374439D3">
      <w:pPr>
        <w:pStyle w:val="4"/>
        <w:rPr>
          <w:rFonts w:ascii="仿宋" w:hAnsi="仿宋" w:eastAsia="仿宋"/>
          <w:color w:val="auto"/>
          <w:highlight w:val="none"/>
        </w:rPr>
      </w:pPr>
      <w:bookmarkStart w:id="286" w:name="_Toc15396629"/>
      <w:bookmarkStart w:id="287" w:name="_Toc25731"/>
      <w:bookmarkStart w:id="288" w:name="_Toc26276"/>
      <w:r>
        <w:rPr>
          <w:rStyle w:val="31"/>
          <w:rFonts w:hint="eastAsia" w:ascii="仿宋" w:hAnsi="仿宋" w:eastAsia="仿宋"/>
          <w:b w:val="0"/>
          <w:bCs w:val="0"/>
          <w:color w:val="auto"/>
          <w:highlight w:val="none"/>
        </w:rPr>
        <w:t>十一、</w:t>
      </w:r>
      <w:bookmarkEnd w:id="286"/>
      <w:r>
        <w:rPr>
          <w:rFonts w:hint="eastAsia" w:ascii="仿宋" w:hAnsi="仿宋" w:eastAsia="仿宋"/>
          <w:b w:val="0"/>
          <w:color w:val="auto"/>
          <w:highlight w:val="none"/>
        </w:rPr>
        <w:t>国</w:t>
      </w:r>
      <w:r>
        <w:rPr>
          <w:rStyle w:val="31"/>
          <w:rFonts w:hint="eastAsia" w:ascii="仿宋" w:hAnsi="仿宋" w:eastAsia="仿宋"/>
          <w:b w:val="0"/>
          <w:bCs w:val="0"/>
          <w:color w:val="auto"/>
          <w:highlight w:val="none"/>
        </w:rPr>
        <w:t>有资本经营预算</w:t>
      </w:r>
      <w:r>
        <w:rPr>
          <w:rStyle w:val="31"/>
          <w:rFonts w:hint="eastAsia" w:ascii="仿宋" w:hAnsi="仿宋" w:eastAsia="仿宋"/>
          <w:b w:val="0"/>
          <w:bCs w:val="0"/>
          <w:color w:val="auto"/>
          <w:highlight w:val="none"/>
          <w:lang w:eastAsia="zh-CN"/>
        </w:rPr>
        <w:t>财政拨款收入</w:t>
      </w:r>
      <w:r>
        <w:rPr>
          <w:rStyle w:val="31"/>
          <w:rFonts w:hint="eastAsia" w:ascii="仿宋" w:hAnsi="仿宋" w:eastAsia="仿宋"/>
          <w:b w:val="0"/>
          <w:bCs w:val="0"/>
          <w:color w:val="auto"/>
          <w:highlight w:val="none"/>
        </w:rPr>
        <w:t>支出决算表</w:t>
      </w:r>
      <w:bookmarkEnd w:id="287"/>
      <w:bookmarkEnd w:id="288"/>
    </w:p>
    <w:p w14:paraId="359E16D4">
      <w:pPr>
        <w:pStyle w:val="4"/>
        <w:rPr>
          <w:rFonts w:ascii="仿宋" w:hAnsi="仿宋" w:eastAsia="仿宋"/>
          <w:color w:val="auto"/>
          <w:highlight w:val="none"/>
        </w:rPr>
      </w:pPr>
      <w:bookmarkStart w:id="289" w:name="_Toc15396630"/>
      <w:bookmarkStart w:id="290" w:name="_Toc6795"/>
      <w:bookmarkStart w:id="291" w:name="_Toc28163"/>
      <w:r>
        <w:rPr>
          <w:rStyle w:val="31"/>
          <w:rFonts w:hint="eastAsia" w:ascii="仿宋" w:hAnsi="仿宋" w:eastAsia="仿宋"/>
          <w:b w:val="0"/>
          <w:bCs w:val="0"/>
          <w:color w:val="auto"/>
          <w:highlight w:val="none"/>
        </w:rPr>
        <w:t>十二、</w:t>
      </w:r>
      <w:bookmarkEnd w:id="289"/>
      <w:r>
        <w:rPr>
          <w:rStyle w:val="31"/>
          <w:rFonts w:hint="eastAsia" w:ascii="仿宋" w:hAnsi="仿宋" w:eastAsia="仿宋"/>
          <w:b w:val="0"/>
          <w:bCs w:val="0"/>
          <w:color w:val="auto"/>
          <w:highlight w:val="none"/>
          <w:lang w:eastAsia="zh-CN"/>
        </w:rPr>
        <w:t>国有资本经营预算财政拨款支出决算表</w:t>
      </w:r>
      <w:bookmarkEnd w:id="290"/>
      <w:bookmarkEnd w:id="291"/>
    </w:p>
    <w:p w14:paraId="6A82E4B8">
      <w:pPr>
        <w:pStyle w:val="4"/>
        <w:rPr>
          <w:rFonts w:hint="eastAsia" w:eastAsia="仿宋"/>
          <w:color w:val="auto"/>
          <w:highlight w:val="none"/>
          <w:lang w:eastAsia="zh-CN"/>
        </w:rPr>
      </w:pPr>
      <w:bookmarkStart w:id="292" w:name="_Toc15396631"/>
      <w:bookmarkStart w:id="293" w:name="_Toc29345"/>
      <w:bookmarkStart w:id="294" w:name="_Toc11434"/>
      <w:r>
        <w:rPr>
          <w:rStyle w:val="31"/>
          <w:rFonts w:hint="eastAsia" w:ascii="仿宋" w:hAnsi="仿宋" w:eastAsia="仿宋"/>
          <w:b w:val="0"/>
          <w:bCs w:val="0"/>
          <w:color w:val="auto"/>
          <w:highlight w:val="none"/>
        </w:rPr>
        <w:t>十三、</w:t>
      </w:r>
      <w:bookmarkEnd w:id="292"/>
      <w:r>
        <w:rPr>
          <w:rStyle w:val="31"/>
          <w:rFonts w:hint="eastAsia" w:ascii="仿宋" w:hAnsi="仿宋" w:eastAsia="仿宋"/>
          <w:b w:val="0"/>
          <w:bCs w:val="0"/>
          <w:color w:val="auto"/>
          <w:highlight w:val="none"/>
          <w:lang w:eastAsia="zh-CN"/>
        </w:rPr>
        <w:t>财政拨款“三公”经费支出决算表</w:t>
      </w:r>
      <w:bookmarkEnd w:id="293"/>
      <w:bookmarkEnd w:id="294"/>
    </w:p>
    <w:sectPr>
      <w:headerReference r:id="rId3" w:type="default"/>
      <w:footerReference r:id="rId4" w:type="default"/>
      <w:pgSz w:w="11906" w:h="16838"/>
      <w:pgMar w:top="2098" w:right="1474" w:bottom="1984" w:left="1587"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8B0186-147D-4CA6-8D07-A31293D0F77B}"/>
  </w:font>
  <w:font w:name="黑体">
    <w:panose1 w:val="02010609060101010101"/>
    <w:charset w:val="86"/>
    <w:family w:val="auto"/>
    <w:pitch w:val="default"/>
    <w:sig w:usb0="800002BF" w:usb1="38CF7CFA" w:usb2="00000016" w:usb3="00000000" w:csb0="00040001" w:csb1="00000000"/>
    <w:embedRegular r:id="rId2" w:fontKey="{9C15C8F0-366A-441F-B687-7FE512F336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FEC78B2-F2E2-4B97-801E-64FEE1ACFE6C}"/>
  </w:font>
  <w:font w:name="Cambria">
    <w:panose1 w:val="02040503050406030204"/>
    <w:charset w:val="00"/>
    <w:family w:val="roman"/>
    <w:pitch w:val="default"/>
    <w:sig w:usb0="E00006FF" w:usb1="420024FF" w:usb2="02000000" w:usb3="00000000" w:csb0="2000019F" w:csb1="00000000"/>
    <w:embedRegular r:id="rId4" w:fontKey="{6108D33D-101B-46F6-8D6F-26FF43BD8056}"/>
  </w:font>
  <w:font w:name="楷体">
    <w:panose1 w:val="02010609060101010101"/>
    <w:charset w:val="86"/>
    <w:family w:val="auto"/>
    <w:pitch w:val="default"/>
    <w:sig w:usb0="800002BF" w:usb1="38CF7CFA" w:usb2="00000016" w:usb3="00000000" w:csb0="00040001" w:csb1="00000000"/>
    <w:embedRegular r:id="rId5" w:fontKey="{693AFB81-A0A8-4F8D-BDFA-5F40AB30C088}"/>
  </w:font>
  <w:font w:name="仿宋_GB2312">
    <w:altName w:val="仿宋"/>
    <w:panose1 w:val="02010609030101010101"/>
    <w:charset w:val="86"/>
    <w:family w:val="auto"/>
    <w:pitch w:val="default"/>
    <w:sig w:usb0="00000000" w:usb1="00000000" w:usb2="00000000" w:usb3="00000000" w:csb0="00040000" w:csb1="00000000"/>
    <w:embedRegular r:id="rId6" w:fontKey="{75B6F897-C964-4B55-AE12-A7D4D0E417E2}"/>
  </w:font>
  <w:font w:name="仿宋">
    <w:panose1 w:val="02010609060101010101"/>
    <w:charset w:val="86"/>
    <w:family w:val="modern"/>
    <w:pitch w:val="default"/>
    <w:sig w:usb0="800002BF" w:usb1="38CF7CFA" w:usb2="00000016" w:usb3="00000000" w:csb0="00040001" w:csb1="00000000"/>
    <w:embedRegular r:id="rId7" w:fontKey="{7B77D9A4-16AE-4F38-A040-D0D71E545C1B}"/>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8" w:fontKey="{0B3A11D7-B218-441C-A48F-C20B95DC9932}"/>
  </w:font>
  <w:font w:name="楷体_GB2312">
    <w:panose1 w:val="02010609030101010101"/>
    <w:charset w:val="86"/>
    <w:family w:val="auto"/>
    <w:pitch w:val="default"/>
    <w:sig w:usb0="00000001" w:usb1="080E0000" w:usb2="00000000" w:usb3="00000000" w:csb0="00040000" w:csb1="00000000"/>
    <w:embedRegular r:id="rId9" w:fontKey="{6D004890-7EAA-4365-92A9-13EF7035D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0D16F0D1">
        <w:pPr>
          <w:pStyle w:val="11"/>
          <w:jc w:val="center"/>
        </w:pPr>
        <w:r>
          <w:fldChar w:fldCharType="begin"/>
        </w:r>
        <w:r>
          <w:instrText xml:space="preserve">PAGE   \* MERGEFORMAT</w:instrText>
        </w:r>
        <w:r>
          <w:fldChar w:fldCharType="separate"/>
        </w:r>
        <w:r>
          <w:rPr>
            <w:lang w:val="zh-CN"/>
          </w:rPr>
          <w:t>8</w:t>
        </w:r>
        <w:r>
          <w:fldChar w:fldCharType="end"/>
        </w:r>
      </w:p>
    </w:sdtContent>
  </w:sdt>
  <w:p w14:paraId="2AC30E84">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262E">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FE89FA55"/>
    <w:multiLevelType w:val="singleLevel"/>
    <w:tmpl w:val="FE89FA55"/>
    <w:lvl w:ilvl="0" w:tentative="0">
      <w:start w:val="2"/>
      <w:numFmt w:val="chineseCounting"/>
      <w:suff w:val="nothing"/>
      <w:lvlText w:val="（%1）"/>
      <w:lvlJc w:val="left"/>
      <w:rPr>
        <w:rFonts w:hint="eastAsia"/>
      </w:rPr>
    </w:lvl>
  </w:abstractNum>
  <w:abstractNum w:abstractNumId="3">
    <w:nsid w:val="13C0A084"/>
    <w:multiLevelType w:val="singleLevel"/>
    <w:tmpl w:val="13C0A084"/>
    <w:lvl w:ilvl="0" w:tentative="0">
      <w:start w:val="1"/>
      <w:numFmt w:val="chineseCounting"/>
      <w:suff w:val="nothing"/>
      <w:lvlText w:val="%1、"/>
      <w:lvlJc w:val="left"/>
      <w:rPr>
        <w:rFonts w:hint="eastAsia"/>
      </w:rPr>
    </w:lvl>
  </w:abstractNum>
  <w:abstractNum w:abstractNumId="4">
    <w:nsid w:val="5A979320"/>
    <w:multiLevelType w:val="singleLevel"/>
    <w:tmpl w:val="5A979320"/>
    <w:lvl w:ilvl="0" w:tentative="0">
      <w:start w:val="2"/>
      <w:numFmt w:val="chineseCounting"/>
      <w:suff w:val="nothing"/>
      <w:lvlText w:val="（%1）"/>
      <w:lvlJc w:val="left"/>
      <w:rPr>
        <w:rFonts w:hint="eastAsia"/>
      </w:rPr>
    </w:lvl>
  </w:abstractNum>
  <w:abstractNum w:abstractNumId="5">
    <w:nsid w:val="63F481D1"/>
    <w:multiLevelType w:val="singleLevel"/>
    <w:tmpl w:val="63F481D1"/>
    <w:lvl w:ilvl="0" w:tentative="0">
      <w:start w:val="1"/>
      <w:numFmt w:val="chineseCounting"/>
      <w:suff w:val="nothing"/>
      <w:lvlText w:val="%1、"/>
      <w:lvlJc w:val="left"/>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23127"/>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315D60"/>
    <w:rsid w:val="015975B8"/>
    <w:rsid w:val="01D37272"/>
    <w:rsid w:val="02143E91"/>
    <w:rsid w:val="03CF3A69"/>
    <w:rsid w:val="066E0107"/>
    <w:rsid w:val="07996F6E"/>
    <w:rsid w:val="0A2032A3"/>
    <w:rsid w:val="0B3C7C36"/>
    <w:rsid w:val="0CB157F6"/>
    <w:rsid w:val="0D35493D"/>
    <w:rsid w:val="0F204686"/>
    <w:rsid w:val="0F98263C"/>
    <w:rsid w:val="101860EC"/>
    <w:rsid w:val="107C36E9"/>
    <w:rsid w:val="10C055FF"/>
    <w:rsid w:val="118107EC"/>
    <w:rsid w:val="11A32109"/>
    <w:rsid w:val="12470955"/>
    <w:rsid w:val="12F232D0"/>
    <w:rsid w:val="13D50BC4"/>
    <w:rsid w:val="1618304E"/>
    <w:rsid w:val="16BB723D"/>
    <w:rsid w:val="18D4614F"/>
    <w:rsid w:val="1BB47375"/>
    <w:rsid w:val="1BB72E76"/>
    <w:rsid w:val="1BE8440E"/>
    <w:rsid w:val="1D155CEE"/>
    <w:rsid w:val="1D2F1B6F"/>
    <w:rsid w:val="1F2127AA"/>
    <w:rsid w:val="1FD97C4B"/>
    <w:rsid w:val="1FF35744"/>
    <w:rsid w:val="20413D58"/>
    <w:rsid w:val="213D7E0C"/>
    <w:rsid w:val="23860B96"/>
    <w:rsid w:val="240371BF"/>
    <w:rsid w:val="24623EFA"/>
    <w:rsid w:val="24F36AA8"/>
    <w:rsid w:val="25284930"/>
    <w:rsid w:val="26C35BF7"/>
    <w:rsid w:val="279F12A5"/>
    <w:rsid w:val="29D55086"/>
    <w:rsid w:val="29FD04D3"/>
    <w:rsid w:val="2A04596B"/>
    <w:rsid w:val="2A3E6917"/>
    <w:rsid w:val="2A6A1AD0"/>
    <w:rsid w:val="2BA618C3"/>
    <w:rsid w:val="2C8A61B5"/>
    <w:rsid w:val="2D5333FE"/>
    <w:rsid w:val="2D5C609F"/>
    <w:rsid w:val="2DD35D80"/>
    <w:rsid w:val="2DF04E50"/>
    <w:rsid w:val="2E1446DA"/>
    <w:rsid w:val="2F040D46"/>
    <w:rsid w:val="2F2520CD"/>
    <w:rsid w:val="2FAB7DB1"/>
    <w:rsid w:val="303B5E5F"/>
    <w:rsid w:val="3146720F"/>
    <w:rsid w:val="31853836"/>
    <w:rsid w:val="319F7F4E"/>
    <w:rsid w:val="322748ED"/>
    <w:rsid w:val="32CF0C28"/>
    <w:rsid w:val="3304709D"/>
    <w:rsid w:val="36AA5135"/>
    <w:rsid w:val="37502ED2"/>
    <w:rsid w:val="376D39B2"/>
    <w:rsid w:val="37E16F03"/>
    <w:rsid w:val="38B01829"/>
    <w:rsid w:val="38D469F0"/>
    <w:rsid w:val="3B466F20"/>
    <w:rsid w:val="3B9A6EE0"/>
    <w:rsid w:val="3D98207C"/>
    <w:rsid w:val="3DDA6CB7"/>
    <w:rsid w:val="3E78745D"/>
    <w:rsid w:val="3F616F63"/>
    <w:rsid w:val="3FF8650E"/>
    <w:rsid w:val="404D4FDE"/>
    <w:rsid w:val="41E76777"/>
    <w:rsid w:val="41F21603"/>
    <w:rsid w:val="42913A7D"/>
    <w:rsid w:val="43A23DD3"/>
    <w:rsid w:val="44801C3A"/>
    <w:rsid w:val="44D43708"/>
    <w:rsid w:val="44DF7317"/>
    <w:rsid w:val="44E268DA"/>
    <w:rsid w:val="461D5DA0"/>
    <w:rsid w:val="492B4193"/>
    <w:rsid w:val="4A627F82"/>
    <w:rsid w:val="4AE66459"/>
    <w:rsid w:val="4B0E749A"/>
    <w:rsid w:val="4B4F25DA"/>
    <w:rsid w:val="4BE068DB"/>
    <w:rsid w:val="4CC26408"/>
    <w:rsid w:val="4D577224"/>
    <w:rsid w:val="4E5F516A"/>
    <w:rsid w:val="4E922C96"/>
    <w:rsid w:val="4EA85848"/>
    <w:rsid w:val="4EAB630A"/>
    <w:rsid w:val="4ECE2238"/>
    <w:rsid w:val="4FB8672C"/>
    <w:rsid w:val="53464A22"/>
    <w:rsid w:val="537E6D0A"/>
    <w:rsid w:val="55AC288F"/>
    <w:rsid w:val="55AF5F99"/>
    <w:rsid w:val="55FB7373"/>
    <w:rsid w:val="56551179"/>
    <w:rsid w:val="577956AA"/>
    <w:rsid w:val="58F67728"/>
    <w:rsid w:val="59323606"/>
    <w:rsid w:val="5A24647E"/>
    <w:rsid w:val="5AD64523"/>
    <w:rsid w:val="5AF92295"/>
    <w:rsid w:val="5B296DA0"/>
    <w:rsid w:val="5CD71FC4"/>
    <w:rsid w:val="5D3A69D3"/>
    <w:rsid w:val="5F4B4EC7"/>
    <w:rsid w:val="618E6AC4"/>
    <w:rsid w:val="62D42794"/>
    <w:rsid w:val="63B70D7D"/>
    <w:rsid w:val="661949F6"/>
    <w:rsid w:val="66C57C55"/>
    <w:rsid w:val="67940831"/>
    <w:rsid w:val="68352BB8"/>
    <w:rsid w:val="683D4A21"/>
    <w:rsid w:val="68683C5B"/>
    <w:rsid w:val="68B61ADD"/>
    <w:rsid w:val="6C4A05C8"/>
    <w:rsid w:val="6C81770F"/>
    <w:rsid w:val="6E7E3605"/>
    <w:rsid w:val="6FAC19B2"/>
    <w:rsid w:val="6FF5CC65"/>
    <w:rsid w:val="6FF70753"/>
    <w:rsid w:val="702F1655"/>
    <w:rsid w:val="70C52924"/>
    <w:rsid w:val="711D41EA"/>
    <w:rsid w:val="71471E07"/>
    <w:rsid w:val="715C0E4B"/>
    <w:rsid w:val="72734D90"/>
    <w:rsid w:val="73AD73D5"/>
    <w:rsid w:val="73B6EB34"/>
    <w:rsid w:val="73DB55DA"/>
    <w:rsid w:val="7420232B"/>
    <w:rsid w:val="744731E5"/>
    <w:rsid w:val="74684C2A"/>
    <w:rsid w:val="759C6025"/>
    <w:rsid w:val="76E3355F"/>
    <w:rsid w:val="778769C8"/>
    <w:rsid w:val="78245381"/>
    <w:rsid w:val="79EE5BA4"/>
    <w:rsid w:val="7A745707"/>
    <w:rsid w:val="7A894339"/>
    <w:rsid w:val="7DFF1847"/>
    <w:rsid w:val="7E8F4979"/>
    <w:rsid w:val="7EEF11D3"/>
    <w:rsid w:val="7FA30C79"/>
    <w:rsid w:val="7FB7269E"/>
    <w:rsid w:val="7FC96657"/>
    <w:rsid w:val="7FD53ACD"/>
    <w:rsid w:val="D8D6DB89"/>
    <w:rsid w:val="DB6F4CAB"/>
    <w:rsid w:val="DF6F9789"/>
    <w:rsid w:val="E5FFBB2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560" w:lineRule="exact"/>
      <w:ind w:firstLine="1440" w:firstLineChars="200"/>
      <w:outlineLvl w:val="2"/>
    </w:pPr>
    <w:rPr>
      <w:rFonts w:ascii="Times New Roman" w:hAnsi="Times New Roman" w:eastAsia="楷体"/>
      <w:b/>
      <w:bCs/>
      <w:sz w:val="32"/>
      <w:szCs w:val="32"/>
    </w:rPr>
  </w:style>
  <w:style w:type="character" w:default="1" w:styleId="18">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table of figures1"/>
    <w:basedOn w:val="1"/>
    <w:next w:val="1"/>
    <w:qFormat/>
    <w:uiPriority w:val="99"/>
    <w:pPr>
      <w:ind w:left="200" w:leftChars="200" w:hanging="200" w:hangingChars="200"/>
    </w:p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Chars="200"/>
    </w:pPr>
    <w:rPr>
      <w:rFonts w:ascii="仿宋_GB2312"/>
      <w:szCs w:val="32"/>
    </w:rPr>
  </w:style>
  <w:style w:type="paragraph" w:styleId="8">
    <w:name w:val="Body Text First Indent 2"/>
    <w:basedOn w:val="7"/>
    <w:next w:val="1"/>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3"/>
    <w:semiHidden/>
    <w:unhideWhenUsed/>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able of figures"/>
    <w:basedOn w:val="1"/>
    <w:next w:val="1"/>
    <w:unhideWhenUsed/>
    <w:qFormat/>
    <w:uiPriority w:val="99"/>
    <w:pPr>
      <w:ind w:left="200" w:leftChars="200" w:hanging="200" w:hangingChars="200"/>
    </w:p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Char"/>
    <w:link w:val="12"/>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Char"/>
    <w:link w:val="11"/>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Char"/>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8"/>
    <w:link w:val="3"/>
    <w:qFormat/>
    <w:uiPriority w:val="9"/>
    <w:rPr>
      <w:rFonts w:ascii="Times New Roman" w:hAnsi="Times New Roman"/>
      <w:b/>
      <w:bCs/>
      <w:kern w:val="44"/>
      <w:sz w:val="44"/>
      <w:szCs w:val="44"/>
    </w:rPr>
  </w:style>
  <w:style w:type="character" w:customStyle="1" w:styleId="31">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8"/>
    <w:link w:val="10"/>
    <w:semiHidden/>
    <w:qFormat/>
    <w:uiPriority w:val="99"/>
    <w:rPr>
      <w:rFonts w:ascii="Times New Roman" w:hAnsi="Times New Roman"/>
      <w:kern w:val="2"/>
      <w:sz w:val="18"/>
      <w:szCs w:val="18"/>
    </w:rPr>
  </w:style>
  <w:style w:type="character" w:customStyle="1" w:styleId="34">
    <w:name w:val="标题 3 Char"/>
    <w:basedOn w:val="18"/>
    <w:link w:val="5"/>
    <w:qFormat/>
    <w:uiPriority w:val="9"/>
    <w:rPr>
      <w:rFonts w:ascii="Times New Roman" w:hAnsi="Times New Roman" w:eastAsia="楷体"/>
      <w:b/>
      <w:bCs/>
      <w:kern w:val="2"/>
      <w:sz w:val="32"/>
      <w:szCs w:val="32"/>
    </w:r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7">
    <w:name w:val="章标题"/>
    <w:basedOn w:val="1"/>
    <w:next w:val="38"/>
    <w:qFormat/>
    <w:uiPriority w:val="0"/>
    <w:pPr>
      <w:widowControl/>
      <w:spacing w:before="158" w:after="153" w:line="323" w:lineRule="atLeast"/>
      <w:ind w:right="-120"/>
      <w:jc w:val="center"/>
      <w:textAlignment w:val="baseline"/>
    </w:pPr>
    <w:rPr>
      <w:color w:val="FF0000"/>
      <w:sz w:val="18"/>
    </w:rPr>
  </w:style>
  <w:style w:type="paragraph" w:customStyle="1" w:styleId="38">
    <w:name w:val="节标题"/>
    <w:basedOn w:val="1"/>
    <w:next w:val="1"/>
    <w:qFormat/>
    <w:uiPriority w:val="0"/>
    <w:pPr>
      <w:widowControl/>
      <w:spacing w:line="289" w:lineRule="atLeast"/>
      <w:jc w:val="center"/>
      <w:textAlignment w:val="baseline"/>
    </w:pPr>
    <w:rPr>
      <w:color w:val="000000"/>
      <w:sz w:val="28"/>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WPSOffice手动目录 2"/>
    <w:qFormat/>
    <w:uiPriority w:val="0"/>
    <w:pPr>
      <w:ind w:leftChars="200"/>
    </w:pPr>
    <w:rPr>
      <w:rFonts w:ascii="Times New Roman" w:hAnsi="Times New Roman" w:eastAsia="宋体" w:cs="Times New Roman"/>
      <w:sz w:val="20"/>
      <w:szCs w:val="20"/>
    </w:rPr>
  </w:style>
  <w:style w:type="character" w:customStyle="1" w:styleId="42">
    <w:name w:val="NormalCharacter"/>
    <w:qFormat/>
    <w:uiPriority w:val="0"/>
    <w:rPr>
      <w:rFonts w:ascii="Times New Roman" w:hAnsi="Times New Roman"/>
      <w:sz w:val="24"/>
      <w:szCs w:val="24"/>
      <w:lang w:val="en-US" w:eastAsia="zh-CN" w:bidi="ar-SA"/>
    </w:rPr>
  </w:style>
  <w:style w:type="paragraph" w:customStyle="1" w:styleId="4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收、支决算总计变动情况表</a:t>
            </a:r>
          </a:p>
        </c:rich>
      </c:tx>
      <c:layout/>
      <c:overlay val="0"/>
      <c:spPr>
        <a:noFill/>
        <a:ln>
          <a:noFill/>
        </a:ln>
        <a:effectLst/>
      </c:spPr>
    </c:title>
    <c:autoTitleDeleted val="0"/>
    <c:plotArea>
      <c:layout>
        <c:manualLayout>
          <c:layoutTarget val="inner"/>
          <c:xMode val="edge"/>
          <c:yMode val="edge"/>
          <c:x val="0.0778303198887344"/>
          <c:y val="0.133660746003552"/>
          <c:w val="0.8938"/>
          <c:h val="0.7169"/>
        </c:manualLayout>
      </c:layout>
      <c:barChart>
        <c:barDir val="col"/>
        <c:grouping val="clustered"/>
        <c:varyColors val="0"/>
        <c:ser>
          <c:idx val="0"/>
          <c:order val="0"/>
          <c:tx>
            <c:strRef>
              <c:f>Sheet1!$B$1</c:f>
              <c:strCache>
                <c:ptCount val="1"/>
                <c:pt idx="0">
                  <c:v>收、支情况</c:v>
                </c:pt>
              </c:strCache>
            </c:strRef>
          </c:tx>
          <c:spPr>
            <a:solidFill>
              <a:schemeClr val="accent1"/>
            </a:solidFill>
            <a:ln>
              <a:noFill/>
            </a:ln>
            <a:effectLst/>
          </c:spPr>
          <c:invertIfNegative val="0"/>
          <c:dLbls>
            <c:dLbl>
              <c:idx val="0"/>
              <c:layout>
                <c:manualLayout>
                  <c:x val="-0.00375"/>
                  <c:y val="0.105"/>
                </c:manualLayout>
              </c:layout>
              <c:numFmt formatCode="General" sourceLinked="1"/>
              <c:spPr>
                <a:noFill/>
                <a:ln>
                  <a:noFill/>
                </a:ln>
                <a:effectLst>
                  <a:glow rad="139700">
                    <a:schemeClr val="accent2">
                      <a:satMod val="175000"/>
                      <a:alpha val="40000"/>
                    </a:schemeClr>
                  </a:glow>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625"/>
                  <c:y val="0.09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rad="139700">
                  <a:schemeClr val="accent2">
                    <a:satMod val="175000"/>
                    <a:alpha val="40000"/>
                  </a:schemeClr>
                </a:glow>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2021年度</c:v>
                </c:pt>
                <c:pt idx="1">
                  <c:v>2022年度</c:v>
                </c:pt>
              </c:strCache>
            </c:strRef>
          </c:cat>
          <c:val>
            <c:numRef>
              <c:f>Sheet1!$B$2:$B$3</c:f>
              <c:numCache>
                <c:formatCode>General</c:formatCode>
                <c:ptCount val="2"/>
                <c:pt idx="0">
                  <c:v>953.64</c:v>
                </c:pt>
                <c:pt idx="1">
                  <c:v>1155.99</c:v>
                </c:pt>
              </c:numCache>
            </c:numRef>
          </c:val>
        </c:ser>
        <c:dLbls>
          <c:showLegendKey val="0"/>
          <c:showVal val="0"/>
          <c:showCatName val="0"/>
          <c:showSerName val="0"/>
          <c:showPercent val="0"/>
          <c:showBubbleSize val="0"/>
        </c:dLbls>
        <c:gapWidth val="219"/>
        <c:overlap val="-27"/>
        <c:axId val="167385170"/>
        <c:axId val="235367038"/>
      </c:barChart>
      <c:catAx>
        <c:axId val="1673851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5367038"/>
        <c:crosses val="autoZero"/>
        <c:auto val="1"/>
        <c:lblAlgn val="ctr"/>
        <c:lblOffset val="100"/>
        <c:noMultiLvlLbl val="0"/>
      </c:catAx>
      <c:valAx>
        <c:axId val="23536703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3851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1b07326-764f-41cf-a399-ae7688f17ee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overlay val="0"/>
      <c:spPr>
        <a:noFill/>
        <a:ln>
          <a:noFill/>
        </a:ln>
        <a:effectLst/>
      </c:spPr>
    </c:title>
    <c:autoTitleDeleted val="0"/>
    <c:plotArea>
      <c:layout/>
      <c:pieChart>
        <c:varyColors val="1"/>
        <c:ser>
          <c:idx val="0"/>
          <c:order val="0"/>
          <c:tx>
            <c:strRef>
              <c:f>Sheet1!$B$1</c:f>
              <c:strCache>
                <c:ptCount val="1"/>
                <c:pt idx="0">
                  <c:v>一般公共预算财政拨款收入</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一般公共预算财政拨款收入</c:v>
                </c:pt>
                <c:pt idx="1">
                  <c:v>政府性基金预算财政拨款收入</c:v>
                </c:pt>
              </c:strCache>
            </c:strRef>
          </c:cat>
          <c:val>
            <c:numRef>
              <c:f>Sheet1!$B$2:$B$3</c:f>
              <c:numCache>
                <c:formatCode>0.00%</c:formatCode>
                <c:ptCount val="2"/>
                <c:pt idx="0">
                  <c:v>0.9944</c:v>
                </c:pt>
                <c:pt idx="1">
                  <c:v>0.0056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36dea5c-a0aa-4f02-9bac-c53e1c08b3a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elete val="1"/>
          </c:dLbls>
          <c:cat>
            <c:strRef>
              <c:f>Sheet1!$A$2:$A$3</c:f>
              <c:strCache>
                <c:ptCount val="2"/>
                <c:pt idx="0">
                  <c:v>基本支出</c:v>
                </c:pt>
                <c:pt idx="1">
                  <c:v>项目支出</c:v>
                </c:pt>
              </c:strCache>
            </c:strRef>
          </c:cat>
          <c:val>
            <c:numRef>
              <c:f>Sheet1!$B$2:$B$3</c:f>
              <c:numCache>
                <c:formatCode>0.00%</c:formatCode>
                <c:ptCount val="2"/>
                <c:pt idx="0">
                  <c:v>0.9397</c:v>
                </c:pt>
                <c:pt idx="1">
                  <c:v>0.0603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5384c14-3fba-41e0-a292-c35ee4f2c30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收、支决算总计变动情况表</a:t>
            </a:r>
          </a:p>
        </c:rich>
      </c:tx>
      <c:layout/>
      <c:overlay val="0"/>
      <c:spPr>
        <a:noFill/>
        <a:ln>
          <a:noFill/>
        </a:ln>
        <a:effectLst/>
      </c:spPr>
    </c:title>
    <c:autoTitleDeleted val="0"/>
    <c:plotArea>
      <c:layout>
        <c:manualLayout>
          <c:layoutTarget val="inner"/>
          <c:xMode val="edge"/>
          <c:yMode val="edge"/>
          <c:x val="0.0778303198887344"/>
          <c:y val="0.133660746003552"/>
          <c:w val="0.8938"/>
          <c:h val="0.7169"/>
        </c:manualLayout>
      </c:layout>
      <c:barChart>
        <c:barDir val="col"/>
        <c:grouping val="clustered"/>
        <c:varyColors val="0"/>
        <c:ser>
          <c:idx val="0"/>
          <c:order val="0"/>
          <c:tx>
            <c:strRef>
              <c:f>Sheet1!$B$1</c:f>
              <c:strCache>
                <c:ptCount val="1"/>
                <c:pt idx="0">
                  <c:v>收、支情况</c:v>
                </c:pt>
              </c:strCache>
            </c:strRef>
          </c:tx>
          <c:spPr>
            <a:solidFill>
              <a:schemeClr val="accent1"/>
            </a:solidFill>
            <a:ln>
              <a:noFill/>
            </a:ln>
            <a:effectLst/>
          </c:spPr>
          <c:invertIfNegative val="0"/>
          <c:dLbls>
            <c:dLbl>
              <c:idx val="0"/>
              <c:layout>
                <c:manualLayout>
                  <c:x val="-0.00375"/>
                  <c:y val="0.105"/>
                </c:manualLayout>
              </c:layout>
              <c:numFmt formatCode="General" sourceLinked="1"/>
              <c:spPr>
                <a:noFill/>
                <a:ln>
                  <a:noFill/>
                </a:ln>
                <a:effectLst>
                  <a:glow rad="139700">
                    <a:schemeClr val="accent2">
                      <a:satMod val="175000"/>
                      <a:alpha val="40000"/>
                    </a:schemeClr>
                  </a:glow>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625"/>
                  <c:y val="0.09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rad="139700">
                  <a:schemeClr val="accent2">
                    <a:satMod val="175000"/>
                    <a:alpha val="40000"/>
                  </a:schemeClr>
                </a:glow>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2021年度</c:v>
                </c:pt>
                <c:pt idx="1">
                  <c:v>2022年度</c:v>
                </c:pt>
              </c:strCache>
            </c:strRef>
          </c:cat>
          <c:val>
            <c:numRef>
              <c:f>Sheet1!$B$2:$B$3</c:f>
              <c:numCache>
                <c:formatCode>General</c:formatCode>
                <c:ptCount val="2"/>
                <c:pt idx="0">
                  <c:v>953.64</c:v>
                </c:pt>
                <c:pt idx="1">
                  <c:v>1155.99</c:v>
                </c:pt>
              </c:numCache>
            </c:numRef>
          </c:val>
        </c:ser>
        <c:dLbls>
          <c:showLegendKey val="0"/>
          <c:showVal val="0"/>
          <c:showCatName val="0"/>
          <c:showSerName val="0"/>
          <c:showPercent val="0"/>
          <c:showBubbleSize val="0"/>
        </c:dLbls>
        <c:gapWidth val="219"/>
        <c:overlap val="-27"/>
        <c:axId val="167385170"/>
        <c:axId val="235367038"/>
      </c:barChart>
      <c:catAx>
        <c:axId val="1673851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5367038"/>
        <c:crosses val="autoZero"/>
        <c:auto val="1"/>
        <c:lblAlgn val="ctr"/>
        <c:lblOffset val="100"/>
        <c:noMultiLvlLbl val="0"/>
      </c:catAx>
      <c:valAx>
        <c:axId val="23536703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3851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9b7a85a-6b5c-466d-a8dd-c4468ba244d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收、支决算总计变动情况表</a:t>
            </a:r>
          </a:p>
        </c:rich>
      </c:tx>
      <c:layout/>
      <c:overlay val="0"/>
      <c:spPr>
        <a:noFill/>
        <a:ln>
          <a:noFill/>
        </a:ln>
        <a:effectLst/>
      </c:spPr>
    </c:title>
    <c:autoTitleDeleted val="0"/>
    <c:plotArea>
      <c:layout>
        <c:manualLayout>
          <c:layoutTarget val="inner"/>
          <c:xMode val="edge"/>
          <c:yMode val="edge"/>
          <c:x val="0.0778303198887344"/>
          <c:y val="0.133660746003552"/>
          <c:w val="0.8938"/>
          <c:h val="0.7169"/>
        </c:manualLayout>
      </c:layout>
      <c:barChart>
        <c:barDir val="col"/>
        <c:grouping val="clustered"/>
        <c:varyColors val="0"/>
        <c:ser>
          <c:idx val="0"/>
          <c:order val="0"/>
          <c:tx>
            <c:strRef>
              <c:f>Sheet1!$B$1</c:f>
              <c:strCache>
                <c:ptCount val="1"/>
                <c:pt idx="0">
                  <c:v>一般公共预算财政拨款支出决算变动情况表</c:v>
                </c:pt>
              </c:strCache>
            </c:strRef>
          </c:tx>
          <c:spPr>
            <a:solidFill>
              <a:schemeClr val="accent1"/>
            </a:solidFill>
            <a:ln>
              <a:noFill/>
            </a:ln>
            <a:effectLst/>
          </c:spPr>
          <c:invertIfNegative val="0"/>
          <c:dLbls>
            <c:dLbl>
              <c:idx val="0"/>
              <c:layout>
                <c:manualLayout>
                  <c:x val="-0.00375"/>
                  <c:y val="0.105"/>
                </c:manualLayout>
              </c:layout>
              <c:numFmt formatCode="General" sourceLinked="1"/>
              <c:spPr>
                <a:noFill/>
                <a:ln>
                  <a:noFill/>
                </a:ln>
                <a:effectLst>
                  <a:glow rad="139700">
                    <a:schemeClr val="accent2">
                      <a:satMod val="175000"/>
                      <a:alpha val="40000"/>
                    </a:schemeClr>
                  </a:glow>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625"/>
                  <c:y val="0.09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a:glow rad="139700">
                  <a:schemeClr val="accent2">
                    <a:satMod val="175000"/>
                    <a:alpha val="40000"/>
                  </a:schemeClr>
                </a:glow>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2021年度</c:v>
                </c:pt>
                <c:pt idx="1">
                  <c:v>2022年度</c:v>
                </c:pt>
              </c:strCache>
            </c:strRef>
          </c:cat>
          <c:val>
            <c:numRef>
              <c:f>Sheet1!$B$2:$B$3</c:f>
              <c:numCache>
                <c:formatCode>General</c:formatCode>
                <c:ptCount val="2"/>
                <c:pt idx="0">
                  <c:v>953.64</c:v>
                </c:pt>
                <c:pt idx="1">
                  <c:v>1149.49</c:v>
                </c:pt>
              </c:numCache>
            </c:numRef>
          </c:val>
        </c:ser>
        <c:dLbls>
          <c:showLegendKey val="0"/>
          <c:showVal val="0"/>
          <c:showCatName val="0"/>
          <c:showSerName val="0"/>
          <c:showPercent val="0"/>
          <c:showBubbleSize val="0"/>
        </c:dLbls>
        <c:gapWidth val="219"/>
        <c:overlap val="-27"/>
        <c:axId val="167385170"/>
        <c:axId val="235367038"/>
      </c:barChart>
      <c:catAx>
        <c:axId val="1673851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5367038"/>
        <c:crosses val="autoZero"/>
        <c:auto val="1"/>
        <c:lblAlgn val="ctr"/>
        <c:lblOffset val="100"/>
        <c:noMultiLvlLbl val="0"/>
      </c:catAx>
      <c:valAx>
        <c:axId val="23536703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385170"/>
        <c:crosses val="autoZero"/>
        <c:crossBetween val="between"/>
      </c:valAx>
      <c:spPr>
        <a:noFill/>
        <a:ln>
          <a:noFill/>
        </a:ln>
        <a:effectLst/>
      </c:spPr>
    </c:plotArea>
    <c:plotVisOnly val="1"/>
    <c:dispBlanksAs val="gap"/>
    <c:showDLblsOverMax val="0"/>
    <c:extLst>
      <c:ext uri="{0b15fc19-7d7d-44ad-8c2d-2c3a37ce22c3}">
        <chartProps xmlns="https://web.wps.cn/et/2018/main" chartId="{a47cfddd-27ac-420f-a9ee-e834d706287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一般公共预算财政拨款款支出决算结构</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2"/>
              <c:layout>
                <c:manualLayout>
                  <c:x val="0.0246234638260376"/>
                  <c:y val="-0.11338078815803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14655387633307"/>
                  <c:y val="-0.0065848898004940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国防支出</c:v>
                </c:pt>
                <c:pt idx="2">
                  <c:v>公共安全支出</c:v>
                </c:pt>
                <c:pt idx="3">
                  <c:v>文化旅游体育与传媒支出</c:v>
                </c:pt>
                <c:pt idx="4">
                  <c:v>社会保障和就业支出</c:v>
                </c:pt>
                <c:pt idx="5">
                  <c:v>卫生健康支出</c:v>
                </c:pt>
                <c:pt idx="6">
                  <c:v>城乡社区支出</c:v>
                </c:pt>
                <c:pt idx="7">
                  <c:v>农林水支出</c:v>
                </c:pt>
                <c:pt idx="8">
                  <c:v>住房保障支出</c:v>
                </c:pt>
              </c:strCache>
            </c:strRef>
          </c:cat>
          <c:val>
            <c:numRef>
              <c:f>Sheet1!$B$2:$B$10</c:f>
              <c:numCache>
                <c:formatCode>0.00%</c:formatCode>
                <c:ptCount val="9"/>
                <c:pt idx="0">
                  <c:v>0.4942</c:v>
                </c:pt>
                <c:pt idx="1">
                  <c:v>0.0017</c:v>
                </c:pt>
                <c:pt idx="2">
                  <c:v>0.0033</c:v>
                </c:pt>
                <c:pt idx="3">
                  <c:v>0.0039</c:v>
                </c:pt>
                <c:pt idx="4">
                  <c:v>0.1009</c:v>
                </c:pt>
                <c:pt idx="5">
                  <c:v>0.0298</c:v>
                </c:pt>
                <c:pt idx="6">
                  <c:v>0.0074</c:v>
                </c:pt>
                <c:pt idx="7">
                  <c:v>0.3123</c:v>
                </c:pt>
                <c:pt idx="8">
                  <c:v>0.0465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0e917d8-59cd-4179-9e94-829fb8497b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c:v>
                </c:pt>
              </c:strCache>
            </c:strRef>
          </c:tx>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a:sp3d>
              <a:extrusionClr>
                <a:srgbClr val="FFFFFF"/>
              </a:extrusionClr>
              <a:contourClr>
                <a:srgbClr val="FFFFFF"/>
              </a:contourClr>
            </a:sp3d>
          </c:spPr>
          <c:explosion val="0"/>
          <c:dPt>
            <c:idx val="0"/>
            <c:bubble3D val="0"/>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a:sp3d>
                <a:extrusionClr>
                  <a:srgbClr val="FFFFFF"/>
                </a:extrusionClr>
                <a:contourClr>
                  <a:srgbClr val="FFFFFF"/>
                </a:contourClr>
              </a:sp3d>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公务接待费</c:v>
                </c:pt>
              </c:strCache>
            </c:strRef>
          </c:cat>
          <c:val>
            <c:numRef>
              <c:f>Sheet1!$B$2</c:f>
              <c:numCache>
                <c:formatCode>0%</c:formatCode>
                <c:ptCount val="1"/>
                <c:pt idx="0">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857f087-8a8b-4d65-850b-79d5775755d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67</Pages>
  <Words>20609</Words>
  <Characters>22406</Characters>
  <Lines>61</Lines>
  <Paragraphs>17</Paragraphs>
  <TotalTime>6</TotalTime>
  <ScaleCrop>false</ScaleCrop>
  <LinksUpToDate>false</LinksUpToDate>
  <CharactersWithSpaces>22526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2020-08-05T09:49:00Z</dcterms:created>
  <dc:creator>曹颖</dc:creator>
  <cp:lastModifiedBy>昭化融媒体</cp:lastModifiedBy>
  <cp:lastPrinted>2023-07-31T10:35:00Z</cp:lastPrinted>
  <dcterms:modified xsi:type="dcterms:W3CDTF">2024-12-19T06:51:22Z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1C6C92E8681E4A66BB69240E7F74BEFF_13</vt:lpwstr>
  </property>
  <property fmtid="{D5CDD505-2E9C-101B-9397-08002B2CF9AE}" pid="4" name="KSOTemplateDocerSaveRecord">
    <vt:lpwstr>eyJoZGlkIjoiMGVhYTg4NGNkZWJkODFjNzcyZDRjM2M4Y2UzNjI5ZmUiLCJ1c2VySWQiOiI2MTE2MzEwMDYifQ==</vt:lpwstr>
  </property>
</Properties>
</file>