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0774E6">
      <w:pPr>
        <w:spacing w:line="600" w:lineRule="exact"/>
        <w:jc w:val="center"/>
        <w:rPr>
          <w:rFonts w:ascii="方正小标宋简体" w:hAnsi="宋体" w:eastAsia="方正小标宋简体"/>
          <w:color w:val="000000" w:themeColor="text1"/>
          <w:sz w:val="72"/>
          <w:szCs w:val="72"/>
        </w:rPr>
      </w:pPr>
      <w:bookmarkStart w:id="0" w:name="_Toc15377193"/>
      <w:bookmarkStart w:id="1" w:name="_Toc15377425"/>
      <w:bookmarkStart w:id="2" w:name="_Toc15378441"/>
      <w:bookmarkStart w:id="3" w:name="_Toc15396475"/>
      <w:bookmarkStart w:id="4" w:name="_Toc15396597"/>
      <w:bookmarkStart w:id="5" w:name="_Toc15306267"/>
    </w:p>
    <w:p w14:paraId="20024B17">
      <w:pPr>
        <w:spacing w:line="600" w:lineRule="exact"/>
        <w:jc w:val="center"/>
        <w:rPr>
          <w:rFonts w:ascii="方正小标宋简体" w:hAnsi="宋体" w:eastAsia="方正小标宋简体"/>
          <w:color w:val="000000" w:themeColor="text1"/>
          <w:sz w:val="72"/>
          <w:szCs w:val="72"/>
        </w:rPr>
      </w:pPr>
    </w:p>
    <w:p w14:paraId="262ABF91">
      <w:pPr>
        <w:spacing w:line="600" w:lineRule="exact"/>
        <w:jc w:val="center"/>
        <w:rPr>
          <w:rFonts w:ascii="方正小标宋简体" w:hAnsi="宋体" w:eastAsia="方正小标宋简体"/>
          <w:color w:val="000000" w:themeColor="text1"/>
          <w:sz w:val="72"/>
          <w:szCs w:val="72"/>
        </w:rPr>
      </w:pPr>
    </w:p>
    <w:p w14:paraId="4479764D">
      <w:pPr>
        <w:adjustRightInd w:val="0"/>
        <w:snapToGrid w:val="0"/>
        <w:spacing w:line="360" w:lineRule="auto"/>
        <w:jc w:val="center"/>
        <w:outlineLvl w:val="0"/>
        <w:rPr>
          <w:rFonts w:ascii="方正小标宋简体" w:hAnsi="方正小标宋简体" w:eastAsia="方正小标宋简体" w:cs="方正小标宋简体"/>
          <w:color w:val="000000" w:themeColor="text1"/>
          <w:sz w:val="72"/>
          <w:szCs w:val="72"/>
        </w:rPr>
      </w:pPr>
      <w:bookmarkStart w:id="6" w:name="_Toc19715"/>
      <w:bookmarkStart w:id="7" w:name="_Toc18786"/>
      <w:bookmarkStart w:id="8" w:name="_Toc11262"/>
      <w:r>
        <w:rPr>
          <w:rFonts w:hint="eastAsia" w:ascii="方正小标宋简体" w:hAnsi="方正小标宋简体" w:eastAsia="方正小标宋简体" w:cs="方正小标宋简体"/>
          <w:color w:val="000000" w:themeColor="text1"/>
          <w:sz w:val="72"/>
          <w:szCs w:val="72"/>
        </w:rPr>
        <w:t>2022年度</w:t>
      </w:r>
      <w:bookmarkEnd w:id="0"/>
      <w:bookmarkEnd w:id="1"/>
      <w:bookmarkEnd w:id="2"/>
      <w:bookmarkEnd w:id="3"/>
      <w:bookmarkEnd w:id="4"/>
      <w:bookmarkEnd w:id="6"/>
      <w:bookmarkEnd w:id="7"/>
      <w:bookmarkEnd w:id="8"/>
    </w:p>
    <w:p w14:paraId="3B42BF3A">
      <w:pPr>
        <w:adjustRightInd w:val="0"/>
        <w:snapToGrid w:val="0"/>
        <w:spacing w:line="360" w:lineRule="auto"/>
        <w:jc w:val="center"/>
        <w:outlineLvl w:val="0"/>
        <w:rPr>
          <w:rFonts w:ascii="方正小标宋简体" w:hAnsi="方正小标宋简体" w:eastAsia="方正小标宋简体" w:cs="方正小标宋简体"/>
          <w:color w:val="000000" w:themeColor="text1"/>
          <w:sz w:val="72"/>
          <w:szCs w:val="72"/>
        </w:rPr>
      </w:pPr>
      <w:bookmarkStart w:id="9" w:name="_Toc15378442"/>
      <w:bookmarkStart w:id="10" w:name="_Toc9470"/>
      <w:bookmarkStart w:id="11" w:name="_Toc1923"/>
      <w:bookmarkStart w:id="12" w:name="_Toc15377426"/>
      <w:bookmarkStart w:id="13" w:name="_Toc27359"/>
      <w:bookmarkStart w:id="14" w:name="_Toc15377194"/>
      <w:bookmarkStart w:id="15" w:name="_Toc15396598"/>
      <w:bookmarkStart w:id="16" w:name="_Toc15396476"/>
      <w:r>
        <w:rPr>
          <w:rFonts w:hint="eastAsia" w:ascii="方正小标宋简体" w:hAnsi="方正小标宋简体" w:eastAsia="方正小标宋简体" w:cs="方正小标宋简体"/>
          <w:color w:val="000000" w:themeColor="text1"/>
          <w:sz w:val="72"/>
          <w:szCs w:val="72"/>
        </w:rPr>
        <w:t>四川省</w:t>
      </w:r>
      <w:bookmarkEnd w:id="5"/>
      <w:bookmarkStart w:id="17" w:name="_Toc15306268"/>
      <w:r>
        <w:rPr>
          <w:rFonts w:hint="eastAsia" w:ascii="方正小标宋简体" w:hAnsi="方正小标宋简体" w:eastAsia="方正小标宋简体" w:cs="方正小标宋简体"/>
          <w:color w:val="000000" w:themeColor="text1"/>
          <w:sz w:val="72"/>
          <w:szCs w:val="72"/>
        </w:rPr>
        <w:t>广元市昭化区王家镇人民政府部门决算</w:t>
      </w:r>
      <w:bookmarkEnd w:id="9"/>
      <w:bookmarkEnd w:id="10"/>
      <w:bookmarkEnd w:id="11"/>
      <w:bookmarkEnd w:id="12"/>
      <w:bookmarkEnd w:id="13"/>
      <w:bookmarkEnd w:id="14"/>
      <w:bookmarkEnd w:id="15"/>
      <w:bookmarkEnd w:id="16"/>
      <w:bookmarkEnd w:id="17"/>
    </w:p>
    <w:p w14:paraId="1954D207">
      <w:pPr>
        <w:adjustRightInd w:val="0"/>
        <w:snapToGrid w:val="0"/>
        <w:spacing w:line="360" w:lineRule="auto"/>
        <w:jc w:val="center"/>
        <w:rPr>
          <w:rFonts w:ascii="方正小标宋简体" w:hAnsi="宋体" w:eastAsia="方正小标宋简体"/>
          <w:color w:val="000000" w:themeColor="text1"/>
          <w:sz w:val="52"/>
          <w:szCs w:val="52"/>
        </w:rPr>
      </w:pPr>
    </w:p>
    <w:p w14:paraId="58438578">
      <w:pPr>
        <w:widowControl/>
        <w:jc w:val="center"/>
        <w:rPr>
          <w:rFonts w:ascii="黑体" w:hAnsi="黑体" w:eastAsia="黑体"/>
          <w:color w:val="000000" w:themeColor="text1"/>
          <w:sz w:val="48"/>
          <w:szCs w:val="48"/>
        </w:rPr>
      </w:pPr>
      <w:r>
        <w:rPr>
          <w:rFonts w:ascii="方正小标宋简体" w:hAnsi="宋体" w:eastAsia="方正小标宋简体"/>
          <w:color w:val="000000" w:themeColor="text1"/>
          <w:sz w:val="36"/>
          <w:szCs w:val="36"/>
        </w:rPr>
        <w:br w:type="page"/>
      </w:r>
      <w:r>
        <w:rPr>
          <w:rFonts w:hint="eastAsia" w:ascii="黑体" w:hAnsi="黑体" w:eastAsia="黑体"/>
          <w:color w:val="000000" w:themeColor="text1"/>
          <w:sz w:val="48"/>
          <w:szCs w:val="48"/>
        </w:rPr>
        <w:t>目录</w:t>
      </w:r>
    </w:p>
    <w:p w14:paraId="54ED8DBE">
      <w:pPr>
        <w:widowControl/>
        <w:jc w:val="center"/>
        <w:rPr>
          <w:rFonts w:ascii="黑体" w:hAnsi="黑体" w:eastAsia="黑体" w:cstheme="minorBidi"/>
          <w:color w:val="000000" w:themeColor="text1"/>
          <w:sz w:val="28"/>
          <w:szCs w:val="28"/>
        </w:rPr>
      </w:pPr>
    </w:p>
    <w:p w14:paraId="4FAAC0FD">
      <w:pPr>
        <w:pStyle w:val="11"/>
        <w:spacing w:before="0"/>
        <w:rPr>
          <w:color w:val="000000" w:themeColor="text1"/>
        </w:rPr>
      </w:pPr>
      <w:r>
        <w:rPr>
          <w:rFonts w:hint="eastAsia"/>
          <w:color w:val="000000" w:themeColor="text1"/>
        </w:rPr>
        <w:t>公开时间：2023年9月27日</w:t>
      </w:r>
    </w:p>
    <w:sdt>
      <w:sdtPr>
        <w:rPr>
          <w:rFonts w:ascii="宋体" w:hAnsi="宋体"/>
        </w:rPr>
        <w:id w:val="147460732"/>
        <w:docPartObj>
          <w:docPartGallery w:val="Table of Contents"/>
          <w:docPartUnique/>
        </w:docPartObj>
      </w:sdtPr>
      <w:sdtEndPr>
        <w:rPr>
          <w:rFonts w:ascii="宋体" w:hAnsi="宋体"/>
        </w:rPr>
      </w:sdtEndPr>
      <w:sdtContent>
        <w:p w14:paraId="60FAEC22">
          <w:pPr>
            <w:pStyle w:val="12"/>
            <w:adjustRightInd w:val="0"/>
            <w:snapToGrid w:val="0"/>
            <w:spacing w:line="576" w:lineRule="exact"/>
            <w:ind w:left="0" w:leftChars="0"/>
            <w:jc w:val="left"/>
          </w:pPr>
          <w:bookmarkStart w:id="18" w:name="_Toc15377196"/>
          <w:bookmarkStart w:id="19" w:name="_Toc15396599"/>
          <w:r>
            <w:fldChar w:fldCharType="begin"/>
          </w:r>
          <w:r>
            <w:instrText xml:space="preserve">TOC \o "1-2" \f \h \u </w:instrText>
          </w:r>
          <w:r>
            <w:fldChar w:fldCharType="separate"/>
          </w:r>
          <w:r>
            <w:fldChar w:fldCharType="begin"/>
          </w:r>
          <w:r>
            <w:instrText xml:space="preserve"> HYPERLINK \l "_Toc27070" </w:instrText>
          </w:r>
          <w:r>
            <w:fldChar w:fldCharType="separate"/>
          </w:r>
          <w:r>
            <w:rPr>
              <w:rFonts w:hint="eastAsia" w:ascii="仿宋" w:hAnsi="仿宋" w:eastAsia="仿宋"/>
              <w:color w:val="000000" w:themeColor="text1"/>
              <w:sz w:val="32"/>
              <w:szCs w:val="32"/>
            </w:rPr>
            <w:t>第一部分 部门概况</w:t>
          </w:r>
          <w:r>
            <w:rPr>
              <w:rFonts w:hint="eastAsia" w:ascii="仿宋" w:hAnsi="仿宋" w:eastAsia="仿宋"/>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_Toc27070 \h </w:instrText>
          </w:r>
          <w:r>
            <w:rPr>
              <w:rFonts w:hint="eastAsia"/>
              <w:color w:val="000000" w:themeColor="text1"/>
              <w:sz w:val="32"/>
              <w:szCs w:val="32"/>
            </w:rPr>
            <w:fldChar w:fldCharType="separate"/>
          </w:r>
          <w:r>
            <w:rPr>
              <w:color w:val="000000" w:themeColor="text1"/>
              <w:sz w:val="32"/>
              <w:szCs w:val="32"/>
            </w:rPr>
            <w:t>4</w:t>
          </w:r>
          <w:r>
            <w:rPr>
              <w:rFonts w:hint="eastAsia"/>
              <w:color w:val="000000" w:themeColor="text1"/>
              <w:sz w:val="32"/>
              <w:szCs w:val="32"/>
            </w:rPr>
            <w:fldChar w:fldCharType="end"/>
          </w:r>
          <w:r>
            <w:rPr>
              <w:rFonts w:hint="eastAsia"/>
              <w:color w:val="000000" w:themeColor="text1"/>
              <w:sz w:val="32"/>
              <w:szCs w:val="32"/>
            </w:rPr>
            <w:fldChar w:fldCharType="end"/>
          </w:r>
        </w:p>
        <w:p w14:paraId="3E41F173">
          <w:pPr>
            <w:pStyle w:val="12"/>
            <w:adjustRightInd w:val="0"/>
            <w:snapToGrid w:val="0"/>
            <w:spacing w:line="576" w:lineRule="exact"/>
            <w:jc w:val="left"/>
            <w:rPr>
              <w:color w:val="000000" w:themeColor="text1"/>
              <w:sz w:val="32"/>
              <w:szCs w:val="32"/>
            </w:rPr>
          </w:pPr>
          <w:r>
            <w:fldChar w:fldCharType="begin"/>
          </w:r>
          <w:r>
            <w:instrText xml:space="preserve"> HYPERLINK \l "_Toc17736" </w:instrText>
          </w:r>
          <w:r>
            <w:fldChar w:fldCharType="separate"/>
          </w:r>
          <w:r>
            <w:rPr>
              <w:rFonts w:hint="eastAsia"/>
              <w:color w:val="000000" w:themeColor="text1"/>
              <w:sz w:val="32"/>
              <w:szCs w:val="32"/>
            </w:rPr>
            <w:t>一、部门职责</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_Toc17736 \h </w:instrText>
          </w:r>
          <w:r>
            <w:rPr>
              <w:rFonts w:hint="eastAsia"/>
              <w:color w:val="000000" w:themeColor="text1"/>
              <w:sz w:val="32"/>
              <w:szCs w:val="32"/>
            </w:rPr>
            <w:fldChar w:fldCharType="separate"/>
          </w:r>
          <w:r>
            <w:rPr>
              <w:color w:val="000000" w:themeColor="text1"/>
              <w:sz w:val="32"/>
              <w:szCs w:val="32"/>
            </w:rPr>
            <w:t>4</w:t>
          </w:r>
          <w:r>
            <w:rPr>
              <w:rFonts w:hint="eastAsia"/>
              <w:color w:val="000000" w:themeColor="text1"/>
              <w:sz w:val="32"/>
              <w:szCs w:val="32"/>
            </w:rPr>
            <w:fldChar w:fldCharType="end"/>
          </w:r>
          <w:r>
            <w:rPr>
              <w:rFonts w:hint="eastAsia"/>
              <w:color w:val="000000" w:themeColor="text1"/>
              <w:sz w:val="32"/>
              <w:szCs w:val="32"/>
            </w:rPr>
            <w:fldChar w:fldCharType="end"/>
          </w:r>
        </w:p>
        <w:p w14:paraId="3B200AB4">
          <w:pPr>
            <w:pStyle w:val="12"/>
            <w:adjustRightInd w:val="0"/>
            <w:snapToGrid w:val="0"/>
            <w:spacing w:line="576" w:lineRule="exact"/>
            <w:jc w:val="left"/>
          </w:pPr>
          <w:r>
            <w:fldChar w:fldCharType="begin"/>
          </w:r>
          <w:r>
            <w:instrText xml:space="preserve"> HYPERLINK \l "_Toc18980" </w:instrText>
          </w:r>
          <w:r>
            <w:fldChar w:fldCharType="separate"/>
          </w:r>
          <w:r>
            <w:rPr>
              <w:rFonts w:hint="eastAsia"/>
              <w:color w:val="000000" w:themeColor="text1"/>
              <w:sz w:val="32"/>
              <w:szCs w:val="32"/>
            </w:rPr>
            <w:t>二、机构设置</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_Toc18980 \h </w:instrText>
          </w:r>
          <w:r>
            <w:rPr>
              <w:rFonts w:hint="eastAsia"/>
              <w:color w:val="000000" w:themeColor="text1"/>
              <w:sz w:val="32"/>
              <w:szCs w:val="32"/>
            </w:rPr>
            <w:fldChar w:fldCharType="separate"/>
          </w:r>
          <w:r>
            <w:rPr>
              <w:color w:val="000000" w:themeColor="text1"/>
              <w:sz w:val="32"/>
              <w:szCs w:val="32"/>
            </w:rPr>
            <w:t>5</w:t>
          </w:r>
          <w:r>
            <w:rPr>
              <w:rFonts w:hint="eastAsia"/>
              <w:color w:val="000000" w:themeColor="text1"/>
              <w:sz w:val="32"/>
              <w:szCs w:val="32"/>
            </w:rPr>
            <w:fldChar w:fldCharType="end"/>
          </w:r>
          <w:r>
            <w:rPr>
              <w:rFonts w:hint="eastAsia"/>
              <w:color w:val="000000" w:themeColor="text1"/>
              <w:sz w:val="32"/>
              <w:szCs w:val="32"/>
            </w:rPr>
            <w:fldChar w:fldCharType="end"/>
          </w:r>
        </w:p>
        <w:p w14:paraId="753FA513">
          <w:pPr>
            <w:pStyle w:val="11"/>
            <w:adjustRightInd w:val="0"/>
            <w:snapToGrid w:val="0"/>
            <w:spacing w:before="0" w:line="576" w:lineRule="exact"/>
            <w:jc w:val="left"/>
            <w:rPr>
              <w:color w:val="000000" w:themeColor="text1"/>
              <w:sz w:val="32"/>
              <w:szCs w:val="32"/>
            </w:rPr>
          </w:pPr>
          <w:r>
            <w:fldChar w:fldCharType="begin"/>
          </w:r>
          <w:r>
            <w:instrText xml:space="preserve"> HYPERLINK \l "_Toc21842" </w:instrText>
          </w:r>
          <w:r>
            <w:fldChar w:fldCharType="separate"/>
          </w:r>
          <w:r>
            <w:rPr>
              <w:rFonts w:hint="eastAsia"/>
              <w:color w:val="000000" w:themeColor="text1"/>
              <w:sz w:val="32"/>
              <w:szCs w:val="32"/>
            </w:rPr>
            <w:t>第二部分 2022年度部门决算情况说明</w:t>
          </w:r>
          <w:r>
            <w:rPr>
              <w:rFonts w:hint="eastAsia"/>
              <w:color w:val="000000" w:themeColor="text1"/>
              <w:sz w:val="32"/>
              <w:szCs w:val="32"/>
            </w:rPr>
            <w:tab/>
          </w:r>
          <w:r>
            <w:rPr>
              <w:rFonts w:hint="eastAsia" w:ascii="Times New Roman" w:hAnsi="Times New Roman" w:eastAsia="宋体"/>
              <w:color w:val="000000" w:themeColor="text1"/>
              <w:sz w:val="32"/>
              <w:szCs w:val="32"/>
            </w:rPr>
            <w:fldChar w:fldCharType="begin"/>
          </w:r>
          <w:r>
            <w:rPr>
              <w:rFonts w:hint="eastAsia" w:ascii="Times New Roman" w:hAnsi="Times New Roman" w:eastAsia="宋体"/>
              <w:color w:val="000000" w:themeColor="text1"/>
              <w:sz w:val="32"/>
              <w:szCs w:val="32"/>
            </w:rPr>
            <w:instrText xml:space="preserve"> PAGEREF _Toc21842 \h </w:instrText>
          </w:r>
          <w:r>
            <w:rPr>
              <w:rFonts w:hint="eastAsia" w:ascii="Times New Roman" w:hAnsi="Times New Roman" w:eastAsia="宋体"/>
              <w:color w:val="000000" w:themeColor="text1"/>
              <w:sz w:val="32"/>
              <w:szCs w:val="32"/>
            </w:rPr>
            <w:fldChar w:fldCharType="separate"/>
          </w:r>
          <w:r>
            <w:rPr>
              <w:rFonts w:ascii="Times New Roman" w:hAnsi="Times New Roman" w:eastAsia="宋体"/>
              <w:color w:val="000000" w:themeColor="text1"/>
              <w:sz w:val="32"/>
              <w:szCs w:val="32"/>
            </w:rPr>
            <w:t>6</w:t>
          </w:r>
          <w:r>
            <w:rPr>
              <w:rFonts w:hint="eastAsia" w:ascii="Times New Roman" w:hAnsi="Times New Roman" w:eastAsia="宋体"/>
              <w:color w:val="000000" w:themeColor="text1"/>
              <w:sz w:val="32"/>
              <w:szCs w:val="32"/>
            </w:rPr>
            <w:fldChar w:fldCharType="end"/>
          </w:r>
          <w:r>
            <w:rPr>
              <w:rFonts w:hint="eastAsia" w:ascii="Times New Roman" w:hAnsi="Times New Roman" w:eastAsia="宋体"/>
              <w:color w:val="000000" w:themeColor="text1"/>
              <w:sz w:val="32"/>
              <w:szCs w:val="32"/>
            </w:rPr>
            <w:fldChar w:fldCharType="end"/>
          </w:r>
        </w:p>
        <w:p w14:paraId="7ACAA72B">
          <w:pPr>
            <w:pStyle w:val="12"/>
            <w:adjustRightInd w:val="0"/>
            <w:snapToGrid w:val="0"/>
            <w:spacing w:line="576" w:lineRule="exact"/>
            <w:jc w:val="left"/>
            <w:rPr>
              <w:color w:val="000000" w:themeColor="text1"/>
              <w:sz w:val="32"/>
              <w:szCs w:val="32"/>
            </w:rPr>
          </w:pPr>
          <w:r>
            <w:fldChar w:fldCharType="begin"/>
          </w:r>
          <w:r>
            <w:instrText xml:space="preserve"> HYPERLINK \l "_Toc1526" </w:instrText>
          </w:r>
          <w:r>
            <w:fldChar w:fldCharType="separate"/>
          </w:r>
          <w:r>
            <w:rPr>
              <w:rFonts w:hint="eastAsia"/>
              <w:color w:val="000000" w:themeColor="text1"/>
              <w:sz w:val="32"/>
              <w:szCs w:val="32"/>
            </w:rPr>
            <w:t>一、收入支出决算总体情况说明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_Toc1526 \h </w:instrText>
          </w:r>
          <w:r>
            <w:rPr>
              <w:rFonts w:hint="eastAsia"/>
              <w:color w:val="000000" w:themeColor="text1"/>
              <w:sz w:val="32"/>
              <w:szCs w:val="32"/>
            </w:rPr>
            <w:fldChar w:fldCharType="separate"/>
          </w:r>
          <w:r>
            <w:rPr>
              <w:color w:val="000000" w:themeColor="text1"/>
              <w:sz w:val="32"/>
              <w:szCs w:val="32"/>
            </w:rPr>
            <w:t>6</w:t>
          </w:r>
          <w:r>
            <w:rPr>
              <w:rFonts w:hint="eastAsia"/>
              <w:color w:val="000000" w:themeColor="text1"/>
              <w:sz w:val="32"/>
              <w:szCs w:val="32"/>
            </w:rPr>
            <w:fldChar w:fldCharType="end"/>
          </w:r>
          <w:r>
            <w:rPr>
              <w:rFonts w:hint="eastAsia"/>
              <w:color w:val="000000" w:themeColor="text1"/>
              <w:sz w:val="32"/>
              <w:szCs w:val="32"/>
            </w:rPr>
            <w:fldChar w:fldCharType="end"/>
          </w:r>
        </w:p>
        <w:p w14:paraId="1A326C14">
          <w:pPr>
            <w:pStyle w:val="12"/>
            <w:adjustRightInd w:val="0"/>
            <w:snapToGrid w:val="0"/>
            <w:spacing w:line="576" w:lineRule="exact"/>
            <w:jc w:val="left"/>
            <w:rPr>
              <w:color w:val="000000" w:themeColor="text1"/>
              <w:sz w:val="32"/>
              <w:szCs w:val="32"/>
            </w:rPr>
          </w:pPr>
          <w:r>
            <w:fldChar w:fldCharType="begin"/>
          </w:r>
          <w:r>
            <w:instrText xml:space="preserve"> HYPERLINK \l "_Toc24371" </w:instrText>
          </w:r>
          <w:r>
            <w:fldChar w:fldCharType="separate"/>
          </w:r>
          <w:r>
            <w:rPr>
              <w:rFonts w:hint="eastAsia"/>
              <w:color w:val="000000" w:themeColor="text1"/>
              <w:sz w:val="32"/>
              <w:szCs w:val="32"/>
            </w:rPr>
            <w:t>二、收入决算情况说明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_Toc24371 \h </w:instrText>
          </w:r>
          <w:r>
            <w:rPr>
              <w:rFonts w:hint="eastAsia"/>
              <w:color w:val="000000" w:themeColor="text1"/>
              <w:sz w:val="32"/>
              <w:szCs w:val="32"/>
            </w:rPr>
            <w:fldChar w:fldCharType="separate"/>
          </w:r>
          <w:r>
            <w:rPr>
              <w:color w:val="000000" w:themeColor="text1"/>
              <w:sz w:val="32"/>
              <w:szCs w:val="32"/>
            </w:rPr>
            <w:t>6</w:t>
          </w:r>
          <w:r>
            <w:rPr>
              <w:rFonts w:hint="eastAsia"/>
              <w:color w:val="000000" w:themeColor="text1"/>
              <w:sz w:val="32"/>
              <w:szCs w:val="32"/>
            </w:rPr>
            <w:fldChar w:fldCharType="end"/>
          </w:r>
          <w:r>
            <w:rPr>
              <w:rFonts w:hint="eastAsia"/>
              <w:color w:val="000000" w:themeColor="text1"/>
              <w:sz w:val="32"/>
              <w:szCs w:val="32"/>
            </w:rPr>
            <w:fldChar w:fldCharType="end"/>
          </w:r>
        </w:p>
        <w:p w14:paraId="748EB35E">
          <w:pPr>
            <w:pStyle w:val="12"/>
            <w:adjustRightInd w:val="0"/>
            <w:snapToGrid w:val="0"/>
            <w:spacing w:line="576" w:lineRule="exact"/>
            <w:jc w:val="left"/>
            <w:rPr>
              <w:color w:val="000000" w:themeColor="text1"/>
              <w:sz w:val="32"/>
              <w:szCs w:val="32"/>
            </w:rPr>
          </w:pPr>
          <w:r>
            <w:fldChar w:fldCharType="begin"/>
          </w:r>
          <w:r>
            <w:instrText xml:space="preserve"> HYPERLINK \l "_Toc9877" </w:instrText>
          </w:r>
          <w:r>
            <w:fldChar w:fldCharType="separate"/>
          </w:r>
          <w:r>
            <w:rPr>
              <w:rFonts w:hint="eastAsia"/>
              <w:color w:val="000000" w:themeColor="text1"/>
              <w:sz w:val="32"/>
              <w:szCs w:val="32"/>
            </w:rPr>
            <w:t>三、支出决算情况说明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_Toc9877 \h </w:instrText>
          </w:r>
          <w:r>
            <w:rPr>
              <w:rFonts w:hint="eastAsia"/>
              <w:color w:val="000000" w:themeColor="text1"/>
              <w:sz w:val="32"/>
              <w:szCs w:val="32"/>
            </w:rPr>
            <w:fldChar w:fldCharType="separate"/>
          </w:r>
          <w:r>
            <w:rPr>
              <w:color w:val="000000" w:themeColor="text1"/>
              <w:sz w:val="32"/>
              <w:szCs w:val="32"/>
            </w:rPr>
            <w:t>7</w:t>
          </w:r>
          <w:r>
            <w:rPr>
              <w:rFonts w:hint="eastAsia"/>
              <w:color w:val="000000" w:themeColor="text1"/>
              <w:sz w:val="32"/>
              <w:szCs w:val="32"/>
            </w:rPr>
            <w:fldChar w:fldCharType="end"/>
          </w:r>
          <w:r>
            <w:rPr>
              <w:rFonts w:hint="eastAsia"/>
              <w:color w:val="000000" w:themeColor="text1"/>
              <w:sz w:val="32"/>
              <w:szCs w:val="32"/>
            </w:rPr>
            <w:fldChar w:fldCharType="end"/>
          </w:r>
        </w:p>
        <w:p w14:paraId="345E3AB9">
          <w:pPr>
            <w:pStyle w:val="12"/>
            <w:adjustRightInd w:val="0"/>
            <w:snapToGrid w:val="0"/>
            <w:spacing w:line="576" w:lineRule="exact"/>
            <w:jc w:val="left"/>
            <w:rPr>
              <w:color w:val="000000" w:themeColor="text1"/>
              <w:sz w:val="32"/>
              <w:szCs w:val="32"/>
            </w:rPr>
          </w:pPr>
          <w:r>
            <w:fldChar w:fldCharType="begin"/>
          </w:r>
          <w:r>
            <w:instrText xml:space="preserve"> HYPERLINK \l "_Toc900" </w:instrText>
          </w:r>
          <w:r>
            <w:fldChar w:fldCharType="separate"/>
          </w:r>
          <w:r>
            <w:rPr>
              <w:rFonts w:hint="eastAsia"/>
              <w:color w:val="000000" w:themeColor="text1"/>
              <w:sz w:val="32"/>
              <w:szCs w:val="32"/>
            </w:rPr>
            <w:t>四、财政拨款收入支出决算总体情况说明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_Toc900 \h </w:instrText>
          </w:r>
          <w:r>
            <w:rPr>
              <w:rFonts w:hint="eastAsia"/>
              <w:color w:val="000000" w:themeColor="text1"/>
              <w:sz w:val="32"/>
              <w:szCs w:val="32"/>
            </w:rPr>
            <w:fldChar w:fldCharType="separate"/>
          </w:r>
          <w:r>
            <w:rPr>
              <w:color w:val="000000" w:themeColor="text1"/>
              <w:sz w:val="32"/>
              <w:szCs w:val="32"/>
            </w:rPr>
            <w:t>7</w:t>
          </w:r>
          <w:r>
            <w:rPr>
              <w:rFonts w:hint="eastAsia"/>
              <w:color w:val="000000" w:themeColor="text1"/>
              <w:sz w:val="32"/>
              <w:szCs w:val="32"/>
            </w:rPr>
            <w:fldChar w:fldCharType="end"/>
          </w:r>
          <w:r>
            <w:rPr>
              <w:rFonts w:hint="eastAsia"/>
              <w:color w:val="000000" w:themeColor="text1"/>
              <w:sz w:val="32"/>
              <w:szCs w:val="32"/>
            </w:rPr>
            <w:fldChar w:fldCharType="end"/>
          </w:r>
        </w:p>
        <w:p w14:paraId="22120EBB">
          <w:pPr>
            <w:pStyle w:val="12"/>
            <w:adjustRightInd w:val="0"/>
            <w:snapToGrid w:val="0"/>
            <w:spacing w:line="576" w:lineRule="exact"/>
            <w:jc w:val="left"/>
            <w:rPr>
              <w:color w:val="000000" w:themeColor="text1"/>
              <w:sz w:val="32"/>
              <w:szCs w:val="32"/>
            </w:rPr>
          </w:pPr>
          <w:r>
            <w:fldChar w:fldCharType="begin"/>
          </w:r>
          <w:r>
            <w:instrText xml:space="preserve"> HYPERLINK \l "_Toc30655" </w:instrText>
          </w:r>
          <w:r>
            <w:fldChar w:fldCharType="separate"/>
          </w:r>
          <w:r>
            <w:rPr>
              <w:rFonts w:hint="eastAsia"/>
              <w:color w:val="000000" w:themeColor="text1"/>
              <w:sz w:val="32"/>
              <w:szCs w:val="32"/>
            </w:rPr>
            <w:t>五、一般公共预算财政拨款支出决算情况说明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_Toc30655 \h </w:instrText>
          </w:r>
          <w:r>
            <w:rPr>
              <w:rFonts w:hint="eastAsia"/>
              <w:color w:val="000000" w:themeColor="text1"/>
              <w:sz w:val="32"/>
              <w:szCs w:val="32"/>
            </w:rPr>
            <w:fldChar w:fldCharType="separate"/>
          </w:r>
          <w:r>
            <w:rPr>
              <w:color w:val="000000" w:themeColor="text1"/>
              <w:sz w:val="32"/>
              <w:szCs w:val="32"/>
            </w:rPr>
            <w:t>8</w:t>
          </w:r>
          <w:r>
            <w:rPr>
              <w:rFonts w:hint="eastAsia"/>
              <w:color w:val="000000" w:themeColor="text1"/>
              <w:sz w:val="32"/>
              <w:szCs w:val="32"/>
            </w:rPr>
            <w:fldChar w:fldCharType="end"/>
          </w:r>
          <w:r>
            <w:rPr>
              <w:rFonts w:hint="eastAsia"/>
              <w:color w:val="000000" w:themeColor="text1"/>
              <w:sz w:val="32"/>
              <w:szCs w:val="32"/>
            </w:rPr>
            <w:fldChar w:fldCharType="end"/>
          </w:r>
        </w:p>
        <w:p w14:paraId="67F972EF">
          <w:pPr>
            <w:pStyle w:val="12"/>
            <w:adjustRightInd w:val="0"/>
            <w:snapToGrid w:val="0"/>
            <w:spacing w:line="576" w:lineRule="exact"/>
            <w:jc w:val="left"/>
            <w:rPr>
              <w:color w:val="000000" w:themeColor="text1"/>
              <w:sz w:val="32"/>
              <w:szCs w:val="32"/>
            </w:rPr>
          </w:pPr>
          <w:r>
            <w:fldChar w:fldCharType="begin"/>
          </w:r>
          <w:r>
            <w:instrText xml:space="preserve"> HYPERLINK \l "_Toc32741" </w:instrText>
          </w:r>
          <w:r>
            <w:fldChar w:fldCharType="separate"/>
          </w:r>
          <w:r>
            <w:rPr>
              <w:rFonts w:hint="eastAsia"/>
              <w:color w:val="000000" w:themeColor="text1"/>
              <w:sz w:val="32"/>
              <w:szCs w:val="32"/>
            </w:rPr>
            <w:t>六、一般公共预算财政拨款基本支出决算情况说明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_Toc32741 \h </w:instrText>
          </w:r>
          <w:r>
            <w:rPr>
              <w:rFonts w:hint="eastAsia"/>
              <w:color w:val="000000" w:themeColor="text1"/>
              <w:sz w:val="32"/>
              <w:szCs w:val="32"/>
            </w:rPr>
            <w:fldChar w:fldCharType="separate"/>
          </w:r>
          <w:r>
            <w:rPr>
              <w:color w:val="000000" w:themeColor="text1"/>
              <w:sz w:val="32"/>
              <w:szCs w:val="32"/>
            </w:rPr>
            <w:t>11</w:t>
          </w:r>
          <w:r>
            <w:rPr>
              <w:rFonts w:hint="eastAsia"/>
              <w:color w:val="000000" w:themeColor="text1"/>
              <w:sz w:val="32"/>
              <w:szCs w:val="32"/>
            </w:rPr>
            <w:fldChar w:fldCharType="end"/>
          </w:r>
          <w:r>
            <w:rPr>
              <w:rFonts w:hint="eastAsia"/>
              <w:color w:val="000000" w:themeColor="text1"/>
              <w:sz w:val="32"/>
              <w:szCs w:val="32"/>
            </w:rPr>
            <w:fldChar w:fldCharType="end"/>
          </w:r>
        </w:p>
        <w:p w14:paraId="726104B6">
          <w:pPr>
            <w:pStyle w:val="12"/>
            <w:adjustRightInd w:val="0"/>
            <w:snapToGrid w:val="0"/>
            <w:spacing w:line="576" w:lineRule="exact"/>
            <w:jc w:val="left"/>
            <w:rPr>
              <w:color w:val="000000" w:themeColor="text1"/>
              <w:sz w:val="32"/>
              <w:szCs w:val="32"/>
            </w:rPr>
          </w:pPr>
          <w:r>
            <w:fldChar w:fldCharType="begin"/>
          </w:r>
          <w:r>
            <w:instrText xml:space="preserve"> HYPERLINK \l "_Toc26403" </w:instrText>
          </w:r>
          <w:r>
            <w:fldChar w:fldCharType="separate"/>
          </w:r>
          <w:r>
            <w:rPr>
              <w:rFonts w:hint="eastAsia"/>
              <w:color w:val="000000" w:themeColor="text1"/>
              <w:sz w:val="32"/>
              <w:szCs w:val="32"/>
            </w:rPr>
            <w:t>七、财政拨款“三公”经费支出决算情况说明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_Toc26403 \h </w:instrText>
          </w:r>
          <w:r>
            <w:rPr>
              <w:rFonts w:hint="eastAsia"/>
              <w:color w:val="000000" w:themeColor="text1"/>
              <w:sz w:val="32"/>
              <w:szCs w:val="32"/>
            </w:rPr>
            <w:fldChar w:fldCharType="separate"/>
          </w:r>
          <w:r>
            <w:rPr>
              <w:color w:val="000000" w:themeColor="text1"/>
              <w:sz w:val="32"/>
              <w:szCs w:val="32"/>
            </w:rPr>
            <w:t>12</w:t>
          </w:r>
          <w:r>
            <w:rPr>
              <w:rFonts w:hint="eastAsia"/>
              <w:color w:val="000000" w:themeColor="text1"/>
              <w:sz w:val="32"/>
              <w:szCs w:val="32"/>
            </w:rPr>
            <w:fldChar w:fldCharType="end"/>
          </w:r>
          <w:r>
            <w:rPr>
              <w:rFonts w:hint="eastAsia"/>
              <w:color w:val="000000" w:themeColor="text1"/>
              <w:sz w:val="32"/>
              <w:szCs w:val="32"/>
            </w:rPr>
            <w:fldChar w:fldCharType="end"/>
          </w:r>
        </w:p>
        <w:p w14:paraId="47886262">
          <w:pPr>
            <w:pStyle w:val="12"/>
            <w:adjustRightInd w:val="0"/>
            <w:snapToGrid w:val="0"/>
            <w:spacing w:line="576" w:lineRule="exact"/>
            <w:jc w:val="left"/>
            <w:rPr>
              <w:color w:val="000000" w:themeColor="text1"/>
              <w:sz w:val="32"/>
              <w:szCs w:val="32"/>
            </w:rPr>
          </w:pPr>
          <w:r>
            <w:fldChar w:fldCharType="begin"/>
          </w:r>
          <w:r>
            <w:instrText xml:space="preserve"> HYPERLINK \l "_Toc26573" </w:instrText>
          </w:r>
          <w:r>
            <w:fldChar w:fldCharType="separate"/>
          </w:r>
          <w:r>
            <w:rPr>
              <w:rFonts w:hint="eastAsia"/>
              <w:color w:val="000000" w:themeColor="text1"/>
              <w:sz w:val="32"/>
              <w:szCs w:val="32"/>
            </w:rPr>
            <w:t>八、政府性基金预算支出决算情况说明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_Toc26573 \h </w:instrText>
          </w:r>
          <w:r>
            <w:rPr>
              <w:rFonts w:hint="eastAsia"/>
              <w:color w:val="000000" w:themeColor="text1"/>
              <w:sz w:val="32"/>
              <w:szCs w:val="32"/>
            </w:rPr>
            <w:fldChar w:fldCharType="separate"/>
          </w:r>
          <w:r>
            <w:rPr>
              <w:color w:val="000000" w:themeColor="text1"/>
              <w:sz w:val="32"/>
              <w:szCs w:val="32"/>
            </w:rPr>
            <w:t>14</w:t>
          </w:r>
          <w:r>
            <w:rPr>
              <w:rFonts w:hint="eastAsia"/>
              <w:color w:val="000000" w:themeColor="text1"/>
              <w:sz w:val="32"/>
              <w:szCs w:val="32"/>
            </w:rPr>
            <w:fldChar w:fldCharType="end"/>
          </w:r>
          <w:r>
            <w:rPr>
              <w:rFonts w:hint="eastAsia"/>
              <w:color w:val="000000" w:themeColor="text1"/>
              <w:sz w:val="32"/>
              <w:szCs w:val="32"/>
            </w:rPr>
            <w:fldChar w:fldCharType="end"/>
          </w:r>
        </w:p>
        <w:p w14:paraId="0B2CACF1">
          <w:pPr>
            <w:pStyle w:val="12"/>
            <w:adjustRightInd w:val="0"/>
            <w:snapToGrid w:val="0"/>
            <w:spacing w:line="576" w:lineRule="exact"/>
            <w:jc w:val="left"/>
            <w:rPr>
              <w:color w:val="000000" w:themeColor="text1"/>
              <w:sz w:val="32"/>
              <w:szCs w:val="32"/>
            </w:rPr>
          </w:pPr>
          <w:r>
            <w:fldChar w:fldCharType="begin"/>
          </w:r>
          <w:r>
            <w:instrText xml:space="preserve"> HYPERLINK \l "_Toc25170" </w:instrText>
          </w:r>
          <w:r>
            <w:fldChar w:fldCharType="separate"/>
          </w:r>
          <w:r>
            <w:rPr>
              <w:rFonts w:hint="eastAsia"/>
              <w:color w:val="000000" w:themeColor="text1"/>
              <w:sz w:val="32"/>
              <w:szCs w:val="32"/>
            </w:rPr>
            <w:t>九、国有资本经营预算支出决算情况说明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_Toc25170 \h </w:instrText>
          </w:r>
          <w:r>
            <w:rPr>
              <w:rFonts w:hint="eastAsia"/>
              <w:color w:val="000000" w:themeColor="text1"/>
              <w:sz w:val="32"/>
              <w:szCs w:val="32"/>
            </w:rPr>
            <w:fldChar w:fldCharType="separate"/>
          </w:r>
          <w:r>
            <w:rPr>
              <w:color w:val="000000" w:themeColor="text1"/>
              <w:sz w:val="32"/>
              <w:szCs w:val="32"/>
            </w:rPr>
            <w:t>14</w:t>
          </w:r>
          <w:r>
            <w:rPr>
              <w:rFonts w:hint="eastAsia"/>
              <w:color w:val="000000" w:themeColor="text1"/>
              <w:sz w:val="32"/>
              <w:szCs w:val="32"/>
            </w:rPr>
            <w:fldChar w:fldCharType="end"/>
          </w:r>
          <w:r>
            <w:rPr>
              <w:rFonts w:hint="eastAsia"/>
              <w:color w:val="000000" w:themeColor="text1"/>
              <w:sz w:val="32"/>
              <w:szCs w:val="32"/>
            </w:rPr>
            <w:fldChar w:fldCharType="end"/>
          </w:r>
        </w:p>
        <w:p w14:paraId="69FDA271">
          <w:pPr>
            <w:pStyle w:val="12"/>
            <w:adjustRightInd w:val="0"/>
            <w:snapToGrid w:val="0"/>
            <w:spacing w:line="576" w:lineRule="exact"/>
            <w:jc w:val="left"/>
            <w:rPr>
              <w:rFonts w:hint="eastAsia"/>
              <w:color w:val="000000" w:themeColor="text1"/>
              <w:sz w:val="32"/>
              <w:szCs w:val="32"/>
            </w:rPr>
          </w:pPr>
          <w:r>
            <w:fldChar w:fldCharType="begin"/>
          </w:r>
          <w:r>
            <w:instrText xml:space="preserve"> HYPERLINK \l "_Toc24103" </w:instrText>
          </w:r>
          <w:r>
            <w:fldChar w:fldCharType="separate"/>
          </w:r>
          <w:r>
            <w:rPr>
              <w:rFonts w:hint="eastAsia"/>
              <w:color w:val="000000" w:themeColor="text1"/>
              <w:sz w:val="32"/>
              <w:szCs w:val="32"/>
            </w:rPr>
            <w:t>十、其他重要事项的情况说明</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_Toc24103 \h </w:instrText>
          </w:r>
          <w:r>
            <w:rPr>
              <w:rFonts w:hint="eastAsia"/>
              <w:color w:val="000000" w:themeColor="text1"/>
              <w:sz w:val="32"/>
              <w:szCs w:val="32"/>
            </w:rPr>
            <w:fldChar w:fldCharType="separate"/>
          </w:r>
          <w:r>
            <w:rPr>
              <w:color w:val="000000" w:themeColor="text1"/>
              <w:sz w:val="32"/>
              <w:szCs w:val="32"/>
            </w:rPr>
            <w:t>14</w:t>
          </w:r>
          <w:r>
            <w:rPr>
              <w:rFonts w:hint="eastAsia"/>
              <w:color w:val="000000" w:themeColor="text1"/>
              <w:sz w:val="32"/>
              <w:szCs w:val="32"/>
            </w:rPr>
            <w:fldChar w:fldCharType="end"/>
          </w:r>
          <w:r>
            <w:rPr>
              <w:rFonts w:hint="eastAsia"/>
              <w:color w:val="000000" w:themeColor="text1"/>
              <w:sz w:val="32"/>
              <w:szCs w:val="32"/>
            </w:rPr>
            <w:fldChar w:fldCharType="end"/>
          </w:r>
        </w:p>
        <w:p w14:paraId="14AE3F81">
          <w:pPr>
            <w:pStyle w:val="11"/>
            <w:adjustRightInd w:val="0"/>
            <w:snapToGrid w:val="0"/>
            <w:spacing w:before="0" w:line="576" w:lineRule="exact"/>
            <w:jc w:val="left"/>
            <w:rPr>
              <w:rFonts w:hint="eastAsia"/>
            </w:rPr>
          </w:pPr>
          <w:r>
            <w:rPr>
              <w:rFonts w:hint="eastAsia"/>
            </w:rPr>
            <w:t xml:space="preserve">       （一）机关运行经费支出情况</w:t>
          </w:r>
          <w:r>
            <w:rPr>
              <w:rFonts w:hint="eastAsia"/>
            </w:rPr>
            <w:tab/>
          </w:r>
          <w:r>
            <w:rPr>
              <w:rFonts w:hint="eastAsia"/>
            </w:rPr>
            <w:fldChar w:fldCharType="begin"/>
          </w:r>
          <w:r>
            <w:rPr>
              <w:rFonts w:hint="eastAsia"/>
            </w:rPr>
            <w:instrText xml:space="preserve"> PAGEREF _Toc24103 \h </w:instrText>
          </w:r>
          <w:r>
            <w:rPr>
              <w:rFonts w:hint="eastAsia"/>
            </w:rPr>
            <w:fldChar w:fldCharType="separate"/>
          </w:r>
          <w:r>
            <w:t>14</w:t>
          </w:r>
          <w:r>
            <w:rPr>
              <w:rFonts w:hint="eastAsia"/>
            </w:rPr>
            <w:fldChar w:fldCharType="end"/>
          </w:r>
          <w:r>
            <w:rPr>
              <w:rFonts w:hint="eastAsia"/>
            </w:rPr>
            <w:t xml:space="preserve">       </w:t>
          </w:r>
        </w:p>
        <w:p w14:paraId="3D9CEAC8">
          <w:pPr>
            <w:pStyle w:val="11"/>
            <w:adjustRightInd w:val="0"/>
            <w:snapToGrid w:val="0"/>
            <w:spacing w:before="0" w:line="576" w:lineRule="exact"/>
            <w:ind w:firstLine="980" w:firstLineChars="350"/>
            <w:jc w:val="left"/>
            <w:rPr>
              <w:rFonts w:hint="eastAsia"/>
            </w:rPr>
          </w:pPr>
          <w:r>
            <w:rPr>
              <w:rFonts w:hint="eastAsia"/>
            </w:rPr>
            <w:t>（二）政府采购支出情况</w:t>
          </w:r>
          <w:r>
            <w:rPr>
              <w:rFonts w:hint="eastAsia"/>
            </w:rPr>
            <w:tab/>
          </w:r>
          <w:r>
            <w:rPr>
              <w:rFonts w:hint="eastAsia"/>
            </w:rPr>
            <w:fldChar w:fldCharType="begin"/>
          </w:r>
          <w:r>
            <w:rPr>
              <w:rFonts w:hint="eastAsia"/>
            </w:rPr>
            <w:instrText xml:space="preserve"> PAGEREF _Toc24103 \h </w:instrText>
          </w:r>
          <w:r>
            <w:rPr>
              <w:rFonts w:hint="eastAsia"/>
            </w:rPr>
            <w:fldChar w:fldCharType="separate"/>
          </w:r>
          <w:r>
            <w:t>14</w:t>
          </w:r>
          <w:r>
            <w:rPr>
              <w:rFonts w:hint="eastAsia"/>
            </w:rPr>
            <w:fldChar w:fldCharType="end"/>
          </w:r>
        </w:p>
        <w:p w14:paraId="03C6450F">
          <w:pPr>
            <w:pStyle w:val="11"/>
            <w:adjustRightInd w:val="0"/>
            <w:snapToGrid w:val="0"/>
            <w:spacing w:before="0" w:line="576" w:lineRule="exact"/>
            <w:ind w:firstLine="980" w:firstLineChars="350"/>
            <w:jc w:val="left"/>
            <w:rPr>
              <w:rFonts w:hint="eastAsia"/>
            </w:rPr>
          </w:pPr>
          <w:r>
            <w:rPr>
              <w:rFonts w:hint="eastAsia"/>
            </w:rPr>
            <w:t>（三）国有资金占有使用情况</w:t>
          </w:r>
          <w:r>
            <w:rPr>
              <w:rFonts w:hint="eastAsia"/>
            </w:rPr>
            <w:tab/>
          </w:r>
          <w:r>
            <w:rPr>
              <w:rFonts w:hint="eastAsia"/>
            </w:rPr>
            <w:fldChar w:fldCharType="begin"/>
          </w:r>
          <w:r>
            <w:rPr>
              <w:rFonts w:hint="eastAsia"/>
            </w:rPr>
            <w:instrText xml:space="preserve"> PAGEREF _Toc24103 \h </w:instrText>
          </w:r>
          <w:r>
            <w:rPr>
              <w:rFonts w:hint="eastAsia"/>
            </w:rPr>
            <w:fldChar w:fldCharType="separate"/>
          </w:r>
          <w:r>
            <w:t>14</w:t>
          </w:r>
          <w:r>
            <w:rPr>
              <w:rFonts w:hint="eastAsia"/>
            </w:rPr>
            <w:fldChar w:fldCharType="end"/>
          </w:r>
        </w:p>
        <w:p w14:paraId="64AD5377">
          <w:pPr>
            <w:pStyle w:val="11"/>
            <w:adjustRightInd w:val="0"/>
            <w:snapToGrid w:val="0"/>
            <w:spacing w:before="0" w:line="576" w:lineRule="exact"/>
            <w:ind w:firstLine="980" w:firstLineChars="350"/>
            <w:jc w:val="left"/>
            <w:rPr>
              <w:rFonts w:hint="eastAsia"/>
            </w:rPr>
          </w:pPr>
          <w:r>
            <w:rPr>
              <w:rFonts w:hint="eastAsia"/>
            </w:rPr>
            <w:t>（四）预算绩效管理情况</w:t>
          </w:r>
          <w:r>
            <w:rPr>
              <w:rFonts w:hint="eastAsia"/>
            </w:rPr>
            <w:tab/>
          </w:r>
          <w:r>
            <w:rPr>
              <w:rFonts w:hint="eastAsia"/>
            </w:rPr>
            <w:fldChar w:fldCharType="begin"/>
          </w:r>
          <w:r>
            <w:rPr>
              <w:rFonts w:hint="eastAsia"/>
            </w:rPr>
            <w:instrText xml:space="preserve"> PAGEREF _Toc24103 \h </w:instrText>
          </w:r>
          <w:r>
            <w:rPr>
              <w:rFonts w:hint="eastAsia"/>
            </w:rPr>
            <w:fldChar w:fldCharType="separate"/>
          </w:r>
          <w:r>
            <w:t>1</w:t>
          </w:r>
          <w:r>
            <w:rPr>
              <w:rFonts w:hint="eastAsia"/>
            </w:rPr>
            <w:t>5</w:t>
          </w:r>
          <w:r>
            <w:rPr>
              <w:rFonts w:hint="eastAsia"/>
            </w:rPr>
            <w:fldChar w:fldCharType="end"/>
          </w:r>
          <w:r>
            <w:rPr>
              <w:rFonts w:hint="eastAsia"/>
            </w:rPr>
            <w:t xml:space="preserve"> </w:t>
          </w:r>
        </w:p>
        <w:p w14:paraId="0AA07E65">
          <w:pPr>
            <w:pStyle w:val="11"/>
            <w:adjustRightInd w:val="0"/>
            <w:snapToGrid w:val="0"/>
            <w:spacing w:before="0" w:line="576" w:lineRule="exact"/>
            <w:jc w:val="left"/>
          </w:pPr>
          <w:r>
            <w:fldChar w:fldCharType="begin"/>
          </w:r>
          <w:r>
            <w:instrText xml:space="preserve"> HYPERLINK \l "_Toc17832" </w:instrText>
          </w:r>
          <w:r>
            <w:fldChar w:fldCharType="separate"/>
          </w:r>
          <w:r>
            <w:rPr>
              <w:rFonts w:hint="eastAsia"/>
              <w:color w:val="000000" w:themeColor="text1"/>
              <w:sz w:val="32"/>
              <w:szCs w:val="32"/>
            </w:rPr>
            <w:t>第三部分 名词解释</w:t>
          </w:r>
          <w:r>
            <w:rPr>
              <w:rFonts w:hint="eastAsia"/>
              <w:color w:val="000000" w:themeColor="text1"/>
              <w:sz w:val="32"/>
              <w:szCs w:val="32"/>
            </w:rPr>
            <w:tab/>
          </w:r>
          <w:r>
            <w:rPr>
              <w:rFonts w:hint="eastAsia" w:ascii="Times New Roman" w:hAnsi="Times New Roman" w:eastAsia="宋体"/>
              <w:color w:val="000000" w:themeColor="text1"/>
              <w:sz w:val="32"/>
              <w:szCs w:val="32"/>
            </w:rPr>
            <w:fldChar w:fldCharType="begin"/>
          </w:r>
          <w:r>
            <w:rPr>
              <w:rFonts w:hint="eastAsia" w:ascii="Times New Roman" w:hAnsi="Times New Roman" w:eastAsia="宋体"/>
              <w:color w:val="000000" w:themeColor="text1"/>
              <w:sz w:val="32"/>
              <w:szCs w:val="32"/>
            </w:rPr>
            <w:instrText xml:space="preserve"> PAGEREF _Toc17832 \h </w:instrText>
          </w:r>
          <w:r>
            <w:rPr>
              <w:rFonts w:hint="eastAsia" w:ascii="Times New Roman" w:hAnsi="Times New Roman" w:eastAsia="宋体"/>
              <w:color w:val="000000" w:themeColor="text1"/>
              <w:sz w:val="32"/>
              <w:szCs w:val="32"/>
            </w:rPr>
            <w:fldChar w:fldCharType="separate"/>
          </w:r>
          <w:r>
            <w:rPr>
              <w:rFonts w:ascii="Times New Roman" w:hAnsi="Times New Roman" w:eastAsia="宋体"/>
              <w:color w:val="000000" w:themeColor="text1"/>
              <w:sz w:val="32"/>
              <w:szCs w:val="32"/>
            </w:rPr>
            <w:t>17</w:t>
          </w:r>
          <w:r>
            <w:rPr>
              <w:rFonts w:hint="eastAsia" w:ascii="Times New Roman" w:hAnsi="Times New Roman" w:eastAsia="宋体"/>
              <w:color w:val="000000" w:themeColor="text1"/>
              <w:sz w:val="32"/>
              <w:szCs w:val="32"/>
            </w:rPr>
            <w:fldChar w:fldCharType="end"/>
          </w:r>
          <w:r>
            <w:rPr>
              <w:rFonts w:hint="eastAsia" w:ascii="Times New Roman" w:hAnsi="Times New Roman" w:eastAsia="宋体"/>
              <w:color w:val="000000" w:themeColor="text1"/>
              <w:sz w:val="32"/>
              <w:szCs w:val="32"/>
            </w:rPr>
            <w:fldChar w:fldCharType="end"/>
          </w:r>
        </w:p>
        <w:p w14:paraId="461253DB">
          <w:pPr>
            <w:pStyle w:val="11"/>
            <w:adjustRightInd w:val="0"/>
            <w:snapToGrid w:val="0"/>
            <w:spacing w:before="0" w:line="576" w:lineRule="exact"/>
            <w:jc w:val="left"/>
            <w:rPr>
              <w:color w:val="000000" w:themeColor="text1"/>
              <w:sz w:val="32"/>
              <w:szCs w:val="32"/>
            </w:rPr>
          </w:pPr>
          <w:r>
            <w:fldChar w:fldCharType="begin"/>
          </w:r>
          <w:r>
            <w:instrText xml:space="preserve"> HYPERLINK \l "_Toc26026" </w:instrText>
          </w:r>
          <w:r>
            <w:fldChar w:fldCharType="separate"/>
          </w:r>
          <w:r>
            <w:rPr>
              <w:rFonts w:hint="eastAsia"/>
              <w:color w:val="000000" w:themeColor="text1"/>
              <w:sz w:val="32"/>
              <w:szCs w:val="32"/>
            </w:rPr>
            <w:t>第四部分 附件</w:t>
          </w:r>
          <w:r>
            <w:rPr>
              <w:rFonts w:hint="eastAsia"/>
              <w:color w:val="000000" w:themeColor="text1"/>
              <w:sz w:val="32"/>
              <w:szCs w:val="32"/>
            </w:rPr>
            <w:tab/>
          </w:r>
          <w:r>
            <w:rPr>
              <w:rFonts w:hint="eastAsia" w:ascii="Times New Roman" w:hAnsi="Times New Roman" w:eastAsia="宋体"/>
              <w:color w:val="000000" w:themeColor="text1"/>
              <w:sz w:val="32"/>
              <w:szCs w:val="32"/>
            </w:rPr>
            <w:fldChar w:fldCharType="begin"/>
          </w:r>
          <w:r>
            <w:rPr>
              <w:rFonts w:hint="eastAsia" w:ascii="Times New Roman" w:hAnsi="Times New Roman" w:eastAsia="宋体"/>
              <w:color w:val="000000" w:themeColor="text1"/>
              <w:sz w:val="32"/>
              <w:szCs w:val="32"/>
            </w:rPr>
            <w:instrText xml:space="preserve"> PAGEREF _Toc26026 \h </w:instrText>
          </w:r>
          <w:r>
            <w:rPr>
              <w:rFonts w:hint="eastAsia" w:ascii="Times New Roman" w:hAnsi="Times New Roman" w:eastAsia="宋体"/>
              <w:color w:val="000000" w:themeColor="text1"/>
              <w:sz w:val="32"/>
              <w:szCs w:val="32"/>
            </w:rPr>
            <w:fldChar w:fldCharType="separate"/>
          </w:r>
          <w:r>
            <w:rPr>
              <w:rFonts w:ascii="Times New Roman" w:hAnsi="Times New Roman" w:eastAsia="宋体"/>
              <w:color w:val="000000" w:themeColor="text1"/>
              <w:sz w:val="32"/>
              <w:szCs w:val="32"/>
            </w:rPr>
            <w:t>22</w:t>
          </w:r>
          <w:r>
            <w:rPr>
              <w:rFonts w:hint="eastAsia" w:ascii="Times New Roman" w:hAnsi="Times New Roman" w:eastAsia="宋体"/>
              <w:color w:val="000000" w:themeColor="text1"/>
              <w:sz w:val="32"/>
              <w:szCs w:val="32"/>
            </w:rPr>
            <w:fldChar w:fldCharType="end"/>
          </w:r>
          <w:r>
            <w:rPr>
              <w:rFonts w:hint="eastAsia" w:ascii="Times New Roman" w:hAnsi="Times New Roman" w:eastAsia="宋体"/>
              <w:color w:val="000000" w:themeColor="text1"/>
              <w:sz w:val="32"/>
              <w:szCs w:val="32"/>
            </w:rPr>
            <w:fldChar w:fldCharType="end"/>
          </w:r>
        </w:p>
        <w:p w14:paraId="7F1D5CE6">
          <w:pPr>
            <w:pStyle w:val="12"/>
            <w:tabs>
              <w:tab w:val="right" w:leader="dot" w:pos="8306"/>
              <w:tab w:val="clear" w:pos="8296"/>
            </w:tabs>
            <w:ind w:left="0" w:leftChars="0" w:firstLine="420" w:firstLineChars="200"/>
          </w:pPr>
          <w:r>
            <w:fldChar w:fldCharType="begin"/>
          </w:r>
          <w:r>
            <w:instrText xml:space="preserve"> HYPERLINK \l "_Toc2704" </w:instrText>
          </w:r>
          <w:r>
            <w:fldChar w:fldCharType="separate"/>
          </w:r>
          <w:r>
            <w:rPr>
              <w:rFonts w:hint="eastAsia"/>
              <w:color w:val="000000" w:themeColor="text1"/>
              <w:sz w:val="30"/>
              <w:szCs w:val="30"/>
            </w:rPr>
            <w:t>广元市昭化区王家镇人民政府部门整体支出绩效自评报告（自评表）</w:t>
          </w:r>
          <w:r>
            <w:tab/>
          </w:r>
          <w:r>
            <w:rPr>
              <w:rFonts w:hint="eastAsia"/>
              <w:color w:val="000000" w:themeColor="text1"/>
              <w:sz w:val="32"/>
              <w:szCs w:val="32"/>
            </w:rPr>
            <w:fldChar w:fldCharType="begin"/>
          </w:r>
          <w:r>
            <w:rPr>
              <w:rFonts w:hint="eastAsia"/>
              <w:color w:val="000000" w:themeColor="text1"/>
              <w:sz w:val="32"/>
              <w:szCs w:val="32"/>
            </w:rPr>
            <w:instrText xml:space="preserve"> PAGEREF _Toc2704 \h </w:instrText>
          </w:r>
          <w:r>
            <w:rPr>
              <w:rFonts w:hint="eastAsia"/>
              <w:color w:val="000000" w:themeColor="text1"/>
              <w:sz w:val="32"/>
              <w:szCs w:val="32"/>
            </w:rPr>
            <w:fldChar w:fldCharType="separate"/>
          </w:r>
          <w:r>
            <w:rPr>
              <w:color w:val="000000" w:themeColor="text1"/>
              <w:sz w:val="32"/>
              <w:szCs w:val="32"/>
            </w:rPr>
            <w:t>22</w:t>
          </w:r>
          <w:r>
            <w:rPr>
              <w:rFonts w:hint="eastAsia"/>
              <w:color w:val="000000" w:themeColor="text1"/>
              <w:sz w:val="32"/>
              <w:szCs w:val="32"/>
            </w:rPr>
            <w:fldChar w:fldCharType="end"/>
          </w:r>
          <w:r>
            <w:rPr>
              <w:rFonts w:hint="eastAsia"/>
              <w:color w:val="000000" w:themeColor="text1"/>
              <w:sz w:val="32"/>
              <w:szCs w:val="32"/>
            </w:rPr>
            <w:fldChar w:fldCharType="end"/>
          </w:r>
        </w:p>
        <w:p w14:paraId="23CFFC63">
          <w:pPr>
            <w:pStyle w:val="12"/>
            <w:adjustRightInd w:val="0"/>
            <w:snapToGrid w:val="0"/>
            <w:spacing w:line="576" w:lineRule="exact"/>
            <w:ind w:left="0" w:leftChars="0" w:firstLine="420" w:firstLineChars="200"/>
            <w:jc w:val="left"/>
          </w:pPr>
          <w:r>
            <w:fldChar w:fldCharType="begin"/>
          </w:r>
          <w:r>
            <w:instrText xml:space="preserve"> HYPERLINK \l "_Toc20696" </w:instrText>
          </w:r>
          <w:r>
            <w:fldChar w:fldCharType="separate"/>
          </w:r>
          <w:r>
            <w:rPr>
              <w:rFonts w:hint="eastAsia"/>
              <w:color w:val="000000" w:themeColor="text1"/>
              <w:sz w:val="30"/>
              <w:szCs w:val="30"/>
            </w:rPr>
            <w:t>广元市昭化区王家镇人民政府基层组织活动和公共服务运行经费</w:t>
          </w:r>
          <w:r>
            <w:rPr>
              <w:color w:val="000000" w:themeColor="text1"/>
              <w:sz w:val="30"/>
              <w:szCs w:val="30"/>
            </w:rPr>
            <w:t>项目支出绩效自评报告</w:t>
          </w:r>
          <w:r>
            <w:rPr>
              <w:rFonts w:hint="eastAsia"/>
              <w:color w:val="000000" w:themeColor="text1"/>
              <w:sz w:val="30"/>
              <w:szCs w:val="30"/>
            </w:rPr>
            <w:t>（自评表）</w:t>
          </w:r>
          <w:r>
            <w:tab/>
          </w:r>
          <w:r>
            <w:rPr>
              <w:rFonts w:hint="eastAsia"/>
              <w:color w:val="000000" w:themeColor="text1"/>
              <w:sz w:val="32"/>
              <w:szCs w:val="32"/>
            </w:rPr>
            <w:fldChar w:fldCharType="begin"/>
          </w:r>
          <w:r>
            <w:rPr>
              <w:rFonts w:hint="eastAsia"/>
              <w:color w:val="000000" w:themeColor="text1"/>
              <w:sz w:val="32"/>
              <w:szCs w:val="32"/>
            </w:rPr>
            <w:instrText xml:space="preserve"> PAGEREF _Toc20696 \h </w:instrText>
          </w:r>
          <w:r>
            <w:rPr>
              <w:rFonts w:hint="eastAsia"/>
              <w:color w:val="000000" w:themeColor="text1"/>
              <w:sz w:val="32"/>
              <w:szCs w:val="32"/>
            </w:rPr>
            <w:fldChar w:fldCharType="separate"/>
          </w:r>
          <w:r>
            <w:rPr>
              <w:color w:val="000000" w:themeColor="text1"/>
              <w:sz w:val="32"/>
              <w:szCs w:val="32"/>
            </w:rPr>
            <w:t>45</w:t>
          </w:r>
          <w:r>
            <w:rPr>
              <w:rFonts w:hint="eastAsia"/>
              <w:color w:val="000000" w:themeColor="text1"/>
              <w:sz w:val="32"/>
              <w:szCs w:val="32"/>
            </w:rPr>
            <w:fldChar w:fldCharType="end"/>
          </w:r>
          <w:r>
            <w:rPr>
              <w:rFonts w:hint="eastAsia"/>
              <w:color w:val="000000" w:themeColor="text1"/>
              <w:sz w:val="32"/>
              <w:szCs w:val="32"/>
            </w:rPr>
            <w:fldChar w:fldCharType="end"/>
          </w:r>
          <w:r>
            <w:t xml:space="preserve"> </w:t>
          </w:r>
        </w:p>
        <w:p w14:paraId="2F9FBC88">
          <w:pPr>
            <w:pStyle w:val="12"/>
            <w:adjustRightInd w:val="0"/>
            <w:snapToGrid w:val="0"/>
            <w:spacing w:line="576" w:lineRule="exact"/>
            <w:ind w:left="0" w:leftChars="0" w:firstLine="420" w:firstLineChars="200"/>
            <w:jc w:val="left"/>
          </w:pPr>
          <w:r>
            <w:fldChar w:fldCharType="begin"/>
          </w:r>
          <w:r>
            <w:instrText xml:space="preserve"> HYPERLINK \l "_Toc18838" </w:instrText>
          </w:r>
          <w:r>
            <w:fldChar w:fldCharType="separate"/>
          </w:r>
          <w:r>
            <w:rPr>
              <w:rFonts w:hint="eastAsia"/>
              <w:color w:val="000000" w:themeColor="text1"/>
              <w:sz w:val="30"/>
              <w:szCs w:val="30"/>
            </w:rPr>
            <w:t>广元市昭化区王家镇人民政府中央纪检监察转移支付资金等财政项目支出绩效自评报告（自评表）</w:t>
          </w:r>
          <w:r>
            <w:tab/>
          </w:r>
          <w:r>
            <w:rPr>
              <w:rFonts w:hint="eastAsia"/>
              <w:color w:val="000000" w:themeColor="text1"/>
              <w:sz w:val="32"/>
              <w:szCs w:val="32"/>
            </w:rPr>
            <w:t>51</w:t>
          </w:r>
          <w:r>
            <w:rPr>
              <w:rFonts w:hint="eastAsia"/>
              <w:color w:val="000000" w:themeColor="text1"/>
              <w:sz w:val="32"/>
              <w:szCs w:val="32"/>
            </w:rPr>
            <w:fldChar w:fldCharType="end"/>
          </w:r>
        </w:p>
        <w:p w14:paraId="7FC54B99">
          <w:pPr>
            <w:pStyle w:val="12"/>
            <w:tabs>
              <w:tab w:val="right" w:leader="dot" w:pos="8306"/>
              <w:tab w:val="clear" w:pos="8296"/>
            </w:tabs>
            <w:ind w:left="0" w:leftChars="0" w:firstLine="420" w:firstLineChars="200"/>
            <w:rPr>
              <w:rFonts w:hint="eastAsia"/>
            </w:rPr>
          </w:pPr>
          <w:r>
            <w:fldChar w:fldCharType="begin"/>
          </w:r>
          <w:r>
            <w:instrText xml:space="preserve"> HYPERLINK \l "_Toc21598" </w:instrText>
          </w:r>
          <w:r>
            <w:fldChar w:fldCharType="separate"/>
          </w:r>
          <w:r>
            <w:rPr>
              <w:rFonts w:hint="eastAsia"/>
              <w:color w:val="000000" w:themeColor="text1"/>
              <w:sz w:val="30"/>
              <w:szCs w:val="30"/>
            </w:rPr>
            <w:t>广元市昭化区王家镇人民政府烤烟产业发展资金支出的绩效自评报告（自评表）</w:t>
          </w:r>
          <w:r>
            <w:tab/>
          </w:r>
          <w:r>
            <w:rPr>
              <w:rFonts w:hint="eastAsia"/>
              <w:color w:val="000000" w:themeColor="text1"/>
              <w:sz w:val="32"/>
              <w:szCs w:val="32"/>
            </w:rPr>
            <w:t>55</w:t>
          </w:r>
          <w:r>
            <w:rPr>
              <w:rFonts w:hint="eastAsia"/>
              <w:color w:val="000000" w:themeColor="text1"/>
              <w:sz w:val="32"/>
              <w:szCs w:val="32"/>
            </w:rPr>
            <w:fldChar w:fldCharType="end"/>
          </w:r>
        </w:p>
        <w:p w14:paraId="5A0B374E">
          <w:pPr>
            <w:pStyle w:val="12"/>
            <w:adjustRightInd w:val="0"/>
            <w:snapToGrid w:val="0"/>
            <w:spacing w:line="576" w:lineRule="exact"/>
            <w:ind w:left="0" w:leftChars="0" w:firstLine="450" w:firstLineChars="150"/>
            <w:jc w:val="left"/>
            <w:rPr>
              <w:color w:val="000000" w:themeColor="text1"/>
              <w:sz w:val="30"/>
              <w:szCs w:val="30"/>
            </w:rPr>
          </w:pPr>
          <w:r>
            <w:rPr>
              <w:rFonts w:hint="eastAsia"/>
              <w:color w:val="000000" w:themeColor="text1"/>
              <w:sz w:val="30"/>
              <w:szCs w:val="30"/>
            </w:rPr>
            <w:t>广元市昭化区王家镇人民政府</w:t>
          </w:r>
          <w:r>
            <w:rPr>
              <w:color w:val="000000" w:themeColor="text1"/>
              <w:sz w:val="30"/>
              <w:szCs w:val="30"/>
            </w:rPr>
            <w:t>抗旱应急财政补助</w:t>
          </w:r>
          <w:r>
            <w:rPr>
              <w:rFonts w:hint="eastAsia"/>
              <w:color w:val="000000" w:themeColor="text1"/>
              <w:sz w:val="30"/>
              <w:szCs w:val="30"/>
            </w:rPr>
            <w:t>资金项目支出绩效自评报告（自评表）</w:t>
          </w:r>
          <w:r>
            <w:rPr>
              <w:color w:val="000000" w:themeColor="text1"/>
              <w:sz w:val="30"/>
              <w:szCs w:val="30"/>
            </w:rPr>
            <w:tab/>
          </w:r>
          <w:r>
            <w:rPr>
              <w:rFonts w:hint="eastAsia"/>
              <w:color w:val="000000" w:themeColor="text1"/>
              <w:sz w:val="30"/>
              <w:szCs w:val="30"/>
            </w:rPr>
            <w:t>60</w:t>
          </w:r>
        </w:p>
        <w:p w14:paraId="0F22CAFF">
          <w:pPr>
            <w:pStyle w:val="11"/>
            <w:tabs>
              <w:tab w:val="right" w:leader="dot" w:pos="8306"/>
              <w:tab w:val="clear" w:pos="8296"/>
            </w:tabs>
          </w:pPr>
          <w:r>
            <w:fldChar w:fldCharType="begin"/>
          </w:r>
          <w:r>
            <w:instrText xml:space="preserve"> HYPERLINK \l "_Toc24460" </w:instrText>
          </w:r>
          <w:r>
            <w:fldChar w:fldCharType="separate"/>
          </w:r>
          <w:r>
            <w:rPr>
              <w:rFonts w:hint="eastAsia"/>
              <w:color w:val="000000" w:themeColor="text1"/>
              <w:sz w:val="32"/>
              <w:szCs w:val="32"/>
            </w:rPr>
            <w:t>第五部分 附表</w:t>
          </w:r>
          <w:r>
            <w:rPr>
              <w:rFonts w:hint="eastAsia"/>
              <w:color w:val="000000" w:themeColor="text1"/>
              <w:sz w:val="32"/>
              <w:szCs w:val="32"/>
            </w:rPr>
            <w:tab/>
          </w:r>
          <w:r>
            <w:rPr>
              <w:rFonts w:hint="eastAsia" w:ascii="Times New Roman" w:hAnsi="Times New Roman" w:eastAsia="宋体"/>
              <w:color w:val="000000" w:themeColor="text1"/>
              <w:sz w:val="32"/>
              <w:szCs w:val="32"/>
            </w:rPr>
            <w:fldChar w:fldCharType="begin"/>
          </w:r>
          <w:r>
            <w:rPr>
              <w:rFonts w:hint="eastAsia" w:ascii="Times New Roman" w:hAnsi="Times New Roman" w:eastAsia="宋体"/>
              <w:color w:val="000000" w:themeColor="text1"/>
              <w:sz w:val="32"/>
              <w:szCs w:val="32"/>
            </w:rPr>
            <w:instrText xml:space="preserve"> PAGEREF _Toc24460 \h </w:instrText>
          </w:r>
          <w:r>
            <w:rPr>
              <w:rFonts w:hint="eastAsia" w:ascii="Times New Roman" w:hAnsi="Times New Roman" w:eastAsia="宋体"/>
              <w:color w:val="000000" w:themeColor="text1"/>
              <w:sz w:val="32"/>
              <w:szCs w:val="32"/>
            </w:rPr>
            <w:fldChar w:fldCharType="separate"/>
          </w:r>
          <w:r>
            <w:rPr>
              <w:rFonts w:ascii="Times New Roman" w:hAnsi="Times New Roman" w:eastAsia="宋体"/>
              <w:color w:val="000000" w:themeColor="text1"/>
              <w:sz w:val="32"/>
              <w:szCs w:val="32"/>
            </w:rPr>
            <w:t>64</w:t>
          </w:r>
          <w:r>
            <w:rPr>
              <w:rFonts w:hint="eastAsia" w:ascii="Times New Roman" w:hAnsi="Times New Roman" w:eastAsia="宋体"/>
              <w:color w:val="000000" w:themeColor="text1"/>
              <w:sz w:val="32"/>
              <w:szCs w:val="32"/>
            </w:rPr>
            <w:fldChar w:fldCharType="end"/>
          </w:r>
          <w:r>
            <w:rPr>
              <w:rFonts w:hint="eastAsia" w:ascii="Times New Roman" w:hAnsi="Times New Roman" w:eastAsia="宋体"/>
              <w:color w:val="000000" w:themeColor="text1"/>
              <w:sz w:val="32"/>
              <w:szCs w:val="32"/>
            </w:rPr>
            <w:fldChar w:fldCharType="end"/>
          </w:r>
        </w:p>
        <w:p w14:paraId="04640211">
          <w:pPr>
            <w:pStyle w:val="12"/>
            <w:adjustRightInd w:val="0"/>
            <w:snapToGrid w:val="0"/>
            <w:spacing w:line="576" w:lineRule="exact"/>
            <w:jc w:val="left"/>
            <w:rPr>
              <w:color w:val="000000" w:themeColor="text1"/>
              <w:sz w:val="32"/>
              <w:szCs w:val="32"/>
            </w:rPr>
          </w:pPr>
          <w:r>
            <w:fldChar w:fldCharType="begin"/>
          </w:r>
          <w:r>
            <w:instrText xml:space="preserve"> HYPERLINK \l "_Toc9217" </w:instrText>
          </w:r>
          <w:r>
            <w:fldChar w:fldCharType="separate"/>
          </w:r>
          <w:r>
            <w:rPr>
              <w:rFonts w:hint="eastAsia"/>
              <w:color w:val="000000" w:themeColor="text1"/>
              <w:sz w:val="32"/>
              <w:szCs w:val="32"/>
            </w:rPr>
            <w:t>一、收入支出决算总表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_Toc9217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127F8EAC">
          <w:pPr>
            <w:pStyle w:val="12"/>
            <w:adjustRightInd w:val="0"/>
            <w:snapToGrid w:val="0"/>
            <w:spacing w:line="576" w:lineRule="exact"/>
            <w:jc w:val="left"/>
            <w:rPr>
              <w:color w:val="000000" w:themeColor="text1"/>
              <w:sz w:val="32"/>
              <w:szCs w:val="32"/>
            </w:rPr>
          </w:pPr>
          <w:r>
            <w:fldChar w:fldCharType="begin"/>
          </w:r>
          <w:r>
            <w:instrText xml:space="preserve"> HYPERLINK \l "_Toc26771" </w:instrText>
          </w:r>
          <w:r>
            <w:fldChar w:fldCharType="separate"/>
          </w:r>
          <w:r>
            <w:rPr>
              <w:rFonts w:hint="eastAsia"/>
              <w:color w:val="000000" w:themeColor="text1"/>
              <w:sz w:val="32"/>
              <w:szCs w:val="32"/>
            </w:rPr>
            <w:t>二、收入决算表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_Toc26771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4BB1C2CA">
          <w:pPr>
            <w:pStyle w:val="12"/>
            <w:adjustRightInd w:val="0"/>
            <w:snapToGrid w:val="0"/>
            <w:spacing w:line="576" w:lineRule="exact"/>
            <w:jc w:val="left"/>
            <w:rPr>
              <w:color w:val="000000" w:themeColor="text1"/>
              <w:sz w:val="32"/>
              <w:szCs w:val="32"/>
            </w:rPr>
          </w:pPr>
          <w:r>
            <w:fldChar w:fldCharType="begin"/>
          </w:r>
          <w:r>
            <w:instrText xml:space="preserve"> HYPERLINK \l "_Toc22846" </w:instrText>
          </w:r>
          <w:r>
            <w:fldChar w:fldCharType="separate"/>
          </w:r>
          <w:r>
            <w:rPr>
              <w:rFonts w:hint="eastAsia"/>
              <w:color w:val="000000" w:themeColor="text1"/>
              <w:sz w:val="32"/>
              <w:szCs w:val="32"/>
            </w:rPr>
            <w:t>三、支出决算表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_Toc22846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3B569B20">
          <w:pPr>
            <w:pStyle w:val="12"/>
            <w:adjustRightInd w:val="0"/>
            <w:snapToGrid w:val="0"/>
            <w:spacing w:line="576" w:lineRule="exact"/>
            <w:jc w:val="left"/>
            <w:rPr>
              <w:color w:val="000000" w:themeColor="text1"/>
              <w:sz w:val="32"/>
              <w:szCs w:val="32"/>
            </w:rPr>
          </w:pPr>
          <w:r>
            <w:fldChar w:fldCharType="begin"/>
          </w:r>
          <w:r>
            <w:instrText xml:space="preserve"> HYPERLINK \l "_Toc12168" </w:instrText>
          </w:r>
          <w:r>
            <w:fldChar w:fldCharType="separate"/>
          </w:r>
          <w:r>
            <w:rPr>
              <w:rFonts w:hint="eastAsia"/>
              <w:color w:val="000000" w:themeColor="text1"/>
              <w:sz w:val="32"/>
              <w:szCs w:val="32"/>
            </w:rPr>
            <w:t>四、财政拨款收入支出决算总表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_Toc12168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078531FA">
          <w:pPr>
            <w:pStyle w:val="12"/>
            <w:adjustRightInd w:val="0"/>
            <w:snapToGrid w:val="0"/>
            <w:spacing w:line="576" w:lineRule="exact"/>
            <w:jc w:val="left"/>
            <w:rPr>
              <w:color w:val="000000" w:themeColor="text1"/>
              <w:sz w:val="32"/>
              <w:szCs w:val="32"/>
            </w:rPr>
          </w:pPr>
          <w:r>
            <w:fldChar w:fldCharType="begin"/>
          </w:r>
          <w:r>
            <w:instrText xml:space="preserve"> HYPERLINK \l "_Toc18811" </w:instrText>
          </w:r>
          <w:r>
            <w:fldChar w:fldCharType="separate"/>
          </w:r>
          <w:r>
            <w:rPr>
              <w:rFonts w:hint="eastAsia"/>
              <w:color w:val="000000" w:themeColor="text1"/>
              <w:sz w:val="32"/>
              <w:szCs w:val="32"/>
            </w:rPr>
            <w:t>五、财政拨款支出决算明细表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_Toc18811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51ED279C">
          <w:pPr>
            <w:pStyle w:val="12"/>
            <w:adjustRightInd w:val="0"/>
            <w:snapToGrid w:val="0"/>
            <w:spacing w:line="576" w:lineRule="exact"/>
            <w:jc w:val="left"/>
            <w:rPr>
              <w:color w:val="000000" w:themeColor="text1"/>
              <w:sz w:val="32"/>
              <w:szCs w:val="32"/>
            </w:rPr>
          </w:pPr>
          <w:r>
            <w:fldChar w:fldCharType="begin"/>
          </w:r>
          <w:r>
            <w:instrText xml:space="preserve"> HYPERLINK \l "_Toc9242" </w:instrText>
          </w:r>
          <w:r>
            <w:fldChar w:fldCharType="separate"/>
          </w:r>
          <w:r>
            <w:rPr>
              <w:rFonts w:hint="eastAsia"/>
              <w:color w:val="000000" w:themeColor="text1"/>
              <w:sz w:val="32"/>
              <w:szCs w:val="32"/>
            </w:rPr>
            <w:t>六、一般公共预算财政拨款支出决算表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_Toc9242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52B973CD">
          <w:pPr>
            <w:pStyle w:val="12"/>
            <w:adjustRightInd w:val="0"/>
            <w:snapToGrid w:val="0"/>
            <w:spacing w:line="576" w:lineRule="exact"/>
            <w:jc w:val="left"/>
            <w:rPr>
              <w:color w:val="000000" w:themeColor="text1"/>
              <w:sz w:val="32"/>
              <w:szCs w:val="32"/>
            </w:rPr>
          </w:pPr>
          <w:r>
            <w:fldChar w:fldCharType="begin"/>
          </w:r>
          <w:r>
            <w:instrText xml:space="preserve"> HYPERLINK \l "_Toc24072" </w:instrText>
          </w:r>
          <w:r>
            <w:fldChar w:fldCharType="separate"/>
          </w:r>
          <w:r>
            <w:rPr>
              <w:rFonts w:hint="eastAsia"/>
              <w:color w:val="000000" w:themeColor="text1"/>
              <w:sz w:val="32"/>
              <w:szCs w:val="32"/>
            </w:rPr>
            <w:t>七、一般公共预算财政拨款支出决算明细表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_Toc24072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3B684ECD">
          <w:pPr>
            <w:pStyle w:val="12"/>
            <w:adjustRightInd w:val="0"/>
            <w:snapToGrid w:val="0"/>
            <w:spacing w:line="576" w:lineRule="exact"/>
            <w:jc w:val="left"/>
            <w:rPr>
              <w:color w:val="000000" w:themeColor="text1"/>
              <w:sz w:val="32"/>
              <w:szCs w:val="32"/>
            </w:rPr>
          </w:pPr>
          <w:r>
            <w:fldChar w:fldCharType="begin"/>
          </w:r>
          <w:r>
            <w:instrText xml:space="preserve"> HYPERLINK \l "_Toc18765" </w:instrText>
          </w:r>
          <w:r>
            <w:fldChar w:fldCharType="separate"/>
          </w:r>
          <w:r>
            <w:rPr>
              <w:rFonts w:hint="eastAsia"/>
              <w:color w:val="000000" w:themeColor="text1"/>
              <w:sz w:val="32"/>
              <w:szCs w:val="32"/>
            </w:rPr>
            <w:t>八、一般公共预算财政拨款基本支出决算表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_Toc18765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25C64DC3">
          <w:pPr>
            <w:pStyle w:val="12"/>
            <w:adjustRightInd w:val="0"/>
            <w:snapToGrid w:val="0"/>
            <w:spacing w:line="576" w:lineRule="exact"/>
            <w:jc w:val="left"/>
            <w:rPr>
              <w:color w:val="000000" w:themeColor="text1"/>
              <w:sz w:val="32"/>
              <w:szCs w:val="32"/>
            </w:rPr>
          </w:pPr>
          <w:r>
            <w:fldChar w:fldCharType="begin"/>
          </w:r>
          <w:r>
            <w:instrText xml:space="preserve"> HYPERLINK \l "_Toc6401" </w:instrText>
          </w:r>
          <w:r>
            <w:fldChar w:fldCharType="separate"/>
          </w:r>
          <w:r>
            <w:rPr>
              <w:rFonts w:hint="eastAsia"/>
              <w:color w:val="000000" w:themeColor="text1"/>
              <w:sz w:val="32"/>
              <w:szCs w:val="32"/>
            </w:rPr>
            <w:t>九、一般公共预算财政拨款项目支出决算表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_Toc6401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3181C51E">
          <w:pPr>
            <w:pStyle w:val="12"/>
            <w:adjustRightInd w:val="0"/>
            <w:snapToGrid w:val="0"/>
            <w:spacing w:line="576" w:lineRule="exact"/>
            <w:jc w:val="left"/>
            <w:rPr>
              <w:color w:val="000000" w:themeColor="text1"/>
              <w:sz w:val="32"/>
              <w:szCs w:val="32"/>
            </w:rPr>
          </w:pPr>
          <w:r>
            <w:fldChar w:fldCharType="begin"/>
          </w:r>
          <w:r>
            <w:instrText xml:space="preserve"> HYPERLINK \l "_Toc8016" </w:instrText>
          </w:r>
          <w:r>
            <w:fldChar w:fldCharType="separate"/>
          </w:r>
          <w:r>
            <w:rPr>
              <w:rFonts w:hint="eastAsia"/>
              <w:color w:val="000000" w:themeColor="text1"/>
              <w:sz w:val="32"/>
              <w:szCs w:val="32"/>
            </w:rPr>
            <w:t>十、政府性基金预算财政拨款收入支出决算表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_Toc8016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5F0FA6BF">
          <w:pPr>
            <w:pStyle w:val="12"/>
            <w:adjustRightInd w:val="0"/>
            <w:snapToGrid w:val="0"/>
            <w:spacing w:line="576" w:lineRule="exact"/>
            <w:jc w:val="left"/>
            <w:rPr>
              <w:color w:val="000000" w:themeColor="text1"/>
              <w:sz w:val="32"/>
              <w:szCs w:val="32"/>
            </w:rPr>
          </w:pPr>
          <w:r>
            <w:fldChar w:fldCharType="begin"/>
          </w:r>
          <w:r>
            <w:instrText xml:space="preserve"> HYPERLINK \l "_Toc28242" </w:instrText>
          </w:r>
          <w:r>
            <w:fldChar w:fldCharType="separate"/>
          </w:r>
          <w:r>
            <w:rPr>
              <w:rFonts w:hint="eastAsia"/>
              <w:color w:val="000000" w:themeColor="text1"/>
              <w:sz w:val="32"/>
              <w:szCs w:val="32"/>
            </w:rPr>
            <w:t>十一、国有资本经营预算财政拨款收入支出决算表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_Toc28242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59FDEAFB">
          <w:pPr>
            <w:pStyle w:val="12"/>
            <w:adjustRightInd w:val="0"/>
            <w:snapToGrid w:val="0"/>
            <w:spacing w:line="576" w:lineRule="exact"/>
            <w:jc w:val="left"/>
            <w:rPr>
              <w:color w:val="000000" w:themeColor="text1"/>
              <w:sz w:val="32"/>
              <w:szCs w:val="32"/>
            </w:rPr>
          </w:pPr>
          <w:r>
            <w:fldChar w:fldCharType="begin"/>
          </w:r>
          <w:r>
            <w:instrText xml:space="preserve"> HYPERLINK \l "_Toc21741" </w:instrText>
          </w:r>
          <w:r>
            <w:fldChar w:fldCharType="separate"/>
          </w:r>
          <w:r>
            <w:rPr>
              <w:rFonts w:hint="eastAsia"/>
              <w:color w:val="000000" w:themeColor="text1"/>
              <w:sz w:val="32"/>
              <w:szCs w:val="32"/>
            </w:rPr>
            <w:t>十二、国有资本经营预算财政拨款支出决算表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_Toc21741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486A7742">
          <w:pPr>
            <w:pStyle w:val="12"/>
            <w:adjustRightInd w:val="0"/>
            <w:snapToGrid w:val="0"/>
            <w:spacing w:line="576" w:lineRule="exact"/>
            <w:jc w:val="left"/>
          </w:pPr>
          <w:r>
            <w:fldChar w:fldCharType="begin"/>
          </w:r>
          <w:r>
            <w:instrText xml:space="preserve"> HYPERLINK \l "_Toc31210" </w:instrText>
          </w:r>
          <w:r>
            <w:fldChar w:fldCharType="separate"/>
          </w:r>
          <w:r>
            <w:rPr>
              <w:rFonts w:hint="eastAsia"/>
              <w:color w:val="000000" w:themeColor="text1"/>
              <w:sz w:val="32"/>
              <w:szCs w:val="32"/>
            </w:rPr>
            <w:t>十三、财政拨款“三公”经费支出决算表</w:t>
          </w:r>
          <w:r>
            <w:rPr>
              <w:rFonts w:hint="eastAsia"/>
              <w:color w:val="000000" w:themeColor="text1"/>
              <w:sz w:val="32"/>
              <w:szCs w:val="32"/>
            </w:rPr>
            <w:tab/>
          </w:r>
          <w:r>
            <w:rPr>
              <w:rFonts w:hint="eastAsia"/>
              <w:color w:val="000000" w:themeColor="text1"/>
              <w:sz w:val="32"/>
              <w:szCs w:val="32"/>
            </w:rPr>
            <w:fldChar w:fldCharType="begin"/>
          </w:r>
          <w:r>
            <w:rPr>
              <w:rFonts w:hint="eastAsia"/>
              <w:color w:val="000000" w:themeColor="text1"/>
              <w:sz w:val="32"/>
              <w:szCs w:val="32"/>
            </w:rPr>
            <w:instrText xml:space="preserve"> PAGEREF _Toc31210 \h </w:instrText>
          </w:r>
          <w:r>
            <w:rPr>
              <w:rFonts w:hint="eastAsia"/>
              <w:color w:val="000000" w:themeColor="text1"/>
              <w:sz w:val="32"/>
              <w:szCs w:val="32"/>
            </w:rPr>
            <w:fldChar w:fldCharType="separate"/>
          </w:r>
          <w:r>
            <w:rPr>
              <w:color w:val="000000" w:themeColor="text1"/>
              <w:sz w:val="32"/>
              <w:szCs w:val="32"/>
            </w:rPr>
            <w:t>64</w:t>
          </w:r>
          <w:r>
            <w:rPr>
              <w:rFonts w:hint="eastAsia"/>
              <w:color w:val="000000" w:themeColor="text1"/>
              <w:sz w:val="32"/>
              <w:szCs w:val="32"/>
            </w:rPr>
            <w:fldChar w:fldCharType="end"/>
          </w:r>
          <w:r>
            <w:rPr>
              <w:rFonts w:hint="eastAsia"/>
              <w:color w:val="000000" w:themeColor="text1"/>
              <w:sz w:val="32"/>
              <w:szCs w:val="32"/>
            </w:rPr>
            <w:fldChar w:fldCharType="end"/>
          </w:r>
        </w:p>
        <w:p w14:paraId="1715FD00">
          <w:r>
            <w:fldChar w:fldCharType="end"/>
          </w:r>
        </w:p>
      </w:sdtContent>
    </w:sdt>
    <w:p w14:paraId="55AA8D47">
      <w:pPr>
        <w:pStyle w:val="3"/>
        <w:spacing w:before="0" w:after="0"/>
        <w:jc w:val="center"/>
        <w:rPr>
          <w:rStyle w:val="28"/>
          <w:rFonts w:ascii="黑体" w:hAnsi="黑体" w:eastAsia="黑体"/>
          <w:b w:val="0"/>
          <w:bCs w:val="0"/>
          <w:color w:val="000000" w:themeColor="text1"/>
        </w:rPr>
      </w:pPr>
      <w:bookmarkStart w:id="20" w:name="_Toc3099"/>
      <w:bookmarkStart w:id="21" w:name="_Toc6628"/>
      <w:bookmarkStart w:id="22" w:name="_Toc27070"/>
      <w:r>
        <w:rPr>
          <w:rFonts w:hint="eastAsia" w:ascii="黑体" w:hAnsi="黑体" w:eastAsia="黑体"/>
          <w:b w:val="0"/>
          <w:bCs w:val="0"/>
          <w:color w:val="000000" w:themeColor="text1"/>
        </w:rPr>
        <w:t xml:space="preserve">第一部分 </w:t>
      </w:r>
      <w:r>
        <w:rPr>
          <w:rStyle w:val="28"/>
          <w:rFonts w:hint="eastAsia" w:ascii="黑体" w:hAnsi="黑体" w:eastAsia="黑体"/>
          <w:b w:val="0"/>
          <w:bCs w:val="0"/>
          <w:color w:val="000000" w:themeColor="text1"/>
        </w:rPr>
        <w:t>部门概况</w:t>
      </w:r>
      <w:bookmarkEnd w:id="18"/>
      <w:bookmarkEnd w:id="19"/>
      <w:bookmarkEnd w:id="20"/>
      <w:bookmarkEnd w:id="21"/>
      <w:bookmarkEnd w:id="22"/>
    </w:p>
    <w:p w14:paraId="02246A66">
      <w:pPr>
        <w:widowControl/>
        <w:jc w:val="left"/>
        <w:rPr>
          <w:rFonts w:ascii="黑体" w:eastAsia="黑体"/>
          <w:color w:val="000000" w:themeColor="text1"/>
          <w:sz w:val="32"/>
          <w:szCs w:val="32"/>
        </w:rPr>
      </w:pPr>
    </w:p>
    <w:p w14:paraId="3AE928C5">
      <w:pPr>
        <w:pStyle w:val="4"/>
        <w:spacing w:before="0" w:after="0"/>
        <w:ind w:firstLine="640" w:firstLineChars="200"/>
        <w:rPr>
          <w:rFonts w:ascii="黑体" w:hAnsi="黑体" w:eastAsia="黑体"/>
          <w:b w:val="0"/>
          <w:bCs w:val="0"/>
          <w:color w:val="000000" w:themeColor="text1"/>
        </w:rPr>
      </w:pPr>
      <w:bookmarkStart w:id="23" w:name="_Toc15377197"/>
      <w:bookmarkStart w:id="24" w:name="_Toc15396600"/>
      <w:bookmarkStart w:id="25" w:name="_Toc29982"/>
      <w:bookmarkStart w:id="26" w:name="_Toc29512"/>
      <w:bookmarkStart w:id="27" w:name="_Toc17736"/>
      <w:r>
        <w:rPr>
          <w:rFonts w:hint="eastAsia" w:ascii="黑体" w:hAnsi="黑体" w:eastAsia="黑体"/>
          <w:b w:val="0"/>
          <w:bCs w:val="0"/>
          <w:color w:val="000000" w:themeColor="text1"/>
        </w:rPr>
        <w:t>一、</w:t>
      </w:r>
      <w:bookmarkEnd w:id="23"/>
      <w:bookmarkEnd w:id="24"/>
      <w:r>
        <w:rPr>
          <w:rFonts w:hint="eastAsia" w:ascii="黑体" w:hAnsi="黑体" w:eastAsia="黑体"/>
          <w:b w:val="0"/>
          <w:bCs w:val="0"/>
          <w:color w:val="000000" w:themeColor="text1"/>
        </w:rPr>
        <w:t>部门职责</w:t>
      </w:r>
      <w:bookmarkEnd w:id="25"/>
      <w:bookmarkEnd w:id="26"/>
      <w:bookmarkEnd w:id="27"/>
    </w:p>
    <w:p w14:paraId="6D3D1E59">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一）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p>
    <w:p w14:paraId="224D325A">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（二）制定并组织实施村镇建设规划，部署重点工程建设，地方道路建设及公共设施，水利设施的管理，负责土地、林木、水等自然资源和生态环境的保护，做好护林防火工作。</w:t>
      </w:r>
    </w:p>
    <w:p w14:paraId="38B3AF2F">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三）负责本行政区域内的民政、计划生育、文化教育、卫生、体育等社会公益事业的综合性工作，维护一切经济单位和个人的正当经济权益，取缔非法经济活动，调解和处理民事纠纷，打击刑事犯罪维护社会稳定。</w:t>
      </w:r>
    </w:p>
    <w:p w14:paraId="1098C1FF">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（四）按计划组织本级财政收入和地方税的征收，完成国家财政计划，不断培植税源，管好财政资金，增强财政实力。</w:t>
      </w:r>
    </w:p>
    <w:p w14:paraId="55FFEF4D">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（五）抓好精神文明建设，丰富群众文化生活，提倡移风易俗，反对封建迷信，破除陈规陋习，树立社会主义新风尚。</w:t>
      </w:r>
    </w:p>
    <w:p w14:paraId="3D9F0015">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（六）执行本级人民代表大会的决议和上级国家行政机关的决定和命令，发布决定和命令。</w:t>
      </w:r>
    </w:p>
    <w:p w14:paraId="75F5F197">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（七）执行本行政区域内的经济和社会发展计划、预算。管理本行政区域内的经济、教育、科学、文化、卫生、体育事业和财政、民政、公安、司法行政、计划生育等行政工作。</w:t>
      </w:r>
    </w:p>
    <w:p w14:paraId="3E88C340">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（八）保护好社会主义全民所有的财产和劳动群众集体所有财产，保护公民私有的合法财产，维护社会秩序，保障公民的人身权利、民主权利和其他权利。</w:t>
      </w:r>
    </w:p>
    <w:p w14:paraId="69C99018">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（九）保障农村集体经济组织应有的自主权。</w:t>
      </w:r>
    </w:p>
    <w:p w14:paraId="72716040">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（十）保障少数民族的权利和尊重少数民族的风俗习惯。</w:t>
      </w:r>
    </w:p>
    <w:p w14:paraId="6A4807D2">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（十一）保障宪法和法律赋予妇女的男女平等、同工同酬和婚姻自由平等各项权利。</w:t>
      </w:r>
    </w:p>
    <w:p w14:paraId="6744025E">
      <w:pPr>
        <w:spacing w:line="576" w:lineRule="exact"/>
        <w:ind w:firstLine="640" w:firstLineChars="200"/>
        <w:outlineLvl w:val="2"/>
        <w:rPr>
          <w:rFonts w:ascii="仿宋_GB2312" w:hAnsi="仿宋_GB2312" w:eastAsia="仿宋_GB2312" w:cs="仿宋_GB2312"/>
          <w:color w:val="000000" w:themeColor="text1"/>
          <w:sz w:val="32"/>
          <w:szCs w:val="32"/>
        </w:rPr>
      </w:pPr>
      <w:bookmarkStart w:id="28" w:name="_Toc27429"/>
      <w:bookmarkStart w:id="29" w:name="_Toc587"/>
      <w:r>
        <w:rPr>
          <w:rFonts w:hint="eastAsia" w:ascii="仿宋_GB2312" w:hAnsi="仿宋_GB2312" w:eastAsia="仿宋_GB2312" w:cs="仿宋_GB2312"/>
          <w:color w:val="000000" w:themeColor="text1"/>
          <w:sz w:val="32"/>
          <w:szCs w:val="32"/>
        </w:rPr>
        <w:t>（十二）完成和办理上级人民政府交办的其他事项。</w:t>
      </w:r>
      <w:bookmarkEnd w:id="28"/>
      <w:bookmarkEnd w:id="29"/>
    </w:p>
    <w:p w14:paraId="3076DC1C">
      <w:pPr>
        <w:spacing w:line="576" w:lineRule="exact"/>
        <w:ind w:firstLine="640" w:firstLineChars="200"/>
        <w:outlineLvl w:val="1"/>
        <w:rPr>
          <w:rFonts w:ascii="黑体" w:hAnsi="黑体" w:eastAsia="黑体" w:cs="黑体"/>
          <w:color w:val="000000" w:themeColor="text1"/>
          <w:sz w:val="32"/>
          <w:szCs w:val="32"/>
        </w:rPr>
      </w:pPr>
      <w:bookmarkStart w:id="30" w:name="_Toc18980"/>
      <w:bookmarkStart w:id="31" w:name="_Toc15377200"/>
      <w:bookmarkStart w:id="32" w:name="_Toc12946"/>
      <w:bookmarkStart w:id="33" w:name="_Toc15396601"/>
      <w:bookmarkStart w:id="34" w:name="_Toc15462"/>
      <w:r>
        <w:rPr>
          <w:rFonts w:hint="eastAsia" w:ascii="黑体" w:hAnsi="黑体" w:eastAsia="黑体" w:cs="黑体"/>
          <w:color w:val="000000" w:themeColor="text1"/>
          <w:sz w:val="32"/>
          <w:szCs w:val="32"/>
        </w:rPr>
        <w:t>二、机构设置</w:t>
      </w:r>
      <w:bookmarkEnd w:id="30"/>
      <w:bookmarkEnd w:id="31"/>
      <w:bookmarkEnd w:id="32"/>
      <w:bookmarkEnd w:id="33"/>
      <w:bookmarkEnd w:id="34"/>
    </w:p>
    <w:p w14:paraId="4952CE83">
      <w:pPr>
        <w:spacing w:line="576" w:lineRule="exact"/>
        <w:ind w:firstLine="640" w:firstLineChars="200"/>
        <w:rPr>
          <w:rFonts w:ascii="仿宋_GB2312" w:hAnsi="仿宋_GB2312" w:eastAsia="仿宋_GB2312" w:cs="仿宋_GB2312"/>
          <w:color w:val="000000" w:themeColor="text1"/>
          <w:sz w:val="32"/>
          <w:szCs w:val="32"/>
        </w:rPr>
      </w:pPr>
      <w:bookmarkStart w:id="35" w:name="_Toc15306277"/>
      <w:bookmarkStart w:id="36" w:name="_Toc15377434"/>
      <w:bookmarkStart w:id="37" w:name="_Toc15377203"/>
      <w:bookmarkStart w:id="38" w:name="_Toc15378450"/>
      <w:r>
        <w:rPr>
          <w:rFonts w:hint="eastAsia" w:ascii="仿宋_GB2312" w:hAnsi="仿宋_GB2312" w:eastAsia="仿宋_GB2312" w:cs="仿宋_GB2312"/>
          <w:color w:val="000000" w:themeColor="text1"/>
          <w:sz w:val="32"/>
          <w:szCs w:val="32"/>
        </w:rPr>
        <w:t>王家镇人民政府属于一级预算单位，政府机构数1个，其中行政单位1个，参照公务员法管理的事业单位0个，其他事业单位0个。</w:t>
      </w:r>
    </w:p>
    <w:p w14:paraId="6BD4FE7E">
      <w:pPr>
        <w:spacing w:line="576" w:lineRule="exact"/>
        <w:ind w:firstLine="800" w:firstLineChars="250"/>
        <w:rPr>
          <w:rFonts w:ascii="仿宋_GB2312" w:hAnsi="仿宋_GB2312" w:eastAsia="仿宋_GB2312" w:cs="仿宋_GB2312"/>
          <w:color w:val="000000" w:themeColor="text1"/>
          <w:sz w:val="32"/>
          <w:szCs w:val="32"/>
        </w:rPr>
      </w:pPr>
    </w:p>
    <w:p w14:paraId="11CB5F69">
      <w:pPr>
        <w:pStyle w:val="2"/>
        <w:spacing w:before="93"/>
      </w:pPr>
    </w:p>
    <w:p w14:paraId="533B4FE8">
      <w:pPr>
        <w:pStyle w:val="2"/>
        <w:spacing w:before="93"/>
      </w:pPr>
    </w:p>
    <w:p w14:paraId="2D0FFA7C">
      <w:pPr>
        <w:pStyle w:val="2"/>
        <w:spacing w:before="93"/>
      </w:pPr>
    </w:p>
    <w:p w14:paraId="3DAF3BA4">
      <w:pPr>
        <w:pStyle w:val="2"/>
        <w:spacing w:before="93"/>
      </w:pPr>
    </w:p>
    <w:p w14:paraId="3941433B">
      <w:pPr>
        <w:pStyle w:val="2"/>
        <w:spacing w:before="93"/>
      </w:pPr>
    </w:p>
    <w:p w14:paraId="09844481">
      <w:pPr>
        <w:pStyle w:val="2"/>
        <w:spacing w:before="93"/>
      </w:pPr>
    </w:p>
    <w:bookmarkEnd w:id="35"/>
    <w:bookmarkEnd w:id="36"/>
    <w:bookmarkEnd w:id="37"/>
    <w:bookmarkEnd w:id="38"/>
    <w:p w14:paraId="00700542">
      <w:pPr>
        <w:pStyle w:val="3"/>
        <w:spacing w:before="0" w:after="0" w:line="576" w:lineRule="exact"/>
        <w:ind w:right="440"/>
        <w:jc w:val="center"/>
        <w:rPr>
          <w:rStyle w:val="28"/>
          <w:rFonts w:ascii="黑体" w:hAnsi="黑体" w:eastAsia="黑体"/>
          <w:b w:val="0"/>
          <w:bCs w:val="0"/>
          <w:color w:val="000000" w:themeColor="text1"/>
        </w:rPr>
      </w:pPr>
      <w:bookmarkStart w:id="39" w:name="_Toc15377204"/>
      <w:bookmarkStart w:id="40" w:name="_Toc15396602"/>
      <w:bookmarkStart w:id="41" w:name="_Toc28319"/>
      <w:bookmarkStart w:id="42" w:name="_Toc21842"/>
      <w:bookmarkStart w:id="43" w:name="_Toc27055"/>
      <w:r>
        <w:rPr>
          <w:rFonts w:hint="eastAsia" w:ascii="黑体" w:hAnsi="黑体" w:eastAsia="黑体"/>
          <w:b w:val="0"/>
          <w:bCs w:val="0"/>
          <w:color w:val="000000" w:themeColor="text1"/>
        </w:rPr>
        <w:t>第二部分 2022年度</w:t>
      </w:r>
      <w:r>
        <w:rPr>
          <w:rStyle w:val="28"/>
          <w:rFonts w:hint="eastAsia" w:ascii="黑体" w:hAnsi="黑体" w:eastAsia="黑体"/>
          <w:b w:val="0"/>
          <w:bCs w:val="0"/>
          <w:color w:val="000000" w:themeColor="text1"/>
        </w:rPr>
        <w:t>部门决算情况说明</w:t>
      </w:r>
      <w:bookmarkEnd w:id="39"/>
      <w:bookmarkEnd w:id="40"/>
      <w:bookmarkEnd w:id="41"/>
      <w:bookmarkEnd w:id="42"/>
      <w:bookmarkEnd w:id="43"/>
    </w:p>
    <w:p w14:paraId="28AAB9CE">
      <w:pPr>
        <w:spacing w:line="576" w:lineRule="exact"/>
        <w:rPr>
          <w:color w:val="000000" w:themeColor="text1"/>
        </w:rPr>
      </w:pPr>
    </w:p>
    <w:p w14:paraId="65448410">
      <w:pPr>
        <w:spacing w:line="576" w:lineRule="exact"/>
        <w:ind w:firstLine="640" w:firstLineChars="200"/>
        <w:outlineLvl w:val="1"/>
        <w:rPr>
          <w:rStyle w:val="29"/>
          <w:rFonts w:ascii="黑体" w:hAnsi="黑体" w:eastAsia="黑体"/>
          <w:b w:val="0"/>
          <w:bCs w:val="0"/>
          <w:color w:val="000000" w:themeColor="text1"/>
        </w:rPr>
      </w:pPr>
      <w:bookmarkStart w:id="44" w:name="_Toc1526"/>
      <w:bookmarkStart w:id="45" w:name="_Toc26123"/>
      <w:bookmarkStart w:id="46" w:name="_Toc15396603"/>
      <w:bookmarkStart w:id="47" w:name="_Toc15377205"/>
      <w:bookmarkStart w:id="48" w:name="_Toc3292"/>
      <w:r>
        <w:rPr>
          <w:rFonts w:hint="eastAsia" w:ascii="黑体" w:hAnsi="黑体" w:eastAsia="黑体"/>
          <w:color w:val="000000" w:themeColor="text1"/>
          <w:sz w:val="32"/>
          <w:szCs w:val="32"/>
        </w:rPr>
        <w:t>一、收</w:t>
      </w:r>
      <w:r>
        <w:rPr>
          <w:rStyle w:val="29"/>
          <w:rFonts w:hint="eastAsia" w:ascii="黑体" w:hAnsi="黑体" w:eastAsia="黑体"/>
          <w:b w:val="0"/>
          <w:bCs w:val="0"/>
          <w:color w:val="000000" w:themeColor="text1"/>
        </w:rPr>
        <w:t>入支出决算总体情况说明</w:t>
      </w:r>
      <w:bookmarkEnd w:id="44"/>
      <w:bookmarkEnd w:id="45"/>
      <w:bookmarkEnd w:id="46"/>
      <w:bookmarkEnd w:id="47"/>
      <w:bookmarkEnd w:id="48"/>
    </w:p>
    <w:p w14:paraId="370B5ADC">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度收、支总计1393.93万元。与2021年相比，收、支总计各减少275.15万元，下降16.49%。主要变动原因是干部周转房建设项目已部分完工，一般公共服务支出中的发展与改革事务与住房保障支出中的其他保障性安居工程支出资金费用减少。</w:t>
      </w:r>
    </w:p>
    <w:p w14:paraId="700C4CA1">
      <w:pPr>
        <w:pStyle w:val="2"/>
        <w:spacing w:beforeLines="0"/>
        <w:rPr>
          <w:color w:val="000000" w:themeColor="text1"/>
        </w:rPr>
      </w:pPr>
      <w:r>
        <w:rPr>
          <w:color w:val="000000" w:themeColor="text1"/>
        </w:rPr>
        <w:drawing>
          <wp:inline distT="0" distB="0" distL="0" distR="0">
            <wp:extent cx="5274310" cy="3381375"/>
            <wp:effectExtent l="4445" t="4445" r="17145" b="508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93818B4">
      <w:pPr>
        <w:spacing w:line="576" w:lineRule="exact"/>
        <w:ind w:left="640"/>
        <w:outlineLvl w:val="1"/>
        <w:rPr>
          <w:rStyle w:val="29"/>
          <w:rFonts w:ascii="黑体" w:hAnsi="黑体" w:eastAsia="黑体"/>
          <w:b w:val="0"/>
          <w:bCs w:val="0"/>
          <w:color w:val="000000" w:themeColor="text1"/>
        </w:rPr>
      </w:pPr>
      <w:bookmarkStart w:id="49" w:name="_Toc15377206"/>
      <w:bookmarkStart w:id="50" w:name="_Toc15396604"/>
      <w:bookmarkStart w:id="51" w:name="_Toc24371"/>
      <w:bookmarkStart w:id="52" w:name="_Toc14267"/>
      <w:bookmarkStart w:id="53" w:name="_Toc1649"/>
      <w:r>
        <w:rPr>
          <w:rFonts w:hint="eastAsia" w:ascii="黑体" w:hAnsi="黑体" w:eastAsia="黑体"/>
          <w:color w:val="000000" w:themeColor="text1"/>
          <w:sz w:val="32"/>
          <w:szCs w:val="32"/>
        </w:rPr>
        <w:t>二、收</w:t>
      </w:r>
      <w:r>
        <w:rPr>
          <w:rStyle w:val="29"/>
          <w:rFonts w:hint="eastAsia" w:ascii="黑体" w:hAnsi="黑体" w:eastAsia="黑体"/>
          <w:b w:val="0"/>
          <w:bCs w:val="0"/>
          <w:color w:val="000000" w:themeColor="text1"/>
        </w:rPr>
        <w:t>入决算情况说明</w:t>
      </w:r>
      <w:bookmarkEnd w:id="49"/>
      <w:bookmarkEnd w:id="50"/>
      <w:bookmarkEnd w:id="51"/>
      <w:bookmarkEnd w:id="52"/>
      <w:bookmarkEnd w:id="53"/>
    </w:p>
    <w:p w14:paraId="463E5DE4">
      <w:pPr>
        <w:pStyle w:val="27"/>
        <w:spacing w:line="576" w:lineRule="exact"/>
        <w:ind w:firstLine="640"/>
        <w:outlineLvl w:val="1"/>
        <w:rPr>
          <w:color w:val="000000" w:themeColor="text1"/>
        </w:rPr>
      </w:pPr>
      <w:bookmarkStart w:id="54" w:name="_Toc15985"/>
      <w:bookmarkStart w:id="55" w:name="_Toc28694"/>
      <w:bookmarkStart w:id="56" w:name="_Toc11503"/>
      <w:r>
        <w:rPr>
          <w:rFonts w:hint="eastAsia" w:ascii="仿宋_GB2312" w:hAnsi="仿宋_GB2312" w:eastAsia="仿宋_GB2312" w:cs="仿宋_GB2312"/>
          <w:color w:val="000000" w:themeColor="text1"/>
          <w:sz w:val="32"/>
          <w:szCs w:val="32"/>
        </w:rPr>
        <w:t>2022年本年收入合计1393.93万元，其中：一般公共预算财政拨款收入1393.93万元，占100%。</w:t>
      </w:r>
      <w:bookmarkEnd w:id="54"/>
      <w:bookmarkEnd w:id="55"/>
      <w:bookmarkEnd w:id="56"/>
    </w:p>
    <w:p w14:paraId="51D48E18">
      <w:pPr>
        <w:pStyle w:val="2"/>
        <w:spacing w:beforeLines="0"/>
        <w:rPr>
          <w:color w:val="000000" w:themeColor="text1"/>
        </w:rPr>
      </w:pPr>
      <w:r>
        <w:rPr>
          <w:color w:val="000000" w:themeColor="text1"/>
        </w:rPr>
        <w:drawing>
          <wp:inline distT="0" distB="0" distL="0" distR="0">
            <wp:extent cx="5270500" cy="2872105"/>
            <wp:effectExtent l="4445" t="4445" r="20955"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86B3739">
      <w:pPr>
        <w:pStyle w:val="27"/>
        <w:spacing w:line="600" w:lineRule="exact"/>
        <w:ind w:firstLine="640"/>
        <w:outlineLvl w:val="1"/>
        <w:rPr>
          <w:rStyle w:val="29"/>
          <w:rFonts w:ascii="黑体" w:hAnsi="黑体" w:eastAsia="黑体"/>
          <w:b w:val="0"/>
          <w:bCs w:val="0"/>
          <w:color w:val="000000" w:themeColor="text1"/>
        </w:rPr>
      </w:pPr>
      <w:bookmarkStart w:id="57" w:name="_Toc31116"/>
      <w:bookmarkStart w:id="58" w:name="_Toc15377207"/>
      <w:bookmarkStart w:id="59" w:name="_Toc15396605"/>
      <w:bookmarkStart w:id="60" w:name="_Toc840"/>
      <w:bookmarkStart w:id="61" w:name="_Toc9877"/>
      <w:r>
        <w:rPr>
          <w:rFonts w:hint="eastAsia" w:ascii="黑体" w:hAnsi="黑体" w:eastAsia="黑体"/>
          <w:color w:val="000000" w:themeColor="text1"/>
          <w:sz w:val="32"/>
          <w:szCs w:val="32"/>
        </w:rPr>
        <w:t>三、支</w:t>
      </w:r>
      <w:r>
        <w:rPr>
          <w:rStyle w:val="29"/>
          <w:rFonts w:hint="eastAsia" w:ascii="黑体" w:hAnsi="黑体" w:eastAsia="黑体"/>
          <w:b w:val="0"/>
          <w:bCs w:val="0"/>
          <w:color w:val="000000" w:themeColor="text1"/>
        </w:rPr>
        <w:t>出决算情况说明</w:t>
      </w:r>
      <w:bookmarkEnd w:id="57"/>
      <w:bookmarkEnd w:id="58"/>
      <w:bookmarkEnd w:id="59"/>
      <w:bookmarkEnd w:id="60"/>
      <w:bookmarkEnd w:id="61"/>
    </w:p>
    <w:p w14:paraId="3CC289DE">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2022年本年支出合计1393.93万元，其中：基本支出1193.93万元，占85.65%；项目支出200万元，占14.35%。</w:t>
      </w:r>
    </w:p>
    <w:p w14:paraId="0C1CF40F">
      <w:pPr>
        <w:pStyle w:val="2"/>
        <w:spacing w:before="93"/>
      </w:pPr>
      <w:r>
        <w:rPr>
          <w:rFonts w:hint="eastAsia"/>
        </w:rPr>
        <w:drawing>
          <wp:inline distT="0" distB="0" distL="0" distR="0">
            <wp:extent cx="5267325" cy="2671445"/>
            <wp:effectExtent l="4445" t="4445" r="5080" b="1016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7844EEE">
      <w:pPr>
        <w:spacing w:line="576" w:lineRule="exact"/>
        <w:ind w:firstLine="800" w:firstLineChars="250"/>
        <w:outlineLvl w:val="1"/>
        <w:rPr>
          <w:rFonts w:ascii="仿宋_GB2312" w:hAnsi="仿宋_GB2312" w:eastAsia="仿宋_GB2312" w:cs="仿宋_GB2312"/>
          <w:color w:val="000000" w:themeColor="text1"/>
          <w:sz w:val="32"/>
          <w:szCs w:val="32"/>
        </w:rPr>
      </w:pPr>
      <w:bookmarkStart w:id="62" w:name="_Toc15377208"/>
      <w:bookmarkStart w:id="63" w:name="_Toc900"/>
      <w:bookmarkStart w:id="64" w:name="_Toc1264"/>
      <w:bookmarkStart w:id="65" w:name="_Toc15396606"/>
      <w:bookmarkStart w:id="66" w:name="_Toc27975"/>
      <w:r>
        <w:rPr>
          <w:rFonts w:hint="eastAsia" w:ascii="黑体" w:hAnsi="黑体" w:eastAsia="黑体" w:cs="黑体"/>
          <w:color w:val="000000" w:themeColor="text1"/>
          <w:sz w:val="32"/>
          <w:szCs w:val="32"/>
        </w:rPr>
        <w:t>四、财政拨款收入支出决算总体情况说明</w:t>
      </w:r>
      <w:bookmarkEnd w:id="62"/>
      <w:bookmarkEnd w:id="63"/>
      <w:bookmarkEnd w:id="64"/>
      <w:bookmarkEnd w:id="65"/>
      <w:bookmarkEnd w:id="66"/>
    </w:p>
    <w:p w14:paraId="494B54B0">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财政拨款收、支总计1393.93万元。与2021年相比，财政拨款收、支总计各减少275.15万元，下降16.49%。主要变动原因是干部周转房建设项目已部分完工，一般公共服务支出中的发展与改革事务与住房保障支出中的其他保障性安居工程支出资金减少。</w:t>
      </w:r>
    </w:p>
    <w:p w14:paraId="47BA9464">
      <w:pPr>
        <w:pStyle w:val="2"/>
        <w:spacing w:before="93"/>
      </w:pPr>
      <w:r>
        <w:drawing>
          <wp:inline distT="0" distB="0" distL="0" distR="0">
            <wp:extent cx="5267325" cy="2877820"/>
            <wp:effectExtent l="19050" t="0" r="28244"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8017F5">
      <w:pPr>
        <w:spacing w:line="600" w:lineRule="exact"/>
        <w:ind w:firstLine="640" w:firstLineChars="200"/>
        <w:outlineLvl w:val="1"/>
        <w:rPr>
          <w:rStyle w:val="29"/>
          <w:rFonts w:ascii="黑体" w:hAnsi="黑体" w:eastAsia="黑体"/>
          <w:b w:val="0"/>
          <w:bCs w:val="0"/>
          <w:color w:val="000000" w:themeColor="text1"/>
        </w:rPr>
      </w:pPr>
      <w:bookmarkStart w:id="67" w:name="_Toc15396607"/>
      <w:bookmarkStart w:id="68" w:name="_Toc2909"/>
      <w:bookmarkStart w:id="69" w:name="_Toc15377209"/>
      <w:bookmarkStart w:id="70" w:name="_Toc10925"/>
      <w:bookmarkStart w:id="71" w:name="_Toc30655"/>
      <w:r>
        <w:rPr>
          <w:rFonts w:hint="eastAsia" w:ascii="黑体" w:hAnsi="黑体" w:eastAsia="黑体"/>
          <w:color w:val="000000" w:themeColor="text1"/>
          <w:sz w:val="32"/>
          <w:szCs w:val="32"/>
        </w:rPr>
        <w:t>五、一</w:t>
      </w:r>
      <w:r>
        <w:rPr>
          <w:rStyle w:val="29"/>
          <w:rFonts w:hint="eastAsia" w:ascii="黑体" w:hAnsi="黑体" w:eastAsia="黑体"/>
          <w:b w:val="0"/>
          <w:bCs w:val="0"/>
          <w:color w:val="000000" w:themeColor="text1"/>
        </w:rPr>
        <w:t>般公共预算财政拨款支出决算情况说明</w:t>
      </w:r>
      <w:bookmarkEnd w:id="67"/>
      <w:bookmarkEnd w:id="68"/>
      <w:bookmarkEnd w:id="69"/>
      <w:bookmarkEnd w:id="70"/>
      <w:bookmarkEnd w:id="71"/>
    </w:p>
    <w:p w14:paraId="04D19982">
      <w:pPr>
        <w:spacing w:line="600" w:lineRule="exact"/>
        <w:ind w:firstLine="640" w:firstLineChars="200"/>
        <w:outlineLvl w:val="2"/>
        <w:rPr>
          <w:rFonts w:ascii="楷体_GB2312" w:hAnsi="楷体_GB2312" w:eastAsia="楷体_GB2312" w:cs="楷体_GB2312"/>
          <w:color w:val="000000" w:themeColor="text1"/>
          <w:sz w:val="32"/>
          <w:szCs w:val="32"/>
        </w:rPr>
      </w:pPr>
      <w:bookmarkStart w:id="72" w:name="_Toc3557"/>
      <w:bookmarkStart w:id="73" w:name="_Toc15377210"/>
      <w:bookmarkStart w:id="74" w:name="_Toc8727"/>
      <w:r>
        <w:rPr>
          <w:rFonts w:hint="eastAsia" w:ascii="楷体_GB2312" w:hAnsi="楷体_GB2312" w:eastAsia="楷体_GB2312" w:cs="楷体_GB2312"/>
          <w:color w:val="000000" w:themeColor="text1"/>
          <w:sz w:val="32"/>
          <w:szCs w:val="32"/>
        </w:rPr>
        <w:t>（一）一般公共预算财政拨款支出决算总体情况</w:t>
      </w:r>
      <w:bookmarkEnd w:id="72"/>
      <w:bookmarkEnd w:id="73"/>
      <w:bookmarkEnd w:id="74"/>
    </w:p>
    <w:p w14:paraId="36A035EA">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一般公共预算财政拨款支出1393.93万元，占本年支出合计的100%。与2021年相比，一般公共预算财政拨款支出减少275.15万元，下降16.48%。主要变动原因是干部周转房建设项目已部分完工，一般公共服务支出中的发展与改革事务与住房保障支出中的其他保障性安居工程支出资金减少。</w:t>
      </w:r>
    </w:p>
    <w:p w14:paraId="14DF023D">
      <w:pPr>
        <w:pStyle w:val="2"/>
        <w:spacing w:before="93"/>
      </w:pPr>
      <w:r>
        <w:drawing>
          <wp:inline distT="0" distB="0" distL="0" distR="0">
            <wp:extent cx="5274310" cy="2219325"/>
            <wp:effectExtent l="19050" t="0" r="2159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B18C81">
      <w:pPr>
        <w:spacing w:line="600" w:lineRule="exact"/>
        <w:ind w:firstLine="640" w:firstLineChars="200"/>
        <w:outlineLvl w:val="2"/>
        <w:rPr>
          <w:rFonts w:ascii="仿宋" w:hAnsi="仿宋" w:eastAsia="仿宋"/>
          <w:color w:val="000000" w:themeColor="text1"/>
          <w:sz w:val="32"/>
          <w:szCs w:val="32"/>
        </w:rPr>
      </w:pPr>
      <w:bookmarkStart w:id="75" w:name="_Toc15377211"/>
      <w:bookmarkStart w:id="76" w:name="_Toc15194"/>
      <w:bookmarkStart w:id="77" w:name="_Toc8817"/>
      <w:r>
        <w:rPr>
          <w:rFonts w:hint="eastAsia" w:ascii="楷体_GB2312" w:hAnsi="楷体_GB2312" w:eastAsia="楷体_GB2312" w:cs="楷体_GB2312"/>
          <w:color w:val="000000" w:themeColor="text1"/>
          <w:sz w:val="32"/>
          <w:szCs w:val="32"/>
        </w:rPr>
        <w:t>（二）一般公共预算财政拨款支出决算结构情况</w:t>
      </w:r>
      <w:bookmarkEnd w:id="75"/>
      <w:bookmarkEnd w:id="76"/>
      <w:bookmarkEnd w:id="77"/>
    </w:p>
    <w:p w14:paraId="51CDE4BF">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一般公共预算财政拨款支出1393.93万元，主要用于以下方面:一般公共服务支出663.34万元，占47.59%；国防支出2万元，占0.14%；文化旅游体育与传媒支出3.53万元，占0.25%；社会保障和就业支出121.48万元，占8.71%；卫生健康支出32.54万元，占2.33%；城乡社区支出11万元，占0.79%；农林水支出400.79万元，占28.75%；住房保障支出159.25万元，占11.42%。</w:t>
      </w:r>
    </w:p>
    <w:p w14:paraId="4CA8FECD">
      <w:pPr>
        <w:pStyle w:val="2"/>
        <w:spacing w:before="93"/>
      </w:pPr>
      <w:r>
        <w:drawing>
          <wp:inline distT="0" distB="0" distL="0" distR="0">
            <wp:extent cx="5274310" cy="3076575"/>
            <wp:effectExtent l="19050" t="0" r="2159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95DF50">
      <w:pPr>
        <w:spacing w:line="600" w:lineRule="exact"/>
        <w:ind w:firstLine="640" w:firstLineChars="200"/>
        <w:outlineLvl w:val="2"/>
        <w:rPr>
          <w:rFonts w:ascii="楷体_GB2312" w:hAnsi="楷体_GB2312" w:eastAsia="楷体_GB2312" w:cs="楷体_GB2312"/>
          <w:color w:val="000000" w:themeColor="text1"/>
          <w:sz w:val="32"/>
          <w:szCs w:val="32"/>
        </w:rPr>
      </w:pPr>
      <w:bookmarkStart w:id="78" w:name="_Toc7930"/>
      <w:bookmarkStart w:id="79" w:name="_Toc15377212"/>
      <w:bookmarkStart w:id="80" w:name="_Toc14563"/>
      <w:r>
        <w:rPr>
          <w:rFonts w:hint="eastAsia" w:ascii="楷体_GB2312" w:hAnsi="楷体_GB2312" w:eastAsia="楷体_GB2312" w:cs="楷体_GB2312"/>
          <w:color w:val="000000" w:themeColor="text1"/>
          <w:sz w:val="32"/>
          <w:szCs w:val="32"/>
        </w:rPr>
        <w:t>（三）一般公共预算财政拨款支出决算具体情况</w:t>
      </w:r>
      <w:bookmarkEnd w:id="78"/>
      <w:bookmarkEnd w:id="79"/>
      <w:bookmarkEnd w:id="80"/>
    </w:p>
    <w:p w14:paraId="6BBFF142">
      <w:pPr>
        <w:spacing w:line="576" w:lineRule="exact"/>
        <w:ind w:firstLine="800" w:firstLineChars="250"/>
        <w:rPr>
          <w:rFonts w:ascii="仿宋_GB2312" w:hAnsi="仿宋_GB2312" w:eastAsia="仿宋_GB2312" w:cs="仿宋_GB2312"/>
          <w:color w:val="000000" w:themeColor="text1"/>
          <w:sz w:val="32"/>
          <w:szCs w:val="32"/>
        </w:rPr>
      </w:pPr>
      <w:bookmarkStart w:id="81" w:name="_Toc15377213"/>
      <w:bookmarkStart w:id="82" w:name="_Toc15378460"/>
      <w:bookmarkStart w:id="83" w:name="_Toc15377444"/>
      <w:r>
        <w:rPr>
          <w:rFonts w:hint="eastAsia" w:ascii="仿宋_GB2312" w:hAnsi="仿宋_GB2312" w:eastAsia="仿宋_GB2312" w:cs="仿宋_GB2312"/>
          <w:color w:val="000000" w:themeColor="text1"/>
          <w:sz w:val="32"/>
          <w:szCs w:val="32"/>
        </w:rPr>
        <w:t>2022年一般公共预算支出决算数为1393.93，完成预算100%。其中：</w:t>
      </w:r>
      <w:bookmarkEnd w:id="81"/>
      <w:bookmarkEnd w:id="82"/>
      <w:bookmarkEnd w:id="83"/>
    </w:p>
    <w:p w14:paraId="67DC177B">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1.一般公共服务（类）人大事务（款）代表工作（项）: 支出决算为1.56万元，完成预算100%。</w:t>
      </w:r>
    </w:p>
    <w:p w14:paraId="60800F72">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2.一般公共服务支出（类）人大事务（款）其他人大事务支出（项）:支出决算为2万元，完成预算100%。</w:t>
      </w:r>
    </w:p>
    <w:p w14:paraId="4E0278FF">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3.一般公共服务支出（类）政府办公厅（室）及相关机构事务（款）行政运行（项）:支出决算为655.06万元，完成预算100%。</w:t>
      </w:r>
    </w:p>
    <w:p w14:paraId="6BC878F4">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4.一般公共服务支出（类）财政事务（款）行政运行（项）:支出决算为0.12万元，完成预算100%。</w:t>
      </w:r>
    </w:p>
    <w:p w14:paraId="058B8BBF">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5.一般公共服务支出（类）纪检监察事务（款）其他纪检监察事务支出（项）:支出决算为4.6万元，完成预算100%。</w:t>
      </w:r>
    </w:p>
    <w:p w14:paraId="092D9EF4">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6.国防支出（类）其他国防支出（款）其他国防支出（项）:支出决算为2万元，完成预算100%。</w:t>
      </w:r>
    </w:p>
    <w:p w14:paraId="4EC3D85D">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7.文化旅游体育与传媒支出（类）文化和旅游（款）群众文化（项）:支出决算为3.53万元，完成预算100%。</w:t>
      </w:r>
    </w:p>
    <w:p w14:paraId="5C5AD151">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8.社会保障和就业支出（类）行政事业单位养老支出（款）行政单位离退休（项）: 支出决算为44.14万元，完成预算100%。</w:t>
      </w:r>
    </w:p>
    <w:p w14:paraId="3766D6D0">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9.社会保障和就业支出（类）行政事业单位养老支出（款）机关事业单位基本养老保险缴费支出（项）:支出决算为77.34万元，完成预算100%。</w:t>
      </w:r>
    </w:p>
    <w:p w14:paraId="60ECC437">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10.卫生健康支出（类）计划生育事务（款）其他计划生育事务支出（项）:支出决算为2.34万元，完成预算100%。</w:t>
      </w:r>
    </w:p>
    <w:p w14:paraId="08B0257E">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11.卫生健康支出（类）行政事业单位医疗（款）行政单位医疗（项）:支出决算为14.2万元，完成预算100%。</w:t>
      </w:r>
    </w:p>
    <w:p w14:paraId="33F10413">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12.卫生健康支出（类）行政事业单位医疗（款）事业单位医疗（项）:支出决算为16.01万元，完成预算100%。</w:t>
      </w:r>
    </w:p>
    <w:p w14:paraId="13E4F822">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13.城乡社区支出（类）城乡社区管理事务（款）行政运行（项）:支出决算为4万元，完成预算100%。</w:t>
      </w:r>
    </w:p>
    <w:p w14:paraId="476405DE">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14.城乡社区支出（类）农业农村（款）农村道路建设（项）:支出决算为7.62万元，完成预算100%。</w:t>
      </w:r>
    </w:p>
    <w:p w14:paraId="59AA28BD">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15.农林水支出（类）巩固脱贫衔接乡村振兴（款）其他巩固脱贫衔接乡村振兴支出（项）:支出决算为14.5万元，完成预算100%。</w:t>
      </w:r>
    </w:p>
    <w:p w14:paraId="7E1C7684">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16.农林水支出（类）巩固脱贫衔接乡村振兴（款）生产发展（项）:支出决算为10万元，完成预算100%。</w:t>
      </w:r>
    </w:p>
    <w:p w14:paraId="7BE86AEE">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17.农林水支出（类）巩固脱贫衔接乡村振兴（款）其他巩固脱贫衔接乡村振兴支出（项）:支出决算为14.5万元，完成预算100%。</w:t>
      </w:r>
    </w:p>
    <w:p w14:paraId="755E4473">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18.农林水支出（类）农村综合改革（款）对村民委员会和村党支部的补助（项）:支出决算为368.66万元，完成预算100%。</w:t>
      </w:r>
    </w:p>
    <w:p w14:paraId="2B82A660">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19.住房保障支出（类）保障性安居工程支出（款）其他保障性安居工程支出（项）:支出决算为99.9万元，完成预算100%。</w:t>
      </w:r>
    </w:p>
    <w:p w14:paraId="420298B4">
      <w:pPr>
        <w:spacing w:line="576" w:lineRule="exact"/>
        <w:ind w:firstLine="800" w:firstLineChars="25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20.住房保障支出（类）住房改革支出（款）住房公积金（项）:支出决算为59.35万元，完成预算100%。</w:t>
      </w:r>
    </w:p>
    <w:p w14:paraId="437043CE">
      <w:pPr>
        <w:tabs>
          <w:tab w:val="right" w:pos="8306"/>
        </w:tabs>
        <w:spacing w:line="600" w:lineRule="exact"/>
        <w:ind w:firstLine="640"/>
        <w:outlineLvl w:val="1"/>
        <w:rPr>
          <w:rStyle w:val="29"/>
          <w:b w:val="0"/>
          <w:bCs w:val="0"/>
          <w:color w:val="000000" w:themeColor="text1"/>
        </w:rPr>
      </w:pPr>
      <w:bookmarkStart w:id="84" w:name="_Toc15377214"/>
      <w:bookmarkStart w:id="85" w:name="_Toc1957"/>
      <w:bookmarkStart w:id="86" w:name="_Toc32741"/>
      <w:bookmarkStart w:id="87" w:name="_Toc3390"/>
      <w:bookmarkStart w:id="88" w:name="_Toc15396608"/>
      <w:r>
        <w:rPr>
          <w:rFonts w:hint="eastAsia" w:ascii="黑体" w:eastAsia="黑体"/>
          <w:color w:val="000000" w:themeColor="text1"/>
          <w:sz w:val="32"/>
          <w:szCs w:val="32"/>
        </w:rPr>
        <w:t>六、</w:t>
      </w:r>
      <w:r>
        <w:rPr>
          <w:rFonts w:hint="eastAsia" w:ascii="黑体" w:hAnsi="黑体" w:eastAsia="黑体"/>
          <w:color w:val="000000" w:themeColor="text1"/>
          <w:sz w:val="32"/>
          <w:szCs w:val="32"/>
        </w:rPr>
        <w:t>一</w:t>
      </w:r>
      <w:r>
        <w:rPr>
          <w:rStyle w:val="29"/>
          <w:rFonts w:hint="eastAsia" w:ascii="黑体" w:hAnsi="黑体" w:eastAsia="黑体"/>
          <w:b w:val="0"/>
          <w:bCs w:val="0"/>
          <w:color w:val="000000" w:themeColor="text1"/>
        </w:rPr>
        <w:t>般公共预算财政拨款基本支出决算情况说明</w:t>
      </w:r>
      <w:bookmarkEnd w:id="84"/>
      <w:bookmarkEnd w:id="85"/>
      <w:bookmarkEnd w:id="86"/>
      <w:bookmarkEnd w:id="87"/>
      <w:bookmarkEnd w:id="88"/>
      <w:r>
        <w:rPr>
          <w:rStyle w:val="29"/>
          <w:rFonts w:ascii="黑体" w:hAnsi="黑体" w:eastAsia="黑体"/>
          <w:b w:val="0"/>
          <w:bCs w:val="0"/>
          <w:color w:val="000000" w:themeColor="text1"/>
        </w:rPr>
        <w:tab/>
      </w:r>
    </w:p>
    <w:p w14:paraId="2FEFB689">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2022年一般公共预算财政拨款基本支出1193.93万元，其中：</w:t>
      </w:r>
    </w:p>
    <w:p w14:paraId="31CD98B3">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人员经费982.54万元，主要包括：基本工资371.98万元、津贴补贴76.18万元、奖金150万元、绩效工资75.9万元、机关事业单位基本养老保险缴费77.34万元、职业年金缴费4.62万元、职工基本医疗保险缴费30.2万元、住房公积金59.35万元、其他工资福利支出8.85万元、离休费60.9万元、生活补助60.22万元、其他对个人和家庭的补助支出7万元。</w:t>
      </w:r>
      <w:r>
        <w:rPr>
          <w:rFonts w:hint="eastAsia" w:ascii="仿宋_GB2312" w:hAnsi="仿宋_GB2312" w:eastAsia="仿宋_GB2312" w:cs="仿宋_GB2312"/>
          <w:color w:val="000000" w:themeColor="text1"/>
          <w:sz w:val="32"/>
          <w:szCs w:val="32"/>
        </w:rPr>
        <w:br w:type="textWrapping"/>
      </w:r>
      <w:r>
        <w:rPr>
          <w:rFonts w:hint="eastAsia" w:ascii="仿宋_GB2312" w:hAnsi="仿宋_GB2312" w:eastAsia="仿宋_GB2312" w:cs="仿宋_GB2312"/>
          <w:color w:val="000000" w:themeColor="text1"/>
          <w:sz w:val="32"/>
          <w:szCs w:val="32"/>
        </w:rPr>
        <w:t xml:space="preserve">    公用经费211.39万元，主要包括：办公费50.14万元、印刷费3万元、咨询费0.3万元、水费3.85、电费9.15、差旅费43.3万元、维修（护）费7.76万元、会议费6.92万元、培训费5.92万元、公务接待费11.78万元、工会经费11.5万元、其他交通费用18.82万元、其他商品和服务支出38.96万元。</w:t>
      </w:r>
    </w:p>
    <w:p w14:paraId="6CBD1574">
      <w:pPr>
        <w:spacing w:line="600" w:lineRule="exact"/>
        <w:ind w:firstLine="640"/>
        <w:outlineLvl w:val="1"/>
        <w:rPr>
          <w:rStyle w:val="29"/>
          <w:rFonts w:ascii="黑体" w:hAnsi="黑体" w:eastAsia="黑体"/>
          <w:b w:val="0"/>
          <w:bCs w:val="0"/>
          <w:color w:val="000000" w:themeColor="text1"/>
        </w:rPr>
      </w:pPr>
      <w:bookmarkStart w:id="89" w:name="_Toc19780"/>
      <w:bookmarkStart w:id="90" w:name="_Toc26403"/>
      <w:bookmarkStart w:id="91" w:name="_Toc15396609"/>
      <w:bookmarkStart w:id="92" w:name="_Toc15377215"/>
      <w:bookmarkStart w:id="93" w:name="_Toc6074"/>
      <w:r>
        <w:rPr>
          <w:rFonts w:hint="eastAsia" w:ascii="黑体" w:eastAsia="黑体"/>
          <w:color w:val="000000" w:themeColor="text1"/>
          <w:sz w:val="32"/>
          <w:szCs w:val="32"/>
        </w:rPr>
        <w:t>七、</w:t>
      </w:r>
      <w:r>
        <w:rPr>
          <w:rStyle w:val="29"/>
          <w:rFonts w:hint="eastAsia" w:ascii="黑体" w:hAnsi="黑体" w:eastAsia="黑体"/>
          <w:b w:val="0"/>
          <w:bCs w:val="0"/>
          <w:color w:val="000000" w:themeColor="text1"/>
        </w:rPr>
        <w:t>财政拨款“三公”经费支出决算情况说明</w:t>
      </w:r>
      <w:bookmarkEnd w:id="89"/>
      <w:bookmarkEnd w:id="90"/>
      <w:bookmarkEnd w:id="91"/>
      <w:bookmarkEnd w:id="92"/>
      <w:bookmarkEnd w:id="93"/>
    </w:p>
    <w:p w14:paraId="4AE9B160">
      <w:pPr>
        <w:spacing w:line="600" w:lineRule="exact"/>
        <w:ind w:firstLine="640"/>
        <w:outlineLvl w:val="2"/>
        <w:rPr>
          <w:rFonts w:ascii="仿宋" w:hAnsi="仿宋" w:eastAsia="仿宋"/>
          <w:color w:val="000000" w:themeColor="text1"/>
          <w:sz w:val="32"/>
          <w:szCs w:val="32"/>
        </w:rPr>
      </w:pPr>
      <w:bookmarkStart w:id="94" w:name="_Toc2400"/>
      <w:bookmarkStart w:id="95" w:name="_Toc32235"/>
      <w:bookmarkStart w:id="96" w:name="_Toc15377216"/>
      <w:r>
        <w:rPr>
          <w:rFonts w:hint="eastAsia" w:ascii="楷体_GB2312" w:hAnsi="楷体_GB2312" w:eastAsia="楷体_GB2312" w:cs="楷体_GB2312"/>
          <w:color w:val="000000" w:themeColor="text1"/>
          <w:sz w:val="32"/>
          <w:szCs w:val="32"/>
        </w:rPr>
        <w:t>（一）“三公”经费财政拨款支出决算总体情况说明</w:t>
      </w:r>
      <w:bookmarkEnd w:id="94"/>
      <w:bookmarkEnd w:id="95"/>
      <w:bookmarkEnd w:id="96"/>
    </w:p>
    <w:p w14:paraId="209DE3DC">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三公”经费财政拨款支出决算为11.78万元，完成预算100%，较上年增加10.77万元，增长1066.33%。主要原因是2022年公务活动增多，接待人次相应增加；其次2021年未支付费用支出后数据统计在本年度。决算数与预算数持平。</w:t>
      </w:r>
    </w:p>
    <w:p w14:paraId="3E4B2576">
      <w:pPr>
        <w:spacing w:line="600" w:lineRule="exact"/>
        <w:ind w:firstLine="640"/>
        <w:outlineLvl w:val="2"/>
        <w:rPr>
          <w:rFonts w:ascii="楷体_GB2312" w:hAnsi="楷体_GB2312" w:eastAsia="楷体_GB2312" w:cs="楷体_GB2312"/>
          <w:color w:val="000000" w:themeColor="text1"/>
          <w:sz w:val="32"/>
          <w:szCs w:val="32"/>
        </w:rPr>
      </w:pPr>
      <w:bookmarkStart w:id="97" w:name="_Toc15377217"/>
      <w:bookmarkStart w:id="98" w:name="_Toc27130"/>
      <w:bookmarkStart w:id="99" w:name="_Toc1588"/>
      <w:r>
        <w:rPr>
          <w:rFonts w:hint="eastAsia" w:ascii="楷体_GB2312" w:hAnsi="楷体_GB2312" w:eastAsia="楷体_GB2312" w:cs="楷体_GB2312"/>
          <w:color w:val="000000" w:themeColor="text1"/>
          <w:sz w:val="32"/>
          <w:szCs w:val="32"/>
        </w:rPr>
        <w:t>（二）“三公”经费财政拨款支出决算具体情况说明</w:t>
      </w:r>
      <w:bookmarkEnd w:id="97"/>
      <w:bookmarkEnd w:id="98"/>
      <w:bookmarkEnd w:id="99"/>
    </w:p>
    <w:p w14:paraId="588AF37F">
      <w:pPr>
        <w:spacing w:line="600" w:lineRule="exact"/>
        <w:ind w:firstLine="640"/>
        <w:rPr>
          <w:rFonts w:ascii="仿宋" w:hAnsi="仿宋" w:eastAsia="仿宋"/>
          <w:color w:val="000000" w:themeColor="text1"/>
          <w:sz w:val="32"/>
          <w:szCs w:val="32"/>
        </w:rPr>
      </w:pPr>
      <w:r>
        <w:rPr>
          <w:rFonts w:hint="eastAsia" w:ascii="仿宋_GB2312" w:hAnsi="仿宋_GB2312" w:eastAsia="仿宋_GB2312" w:cs="仿宋_GB2312"/>
          <w:color w:val="000000" w:themeColor="text1"/>
          <w:sz w:val="32"/>
          <w:szCs w:val="32"/>
        </w:rPr>
        <w:t>2022年“三公”经费财政拨款支出决算中，因公出国（境）费支出决算0万元，占0%；公务用车购置及运行维护费支出决算0万元，占0%；公务接待费支出决算11.78万元，占100%。具体情况如下：</w:t>
      </w:r>
    </w:p>
    <w:p w14:paraId="5172D920">
      <w:pPr>
        <w:pStyle w:val="2"/>
        <w:spacing w:before="93"/>
        <w:jc w:val="center"/>
      </w:pPr>
      <w:r>
        <w:drawing>
          <wp:inline distT="0" distB="0" distL="0" distR="0">
            <wp:extent cx="4572000" cy="2743200"/>
            <wp:effectExtent l="19050" t="0" r="1905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3A1F1F">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1.因公出国（境）经费支出0万元，年初未安排预算。全年安排因公出国（境）团组0次，出国（境）0人。因公出国（境）支出决算比2021年无变化。</w:t>
      </w:r>
    </w:p>
    <w:p w14:paraId="1DBC4987">
      <w:pPr>
        <w:spacing w:line="60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2.公务用车购置及运行维护费支出0万元, 年初未安排预算。公务用车购置及运行维护费支出决算较2021年无变化。</w:t>
      </w:r>
    </w:p>
    <w:p w14:paraId="1A8D8AB3">
      <w:pPr>
        <w:spacing w:line="60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其中：公务用车购置支出0万元。全年按规定更新购置公务用车0辆，其中：轿车0辆、金额0万元，越野车0辆、金额0万元，载客汽车0辆、金额0万元。截至</w:t>
      </w:r>
      <w:r>
        <w:rPr>
          <w:rFonts w:ascii="仿宋_GB2312" w:hAnsi="仿宋_GB2312" w:eastAsia="仿宋_GB2312" w:cs="仿宋_GB2312"/>
          <w:color w:val="000000" w:themeColor="text1"/>
          <w:sz w:val="32"/>
          <w:szCs w:val="32"/>
        </w:rPr>
        <w:t>20</w:t>
      </w:r>
      <w:r>
        <w:rPr>
          <w:rFonts w:hint="eastAsia" w:ascii="仿宋_GB2312" w:hAnsi="仿宋_GB2312" w:eastAsia="仿宋_GB2312" w:cs="仿宋_GB2312"/>
          <w:color w:val="000000" w:themeColor="text1"/>
          <w:sz w:val="32"/>
          <w:szCs w:val="32"/>
        </w:rPr>
        <w:t>22年</w:t>
      </w:r>
      <w:r>
        <w:rPr>
          <w:rFonts w:ascii="仿宋_GB2312" w:hAnsi="仿宋_GB2312" w:eastAsia="仿宋_GB2312" w:cs="仿宋_GB2312"/>
          <w:color w:val="000000" w:themeColor="text1"/>
          <w:sz w:val="32"/>
          <w:szCs w:val="32"/>
        </w:rPr>
        <w:t>12</w:t>
      </w:r>
      <w:r>
        <w:rPr>
          <w:rFonts w:hint="eastAsia" w:ascii="仿宋_GB2312" w:hAnsi="仿宋_GB2312" w:eastAsia="仿宋_GB2312" w:cs="仿宋_GB2312"/>
          <w:color w:val="000000" w:themeColor="text1"/>
          <w:sz w:val="32"/>
          <w:szCs w:val="32"/>
        </w:rPr>
        <w:t>月底，单位共有公务用车0辆，其中：轿车0辆、越野车0辆、载客汽车0辆。</w:t>
      </w:r>
    </w:p>
    <w:p w14:paraId="5E865FF3">
      <w:pPr>
        <w:spacing w:line="600" w:lineRule="exact"/>
        <w:ind w:firstLine="64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公务用车运行维护费支出0万元。</w:t>
      </w:r>
    </w:p>
    <w:p w14:paraId="5C5EB3BC">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3.公务接待费支出11.78万元，完成预算100%。公务接待费支出决算比2021年增加10.77万元，增长1066.33%。主要原因是2022年公务活动增多，接待人次相应增加；其次2021年未支付费用支出后数据统计在本年度。其中：</w:t>
      </w:r>
    </w:p>
    <w:p w14:paraId="3E62B0F2">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国内公务接待支出11.78万元，主要用于执行政府基本运转方面工作安排检查、开展各项业务活动的住宿及用餐费等等。国内公务接待365批次，2208人次（不包括陪同人员），共计支出11.78万元，具体内容包括：用于执行政府基本运转方面工作安排检查、开展各项业务活动的住宿及用餐费11.78万元。</w:t>
      </w:r>
    </w:p>
    <w:p w14:paraId="26D8DC37">
      <w:pPr>
        <w:spacing w:line="576" w:lineRule="exact"/>
        <w:ind w:firstLine="640" w:firstLineChars="200"/>
        <w:rPr>
          <w:rFonts w:ascii="仿宋_GB2312" w:hAnsi="仿宋_GB2312" w:eastAsia="仿宋_GB2312" w:cs="仿宋_GB2312"/>
          <w:color w:val="000000" w:themeColor="text1"/>
          <w:sz w:val="32"/>
          <w:szCs w:val="32"/>
        </w:rPr>
      </w:pPr>
      <w:bookmarkStart w:id="100" w:name="_Toc15377218"/>
      <w:bookmarkStart w:id="101" w:name="_Toc15396610"/>
      <w:r>
        <w:rPr>
          <w:rFonts w:hint="eastAsia" w:ascii="仿宋_GB2312" w:hAnsi="仿宋_GB2312" w:eastAsia="仿宋_GB2312" w:cs="仿宋_GB2312"/>
          <w:color w:val="000000" w:themeColor="text1"/>
          <w:sz w:val="32"/>
          <w:szCs w:val="32"/>
        </w:rPr>
        <w:t>外事接待支出0万元，外事接待0批次，0人，共计支出0万元。</w:t>
      </w:r>
    </w:p>
    <w:p w14:paraId="3A23520B">
      <w:pPr>
        <w:spacing w:line="576" w:lineRule="exact"/>
        <w:ind w:firstLine="640"/>
        <w:outlineLvl w:val="1"/>
        <w:rPr>
          <w:rStyle w:val="29"/>
          <w:rFonts w:ascii="黑体" w:hAnsi="黑体" w:eastAsia="黑体"/>
          <w:b w:val="0"/>
          <w:bCs w:val="0"/>
          <w:color w:val="000000" w:themeColor="text1"/>
        </w:rPr>
      </w:pPr>
      <w:bookmarkStart w:id="102" w:name="_Toc26573"/>
      <w:bookmarkStart w:id="103" w:name="_Toc19252"/>
      <w:bookmarkStart w:id="104" w:name="_Toc25627"/>
      <w:r>
        <w:rPr>
          <w:rFonts w:hint="eastAsia" w:ascii="黑体" w:eastAsia="黑体"/>
          <w:color w:val="000000" w:themeColor="text1"/>
          <w:sz w:val="32"/>
          <w:szCs w:val="32"/>
        </w:rPr>
        <w:t>八、</w:t>
      </w:r>
      <w:r>
        <w:rPr>
          <w:rStyle w:val="29"/>
          <w:rFonts w:hint="eastAsia" w:ascii="黑体" w:hAnsi="黑体" w:eastAsia="黑体"/>
          <w:b w:val="0"/>
          <w:bCs w:val="0"/>
          <w:color w:val="000000" w:themeColor="text1"/>
        </w:rPr>
        <w:t>政府性基金预算支出决算情况说明</w:t>
      </w:r>
      <w:bookmarkEnd w:id="100"/>
      <w:bookmarkEnd w:id="101"/>
      <w:bookmarkEnd w:id="102"/>
      <w:bookmarkEnd w:id="103"/>
      <w:bookmarkEnd w:id="104"/>
    </w:p>
    <w:p w14:paraId="001069AE">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2022年政府性基金预算财政拨款支出0万元。</w:t>
      </w:r>
    </w:p>
    <w:p w14:paraId="412FBDCF">
      <w:pPr>
        <w:numPr>
          <w:ilvl w:val="0"/>
          <w:numId w:val="1"/>
        </w:numPr>
        <w:spacing w:line="576" w:lineRule="exact"/>
        <w:ind w:firstLine="640"/>
        <w:outlineLvl w:val="1"/>
        <w:rPr>
          <w:rStyle w:val="29"/>
          <w:rFonts w:ascii="黑体" w:hAnsi="黑体" w:eastAsia="黑体"/>
          <w:b w:val="0"/>
          <w:bCs w:val="0"/>
          <w:color w:val="000000" w:themeColor="text1"/>
        </w:rPr>
      </w:pPr>
      <w:bookmarkStart w:id="105" w:name="_Toc15396611"/>
      <w:bookmarkStart w:id="106" w:name="_Toc15377219"/>
      <w:bookmarkStart w:id="107" w:name="_Toc11325"/>
      <w:bookmarkStart w:id="108" w:name="_Toc7410"/>
      <w:bookmarkStart w:id="109" w:name="_Toc25170"/>
      <w:r>
        <w:rPr>
          <w:rStyle w:val="29"/>
          <w:rFonts w:hint="eastAsia" w:ascii="黑体" w:hAnsi="黑体" w:eastAsia="黑体"/>
          <w:b w:val="0"/>
          <w:bCs w:val="0"/>
          <w:color w:val="000000" w:themeColor="text1"/>
        </w:rPr>
        <w:t>国有资本经营预算支出决算情况说明</w:t>
      </w:r>
      <w:bookmarkEnd w:id="105"/>
      <w:bookmarkEnd w:id="106"/>
      <w:bookmarkEnd w:id="107"/>
      <w:bookmarkEnd w:id="108"/>
      <w:bookmarkEnd w:id="109"/>
    </w:p>
    <w:p w14:paraId="5BFADF06">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2022年国有资本经营预算财政拨款支出0万元。</w:t>
      </w:r>
    </w:p>
    <w:p w14:paraId="17160B16">
      <w:pPr>
        <w:numPr>
          <w:ilvl w:val="0"/>
          <w:numId w:val="1"/>
        </w:numPr>
        <w:spacing w:line="576" w:lineRule="exact"/>
        <w:ind w:firstLine="640"/>
        <w:outlineLvl w:val="1"/>
        <w:rPr>
          <w:rStyle w:val="29"/>
          <w:rFonts w:ascii="黑体" w:hAnsi="黑体" w:eastAsia="黑体"/>
          <w:b w:val="0"/>
          <w:bCs w:val="0"/>
          <w:color w:val="000000" w:themeColor="text1"/>
        </w:rPr>
      </w:pPr>
      <w:bookmarkStart w:id="110" w:name="_Toc7154"/>
      <w:bookmarkStart w:id="111" w:name="_Toc15377221"/>
      <w:bookmarkStart w:id="112" w:name="_Toc3049"/>
      <w:bookmarkStart w:id="113" w:name="_Toc15396612"/>
      <w:bookmarkStart w:id="114" w:name="_Toc24103"/>
      <w:r>
        <w:rPr>
          <w:rStyle w:val="29"/>
          <w:rFonts w:hint="eastAsia" w:ascii="黑体" w:hAnsi="黑体" w:eastAsia="黑体"/>
          <w:b w:val="0"/>
          <w:bCs w:val="0"/>
          <w:color w:val="000000" w:themeColor="text1"/>
        </w:rPr>
        <w:t>其他重要事项的情况说明</w:t>
      </w:r>
      <w:bookmarkEnd w:id="110"/>
      <w:bookmarkEnd w:id="111"/>
      <w:bookmarkEnd w:id="112"/>
      <w:bookmarkEnd w:id="113"/>
      <w:bookmarkEnd w:id="114"/>
    </w:p>
    <w:p w14:paraId="298468B4">
      <w:pPr>
        <w:spacing w:line="576" w:lineRule="exact"/>
        <w:ind w:firstLine="640" w:firstLineChars="200"/>
        <w:outlineLvl w:val="2"/>
        <w:rPr>
          <w:rFonts w:ascii="仿宋" w:hAnsi="仿宋" w:eastAsia="仿宋"/>
          <w:color w:val="000000" w:themeColor="text1"/>
          <w:sz w:val="32"/>
          <w:szCs w:val="32"/>
        </w:rPr>
      </w:pPr>
      <w:bookmarkStart w:id="115" w:name="_Toc32538"/>
      <w:bookmarkStart w:id="116" w:name="_Toc15377222"/>
      <w:bookmarkStart w:id="117" w:name="_Toc29044"/>
      <w:r>
        <w:rPr>
          <w:rFonts w:hint="eastAsia" w:ascii="楷体_GB2312" w:hAnsi="楷体_GB2312" w:eastAsia="楷体_GB2312" w:cs="楷体_GB2312"/>
          <w:color w:val="000000" w:themeColor="text1"/>
          <w:sz w:val="32"/>
          <w:szCs w:val="32"/>
        </w:rPr>
        <w:t>（一）机关运行经费支出情况</w:t>
      </w:r>
      <w:bookmarkEnd w:id="115"/>
      <w:bookmarkEnd w:id="116"/>
      <w:bookmarkEnd w:id="117"/>
    </w:p>
    <w:p w14:paraId="12F68E4C">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2022年，广元市昭化区王家镇人民政府运行经费支出211.39万元，比2021年减少25.79万元，下降10.87%。主要原因是在编在岗人员较去年减少。</w:t>
      </w:r>
    </w:p>
    <w:p w14:paraId="544C9446">
      <w:pPr>
        <w:spacing w:line="576" w:lineRule="exact"/>
        <w:ind w:firstLine="640" w:firstLineChars="200"/>
        <w:outlineLvl w:val="2"/>
        <w:rPr>
          <w:rFonts w:ascii="楷体_GB2312" w:hAnsi="楷体_GB2312" w:eastAsia="楷体_GB2312" w:cs="楷体_GB2312"/>
          <w:color w:val="000000" w:themeColor="text1"/>
          <w:sz w:val="32"/>
          <w:szCs w:val="32"/>
        </w:rPr>
      </w:pPr>
      <w:bookmarkStart w:id="118" w:name="_Toc24376"/>
      <w:bookmarkStart w:id="119" w:name="_Toc15377223"/>
      <w:bookmarkStart w:id="120" w:name="_Toc19516"/>
      <w:r>
        <w:rPr>
          <w:rFonts w:hint="eastAsia" w:ascii="楷体_GB2312" w:hAnsi="楷体_GB2312" w:eastAsia="楷体_GB2312" w:cs="楷体_GB2312"/>
          <w:color w:val="000000" w:themeColor="text1"/>
          <w:sz w:val="32"/>
          <w:szCs w:val="32"/>
        </w:rPr>
        <w:t>（二）政府采购支出情况</w:t>
      </w:r>
      <w:bookmarkEnd w:id="118"/>
      <w:bookmarkEnd w:id="119"/>
      <w:bookmarkEnd w:id="120"/>
    </w:p>
    <w:p w14:paraId="28197BEB">
      <w:pPr>
        <w:spacing w:line="576" w:lineRule="exact"/>
        <w:ind w:firstLine="640" w:firstLineChars="200"/>
        <w:rPr>
          <w:rFonts w:ascii="仿宋_GB2312" w:eastAsia="仿宋_GB2312"/>
          <w:color w:val="000000" w:themeColor="text1"/>
          <w:sz w:val="32"/>
          <w:szCs w:val="32"/>
        </w:rPr>
      </w:pPr>
      <w:r>
        <w:rPr>
          <w:rFonts w:hint="eastAsia" w:ascii="仿宋_GB2312" w:hAnsi="仿宋_GB2312" w:eastAsia="仿宋_GB2312" w:cs="仿宋_GB2312"/>
          <w:color w:val="000000" w:themeColor="text1"/>
          <w:sz w:val="32"/>
          <w:szCs w:val="32"/>
        </w:rPr>
        <w:t>2022年，广元市昭化区王家镇人民政府政府采购支出总额0万元，其中：政府采购货物支出0万元、政府采购工程支出0万元、政府采购服务支出0万元。授予中小企业合同金额0万元，占政府采购支出总额的0%，其中：授予小微企业合同金额0万元，占政府采购支出总额的0%。</w:t>
      </w:r>
    </w:p>
    <w:p w14:paraId="388D6D3D">
      <w:pPr>
        <w:spacing w:line="576" w:lineRule="exact"/>
        <w:ind w:firstLine="640" w:firstLineChars="200"/>
        <w:outlineLvl w:val="2"/>
        <w:rPr>
          <w:rFonts w:ascii="楷体_GB2312" w:hAnsi="楷体_GB2312" w:eastAsia="楷体_GB2312" w:cs="楷体_GB2312"/>
          <w:color w:val="000000" w:themeColor="text1"/>
          <w:sz w:val="32"/>
          <w:szCs w:val="32"/>
        </w:rPr>
      </w:pPr>
      <w:bookmarkStart w:id="121" w:name="_Toc25601"/>
      <w:bookmarkStart w:id="122" w:name="_Toc3691"/>
      <w:bookmarkStart w:id="123" w:name="_Toc15377224"/>
      <w:r>
        <w:rPr>
          <w:rFonts w:hint="eastAsia" w:ascii="楷体_GB2312" w:hAnsi="楷体_GB2312" w:eastAsia="楷体_GB2312" w:cs="楷体_GB2312"/>
          <w:color w:val="000000" w:themeColor="text1"/>
          <w:sz w:val="32"/>
          <w:szCs w:val="32"/>
        </w:rPr>
        <w:t>（三）国有资产占有使用情况</w:t>
      </w:r>
      <w:bookmarkEnd w:id="121"/>
      <w:bookmarkEnd w:id="122"/>
      <w:bookmarkEnd w:id="123"/>
    </w:p>
    <w:p w14:paraId="0025B1E1">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截至2022年12月31日，广元市昭化区王家镇人民政府共有车辆0辆，其中：主要领导干部用车0辆、机要通信用车0辆、应急保障用车0辆、其他用车0辆。单价100万元以上专用设备0台（套）。</w:t>
      </w:r>
    </w:p>
    <w:p w14:paraId="04615EE3">
      <w:pPr>
        <w:autoSpaceDE w:val="0"/>
        <w:autoSpaceDN w:val="0"/>
        <w:adjustRightInd w:val="0"/>
        <w:spacing w:line="576" w:lineRule="exact"/>
        <w:ind w:firstLine="640" w:firstLineChars="200"/>
        <w:jc w:val="left"/>
        <w:outlineLvl w:val="2"/>
        <w:rPr>
          <w:rFonts w:ascii="仿宋" w:hAnsi="仿宋" w:eastAsia="仿宋"/>
          <w:color w:val="000000" w:themeColor="text1"/>
          <w:sz w:val="32"/>
          <w:szCs w:val="32"/>
        </w:rPr>
      </w:pPr>
      <w:bookmarkStart w:id="124" w:name="_Toc12204"/>
      <w:bookmarkStart w:id="125" w:name="_Toc25342"/>
      <w:r>
        <w:rPr>
          <w:rFonts w:hint="eastAsia" w:ascii="楷体_GB2312" w:hAnsi="楷体_GB2312" w:eastAsia="楷体_GB2312" w:cs="楷体_GB2312"/>
          <w:color w:val="000000" w:themeColor="text1"/>
          <w:sz w:val="32"/>
          <w:szCs w:val="32"/>
        </w:rPr>
        <w:t>（四）预算绩效管理情况</w:t>
      </w:r>
      <w:bookmarkEnd w:id="124"/>
      <w:bookmarkEnd w:id="125"/>
    </w:p>
    <w:p w14:paraId="427F6E64">
      <w:pPr>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根据预算绩效管理要求，本部门在2022年度预算编制阶段，组织对基层组织活动和公共运行维护经费项目等2个项目开展了预算事前绩效评估，对2个项目编制了绩效目标，预算执行过程中，选取2个项目开展绩效监控。</w:t>
      </w:r>
    </w:p>
    <w:p w14:paraId="2994986E">
      <w:pPr>
        <w:spacing w:line="576" w:lineRule="exact"/>
        <w:ind w:firstLine="640" w:firstLineChars="200"/>
        <w:jc w:val="left"/>
        <w:rPr>
          <w:rFonts w:ascii="仿宋_GB2312" w:hAnsi="宋体" w:eastAsia="仿宋_GB2312"/>
          <w:sz w:val="32"/>
          <w:szCs w:val="32"/>
          <w:lang w:val="zh-CN"/>
        </w:rPr>
      </w:pPr>
      <w:r>
        <w:rPr>
          <w:rFonts w:hint="eastAsia" w:ascii="仿宋_GB2312" w:hAnsi="仿宋_GB2312" w:eastAsia="仿宋_GB2312" w:cs="仿宋_GB2312"/>
          <w:color w:val="000000" w:themeColor="text1"/>
          <w:sz w:val="32"/>
          <w:szCs w:val="32"/>
        </w:rPr>
        <w:t>组织对2022年度一般公共预算支出、政府性基金预算支出、国有资本经营预算支出、社会保险基金预算支出以及资本资产、债券资金等全面开展绩效自评，形成王家镇人民政府部门整体（含部门预算项目）绩效自评报告、基层组织活动和公共服务运行经费等</w:t>
      </w:r>
      <w:r>
        <w:rPr>
          <w:rFonts w:ascii="仿宋_GB2312" w:hAnsi="仿宋_GB2312" w:eastAsia="仿宋_GB2312" w:cs="仿宋_GB2312"/>
          <w:color w:val="000000" w:themeColor="text1"/>
          <w:sz w:val="32"/>
          <w:szCs w:val="32"/>
        </w:rPr>
        <w:t>项目支出绩效自评报告</w:t>
      </w:r>
      <w:r>
        <w:rPr>
          <w:rFonts w:hint="eastAsia" w:ascii="仿宋_GB2312" w:hAnsi="仿宋_GB2312" w:eastAsia="仿宋_GB2312" w:cs="仿宋_GB2312"/>
          <w:color w:val="000000" w:themeColor="text1"/>
          <w:sz w:val="32"/>
          <w:szCs w:val="32"/>
        </w:rPr>
        <w:t>，其中王家镇人民政府部门整体（含部门预算项目）绩效自评得分为99.5分，绩效自评综述：2022年王家镇部门整体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2022年基本完成，在保障机关运转、履行职能职责上整体情况良好；基层组织活动和公共服务运行经费绩效自评得分为99分，绩效自评综述：</w:t>
      </w:r>
      <w:r>
        <w:rPr>
          <w:rFonts w:hint="eastAsia" w:ascii="仿宋_GB2312" w:hAnsi="宋体" w:eastAsia="仿宋_GB2312"/>
          <w:sz w:val="32"/>
          <w:szCs w:val="32"/>
          <w:lang w:val="zh-CN"/>
        </w:rPr>
        <w:t>2022年我镇农村公共运行服务项目：完成了垃圾清运1650余次、村社道路维修3.7公里，护林624次，涵洞维修4处，稻香广场1处，水毁道路3处。项目于2022年12月20日前全部实施完工。项目规划符合省委、区委、省政府、区政府重大决策部署，项目绩效目标合理、明确，与项目年度目标一致；2022年烤烟产业发展资金支出的绩效自评得分99.5分，绩效自评综述：</w:t>
      </w:r>
      <w:r>
        <w:rPr>
          <w:rFonts w:hint="eastAsia" w:ascii="仿宋_GB2312" w:hAnsi="仿宋_GB2312" w:eastAsia="仿宋_GB2312" w:cs="仿宋_GB2312"/>
          <w:sz w:val="32"/>
          <w:szCs w:val="32"/>
          <w:shd w:val="clear" w:color="auto" w:fill="FFFFFF"/>
        </w:rPr>
        <w:t>该项目建设紧抓以促进烤烟产业持续稳定发展和让烟农得实惠为出发点；以提升烟叶质量和市场竞争力为关键点；以完善基础设施为保障点；真正使财政资金实现令人民满意和取得最大绩效。</w:t>
      </w:r>
      <w:r>
        <w:rPr>
          <w:rFonts w:hint="eastAsia" w:ascii="仿宋_GB2312" w:hAnsi="宋体" w:eastAsia="仿宋_GB2312"/>
          <w:sz w:val="32"/>
          <w:szCs w:val="32"/>
          <w:lang w:val="zh-CN"/>
        </w:rPr>
        <w:t>绩效自评报告及自评表详见附件。</w:t>
      </w:r>
    </w:p>
    <w:p w14:paraId="3C592FA5">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p>
    <w:p w14:paraId="04F8825F">
      <w:pPr>
        <w:pStyle w:val="14"/>
        <w:spacing w:after="0" w:line="576" w:lineRule="exact"/>
        <w:ind w:left="0" w:leftChars="0" w:firstLine="0" w:firstLineChars="0"/>
        <w:rPr>
          <w:rFonts w:ascii="Times New Roman"/>
          <w:color w:val="000000" w:themeColor="text1"/>
          <w:sz w:val="32"/>
        </w:rPr>
      </w:pPr>
    </w:p>
    <w:p w14:paraId="598DD3C7">
      <w:pPr>
        <w:pStyle w:val="14"/>
        <w:spacing w:after="0" w:line="576" w:lineRule="exact"/>
        <w:ind w:left="0" w:leftChars="0" w:firstLine="0" w:firstLineChars="0"/>
        <w:rPr>
          <w:rFonts w:ascii="Times New Roman"/>
          <w:color w:val="000000" w:themeColor="text1"/>
          <w:sz w:val="32"/>
        </w:rPr>
      </w:pPr>
    </w:p>
    <w:p w14:paraId="5F5BE3EE">
      <w:pPr>
        <w:pStyle w:val="14"/>
        <w:spacing w:after="0" w:line="576" w:lineRule="exact"/>
        <w:ind w:left="0" w:leftChars="0" w:firstLine="0" w:firstLineChars="0"/>
        <w:rPr>
          <w:rFonts w:ascii="Times New Roman"/>
          <w:color w:val="000000" w:themeColor="text1"/>
          <w:sz w:val="32"/>
        </w:rPr>
      </w:pPr>
    </w:p>
    <w:p w14:paraId="6E2B539A">
      <w:pPr>
        <w:pStyle w:val="14"/>
        <w:spacing w:after="0" w:line="576" w:lineRule="exact"/>
        <w:ind w:left="0" w:leftChars="0" w:firstLine="0" w:firstLineChars="0"/>
        <w:rPr>
          <w:rFonts w:ascii="Times New Roman"/>
          <w:color w:val="000000" w:themeColor="text1"/>
          <w:sz w:val="32"/>
        </w:rPr>
      </w:pPr>
    </w:p>
    <w:p w14:paraId="57B4E74C">
      <w:pPr>
        <w:pStyle w:val="14"/>
        <w:spacing w:after="0" w:line="576" w:lineRule="exact"/>
        <w:ind w:left="0" w:leftChars="0" w:firstLine="0" w:firstLineChars="0"/>
        <w:rPr>
          <w:rFonts w:ascii="Times New Roman"/>
          <w:color w:val="000000" w:themeColor="text1"/>
          <w:sz w:val="32"/>
        </w:rPr>
      </w:pPr>
    </w:p>
    <w:p w14:paraId="134DCC90">
      <w:pPr>
        <w:pStyle w:val="14"/>
        <w:spacing w:after="0" w:line="576" w:lineRule="exact"/>
        <w:ind w:left="0" w:leftChars="0" w:firstLine="0" w:firstLineChars="0"/>
        <w:rPr>
          <w:rFonts w:ascii="Times New Roman"/>
          <w:color w:val="000000" w:themeColor="text1"/>
          <w:sz w:val="32"/>
        </w:rPr>
      </w:pPr>
    </w:p>
    <w:p w14:paraId="64D66576">
      <w:pPr>
        <w:pStyle w:val="14"/>
        <w:spacing w:after="0" w:line="576" w:lineRule="exact"/>
        <w:ind w:left="0" w:leftChars="0" w:firstLine="0" w:firstLineChars="0"/>
        <w:rPr>
          <w:rFonts w:ascii="Times New Roman"/>
          <w:color w:val="000000" w:themeColor="text1"/>
          <w:sz w:val="32"/>
        </w:rPr>
      </w:pPr>
    </w:p>
    <w:p w14:paraId="3C41CE8A">
      <w:pPr>
        <w:pStyle w:val="14"/>
        <w:spacing w:after="0" w:line="576" w:lineRule="exact"/>
        <w:ind w:left="0" w:leftChars="0" w:firstLine="0" w:firstLineChars="0"/>
        <w:rPr>
          <w:rFonts w:ascii="Times New Roman"/>
          <w:color w:val="000000" w:themeColor="text1"/>
          <w:sz w:val="32"/>
        </w:rPr>
      </w:pPr>
    </w:p>
    <w:p w14:paraId="7825E1FF">
      <w:pPr>
        <w:pStyle w:val="14"/>
        <w:spacing w:after="0" w:line="576" w:lineRule="exact"/>
        <w:ind w:left="0" w:leftChars="0" w:firstLine="0" w:firstLineChars="0"/>
        <w:rPr>
          <w:rFonts w:ascii="Times New Roman"/>
          <w:color w:val="000000" w:themeColor="text1"/>
          <w:sz w:val="32"/>
        </w:rPr>
      </w:pPr>
    </w:p>
    <w:p w14:paraId="104559D2">
      <w:pPr>
        <w:pStyle w:val="14"/>
        <w:spacing w:after="0" w:line="576" w:lineRule="exact"/>
        <w:ind w:left="0" w:leftChars="0" w:firstLine="0" w:firstLineChars="0"/>
        <w:rPr>
          <w:rFonts w:ascii="Times New Roman"/>
          <w:color w:val="000000" w:themeColor="text1"/>
          <w:sz w:val="32"/>
        </w:rPr>
      </w:pPr>
    </w:p>
    <w:p w14:paraId="3B9E5335">
      <w:pPr>
        <w:pStyle w:val="14"/>
        <w:spacing w:after="0" w:line="576" w:lineRule="exact"/>
        <w:ind w:left="0" w:leftChars="0" w:firstLine="0" w:firstLineChars="0"/>
        <w:rPr>
          <w:rFonts w:ascii="Times New Roman"/>
          <w:color w:val="000000" w:themeColor="text1"/>
          <w:sz w:val="32"/>
        </w:rPr>
      </w:pPr>
    </w:p>
    <w:p w14:paraId="3BBA359F">
      <w:pPr>
        <w:pStyle w:val="14"/>
        <w:spacing w:after="0" w:line="576" w:lineRule="exact"/>
        <w:ind w:left="0" w:leftChars="0" w:firstLine="0" w:firstLineChars="0"/>
        <w:rPr>
          <w:rFonts w:ascii="Times New Roman"/>
          <w:color w:val="000000" w:themeColor="text1"/>
          <w:sz w:val="32"/>
        </w:rPr>
      </w:pPr>
    </w:p>
    <w:p w14:paraId="31F893E5">
      <w:pPr>
        <w:pStyle w:val="14"/>
        <w:spacing w:after="0" w:line="576" w:lineRule="exact"/>
        <w:ind w:left="0" w:leftChars="0" w:firstLine="0" w:firstLineChars="0"/>
        <w:rPr>
          <w:rFonts w:ascii="Times New Roman"/>
          <w:color w:val="000000" w:themeColor="text1"/>
          <w:sz w:val="32"/>
        </w:rPr>
      </w:pPr>
    </w:p>
    <w:p w14:paraId="173E516A">
      <w:pPr>
        <w:pStyle w:val="14"/>
        <w:spacing w:after="0" w:line="576" w:lineRule="exact"/>
        <w:ind w:left="0" w:leftChars="0" w:firstLine="0" w:firstLineChars="0"/>
        <w:rPr>
          <w:rFonts w:ascii="Times New Roman"/>
          <w:color w:val="000000" w:themeColor="text1"/>
          <w:sz w:val="32"/>
        </w:rPr>
      </w:pPr>
    </w:p>
    <w:p w14:paraId="1CF500C7">
      <w:pPr>
        <w:numPr>
          <w:ilvl w:val="0"/>
          <w:numId w:val="2"/>
        </w:numPr>
        <w:spacing w:line="576" w:lineRule="exact"/>
        <w:ind w:firstLine="660" w:firstLineChars="150"/>
        <w:jc w:val="center"/>
        <w:outlineLvl w:val="0"/>
        <w:rPr>
          <w:rStyle w:val="28"/>
          <w:rFonts w:ascii="黑体" w:hAnsi="黑体" w:eastAsia="黑体"/>
          <w:b w:val="0"/>
          <w:bCs w:val="0"/>
          <w:color w:val="000000" w:themeColor="text1"/>
        </w:rPr>
      </w:pPr>
      <w:bookmarkStart w:id="126" w:name="_Toc15396613"/>
      <w:bookmarkStart w:id="127" w:name="_Toc17832"/>
      <w:bookmarkStart w:id="128" w:name="_Toc8778"/>
      <w:bookmarkStart w:id="129" w:name="_Toc15377225"/>
      <w:bookmarkStart w:id="130" w:name="_Toc7122"/>
      <w:r>
        <w:rPr>
          <w:rFonts w:hint="eastAsia" w:ascii="黑体" w:hAnsi="黑体" w:eastAsia="黑体"/>
          <w:color w:val="000000" w:themeColor="text1"/>
          <w:sz w:val="44"/>
          <w:szCs w:val="44"/>
        </w:rPr>
        <w:t>名</w:t>
      </w:r>
      <w:r>
        <w:rPr>
          <w:rStyle w:val="28"/>
          <w:rFonts w:hint="eastAsia" w:ascii="黑体" w:hAnsi="黑体" w:eastAsia="黑体"/>
          <w:b w:val="0"/>
          <w:bCs w:val="0"/>
          <w:color w:val="000000" w:themeColor="text1"/>
        </w:rPr>
        <w:t>词解释</w:t>
      </w:r>
      <w:bookmarkEnd w:id="126"/>
      <w:bookmarkEnd w:id="127"/>
      <w:bookmarkEnd w:id="128"/>
      <w:bookmarkEnd w:id="129"/>
      <w:bookmarkEnd w:id="130"/>
    </w:p>
    <w:p w14:paraId="4A8AFFC9">
      <w:pPr>
        <w:spacing w:line="576" w:lineRule="exact"/>
        <w:jc w:val="left"/>
        <w:rPr>
          <w:rFonts w:ascii="宋体"/>
          <w:color w:val="000000" w:themeColor="text1"/>
          <w:sz w:val="44"/>
          <w:szCs w:val="44"/>
        </w:rPr>
      </w:pPr>
    </w:p>
    <w:p w14:paraId="40A70733">
      <w:pPr>
        <w:pStyle w:val="26"/>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1.财政拨款收入：指单位从同级政府财政部门取得的各类财政拨款。</w:t>
      </w:r>
    </w:p>
    <w:p w14:paraId="18085917">
      <w:pPr>
        <w:pStyle w:val="26"/>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shd w:val="clear" w:color="auto" w:fill="FFFFFF"/>
        </w:rPr>
        <w:t>2</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sz w:val="32"/>
          <w:szCs w:val="32"/>
          <w:shd w:val="clear" w:color="auto" w:fill="FFFFFF"/>
        </w:rPr>
        <w:t>一般公共预算财政拨款收入：</w:t>
      </w:r>
      <w:r>
        <w:rPr>
          <w:rFonts w:hint="eastAsia" w:ascii="楷体_GB2312" w:hAnsi="楷体_GB2312" w:eastAsia="楷体_GB2312" w:cs="楷体_GB2312"/>
          <w:color w:val="000000" w:themeColor="text1"/>
          <w:sz w:val="32"/>
          <w:szCs w:val="32"/>
        </w:rPr>
        <w:t>指单位从同级政府财政部门取得的预算资金</w:t>
      </w:r>
      <w:r>
        <w:rPr>
          <w:rFonts w:hint="eastAsia" w:ascii="楷体_GB2312" w:hAnsi="楷体_GB2312" w:eastAsia="楷体_GB2312" w:cs="楷体_GB2312"/>
          <w:color w:val="000000" w:themeColor="text1"/>
          <w:sz w:val="32"/>
          <w:szCs w:val="32"/>
          <w:shd w:val="clear" w:color="auto" w:fill="FFFFFF"/>
        </w:rPr>
        <w:t>。</w:t>
      </w:r>
    </w:p>
    <w:p w14:paraId="4C0059F1">
      <w:pPr>
        <w:pStyle w:val="26"/>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3.事业收入：指事业单位开展专业业务活动及辅助活动取得的收入。</w:t>
      </w:r>
    </w:p>
    <w:p w14:paraId="502716C5">
      <w:pPr>
        <w:pStyle w:val="26"/>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4.经营收入：指事业单位在专业业务活动及其辅助活动之外开展非独立核算经营活动取得的收入。</w:t>
      </w:r>
    </w:p>
    <w:p w14:paraId="1E62148C">
      <w:pPr>
        <w:pStyle w:val="26"/>
        <w:spacing w:line="576" w:lineRule="exact"/>
        <w:ind w:firstLine="640" w:firstLineChars="200"/>
        <w:outlineLvl w:val="1"/>
        <w:rPr>
          <w:rFonts w:ascii="楷体_GB2312" w:hAnsi="楷体_GB2312" w:eastAsia="楷体_GB2312" w:cs="楷体_GB2312"/>
          <w:color w:val="000000" w:themeColor="text1"/>
          <w:sz w:val="32"/>
          <w:szCs w:val="32"/>
        </w:rPr>
      </w:pPr>
      <w:bookmarkStart w:id="131" w:name="_Toc30177"/>
      <w:bookmarkStart w:id="132" w:name="_Toc24191"/>
      <w:bookmarkStart w:id="133" w:name="_Toc26262"/>
      <w:r>
        <w:rPr>
          <w:rFonts w:hint="eastAsia" w:ascii="楷体_GB2312" w:hAnsi="楷体_GB2312" w:eastAsia="楷体_GB2312" w:cs="楷体_GB2312"/>
          <w:color w:val="000000" w:themeColor="text1"/>
          <w:sz w:val="32"/>
          <w:szCs w:val="32"/>
        </w:rPr>
        <w:t>5.其他收入：指单位取得的除上述收入以外的各项收入。</w:t>
      </w:r>
      <w:bookmarkEnd w:id="131"/>
      <w:bookmarkEnd w:id="132"/>
      <w:bookmarkEnd w:id="133"/>
    </w:p>
    <w:p w14:paraId="60C25A9D">
      <w:pPr>
        <w:pStyle w:val="26"/>
        <w:spacing w:line="576" w:lineRule="exact"/>
        <w:ind w:firstLine="640" w:firstLineChars="200"/>
        <w:rPr>
          <w:rFonts w:ascii="楷体_GB2312" w:hAnsi="楷体_GB2312" w:eastAsia="楷体_GB2312" w:cs="楷体_GB2312"/>
          <w:color w:val="000000" w:themeColor="text1"/>
          <w:sz w:val="32"/>
          <w:szCs w:val="32"/>
          <w:shd w:val="clear" w:color="auto" w:fill="FFFFFF"/>
        </w:rPr>
      </w:pPr>
      <w:r>
        <w:rPr>
          <w:rFonts w:hint="eastAsia" w:ascii="楷体_GB2312" w:hAnsi="楷体_GB2312" w:eastAsia="楷体_GB2312" w:cs="楷体_GB2312"/>
          <w:color w:val="000000" w:themeColor="text1"/>
          <w:sz w:val="32"/>
          <w:szCs w:val="32"/>
          <w:shd w:val="clear" w:color="auto" w:fill="FFFFFF"/>
        </w:rPr>
        <w:t>6</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sz w:val="32"/>
          <w:szCs w:val="32"/>
          <w:shd w:val="clear" w:color="auto" w:fill="FFFFFF"/>
        </w:rPr>
        <w:t>上年结转：指以前年度尚未完成，结转到本年仍按原规定用途继续使用的资金。</w:t>
      </w:r>
    </w:p>
    <w:p w14:paraId="5D5B876D">
      <w:pPr>
        <w:pStyle w:val="26"/>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 xml:space="preserve">7.年初结转和结余：指以前年度尚未完成、结转到本年按有关规定继续使用的资金。 </w:t>
      </w:r>
    </w:p>
    <w:p w14:paraId="642292E8">
      <w:pPr>
        <w:pStyle w:val="26"/>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8.年末结转和结余：指单位按有关规定结转到下年或以后年度继续使用的资金。</w:t>
      </w:r>
    </w:p>
    <w:p w14:paraId="0E6E237F">
      <w:pPr>
        <w:spacing w:line="576" w:lineRule="exact"/>
        <w:ind w:firstLine="640" w:firstLineChars="200"/>
        <w:outlineLvl w:val="1"/>
        <w:rPr>
          <w:rFonts w:ascii="楷体_GB2312" w:hAnsi="楷体_GB2312" w:eastAsia="楷体_GB2312" w:cs="楷体_GB2312"/>
          <w:color w:val="000000" w:themeColor="text1"/>
          <w:sz w:val="32"/>
          <w:szCs w:val="32"/>
        </w:rPr>
      </w:pPr>
      <w:bookmarkStart w:id="134" w:name="_Toc1064"/>
      <w:bookmarkStart w:id="135" w:name="_Toc28387"/>
      <w:bookmarkStart w:id="136" w:name="_Toc8579"/>
      <w:r>
        <w:rPr>
          <w:rFonts w:hint="eastAsia" w:ascii="楷体_GB2312" w:hAnsi="楷体_GB2312" w:eastAsia="楷体_GB2312" w:cs="楷体_GB2312"/>
          <w:color w:val="000000" w:themeColor="text1"/>
          <w:sz w:val="32"/>
          <w:szCs w:val="32"/>
        </w:rPr>
        <w:t>9.一般公共服务支出：反映政府提供一般公共服务的支出。</w:t>
      </w:r>
      <w:bookmarkEnd w:id="134"/>
      <w:bookmarkEnd w:id="135"/>
      <w:bookmarkEnd w:id="136"/>
    </w:p>
    <w:p w14:paraId="0D3D2B3F">
      <w:pPr>
        <w:pStyle w:val="26"/>
        <w:spacing w:line="576" w:lineRule="exact"/>
        <w:ind w:firstLine="640" w:firstLineChars="200"/>
        <w:rPr>
          <w:rFonts w:ascii="楷体_GB2312" w:hAnsi="楷体_GB2312" w:eastAsia="楷体_GB2312" w:cs="楷体_GB2312"/>
          <w:color w:val="000000" w:themeColor="text1"/>
          <w:sz w:val="32"/>
          <w:szCs w:val="32"/>
          <w:shd w:val="clear" w:color="auto" w:fill="FFFFFF"/>
        </w:rPr>
      </w:pPr>
      <w:r>
        <w:rPr>
          <w:rFonts w:hint="eastAsia" w:ascii="楷体_GB2312" w:hAnsi="楷体_GB2312" w:eastAsia="楷体_GB2312" w:cs="楷体_GB2312"/>
          <w:color w:val="000000" w:themeColor="text1"/>
          <w:sz w:val="32"/>
          <w:szCs w:val="32"/>
          <w:shd w:val="clear" w:color="auto" w:fill="FFFFFF"/>
        </w:rPr>
        <w:t>10</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sz w:val="32"/>
          <w:szCs w:val="32"/>
          <w:shd w:val="clear" w:color="auto" w:fill="FFFFFF"/>
        </w:rPr>
        <w:t>一般公共服务（类）人大事务（款）代表工作（项）：指用于保障代表工作正常运行的基本支出。</w:t>
      </w:r>
    </w:p>
    <w:p w14:paraId="7DAB8B7D">
      <w:pPr>
        <w:pStyle w:val="26"/>
        <w:spacing w:line="576" w:lineRule="exact"/>
        <w:ind w:firstLine="640" w:firstLineChars="200"/>
        <w:rPr>
          <w:rFonts w:ascii="楷体_GB2312" w:hAnsi="楷体_GB2312" w:eastAsia="楷体_GB2312" w:cs="楷体_GB2312"/>
          <w:color w:val="000000" w:themeColor="text1"/>
          <w:sz w:val="32"/>
          <w:szCs w:val="32"/>
          <w:shd w:val="clear" w:color="auto" w:fill="FFFFFF"/>
        </w:rPr>
      </w:pPr>
      <w:r>
        <w:rPr>
          <w:rFonts w:hint="eastAsia" w:ascii="楷体_GB2312" w:hAnsi="楷体_GB2312" w:eastAsia="楷体_GB2312" w:cs="楷体_GB2312"/>
          <w:color w:val="000000" w:themeColor="text1"/>
          <w:sz w:val="32"/>
          <w:szCs w:val="32"/>
          <w:shd w:val="clear" w:color="auto" w:fill="FFFFFF"/>
        </w:rPr>
        <w:t>11</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sz w:val="32"/>
          <w:szCs w:val="32"/>
          <w:shd w:val="clear" w:color="auto" w:fill="FFFFFF"/>
        </w:rPr>
        <w:t>一般公共服务（类）人大事务（款）其他人大事务支出（项）：指机关单位开展人大事务管理工作的日常支出。</w:t>
      </w:r>
    </w:p>
    <w:p w14:paraId="03A428C3">
      <w:pPr>
        <w:pStyle w:val="26"/>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shd w:val="clear" w:color="auto" w:fill="FFFFFF"/>
        </w:rPr>
        <w:t>12</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sz w:val="32"/>
          <w:szCs w:val="32"/>
          <w:shd w:val="clear" w:color="auto" w:fill="FFFFFF"/>
        </w:rPr>
        <w:t>一般公共服务（类）政府办公厅（室）及相关机构事务（款）行政运行（项）：指</w:t>
      </w:r>
      <w:r>
        <w:rPr>
          <w:rFonts w:hint="eastAsia" w:ascii="楷体_GB2312" w:hAnsi="楷体_GB2312" w:eastAsia="楷体_GB2312" w:cs="楷体_GB2312"/>
          <w:color w:val="000000" w:themeColor="text1"/>
          <w:sz w:val="32"/>
          <w:szCs w:val="32"/>
        </w:rPr>
        <w:t>用于保障机构正常运行、开展日常工作的基本支出。</w:t>
      </w:r>
    </w:p>
    <w:p w14:paraId="778C6862">
      <w:pPr>
        <w:pStyle w:val="26"/>
        <w:spacing w:line="576" w:lineRule="exact"/>
        <w:ind w:firstLine="640" w:firstLineChars="200"/>
        <w:rPr>
          <w:rStyle w:val="17"/>
          <w:rFonts w:ascii="楷体_GB2312" w:hAnsi="楷体_GB2312" w:eastAsia="楷体_GB2312" w:cs="楷体_GB2312"/>
          <w:b w:val="0"/>
          <w:color w:val="000000" w:themeColor="text1"/>
          <w:sz w:val="32"/>
          <w:szCs w:val="32"/>
        </w:rPr>
      </w:pPr>
      <w:r>
        <w:rPr>
          <w:rStyle w:val="17"/>
          <w:rFonts w:hint="eastAsia" w:ascii="楷体_GB2312" w:hAnsi="楷体_GB2312" w:eastAsia="楷体_GB2312" w:cs="楷体_GB2312"/>
          <w:b w:val="0"/>
          <w:color w:val="000000" w:themeColor="text1"/>
          <w:sz w:val="32"/>
          <w:szCs w:val="32"/>
        </w:rPr>
        <w:t>13</w:t>
      </w:r>
      <w:r>
        <w:rPr>
          <w:rFonts w:hint="eastAsia" w:ascii="楷体_GB2312" w:hAnsi="楷体_GB2312" w:eastAsia="楷体_GB2312" w:cs="楷体_GB2312"/>
          <w:color w:val="000000" w:themeColor="text1"/>
          <w:sz w:val="32"/>
          <w:szCs w:val="32"/>
        </w:rPr>
        <w:t>.</w:t>
      </w:r>
      <w:r>
        <w:rPr>
          <w:rStyle w:val="17"/>
          <w:rFonts w:hint="eastAsia" w:ascii="楷体_GB2312" w:hAnsi="楷体_GB2312" w:eastAsia="楷体_GB2312" w:cs="楷体_GB2312"/>
          <w:b w:val="0"/>
          <w:color w:val="000000" w:themeColor="text1"/>
          <w:sz w:val="32"/>
          <w:szCs w:val="32"/>
        </w:rPr>
        <w:t>一般公共服务支出（类）财政事务（款）行政运行（项）：反映行政事业单位财政事务方面的基本支出。</w:t>
      </w:r>
    </w:p>
    <w:p w14:paraId="4CCFE5AA">
      <w:pPr>
        <w:pStyle w:val="26"/>
        <w:spacing w:line="576" w:lineRule="exact"/>
        <w:ind w:firstLine="640" w:firstLineChars="200"/>
        <w:rPr>
          <w:rStyle w:val="17"/>
          <w:rFonts w:ascii="楷体_GB2312" w:hAnsi="楷体_GB2312" w:eastAsia="楷体_GB2312" w:cs="楷体_GB2312"/>
          <w:b w:val="0"/>
          <w:color w:val="000000" w:themeColor="text1"/>
          <w:sz w:val="32"/>
          <w:szCs w:val="32"/>
        </w:rPr>
      </w:pPr>
      <w:r>
        <w:rPr>
          <w:rStyle w:val="17"/>
          <w:rFonts w:hint="eastAsia" w:ascii="楷体_GB2312" w:hAnsi="楷体_GB2312" w:eastAsia="楷体_GB2312" w:cs="楷体_GB2312"/>
          <w:b w:val="0"/>
          <w:color w:val="000000" w:themeColor="text1"/>
          <w:sz w:val="32"/>
          <w:szCs w:val="32"/>
        </w:rPr>
        <w:t>14</w:t>
      </w:r>
      <w:r>
        <w:rPr>
          <w:rFonts w:hint="eastAsia" w:ascii="楷体_GB2312" w:hAnsi="楷体_GB2312" w:eastAsia="楷体_GB2312" w:cs="楷体_GB2312"/>
          <w:color w:val="000000" w:themeColor="text1"/>
          <w:sz w:val="32"/>
          <w:szCs w:val="32"/>
        </w:rPr>
        <w:t>.</w:t>
      </w:r>
      <w:r>
        <w:rPr>
          <w:rStyle w:val="17"/>
          <w:rFonts w:hint="eastAsia" w:ascii="楷体_GB2312" w:hAnsi="楷体_GB2312" w:eastAsia="楷体_GB2312" w:cs="楷体_GB2312"/>
          <w:b w:val="0"/>
          <w:color w:val="000000" w:themeColor="text1"/>
          <w:sz w:val="32"/>
          <w:szCs w:val="32"/>
        </w:rPr>
        <w:t>一般公共服务支出（类）纪检监察事务（款）其他纪检监察事务支出（项）：指机关单位开展纪检监察方面的日常支出。</w:t>
      </w:r>
    </w:p>
    <w:p w14:paraId="16C7B4F4">
      <w:pPr>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kern w:val="0"/>
          <w:sz w:val="32"/>
          <w:szCs w:val="32"/>
          <w:shd w:val="clear" w:color="auto" w:fill="FFFFFF"/>
        </w:rPr>
        <w:t>15</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国防支出（类）其他国防支出（款）其他国防支出（项）：指</w:t>
      </w:r>
      <w:r>
        <w:rPr>
          <w:rFonts w:hint="eastAsia" w:ascii="楷体_GB2312" w:hAnsi="楷体_GB2312" w:eastAsia="楷体_GB2312" w:cs="楷体_GB2312"/>
          <w:color w:val="000000" w:themeColor="text1"/>
          <w:sz w:val="32"/>
          <w:szCs w:val="32"/>
        </w:rPr>
        <w:t>反映政府用于国防方面的支出。</w:t>
      </w:r>
    </w:p>
    <w:p w14:paraId="2FD7BA4D">
      <w:pPr>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kern w:val="0"/>
          <w:sz w:val="32"/>
          <w:szCs w:val="32"/>
          <w:shd w:val="clear" w:color="auto" w:fill="FFFFFF"/>
        </w:rPr>
        <w:t>16</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文化旅游体育与传媒支出（类）文化和旅游（款）群众文化（项）：指反映群众文化方面的支出，包括基层文化馆（站）、群众艺术馆支出等。</w:t>
      </w:r>
    </w:p>
    <w:p w14:paraId="4EB872AC">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Fonts w:hint="eastAsia" w:ascii="楷体_GB2312" w:hAnsi="楷体_GB2312" w:eastAsia="楷体_GB2312" w:cs="楷体_GB2312"/>
          <w:color w:val="000000" w:themeColor="text1"/>
          <w:kern w:val="0"/>
          <w:sz w:val="32"/>
          <w:szCs w:val="32"/>
          <w:shd w:val="clear" w:color="auto" w:fill="FFFFFF"/>
        </w:rPr>
        <w:t>17</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社会保障和就业（类）行政事业单位养老支出（款）行政单位离退休（项）：指部门离退休人员的养老支出。</w:t>
      </w:r>
    </w:p>
    <w:p w14:paraId="14D8161C">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Fonts w:hint="eastAsia" w:ascii="楷体_GB2312" w:hAnsi="楷体_GB2312" w:eastAsia="楷体_GB2312" w:cs="楷体_GB2312"/>
          <w:color w:val="000000" w:themeColor="text1"/>
          <w:kern w:val="0"/>
          <w:sz w:val="32"/>
          <w:szCs w:val="32"/>
          <w:shd w:val="clear" w:color="auto" w:fill="FFFFFF"/>
        </w:rPr>
        <w:t>18</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社会保障和就业（类）行政事业单位养老支出（款）机关事业单位基本养老保险缴费支出（项）：指部门实施养老保险制度由单位缴纳的养老保险的支出。</w:t>
      </w:r>
    </w:p>
    <w:p w14:paraId="7380FA5C">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Fonts w:hint="eastAsia" w:ascii="楷体_GB2312" w:hAnsi="楷体_GB2312" w:eastAsia="楷体_GB2312" w:cs="楷体_GB2312"/>
          <w:color w:val="000000" w:themeColor="text1"/>
          <w:kern w:val="0"/>
          <w:sz w:val="32"/>
          <w:szCs w:val="32"/>
          <w:shd w:val="clear" w:color="auto" w:fill="FFFFFF"/>
        </w:rPr>
        <w:t>19</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卫生健康（类）计划生育事务（款）其他计划生育事务支出（项）：指用于计划生育管理事务方面的支出。</w:t>
      </w:r>
    </w:p>
    <w:p w14:paraId="1F0C66B3">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Fonts w:hint="eastAsia" w:ascii="楷体_GB2312" w:hAnsi="楷体_GB2312" w:eastAsia="楷体_GB2312" w:cs="楷体_GB2312"/>
          <w:color w:val="000000" w:themeColor="text1"/>
          <w:kern w:val="0"/>
          <w:sz w:val="32"/>
          <w:szCs w:val="32"/>
          <w:shd w:val="clear" w:color="auto" w:fill="FFFFFF"/>
        </w:rPr>
        <w:t>20</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卫生健康（类）行政事业单位医疗（款）行政单位医疗（项）：指机关及参公管理事业单位用于单位应缴纳基本医疗保险支出。</w:t>
      </w:r>
    </w:p>
    <w:p w14:paraId="3825C8A7">
      <w:pPr>
        <w:spacing w:line="576" w:lineRule="exact"/>
        <w:ind w:firstLine="640" w:firstLineChars="200"/>
        <w:outlineLvl w:val="1"/>
        <w:rPr>
          <w:rFonts w:ascii="楷体_GB2312" w:hAnsi="楷体_GB2312" w:eastAsia="楷体_GB2312" w:cs="楷体_GB2312"/>
          <w:color w:val="000000" w:themeColor="text1"/>
          <w:sz w:val="32"/>
          <w:szCs w:val="32"/>
        </w:rPr>
      </w:pPr>
      <w:bookmarkStart w:id="137" w:name="_Toc23265"/>
      <w:bookmarkStart w:id="138" w:name="_Toc22100"/>
      <w:bookmarkStart w:id="139" w:name="_Toc11034"/>
      <w:r>
        <w:rPr>
          <w:rFonts w:hint="eastAsia" w:ascii="楷体_GB2312" w:hAnsi="楷体_GB2312" w:eastAsia="楷体_GB2312" w:cs="楷体_GB2312"/>
          <w:color w:val="000000" w:themeColor="text1"/>
          <w:sz w:val="32"/>
          <w:szCs w:val="32"/>
        </w:rPr>
        <w:t>21.卫生健康支出：反映政府在卫生健康方面的支出。</w:t>
      </w:r>
      <w:bookmarkEnd w:id="137"/>
      <w:bookmarkEnd w:id="138"/>
      <w:bookmarkEnd w:id="139"/>
    </w:p>
    <w:p w14:paraId="0267E522">
      <w:pPr>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kern w:val="0"/>
          <w:sz w:val="32"/>
          <w:szCs w:val="32"/>
          <w:shd w:val="clear" w:color="auto" w:fill="FFFFFF"/>
        </w:rPr>
        <w:t>22</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卫生健康（类）行政事业单位医疗（款）事业单位医疗（项）：指事业单位用于单位应缴纳基本医疗保险支出。</w:t>
      </w:r>
    </w:p>
    <w:p w14:paraId="7985CDBE">
      <w:pPr>
        <w:spacing w:line="576" w:lineRule="exact"/>
        <w:ind w:firstLine="640" w:firstLineChars="200"/>
        <w:outlineLvl w:val="1"/>
        <w:rPr>
          <w:rFonts w:ascii="楷体_GB2312" w:hAnsi="楷体_GB2312" w:eastAsia="楷体_GB2312" w:cs="楷体_GB2312"/>
          <w:color w:val="000000" w:themeColor="text1"/>
          <w:sz w:val="32"/>
          <w:szCs w:val="32"/>
        </w:rPr>
      </w:pPr>
      <w:bookmarkStart w:id="140" w:name="_Toc14590"/>
      <w:bookmarkStart w:id="141" w:name="_Toc7004"/>
      <w:bookmarkStart w:id="142" w:name="_Toc31978"/>
      <w:r>
        <w:rPr>
          <w:rFonts w:hint="eastAsia" w:ascii="楷体_GB2312" w:hAnsi="楷体_GB2312" w:eastAsia="楷体_GB2312" w:cs="楷体_GB2312"/>
          <w:color w:val="000000" w:themeColor="text1"/>
          <w:sz w:val="32"/>
          <w:szCs w:val="32"/>
        </w:rPr>
        <w:t>23.城乡社区支出：反映政府城乡社区事务支出。</w:t>
      </w:r>
      <w:bookmarkEnd w:id="140"/>
      <w:bookmarkEnd w:id="141"/>
      <w:bookmarkEnd w:id="142"/>
    </w:p>
    <w:p w14:paraId="6C408EC4">
      <w:pPr>
        <w:pStyle w:val="14"/>
        <w:spacing w:after="0" w:line="576" w:lineRule="exact"/>
        <w:ind w:left="0" w:leftChars="0" w:firstLine="640"/>
        <w:rPr>
          <w:rFonts w:ascii="楷体_GB2312" w:hAnsi="楷体_GB2312" w:eastAsia="楷体_GB2312" w:cs="楷体_GB2312"/>
          <w:color w:val="000000" w:themeColor="text1"/>
          <w:sz w:val="32"/>
        </w:rPr>
      </w:pPr>
      <w:r>
        <w:rPr>
          <w:rStyle w:val="17"/>
          <w:rFonts w:hint="eastAsia" w:ascii="楷体_GB2312" w:hAnsi="楷体_GB2312" w:eastAsia="楷体_GB2312" w:cs="楷体_GB2312"/>
          <w:b w:val="0"/>
          <w:color w:val="000000" w:themeColor="text1"/>
          <w:sz w:val="32"/>
        </w:rPr>
        <w:t>24</w:t>
      </w:r>
      <w:r>
        <w:rPr>
          <w:rFonts w:hint="eastAsia" w:ascii="楷体_GB2312" w:hAnsi="楷体_GB2312" w:eastAsia="楷体_GB2312" w:cs="楷体_GB2312"/>
          <w:color w:val="000000" w:themeColor="text1"/>
          <w:sz w:val="32"/>
        </w:rPr>
        <w:t>.</w:t>
      </w:r>
      <w:r>
        <w:rPr>
          <w:rStyle w:val="17"/>
          <w:rFonts w:hint="eastAsia" w:ascii="楷体_GB2312" w:hAnsi="楷体_GB2312" w:eastAsia="楷体_GB2312" w:cs="楷体_GB2312"/>
          <w:b w:val="0"/>
          <w:color w:val="000000" w:themeColor="text1"/>
          <w:sz w:val="32"/>
        </w:rPr>
        <w:t>城乡社区支出（类）城乡社区管理事务（款）行政运行（项）：反映行政单位城乡社区管理事务的基本支出。</w:t>
      </w:r>
    </w:p>
    <w:p w14:paraId="7F3DD144">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Fonts w:hint="eastAsia" w:ascii="楷体_GB2312" w:hAnsi="楷体_GB2312" w:eastAsia="楷体_GB2312" w:cs="楷体_GB2312"/>
          <w:color w:val="000000" w:themeColor="text1"/>
          <w:kern w:val="0"/>
          <w:sz w:val="32"/>
          <w:szCs w:val="32"/>
          <w:shd w:val="clear" w:color="auto" w:fill="FFFFFF"/>
        </w:rPr>
        <w:t>25</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城乡社区支出（类）城乡社区环境卫生（款）城乡社区环境卫生（项）：指用于城乡社区道路清扫、垃圾清运与处理、公厕建设与维护、园林绿化等方面的支出。</w:t>
      </w:r>
    </w:p>
    <w:p w14:paraId="46F6E7B4">
      <w:pPr>
        <w:spacing w:line="576" w:lineRule="exact"/>
        <w:ind w:firstLine="640" w:firstLineChars="200"/>
        <w:outlineLvl w:val="1"/>
        <w:rPr>
          <w:rFonts w:ascii="楷体_GB2312" w:hAnsi="楷体_GB2312" w:eastAsia="楷体_GB2312" w:cs="楷体_GB2312"/>
          <w:color w:val="000000" w:themeColor="text1"/>
          <w:sz w:val="32"/>
          <w:szCs w:val="32"/>
        </w:rPr>
      </w:pPr>
      <w:bookmarkStart w:id="143" w:name="_Toc25490"/>
      <w:bookmarkStart w:id="144" w:name="_Toc9486"/>
      <w:bookmarkStart w:id="145" w:name="_Toc26538"/>
      <w:r>
        <w:rPr>
          <w:rFonts w:hint="eastAsia" w:ascii="楷体_GB2312" w:hAnsi="楷体_GB2312" w:eastAsia="楷体_GB2312" w:cs="楷体_GB2312"/>
          <w:color w:val="000000" w:themeColor="text1"/>
          <w:sz w:val="32"/>
          <w:szCs w:val="32"/>
        </w:rPr>
        <w:t>26.农林水支出：反映政府农林水事务支出。</w:t>
      </w:r>
      <w:bookmarkEnd w:id="143"/>
      <w:bookmarkEnd w:id="144"/>
      <w:bookmarkEnd w:id="145"/>
    </w:p>
    <w:p w14:paraId="09C24D70">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Fonts w:hint="eastAsia" w:ascii="楷体_GB2312" w:hAnsi="楷体_GB2312" w:eastAsia="楷体_GB2312" w:cs="楷体_GB2312"/>
          <w:color w:val="000000" w:themeColor="text1"/>
          <w:kern w:val="0"/>
          <w:sz w:val="32"/>
          <w:szCs w:val="32"/>
          <w:shd w:val="clear" w:color="auto" w:fill="FFFFFF"/>
        </w:rPr>
        <w:t>27</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农林水支出（类）农业农村（款）农村道路建设（项）：指用于农村公路、乡村道路建设方面的支出。</w:t>
      </w:r>
    </w:p>
    <w:p w14:paraId="7E39B6DB">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Style w:val="17"/>
          <w:rFonts w:hint="eastAsia" w:ascii="楷体_GB2312" w:hAnsi="楷体_GB2312" w:eastAsia="楷体_GB2312" w:cs="楷体_GB2312"/>
          <w:b w:val="0"/>
          <w:color w:val="000000" w:themeColor="text1"/>
          <w:sz w:val="32"/>
          <w:szCs w:val="32"/>
        </w:rPr>
        <w:t>28</w:t>
      </w:r>
      <w:r>
        <w:rPr>
          <w:rFonts w:hint="eastAsia" w:ascii="楷体_GB2312" w:hAnsi="楷体_GB2312" w:eastAsia="楷体_GB2312" w:cs="楷体_GB2312"/>
          <w:color w:val="000000" w:themeColor="text1"/>
          <w:sz w:val="32"/>
          <w:szCs w:val="32"/>
        </w:rPr>
        <w:t>.</w:t>
      </w:r>
      <w:r>
        <w:rPr>
          <w:rStyle w:val="17"/>
          <w:rFonts w:hint="eastAsia" w:ascii="楷体_GB2312" w:hAnsi="楷体_GB2312" w:eastAsia="楷体_GB2312" w:cs="楷体_GB2312"/>
          <w:b w:val="0"/>
          <w:color w:val="000000" w:themeColor="text1"/>
          <w:sz w:val="32"/>
          <w:szCs w:val="32"/>
        </w:rPr>
        <w:t>农林水支出</w:t>
      </w:r>
      <w:r>
        <w:rPr>
          <w:rFonts w:hint="eastAsia" w:ascii="楷体_GB2312" w:hAnsi="楷体_GB2312" w:eastAsia="楷体_GB2312" w:cs="楷体_GB2312"/>
          <w:color w:val="000000" w:themeColor="text1"/>
          <w:kern w:val="0"/>
          <w:sz w:val="32"/>
          <w:szCs w:val="32"/>
          <w:shd w:val="clear" w:color="auto" w:fill="FFFFFF"/>
        </w:rPr>
        <w:t>（类）</w:t>
      </w:r>
      <w:r>
        <w:rPr>
          <w:rStyle w:val="17"/>
          <w:rFonts w:hint="eastAsia" w:ascii="楷体_GB2312" w:hAnsi="楷体_GB2312" w:eastAsia="楷体_GB2312" w:cs="楷体_GB2312"/>
          <w:b w:val="0"/>
          <w:color w:val="000000" w:themeColor="text1"/>
          <w:sz w:val="32"/>
          <w:szCs w:val="32"/>
        </w:rPr>
        <w:t>农业农村</w:t>
      </w:r>
      <w:r>
        <w:rPr>
          <w:rFonts w:hint="eastAsia" w:ascii="楷体_GB2312" w:hAnsi="楷体_GB2312" w:eastAsia="楷体_GB2312" w:cs="楷体_GB2312"/>
          <w:color w:val="000000" w:themeColor="text1"/>
          <w:kern w:val="0"/>
          <w:sz w:val="32"/>
          <w:szCs w:val="32"/>
          <w:shd w:val="clear" w:color="auto" w:fill="FFFFFF"/>
        </w:rPr>
        <w:t>（款）</w:t>
      </w:r>
      <w:r>
        <w:rPr>
          <w:rStyle w:val="17"/>
          <w:rFonts w:hint="eastAsia" w:ascii="楷体_GB2312" w:hAnsi="楷体_GB2312" w:eastAsia="楷体_GB2312" w:cs="楷体_GB2312"/>
          <w:b w:val="0"/>
          <w:color w:val="000000" w:themeColor="text1"/>
          <w:sz w:val="32"/>
          <w:szCs w:val="32"/>
        </w:rPr>
        <w:t>行政运行</w:t>
      </w:r>
      <w:r>
        <w:rPr>
          <w:rFonts w:hint="eastAsia" w:ascii="楷体_GB2312" w:hAnsi="楷体_GB2312" w:eastAsia="楷体_GB2312" w:cs="楷体_GB2312"/>
          <w:color w:val="000000" w:themeColor="text1"/>
          <w:kern w:val="0"/>
          <w:sz w:val="32"/>
          <w:szCs w:val="32"/>
          <w:shd w:val="clear" w:color="auto" w:fill="FFFFFF"/>
        </w:rPr>
        <w:t>（项）：反映财政用于种植业、畜牧业、渔业、兽医、农机、农垦、农场、农业产业化经营组织、农村和垦区公益事业、农产品加工等方面的基本支出。</w:t>
      </w:r>
    </w:p>
    <w:p w14:paraId="7DE4B0D5">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Style w:val="17"/>
          <w:rFonts w:hint="eastAsia" w:ascii="楷体_GB2312" w:hAnsi="楷体_GB2312" w:eastAsia="楷体_GB2312" w:cs="楷体_GB2312"/>
          <w:b w:val="0"/>
          <w:color w:val="000000" w:themeColor="text1"/>
          <w:sz w:val="32"/>
          <w:szCs w:val="32"/>
        </w:rPr>
        <w:t>29</w:t>
      </w:r>
      <w:r>
        <w:rPr>
          <w:rFonts w:hint="eastAsia" w:ascii="楷体_GB2312" w:hAnsi="楷体_GB2312" w:eastAsia="楷体_GB2312" w:cs="楷体_GB2312"/>
          <w:color w:val="000000" w:themeColor="text1"/>
          <w:sz w:val="32"/>
          <w:szCs w:val="32"/>
        </w:rPr>
        <w:t>.</w:t>
      </w:r>
      <w:r>
        <w:rPr>
          <w:rStyle w:val="17"/>
          <w:rFonts w:hint="eastAsia" w:ascii="楷体_GB2312" w:hAnsi="楷体_GB2312" w:eastAsia="楷体_GB2312" w:cs="楷体_GB2312"/>
          <w:b w:val="0"/>
          <w:color w:val="000000" w:themeColor="text1"/>
          <w:sz w:val="32"/>
          <w:szCs w:val="32"/>
        </w:rPr>
        <w:t>农林水支出</w:t>
      </w:r>
      <w:r>
        <w:rPr>
          <w:rFonts w:hint="eastAsia" w:ascii="楷体_GB2312" w:hAnsi="楷体_GB2312" w:eastAsia="楷体_GB2312" w:cs="楷体_GB2312"/>
          <w:color w:val="000000" w:themeColor="text1"/>
          <w:kern w:val="0"/>
          <w:sz w:val="32"/>
          <w:szCs w:val="32"/>
          <w:shd w:val="clear" w:color="auto" w:fill="FFFFFF"/>
        </w:rPr>
        <w:t>（类）</w:t>
      </w:r>
      <w:r>
        <w:rPr>
          <w:rStyle w:val="17"/>
          <w:rFonts w:hint="eastAsia" w:ascii="楷体_GB2312" w:hAnsi="楷体_GB2312" w:eastAsia="楷体_GB2312" w:cs="楷体_GB2312"/>
          <w:b w:val="0"/>
          <w:color w:val="000000" w:themeColor="text1"/>
          <w:sz w:val="32"/>
          <w:szCs w:val="32"/>
        </w:rPr>
        <w:t>巩固脱贫衔接乡村振兴</w:t>
      </w:r>
      <w:r>
        <w:rPr>
          <w:rFonts w:hint="eastAsia" w:ascii="楷体_GB2312" w:hAnsi="楷体_GB2312" w:eastAsia="楷体_GB2312" w:cs="楷体_GB2312"/>
          <w:color w:val="000000" w:themeColor="text1"/>
          <w:kern w:val="0"/>
          <w:sz w:val="32"/>
          <w:szCs w:val="32"/>
          <w:shd w:val="clear" w:color="auto" w:fill="FFFFFF"/>
        </w:rPr>
        <w:t>（款）</w:t>
      </w:r>
      <w:r>
        <w:rPr>
          <w:rStyle w:val="17"/>
          <w:rFonts w:hint="eastAsia" w:ascii="楷体_GB2312" w:hAnsi="楷体_GB2312" w:eastAsia="楷体_GB2312" w:cs="楷体_GB2312"/>
          <w:b w:val="0"/>
          <w:color w:val="000000" w:themeColor="text1"/>
          <w:sz w:val="32"/>
          <w:szCs w:val="32"/>
        </w:rPr>
        <w:t>其他巩固脱贫衔接乡村振兴</w:t>
      </w:r>
      <w:r>
        <w:rPr>
          <w:rFonts w:hint="eastAsia" w:ascii="楷体_GB2312" w:hAnsi="楷体_GB2312" w:eastAsia="楷体_GB2312" w:cs="楷体_GB2312"/>
          <w:color w:val="000000" w:themeColor="text1"/>
          <w:kern w:val="0"/>
          <w:sz w:val="32"/>
          <w:szCs w:val="32"/>
          <w:shd w:val="clear" w:color="auto" w:fill="FFFFFF"/>
        </w:rPr>
        <w:t>（项）：反映政府用于</w:t>
      </w:r>
      <w:r>
        <w:rPr>
          <w:rStyle w:val="17"/>
          <w:rFonts w:hint="eastAsia" w:ascii="楷体_GB2312" w:hAnsi="楷体_GB2312" w:eastAsia="楷体_GB2312" w:cs="楷体_GB2312"/>
          <w:b w:val="0"/>
          <w:color w:val="000000" w:themeColor="text1"/>
          <w:sz w:val="32"/>
          <w:szCs w:val="32"/>
        </w:rPr>
        <w:t>巩固脱贫衔接乡村振兴</w:t>
      </w:r>
      <w:r>
        <w:rPr>
          <w:rFonts w:hint="eastAsia" w:ascii="楷体_GB2312" w:hAnsi="楷体_GB2312" w:eastAsia="楷体_GB2312" w:cs="楷体_GB2312"/>
          <w:color w:val="000000" w:themeColor="text1"/>
          <w:kern w:val="0"/>
          <w:sz w:val="32"/>
          <w:szCs w:val="32"/>
          <w:shd w:val="clear" w:color="auto" w:fill="FFFFFF"/>
        </w:rPr>
        <w:t>方面的其他支出。</w:t>
      </w:r>
    </w:p>
    <w:p w14:paraId="55707BEE">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Style w:val="17"/>
          <w:rFonts w:hint="eastAsia" w:ascii="楷体_GB2312" w:hAnsi="楷体_GB2312" w:eastAsia="楷体_GB2312" w:cs="楷体_GB2312"/>
          <w:b w:val="0"/>
          <w:color w:val="000000" w:themeColor="text1"/>
          <w:sz w:val="32"/>
          <w:szCs w:val="32"/>
        </w:rPr>
        <w:t>30.农林水支出</w:t>
      </w:r>
      <w:r>
        <w:rPr>
          <w:rFonts w:hint="eastAsia" w:ascii="楷体_GB2312" w:hAnsi="楷体_GB2312" w:eastAsia="楷体_GB2312" w:cs="楷体_GB2312"/>
          <w:color w:val="000000" w:themeColor="text1"/>
          <w:kern w:val="0"/>
          <w:sz w:val="32"/>
          <w:szCs w:val="32"/>
          <w:shd w:val="clear" w:color="auto" w:fill="FFFFFF"/>
        </w:rPr>
        <w:t>（类）</w:t>
      </w:r>
      <w:r>
        <w:rPr>
          <w:rStyle w:val="17"/>
          <w:rFonts w:hint="eastAsia" w:ascii="楷体_GB2312" w:hAnsi="楷体_GB2312" w:eastAsia="楷体_GB2312" w:cs="楷体_GB2312"/>
          <w:b w:val="0"/>
          <w:color w:val="000000" w:themeColor="text1"/>
          <w:sz w:val="32"/>
          <w:szCs w:val="32"/>
        </w:rPr>
        <w:t>巩固脱贫衔接乡村振兴</w:t>
      </w:r>
      <w:r>
        <w:rPr>
          <w:rFonts w:hint="eastAsia" w:ascii="楷体_GB2312" w:hAnsi="楷体_GB2312" w:eastAsia="楷体_GB2312" w:cs="楷体_GB2312"/>
          <w:color w:val="000000" w:themeColor="text1"/>
          <w:kern w:val="0"/>
          <w:sz w:val="32"/>
          <w:szCs w:val="32"/>
          <w:shd w:val="clear" w:color="auto" w:fill="FFFFFF"/>
        </w:rPr>
        <w:t>（款）</w:t>
      </w:r>
      <w:r>
        <w:rPr>
          <w:rStyle w:val="17"/>
          <w:rFonts w:hint="eastAsia" w:ascii="楷体_GB2312" w:hAnsi="楷体_GB2312" w:eastAsia="楷体_GB2312" w:cs="楷体_GB2312"/>
          <w:b w:val="0"/>
          <w:color w:val="000000" w:themeColor="text1"/>
          <w:sz w:val="32"/>
          <w:szCs w:val="32"/>
        </w:rPr>
        <w:t>生产发展</w:t>
      </w:r>
      <w:r>
        <w:rPr>
          <w:rFonts w:hint="eastAsia" w:ascii="楷体_GB2312" w:hAnsi="楷体_GB2312" w:eastAsia="楷体_GB2312" w:cs="楷体_GB2312"/>
          <w:color w:val="000000" w:themeColor="text1"/>
          <w:kern w:val="0"/>
          <w:sz w:val="32"/>
          <w:szCs w:val="32"/>
          <w:shd w:val="clear" w:color="auto" w:fill="FFFFFF"/>
        </w:rPr>
        <w:t>（项）：反映政府用于</w:t>
      </w:r>
      <w:r>
        <w:rPr>
          <w:rStyle w:val="17"/>
          <w:rFonts w:hint="eastAsia" w:ascii="楷体_GB2312" w:hAnsi="楷体_GB2312" w:eastAsia="楷体_GB2312" w:cs="楷体_GB2312"/>
          <w:b w:val="0"/>
          <w:color w:val="000000" w:themeColor="text1"/>
          <w:sz w:val="32"/>
          <w:szCs w:val="32"/>
        </w:rPr>
        <w:t>巩固脱贫衔接乡村振兴</w:t>
      </w:r>
      <w:r>
        <w:rPr>
          <w:rFonts w:hint="eastAsia" w:ascii="楷体_GB2312" w:hAnsi="楷体_GB2312" w:eastAsia="楷体_GB2312" w:cs="楷体_GB2312"/>
          <w:color w:val="000000" w:themeColor="text1"/>
          <w:kern w:val="0"/>
          <w:sz w:val="32"/>
          <w:szCs w:val="32"/>
          <w:shd w:val="clear" w:color="auto" w:fill="FFFFFF"/>
        </w:rPr>
        <w:t>方面生产发展支出。</w:t>
      </w:r>
    </w:p>
    <w:p w14:paraId="334E2258">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Fonts w:hint="eastAsia" w:ascii="楷体_GB2312" w:hAnsi="楷体_GB2312" w:eastAsia="楷体_GB2312" w:cs="楷体_GB2312"/>
          <w:color w:val="000000" w:themeColor="text1"/>
          <w:kern w:val="0"/>
          <w:sz w:val="32"/>
          <w:szCs w:val="32"/>
          <w:shd w:val="clear" w:color="auto" w:fill="FFFFFF"/>
        </w:rPr>
        <w:t>31</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农林水支出（类）农村综合改革（款）对村民委员会和村党支部的补助（项）：指对村民委员会和村党支部的补助支出，以及建立县级基本财力保障机制安排的村级组织运转奖补资金。</w:t>
      </w:r>
    </w:p>
    <w:p w14:paraId="636EB217">
      <w:pPr>
        <w:spacing w:line="576" w:lineRule="exact"/>
        <w:ind w:firstLine="640" w:firstLineChars="200"/>
        <w:rPr>
          <w:rFonts w:ascii="楷体_GB2312" w:hAnsi="楷体_GB2312" w:eastAsia="楷体_GB2312" w:cs="楷体_GB2312"/>
          <w:color w:val="000000" w:themeColor="text1"/>
          <w:kern w:val="0"/>
          <w:sz w:val="32"/>
          <w:szCs w:val="32"/>
          <w:shd w:val="clear" w:color="auto" w:fill="FFFFFF"/>
        </w:rPr>
      </w:pPr>
      <w:r>
        <w:rPr>
          <w:rFonts w:hint="eastAsia" w:ascii="楷体_GB2312" w:hAnsi="楷体_GB2312" w:eastAsia="楷体_GB2312" w:cs="楷体_GB2312"/>
          <w:color w:val="000000" w:themeColor="text1"/>
          <w:kern w:val="0"/>
          <w:sz w:val="32"/>
          <w:szCs w:val="32"/>
          <w:shd w:val="clear" w:color="auto" w:fill="FFFFFF"/>
        </w:rPr>
        <w:t>32</w:t>
      </w:r>
      <w:r>
        <w:rPr>
          <w:rFonts w:hint="eastAsia" w:ascii="楷体_GB2312" w:hAnsi="楷体_GB2312" w:eastAsia="楷体_GB2312" w:cs="楷体_GB2312"/>
          <w:color w:val="000000" w:themeColor="text1"/>
          <w:sz w:val="32"/>
          <w:szCs w:val="32"/>
        </w:rPr>
        <w:t>.</w:t>
      </w:r>
      <w:r>
        <w:rPr>
          <w:rFonts w:hint="eastAsia" w:ascii="楷体_GB2312" w:hAnsi="楷体_GB2312" w:eastAsia="楷体_GB2312" w:cs="楷体_GB2312"/>
          <w:color w:val="000000" w:themeColor="text1"/>
          <w:kern w:val="0"/>
          <w:sz w:val="32"/>
          <w:szCs w:val="32"/>
          <w:shd w:val="clear" w:color="auto" w:fill="FFFFFF"/>
        </w:rPr>
        <w:t>住房保障（类）住房改革支出（款）住房公积金（项）：指按照《住房公积金管理条例》的规定，由单位及其在职职工缴存的长期住房储金。</w:t>
      </w:r>
    </w:p>
    <w:p w14:paraId="13C58557">
      <w:pPr>
        <w:pStyle w:val="14"/>
        <w:spacing w:after="0" w:line="576" w:lineRule="exact"/>
        <w:ind w:left="0" w:leftChars="0" w:firstLine="640"/>
        <w:rPr>
          <w:rFonts w:ascii="楷体_GB2312" w:hAnsi="楷体_GB2312" w:eastAsia="楷体_GB2312" w:cs="楷体_GB2312"/>
          <w:color w:val="000000" w:themeColor="text1"/>
          <w:kern w:val="0"/>
          <w:sz w:val="32"/>
          <w:shd w:val="clear" w:color="auto" w:fill="FFFFFF"/>
        </w:rPr>
      </w:pPr>
      <w:r>
        <w:rPr>
          <w:rStyle w:val="17"/>
          <w:rFonts w:hint="eastAsia" w:ascii="楷体_GB2312" w:hAnsi="楷体_GB2312" w:eastAsia="楷体_GB2312" w:cs="楷体_GB2312"/>
          <w:b w:val="0"/>
          <w:color w:val="000000" w:themeColor="text1"/>
          <w:sz w:val="32"/>
        </w:rPr>
        <w:t>33</w:t>
      </w:r>
      <w:r>
        <w:rPr>
          <w:rFonts w:hint="eastAsia" w:ascii="楷体_GB2312" w:hAnsi="楷体_GB2312" w:eastAsia="楷体_GB2312" w:cs="楷体_GB2312"/>
          <w:color w:val="000000" w:themeColor="text1"/>
          <w:sz w:val="32"/>
        </w:rPr>
        <w:t>.</w:t>
      </w:r>
      <w:r>
        <w:rPr>
          <w:rStyle w:val="17"/>
          <w:rFonts w:hint="eastAsia" w:ascii="楷体_GB2312" w:hAnsi="楷体_GB2312" w:eastAsia="楷体_GB2312" w:cs="楷体_GB2312"/>
          <w:b w:val="0"/>
          <w:color w:val="000000" w:themeColor="text1"/>
          <w:sz w:val="32"/>
        </w:rPr>
        <w:t>住房保障支出</w:t>
      </w:r>
      <w:r>
        <w:rPr>
          <w:rFonts w:hint="eastAsia" w:ascii="楷体_GB2312" w:hAnsi="楷体_GB2312" w:eastAsia="楷体_GB2312" w:cs="楷体_GB2312"/>
          <w:color w:val="000000" w:themeColor="text1"/>
          <w:kern w:val="0"/>
          <w:sz w:val="32"/>
          <w:shd w:val="clear" w:color="auto" w:fill="FFFFFF"/>
        </w:rPr>
        <w:t>（类）</w:t>
      </w:r>
      <w:r>
        <w:rPr>
          <w:rStyle w:val="17"/>
          <w:rFonts w:hint="eastAsia" w:ascii="楷体_GB2312" w:hAnsi="楷体_GB2312" w:eastAsia="楷体_GB2312" w:cs="楷体_GB2312"/>
          <w:b w:val="0"/>
          <w:color w:val="000000" w:themeColor="text1"/>
          <w:sz w:val="32"/>
        </w:rPr>
        <w:t>保障性安居工程支出</w:t>
      </w:r>
      <w:r>
        <w:rPr>
          <w:rFonts w:hint="eastAsia" w:ascii="楷体_GB2312" w:hAnsi="楷体_GB2312" w:eastAsia="楷体_GB2312" w:cs="楷体_GB2312"/>
          <w:color w:val="000000" w:themeColor="text1"/>
          <w:kern w:val="0"/>
          <w:sz w:val="32"/>
          <w:shd w:val="clear" w:color="auto" w:fill="FFFFFF"/>
        </w:rPr>
        <w:t>（款）</w:t>
      </w:r>
      <w:r>
        <w:rPr>
          <w:rStyle w:val="17"/>
          <w:rFonts w:hint="eastAsia" w:ascii="楷体_GB2312" w:hAnsi="楷体_GB2312" w:eastAsia="楷体_GB2312" w:cs="楷体_GB2312"/>
          <w:b w:val="0"/>
          <w:color w:val="000000" w:themeColor="text1"/>
          <w:sz w:val="32"/>
        </w:rPr>
        <w:t>其他保障性安居工程支出</w:t>
      </w:r>
      <w:r>
        <w:rPr>
          <w:rFonts w:hint="eastAsia" w:ascii="楷体_GB2312" w:hAnsi="楷体_GB2312" w:eastAsia="楷体_GB2312" w:cs="楷体_GB2312"/>
          <w:color w:val="000000" w:themeColor="text1"/>
          <w:kern w:val="0"/>
          <w:sz w:val="32"/>
          <w:shd w:val="clear" w:color="auto" w:fill="FFFFFF"/>
        </w:rPr>
        <w:t>（项）：反映政府用于保障性住房方面的其他支出。</w:t>
      </w:r>
    </w:p>
    <w:p w14:paraId="2F0339B6">
      <w:pPr>
        <w:pStyle w:val="14"/>
        <w:spacing w:after="0" w:line="576" w:lineRule="exact"/>
        <w:ind w:left="0" w:leftChars="0" w:firstLine="640"/>
        <w:rPr>
          <w:rFonts w:ascii="楷体_GB2312" w:hAnsi="楷体_GB2312" w:eastAsia="楷体_GB2312" w:cs="楷体_GB2312"/>
          <w:color w:val="000000" w:themeColor="text1"/>
          <w:sz w:val="32"/>
        </w:rPr>
      </w:pPr>
      <w:r>
        <w:rPr>
          <w:rFonts w:hint="eastAsia" w:ascii="楷体_GB2312" w:hAnsi="楷体_GB2312" w:eastAsia="楷体_GB2312" w:cs="楷体_GB2312"/>
          <w:color w:val="000000" w:themeColor="text1"/>
          <w:sz w:val="32"/>
        </w:rPr>
        <w:t>34.基本支出：指为保障机构正常运转、完成日常工作任务而发生的人员支出和公用支出。</w:t>
      </w:r>
    </w:p>
    <w:p w14:paraId="21413500">
      <w:pPr>
        <w:pStyle w:val="14"/>
        <w:spacing w:after="0" w:line="576" w:lineRule="exact"/>
        <w:ind w:left="0" w:leftChars="0" w:firstLine="640"/>
        <w:rPr>
          <w:rFonts w:ascii="楷体_GB2312" w:hAnsi="楷体_GB2312" w:eastAsia="楷体_GB2312" w:cs="楷体_GB2312"/>
          <w:color w:val="000000" w:themeColor="text1"/>
          <w:sz w:val="32"/>
        </w:rPr>
      </w:pPr>
      <w:r>
        <w:rPr>
          <w:rFonts w:hint="eastAsia" w:ascii="楷体_GB2312" w:hAnsi="楷体_GB2312" w:eastAsia="楷体_GB2312" w:cs="楷体_GB2312"/>
          <w:color w:val="000000" w:themeColor="text1"/>
          <w:sz w:val="32"/>
        </w:rPr>
        <w:t>35.项目支出：指在基本支出之外为完成特定行政任务和事业发展目标所发生的支出。</w:t>
      </w:r>
    </w:p>
    <w:p w14:paraId="31CAA2F0">
      <w:pPr>
        <w:pStyle w:val="14"/>
        <w:spacing w:after="0" w:line="576" w:lineRule="exact"/>
        <w:ind w:left="0" w:leftChars="0" w:firstLine="640"/>
        <w:rPr>
          <w:rFonts w:ascii="楷体_GB2312" w:hAnsi="楷体_GB2312" w:eastAsia="楷体_GB2312" w:cs="楷体_GB2312"/>
          <w:color w:val="000000" w:themeColor="text1"/>
          <w:sz w:val="32"/>
        </w:rPr>
      </w:pPr>
      <w:r>
        <w:rPr>
          <w:rFonts w:hint="eastAsia" w:ascii="楷体_GB2312" w:hAnsi="楷体_GB2312" w:eastAsia="楷体_GB2312" w:cs="楷体_GB2312"/>
          <w:color w:val="000000" w:themeColor="text1"/>
          <w:sz w:val="32"/>
        </w:rPr>
        <w:t>36.“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FF4EA1B">
      <w:pPr>
        <w:spacing w:line="576" w:lineRule="exact"/>
        <w:ind w:firstLine="640" w:firstLineChars="200"/>
        <w:outlineLvl w:val="1"/>
        <w:rPr>
          <w:rFonts w:ascii="楷体_GB2312" w:hAnsi="楷体_GB2312" w:eastAsia="楷体_GB2312" w:cs="楷体_GB2312"/>
          <w:color w:val="000000" w:themeColor="text1"/>
          <w:sz w:val="32"/>
          <w:szCs w:val="32"/>
        </w:rPr>
      </w:pPr>
      <w:bookmarkStart w:id="146" w:name="_Toc6981"/>
      <w:bookmarkStart w:id="147" w:name="_Toc13000"/>
      <w:bookmarkStart w:id="148" w:name="_Toc25535"/>
      <w:r>
        <w:rPr>
          <w:rFonts w:hint="eastAsia" w:ascii="楷体_GB2312" w:hAnsi="楷体_GB2312" w:eastAsia="楷体_GB2312" w:cs="楷体_GB2312"/>
          <w:color w:val="000000" w:themeColor="text1"/>
          <w:sz w:val="32"/>
          <w:szCs w:val="32"/>
        </w:rPr>
        <w:t>37.国防支出：反映政府维护国家安全方面的支出。</w:t>
      </w:r>
      <w:bookmarkEnd w:id="146"/>
      <w:bookmarkEnd w:id="147"/>
      <w:bookmarkEnd w:id="148"/>
    </w:p>
    <w:p w14:paraId="5C9F9AA9">
      <w:pPr>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38.文化旅游体育与传媒支出：反映政府在文化、旅游、文物、体育、广播电视、电影、新闻　出版等方面的支出。</w:t>
      </w:r>
    </w:p>
    <w:p w14:paraId="38630BE5">
      <w:pPr>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39.社会保障和就业支出：反映政府在社会保障与就业方面的支出。</w:t>
      </w:r>
    </w:p>
    <w:p w14:paraId="70B7738F">
      <w:pPr>
        <w:spacing w:line="576" w:lineRule="exact"/>
        <w:ind w:firstLine="640" w:firstLineChars="200"/>
        <w:rPr>
          <w:rFonts w:ascii="楷体_GB2312" w:hAnsi="楷体_GB2312" w:eastAsia="楷体_GB2312" w:cs="楷体_GB2312"/>
          <w:color w:val="000000" w:themeColor="text1"/>
          <w:sz w:val="32"/>
          <w:szCs w:val="32"/>
        </w:rPr>
      </w:pPr>
      <w:r>
        <w:rPr>
          <w:rFonts w:hint="eastAsia" w:ascii="楷体_GB2312" w:hAnsi="楷体_GB2312" w:eastAsia="楷体_GB2312" w:cs="楷体_GB2312"/>
          <w:color w:val="000000" w:themeColor="text1"/>
          <w:sz w:val="32"/>
          <w:szCs w:val="32"/>
        </w:rPr>
        <w:t>40.机关运行经费：为保障行政单位（含参照公务员法管理的事业单位）运行用于购买货物和服务的各项资金，包括办公及印刷费、邮电费、差旅费、会议费、福利费、日常维修费、专用材料及一般设备购置费、办公用房水电费、公务用车运行维护费以及其他费用。</w:t>
      </w:r>
    </w:p>
    <w:p w14:paraId="771FFABC">
      <w:pPr>
        <w:spacing w:line="576" w:lineRule="exact"/>
        <w:jc w:val="center"/>
        <w:outlineLvl w:val="0"/>
        <w:rPr>
          <w:rStyle w:val="28"/>
          <w:rFonts w:ascii="黑体" w:hAnsi="黑体" w:eastAsia="黑体"/>
          <w:b w:val="0"/>
          <w:bCs w:val="0"/>
          <w:color w:val="000000" w:themeColor="text1"/>
        </w:rPr>
      </w:pPr>
      <w:bookmarkStart w:id="149" w:name="_Toc15377226"/>
      <w:r>
        <w:rPr>
          <w:rFonts w:ascii="宋体"/>
          <w:color w:val="000000" w:themeColor="text1"/>
          <w:sz w:val="44"/>
          <w:szCs w:val="44"/>
        </w:rPr>
        <w:br w:type="page"/>
      </w:r>
      <w:bookmarkStart w:id="150" w:name="_Toc26026"/>
      <w:bookmarkStart w:id="151" w:name="_Toc14204"/>
      <w:bookmarkStart w:id="152" w:name="_Toc27515"/>
      <w:bookmarkStart w:id="153" w:name="_Toc15396614"/>
      <w:r>
        <w:rPr>
          <w:rFonts w:hint="eastAsia" w:ascii="黑体" w:hAnsi="黑体" w:eastAsia="黑体"/>
          <w:color w:val="000000" w:themeColor="text1"/>
          <w:sz w:val="44"/>
          <w:szCs w:val="44"/>
        </w:rPr>
        <w:t>第</w:t>
      </w:r>
      <w:r>
        <w:rPr>
          <w:rStyle w:val="28"/>
          <w:rFonts w:hint="eastAsia" w:ascii="黑体" w:hAnsi="黑体" w:eastAsia="黑体"/>
          <w:b w:val="0"/>
          <w:bCs w:val="0"/>
          <w:color w:val="000000" w:themeColor="text1"/>
        </w:rPr>
        <w:t>四部分 附件</w:t>
      </w:r>
      <w:bookmarkEnd w:id="150"/>
      <w:bookmarkEnd w:id="151"/>
      <w:bookmarkEnd w:id="152"/>
      <w:bookmarkEnd w:id="153"/>
    </w:p>
    <w:p w14:paraId="213FA9F8">
      <w:pPr>
        <w:spacing w:line="576" w:lineRule="exact"/>
        <w:jc w:val="left"/>
        <w:outlineLvl w:val="1"/>
        <w:rPr>
          <w:rFonts w:ascii="黑体" w:hAnsi="黑体" w:eastAsia="黑体" w:cs="黑体"/>
          <w:color w:val="000000" w:themeColor="text1"/>
          <w:sz w:val="32"/>
          <w:szCs w:val="32"/>
        </w:rPr>
      </w:pPr>
      <w:bookmarkStart w:id="154" w:name="_Toc2704"/>
      <w:bookmarkStart w:id="155" w:name="_Toc21740"/>
      <w:bookmarkStart w:id="156" w:name="_Toc11627"/>
      <w:r>
        <w:rPr>
          <w:rFonts w:hint="eastAsia" w:ascii="黑体" w:hAnsi="黑体" w:eastAsia="黑体" w:cs="黑体"/>
          <w:color w:val="000000" w:themeColor="text1"/>
          <w:sz w:val="32"/>
          <w:szCs w:val="32"/>
        </w:rPr>
        <w:t>附件.1</w:t>
      </w:r>
      <w:bookmarkEnd w:id="154"/>
      <w:bookmarkEnd w:id="155"/>
      <w:bookmarkEnd w:id="156"/>
    </w:p>
    <w:p w14:paraId="4B3C5D91">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广元市昭化区王家镇人民政府</w:t>
      </w:r>
    </w:p>
    <w:p w14:paraId="40DBF8AB">
      <w:pPr>
        <w:spacing w:line="580" w:lineRule="exact"/>
        <w:jc w:val="center"/>
        <w:rPr>
          <w:rFonts w:eastAsia="方正小标宋简体"/>
          <w:sz w:val="24"/>
        </w:rPr>
      </w:pPr>
      <w:r>
        <w:rPr>
          <w:rFonts w:hint="eastAsia" w:ascii="方正小标宋简体" w:hAnsi="方正小标宋简体" w:eastAsia="方正小标宋简体" w:cs="方正小标宋简体"/>
          <w:sz w:val="44"/>
          <w:szCs w:val="44"/>
        </w:rPr>
        <w:t>关于2022年部门整体支出绩效自评的报告</w:t>
      </w:r>
    </w:p>
    <w:p w14:paraId="02C6AD27">
      <w:pPr>
        <w:widowControl/>
        <w:adjustRightInd w:val="0"/>
        <w:snapToGrid w:val="0"/>
        <w:spacing w:line="576" w:lineRule="exact"/>
        <w:ind w:firstLine="640" w:firstLineChars="200"/>
        <w:contextualSpacing/>
        <w:jc w:val="left"/>
        <w:rPr>
          <w:rFonts w:ascii="黑体" w:hAnsi="宋体" w:eastAsia="黑体" w:cs="宋体"/>
          <w:color w:val="000000" w:themeColor="text1"/>
          <w:kern w:val="0"/>
          <w:sz w:val="32"/>
          <w:szCs w:val="32"/>
          <w:shd w:val="clear" w:color="auto" w:fill="FFFFFF"/>
        </w:rPr>
      </w:pPr>
    </w:p>
    <w:p w14:paraId="26D46032">
      <w:pPr>
        <w:widowControl/>
        <w:numPr>
          <w:ilvl w:val="0"/>
          <w:numId w:val="3"/>
        </w:numPr>
        <w:adjustRightInd w:val="0"/>
        <w:snapToGrid w:val="0"/>
        <w:spacing w:line="576" w:lineRule="exact"/>
        <w:ind w:firstLine="640" w:firstLineChars="200"/>
        <w:contextualSpacing/>
        <w:jc w:val="left"/>
        <w:outlineLvl w:val="1"/>
        <w:rPr>
          <w:rFonts w:ascii="黑体" w:hAnsi="宋体" w:eastAsia="黑体" w:cs="宋体"/>
          <w:color w:val="000000" w:themeColor="text1"/>
          <w:kern w:val="0"/>
          <w:sz w:val="32"/>
          <w:szCs w:val="32"/>
          <w:shd w:val="clear" w:color="auto" w:fill="FFFFFF"/>
          <w:lang w:val="zh-CN"/>
        </w:rPr>
      </w:pPr>
      <w:bookmarkStart w:id="157" w:name="_Toc30955"/>
      <w:bookmarkStart w:id="158" w:name="_Toc11791"/>
      <w:bookmarkStart w:id="159" w:name="_Toc28247"/>
      <w:r>
        <w:rPr>
          <w:rFonts w:hint="eastAsia" w:ascii="黑体" w:hAnsi="宋体" w:eastAsia="黑体" w:cs="宋体"/>
          <w:color w:val="000000" w:themeColor="text1"/>
          <w:kern w:val="0"/>
          <w:sz w:val="32"/>
          <w:szCs w:val="32"/>
          <w:shd w:val="clear" w:color="auto" w:fill="FFFFFF"/>
          <w:lang w:val="zh-CN"/>
        </w:rPr>
        <w:t>部门（单位）基本情况</w:t>
      </w:r>
      <w:bookmarkEnd w:id="157"/>
      <w:bookmarkEnd w:id="158"/>
      <w:bookmarkEnd w:id="159"/>
    </w:p>
    <w:p w14:paraId="067537DB">
      <w:pPr>
        <w:widowControl/>
        <w:adjustRightInd w:val="0"/>
        <w:snapToGrid w:val="0"/>
        <w:spacing w:line="576" w:lineRule="exact"/>
        <w:ind w:firstLine="640" w:firstLineChars="200"/>
        <w:contextualSpacing/>
        <w:jc w:val="left"/>
        <w:outlineLvl w:val="2"/>
        <w:rPr>
          <w:rFonts w:ascii="楷体_GB2312" w:hAnsi="楷体_GB2312" w:eastAsia="楷体_GB2312" w:cs="楷体_GB2312"/>
          <w:color w:val="000000" w:themeColor="text1"/>
          <w:kern w:val="0"/>
          <w:sz w:val="32"/>
          <w:szCs w:val="32"/>
          <w:shd w:val="clear" w:color="auto" w:fill="FFFFFF"/>
          <w:lang w:val="zh-CN"/>
        </w:rPr>
      </w:pPr>
      <w:bookmarkStart w:id="160" w:name="_Toc23336"/>
      <w:bookmarkStart w:id="161" w:name="_Toc8408"/>
      <w:r>
        <w:rPr>
          <w:rFonts w:hint="eastAsia" w:ascii="楷体_GB2312" w:hAnsi="楷体_GB2312" w:eastAsia="楷体_GB2312" w:cs="楷体_GB2312"/>
          <w:color w:val="000000" w:themeColor="text1"/>
          <w:kern w:val="0"/>
          <w:sz w:val="32"/>
          <w:szCs w:val="32"/>
          <w:shd w:val="clear" w:color="auto" w:fill="FFFFFF"/>
          <w:lang w:val="zh-CN"/>
        </w:rPr>
        <w:t>（一）机构组成</w:t>
      </w:r>
      <w:bookmarkEnd w:id="160"/>
      <w:bookmarkEnd w:id="161"/>
    </w:p>
    <w:p w14:paraId="60426E07">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王家镇人民政府属一级预算单位，乡镇行政区划调整改革后，王家镇机构编制按两类设置。分别为第一类党政综合办事机构，基本构架为“六办一所”（党政综合与乡村振兴办公室，党建工作办公室，综合行政执法办公室、社会事务办公室、经济发展办公室、社会治理工作办公室、财政所）；第二类直属公益一类事业机构，基本构架为“四中心”（便民服务中心，农业综合服务中心，乡村建设和文化旅游服务中心，农民工服务中心）。</w:t>
      </w:r>
    </w:p>
    <w:p w14:paraId="4E555884">
      <w:pPr>
        <w:widowControl/>
        <w:adjustRightInd w:val="0"/>
        <w:snapToGrid w:val="0"/>
        <w:spacing w:line="576" w:lineRule="exact"/>
        <w:ind w:firstLine="640" w:firstLineChars="200"/>
        <w:contextualSpacing/>
        <w:jc w:val="left"/>
        <w:outlineLvl w:val="2"/>
        <w:rPr>
          <w:rFonts w:ascii="楷体_GB2312" w:hAnsi="楷体_GB2312" w:eastAsia="楷体_GB2312" w:cs="楷体_GB2312"/>
          <w:color w:val="000000" w:themeColor="text1"/>
          <w:kern w:val="0"/>
          <w:sz w:val="32"/>
          <w:szCs w:val="32"/>
          <w:shd w:val="clear" w:color="auto" w:fill="FFFFFF"/>
          <w:lang w:val="zh-CN"/>
        </w:rPr>
      </w:pPr>
      <w:bookmarkStart w:id="162" w:name="_Toc15413"/>
      <w:bookmarkStart w:id="163" w:name="_Toc20787"/>
      <w:r>
        <w:rPr>
          <w:rFonts w:hint="eastAsia" w:ascii="楷体_GB2312" w:hAnsi="楷体_GB2312" w:eastAsia="楷体_GB2312" w:cs="楷体_GB2312"/>
          <w:color w:val="000000" w:themeColor="text1"/>
          <w:kern w:val="0"/>
          <w:sz w:val="32"/>
          <w:szCs w:val="32"/>
          <w:shd w:val="clear" w:color="auto" w:fill="FFFFFF"/>
          <w:lang w:val="zh-CN"/>
        </w:rPr>
        <w:t>（二）机构职能和人员概况</w:t>
      </w:r>
      <w:bookmarkEnd w:id="162"/>
      <w:bookmarkEnd w:id="163"/>
    </w:p>
    <w:p w14:paraId="4EEFD55B">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制定和组织实施经济、科技和社会发展计划，制定资源开发技术改造和产业结构调整方案，组织指导好各业生产，搞好商品流通，协调好本镇与外地区的经济交流与合作，抓好招商引资，人才引进项目开发,不断培育市场体系，组织经济运行，促进经济发展。</w:t>
      </w:r>
    </w:p>
    <w:p w14:paraId="2744567B">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2.制定并组织实施村镇建设规划，部署重点工程建设，地方道路建设及公共设施，水利设施的管理，负责土地、林木、水等自然资源和生态环境的保护，做好护林防火工作。</w:t>
      </w:r>
    </w:p>
    <w:p w14:paraId="041DEC2B">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3.负责本行政区域内的民政、计划生育、文化教育、卫生、体育等社会公益事业的综合性工作，维护一切经济单位和个人的正当经济权益，取缔非法经济活动，调解和处理民事纠纷，打击刑事犯罪维护社会稳定。</w:t>
      </w:r>
    </w:p>
    <w:p w14:paraId="04FBF2EC">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4.按计划组织本级财政收入和地方税的征收，完成国家财政计划，不断培植税源，管好财政资金，增强财政实力。</w:t>
      </w:r>
    </w:p>
    <w:p w14:paraId="20FC2B17">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5.抓好精神文明建设，丰富群众文化生活，提倡移风易俗，反对封建迷信，破除陈规陋习，树立社会主义新风尚。</w:t>
      </w:r>
    </w:p>
    <w:p w14:paraId="70EBEA29">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6.执行本级人民代表大会的决议和上级国家行政机关的决定和命令，发布决定和命令。</w:t>
      </w:r>
    </w:p>
    <w:p w14:paraId="2C87AA0E">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7.执行本行政区域内的经济和社会发展计划、预算。管理本行政区域内的经济、教育、科学、文化、卫生、体育事业和财政、民政、公安、司法行政、计划生育等行政工作。</w:t>
      </w:r>
    </w:p>
    <w:p w14:paraId="0F7E6857">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8.保护好社会主义全民所有的财产和劳动群众集体所有财产，保护公民私有的合法财产，维护社会秩序，保障公民的人身权利、民主权利和其他权利。</w:t>
      </w:r>
    </w:p>
    <w:p w14:paraId="7D4ED428">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9.保障农村集体经济组织应有的自主权。</w:t>
      </w:r>
    </w:p>
    <w:p w14:paraId="6669FDF9">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10.保障少数民族的权利和尊重少数民族的风俗习惯。</w:t>
      </w:r>
    </w:p>
    <w:p w14:paraId="7EF56017">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11.保障宪法和法律赋予妇女的男女平等、同工同酬和婚姻自由平等各项权利。</w:t>
      </w:r>
    </w:p>
    <w:p w14:paraId="7130A98B">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12.完成和办理上级人民政府交办的其他事项。</w:t>
      </w:r>
    </w:p>
    <w:p w14:paraId="591C6E90">
      <w:pPr>
        <w:adjustRightInd w:val="0"/>
        <w:snapToGrid w:val="0"/>
        <w:spacing w:line="576"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王家镇人民政府共有编制总数56名（其中行政编制28名、事业编制25名、机关工勤编制3名），现有在编工作人员51人，其中公务员26人（在编不在岗3人，刘川借调到区委办，胡胜飞在市发改委挂职，牟秀伟借调到区委巡察办），事业人员（含事业工勤）23人（在编不在岗1人，退休1人，李武林借调到区政府办），机关工勤1人。</w:t>
      </w:r>
      <w:r>
        <w:rPr>
          <w:rFonts w:ascii="仿宋_GB2312" w:hAnsi="仿宋_GB2312" w:eastAsia="仿宋_GB2312" w:cs="仿宋_GB2312"/>
          <w:color w:val="000000" w:themeColor="text1"/>
          <w:sz w:val="32"/>
          <w:szCs w:val="32"/>
        </w:rPr>
        <w:t>按财政供给率分，</w:t>
      </w:r>
      <w:r>
        <w:rPr>
          <w:rFonts w:hint="eastAsia" w:ascii="仿宋_GB2312" w:hAnsi="仿宋_GB2312" w:eastAsia="仿宋_GB2312" w:cs="仿宋_GB2312"/>
          <w:color w:val="000000" w:themeColor="text1"/>
          <w:sz w:val="32"/>
          <w:szCs w:val="32"/>
        </w:rPr>
        <w:t>均为</w:t>
      </w:r>
      <w:r>
        <w:rPr>
          <w:rFonts w:ascii="仿宋_GB2312" w:hAnsi="仿宋_GB2312" w:eastAsia="仿宋_GB2312" w:cs="仿宋_GB2312"/>
          <w:color w:val="000000" w:themeColor="text1"/>
          <w:sz w:val="32"/>
          <w:szCs w:val="32"/>
        </w:rPr>
        <w:t>财政全额供给</w:t>
      </w:r>
      <w:r>
        <w:rPr>
          <w:rFonts w:hint="eastAsia" w:ascii="仿宋_GB2312" w:hAnsi="仿宋_GB2312" w:eastAsia="仿宋_GB2312" w:cs="仿宋_GB2312"/>
          <w:color w:val="000000" w:themeColor="text1"/>
          <w:sz w:val="32"/>
          <w:szCs w:val="32"/>
        </w:rPr>
        <w:t>。</w:t>
      </w:r>
      <w:r>
        <w:rPr>
          <w:rFonts w:ascii="仿宋_GB2312" w:hAnsi="仿宋_GB2312" w:eastAsia="仿宋_GB2312" w:cs="仿宋_GB2312"/>
          <w:color w:val="000000" w:themeColor="text1"/>
          <w:sz w:val="32"/>
          <w:szCs w:val="32"/>
        </w:rPr>
        <w:t>本单位退休人员</w:t>
      </w:r>
      <w:r>
        <w:rPr>
          <w:rFonts w:hint="eastAsia" w:ascii="仿宋_GB2312" w:hAnsi="仿宋_GB2312" w:eastAsia="仿宋_GB2312" w:cs="仿宋_GB2312"/>
          <w:color w:val="000000" w:themeColor="text1"/>
          <w:sz w:val="32"/>
          <w:szCs w:val="32"/>
        </w:rPr>
        <w:t>26</w:t>
      </w:r>
      <w:r>
        <w:rPr>
          <w:rFonts w:ascii="仿宋_GB2312" w:hAnsi="仿宋_GB2312" w:eastAsia="仿宋_GB2312" w:cs="仿宋_GB2312"/>
          <w:color w:val="000000" w:themeColor="text1"/>
          <w:sz w:val="32"/>
          <w:szCs w:val="32"/>
        </w:rPr>
        <w:t>人，其中：公务员</w:t>
      </w:r>
      <w:r>
        <w:rPr>
          <w:rFonts w:hint="eastAsia" w:ascii="仿宋_GB2312" w:hAnsi="仿宋_GB2312" w:eastAsia="仿宋_GB2312" w:cs="仿宋_GB2312"/>
          <w:color w:val="000000" w:themeColor="text1"/>
          <w:sz w:val="32"/>
          <w:szCs w:val="32"/>
        </w:rPr>
        <w:t>13</w:t>
      </w:r>
      <w:r>
        <w:rPr>
          <w:rFonts w:ascii="仿宋_GB2312" w:hAnsi="仿宋_GB2312" w:eastAsia="仿宋_GB2312" w:cs="仿宋_GB2312"/>
          <w:color w:val="000000" w:themeColor="text1"/>
          <w:sz w:val="32"/>
          <w:szCs w:val="32"/>
        </w:rPr>
        <w:t>人，事业人员</w:t>
      </w:r>
      <w:r>
        <w:rPr>
          <w:rFonts w:hint="eastAsia" w:ascii="仿宋_GB2312" w:hAnsi="仿宋_GB2312" w:eastAsia="仿宋_GB2312" w:cs="仿宋_GB2312"/>
          <w:color w:val="000000" w:themeColor="text1"/>
          <w:sz w:val="32"/>
          <w:szCs w:val="32"/>
        </w:rPr>
        <w:t>12</w:t>
      </w:r>
      <w:r>
        <w:rPr>
          <w:rFonts w:ascii="仿宋_GB2312" w:hAnsi="仿宋_GB2312" w:eastAsia="仿宋_GB2312" w:cs="仿宋_GB2312"/>
          <w:color w:val="000000" w:themeColor="text1"/>
          <w:sz w:val="32"/>
          <w:szCs w:val="32"/>
        </w:rPr>
        <w:t>人</w:t>
      </w:r>
      <w:r>
        <w:rPr>
          <w:rFonts w:hint="eastAsia" w:ascii="仿宋_GB2312" w:hAnsi="仿宋_GB2312" w:eastAsia="仿宋_GB2312" w:cs="仿宋_GB2312"/>
          <w:color w:val="000000" w:themeColor="text1"/>
          <w:sz w:val="32"/>
          <w:szCs w:val="32"/>
        </w:rPr>
        <w:t>，工勤人员1人</w:t>
      </w:r>
      <w:r>
        <w:rPr>
          <w:rFonts w:ascii="仿宋_GB2312" w:hAnsi="仿宋_GB2312" w:eastAsia="仿宋_GB2312" w:cs="仿宋_GB2312"/>
          <w:color w:val="000000" w:themeColor="text1"/>
          <w:sz w:val="32"/>
          <w:szCs w:val="32"/>
        </w:rPr>
        <w:t>。其他人员有</w:t>
      </w:r>
      <w:r>
        <w:rPr>
          <w:rFonts w:hint="eastAsia" w:ascii="仿宋_GB2312" w:hAnsi="仿宋_GB2312" w:eastAsia="仿宋_GB2312" w:cs="仿宋_GB2312"/>
          <w:color w:val="000000" w:themeColor="text1"/>
          <w:sz w:val="32"/>
          <w:szCs w:val="32"/>
        </w:rPr>
        <w:t>14</w:t>
      </w:r>
      <w:r>
        <w:rPr>
          <w:rFonts w:ascii="仿宋_GB2312" w:hAnsi="仿宋_GB2312" w:eastAsia="仿宋_GB2312" w:cs="仿宋_GB2312"/>
          <w:color w:val="000000" w:themeColor="text1"/>
          <w:sz w:val="32"/>
          <w:szCs w:val="32"/>
        </w:rPr>
        <w:t>人，其中：三支一扶</w:t>
      </w:r>
      <w:r>
        <w:rPr>
          <w:rFonts w:hint="eastAsia" w:ascii="仿宋_GB2312" w:hAnsi="仿宋_GB2312" w:eastAsia="仿宋_GB2312" w:cs="仿宋_GB2312"/>
          <w:color w:val="000000" w:themeColor="text1"/>
          <w:sz w:val="32"/>
          <w:szCs w:val="32"/>
        </w:rPr>
        <w:t>1</w:t>
      </w:r>
      <w:r>
        <w:rPr>
          <w:rFonts w:ascii="仿宋_GB2312" w:hAnsi="仿宋_GB2312" w:eastAsia="仿宋_GB2312" w:cs="仿宋_GB2312"/>
          <w:color w:val="000000" w:themeColor="text1"/>
          <w:sz w:val="32"/>
          <w:szCs w:val="32"/>
        </w:rPr>
        <w:t>人，</w:t>
      </w:r>
      <w:r>
        <w:rPr>
          <w:rFonts w:hint="eastAsia" w:ascii="仿宋_GB2312" w:hAnsi="仿宋_GB2312" w:eastAsia="仿宋_GB2312" w:cs="仿宋_GB2312"/>
          <w:color w:val="000000" w:themeColor="text1"/>
          <w:sz w:val="32"/>
          <w:szCs w:val="32"/>
        </w:rPr>
        <w:t>西部志愿者2人，</w:t>
      </w:r>
      <w:r>
        <w:rPr>
          <w:rFonts w:ascii="仿宋_GB2312" w:hAnsi="仿宋_GB2312" w:eastAsia="仿宋_GB2312" w:cs="仿宋_GB2312"/>
          <w:color w:val="000000" w:themeColor="text1"/>
          <w:sz w:val="32"/>
          <w:szCs w:val="32"/>
        </w:rPr>
        <w:t>遗属</w:t>
      </w:r>
      <w:r>
        <w:rPr>
          <w:rFonts w:hint="eastAsia" w:ascii="仿宋_GB2312" w:hAnsi="仿宋_GB2312" w:eastAsia="仿宋_GB2312" w:cs="仿宋_GB2312"/>
          <w:color w:val="000000" w:themeColor="text1"/>
          <w:sz w:val="32"/>
          <w:szCs w:val="32"/>
        </w:rPr>
        <w:t>9</w:t>
      </w:r>
      <w:r>
        <w:rPr>
          <w:rFonts w:ascii="仿宋_GB2312" w:hAnsi="仿宋_GB2312" w:eastAsia="仿宋_GB2312" w:cs="仿宋_GB2312"/>
          <w:color w:val="000000" w:themeColor="text1"/>
          <w:sz w:val="32"/>
          <w:szCs w:val="32"/>
        </w:rPr>
        <w:t>人，临时炊事员1人。</w:t>
      </w:r>
    </w:p>
    <w:p w14:paraId="194DC766">
      <w:pPr>
        <w:widowControl/>
        <w:adjustRightInd w:val="0"/>
        <w:snapToGrid w:val="0"/>
        <w:spacing w:line="576" w:lineRule="exact"/>
        <w:ind w:firstLine="640" w:firstLineChars="200"/>
        <w:contextualSpacing/>
        <w:jc w:val="left"/>
        <w:outlineLvl w:val="2"/>
        <w:rPr>
          <w:rFonts w:ascii="楷体_GB2312" w:hAnsi="楷体_GB2312" w:eastAsia="楷体_GB2312" w:cs="楷体_GB2312"/>
          <w:color w:val="000000" w:themeColor="text1"/>
          <w:kern w:val="0"/>
          <w:sz w:val="32"/>
          <w:szCs w:val="32"/>
          <w:shd w:val="clear" w:color="auto" w:fill="FFFFFF"/>
          <w:lang w:val="zh-CN"/>
        </w:rPr>
      </w:pPr>
      <w:bookmarkStart w:id="164" w:name="_Toc12667"/>
      <w:bookmarkStart w:id="165" w:name="_Toc27253"/>
      <w:r>
        <w:rPr>
          <w:rFonts w:hint="eastAsia" w:ascii="楷体_GB2312" w:hAnsi="楷体_GB2312" w:eastAsia="楷体_GB2312" w:cs="楷体_GB2312"/>
          <w:color w:val="000000" w:themeColor="text1"/>
          <w:kern w:val="0"/>
          <w:sz w:val="32"/>
          <w:szCs w:val="32"/>
          <w:shd w:val="clear" w:color="auto" w:fill="FFFFFF"/>
          <w:lang w:val="zh-CN"/>
        </w:rPr>
        <w:t>（三）年度主要工作任务</w:t>
      </w:r>
      <w:bookmarkEnd w:id="164"/>
      <w:bookmarkEnd w:id="165"/>
    </w:p>
    <w:p w14:paraId="1C6DB5E5">
      <w:pPr>
        <w:spacing w:line="576" w:lineRule="exact"/>
        <w:ind w:firstLine="640" w:firstLineChars="200"/>
      </w:pPr>
      <w:r>
        <w:rPr>
          <w:rFonts w:hint="eastAsia" w:eastAsia="楷体_GB2312"/>
          <w:sz w:val="32"/>
          <w:szCs w:val="32"/>
        </w:rPr>
        <w:t>1.</w:t>
      </w:r>
      <w:r>
        <w:rPr>
          <w:rFonts w:eastAsia="楷体_GB2312"/>
          <w:sz w:val="32"/>
          <w:szCs w:val="32"/>
        </w:rPr>
        <w:t>镇域经济稳中求进。</w:t>
      </w:r>
      <w:r>
        <w:rPr>
          <w:rFonts w:hint="eastAsia" w:ascii="仿宋_GB2312" w:hAnsi="仿宋_GB2312" w:eastAsia="仿宋_GB2312" w:cs="仿宋_GB2312"/>
          <w:sz w:val="32"/>
          <w:szCs w:val="32"/>
        </w:rPr>
        <w:t>镇党委政府认真贯彻落实省第十二次党代会、党的二十大精神，</w:t>
      </w:r>
      <w:r>
        <w:rPr>
          <w:rFonts w:eastAsia="仿宋_GB2312"/>
          <w:sz w:val="32"/>
          <w:szCs w:val="32"/>
        </w:rPr>
        <w:t>坚持统筹疫情防控和经济社会发展，主动适应发展新常态</w:t>
      </w:r>
      <w:r>
        <w:rPr>
          <w:rFonts w:hint="eastAsia" w:ascii="仿宋_GB2312" w:hAnsi="仿宋_GB2312" w:eastAsia="仿宋_GB2312" w:cs="仿宋_GB2312"/>
          <w:sz w:val="32"/>
          <w:szCs w:val="32"/>
        </w:rPr>
        <w:t>，聚焦特色农业产业，狠抓场镇建设，重点推进项目建设和招商引资，实现了全镇经济社会全面发展、全面进步。</w:t>
      </w:r>
      <w:r>
        <w:rPr>
          <w:rFonts w:eastAsia="仿宋_GB2312"/>
          <w:sz w:val="32"/>
          <w:szCs w:val="32"/>
        </w:rPr>
        <w:t>202</w:t>
      </w:r>
      <w:r>
        <w:rPr>
          <w:rFonts w:hint="eastAsia" w:eastAsia="仿宋_GB2312"/>
          <w:sz w:val="32"/>
          <w:szCs w:val="32"/>
        </w:rPr>
        <w:t>2</w:t>
      </w:r>
      <w:r>
        <w:rPr>
          <w:rFonts w:eastAsia="仿宋_GB2312"/>
          <w:sz w:val="32"/>
          <w:szCs w:val="32"/>
        </w:rPr>
        <w:t>年，全镇</w:t>
      </w:r>
      <w:r>
        <w:rPr>
          <w:rFonts w:hint="eastAsia" w:eastAsia="仿宋_GB2312"/>
          <w:sz w:val="32"/>
          <w:szCs w:val="32"/>
        </w:rPr>
        <w:t>GDP达2.82亿元，同比增长10.3%，其中</w:t>
      </w:r>
      <w:r>
        <w:rPr>
          <w:rFonts w:eastAsia="仿宋_GB2312"/>
          <w:sz w:val="32"/>
          <w:szCs w:val="32"/>
        </w:rPr>
        <w:t>线下批、零、住、餐产值达</w:t>
      </w:r>
      <w:r>
        <w:rPr>
          <w:rFonts w:hint="eastAsia" w:eastAsia="仿宋_GB2312"/>
          <w:sz w:val="32"/>
          <w:szCs w:val="32"/>
        </w:rPr>
        <w:t>1.32亿</w:t>
      </w:r>
      <w:r>
        <w:rPr>
          <w:rFonts w:eastAsia="仿宋_GB2312"/>
          <w:sz w:val="32"/>
          <w:szCs w:val="32"/>
        </w:rPr>
        <w:t>元，同比增长</w:t>
      </w:r>
      <w:r>
        <w:rPr>
          <w:rFonts w:hint="eastAsia" w:eastAsia="仿宋_GB2312"/>
          <w:sz w:val="32"/>
          <w:szCs w:val="32"/>
        </w:rPr>
        <w:t>10.1</w:t>
      </w:r>
      <w:r>
        <w:rPr>
          <w:rFonts w:eastAsia="仿宋_GB2312"/>
          <w:sz w:val="32"/>
          <w:szCs w:val="32"/>
        </w:rPr>
        <w:t>%</w:t>
      </w:r>
      <w:r>
        <w:rPr>
          <w:rFonts w:hint="eastAsia" w:eastAsia="仿宋_GB2312"/>
          <w:sz w:val="32"/>
          <w:szCs w:val="32"/>
        </w:rPr>
        <w:t>，</w:t>
      </w:r>
      <w:r>
        <w:rPr>
          <w:rFonts w:eastAsia="仿宋_GB2312"/>
          <w:sz w:val="32"/>
          <w:szCs w:val="32"/>
        </w:rPr>
        <w:t>社消零经营总额达</w:t>
      </w:r>
      <w:r>
        <w:rPr>
          <w:rFonts w:hint="eastAsia" w:eastAsia="仿宋_GB2312"/>
          <w:sz w:val="32"/>
          <w:szCs w:val="32"/>
        </w:rPr>
        <w:t>1.2亿</w:t>
      </w:r>
      <w:r>
        <w:rPr>
          <w:rFonts w:eastAsia="仿宋_GB2312"/>
          <w:sz w:val="32"/>
          <w:szCs w:val="32"/>
        </w:rPr>
        <w:t>元，同比增长</w:t>
      </w:r>
      <w:r>
        <w:rPr>
          <w:rFonts w:hint="eastAsia" w:eastAsia="仿宋_GB2312"/>
          <w:sz w:val="32"/>
          <w:szCs w:val="32"/>
        </w:rPr>
        <w:t>10</w:t>
      </w:r>
      <w:r>
        <w:rPr>
          <w:rFonts w:eastAsia="仿宋_GB2312"/>
          <w:sz w:val="32"/>
          <w:szCs w:val="32"/>
        </w:rPr>
        <w:t>%</w:t>
      </w:r>
      <w:r>
        <w:rPr>
          <w:rFonts w:hint="eastAsia" w:eastAsia="仿宋_GB2312"/>
          <w:sz w:val="32"/>
          <w:szCs w:val="32"/>
        </w:rPr>
        <w:t>，人均可支配收入</w:t>
      </w:r>
      <w:r>
        <w:rPr>
          <w:rFonts w:eastAsia="仿宋_GB2312"/>
          <w:sz w:val="32"/>
          <w:szCs w:val="32"/>
        </w:rPr>
        <w:t>达</w:t>
      </w:r>
      <w:r>
        <w:rPr>
          <w:rFonts w:hint="eastAsia" w:eastAsia="仿宋_GB2312"/>
          <w:sz w:val="32"/>
          <w:szCs w:val="32"/>
        </w:rPr>
        <w:t>1.75万</w:t>
      </w:r>
      <w:r>
        <w:rPr>
          <w:rFonts w:eastAsia="仿宋_GB2312"/>
          <w:sz w:val="32"/>
          <w:szCs w:val="32"/>
        </w:rPr>
        <w:t>元，同比增长</w:t>
      </w:r>
      <w:r>
        <w:rPr>
          <w:rFonts w:hint="eastAsia" w:eastAsia="仿宋_GB2312"/>
          <w:sz w:val="32"/>
          <w:szCs w:val="32"/>
        </w:rPr>
        <w:t>12.2</w:t>
      </w:r>
      <w:r>
        <w:rPr>
          <w:rFonts w:eastAsia="仿宋_GB2312"/>
          <w:sz w:val="32"/>
          <w:szCs w:val="32"/>
        </w:rPr>
        <w:t>%。</w:t>
      </w:r>
      <w:r>
        <w:rPr>
          <w:rFonts w:hint="eastAsia" w:eastAsia="仿宋_GB2312"/>
          <w:sz w:val="32"/>
          <w:szCs w:val="32"/>
        </w:rPr>
        <w:t>截至目前，完成固投1.28亿元，完成招商引资1.44亿元，</w:t>
      </w:r>
      <w:r>
        <w:rPr>
          <w:rFonts w:eastAsia="仿宋_GB2312"/>
          <w:sz w:val="32"/>
          <w:szCs w:val="32"/>
        </w:rPr>
        <w:t>新签约项目</w:t>
      </w:r>
      <w:r>
        <w:rPr>
          <w:rFonts w:hint="eastAsia" w:eastAsia="仿宋_GB2312"/>
          <w:sz w:val="32"/>
          <w:szCs w:val="32"/>
        </w:rPr>
        <w:t>3</w:t>
      </w:r>
      <w:r>
        <w:rPr>
          <w:rFonts w:eastAsia="仿宋_GB2312"/>
          <w:sz w:val="32"/>
          <w:szCs w:val="32"/>
        </w:rPr>
        <w:t>个，引进社会资金</w:t>
      </w:r>
      <w:r>
        <w:rPr>
          <w:rFonts w:hint="eastAsia" w:eastAsia="仿宋_GB2312"/>
          <w:sz w:val="32"/>
          <w:szCs w:val="32"/>
        </w:rPr>
        <w:t>5377万元</w:t>
      </w:r>
      <w:r>
        <w:rPr>
          <w:rFonts w:eastAsia="仿宋_GB2312"/>
          <w:sz w:val="32"/>
          <w:szCs w:val="32"/>
        </w:rPr>
        <w:t>。</w:t>
      </w:r>
    </w:p>
    <w:p w14:paraId="3E90839C">
      <w:pPr>
        <w:spacing w:line="576" w:lineRule="exact"/>
        <w:ind w:firstLine="640" w:firstLineChars="200"/>
        <w:rPr>
          <w:rFonts w:eastAsia="仿宋_GB2312"/>
          <w:sz w:val="32"/>
          <w:szCs w:val="40"/>
        </w:rPr>
      </w:pPr>
      <w:r>
        <w:rPr>
          <w:rFonts w:hint="eastAsia" w:eastAsia="楷体_GB2312"/>
          <w:sz w:val="32"/>
          <w:szCs w:val="32"/>
        </w:rPr>
        <w:t>2.乡村振兴高效推进</w:t>
      </w:r>
      <w:r>
        <w:rPr>
          <w:rFonts w:eastAsia="楷体_GB2312"/>
          <w:sz w:val="32"/>
          <w:szCs w:val="32"/>
        </w:rPr>
        <w:t>。</w:t>
      </w:r>
      <w:r>
        <w:rPr>
          <w:rFonts w:hint="eastAsia" w:ascii="仿宋_GB2312" w:hAnsi="仿宋_GB2312" w:eastAsia="仿宋_GB2312" w:cs="仿宋_GB2312"/>
          <w:sz w:val="32"/>
          <w:szCs w:val="32"/>
        </w:rPr>
        <w:t>全镇党员干部</w:t>
      </w:r>
      <w:r>
        <w:rPr>
          <w:rFonts w:eastAsia="仿宋_GB2312"/>
          <w:color w:val="000000"/>
          <w:sz w:val="32"/>
          <w:szCs w:val="32"/>
        </w:rPr>
        <w:t>不断提高政治站位，主动扛牢千钧之责，凝心聚力狠抓落实，大力推动脱贫攻坚同乡村振兴有效衔接稳起步、见实效、开新局。</w:t>
      </w:r>
      <w:r>
        <w:rPr>
          <w:rFonts w:eastAsia="仿宋_GB2312"/>
          <w:sz w:val="32"/>
          <w:szCs w:val="32"/>
        </w:rPr>
        <w:t>一是</w:t>
      </w:r>
      <w:r>
        <w:rPr>
          <w:rFonts w:hint="eastAsia" w:ascii="仿宋_GB2312" w:hAnsi="仿宋_GB2312" w:eastAsia="仿宋_GB2312" w:cs="仿宋_GB2312"/>
          <w:sz w:val="32"/>
          <w:szCs w:val="32"/>
        </w:rPr>
        <w:t>坚决做好</w:t>
      </w:r>
      <w:r>
        <w:rPr>
          <w:rFonts w:ascii="仿宋_GB2312" w:hAnsi="仿宋_GB2312" w:eastAsia="仿宋_GB2312" w:cs="仿宋_GB2312"/>
          <w:sz w:val="32"/>
          <w:szCs w:val="32"/>
        </w:rPr>
        <w:t>防止返贫动态监测</w:t>
      </w:r>
      <w:r>
        <w:rPr>
          <w:rFonts w:hint="eastAsia" w:ascii="仿宋_GB2312" w:hAnsi="仿宋_GB2312" w:eastAsia="仿宋_GB2312" w:cs="仿宋_GB2312"/>
          <w:sz w:val="32"/>
          <w:szCs w:val="32"/>
        </w:rPr>
        <w:t>与帮扶</w:t>
      </w:r>
      <w:r>
        <w:rPr>
          <w:rFonts w:ascii="仿宋_GB2312" w:hAnsi="仿宋_GB2312" w:eastAsia="仿宋_GB2312" w:cs="仿宋_GB2312"/>
          <w:sz w:val="32"/>
          <w:szCs w:val="32"/>
        </w:rPr>
        <w:t>。</w:t>
      </w:r>
      <w:r>
        <w:rPr>
          <w:rFonts w:eastAsia="仿宋_GB2312"/>
          <w:sz w:val="32"/>
          <w:szCs w:val="32"/>
        </w:rPr>
        <w:t>健全体制机</w:t>
      </w:r>
      <w:r>
        <w:rPr>
          <w:rFonts w:hint="eastAsia" w:eastAsia="仿宋_GB2312"/>
          <w:sz w:val="32"/>
          <w:szCs w:val="32"/>
        </w:rPr>
        <w:t>制</w:t>
      </w:r>
      <w:r>
        <w:rPr>
          <w:rFonts w:eastAsia="仿宋_GB2312"/>
          <w:sz w:val="32"/>
          <w:szCs w:val="32"/>
        </w:rPr>
        <w:t>，细化政策举措，做到早发现、早干预、早帮扶，坚决守住全镇不发生规模性返贫的底线</w:t>
      </w:r>
      <w:r>
        <w:rPr>
          <w:rFonts w:hint="eastAsia" w:eastAsia="仿宋_GB2312"/>
          <w:sz w:val="32"/>
          <w:szCs w:val="32"/>
        </w:rPr>
        <w:t>。</w:t>
      </w:r>
      <w:r>
        <w:rPr>
          <w:rFonts w:eastAsia="仿宋_GB2312"/>
          <w:sz w:val="32"/>
          <w:szCs w:val="32"/>
        </w:rPr>
        <w:t>2022年区级各相关行业部门共反馈预警消息约2524条，经过镇村两级摸排走访，最终上报3户6人监测对象，未纳入监测对象的预警名单均逐户建立佐证资料。同时针对上报返贫预警监测户，建立帮扶台账，制定帮扶措施71条，其中就业帮扶15条，健康帮扶12条，教育帮扶7条，综合性保障帮扶37条。</w:t>
      </w:r>
      <w:r>
        <w:rPr>
          <w:rFonts w:hint="eastAsia" w:eastAsia="仿宋_GB2312"/>
          <w:sz w:val="32"/>
          <w:szCs w:val="32"/>
        </w:rPr>
        <w:t>二</w:t>
      </w:r>
      <w:r>
        <w:rPr>
          <w:rFonts w:eastAsia="仿宋_GB2312"/>
          <w:sz w:val="32"/>
          <w:szCs w:val="32"/>
        </w:rPr>
        <w:t>是</w:t>
      </w:r>
      <w:r>
        <w:rPr>
          <w:rFonts w:ascii="仿宋_GB2312" w:hAnsi="仿宋_GB2312" w:eastAsia="仿宋_GB2312" w:cs="仿宋_GB2312"/>
          <w:sz w:val="32"/>
          <w:szCs w:val="32"/>
        </w:rPr>
        <w:t>严格管理扶贫项目资产。</w:t>
      </w:r>
      <w:r>
        <w:rPr>
          <w:rFonts w:hint="eastAsia" w:ascii="仿宋_GB2312" w:hAnsi="仿宋_GB2312" w:eastAsia="仿宋_GB2312" w:cs="仿宋_GB2312"/>
          <w:sz w:val="32"/>
          <w:szCs w:val="32"/>
        </w:rPr>
        <w:t>镇党委政府高度重视，</w:t>
      </w:r>
      <w:r>
        <w:rPr>
          <w:rFonts w:eastAsia="仿宋_GB2312"/>
          <w:sz w:val="32"/>
          <w:szCs w:val="32"/>
        </w:rPr>
        <w:t>专项清理201</w:t>
      </w:r>
      <w:r>
        <w:rPr>
          <w:rFonts w:hint="eastAsia" w:eastAsia="仿宋_GB2312"/>
          <w:sz w:val="32"/>
          <w:szCs w:val="32"/>
        </w:rPr>
        <w:t>3</w:t>
      </w:r>
      <w:r>
        <w:rPr>
          <w:rFonts w:eastAsia="仿宋_GB2312"/>
          <w:sz w:val="32"/>
          <w:szCs w:val="32"/>
        </w:rPr>
        <w:t>年-2020年以来形成的扶贫项目资产，共</w:t>
      </w:r>
      <w:r>
        <w:rPr>
          <w:rFonts w:eastAsia="仿宋_GB2312"/>
          <w:sz w:val="32"/>
          <w:szCs w:val="40"/>
        </w:rPr>
        <w:t>核定</w:t>
      </w:r>
      <w:r>
        <w:rPr>
          <w:rFonts w:hint="eastAsia" w:eastAsia="仿宋_GB2312"/>
          <w:sz w:val="32"/>
          <w:szCs w:val="40"/>
        </w:rPr>
        <w:t>个</w:t>
      </w:r>
      <w:r>
        <w:rPr>
          <w:rFonts w:eastAsia="仿宋_GB2312"/>
          <w:sz w:val="32"/>
          <w:szCs w:val="40"/>
        </w:rPr>
        <w:t>户资产78户，集体资产454个，国有资产16个，并建立登记台账，制定管理办法，</w:t>
      </w:r>
      <w:r>
        <w:rPr>
          <w:rFonts w:eastAsia="仿宋_GB2312"/>
          <w:sz w:val="32"/>
          <w:szCs w:val="32"/>
        </w:rPr>
        <w:t>形成产权分明、权责明确、规范经营的管理机制，持续推动扶贫资产充分发挥效益</w:t>
      </w:r>
      <w:r>
        <w:rPr>
          <w:rFonts w:eastAsia="仿宋_GB2312"/>
          <w:sz w:val="32"/>
          <w:szCs w:val="40"/>
        </w:rPr>
        <w:t>。</w:t>
      </w:r>
      <w:r>
        <w:rPr>
          <w:rFonts w:hint="eastAsia" w:eastAsia="仿宋_GB2312"/>
          <w:sz w:val="32"/>
          <w:szCs w:val="40"/>
        </w:rPr>
        <w:t>三</w:t>
      </w:r>
      <w:r>
        <w:rPr>
          <w:rFonts w:hint="eastAsia" w:eastAsia="仿宋_GB2312"/>
          <w:sz w:val="32"/>
          <w:szCs w:val="32"/>
        </w:rPr>
        <w:t>是</w:t>
      </w:r>
      <w:r>
        <w:rPr>
          <w:rFonts w:hint="eastAsia" w:ascii="仿宋_GB2312" w:hAnsi="仿宋_GB2312" w:eastAsia="仿宋_GB2312" w:cs="仿宋_GB2312"/>
          <w:sz w:val="32"/>
          <w:szCs w:val="32"/>
        </w:rPr>
        <w:t>持续加强基础设施配套建设</w:t>
      </w:r>
      <w:r>
        <w:rPr>
          <w:rFonts w:hint="eastAsia" w:eastAsia="楷体_GB2312"/>
          <w:sz w:val="32"/>
          <w:szCs w:val="32"/>
        </w:rPr>
        <w:t>。</w:t>
      </w:r>
      <w:r>
        <w:rPr>
          <w:rFonts w:hint="eastAsia" w:ascii="仿宋_GB2312" w:hAnsi="仿宋_GB2312" w:eastAsia="仿宋_GB2312" w:cs="仿宋_GB2312"/>
          <w:sz w:val="32"/>
          <w:szCs w:val="32"/>
        </w:rPr>
        <w:t>始终将</w:t>
      </w:r>
      <w:r>
        <w:rPr>
          <w:rFonts w:eastAsia="仿宋_GB2312"/>
          <w:spacing w:val="2"/>
          <w:sz w:val="32"/>
          <w:szCs w:val="32"/>
        </w:rPr>
        <w:t>农村基础设施</w:t>
      </w:r>
      <w:r>
        <w:rPr>
          <w:rFonts w:hint="eastAsia" w:eastAsia="仿宋_GB2312"/>
          <w:spacing w:val="2"/>
          <w:sz w:val="32"/>
          <w:szCs w:val="32"/>
        </w:rPr>
        <w:t>建设作为</w:t>
      </w:r>
      <w:r>
        <w:rPr>
          <w:rFonts w:eastAsia="仿宋_GB2312"/>
          <w:spacing w:val="2"/>
          <w:sz w:val="32"/>
          <w:szCs w:val="32"/>
        </w:rPr>
        <w:t>乡村振兴总体任务的重要抓手，把群众</w:t>
      </w:r>
      <w:r>
        <w:rPr>
          <w:rFonts w:hint="eastAsia" w:eastAsia="仿宋_GB2312"/>
          <w:spacing w:val="2"/>
          <w:sz w:val="32"/>
          <w:szCs w:val="32"/>
        </w:rPr>
        <w:t>交通出行、</w:t>
      </w:r>
      <w:r>
        <w:rPr>
          <w:rFonts w:eastAsia="仿宋_GB2312"/>
          <w:spacing w:val="2"/>
          <w:sz w:val="32"/>
          <w:szCs w:val="32"/>
        </w:rPr>
        <w:t>饮水安全</w:t>
      </w:r>
      <w:r>
        <w:rPr>
          <w:rFonts w:hint="eastAsia" w:eastAsia="仿宋_GB2312"/>
          <w:spacing w:val="2"/>
          <w:sz w:val="32"/>
          <w:szCs w:val="32"/>
        </w:rPr>
        <w:t>、电力保障</w:t>
      </w:r>
      <w:r>
        <w:rPr>
          <w:rFonts w:eastAsia="仿宋_GB2312"/>
          <w:spacing w:val="2"/>
          <w:sz w:val="32"/>
          <w:szCs w:val="32"/>
        </w:rPr>
        <w:t>摆在最重要位置。</w:t>
      </w:r>
      <w:r>
        <w:rPr>
          <w:rFonts w:hint="eastAsia" w:eastAsia="仿宋_GB2312"/>
          <w:spacing w:val="2"/>
          <w:sz w:val="32"/>
          <w:szCs w:val="32"/>
        </w:rPr>
        <w:t>全面落实“路长制”，定期组织镇村干部、公益性岗位人员开展道路清杂理乱、养护管理等工作，</w:t>
      </w:r>
      <w:r>
        <w:rPr>
          <w:rFonts w:eastAsia="仿宋_GB2312"/>
          <w:spacing w:val="2"/>
          <w:sz w:val="32"/>
          <w:szCs w:val="32"/>
        </w:rPr>
        <w:t>对全镇的村组道路进行了全域</w:t>
      </w:r>
      <w:r>
        <w:rPr>
          <w:rFonts w:hint="eastAsia" w:eastAsia="仿宋_GB2312"/>
          <w:spacing w:val="2"/>
          <w:sz w:val="32"/>
          <w:szCs w:val="32"/>
        </w:rPr>
        <w:t>整治提升。</w:t>
      </w:r>
      <w:r>
        <w:rPr>
          <w:rFonts w:eastAsia="仿宋_GB2312"/>
          <w:kern w:val="0"/>
          <w:sz w:val="32"/>
          <w:szCs w:val="32"/>
          <w:lang w:val="zh-CN"/>
        </w:rPr>
        <w:t>明确水管人员职能职责，</w:t>
      </w:r>
      <w:r>
        <w:rPr>
          <w:rFonts w:hint="eastAsia" w:eastAsia="仿宋_GB2312"/>
          <w:kern w:val="0"/>
          <w:sz w:val="32"/>
          <w:szCs w:val="32"/>
          <w:lang w:val="zh-CN"/>
        </w:rPr>
        <w:t>全</w:t>
      </w:r>
      <w:r>
        <w:rPr>
          <w:rFonts w:hint="eastAsia" w:eastAsia="仿宋_GB2312"/>
          <w:spacing w:val="2"/>
          <w:sz w:val="32"/>
          <w:szCs w:val="32"/>
        </w:rPr>
        <w:t>年</w:t>
      </w:r>
      <w:r>
        <w:rPr>
          <w:rFonts w:eastAsia="仿宋_GB2312"/>
          <w:spacing w:val="2"/>
          <w:sz w:val="32"/>
          <w:szCs w:val="32"/>
        </w:rPr>
        <w:t>新建微水池13口</w:t>
      </w:r>
      <w:r>
        <w:rPr>
          <w:rFonts w:hint="eastAsia" w:eastAsia="仿宋_GB2312"/>
          <w:spacing w:val="2"/>
          <w:sz w:val="32"/>
          <w:szCs w:val="32"/>
        </w:rPr>
        <w:t>，</w:t>
      </w:r>
      <w:r>
        <w:rPr>
          <w:rFonts w:eastAsia="仿宋_GB2312"/>
          <w:spacing w:val="2"/>
          <w:sz w:val="32"/>
          <w:szCs w:val="32"/>
        </w:rPr>
        <w:t>整治山坪塘4口</w:t>
      </w:r>
      <w:r>
        <w:rPr>
          <w:rFonts w:hint="eastAsia" w:eastAsia="仿宋_GB2312"/>
          <w:spacing w:val="2"/>
          <w:sz w:val="32"/>
          <w:szCs w:val="32"/>
        </w:rPr>
        <w:t>，</w:t>
      </w:r>
      <w:r>
        <w:rPr>
          <w:rFonts w:eastAsia="仿宋_GB2312"/>
          <w:spacing w:val="2"/>
          <w:sz w:val="32"/>
          <w:szCs w:val="32"/>
        </w:rPr>
        <w:t>灌溉渠系200米，铺设人饮用水管网3公里，</w:t>
      </w:r>
      <w:r>
        <w:rPr>
          <w:rFonts w:hint="eastAsia" w:eastAsia="仿宋_GB2312"/>
          <w:spacing w:val="2"/>
          <w:sz w:val="32"/>
          <w:szCs w:val="32"/>
        </w:rPr>
        <w:t>开展</w:t>
      </w:r>
      <w:r>
        <w:rPr>
          <w:rFonts w:eastAsia="仿宋_GB2312"/>
          <w:spacing w:val="2"/>
          <w:sz w:val="32"/>
          <w:szCs w:val="32"/>
        </w:rPr>
        <w:t>全域供电线路安全隐患治理</w:t>
      </w:r>
      <w:r>
        <w:rPr>
          <w:rFonts w:hint="eastAsia" w:eastAsia="仿宋_GB2312"/>
          <w:spacing w:val="2"/>
          <w:sz w:val="32"/>
          <w:szCs w:val="32"/>
        </w:rPr>
        <w:t>12次</w:t>
      </w:r>
      <w:r>
        <w:rPr>
          <w:rFonts w:eastAsia="仿宋_GB2312"/>
          <w:spacing w:val="2"/>
          <w:sz w:val="32"/>
          <w:szCs w:val="32"/>
        </w:rPr>
        <w:t>，清理森林防火单塔下易燃物2</w:t>
      </w:r>
      <w:r>
        <w:rPr>
          <w:rFonts w:hint="eastAsia" w:eastAsia="仿宋_GB2312"/>
          <w:spacing w:val="2"/>
          <w:sz w:val="32"/>
          <w:szCs w:val="32"/>
        </w:rPr>
        <w:t>6</w:t>
      </w:r>
      <w:r>
        <w:rPr>
          <w:rFonts w:eastAsia="仿宋_GB2312"/>
          <w:spacing w:val="2"/>
          <w:sz w:val="32"/>
          <w:szCs w:val="32"/>
        </w:rPr>
        <w:t>0余处，充分保障了群众</w:t>
      </w:r>
      <w:r>
        <w:rPr>
          <w:rFonts w:hint="eastAsia" w:eastAsia="仿宋_GB2312"/>
          <w:spacing w:val="2"/>
          <w:sz w:val="32"/>
          <w:szCs w:val="32"/>
        </w:rPr>
        <w:t>出行、用水、</w:t>
      </w:r>
      <w:r>
        <w:rPr>
          <w:rFonts w:eastAsia="仿宋_GB2312"/>
          <w:spacing w:val="2"/>
          <w:sz w:val="32"/>
          <w:szCs w:val="32"/>
        </w:rPr>
        <w:t>用电</w:t>
      </w:r>
      <w:r>
        <w:rPr>
          <w:rFonts w:hint="eastAsia" w:eastAsia="仿宋_GB2312"/>
          <w:spacing w:val="2"/>
          <w:sz w:val="32"/>
          <w:szCs w:val="32"/>
        </w:rPr>
        <w:t>的</w:t>
      </w:r>
      <w:r>
        <w:rPr>
          <w:rFonts w:eastAsia="仿宋_GB2312"/>
          <w:spacing w:val="2"/>
          <w:sz w:val="32"/>
          <w:szCs w:val="32"/>
        </w:rPr>
        <w:t>安全性和便利性。</w:t>
      </w:r>
    </w:p>
    <w:p w14:paraId="6D1CC591">
      <w:pPr>
        <w:spacing w:line="576" w:lineRule="exact"/>
        <w:ind w:firstLine="640" w:firstLineChars="200"/>
        <w:rPr>
          <w:rFonts w:eastAsia="仿宋_GB2312"/>
          <w:color w:val="000000"/>
          <w:sz w:val="32"/>
          <w:szCs w:val="32"/>
        </w:rPr>
      </w:pPr>
      <w:r>
        <w:rPr>
          <w:rFonts w:hint="eastAsia" w:eastAsia="楷体_GB2312"/>
          <w:sz w:val="32"/>
          <w:szCs w:val="32"/>
        </w:rPr>
        <w:t>3.</w:t>
      </w:r>
      <w:r>
        <w:rPr>
          <w:rFonts w:eastAsia="楷体_GB2312"/>
          <w:sz w:val="32"/>
          <w:szCs w:val="32"/>
        </w:rPr>
        <w:t>项目投资重点支撑。</w:t>
      </w:r>
      <w:r>
        <w:rPr>
          <w:rFonts w:hint="eastAsia" w:ascii="仿宋_GB2312" w:hAnsi="仿宋_GB2312" w:eastAsia="仿宋_GB2312" w:cs="仿宋_GB2312"/>
          <w:sz w:val="32"/>
          <w:szCs w:val="32"/>
        </w:rPr>
        <w:t>全力以赴抓项目、促投资，</w:t>
      </w:r>
      <w:r>
        <w:rPr>
          <w:rFonts w:eastAsia="仿宋_GB2312"/>
          <w:sz w:val="32"/>
          <w:szCs w:val="32"/>
        </w:rPr>
        <w:t>依托重大项目工程，</w:t>
      </w:r>
      <w:r>
        <w:rPr>
          <w:rFonts w:hint="eastAsia" w:ascii="仿宋_GB2312" w:hAnsi="仿宋_GB2312" w:eastAsia="仿宋_GB2312" w:cs="仿宋_GB2312"/>
          <w:sz w:val="32"/>
          <w:szCs w:val="32"/>
        </w:rPr>
        <w:t>始终将招商引资、项目建设作为全镇发展的重要支撑，形成谋划一批、储备一批、开工一批、建成一批的滚动发展格局。</w:t>
      </w:r>
      <w:r>
        <w:rPr>
          <w:rFonts w:eastAsia="仿宋_GB2312"/>
          <w:sz w:val="32"/>
          <w:szCs w:val="32"/>
        </w:rPr>
        <w:t>202</w:t>
      </w:r>
      <w:r>
        <w:rPr>
          <w:rFonts w:hint="eastAsia" w:eastAsia="仿宋_GB2312"/>
          <w:sz w:val="32"/>
          <w:szCs w:val="32"/>
        </w:rPr>
        <w:t>2</w:t>
      </w:r>
      <w:r>
        <w:rPr>
          <w:rFonts w:eastAsia="仿宋_GB2312"/>
          <w:sz w:val="32"/>
          <w:szCs w:val="32"/>
        </w:rPr>
        <w:t>年，我镇</w:t>
      </w:r>
      <w:r>
        <w:rPr>
          <w:rFonts w:hint="eastAsia" w:eastAsia="仿宋_GB2312"/>
          <w:sz w:val="32"/>
          <w:szCs w:val="32"/>
        </w:rPr>
        <w:t>预计完成固投1.31亿元，占全年目标任务145.9%，完成招商引资1.44亿元，占全年</w:t>
      </w:r>
      <w:r>
        <w:rPr>
          <w:rFonts w:hint="eastAsia" w:ascii="仿宋_GB2312" w:hAnsi="仿宋_GB2312" w:eastAsia="仿宋_GB2312" w:cs="仿宋_GB2312"/>
          <w:sz w:val="32"/>
          <w:szCs w:val="32"/>
        </w:rPr>
        <w:t>目标任务的</w:t>
      </w:r>
      <w:r>
        <w:rPr>
          <w:rFonts w:hint="eastAsia" w:eastAsia="仿宋_GB2312"/>
          <w:sz w:val="32"/>
          <w:szCs w:val="32"/>
        </w:rPr>
        <w:t>360%</w:t>
      </w:r>
      <w:r>
        <w:rPr>
          <w:rFonts w:hint="eastAsia" w:ascii="仿宋_GB2312" w:hAnsi="仿宋_GB2312" w:eastAsia="仿宋_GB2312" w:cs="仿宋_GB2312"/>
          <w:sz w:val="32"/>
          <w:szCs w:val="32"/>
        </w:rPr>
        <w:t>。完成项目储备</w:t>
      </w:r>
      <w:r>
        <w:rPr>
          <w:rFonts w:hint="eastAsia" w:eastAsia="仿宋_GB2312"/>
          <w:sz w:val="32"/>
          <w:szCs w:val="32"/>
        </w:rPr>
        <w:t>9个，储备资金5.36亿元</w:t>
      </w:r>
      <w:r>
        <w:rPr>
          <w:rFonts w:hint="eastAsia" w:ascii="仿宋_GB2312" w:hAnsi="仿宋_GB2312" w:eastAsia="仿宋_GB2312" w:cs="仿宋_GB2312"/>
          <w:sz w:val="32"/>
          <w:szCs w:val="32"/>
        </w:rPr>
        <w:t>，</w:t>
      </w:r>
      <w:r>
        <w:rPr>
          <w:rFonts w:hint="eastAsia" w:eastAsia="仿宋_GB2312"/>
          <w:sz w:val="32"/>
          <w:szCs w:val="32"/>
        </w:rPr>
        <w:t>占全年</w:t>
      </w:r>
      <w:r>
        <w:rPr>
          <w:rFonts w:hint="eastAsia" w:ascii="仿宋_GB2312" w:hAnsi="仿宋_GB2312" w:eastAsia="仿宋_GB2312" w:cs="仿宋_GB2312"/>
          <w:sz w:val="32"/>
          <w:szCs w:val="32"/>
        </w:rPr>
        <w:t>目标任务的</w:t>
      </w:r>
      <w:r>
        <w:rPr>
          <w:rFonts w:hint="eastAsia" w:eastAsia="仿宋_GB2312"/>
          <w:sz w:val="32"/>
          <w:szCs w:val="32"/>
        </w:rPr>
        <w:t>107.2%</w:t>
      </w:r>
      <w:r>
        <w:rPr>
          <w:rFonts w:hint="eastAsia" w:ascii="仿宋_GB2312" w:hAnsi="仿宋_GB2312" w:eastAsia="仿宋_GB2312" w:cs="仿宋_GB2312"/>
          <w:sz w:val="32"/>
          <w:szCs w:val="32"/>
        </w:rPr>
        <w:t>。</w:t>
      </w:r>
      <w:r>
        <w:rPr>
          <w:rFonts w:eastAsia="仿宋_GB2312"/>
          <w:spacing w:val="2"/>
          <w:sz w:val="32"/>
          <w:szCs w:val="32"/>
        </w:rPr>
        <w:t>一是</w:t>
      </w:r>
      <w:r>
        <w:rPr>
          <w:rFonts w:hint="eastAsia" w:ascii="仿宋_GB2312" w:hAnsi="仿宋_GB2312" w:eastAsia="仿宋_GB2312" w:cs="仿宋_GB2312"/>
          <w:sz w:val="32"/>
          <w:szCs w:val="32"/>
        </w:rPr>
        <w:t>固投工作强力开展。镇党委政府高度重视，紧盯区上下达的投资总量目标，</w:t>
      </w:r>
      <w:r>
        <w:rPr>
          <w:rFonts w:hint="eastAsia" w:eastAsia="仿宋_GB2312"/>
          <w:sz w:val="32"/>
          <w:szCs w:val="32"/>
        </w:rPr>
        <w:t>建立定目标任务、定责任人员、定工作考核奖惩的“三定”目标责任管理机制，</w:t>
      </w:r>
      <w:r>
        <w:rPr>
          <w:rFonts w:hint="eastAsia" w:ascii="仿宋_GB2312" w:hAnsi="仿宋_GB2312" w:eastAsia="仿宋_GB2312" w:cs="仿宋_GB2312"/>
          <w:sz w:val="32"/>
          <w:szCs w:val="32"/>
        </w:rPr>
        <w:t>专题召开项目建设研讨会</w:t>
      </w:r>
      <w:r>
        <w:rPr>
          <w:rFonts w:hint="eastAsia" w:eastAsia="仿宋_GB2312"/>
          <w:sz w:val="32"/>
          <w:szCs w:val="32"/>
        </w:rPr>
        <w:t>10次，研究解决项目招引、项目资金落地落实、推进项目周期建设中存在的问题20余个。成立由镇纪委牵头督查领导小组，开展专项工作督查30余次，确保各项程序稳定有序开展</w:t>
      </w:r>
      <w:r>
        <w:rPr>
          <w:rFonts w:hint="eastAsia" w:ascii="仿宋_GB2312" w:hAnsi="仿宋_GB2312" w:eastAsia="仿宋_GB2312" w:cs="仿宋_GB2312"/>
          <w:sz w:val="32"/>
          <w:szCs w:val="32"/>
        </w:rPr>
        <w:t>。</w:t>
      </w:r>
      <w:r>
        <w:rPr>
          <w:rFonts w:eastAsia="仿宋_GB2312"/>
          <w:spacing w:val="2"/>
          <w:sz w:val="32"/>
          <w:szCs w:val="32"/>
        </w:rPr>
        <w:t>二是</w:t>
      </w:r>
      <w:r>
        <w:rPr>
          <w:rFonts w:ascii="仿宋_GB2312" w:hAnsi="仿宋_GB2312" w:eastAsia="仿宋_GB2312" w:cs="仿宋_GB2312"/>
          <w:sz w:val="32"/>
          <w:szCs w:val="32"/>
        </w:rPr>
        <w:t>围绕特色产业抓招商。</w:t>
      </w:r>
      <w:r>
        <w:rPr>
          <w:rFonts w:eastAsia="仿宋_GB2312"/>
          <w:sz w:val="32"/>
          <w:szCs w:val="32"/>
        </w:rPr>
        <w:t>坚持项目强镇思维，狠抓业主示范带动，目前</w:t>
      </w:r>
      <w:r>
        <w:rPr>
          <w:rFonts w:hint="eastAsia" w:eastAsia="仿宋_GB2312"/>
          <w:sz w:val="32"/>
          <w:szCs w:val="32"/>
        </w:rPr>
        <w:t>成功</w:t>
      </w:r>
      <w:r>
        <w:rPr>
          <w:rFonts w:eastAsia="仿宋_GB2312"/>
          <w:sz w:val="32"/>
          <w:szCs w:val="32"/>
        </w:rPr>
        <w:t>转产肉牛羊企业1</w:t>
      </w:r>
      <w:r>
        <w:rPr>
          <w:rFonts w:hint="eastAsia" w:eastAsia="仿宋_GB2312"/>
          <w:sz w:val="32"/>
          <w:szCs w:val="32"/>
        </w:rPr>
        <w:t>家</w:t>
      </w:r>
      <w:r>
        <w:rPr>
          <w:rFonts w:eastAsia="仿宋_GB2312"/>
          <w:sz w:val="32"/>
          <w:szCs w:val="32"/>
        </w:rPr>
        <w:t>，新建扩建肉牛羊养殖场6个，招引牛羊饲草加工企业1</w:t>
      </w:r>
      <w:r>
        <w:rPr>
          <w:rFonts w:hint="eastAsia" w:eastAsia="仿宋_GB2312"/>
          <w:sz w:val="32"/>
          <w:szCs w:val="32"/>
        </w:rPr>
        <w:t>家</w:t>
      </w:r>
      <w:r>
        <w:rPr>
          <w:rFonts w:eastAsia="仿宋_GB2312"/>
          <w:sz w:val="32"/>
          <w:szCs w:val="32"/>
        </w:rPr>
        <w:t>，预计新增出栏肉牛羊1800头，提供优质牧草2万吨，</w:t>
      </w:r>
      <w:r>
        <w:rPr>
          <w:rFonts w:eastAsia="仿宋_GB2312"/>
          <w:color w:val="000000"/>
          <w:sz w:val="32"/>
          <w:szCs w:val="32"/>
        </w:rPr>
        <w:t>预计增收4100余万元</w:t>
      </w:r>
      <w:r>
        <w:rPr>
          <w:rFonts w:eastAsia="仿宋_GB2312"/>
          <w:sz w:val="32"/>
          <w:szCs w:val="32"/>
        </w:rPr>
        <w:t>。</w:t>
      </w:r>
      <w:r>
        <w:rPr>
          <w:rFonts w:eastAsia="仿宋_GB2312"/>
          <w:spacing w:val="2"/>
          <w:sz w:val="32"/>
          <w:szCs w:val="32"/>
        </w:rPr>
        <w:t>三是</w:t>
      </w:r>
      <w:r>
        <w:rPr>
          <w:rFonts w:ascii="仿宋_GB2312" w:hAnsi="仿宋_GB2312" w:eastAsia="仿宋_GB2312" w:cs="仿宋_GB2312"/>
          <w:sz w:val="32"/>
          <w:szCs w:val="32"/>
        </w:rPr>
        <w:t>高位推进重大项目建设。</w:t>
      </w:r>
      <w:r>
        <w:rPr>
          <w:rFonts w:hint="eastAsia" w:ascii="仿宋_GB2312" w:hAnsi="仿宋_GB2312" w:eastAsia="仿宋_GB2312" w:cs="仿宋_GB2312"/>
          <w:sz w:val="32"/>
          <w:szCs w:val="32"/>
        </w:rPr>
        <w:t>成立项目工作专班，实行项目一周一调度、产业一月一研究、目标一季一会商。2022年，</w:t>
      </w:r>
      <w:r>
        <w:rPr>
          <w:rFonts w:hint="eastAsia" w:eastAsia="仿宋_GB2312"/>
          <w:sz w:val="32"/>
          <w:szCs w:val="32"/>
        </w:rPr>
        <w:t>完成</w:t>
      </w:r>
      <w:r>
        <w:rPr>
          <w:rFonts w:eastAsia="仿宋_GB2312"/>
          <w:spacing w:val="2"/>
          <w:sz w:val="32"/>
          <w:szCs w:val="32"/>
        </w:rPr>
        <w:t>通组道路</w:t>
      </w:r>
      <w:r>
        <w:rPr>
          <w:rFonts w:hint="eastAsia" w:eastAsia="仿宋_GB2312"/>
          <w:spacing w:val="2"/>
          <w:sz w:val="32"/>
          <w:szCs w:val="32"/>
        </w:rPr>
        <w:t>硬化10.7公里，加宽1.8公里，</w:t>
      </w:r>
      <w:r>
        <w:rPr>
          <w:rFonts w:eastAsia="仿宋_GB2312"/>
          <w:spacing w:val="2"/>
          <w:sz w:val="32"/>
          <w:szCs w:val="32"/>
        </w:rPr>
        <w:t>实现村社道路硬化率</w:t>
      </w:r>
      <w:r>
        <w:rPr>
          <w:rFonts w:hint="eastAsia" w:eastAsia="仿宋_GB2312"/>
          <w:spacing w:val="2"/>
          <w:sz w:val="32"/>
          <w:szCs w:val="32"/>
        </w:rPr>
        <w:t>95</w:t>
      </w:r>
      <w:r>
        <w:rPr>
          <w:rFonts w:eastAsia="仿宋_GB2312"/>
          <w:spacing w:val="2"/>
          <w:sz w:val="32"/>
          <w:szCs w:val="32"/>
        </w:rPr>
        <w:t>%</w:t>
      </w:r>
      <w:r>
        <w:rPr>
          <w:rFonts w:eastAsia="仿宋_GB2312"/>
          <w:sz w:val="32"/>
          <w:szCs w:val="32"/>
        </w:rPr>
        <w:t>。广元市尤力机车主题乐园、文星生猪循环养殖示范基地、新丛农牧生猪养殖示范基地、辛亥肉牛养殖场、桂远冷链物流中心等5个在建项目正加速推进。</w:t>
      </w:r>
      <w:r>
        <w:rPr>
          <w:rFonts w:eastAsia="仿宋_GB2312"/>
          <w:color w:val="000000"/>
          <w:sz w:val="32"/>
          <w:szCs w:val="32"/>
        </w:rPr>
        <w:t>晋贤青饲料加工厂</w:t>
      </w:r>
      <w:r>
        <w:rPr>
          <w:rFonts w:hint="eastAsia" w:eastAsia="仿宋_GB2312"/>
          <w:sz w:val="32"/>
          <w:szCs w:val="32"/>
        </w:rPr>
        <w:t>建设项目已主体完工，项目建成后，</w:t>
      </w:r>
      <w:r>
        <w:rPr>
          <w:rFonts w:eastAsia="仿宋_GB2312"/>
          <w:sz w:val="32"/>
          <w:szCs w:val="32"/>
        </w:rPr>
        <w:t>每年可回收农作物秸秆3万吨，</w:t>
      </w:r>
      <w:r>
        <w:rPr>
          <w:rFonts w:hint="eastAsia" w:eastAsia="仿宋_GB2312"/>
          <w:sz w:val="32"/>
          <w:szCs w:val="32"/>
        </w:rPr>
        <w:t>提供</w:t>
      </w:r>
      <w:r>
        <w:rPr>
          <w:rFonts w:eastAsia="仿宋_GB2312"/>
          <w:sz w:val="32"/>
          <w:szCs w:val="32"/>
        </w:rPr>
        <w:t>5万吨</w:t>
      </w:r>
      <w:r>
        <w:rPr>
          <w:rFonts w:hint="eastAsia" w:eastAsia="仿宋_GB2312"/>
          <w:sz w:val="32"/>
          <w:szCs w:val="32"/>
        </w:rPr>
        <w:t>肉牛羊所需</w:t>
      </w:r>
      <w:r>
        <w:rPr>
          <w:rFonts w:eastAsia="仿宋_GB2312"/>
          <w:sz w:val="32"/>
          <w:szCs w:val="32"/>
        </w:rPr>
        <w:t>饲料</w:t>
      </w:r>
      <w:r>
        <w:rPr>
          <w:rFonts w:hint="eastAsia" w:eastAsia="仿宋_GB2312"/>
          <w:sz w:val="32"/>
          <w:szCs w:val="32"/>
        </w:rPr>
        <w:t>，预计</w:t>
      </w:r>
      <w:r>
        <w:rPr>
          <w:rFonts w:eastAsia="仿宋_GB2312"/>
          <w:sz w:val="32"/>
          <w:szCs w:val="32"/>
        </w:rPr>
        <w:t>实现年产值</w:t>
      </w:r>
      <w:r>
        <w:rPr>
          <w:rFonts w:hint="eastAsia" w:eastAsia="仿宋_GB2312"/>
          <w:sz w:val="32"/>
          <w:szCs w:val="32"/>
        </w:rPr>
        <w:t>超过</w:t>
      </w:r>
      <w:r>
        <w:rPr>
          <w:rFonts w:eastAsia="仿宋_GB2312"/>
          <w:sz w:val="32"/>
          <w:szCs w:val="32"/>
        </w:rPr>
        <w:t>1.1亿元</w:t>
      </w:r>
      <w:r>
        <w:rPr>
          <w:rFonts w:hint="eastAsia" w:eastAsia="仿宋_GB2312"/>
          <w:sz w:val="32"/>
          <w:szCs w:val="32"/>
        </w:rPr>
        <w:t>。</w:t>
      </w:r>
    </w:p>
    <w:p w14:paraId="6C6B3379">
      <w:pPr>
        <w:spacing w:line="576" w:lineRule="exact"/>
        <w:ind w:firstLine="640" w:firstLineChars="200"/>
        <w:rPr>
          <w:rFonts w:ascii="仿宋_GB2312" w:hAnsi="仿宋_GB2312" w:eastAsia="仿宋_GB2312" w:cs="仿宋_GB2312"/>
          <w:sz w:val="32"/>
        </w:rPr>
      </w:pPr>
      <w:r>
        <w:rPr>
          <w:rFonts w:hint="eastAsia" w:eastAsia="楷体_GB2312"/>
          <w:sz w:val="32"/>
          <w:szCs w:val="32"/>
        </w:rPr>
        <w:t>4.</w:t>
      </w:r>
      <w:r>
        <w:rPr>
          <w:rFonts w:eastAsia="楷体_GB2312"/>
          <w:sz w:val="32"/>
          <w:szCs w:val="32"/>
        </w:rPr>
        <w:t>特色</w:t>
      </w:r>
      <w:r>
        <w:rPr>
          <w:rFonts w:hint="eastAsia" w:eastAsia="楷体_GB2312"/>
          <w:sz w:val="32"/>
          <w:szCs w:val="32"/>
        </w:rPr>
        <w:t>农业</w:t>
      </w:r>
      <w:r>
        <w:rPr>
          <w:rFonts w:eastAsia="楷体_GB2312"/>
          <w:sz w:val="32"/>
          <w:szCs w:val="32"/>
        </w:rPr>
        <w:t>方兴未艾。</w:t>
      </w:r>
      <w:r>
        <w:rPr>
          <w:rFonts w:hint="eastAsia" w:ascii="仿宋_GB2312" w:hAnsi="仿宋_GB2312" w:eastAsia="仿宋_GB2312" w:cs="仿宋_GB2312"/>
          <w:sz w:val="32"/>
          <w:szCs w:val="32"/>
        </w:rPr>
        <w:t>我镇着力构建产业振兴发展蓝图，</w:t>
      </w:r>
      <w:r>
        <w:rPr>
          <w:rFonts w:eastAsia="仿宋_GB2312"/>
          <w:color w:val="000000"/>
          <w:sz w:val="32"/>
          <w:szCs w:val="32"/>
          <w:lang w:val="zh-CN"/>
        </w:rPr>
        <w:t>结合全区</w:t>
      </w:r>
      <w:r>
        <w:rPr>
          <w:rFonts w:eastAsia="仿宋_GB2312"/>
          <w:sz w:val="32"/>
          <w:szCs w:val="32"/>
        </w:rPr>
        <w:t>“一城一区两带一片”</w:t>
      </w:r>
      <w:r>
        <w:rPr>
          <w:rFonts w:eastAsia="仿宋_GB2312"/>
          <w:color w:val="000000"/>
          <w:sz w:val="32"/>
          <w:szCs w:val="32"/>
          <w:lang w:val="zh-CN"/>
        </w:rPr>
        <w:t>总体</w:t>
      </w:r>
      <w:r>
        <w:rPr>
          <w:rFonts w:eastAsia="仿宋_GB2312"/>
          <w:sz w:val="32"/>
          <w:szCs w:val="32"/>
        </w:rPr>
        <w:t>发展</w:t>
      </w:r>
      <w:r>
        <w:rPr>
          <w:rFonts w:eastAsia="仿宋_GB2312"/>
          <w:color w:val="000000"/>
          <w:sz w:val="32"/>
          <w:szCs w:val="32"/>
          <w:lang w:val="zh-CN"/>
        </w:rPr>
        <w:t>布局，</w:t>
      </w:r>
      <w:r>
        <w:rPr>
          <w:rFonts w:eastAsia="仿宋_GB2312"/>
          <w:sz w:val="32"/>
          <w:szCs w:val="32"/>
        </w:rPr>
        <w:t>以</w:t>
      </w:r>
      <w:r>
        <w:rPr>
          <w:rFonts w:hint="eastAsia" w:eastAsia="仿宋_GB2312"/>
          <w:sz w:val="32"/>
          <w:szCs w:val="32"/>
        </w:rPr>
        <w:t>建设现代农业示范园</w:t>
      </w:r>
      <w:r>
        <w:rPr>
          <w:rFonts w:eastAsia="仿宋_GB2312"/>
          <w:sz w:val="32"/>
          <w:szCs w:val="32"/>
        </w:rPr>
        <w:t>为契机，坚持扩面提质发展优质粮油产业、大豆玉米带状复合种植，多措并举抗旱保苗，努力实现特色粮油、优质烤烟、绿色香菇、畜禽养殖产业发展更高质量、更好效益。</w:t>
      </w:r>
      <w:r>
        <w:rPr>
          <w:rFonts w:eastAsia="仿宋_GB2312"/>
          <w:color w:val="000000"/>
          <w:sz w:val="32"/>
          <w:szCs w:val="32"/>
        </w:rPr>
        <w:t>今年以来，全镇粮油播面36800亩，其中发展“王家贡米”订单生产6</w:t>
      </w:r>
      <w:r>
        <w:rPr>
          <w:rFonts w:hint="eastAsia" w:eastAsia="仿宋_GB2312"/>
          <w:color w:val="000000"/>
          <w:sz w:val="32"/>
          <w:szCs w:val="32"/>
        </w:rPr>
        <w:t>1</w:t>
      </w:r>
      <w:r>
        <w:rPr>
          <w:rFonts w:eastAsia="仿宋_GB2312"/>
          <w:color w:val="000000"/>
          <w:sz w:val="32"/>
          <w:szCs w:val="32"/>
        </w:rPr>
        <w:t>50亩，大豆玉米带状复合种植4514亩，</w:t>
      </w:r>
      <w:r>
        <w:rPr>
          <w:rFonts w:eastAsia="仿宋_GB2312"/>
          <w:sz w:val="32"/>
          <w:szCs w:val="32"/>
        </w:rPr>
        <w:t>果豆间作4213亩，完成高标准农田建设5000亩，</w:t>
      </w:r>
      <w:r>
        <w:rPr>
          <w:rFonts w:hint="eastAsia" w:ascii="仿宋_GB2312" w:hAnsi="仿宋_GB2312" w:eastAsia="仿宋_GB2312" w:cs="仿宋_GB2312"/>
          <w:sz w:val="32"/>
          <w:szCs w:val="32"/>
        </w:rPr>
        <w:t>全年实现</w:t>
      </w:r>
      <w:r>
        <w:rPr>
          <w:rFonts w:eastAsia="仿宋_GB2312"/>
          <w:sz w:val="32"/>
          <w:szCs w:val="32"/>
        </w:rPr>
        <w:t>农业重点产业</w:t>
      </w:r>
      <w:r>
        <w:rPr>
          <w:rFonts w:hint="eastAsia" w:eastAsia="仿宋_GB2312"/>
          <w:sz w:val="32"/>
          <w:szCs w:val="32"/>
        </w:rPr>
        <w:t>总产值2.02</w:t>
      </w:r>
      <w:r>
        <w:rPr>
          <w:rFonts w:eastAsia="仿宋_GB2312"/>
          <w:sz w:val="32"/>
          <w:szCs w:val="32"/>
        </w:rPr>
        <w:t>亿元，</w:t>
      </w:r>
      <w:r>
        <w:rPr>
          <w:rFonts w:hint="eastAsia" w:eastAsia="仿宋_GB2312"/>
          <w:sz w:val="32"/>
          <w:szCs w:val="32"/>
        </w:rPr>
        <w:t>同比增速7.6</w:t>
      </w:r>
      <w:r>
        <w:rPr>
          <w:rFonts w:eastAsia="仿宋_GB2312"/>
          <w:sz w:val="32"/>
          <w:szCs w:val="32"/>
        </w:rPr>
        <w:t>%。</w:t>
      </w:r>
      <w:r>
        <w:rPr>
          <w:rFonts w:hint="eastAsia" w:eastAsia="仿宋_GB2312"/>
          <w:sz w:val="32"/>
          <w:szCs w:val="32"/>
        </w:rPr>
        <w:t>一是全力做好农作物抗旱保苗工作。成立镇“抗旱保苗”工作领导小组，组建以村干和党员干部群众组成的抗旱服务队，积极发挥党员中心户、种田大户的带头示范作用，利用水库灌溉引水、堵溪截流等方式全方位保障农田灌溉用水。目前，共投入抗旱资金300万元，启用抗旱机动设备2000台，发动群众4000余人，疏浚沟渠100余公里，共清淤池塘100余处，抗旱浇灌总面积达2.6万亩次，有效缓解抗旱压力，保障抗旱保苗用水。二</w:t>
      </w:r>
      <w:r>
        <w:rPr>
          <w:rFonts w:eastAsia="仿宋_GB2312"/>
          <w:sz w:val="32"/>
          <w:szCs w:val="32"/>
        </w:rPr>
        <w:t>是</w:t>
      </w:r>
      <w:r>
        <w:rPr>
          <w:rFonts w:ascii="仿宋_GB2312" w:hAnsi="仿宋_GB2312" w:eastAsia="仿宋_GB2312" w:cs="仿宋_GB2312"/>
          <w:sz w:val="32"/>
          <w:szCs w:val="32"/>
        </w:rPr>
        <w:t>持续打造王家贡米产品链。</w:t>
      </w:r>
      <w:r>
        <w:rPr>
          <w:rFonts w:eastAsia="仿宋_GB2312"/>
          <w:sz w:val="32"/>
          <w:szCs w:val="32"/>
        </w:rPr>
        <w:t>围绕“王家贡米”高质量发展要求，持续打造“王家贡米”品牌，改造提升工农水库灌区沟渠，推动“稻鱼”项目发展，采用集体经济+业主形式合计投资460万元建</w:t>
      </w:r>
      <w:r>
        <w:rPr>
          <w:rFonts w:hint="eastAsia" w:eastAsia="仿宋_GB2312"/>
          <w:sz w:val="32"/>
          <w:szCs w:val="32"/>
        </w:rPr>
        <w:t>成</w:t>
      </w:r>
      <w:r>
        <w:rPr>
          <w:rFonts w:eastAsia="仿宋_GB2312"/>
          <w:sz w:val="32"/>
          <w:szCs w:val="32"/>
        </w:rPr>
        <w:t>王家贡米加工厂</w:t>
      </w:r>
      <w:r>
        <w:rPr>
          <w:rFonts w:hint="eastAsia" w:eastAsia="仿宋_GB2312"/>
          <w:sz w:val="32"/>
          <w:szCs w:val="32"/>
        </w:rPr>
        <w:t>并投入使用</w:t>
      </w:r>
      <w:r>
        <w:rPr>
          <w:rFonts w:eastAsia="仿宋_GB2312"/>
          <w:sz w:val="32"/>
          <w:szCs w:val="32"/>
        </w:rPr>
        <w:t>，预计可年产成品大米5000吨，实现年收入5000万元，</w:t>
      </w:r>
      <w:r>
        <w:rPr>
          <w:rFonts w:hint="eastAsia" w:eastAsia="仿宋_GB2312"/>
          <w:sz w:val="32"/>
          <w:szCs w:val="32"/>
        </w:rPr>
        <w:t>推动</w:t>
      </w:r>
      <w:r>
        <w:rPr>
          <w:rFonts w:eastAsia="仿宋_GB2312"/>
          <w:sz w:val="32"/>
          <w:szCs w:val="32"/>
        </w:rPr>
        <w:t>王家贡米产品链</w:t>
      </w:r>
      <w:r>
        <w:rPr>
          <w:rFonts w:hint="eastAsia" w:eastAsia="仿宋_GB2312"/>
          <w:sz w:val="32"/>
          <w:szCs w:val="32"/>
        </w:rPr>
        <w:t>走深走实</w:t>
      </w:r>
      <w:r>
        <w:rPr>
          <w:rFonts w:eastAsia="仿宋_GB2312"/>
          <w:sz w:val="32"/>
          <w:szCs w:val="32"/>
        </w:rPr>
        <w:t>。2022年，培育“王家贡米”种植企业4家、农户1805户，投入资金76.2万元，发放水稻种子6450公斤，种植面积达6</w:t>
      </w:r>
      <w:r>
        <w:rPr>
          <w:rFonts w:hint="eastAsia" w:eastAsia="仿宋_GB2312"/>
          <w:sz w:val="32"/>
          <w:szCs w:val="32"/>
        </w:rPr>
        <w:t>1</w:t>
      </w:r>
      <w:r>
        <w:rPr>
          <w:rFonts w:eastAsia="仿宋_GB2312"/>
          <w:sz w:val="32"/>
          <w:szCs w:val="32"/>
        </w:rPr>
        <w:t>50亩（其中，稻鱼立体种1600亩），</w:t>
      </w:r>
      <w:r>
        <w:rPr>
          <w:rFonts w:hint="eastAsia" w:eastAsia="仿宋_GB2312"/>
          <w:sz w:val="32"/>
          <w:szCs w:val="32"/>
        </w:rPr>
        <w:t>位居全区第二，</w:t>
      </w:r>
      <w:r>
        <w:rPr>
          <w:rFonts w:eastAsia="仿宋_GB2312"/>
          <w:sz w:val="32"/>
          <w:szCs w:val="32"/>
        </w:rPr>
        <w:t>总产量达到</w:t>
      </w:r>
      <w:r>
        <w:rPr>
          <w:rFonts w:hint="eastAsia" w:eastAsia="仿宋_GB2312"/>
          <w:sz w:val="32"/>
          <w:szCs w:val="32"/>
        </w:rPr>
        <w:t>308</w:t>
      </w:r>
      <w:r>
        <w:rPr>
          <w:rFonts w:eastAsia="仿宋_GB2312"/>
          <w:sz w:val="32"/>
          <w:szCs w:val="32"/>
        </w:rPr>
        <w:t>万</w:t>
      </w:r>
      <w:r>
        <w:rPr>
          <w:rFonts w:hint="eastAsia" w:eastAsia="仿宋_GB2312"/>
          <w:sz w:val="32"/>
          <w:szCs w:val="32"/>
        </w:rPr>
        <w:t>公</w:t>
      </w:r>
      <w:r>
        <w:rPr>
          <w:rFonts w:eastAsia="仿宋_GB2312"/>
          <w:sz w:val="32"/>
          <w:szCs w:val="32"/>
        </w:rPr>
        <w:t>斤，销售总收入超1</w:t>
      </w:r>
      <w:r>
        <w:rPr>
          <w:rFonts w:hint="eastAsia" w:eastAsia="仿宋_GB2312"/>
          <w:sz w:val="32"/>
          <w:szCs w:val="32"/>
        </w:rPr>
        <w:t>232</w:t>
      </w:r>
      <w:r>
        <w:rPr>
          <w:rFonts w:eastAsia="仿宋_GB2312"/>
          <w:sz w:val="32"/>
          <w:szCs w:val="32"/>
        </w:rPr>
        <w:t>万元</w:t>
      </w:r>
      <w:r>
        <w:rPr>
          <w:rFonts w:hint="eastAsia" w:eastAsia="仿宋_GB2312"/>
          <w:sz w:val="32"/>
          <w:szCs w:val="32"/>
        </w:rPr>
        <w:t>,同比增长12%</w:t>
      </w:r>
      <w:r>
        <w:rPr>
          <w:rFonts w:eastAsia="仿宋_GB2312"/>
          <w:sz w:val="32"/>
          <w:szCs w:val="32"/>
        </w:rPr>
        <w:t>。</w:t>
      </w:r>
      <w:r>
        <w:rPr>
          <w:rFonts w:hint="eastAsia" w:eastAsia="仿宋_GB2312"/>
          <w:sz w:val="32"/>
          <w:szCs w:val="32"/>
        </w:rPr>
        <w:t>三</w:t>
      </w:r>
      <w:r>
        <w:rPr>
          <w:rFonts w:eastAsia="仿宋_GB2312"/>
          <w:sz w:val="32"/>
          <w:szCs w:val="32"/>
        </w:rPr>
        <w:t>是</w:t>
      </w:r>
      <w:r>
        <w:rPr>
          <w:rFonts w:ascii="仿宋_GB2312" w:hAnsi="仿宋_GB2312" w:eastAsia="仿宋_GB2312" w:cs="仿宋_GB2312"/>
          <w:sz w:val="32"/>
          <w:szCs w:val="32"/>
        </w:rPr>
        <w:t>进一步</w:t>
      </w:r>
      <w:r>
        <w:rPr>
          <w:rFonts w:hint="eastAsia" w:ascii="仿宋_GB2312" w:hAnsi="仿宋_GB2312" w:eastAsia="仿宋_GB2312" w:cs="仿宋_GB2312"/>
          <w:sz w:val="32"/>
          <w:szCs w:val="32"/>
        </w:rPr>
        <w:t>拓宽</w:t>
      </w:r>
      <w:r>
        <w:rPr>
          <w:rFonts w:ascii="仿宋_GB2312" w:hAnsi="仿宋_GB2312" w:eastAsia="仿宋_GB2312" w:cs="仿宋_GB2312"/>
          <w:sz w:val="32"/>
          <w:szCs w:val="32"/>
        </w:rPr>
        <w:t>烤烟</w:t>
      </w:r>
      <w:r>
        <w:rPr>
          <w:rFonts w:hint="eastAsia" w:ascii="仿宋_GB2312" w:hAnsi="仿宋_GB2312" w:eastAsia="仿宋_GB2312" w:cs="仿宋_GB2312"/>
          <w:sz w:val="32"/>
          <w:szCs w:val="32"/>
        </w:rPr>
        <w:t>致富渠道</w:t>
      </w:r>
      <w:r>
        <w:rPr>
          <w:rFonts w:ascii="仿宋_GB2312" w:hAnsi="仿宋_GB2312" w:eastAsia="仿宋_GB2312" w:cs="仿宋_GB2312"/>
          <w:sz w:val="32"/>
          <w:szCs w:val="32"/>
        </w:rPr>
        <w:t>。</w:t>
      </w:r>
      <w:r>
        <w:rPr>
          <w:rFonts w:eastAsia="仿宋_GB2312"/>
          <w:color w:val="000000"/>
          <w:sz w:val="32"/>
          <w:szCs w:val="32"/>
        </w:rPr>
        <w:t>坚持“规模化种植、机械化作业、专业化服务、集约化经营、绿色化生产”的原则，实行烤烟与特色农作物轮作种植模式。</w:t>
      </w:r>
      <w:r>
        <w:rPr>
          <w:rFonts w:eastAsia="仿宋_GB2312"/>
          <w:sz w:val="32"/>
          <w:szCs w:val="32"/>
        </w:rPr>
        <w:t>2022年</w:t>
      </w:r>
      <w:r>
        <w:rPr>
          <w:rFonts w:hint="eastAsia" w:eastAsia="仿宋_GB2312"/>
          <w:sz w:val="32"/>
          <w:szCs w:val="32"/>
        </w:rPr>
        <w:t>全镇种植烤烟</w:t>
      </w:r>
      <w:r>
        <w:rPr>
          <w:rFonts w:eastAsia="仿宋_GB2312"/>
          <w:sz w:val="32"/>
          <w:szCs w:val="32"/>
        </w:rPr>
        <w:t>2450亩，位居全区第一，</w:t>
      </w:r>
      <w:r>
        <w:rPr>
          <w:rFonts w:hint="eastAsia" w:eastAsia="仿宋_GB2312"/>
          <w:sz w:val="32"/>
          <w:szCs w:val="32"/>
        </w:rPr>
        <w:t>实现</w:t>
      </w:r>
      <w:r>
        <w:rPr>
          <w:rFonts w:hint="eastAsia" w:ascii="仿宋_GB2312" w:hAnsi="仿宋_GB2312" w:eastAsia="仿宋_GB2312" w:cs="仿宋_GB2312"/>
          <w:sz w:val="32"/>
          <w:szCs w:val="32"/>
        </w:rPr>
        <w:t>产量</w:t>
      </w:r>
      <w:r>
        <w:rPr>
          <w:rFonts w:hint="eastAsia" w:eastAsia="仿宋_GB2312"/>
          <w:sz w:val="32"/>
          <w:szCs w:val="32"/>
        </w:rPr>
        <w:t>4820担，同比增长15%，</w:t>
      </w:r>
      <w:r>
        <w:rPr>
          <w:rFonts w:eastAsia="仿宋_GB2312"/>
          <w:sz w:val="32"/>
          <w:szCs w:val="32"/>
        </w:rPr>
        <w:t>完成产值5</w:t>
      </w:r>
      <w:r>
        <w:rPr>
          <w:rFonts w:hint="eastAsia" w:eastAsia="仿宋_GB2312"/>
          <w:sz w:val="32"/>
          <w:szCs w:val="32"/>
        </w:rPr>
        <w:t>80</w:t>
      </w:r>
      <w:r>
        <w:rPr>
          <w:rFonts w:eastAsia="仿宋_GB2312"/>
          <w:sz w:val="32"/>
          <w:szCs w:val="32"/>
        </w:rPr>
        <w:t>万元，</w:t>
      </w:r>
      <w:r>
        <w:rPr>
          <w:rFonts w:hint="eastAsia" w:eastAsia="仿宋_GB2312"/>
          <w:sz w:val="32"/>
          <w:szCs w:val="32"/>
        </w:rPr>
        <w:t>同比增长7.4%，实现</w:t>
      </w:r>
      <w:r>
        <w:rPr>
          <w:rFonts w:eastAsia="仿宋_GB2312"/>
          <w:sz w:val="32"/>
          <w:szCs w:val="32"/>
        </w:rPr>
        <w:t>创税</w:t>
      </w:r>
      <w:r>
        <w:rPr>
          <w:rFonts w:hint="eastAsia" w:eastAsia="仿宋_GB2312"/>
          <w:sz w:val="32"/>
          <w:szCs w:val="32"/>
        </w:rPr>
        <w:t>116</w:t>
      </w:r>
      <w:r>
        <w:rPr>
          <w:rFonts w:eastAsia="仿宋_GB2312"/>
          <w:sz w:val="32"/>
          <w:szCs w:val="32"/>
        </w:rPr>
        <w:t>万元，带动就近务工1万余人次，人均年增收3</w:t>
      </w:r>
      <w:r>
        <w:rPr>
          <w:rFonts w:hint="eastAsia" w:eastAsia="仿宋_GB2312"/>
          <w:sz w:val="32"/>
          <w:szCs w:val="32"/>
        </w:rPr>
        <w:t>4</w:t>
      </w:r>
      <w:r>
        <w:rPr>
          <w:rFonts w:eastAsia="仿宋_GB2312"/>
          <w:sz w:val="32"/>
          <w:szCs w:val="32"/>
        </w:rPr>
        <w:t>00余元。</w:t>
      </w:r>
      <w:r>
        <w:rPr>
          <w:rFonts w:hint="eastAsia" w:eastAsia="仿宋_GB2312"/>
          <w:sz w:val="32"/>
          <w:szCs w:val="32"/>
        </w:rPr>
        <w:t>四</w:t>
      </w:r>
      <w:r>
        <w:rPr>
          <w:rFonts w:eastAsia="仿宋_GB2312"/>
          <w:sz w:val="32"/>
          <w:szCs w:val="32"/>
        </w:rPr>
        <w:t>是</w:t>
      </w:r>
      <w:r>
        <w:rPr>
          <w:rFonts w:ascii="仿宋_GB2312" w:hAnsi="仿宋_GB2312" w:eastAsia="仿宋_GB2312" w:cs="仿宋_GB2312"/>
          <w:sz w:val="32"/>
          <w:szCs w:val="32"/>
        </w:rPr>
        <w:t>做强做响特色食用菌品牌。</w:t>
      </w:r>
      <w:r>
        <w:rPr>
          <w:rFonts w:eastAsia="仿宋_GB2312"/>
          <w:sz w:val="32"/>
          <w:szCs w:val="32"/>
        </w:rPr>
        <w:t>充分发挥王家林业资源丰富优势，大力发展食用菌产业，重点建设“晋贤香菇”“新华灵芝”特色食用菌产业带，打造“川北第一菌乡”，2022年合计制作香菇菌袋40万袋，16户种植户共计创收约240万元。</w:t>
      </w:r>
      <w:r>
        <w:rPr>
          <w:rFonts w:hint="eastAsia" w:eastAsia="仿宋_GB2312"/>
          <w:sz w:val="32"/>
          <w:szCs w:val="32"/>
        </w:rPr>
        <w:t>五</w:t>
      </w:r>
      <w:r>
        <w:rPr>
          <w:rFonts w:eastAsia="仿宋_GB2312"/>
          <w:sz w:val="32"/>
          <w:szCs w:val="32"/>
        </w:rPr>
        <w:t>是</w:t>
      </w:r>
      <w:r>
        <w:rPr>
          <w:rFonts w:ascii="仿宋_GB2312" w:hAnsi="仿宋_GB2312" w:eastAsia="仿宋_GB2312" w:cs="仿宋_GB2312"/>
          <w:sz w:val="32"/>
          <w:szCs w:val="32"/>
        </w:rPr>
        <w:t>逐步扩大</w:t>
      </w:r>
      <w:r>
        <w:rPr>
          <w:rFonts w:hint="eastAsia" w:ascii="仿宋_GB2312" w:hAnsi="仿宋_GB2312" w:eastAsia="仿宋_GB2312" w:cs="仿宋_GB2312"/>
          <w:sz w:val="32"/>
          <w:szCs w:val="32"/>
        </w:rPr>
        <w:t>养殖</w:t>
      </w:r>
      <w:r>
        <w:rPr>
          <w:rFonts w:ascii="仿宋_GB2312" w:hAnsi="仿宋_GB2312" w:eastAsia="仿宋_GB2312" w:cs="仿宋_GB2312"/>
          <w:sz w:val="32"/>
          <w:szCs w:val="32"/>
        </w:rPr>
        <w:t>产业规模。</w:t>
      </w:r>
      <w:r>
        <w:rPr>
          <w:rFonts w:hint="eastAsia" w:ascii="仿宋_GB2312" w:hAnsi="仿宋_GB2312" w:eastAsia="仿宋_GB2312" w:cs="仿宋_GB2312"/>
          <w:sz w:val="32"/>
          <w:szCs w:val="32"/>
        </w:rPr>
        <w:t>充分发挥养</w:t>
      </w:r>
      <w:r>
        <w:rPr>
          <w:rFonts w:eastAsia="仿宋_GB2312"/>
          <w:sz w:val="32"/>
          <w:szCs w:val="32"/>
        </w:rPr>
        <w:t>殖产业传统优势，持续推动养殖规模化、科学化，</w:t>
      </w:r>
      <w:r>
        <w:rPr>
          <w:rFonts w:hint="eastAsia" w:ascii="仿宋_GB2312" w:hAnsi="仿宋_GB2312" w:eastAsia="仿宋_GB2312" w:cs="仿宋_GB2312"/>
          <w:sz w:val="32"/>
          <w:szCs w:val="32"/>
        </w:rPr>
        <w:t>聚焦全区肉牛羊“百千万”工程目标任务，</w:t>
      </w:r>
      <w:r>
        <w:rPr>
          <w:rFonts w:eastAsia="仿宋_GB2312"/>
          <w:sz w:val="32"/>
          <w:szCs w:val="32"/>
        </w:rPr>
        <w:t>持续加大肉牛羊大型养殖企业招引力度，</w:t>
      </w:r>
      <w:r>
        <w:rPr>
          <w:rFonts w:hint="eastAsia" w:eastAsia="仿宋_GB2312"/>
          <w:sz w:val="32"/>
          <w:szCs w:val="32"/>
        </w:rPr>
        <w:t>今年</w:t>
      </w:r>
      <w:r>
        <w:rPr>
          <w:rFonts w:eastAsia="仿宋_GB2312"/>
          <w:sz w:val="32"/>
          <w:szCs w:val="32"/>
        </w:rPr>
        <w:t>新建规模牛</w:t>
      </w:r>
      <w:r>
        <w:rPr>
          <w:rFonts w:hint="eastAsia" w:eastAsia="仿宋_GB2312"/>
          <w:sz w:val="32"/>
          <w:szCs w:val="32"/>
        </w:rPr>
        <w:t>场</w:t>
      </w:r>
      <w:r>
        <w:rPr>
          <w:rFonts w:eastAsia="仿宋_GB2312"/>
          <w:sz w:val="32"/>
          <w:szCs w:val="32"/>
        </w:rPr>
        <w:t>2家</w:t>
      </w:r>
      <w:r>
        <w:rPr>
          <w:rFonts w:hint="eastAsia" w:eastAsia="仿宋_GB2312"/>
          <w:sz w:val="32"/>
          <w:szCs w:val="32"/>
        </w:rPr>
        <w:t>、</w:t>
      </w:r>
      <w:r>
        <w:rPr>
          <w:rFonts w:eastAsia="仿宋_GB2312"/>
          <w:sz w:val="32"/>
          <w:szCs w:val="32"/>
        </w:rPr>
        <w:t>生猪转产1家</w:t>
      </w:r>
      <w:r>
        <w:rPr>
          <w:rFonts w:hint="eastAsia" w:eastAsia="仿宋_GB2312"/>
          <w:sz w:val="32"/>
          <w:szCs w:val="32"/>
        </w:rPr>
        <w:t>、规模肉羊养殖场3家，</w:t>
      </w:r>
      <w:r>
        <w:rPr>
          <w:rFonts w:eastAsia="仿宋_GB2312"/>
          <w:color w:val="000000"/>
          <w:sz w:val="32"/>
          <w:szCs w:val="32"/>
        </w:rPr>
        <w:t>安平、方山、银鱼3个新建肉牛羊养殖场基本完工</w:t>
      </w:r>
      <w:r>
        <w:rPr>
          <w:rFonts w:hint="eastAsia" w:eastAsia="仿宋_GB2312"/>
          <w:color w:val="000000"/>
          <w:sz w:val="32"/>
          <w:szCs w:val="32"/>
        </w:rPr>
        <w:t>。目前全镇存栏生猪2.9万余头、小家禽12.8万羽、</w:t>
      </w:r>
      <w:r>
        <w:rPr>
          <w:rFonts w:eastAsia="仿宋_GB2312"/>
          <w:color w:val="000000"/>
          <w:sz w:val="32"/>
          <w:szCs w:val="32"/>
        </w:rPr>
        <w:t>肉牛</w:t>
      </w:r>
      <w:r>
        <w:rPr>
          <w:rFonts w:hint="eastAsia" w:eastAsia="仿宋_GB2312"/>
          <w:color w:val="000000"/>
          <w:sz w:val="32"/>
          <w:szCs w:val="32"/>
        </w:rPr>
        <w:t>480</w:t>
      </w:r>
      <w:r>
        <w:rPr>
          <w:rFonts w:eastAsia="仿宋_GB2312"/>
          <w:color w:val="000000"/>
          <w:sz w:val="32"/>
          <w:szCs w:val="32"/>
        </w:rPr>
        <w:t>余头、肉羊</w:t>
      </w:r>
      <w:r>
        <w:rPr>
          <w:rFonts w:hint="eastAsia" w:eastAsia="仿宋_GB2312"/>
          <w:color w:val="000000"/>
          <w:sz w:val="32"/>
          <w:szCs w:val="32"/>
        </w:rPr>
        <w:t>2180</w:t>
      </w:r>
      <w:r>
        <w:rPr>
          <w:rFonts w:eastAsia="仿宋_GB2312"/>
          <w:color w:val="000000"/>
          <w:sz w:val="32"/>
          <w:szCs w:val="32"/>
        </w:rPr>
        <w:t>余只，</w:t>
      </w:r>
      <w:r>
        <w:rPr>
          <w:rFonts w:hint="eastAsia" w:eastAsia="仿宋_GB2312"/>
          <w:color w:val="000000"/>
          <w:sz w:val="32"/>
          <w:szCs w:val="32"/>
        </w:rPr>
        <w:t>年可出栏生猪6.4万余头、小家禽45万羽、优质</w:t>
      </w:r>
      <w:r>
        <w:rPr>
          <w:rFonts w:eastAsia="仿宋_GB2312"/>
          <w:color w:val="000000"/>
          <w:sz w:val="32"/>
          <w:szCs w:val="32"/>
        </w:rPr>
        <w:t>肉牛</w:t>
      </w:r>
      <w:r>
        <w:rPr>
          <w:rFonts w:hint="eastAsia" w:eastAsia="仿宋_GB2312"/>
          <w:color w:val="000000"/>
          <w:sz w:val="32"/>
          <w:szCs w:val="32"/>
        </w:rPr>
        <w:t>270</w:t>
      </w:r>
      <w:r>
        <w:rPr>
          <w:rFonts w:eastAsia="仿宋_GB2312"/>
          <w:color w:val="000000"/>
          <w:sz w:val="32"/>
          <w:szCs w:val="32"/>
        </w:rPr>
        <w:t>余头、肉羊</w:t>
      </w:r>
      <w:r>
        <w:rPr>
          <w:rFonts w:hint="eastAsia" w:eastAsia="仿宋_GB2312"/>
          <w:color w:val="000000"/>
          <w:sz w:val="32"/>
          <w:szCs w:val="32"/>
        </w:rPr>
        <w:t>920</w:t>
      </w:r>
      <w:r>
        <w:rPr>
          <w:rFonts w:eastAsia="仿宋_GB2312"/>
          <w:color w:val="000000"/>
          <w:sz w:val="32"/>
          <w:szCs w:val="32"/>
        </w:rPr>
        <w:t>余只。</w:t>
      </w:r>
      <w:r>
        <w:rPr>
          <w:rFonts w:hint="eastAsia" w:eastAsia="仿宋_GB2312"/>
          <w:sz w:val="32"/>
          <w:szCs w:val="32"/>
        </w:rPr>
        <w:t>2022年，佳和牧业</w:t>
      </w:r>
      <w:r>
        <w:rPr>
          <w:rFonts w:eastAsia="仿宋_GB2312"/>
          <w:sz w:val="32"/>
          <w:szCs w:val="32"/>
        </w:rPr>
        <w:t>成功创建</w:t>
      </w:r>
      <w:r>
        <w:rPr>
          <w:rFonts w:hint="eastAsia" w:eastAsia="仿宋_GB2312"/>
          <w:sz w:val="32"/>
          <w:szCs w:val="32"/>
        </w:rPr>
        <w:t>国家级生猪示范场，东篱园家庭农场、博泰养殖厂成功申报省级牛羊标准化示范场。</w:t>
      </w:r>
    </w:p>
    <w:p w14:paraId="0BE05DBE">
      <w:pPr>
        <w:spacing w:line="576" w:lineRule="exact"/>
        <w:rPr>
          <w:rFonts w:eastAsia="仿宋_GB2312"/>
          <w:sz w:val="32"/>
          <w:szCs w:val="32"/>
        </w:rPr>
      </w:pPr>
      <w:r>
        <w:rPr>
          <w:rFonts w:hint="eastAsia" w:ascii="仿宋_GB2312" w:hAnsi="仿宋_GB2312" w:eastAsia="仿宋_GB2312" w:cs="仿宋_GB2312"/>
          <w:sz w:val="32"/>
          <w:szCs w:val="32"/>
        </w:rPr>
        <w:t xml:space="preserve">    </w:t>
      </w:r>
      <w:r>
        <w:rPr>
          <w:rFonts w:hint="eastAsia" w:ascii="楷体_GB2312" w:hAnsi="楷体_GB2312" w:eastAsia="楷体_GB2312" w:cs="楷体_GB2312"/>
          <w:sz w:val="32"/>
          <w:szCs w:val="32"/>
        </w:rPr>
        <w:t>5.场镇建设提档升级。</w:t>
      </w:r>
      <w:r>
        <w:rPr>
          <w:rFonts w:hint="eastAsia" w:ascii="仿宋_GB2312" w:hAnsi="仿宋_GB2312" w:eastAsia="仿宋_GB2312" w:cs="仿宋_GB2312"/>
          <w:sz w:val="32"/>
          <w:szCs w:val="32"/>
        </w:rPr>
        <w:t>一是</w:t>
      </w:r>
      <w:r>
        <w:rPr>
          <w:rFonts w:hint="eastAsia" w:eastAsia="仿宋_GB2312"/>
          <w:sz w:val="32"/>
          <w:szCs w:val="32"/>
        </w:rPr>
        <w:t>棚改还房</w:t>
      </w:r>
      <w:r>
        <w:rPr>
          <w:rFonts w:eastAsia="仿宋_GB2312"/>
          <w:sz w:val="32"/>
          <w:szCs w:val="32"/>
        </w:rPr>
        <w:t>全力</w:t>
      </w:r>
      <w:r>
        <w:rPr>
          <w:rFonts w:hint="eastAsia" w:eastAsia="仿宋_GB2312"/>
          <w:sz w:val="32"/>
          <w:szCs w:val="32"/>
        </w:rPr>
        <w:t>攻坚。成立工作专班，实行主要领导包片、班子成员包组、镇村（社区）干部包户的工作责任体系，实行一周一研究、一周一会商、一周一汇报工作推进模式，以“高压逼抢”式的工作方式</w:t>
      </w:r>
      <w:r>
        <w:rPr>
          <w:rFonts w:eastAsia="仿宋_GB2312"/>
          <w:sz w:val="32"/>
          <w:szCs w:val="32"/>
        </w:rPr>
        <w:t>开展还房意愿调查、宣讲还房政策、征求安置户意见</w:t>
      </w:r>
      <w:r>
        <w:rPr>
          <w:rFonts w:hint="eastAsia" w:eastAsia="仿宋_GB2312"/>
          <w:sz w:val="32"/>
          <w:szCs w:val="32"/>
        </w:rPr>
        <w:t>等工作</w:t>
      </w:r>
      <w:r>
        <w:rPr>
          <w:rFonts w:eastAsia="仿宋_GB2312"/>
          <w:sz w:val="32"/>
          <w:szCs w:val="32"/>
        </w:rPr>
        <w:t>，</w:t>
      </w:r>
      <w:r>
        <w:rPr>
          <w:rFonts w:hint="eastAsia" w:eastAsia="仿宋_GB2312"/>
          <w:sz w:val="32"/>
          <w:szCs w:val="32"/>
        </w:rPr>
        <w:t>截至目前，已有62户签定《还房确认表》、签定率73.8%，其中，红庙地块已签22户、签约率53.7%，更新地块已签40户、签约率88%，目前，经营性还房方案已形成初稿，正在征求还房户意见。二是场镇管理全面加强。</w:t>
      </w:r>
      <w:r>
        <w:rPr>
          <w:rFonts w:eastAsia="仿宋_GB2312"/>
          <w:sz w:val="32"/>
          <w:szCs w:val="32"/>
          <w:lang w:bidi="zh-TW"/>
        </w:rPr>
        <w:t>镇党委政府</w:t>
      </w:r>
      <w:r>
        <w:rPr>
          <w:rFonts w:hint="eastAsia" w:eastAsia="仿宋_GB2312"/>
          <w:sz w:val="32"/>
          <w:szCs w:val="32"/>
          <w:lang w:bidi="zh-TW"/>
        </w:rPr>
        <w:t>科学</w:t>
      </w:r>
      <w:r>
        <w:rPr>
          <w:rFonts w:eastAsia="仿宋_GB2312"/>
          <w:sz w:val="32"/>
          <w:szCs w:val="32"/>
          <w:lang w:bidi="zh-TW"/>
        </w:rPr>
        <w:t>部署，</w:t>
      </w:r>
      <w:r>
        <w:rPr>
          <w:rFonts w:eastAsia="仿宋_GB2312"/>
          <w:sz w:val="32"/>
          <w:szCs w:val="32"/>
        </w:rPr>
        <w:t>建立党政班子成员“街长”负责制，</w:t>
      </w:r>
      <w:r>
        <w:rPr>
          <w:rFonts w:eastAsia="仿宋_GB2312"/>
          <w:sz w:val="32"/>
          <w:szCs w:val="32"/>
          <w:lang w:bidi="zh-TW"/>
        </w:rPr>
        <w:t>会同全镇相关站所制定整</w:t>
      </w:r>
      <w:r>
        <w:rPr>
          <w:rFonts w:hint="eastAsia" w:eastAsia="仿宋_GB2312"/>
          <w:sz w:val="32"/>
          <w:szCs w:val="32"/>
          <w:lang w:bidi="zh-TW"/>
        </w:rPr>
        <w:t>治</w:t>
      </w:r>
      <w:r>
        <w:rPr>
          <w:rFonts w:eastAsia="仿宋_GB2312"/>
          <w:sz w:val="32"/>
          <w:szCs w:val="32"/>
          <w:lang w:bidi="zh-TW"/>
        </w:rPr>
        <w:t>方案，规范垃圾清运处理</w:t>
      </w:r>
      <w:r>
        <w:rPr>
          <w:rFonts w:hint="eastAsia" w:eastAsia="仿宋_GB2312"/>
          <w:sz w:val="32"/>
          <w:szCs w:val="32"/>
          <w:lang w:bidi="zh-TW"/>
        </w:rPr>
        <w:t>，</w:t>
      </w:r>
      <w:r>
        <w:rPr>
          <w:rFonts w:eastAsia="仿宋_GB2312"/>
          <w:sz w:val="32"/>
          <w:szCs w:val="32"/>
          <w:lang w:bidi="zh-TW"/>
        </w:rPr>
        <w:t>按照“日产日清”“定时定点”的原则，拟拆除场镇范围现有的垃圾房、垃圾池</w:t>
      </w:r>
      <w:r>
        <w:rPr>
          <w:rFonts w:hint="eastAsia" w:eastAsia="仿宋_GB2312"/>
          <w:sz w:val="32"/>
          <w:szCs w:val="32"/>
          <w:lang w:bidi="zh-TW"/>
        </w:rPr>
        <w:t>5处</w:t>
      </w:r>
      <w:r>
        <w:rPr>
          <w:rFonts w:eastAsia="仿宋_GB2312"/>
          <w:sz w:val="32"/>
          <w:szCs w:val="32"/>
          <w:lang w:bidi="zh-TW"/>
        </w:rPr>
        <w:t>，逐步沿街安放垃圾箱</w:t>
      </w:r>
      <w:r>
        <w:rPr>
          <w:rFonts w:hint="eastAsia" w:eastAsia="仿宋_GB2312"/>
          <w:sz w:val="32"/>
          <w:szCs w:val="32"/>
          <w:lang w:bidi="zh-TW"/>
        </w:rPr>
        <w:t>15个</w:t>
      </w:r>
      <w:r>
        <w:rPr>
          <w:rFonts w:eastAsia="仿宋_GB2312"/>
          <w:sz w:val="32"/>
          <w:szCs w:val="32"/>
          <w:lang w:bidi="zh-TW"/>
        </w:rPr>
        <w:t>。</w:t>
      </w:r>
      <w:r>
        <w:rPr>
          <w:rFonts w:hint="eastAsia" w:eastAsia="仿宋_GB2312"/>
          <w:sz w:val="32"/>
          <w:szCs w:val="32"/>
          <w:lang w:bidi="zh-TW"/>
        </w:rPr>
        <w:t>同时</w:t>
      </w:r>
      <w:r>
        <w:rPr>
          <w:rFonts w:eastAsia="仿宋_GB2312"/>
          <w:sz w:val="32"/>
          <w:szCs w:val="32"/>
        </w:rPr>
        <w:t>大力开展“全国文明城市创建王家在行动”活动，推动行商归市、坐商归店、商品归区、车辆归位、广告归栏、垃圾归桶，累计开展专项场镇管理执法活动</w:t>
      </w:r>
      <w:r>
        <w:rPr>
          <w:rFonts w:hint="eastAsia" w:eastAsia="仿宋_GB2312"/>
          <w:sz w:val="32"/>
          <w:szCs w:val="32"/>
        </w:rPr>
        <w:t>2</w:t>
      </w:r>
      <w:r>
        <w:rPr>
          <w:rFonts w:eastAsia="仿宋_GB2312"/>
          <w:sz w:val="32"/>
          <w:szCs w:val="32"/>
        </w:rPr>
        <w:t>0余次、志愿服务活动</w:t>
      </w:r>
      <w:r>
        <w:rPr>
          <w:rFonts w:hint="eastAsia" w:eastAsia="仿宋_GB2312"/>
          <w:sz w:val="32"/>
          <w:szCs w:val="32"/>
        </w:rPr>
        <w:t>1</w:t>
      </w:r>
      <w:r>
        <w:rPr>
          <w:rFonts w:eastAsia="仿宋_GB2312"/>
          <w:sz w:val="32"/>
          <w:szCs w:val="32"/>
        </w:rPr>
        <w:t>0余次，实现场镇面貌持续改善、管理水平不断提升。</w:t>
      </w:r>
      <w:r>
        <w:rPr>
          <w:rFonts w:hint="eastAsia" w:eastAsia="仿宋_GB2312"/>
          <w:sz w:val="32"/>
          <w:szCs w:val="32"/>
        </w:rPr>
        <w:t>三是商贸服务优化提升。我镇紧紧立足王磨片区商贸中心发展定位，</w:t>
      </w:r>
      <w:r>
        <w:rPr>
          <w:rFonts w:hint="eastAsia" w:ascii="仿宋_GB2312" w:hAnsi="仿宋_GB2312" w:eastAsia="仿宋_GB2312" w:cs="仿宋_GB2312"/>
          <w:kern w:val="10"/>
          <w:sz w:val="32"/>
          <w:szCs w:val="32"/>
        </w:rPr>
        <w:t>狠抓农村电商站点建设，大力拓展电商行业发展，不断优化完善营商环境，建立线上线下相结合的销售渠道</w:t>
      </w:r>
      <w:r>
        <w:rPr>
          <w:rFonts w:hint="eastAsia" w:eastAsia="仿宋_GB2312"/>
          <w:sz w:val="32"/>
          <w:szCs w:val="32"/>
        </w:rPr>
        <w:t>。</w:t>
      </w:r>
      <w:r>
        <w:rPr>
          <w:rFonts w:eastAsia="仿宋_GB2312"/>
          <w:sz w:val="32"/>
          <w:szCs w:val="32"/>
        </w:rPr>
        <w:t>积极培育支持集镇商贸服务业发展壮大，</w:t>
      </w:r>
      <w:r>
        <w:rPr>
          <w:rFonts w:hint="eastAsia" w:eastAsia="仿宋_GB2312"/>
          <w:sz w:val="32"/>
          <w:szCs w:val="32"/>
        </w:rPr>
        <w:t>全</w:t>
      </w:r>
      <w:r>
        <w:rPr>
          <w:rFonts w:eastAsia="仿宋_GB2312"/>
          <w:sz w:val="32"/>
          <w:szCs w:val="32"/>
        </w:rPr>
        <w:t>年上报“菜篮子”零售网点4处，保证疫情管控下粮油稳定，新培育“乐购”大型超市1家，新增个体工商户15户、内资企业18户，集镇商贸服务业辐射全区4镇20个村以上。</w:t>
      </w:r>
    </w:p>
    <w:p w14:paraId="000407CA">
      <w:pPr>
        <w:spacing w:line="576"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6.社会事业全面进步。</w:t>
      </w:r>
      <w:r>
        <w:rPr>
          <w:rFonts w:hint="eastAsia" w:ascii="仿宋_GB2312" w:hAnsi="仿宋_GB2312" w:eastAsia="仿宋_GB2312" w:cs="仿宋_GB2312"/>
          <w:sz w:val="32"/>
          <w:szCs w:val="32"/>
        </w:rPr>
        <w:t>一是教育医疗</w:t>
      </w:r>
      <w:r>
        <w:rPr>
          <w:rFonts w:ascii="仿宋_GB2312" w:hAnsi="仿宋_GB2312" w:eastAsia="仿宋_GB2312" w:cs="仿宋_GB2312"/>
          <w:sz w:val="32"/>
          <w:szCs w:val="32"/>
        </w:rPr>
        <w:t>协调发展。</w:t>
      </w:r>
      <w:r>
        <w:rPr>
          <w:rFonts w:eastAsia="仿宋_GB2312"/>
          <w:sz w:val="32"/>
          <w:szCs w:val="32"/>
        </w:rPr>
        <w:t>认真贯彻《义务教育法》，加大对留守儿童关爱，202</w:t>
      </w:r>
      <w:r>
        <w:rPr>
          <w:rFonts w:hint="eastAsia" w:eastAsia="仿宋_GB2312"/>
          <w:sz w:val="32"/>
          <w:szCs w:val="32"/>
        </w:rPr>
        <w:t>2</w:t>
      </w:r>
      <w:r>
        <w:rPr>
          <w:rFonts w:eastAsia="仿宋_GB2312"/>
          <w:sz w:val="32"/>
          <w:szCs w:val="32"/>
        </w:rPr>
        <w:t>学年度王家学生入学率达100%，巩固率达到100%，辍学率为0。加大公共卫生服务，巩固提升镇中心卫生院二级乙等综合医院的地位，村卫生站全部规范运行，11个村卫生站医务人员、设施设备全部配齐，群众就近就医更加便捷。镇卫生院认真贯彻医改制度，配强配齐卫生技术人员，保证老百姓“小病不出村，大病不出镇”。</w:t>
      </w:r>
      <w:r>
        <w:rPr>
          <w:rFonts w:hint="eastAsia" w:eastAsia="仿宋_GB2312"/>
          <w:color w:val="000000"/>
          <w:sz w:val="32"/>
          <w:szCs w:val="32"/>
        </w:rPr>
        <w:t>二</w:t>
      </w:r>
      <w:r>
        <w:rPr>
          <w:rFonts w:eastAsia="仿宋_GB2312"/>
          <w:color w:val="000000"/>
          <w:sz w:val="32"/>
          <w:szCs w:val="32"/>
        </w:rPr>
        <w:t>是</w:t>
      </w:r>
      <w:r>
        <w:rPr>
          <w:rFonts w:ascii="仿宋_GB2312" w:hAnsi="仿宋_GB2312" w:eastAsia="仿宋_GB2312" w:cs="仿宋_GB2312"/>
          <w:sz w:val="32"/>
          <w:szCs w:val="32"/>
        </w:rPr>
        <w:t>民生事业</w:t>
      </w:r>
      <w:r>
        <w:rPr>
          <w:rFonts w:hint="eastAsia" w:ascii="仿宋_GB2312" w:hAnsi="仿宋_GB2312" w:eastAsia="仿宋_GB2312" w:cs="仿宋_GB2312"/>
          <w:sz w:val="32"/>
          <w:szCs w:val="32"/>
        </w:rPr>
        <w:t>保障到位</w:t>
      </w:r>
      <w:r>
        <w:rPr>
          <w:rFonts w:ascii="仿宋_GB2312" w:hAnsi="仿宋_GB2312" w:eastAsia="仿宋_GB2312" w:cs="仿宋_GB2312"/>
          <w:sz w:val="32"/>
          <w:szCs w:val="32"/>
        </w:rPr>
        <w:t>。</w:t>
      </w:r>
      <w:r>
        <w:rPr>
          <w:rFonts w:eastAsia="仿宋_GB2312"/>
          <w:sz w:val="32"/>
          <w:szCs w:val="32"/>
        </w:rPr>
        <w:t>深入实施全民参保计划，进一步完善最低生活保障和社会救助体系，做到应保尽保、应救尽救。</w:t>
      </w:r>
      <w:r>
        <w:rPr>
          <w:rFonts w:hint="eastAsia" w:eastAsia="仿宋_GB2312"/>
          <w:sz w:val="32"/>
          <w:szCs w:val="32"/>
        </w:rPr>
        <w:t>2022年</w:t>
      </w:r>
      <w:r>
        <w:rPr>
          <w:rFonts w:eastAsia="仿宋_GB2312"/>
          <w:sz w:val="32"/>
          <w:szCs w:val="32"/>
        </w:rPr>
        <w:t>我镇</w:t>
      </w:r>
      <w:r>
        <w:rPr>
          <w:rFonts w:hint="eastAsia" w:eastAsia="仿宋_GB2312"/>
          <w:sz w:val="32"/>
          <w:szCs w:val="32"/>
        </w:rPr>
        <w:t>完成养老保险认证3360人，医保成功缴费13117人，完成率达88.51%，</w:t>
      </w:r>
      <w:r>
        <w:rPr>
          <w:rFonts w:eastAsia="仿宋_GB2312"/>
          <w:sz w:val="32"/>
          <w:szCs w:val="32"/>
        </w:rPr>
        <w:t>低保889户1742人、优抚对象160人、80岁高龄老人438人、特困对象43人、残疾595人等所有民政补贴资金按时发放。</w:t>
      </w:r>
      <w:r>
        <w:rPr>
          <w:rFonts w:hint="eastAsia" w:eastAsia="仿宋_GB2312"/>
          <w:spacing w:val="2"/>
          <w:sz w:val="32"/>
          <w:szCs w:val="32"/>
        </w:rPr>
        <w:t>积极</w:t>
      </w:r>
      <w:r>
        <w:rPr>
          <w:rFonts w:hint="eastAsia" w:ascii="仿宋_GB2312" w:hAnsi="仿宋_GB2312" w:eastAsia="仿宋_GB2312" w:cs="仿宋_GB2312"/>
          <w:color w:val="222222"/>
          <w:sz w:val="32"/>
          <w:szCs w:val="32"/>
          <w:shd w:val="clear" w:color="auto" w:fill="FFFFFF"/>
        </w:rPr>
        <w:t>推进新时代文明实践志愿服务</w:t>
      </w:r>
      <w:r>
        <w:rPr>
          <w:rFonts w:hint="eastAsia" w:ascii="仿宋_GB2312" w:hAnsi="仿宋_GB2312" w:eastAsia="仿宋_GB2312" w:cs="仿宋_GB2312"/>
          <w:spacing w:val="2"/>
          <w:sz w:val="32"/>
          <w:szCs w:val="32"/>
        </w:rPr>
        <w:t>，</w:t>
      </w:r>
      <w:r>
        <w:rPr>
          <w:rFonts w:eastAsia="仿宋_GB2312"/>
          <w:spacing w:val="2"/>
          <w:sz w:val="32"/>
          <w:szCs w:val="32"/>
        </w:rPr>
        <w:t>规范建设村级文化活动室17个</w:t>
      </w:r>
      <w:r>
        <w:rPr>
          <w:rFonts w:hint="eastAsia" w:eastAsia="仿宋_GB2312"/>
          <w:spacing w:val="2"/>
          <w:sz w:val="32"/>
          <w:szCs w:val="32"/>
        </w:rPr>
        <w:t>、</w:t>
      </w:r>
      <w:r>
        <w:rPr>
          <w:rFonts w:eastAsia="仿宋_GB2312"/>
          <w:spacing w:val="2"/>
          <w:sz w:val="32"/>
          <w:szCs w:val="32"/>
        </w:rPr>
        <w:t>文化活动广场17个，文化室藏书近3万余册，坝坝舞、广场舞成为常态，老百姓在家门口就能丰富文化娱乐活动。</w:t>
      </w:r>
      <w:r>
        <w:rPr>
          <w:rFonts w:hint="eastAsia" w:eastAsia="仿宋_GB2312"/>
          <w:sz w:val="32"/>
          <w:szCs w:val="32"/>
        </w:rPr>
        <w:t>三是公共服务优化完善。</w:t>
      </w:r>
      <w:r>
        <w:rPr>
          <w:rFonts w:eastAsia="仿宋_GB2312"/>
          <w:sz w:val="32"/>
          <w:szCs w:val="32"/>
        </w:rPr>
        <w:t>持续优化网格化服务管理体系、制度机制和队伍建设，规范便民服务中心建设和审批服务印章管理，</w:t>
      </w:r>
      <w:r>
        <w:rPr>
          <w:rFonts w:hint="eastAsia" w:eastAsia="仿宋_GB2312"/>
          <w:sz w:val="32"/>
          <w:szCs w:val="32"/>
        </w:rPr>
        <w:t>投资30余万元改造提升镇村便民服务中心，便民服务制度更加健全、配套设施更加齐备、群众办事环境更加舒适，</w:t>
      </w:r>
      <w:r>
        <w:rPr>
          <w:rFonts w:eastAsia="仿宋_GB2312"/>
          <w:sz w:val="32"/>
          <w:szCs w:val="32"/>
        </w:rPr>
        <w:t>大力推行村（社区）便民服务代办制度，</w:t>
      </w:r>
      <w:r>
        <w:rPr>
          <w:rFonts w:eastAsia="仿宋_GB2312"/>
          <w:spacing w:val="2"/>
          <w:sz w:val="32"/>
          <w:szCs w:val="32"/>
        </w:rPr>
        <w:t>规范设置11个村级便民服务代办站，</w:t>
      </w:r>
      <w:r>
        <w:rPr>
          <w:rFonts w:eastAsia="仿宋_GB2312"/>
          <w:sz w:val="32"/>
          <w:szCs w:val="32"/>
        </w:rPr>
        <w:t>坚持用好用活“村能办”便民服务平台，</w:t>
      </w:r>
      <w:r>
        <w:rPr>
          <w:rFonts w:eastAsia="仿宋_GB2312"/>
          <w:spacing w:val="2"/>
          <w:sz w:val="32"/>
          <w:szCs w:val="32"/>
        </w:rPr>
        <w:t>增设“村能办”设备15台，</w:t>
      </w:r>
      <w:r>
        <w:rPr>
          <w:rFonts w:eastAsia="仿宋_GB2312"/>
          <w:sz w:val="32"/>
          <w:szCs w:val="32"/>
        </w:rPr>
        <w:t>确保“小事不出村、大事不出镇，矛盾不上交”</w:t>
      </w:r>
      <w:r>
        <w:rPr>
          <w:rFonts w:hint="eastAsia" w:eastAsia="仿宋_GB2312"/>
          <w:sz w:val="32"/>
          <w:szCs w:val="32"/>
        </w:rPr>
        <w:t>，</w:t>
      </w:r>
      <w:r>
        <w:rPr>
          <w:rFonts w:eastAsia="仿宋_GB2312"/>
          <w:spacing w:val="2"/>
          <w:sz w:val="32"/>
          <w:szCs w:val="32"/>
        </w:rPr>
        <w:t>让老百姓在家门口就能办成事</w:t>
      </w:r>
      <w:r>
        <w:rPr>
          <w:rFonts w:eastAsia="仿宋_GB2312"/>
          <w:sz w:val="32"/>
          <w:szCs w:val="32"/>
        </w:rPr>
        <w:t>。</w:t>
      </w:r>
    </w:p>
    <w:p w14:paraId="63731E56">
      <w:pPr>
        <w:spacing w:line="576" w:lineRule="exact"/>
        <w:ind w:firstLine="640" w:firstLineChars="200"/>
        <w:rPr>
          <w:rFonts w:eastAsia="仿宋_GB2312"/>
          <w:sz w:val="32"/>
          <w:szCs w:val="32"/>
        </w:rPr>
      </w:pPr>
      <w:r>
        <w:rPr>
          <w:rFonts w:hint="eastAsia" w:ascii="楷体_GB2312" w:hAnsi="楷体_GB2312" w:eastAsia="楷体_GB2312" w:cs="楷体_GB2312"/>
          <w:sz w:val="32"/>
          <w:szCs w:val="32"/>
        </w:rPr>
        <w:t>7.</w:t>
      </w:r>
      <w:r>
        <w:rPr>
          <w:rFonts w:hint="eastAsia" w:eastAsia="楷体_GB2312"/>
          <w:sz w:val="32"/>
          <w:szCs w:val="32"/>
        </w:rPr>
        <w:t>安全生产稳抓不放</w:t>
      </w:r>
      <w:r>
        <w:rPr>
          <w:rFonts w:eastAsia="楷体_GB2312"/>
          <w:sz w:val="32"/>
          <w:szCs w:val="32"/>
        </w:rPr>
        <w:t>。</w:t>
      </w:r>
      <w:r>
        <w:rPr>
          <w:rFonts w:hint="eastAsia" w:ascii="仿宋_GB2312" w:hAnsi="仿宋_GB2312" w:eastAsia="仿宋_GB2312" w:cs="仿宋_GB2312"/>
          <w:sz w:val="32"/>
          <w:szCs w:val="32"/>
        </w:rPr>
        <w:t>一是严抓疫情防控。坚持以镇疫情防控专班统揽全镇疫情防控各项工作，持续强化开展中高风险地区和外出返乡人员排查及监测，加强对超市、个体商户等重点场所监管，全镇2个集中隔离点管理规范到位，未出现任何工作纰漏与差错，目前全镇疫情防控形势安全可控。</w:t>
      </w:r>
      <w:r>
        <w:rPr>
          <w:rFonts w:eastAsia="仿宋_GB2312"/>
          <w:sz w:val="32"/>
          <w:szCs w:val="32"/>
        </w:rPr>
        <w:t>完善网格化管理，压实四方责任，严格落实“五包一”制度，对所有外出务工人员进行网格化管控。按照“一户不少、一人不漏”的标准，对返乡人员进行全面摸排，</w:t>
      </w:r>
      <w:r>
        <w:rPr>
          <w:rFonts w:hint="eastAsia" w:eastAsia="仿宋_GB2312"/>
          <w:sz w:val="32"/>
          <w:szCs w:val="32"/>
        </w:rPr>
        <w:t>截</w:t>
      </w:r>
      <w:r>
        <w:rPr>
          <w:rFonts w:hint="eastAsia" w:eastAsia="仿宋_GB2312"/>
          <w:sz w:val="32"/>
          <w:szCs w:val="32"/>
          <w:lang w:val="en-US" w:eastAsia="zh-CN"/>
        </w:rPr>
        <w:t>至</w:t>
      </w:r>
      <w:bookmarkStart w:id="399" w:name="_GoBack"/>
      <w:bookmarkEnd w:id="399"/>
      <w:r>
        <w:rPr>
          <w:rFonts w:hint="eastAsia" w:eastAsia="仿宋_GB2312"/>
          <w:sz w:val="32"/>
          <w:szCs w:val="32"/>
        </w:rPr>
        <w:t>目前，</w:t>
      </w:r>
      <w:r>
        <w:rPr>
          <w:rFonts w:eastAsia="仿宋_GB2312"/>
          <w:sz w:val="32"/>
          <w:szCs w:val="32"/>
        </w:rPr>
        <w:t>共计摸排3215人，实行集中隔离127人，纳入社区管理2145人。</w:t>
      </w:r>
      <w:r>
        <w:rPr>
          <w:rFonts w:hint="eastAsia" w:eastAsia="仿宋_GB2312"/>
          <w:sz w:val="32"/>
          <w:szCs w:val="32"/>
        </w:rPr>
        <w:t>严格落实</w:t>
      </w:r>
      <w:r>
        <w:rPr>
          <w:rFonts w:eastAsia="仿宋_GB2312"/>
          <w:sz w:val="32"/>
          <w:szCs w:val="32"/>
        </w:rPr>
        <w:t>疫苗接种</w:t>
      </w:r>
      <w:r>
        <w:rPr>
          <w:rFonts w:hint="eastAsia" w:eastAsia="仿宋_GB2312"/>
          <w:sz w:val="32"/>
          <w:szCs w:val="32"/>
        </w:rPr>
        <w:t>工作</w:t>
      </w:r>
      <w:r>
        <w:rPr>
          <w:rFonts w:eastAsia="仿宋_GB2312"/>
          <w:sz w:val="32"/>
          <w:szCs w:val="32"/>
        </w:rPr>
        <w:t>，按照“应接尽接”要求，完成第一针疫苗接种43人，第二针疫苗接种57人，加强针疫苗接种4175人，排名全区前列。</w:t>
      </w:r>
      <w:r>
        <w:rPr>
          <w:rFonts w:hint="eastAsia" w:eastAsia="仿宋_GB2312"/>
          <w:sz w:val="32"/>
          <w:szCs w:val="32"/>
        </w:rPr>
        <w:t>二是严抓</w:t>
      </w:r>
      <w:r>
        <w:rPr>
          <w:rFonts w:ascii="仿宋_GB2312" w:hAnsi="仿宋_GB2312" w:eastAsia="仿宋_GB2312" w:cs="仿宋_GB2312"/>
          <w:sz w:val="32"/>
          <w:szCs w:val="32"/>
        </w:rPr>
        <w:t>森林防火。</w:t>
      </w:r>
      <w:r>
        <w:rPr>
          <w:rFonts w:eastAsia="仿宋_GB2312"/>
          <w:sz w:val="32"/>
          <w:szCs w:val="32"/>
        </w:rPr>
        <w:t>我镇始终将森林防灭火工作放在主要位置，集中传达学习、安排部署工作1</w:t>
      </w:r>
      <w:r>
        <w:rPr>
          <w:rFonts w:hint="eastAsia" w:eastAsia="仿宋_GB2312"/>
          <w:sz w:val="32"/>
          <w:szCs w:val="32"/>
        </w:rPr>
        <w:t>5</w:t>
      </w:r>
      <w:r>
        <w:rPr>
          <w:rFonts w:eastAsia="仿宋_GB2312"/>
          <w:sz w:val="32"/>
          <w:szCs w:val="32"/>
        </w:rPr>
        <w:t>次，</w:t>
      </w:r>
      <w:r>
        <w:rPr>
          <w:rFonts w:hint="eastAsia" w:eastAsia="仿宋_GB2312"/>
          <w:sz w:val="32"/>
          <w:szCs w:val="32"/>
        </w:rPr>
        <w:t>调整充实</w:t>
      </w:r>
      <w:r>
        <w:rPr>
          <w:rFonts w:eastAsia="仿宋_GB2312"/>
          <w:sz w:val="32"/>
          <w:szCs w:val="32"/>
        </w:rPr>
        <w:t>全镇护林员50人，成立应急队伍</w:t>
      </w:r>
      <w:r>
        <w:rPr>
          <w:rFonts w:hint="eastAsia" w:eastAsia="仿宋_GB2312"/>
          <w:sz w:val="32"/>
          <w:szCs w:val="32"/>
        </w:rPr>
        <w:t>1</w:t>
      </w:r>
      <w:r>
        <w:rPr>
          <w:rFonts w:eastAsia="仿宋_GB2312"/>
          <w:sz w:val="32"/>
          <w:szCs w:val="32"/>
        </w:rPr>
        <w:t>支</w:t>
      </w:r>
      <w:r>
        <w:rPr>
          <w:rFonts w:hint="eastAsia" w:eastAsia="仿宋_GB2312"/>
          <w:sz w:val="32"/>
          <w:szCs w:val="32"/>
        </w:rPr>
        <w:t>30人</w:t>
      </w:r>
      <w:r>
        <w:rPr>
          <w:rFonts w:eastAsia="仿宋_GB2312"/>
          <w:sz w:val="32"/>
          <w:szCs w:val="32"/>
        </w:rPr>
        <w:t>，配备应急物资</w:t>
      </w:r>
      <w:r>
        <w:rPr>
          <w:rFonts w:hint="eastAsia" w:eastAsia="仿宋_GB2312"/>
          <w:sz w:val="32"/>
          <w:szCs w:val="32"/>
        </w:rPr>
        <w:t>3000</w:t>
      </w:r>
      <w:r>
        <w:rPr>
          <w:rFonts w:eastAsia="仿宋_GB2312"/>
          <w:sz w:val="32"/>
          <w:szCs w:val="32"/>
        </w:rPr>
        <w:t>余件，开展应急演练</w:t>
      </w:r>
      <w:r>
        <w:rPr>
          <w:rFonts w:hint="eastAsia" w:eastAsia="仿宋_GB2312"/>
          <w:sz w:val="32"/>
          <w:szCs w:val="32"/>
        </w:rPr>
        <w:t>2</w:t>
      </w:r>
      <w:r>
        <w:rPr>
          <w:rFonts w:eastAsia="仿宋_GB2312"/>
          <w:sz w:val="32"/>
          <w:szCs w:val="32"/>
        </w:rPr>
        <w:t>场，进行巡山护林排查</w:t>
      </w:r>
      <w:r>
        <w:rPr>
          <w:rFonts w:hint="eastAsia" w:eastAsia="仿宋_GB2312"/>
          <w:sz w:val="32"/>
          <w:szCs w:val="32"/>
        </w:rPr>
        <w:t>1500</w:t>
      </w:r>
      <w:r>
        <w:rPr>
          <w:rFonts w:eastAsia="仿宋_GB2312"/>
          <w:sz w:val="32"/>
          <w:szCs w:val="32"/>
        </w:rPr>
        <w:t>余次。202</w:t>
      </w:r>
      <w:r>
        <w:rPr>
          <w:rFonts w:hint="eastAsia" w:eastAsia="仿宋_GB2312"/>
          <w:sz w:val="32"/>
          <w:szCs w:val="32"/>
        </w:rPr>
        <w:t>2</w:t>
      </w:r>
      <w:r>
        <w:rPr>
          <w:rFonts w:eastAsia="仿宋_GB2312"/>
          <w:sz w:val="32"/>
          <w:szCs w:val="32"/>
        </w:rPr>
        <w:t>年，我镇森林防灭火工作开展有力，常抓不懈，全年未发生森林火灾</w:t>
      </w:r>
      <w:r>
        <w:rPr>
          <w:rFonts w:hint="eastAsia" w:eastAsia="仿宋_GB2312"/>
          <w:sz w:val="32"/>
          <w:szCs w:val="32"/>
        </w:rPr>
        <w:t>，森林防火工作经验刊登广元日报</w:t>
      </w:r>
      <w:r>
        <w:rPr>
          <w:rFonts w:eastAsia="仿宋_GB2312"/>
          <w:sz w:val="32"/>
          <w:szCs w:val="32"/>
        </w:rPr>
        <w:t>。</w:t>
      </w:r>
      <w:r>
        <w:rPr>
          <w:rFonts w:hint="eastAsia" w:eastAsia="仿宋_GB2312"/>
          <w:sz w:val="32"/>
          <w:szCs w:val="32"/>
        </w:rPr>
        <w:t>三是严抓隐患排查。</w:t>
      </w:r>
      <w:r>
        <w:rPr>
          <w:rFonts w:hint="eastAsia" w:ascii="仿宋_GB2312" w:hAnsi="仿宋_GB2312" w:eastAsia="仿宋_GB2312" w:cs="仿宋_GB2312"/>
          <w:sz w:val="32"/>
          <w:szCs w:val="32"/>
        </w:rPr>
        <w:t>成立安全生产工作领导小组，</w:t>
      </w:r>
      <w:r>
        <w:rPr>
          <w:rFonts w:eastAsia="仿宋_GB2312"/>
          <w:sz w:val="32"/>
          <w:szCs w:val="32"/>
        </w:rPr>
        <w:t>严格落实“一岗双责”、“党政同责”制度，建立健全安全生产管理机构，坚持“一把手、抓到底”的安全工作机制，健全安全生产责任体系，加大重点行业、重点领域安全隐患排查整治力度，全力开展安全生产大检查和重点领域专项整治行动</w:t>
      </w:r>
      <w:r>
        <w:rPr>
          <w:rFonts w:hint="eastAsia" w:eastAsia="仿宋_GB2312"/>
          <w:sz w:val="32"/>
          <w:szCs w:val="32"/>
        </w:rPr>
        <w:t>。</w:t>
      </w:r>
      <w:r>
        <w:rPr>
          <w:rFonts w:eastAsia="仿宋_GB2312"/>
          <w:sz w:val="32"/>
          <w:szCs w:val="32"/>
        </w:rPr>
        <w:t>全年开展安全生产检查共计</w:t>
      </w:r>
      <w:r>
        <w:rPr>
          <w:rFonts w:hint="eastAsia" w:eastAsia="仿宋_GB2312"/>
          <w:sz w:val="32"/>
          <w:szCs w:val="32"/>
        </w:rPr>
        <w:t>32</w:t>
      </w:r>
      <w:r>
        <w:rPr>
          <w:rFonts w:eastAsia="仿宋_GB2312"/>
          <w:sz w:val="32"/>
          <w:szCs w:val="32"/>
        </w:rPr>
        <w:t>次，对辖区内909户居民</w:t>
      </w:r>
      <w:r>
        <w:rPr>
          <w:rFonts w:hint="eastAsia" w:eastAsia="仿宋_GB2312"/>
          <w:sz w:val="32"/>
          <w:szCs w:val="32"/>
        </w:rPr>
        <w:t>房屋隐患、</w:t>
      </w:r>
      <w:r>
        <w:rPr>
          <w:rFonts w:eastAsia="仿宋_GB2312"/>
          <w:sz w:val="32"/>
          <w:szCs w:val="32"/>
        </w:rPr>
        <w:t>天燃气、瓶装液化石油气等进行安全检查，排查问题</w:t>
      </w:r>
      <w:r>
        <w:rPr>
          <w:rFonts w:hint="eastAsia" w:eastAsia="仿宋_GB2312"/>
          <w:sz w:val="32"/>
          <w:szCs w:val="32"/>
        </w:rPr>
        <w:t>300余个</w:t>
      </w:r>
      <w:r>
        <w:rPr>
          <w:rFonts w:eastAsia="仿宋_GB2312"/>
          <w:sz w:val="32"/>
          <w:szCs w:val="32"/>
        </w:rPr>
        <w:t>，并全部整改销号。全年无重大安全事故发生。</w:t>
      </w:r>
    </w:p>
    <w:p w14:paraId="1F43F317">
      <w:pPr>
        <w:spacing w:line="576" w:lineRule="exact"/>
        <w:ind w:firstLine="640" w:firstLineChars="200"/>
        <w:rPr>
          <w:rFonts w:eastAsia="仿宋_GB2312"/>
          <w:szCs w:val="32"/>
          <w:highlight w:val="yellow"/>
        </w:rPr>
      </w:pPr>
      <w:r>
        <w:rPr>
          <w:rFonts w:hint="eastAsia" w:ascii="楷体_GB2312" w:hAnsi="楷体_GB2312" w:eastAsia="楷体_GB2312" w:cs="楷体_GB2312"/>
          <w:sz w:val="32"/>
          <w:szCs w:val="32"/>
        </w:rPr>
        <w:t>8.基层治理严密有序。</w:t>
      </w:r>
      <w:r>
        <w:rPr>
          <w:rFonts w:hint="eastAsia" w:ascii="仿宋_GB2312" w:hAnsi="仿宋_GB2312" w:eastAsia="仿宋_GB2312" w:cs="仿宋_GB2312"/>
          <w:sz w:val="32"/>
          <w:szCs w:val="32"/>
        </w:rPr>
        <w:t>一是全力做好治重化积。</w:t>
      </w:r>
      <w:r>
        <w:rPr>
          <w:rFonts w:eastAsia="仿宋_GB2312"/>
          <w:sz w:val="32"/>
          <w:szCs w:val="32"/>
        </w:rPr>
        <w:t>镇党委政府认真落实区委、区政府关于信访稳定工作的各项部署要求，</w:t>
      </w:r>
      <w:r>
        <w:rPr>
          <w:rFonts w:hint="eastAsia" w:ascii="仿宋_GB2312" w:hAnsi="仿宋_GB2312" w:eastAsia="仿宋_GB2312" w:cs="仿宋_GB2312"/>
          <w:color w:val="000000"/>
          <w:sz w:val="32"/>
          <w:szCs w:val="32"/>
        </w:rPr>
        <w:t>坚持实行常态化的疏导稳控制度，落实专人负责，保持与邓明孝的沟通协调，积极做好稳控工作</w:t>
      </w:r>
      <w:r>
        <w:rPr>
          <w:rFonts w:eastAsia="仿宋_GB2312"/>
          <w:sz w:val="32"/>
          <w:szCs w:val="32"/>
        </w:rPr>
        <w:t>。</w:t>
      </w:r>
      <w:r>
        <w:rPr>
          <w:rFonts w:hint="eastAsia" w:eastAsia="仿宋_GB2312"/>
          <w:sz w:val="32"/>
          <w:szCs w:val="32"/>
        </w:rPr>
        <w:t>2022年</w:t>
      </w:r>
      <w:r>
        <w:rPr>
          <w:rFonts w:eastAsia="仿宋_GB2312"/>
          <w:sz w:val="32"/>
          <w:szCs w:val="32"/>
        </w:rPr>
        <w:t>，我镇</w:t>
      </w:r>
      <w:r>
        <w:rPr>
          <w:rFonts w:hint="eastAsia" w:eastAsia="仿宋_GB2312"/>
          <w:sz w:val="32"/>
          <w:szCs w:val="32"/>
        </w:rPr>
        <w:t>共解决</w:t>
      </w:r>
      <w:r>
        <w:rPr>
          <w:rFonts w:eastAsia="仿宋_GB2312"/>
          <w:sz w:val="32"/>
          <w:szCs w:val="32"/>
        </w:rPr>
        <w:t>信访事件</w:t>
      </w:r>
      <w:r>
        <w:rPr>
          <w:rFonts w:hint="eastAsia" w:eastAsia="仿宋_GB2312"/>
          <w:sz w:val="32"/>
          <w:szCs w:val="32"/>
        </w:rPr>
        <w:t>228</w:t>
      </w:r>
      <w:r>
        <w:rPr>
          <w:rFonts w:eastAsia="仿宋_GB2312"/>
          <w:sz w:val="32"/>
          <w:szCs w:val="32"/>
        </w:rPr>
        <w:t>件次</w:t>
      </w:r>
      <w:r>
        <w:rPr>
          <w:rFonts w:hint="eastAsia" w:eastAsia="仿宋_GB2312"/>
          <w:sz w:val="32"/>
          <w:szCs w:val="32"/>
        </w:rPr>
        <w:t>。其中</w:t>
      </w:r>
      <w:r>
        <w:rPr>
          <w:rFonts w:eastAsia="仿宋_GB2312"/>
          <w:sz w:val="32"/>
          <w:szCs w:val="32"/>
        </w:rPr>
        <w:t>到镇走访</w:t>
      </w:r>
      <w:r>
        <w:rPr>
          <w:rFonts w:hint="eastAsia" w:eastAsia="仿宋_GB2312"/>
          <w:sz w:val="32"/>
          <w:szCs w:val="32"/>
        </w:rPr>
        <w:t>45</w:t>
      </w:r>
      <w:r>
        <w:rPr>
          <w:rFonts w:eastAsia="仿宋_GB2312"/>
          <w:sz w:val="32"/>
          <w:szCs w:val="32"/>
        </w:rPr>
        <w:t>件次,网信</w:t>
      </w:r>
      <w:r>
        <w:rPr>
          <w:rFonts w:hint="eastAsia" w:eastAsia="仿宋_GB2312"/>
          <w:sz w:val="32"/>
          <w:szCs w:val="32"/>
        </w:rPr>
        <w:t>8</w:t>
      </w:r>
      <w:r>
        <w:rPr>
          <w:rFonts w:eastAsia="仿宋_GB2312"/>
          <w:sz w:val="32"/>
          <w:szCs w:val="32"/>
        </w:rPr>
        <w:t>件次，书信</w:t>
      </w:r>
      <w:r>
        <w:rPr>
          <w:rFonts w:hint="eastAsia" w:eastAsia="仿宋_GB2312"/>
          <w:sz w:val="32"/>
          <w:szCs w:val="32"/>
        </w:rPr>
        <w:t>10</w:t>
      </w:r>
      <w:r>
        <w:rPr>
          <w:rFonts w:eastAsia="仿宋_GB2312"/>
          <w:sz w:val="32"/>
          <w:szCs w:val="32"/>
        </w:rPr>
        <w:t>件次，12345市长热线</w:t>
      </w:r>
      <w:r>
        <w:rPr>
          <w:rFonts w:hint="eastAsia" w:eastAsia="仿宋_GB2312"/>
          <w:sz w:val="32"/>
          <w:szCs w:val="32"/>
        </w:rPr>
        <w:t>165</w:t>
      </w:r>
      <w:r>
        <w:rPr>
          <w:rFonts w:eastAsia="仿宋_GB2312"/>
          <w:sz w:val="32"/>
          <w:szCs w:val="32"/>
        </w:rPr>
        <w:t>件次。</w:t>
      </w:r>
      <w:r>
        <w:rPr>
          <w:rFonts w:hint="eastAsia" w:eastAsia="仿宋_GB2312"/>
          <w:color w:val="000000"/>
          <w:sz w:val="32"/>
          <w:szCs w:val="32"/>
        </w:rPr>
        <w:t>二</w:t>
      </w:r>
      <w:r>
        <w:rPr>
          <w:rFonts w:eastAsia="仿宋_GB2312"/>
          <w:color w:val="000000"/>
          <w:sz w:val="32"/>
          <w:szCs w:val="32"/>
        </w:rPr>
        <w:t>是</w:t>
      </w:r>
      <w:r>
        <w:rPr>
          <w:rFonts w:ascii="仿宋_GB2312" w:hAnsi="仿宋_GB2312" w:eastAsia="仿宋_GB2312" w:cs="仿宋_GB2312"/>
          <w:sz w:val="32"/>
          <w:szCs w:val="32"/>
        </w:rPr>
        <w:t>扎实开展政法工作。</w:t>
      </w:r>
      <w:r>
        <w:rPr>
          <w:rFonts w:eastAsia="仿宋_GB2312"/>
          <w:sz w:val="32"/>
          <w:szCs w:val="32"/>
        </w:rPr>
        <w:t>管好用好“雪亮工程”，</w:t>
      </w:r>
      <w:r>
        <w:rPr>
          <w:rFonts w:hint="eastAsia" w:eastAsia="仿宋_GB2312"/>
          <w:sz w:val="32"/>
          <w:szCs w:val="32"/>
        </w:rPr>
        <w:t>组织综治办、派出所等职能部门，</w:t>
      </w:r>
      <w:r>
        <w:rPr>
          <w:rFonts w:eastAsia="仿宋_GB2312"/>
          <w:sz w:val="32"/>
          <w:szCs w:val="32"/>
        </w:rPr>
        <w:t>保持高压态势，全方位的监控震慑违法犯罪事件，坚持“有黑扫黑、无黑除恶、无恶治乱”的原则，深入排查，挖掘线索，实行全方位治理，全年来开展场镇乱象治理</w:t>
      </w:r>
      <w:r>
        <w:rPr>
          <w:rFonts w:hint="eastAsia" w:eastAsia="仿宋_GB2312"/>
          <w:sz w:val="32"/>
          <w:szCs w:val="32"/>
        </w:rPr>
        <w:t>5</w:t>
      </w:r>
      <w:r>
        <w:rPr>
          <w:rFonts w:eastAsia="仿宋_GB2312"/>
          <w:sz w:val="32"/>
          <w:szCs w:val="32"/>
        </w:rPr>
        <w:t>次。同时，加大对禁毒种毒的</w:t>
      </w:r>
      <w:r>
        <w:rPr>
          <w:rFonts w:hint="eastAsia" w:eastAsia="仿宋_GB2312"/>
          <w:sz w:val="32"/>
          <w:szCs w:val="32"/>
        </w:rPr>
        <w:t>排</w:t>
      </w:r>
      <w:r>
        <w:rPr>
          <w:rFonts w:eastAsia="仿宋_GB2312"/>
          <w:sz w:val="32"/>
          <w:szCs w:val="32"/>
        </w:rPr>
        <w:t>查，全年共排查</w:t>
      </w:r>
      <w:r>
        <w:rPr>
          <w:rFonts w:hint="eastAsia" w:eastAsia="仿宋_GB2312"/>
          <w:sz w:val="32"/>
          <w:szCs w:val="32"/>
        </w:rPr>
        <w:t>26</w:t>
      </w:r>
      <w:r>
        <w:rPr>
          <w:rFonts w:eastAsia="仿宋_GB2312"/>
          <w:sz w:val="32"/>
          <w:szCs w:val="32"/>
        </w:rPr>
        <w:t>次，场所</w:t>
      </w:r>
      <w:r>
        <w:rPr>
          <w:rFonts w:hint="eastAsia" w:eastAsia="仿宋_GB2312"/>
          <w:sz w:val="32"/>
          <w:szCs w:val="32"/>
        </w:rPr>
        <w:t>510</w:t>
      </w:r>
      <w:r>
        <w:rPr>
          <w:rFonts w:eastAsia="仿宋_GB2312"/>
          <w:sz w:val="32"/>
          <w:szCs w:val="32"/>
        </w:rPr>
        <w:t>余处。全年刑事案件1件，无民转刑案件发生。</w:t>
      </w:r>
      <w:r>
        <w:rPr>
          <w:rFonts w:hint="eastAsia" w:eastAsia="仿宋_GB2312"/>
          <w:color w:val="000000"/>
          <w:sz w:val="32"/>
          <w:szCs w:val="32"/>
        </w:rPr>
        <w:t>三</w:t>
      </w:r>
      <w:r>
        <w:rPr>
          <w:rFonts w:eastAsia="仿宋_GB2312"/>
          <w:color w:val="000000"/>
          <w:sz w:val="32"/>
          <w:szCs w:val="32"/>
        </w:rPr>
        <w:t>是</w:t>
      </w:r>
      <w:r>
        <w:rPr>
          <w:rFonts w:hint="eastAsia" w:eastAsia="仿宋_GB2312"/>
          <w:color w:val="000000"/>
          <w:sz w:val="32"/>
          <w:szCs w:val="32"/>
        </w:rPr>
        <w:t>积极</w:t>
      </w:r>
      <w:r>
        <w:rPr>
          <w:rFonts w:hint="eastAsia" w:ascii="仿宋_GB2312" w:hAnsi="仿宋_GB2312" w:eastAsia="仿宋_GB2312" w:cs="仿宋_GB2312"/>
          <w:sz w:val="32"/>
          <w:szCs w:val="32"/>
        </w:rPr>
        <w:t>推进法治政府示范区建设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调整法治政府工作领导小组成员，压实工作责任，</w:t>
      </w:r>
      <w:r>
        <w:rPr>
          <w:rFonts w:ascii="仿宋_GB2312" w:hAnsi="仿宋_GB2312" w:eastAsia="仿宋_GB2312" w:cs="仿宋_GB2312"/>
          <w:sz w:val="32"/>
          <w:szCs w:val="32"/>
        </w:rPr>
        <w:t>深入开展普法宣传</w:t>
      </w:r>
      <w:r>
        <w:rPr>
          <w:rFonts w:hint="eastAsia" w:ascii="仿宋_GB2312" w:hAnsi="仿宋_GB2312" w:eastAsia="仿宋_GB2312" w:cs="仿宋_GB2312"/>
          <w:sz w:val="32"/>
          <w:szCs w:val="32"/>
        </w:rPr>
        <w:t>，</w:t>
      </w:r>
      <w:r>
        <w:rPr>
          <w:rFonts w:eastAsia="仿宋_GB2312"/>
          <w:sz w:val="32"/>
          <w:szCs w:val="32"/>
        </w:rPr>
        <w:t>以“1+10”法治主题宣传教育活动为时间节点，</w:t>
      </w:r>
      <w:r>
        <w:rPr>
          <w:rFonts w:hint="eastAsia" w:ascii="仿宋_GB2312" w:hAnsi="仿宋_GB2312" w:eastAsia="仿宋_GB2312" w:cs="仿宋_GB2312"/>
          <w:sz w:val="32"/>
          <w:szCs w:val="32"/>
        </w:rPr>
        <w:t>充分利用镇村普法宣传阵地，提供法律法规咨询，拓展法律宣传社会覆盖面，</w:t>
      </w:r>
      <w:r>
        <w:rPr>
          <w:rFonts w:eastAsia="仿宋_GB2312"/>
          <w:sz w:val="32"/>
          <w:szCs w:val="32"/>
        </w:rPr>
        <w:t>全年开展法治宣传</w:t>
      </w:r>
      <w:r>
        <w:rPr>
          <w:rFonts w:hint="eastAsia" w:eastAsia="仿宋_GB2312"/>
          <w:sz w:val="32"/>
          <w:szCs w:val="32"/>
        </w:rPr>
        <w:t>15</w:t>
      </w:r>
      <w:r>
        <w:rPr>
          <w:rFonts w:eastAsia="仿宋_GB2312"/>
          <w:sz w:val="32"/>
          <w:szCs w:val="32"/>
        </w:rPr>
        <w:t>场次，提供法律服务</w:t>
      </w:r>
      <w:r>
        <w:rPr>
          <w:rFonts w:hint="eastAsia" w:eastAsia="仿宋_GB2312"/>
          <w:sz w:val="32"/>
          <w:szCs w:val="32"/>
        </w:rPr>
        <w:t>70</w:t>
      </w:r>
      <w:r>
        <w:rPr>
          <w:rFonts w:eastAsia="仿宋_GB2312"/>
          <w:sz w:val="32"/>
          <w:szCs w:val="32"/>
        </w:rPr>
        <w:t>余人次，悬挂横幅标语</w:t>
      </w:r>
      <w:r>
        <w:rPr>
          <w:rFonts w:hint="eastAsia" w:eastAsia="仿宋_GB2312"/>
          <w:sz w:val="32"/>
          <w:szCs w:val="32"/>
        </w:rPr>
        <w:t>32</w:t>
      </w:r>
      <w:r>
        <w:rPr>
          <w:rFonts w:eastAsia="仿宋_GB2312"/>
          <w:sz w:val="32"/>
          <w:szCs w:val="32"/>
        </w:rPr>
        <w:t>余副，发放宣传资料</w:t>
      </w:r>
      <w:r>
        <w:rPr>
          <w:rFonts w:hint="eastAsia" w:eastAsia="仿宋_GB2312"/>
          <w:sz w:val="32"/>
          <w:szCs w:val="32"/>
        </w:rPr>
        <w:t>1.2</w:t>
      </w:r>
      <w:r>
        <w:rPr>
          <w:rFonts w:eastAsia="仿宋_GB2312"/>
          <w:sz w:val="32"/>
          <w:szCs w:val="32"/>
        </w:rPr>
        <w:t>万余份，</w:t>
      </w:r>
      <w:r>
        <w:rPr>
          <w:rFonts w:eastAsia="仿宋_GB2312"/>
          <w:sz w:val="32"/>
          <w:szCs w:val="32"/>
          <w:shd w:val="clear" w:color="auto" w:fill="FFFFFF"/>
        </w:rPr>
        <w:t>立体化、精准化、全覆盖的“大普法”工作格局基本成型</w:t>
      </w:r>
      <w:r>
        <w:rPr>
          <w:rFonts w:eastAsia="仿宋_GB2312"/>
          <w:sz w:val="32"/>
          <w:szCs w:val="32"/>
        </w:rPr>
        <w:t>。</w:t>
      </w:r>
      <w:r>
        <w:rPr>
          <w:rFonts w:hint="eastAsia" w:ascii="仿宋_GB2312" w:hAnsi="仿宋_GB2312" w:eastAsia="仿宋_GB2312" w:cs="仿宋_GB2312"/>
          <w:sz w:val="32"/>
          <w:szCs w:val="32"/>
          <w:shd w:val="clear" w:color="auto" w:fill="FFFFFF"/>
        </w:rPr>
        <w:t>持续开展法治文化新村建设，新建晋贤村为法治文化新村，潜移默化传播法治精神，</w:t>
      </w:r>
      <w:r>
        <w:rPr>
          <w:rFonts w:eastAsia="仿宋_GB2312"/>
          <w:color w:val="000000"/>
          <w:sz w:val="32"/>
          <w:szCs w:val="32"/>
        </w:rPr>
        <w:t>对社会风气的转变、信访矛盾的化解、社会秩序的稳定发挥了重要作用。</w:t>
      </w:r>
    </w:p>
    <w:p w14:paraId="5B53BD23">
      <w:pPr>
        <w:spacing w:line="576" w:lineRule="exact"/>
        <w:ind w:firstLine="640" w:firstLineChars="200"/>
        <w:rPr>
          <w:rFonts w:eastAsia="仿宋_GB2312"/>
          <w:spacing w:val="2"/>
          <w:sz w:val="32"/>
          <w:szCs w:val="32"/>
        </w:rPr>
      </w:pPr>
      <w:r>
        <w:rPr>
          <w:rFonts w:hint="eastAsia" w:eastAsia="楷体_GB2312"/>
          <w:sz w:val="32"/>
          <w:szCs w:val="32"/>
        </w:rPr>
        <w:t>9.</w:t>
      </w:r>
      <w:r>
        <w:rPr>
          <w:rFonts w:eastAsia="楷体_GB2312"/>
          <w:sz w:val="32"/>
          <w:szCs w:val="32"/>
        </w:rPr>
        <w:t>城乡</w:t>
      </w:r>
      <w:r>
        <w:rPr>
          <w:rFonts w:hint="eastAsia" w:eastAsia="楷体_GB2312"/>
          <w:sz w:val="32"/>
          <w:szCs w:val="32"/>
        </w:rPr>
        <w:t>环境不断优化</w:t>
      </w:r>
      <w:r>
        <w:rPr>
          <w:rFonts w:eastAsia="楷体_GB2312"/>
          <w:sz w:val="32"/>
          <w:szCs w:val="32"/>
        </w:rPr>
        <w:t>。</w:t>
      </w:r>
      <w:r>
        <w:rPr>
          <w:rFonts w:eastAsia="仿宋_GB2312"/>
          <w:spacing w:val="2"/>
          <w:sz w:val="32"/>
          <w:szCs w:val="32"/>
        </w:rPr>
        <w:t>一是</w:t>
      </w:r>
      <w:r>
        <w:rPr>
          <w:rFonts w:hint="eastAsia" w:eastAsia="仿宋_GB2312"/>
          <w:spacing w:val="2"/>
          <w:sz w:val="32"/>
          <w:szCs w:val="32"/>
        </w:rPr>
        <w:t>打造宜居宜业生态环境</w:t>
      </w:r>
      <w:r>
        <w:rPr>
          <w:rFonts w:ascii="仿宋_GB2312" w:hAnsi="仿宋_GB2312" w:eastAsia="仿宋_GB2312" w:cs="仿宋_GB2312"/>
          <w:sz w:val="32"/>
          <w:szCs w:val="32"/>
        </w:rPr>
        <w:t>。</w:t>
      </w:r>
      <w:r>
        <w:rPr>
          <w:rFonts w:eastAsia="仿宋_GB2312"/>
          <w:sz w:val="32"/>
          <w:szCs w:val="32"/>
        </w:rPr>
        <w:t>实施“美丽四川•宜居乡村”建设行动，“厕所革命”</w:t>
      </w:r>
      <w:r>
        <w:rPr>
          <w:rFonts w:hint="eastAsia" w:eastAsia="仿宋_GB2312"/>
          <w:sz w:val="32"/>
          <w:szCs w:val="32"/>
        </w:rPr>
        <w:t>高质高效完成</w:t>
      </w:r>
      <w:r>
        <w:rPr>
          <w:rFonts w:eastAsia="仿宋_GB2312"/>
          <w:sz w:val="32"/>
          <w:szCs w:val="32"/>
        </w:rPr>
        <w:t>，2022年</w:t>
      </w:r>
      <w:r>
        <w:rPr>
          <w:rFonts w:hint="eastAsia" w:eastAsia="仿宋_GB2312"/>
          <w:sz w:val="32"/>
          <w:szCs w:val="32"/>
        </w:rPr>
        <w:t>全</w:t>
      </w:r>
      <w:r>
        <w:rPr>
          <w:rFonts w:eastAsia="仿宋_GB2312"/>
          <w:sz w:val="32"/>
          <w:szCs w:val="32"/>
        </w:rPr>
        <w:t>镇</w:t>
      </w:r>
      <w:r>
        <w:rPr>
          <w:rFonts w:hint="eastAsia" w:eastAsia="仿宋_GB2312"/>
          <w:sz w:val="32"/>
          <w:szCs w:val="32"/>
        </w:rPr>
        <w:t>8个村申请</w:t>
      </w:r>
      <w:r>
        <w:rPr>
          <w:rFonts w:eastAsia="仿宋_GB2312"/>
          <w:sz w:val="32"/>
          <w:szCs w:val="32"/>
        </w:rPr>
        <w:t>新建三格式化粪池697口</w:t>
      </w:r>
      <w:r>
        <w:rPr>
          <w:rFonts w:hint="eastAsia" w:eastAsia="仿宋_GB2312"/>
          <w:sz w:val="32"/>
          <w:szCs w:val="32"/>
        </w:rPr>
        <w:t>、</w:t>
      </w:r>
      <w:r>
        <w:rPr>
          <w:rFonts w:eastAsia="仿宋_GB2312"/>
          <w:sz w:val="32"/>
          <w:szCs w:val="32"/>
        </w:rPr>
        <w:t>老粪坑加盖29口，申请补助资金167.77万元。截至目前，8个村已全部建设完成并申请镇村初验及区级复验</w:t>
      </w:r>
      <w:r>
        <w:rPr>
          <w:rFonts w:hint="eastAsia" w:eastAsia="仿宋_GB2312"/>
          <w:sz w:val="32"/>
          <w:szCs w:val="32"/>
        </w:rPr>
        <w:t>。</w:t>
      </w:r>
      <w:r>
        <w:rPr>
          <w:rFonts w:eastAsia="仿宋_GB2312"/>
          <w:sz w:val="32"/>
          <w:szCs w:val="32"/>
        </w:rPr>
        <w:t>全面落实林长制，</w:t>
      </w:r>
      <w:r>
        <w:rPr>
          <w:rFonts w:eastAsia="仿宋_GB2312"/>
          <w:color w:val="000000"/>
          <w:kern w:val="0"/>
          <w:sz w:val="32"/>
          <w:szCs w:val="32"/>
        </w:rPr>
        <w:t>扎实</w:t>
      </w:r>
      <w:r>
        <w:rPr>
          <w:rFonts w:eastAsia="仿宋_GB2312"/>
          <w:sz w:val="32"/>
          <w:szCs w:val="32"/>
        </w:rPr>
        <w:t>筑牢王家生态屏障，</w:t>
      </w:r>
      <w:r>
        <w:rPr>
          <w:rFonts w:eastAsia="仿宋_GB2312"/>
          <w:color w:val="000000"/>
          <w:kern w:val="0"/>
          <w:sz w:val="32"/>
          <w:szCs w:val="32"/>
        </w:rPr>
        <w:t>全镇</w:t>
      </w:r>
      <w:r>
        <w:rPr>
          <w:rFonts w:eastAsia="仿宋_GB2312"/>
          <w:sz w:val="32"/>
          <w:szCs w:val="32"/>
        </w:rPr>
        <w:t>森林覆盖率达53.7%以上。严格执行耕地和基本农田保护政策，坚守红线，严格项目及新建房违规占用耕地，加大对新建房户拆除旧户恢复耕地力度。</w:t>
      </w:r>
      <w:r>
        <w:rPr>
          <w:rFonts w:eastAsia="仿宋_GB2312"/>
          <w:spacing w:val="2"/>
          <w:sz w:val="32"/>
          <w:szCs w:val="32"/>
        </w:rPr>
        <w:t>二是</w:t>
      </w:r>
      <w:r>
        <w:rPr>
          <w:rFonts w:ascii="仿宋_GB2312" w:hAnsi="仿宋_GB2312" w:eastAsia="仿宋_GB2312" w:cs="仿宋_GB2312"/>
          <w:sz w:val="32"/>
          <w:szCs w:val="32"/>
        </w:rPr>
        <w:t>严格落实河（湖）长制。</w:t>
      </w:r>
      <w:r>
        <w:rPr>
          <w:rFonts w:eastAsia="仿宋_GB2312"/>
          <w:sz w:val="32"/>
          <w:szCs w:val="32"/>
        </w:rPr>
        <w:t>切实加强畜禽面源污染治理和集中式水源保护，抓好饮用水源地保护，建立完善河长制相关组织机构、制度、台账、及时上报各类信息，筑牢嘉陵江上游生态屏障，守护好昭化的绿水青山。2022年镇级河段长巡河280余次，村级河段长巡河1150余次，集中组织河道清理4次，累计清理河道漂浮物4余吨。解决河道垃圾清理、公示牌维护、水上安全等问题3次。大力推进污染土壤修复治理，积极开展畜禽粪污、废弃农膜等专项整治，全年</w:t>
      </w:r>
      <w:r>
        <w:rPr>
          <w:rFonts w:eastAsia="仿宋_GB2312"/>
          <w:spacing w:val="2"/>
          <w:sz w:val="32"/>
          <w:szCs w:val="32"/>
        </w:rPr>
        <w:t>组织各规模养殖厂及其村上散养户参加污染防治培训10余次。三是</w:t>
      </w:r>
      <w:r>
        <w:rPr>
          <w:rFonts w:ascii="仿宋_GB2312" w:hAnsi="仿宋_GB2312" w:eastAsia="仿宋_GB2312" w:cs="仿宋_GB2312"/>
          <w:sz w:val="32"/>
          <w:szCs w:val="32"/>
        </w:rPr>
        <w:t>全力开展城乡环境综合治理。</w:t>
      </w:r>
      <w:r>
        <w:rPr>
          <w:rFonts w:eastAsia="仿宋_GB2312"/>
          <w:sz w:val="32"/>
          <w:szCs w:val="32"/>
        </w:rPr>
        <w:t>用好用活公益性岗位人员，加强对场镇、村组道路的清扫和维护，开展</w:t>
      </w:r>
      <w:r>
        <w:rPr>
          <w:rFonts w:hint="eastAsia" w:eastAsia="仿宋_GB2312"/>
          <w:sz w:val="32"/>
          <w:szCs w:val="32"/>
        </w:rPr>
        <w:t>党员志愿服务活动15次，进行</w:t>
      </w:r>
      <w:r>
        <w:rPr>
          <w:rFonts w:eastAsia="仿宋_GB2312"/>
          <w:sz w:val="32"/>
          <w:szCs w:val="32"/>
        </w:rPr>
        <w:t>场镇人居环境治理</w:t>
      </w:r>
      <w:r>
        <w:rPr>
          <w:rFonts w:hint="eastAsia" w:eastAsia="仿宋_GB2312"/>
          <w:sz w:val="32"/>
          <w:szCs w:val="32"/>
        </w:rPr>
        <w:t>。</w:t>
      </w:r>
      <w:r>
        <w:rPr>
          <w:rFonts w:eastAsia="仿宋_GB2312"/>
          <w:sz w:val="32"/>
          <w:szCs w:val="32"/>
        </w:rPr>
        <w:t>建立完善村庄常态化保洁制度，</w:t>
      </w:r>
      <w:r>
        <w:rPr>
          <w:rFonts w:eastAsia="仿宋_GB2312"/>
          <w:color w:val="000000"/>
          <w:sz w:val="32"/>
          <w:szCs w:val="32"/>
        </w:rPr>
        <w:t>各村安排专人运营生活垃圾，</w:t>
      </w:r>
      <w:r>
        <w:rPr>
          <w:rFonts w:eastAsia="仿宋_GB2312"/>
          <w:sz w:val="32"/>
          <w:szCs w:val="32"/>
        </w:rPr>
        <w:t>持续推进“户分类、村收集、镇转运、市（区）处理”的四级生活垃圾一体化处理模式，集中收集农村、场镇生活垃圾，</w:t>
      </w:r>
      <w:r>
        <w:rPr>
          <w:rFonts w:eastAsia="仿宋_GB2312"/>
          <w:color w:val="000000"/>
          <w:sz w:val="32"/>
          <w:szCs w:val="32"/>
        </w:rPr>
        <w:t>常态化开展农村生活污水治理工作，生活垃圾收转运处置体系覆盖率超过97%</w:t>
      </w:r>
      <w:r>
        <w:rPr>
          <w:rFonts w:eastAsia="仿宋_GB2312"/>
          <w:sz w:val="32"/>
          <w:szCs w:val="32"/>
        </w:rPr>
        <w:t>。</w:t>
      </w:r>
    </w:p>
    <w:p w14:paraId="0E102EAB">
      <w:pPr>
        <w:spacing w:line="576" w:lineRule="exact"/>
        <w:ind w:firstLine="640" w:firstLineChars="200"/>
        <w:rPr>
          <w:rFonts w:ascii="仿宋_GB2312" w:hAnsi="仿宋_GB2312" w:eastAsia="仿宋_GB2312" w:cs="仿宋_GB2312"/>
          <w:sz w:val="32"/>
          <w:szCs w:val="32"/>
        </w:rPr>
      </w:pPr>
      <w:r>
        <w:rPr>
          <w:rFonts w:hint="eastAsia" w:eastAsia="楷体_GB2312"/>
          <w:sz w:val="32"/>
          <w:szCs w:val="32"/>
        </w:rPr>
        <w:t>10.</w:t>
      </w:r>
      <w:r>
        <w:rPr>
          <w:rFonts w:eastAsia="楷体_GB2312"/>
          <w:sz w:val="32"/>
          <w:szCs w:val="32"/>
        </w:rPr>
        <w:t>党的建设严实相济。</w:t>
      </w:r>
      <w:r>
        <w:rPr>
          <w:rFonts w:hint="eastAsia" w:ascii="仿宋_GB2312" w:hAnsi="仿宋_GB2312" w:eastAsia="仿宋_GB2312" w:cs="仿宋_GB2312"/>
          <w:sz w:val="32"/>
          <w:szCs w:val="32"/>
        </w:rPr>
        <w:t>一是</w:t>
      </w:r>
      <w:r>
        <w:rPr>
          <w:rFonts w:ascii="仿宋_GB2312" w:hAnsi="仿宋_GB2312" w:eastAsia="仿宋_GB2312" w:cs="仿宋_GB2312"/>
          <w:sz w:val="32"/>
          <w:szCs w:val="32"/>
        </w:rPr>
        <w:t>坚持以政治建设为统领。</w:t>
      </w:r>
      <w:r>
        <w:rPr>
          <w:rFonts w:eastAsia="仿宋_GB2312"/>
          <w:sz w:val="32"/>
          <w:szCs w:val="32"/>
        </w:rPr>
        <w:t>始终将政治建设作为党的根本性建设，</w:t>
      </w:r>
      <w:r>
        <w:rPr>
          <w:rFonts w:eastAsia="仿宋_GB2312"/>
          <w:color w:val="000000"/>
          <w:sz w:val="32"/>
          <w:szCs w:val="32"/>
        </w:rPr>
        <w:t>通过党委会、理论学习中心组、支部党员大会</w:t>
      </w:r>
      <w:r>
        <w:rPr>
          <w:rFonts w:hint="eastAsia" w:eastAsia="仿宋_GB2312"/>
          <w:color w:val="000000"/>
          <w:sz w:val="32"/>
          <w:szCs w:val="32"/>
        </w:rPr>
        <w:t>、干部职工会等</w:t>
      </w:r>
      <w:r>
        <w:rPr>
          <w:rFonts w:eastAsia="仿宋_GB2312"/>
          <w:color w:val="000000"/>
          <w:sz w:val="32"/>
          <w:szCs w:val="32"/>
        </w:rPr>
        <w:t>常态化学习研讨习近平新时代中国特色社会主义思想及习近平总书记系列重要讲话精神</w:t>
      </w:r>
      <w:r>
        <w:rPr>
          <w:rFonts w:hint="eastAsia" w:eastAsia="仿宋_GB2312"/>
          <w:color w:val="000000"/>
          <w:sz w:val="32"/>
          <w:szCs w:val="32"/>
        </w:rPr>
        <w:t>，全面、准确、完整传达学习</w:t>
      </w:r>
      <w:r>
        <w:rPr>
          <w:rFonts w:hint="eastAsia" w:ascii="仿宋_GB2312" w:hAnsi="仿宋_GB2312" w:eastAsia="仿宋_GB2312" w:cs="仿宋_GB2312"/>
          <w:sz w:val="32"/>
          <w:szCs w:val="32"/>
        </w:rPr>
        <w:t>党的二十大、省第十二次党代会、</w:t>
      </w:r>
      <w:r>
        <w:rPr>
          <w:rFonts w:eastAsia="仿宋_GB2312"/>
          <w:color w:val="000000"/>
          <w:sz w:val="32"/>
          <w:szCs w:val="32"/>
        </w:rPr>
        <w:t>省委十二届二次全会</w:t>
      </w:r>
      <w:r>
        <w:rPr>
          <w:rFonts w:hint="eastAsia" w:ascii="仿宋_GB2312" w:hAnsi="仿宋_GB2312" w:eastAsia="仿宋_GB2312" w:cs="仿宋_GB2312"/>
          <w:sz w:val="32"/>
          <w:szCs w:val="32"/>
        </w:rPr>
        <w:t>等重要会议精神。</w:t>
      </w:r>
      <w:r>
        <w:rPr>
          <w:rFonts w:eastAsia="仿宋_GB2312"/>
          <w:color w:val="000000"/>
          <w:sz w:val="32"/>
          <w:szCs w:val="32"/>
        </w:rPr>
        <w:t>全年全镇各级党组织共开展政策理论学习</w:t>
      </w:r>
      <w:r>
        <w:rPr>
          <w:rFonts w:hint="eastAsia" w:eastAsia="仿宋_GB2312"/>
          <w:color w:val="000000"/>
          <w:sz w:val="32"/>
          <w:szCs w:val="32"/>
        </w:rPr>
        <w:t>60</w:t>
      </w:r>
      <w:r>
        <w:rPr>
          <w:rFonts w:eastAsia="仿宋_GB2312"/>
          <w:color w:val="000000"/>
          <w:sz w:val="32"/>
          <w:szCs w:val="32"/>
        </w:rPr>
        <w:t>余次</w:t>
      </w:r>
      <w:r>
        <w:rPr>
          <w:rFonts w:hint="eastAsia" w:eastAsia="仿宋_GB2312"/>
          <w:color w:val="000000"/>
          <w:sz w:val="32"/>
          <w:szCs w:val="32"/>
        </w:rPr>
        <w:t>，</w:t>
      </w:r>
      <w:r>
        <w:rPr>
          <w:rFonts w:eastAsia="仿宋_GB2312"/>
          <w:color w:val="000000"/>
          <w:sz w:val="32"/>
          <w:szCs w:val="32"/>
        </w:rPr>
        <w:t>教育引导广大党员干部坚定捍卫“两个确立”、坚决做到“两个维护”，始终保持正确的政治方向。</w:t>
      </w:r>
      <w:r>
        <w:rPr>
          <w:rFonts w:hint="eastAsia" w:ascii="仿宋_GB2312" w:hAnsi="仿宋_GB2312" w:eastAsia="仿宋_GB2312" w:cs="仿宋_GB2312"/>
          <w:sz w:val="32"/>
          <w:szCs w:val="32"/>
        </w:rPr>
        <w:t>二是持续强化思想建设。</w:t>
      </w:r>
      <w:r>
        <w:rPr>
          <w:rFonts w:eastAsia="仿宋_GB2312"/>
          <w:sz w:val="32"/>
          <w:szCs w:val="32"/>
        </w:rPr>
        <w:t>始终将</w:t>
      </w:r>
      <w:r>
        <w:rPr>
          <w:rFonts w:eastAsia="仿宋_GB2312"/>
          <w:color w:val="222222"/>
          <w:sz w:val="32"/>
          <w:szCs w:val="32"/>
        </w:rPr>
        <w:t>思想建设作为党的基础性建设，</w:t>
      </w:r>
      <w:r>
        <w:rPr>
          <w:rFonts w:eastAsia="仿宋_GB2312"/>
          <w:sz w:val="32"/>
          <w:szCs w:val="32"/>
        </w:rPr>
        <w:t>认真</w:t>
      </w:r>
      <w:r>
        <w:rPr>
          <w:rFonts w:eastAsia="仿宋_GB2312"/>
          <w:color w:val="222222"/>
          <w:sz w:val="32"/>
          <w:szCs w:val="32"/>
        </w:rPr>
        <w:t>落实意识形态工作责任制要求，</w:t>
      </w:r>
      <w:r>
        <w:rPr>
          <w:rFonts w:eastAsia="仿宋_GB2312"/>
          <w:sz w:val="32"/>
          <w:szCs w:val="32"/>
        </w:rPr>
        <w:t>出台意识形态工作方案，定期开展意识形态重大风险排查工作，</w:t>
      </w:r>
      <w:r>
        <w:rPr>
          <w:rFonts w:hint="eastAsia" w:eastAsia="仿宋_GB2312"/>
          <w:sz w:val="32"/>
          <w:szCs w:val="32"/>
        </w:rPr>
        <w:t>今年</w:t>
      </w:r>
      <w:r>
        <w:rPr>
          <w:rFonts w:hint="eastAsia" w:eastAsia="仿宋_GB2312"/>
          <w:spacing w:val="2"/>
          <w:sz w:val="32"/>
          <w:szCs w:val="32"/>
        </w:rPr>
        <w:t>召开党委会、意识形态专题会研究部署党建工作责任制和意识形态工作6</w:t>
      </w:r>
      <w:r>
        <w:rPr>
          <w:rFonts w:hint="eastAsia" w:ascii="仿宋_GB2312" w:hAnsi="仿宋_GB2312" w:eastAsia="仿宋_GB2312" w:cs="仿宋_GB2312"/>
          <w:sz w:val="32"/>
          <w:szCs w:val="32"/>
        </w:rPr>
        <w:t>次，</w:t>
      </w:r>
      <w:r>
        <w:rPr>
          <w:rFonts w:eastAsia="仿宋_GB2312"/>
          <w:sz w:val="32"/>
          <w:szCs w:val="32"/>
        </w:rPr>
        <w:t>分析研判意识形态领域风险4次</w:t>
      </w:r>
      <w:r>
        <w:rPr>
          <w:rFonts w:hint="eastAsia" w:eastAsia="仿宋_GB2312"/>
          <w:sz w:val="32"/>
          <w:szCs w:val="32"/>
        </w:rPr>
        <w:t>。坚持把“学习强国”工作作为党委重要议事日程，纳入意识形态责任制、党委班子履职清单，要求班子成员带头学、带头推、带头督，明确专人每日早晚提醒、每周限时汇总、每月定期通报。</w:t>
      </w:r>
      <w:r>
        <w:rPr>
          <w:rFonts w:hint="eastAsia" w:ascii="仿宋_GB2312" w:hAnsi="仿宋_GB2312" w:eastAsia="仿宋_GB2312" w:cs="仿宋_GB2312"/>
          <w:sz w:val="32"/>
          <w:szCs w:val="32"/>
        </w:rPr>
        <w:t>三是</w:t>
      </w:r>
      <w:r>
        <w:rPr>
          <w:rFonts w:ascii="仿宋_GB2312" w:hAnsi="仿宋_GB2312" w:eastAsia="仿宋_GB2312" w:cs="仿宋_GB2312"/>
          <w:sz w:val="32"/>
          <w:szCs w:val="32"/>
        </w:rPr>
        <w:t>认真开展组织建设。</w:t>
      </w:r>
      <w:r>
        <w:rPr>
          <w:rFonts w:hint="eastAsia" w:ascii="仿宋_GB2312" w:hAnsi="仿宋_GB2312" w:eastAsia="仿宋_GB2312" w:cs="仿宋_GB2312"/>
          <w:sz w:val="32"/>
          <w:szCs w:val="32"/>
        </w:rPr>
        <w:t>不断筑牢支部战斗堡垒，持续推动村级活动阵地提档升级，围绕疫情防控、森林防灭火、“红色星期六”等开展党员志愿服务活动</w:t>
      </w:r>
      <w:r>
        <w:rPr>
          <w:rFonts w:hint="eastAsia" w:eastAsia="仿宋_GB2312"/>
          <w:spacing w:val="2"/>
          <w:sz w:val="32"/>
          <w:szCs w:val="32"/>
        </w:rPr>
        <w:t>72次；定期对全镇13个支部“三会一课”等工作进行督导检查，集中开展镇村干部培训4次，开展镇村（社区）换届“回头看”分析研判工作，发现问题26个，并</w:t>
      </w:r>
      <w:r>
        <w:rPr>
          <w:rFonts w:hint="eastAsia" w:ascii="仿宋_GB2312" w:hAnsi="仿宋_GB2312" w:eastAsia="仿宋_GB2312" w:cs="仿宋_GB2312"/>
          <w:sz w:val="32"/>
          <w:szCs w:val="32"/>
        </w:rPr>
        <w:t>及时督促解决。严格抓好党员发展和</w:t>
      </w:r>
      <w:r>
        <w:rPr>
          <w:rFonts w:eastAsia="仿宋_GB2312"/>
          <w:sz w:val="32"/>
          <w:szCs w:val="32"/>
        </w:rPr>
        <w:t>违规违纪排查整顿</w:t>
      </w:r>
      <w:r>
        <w:rPr>
          <w:rFonts w:hint="eastAsia" w:ascii="仿宋_GB2312" w:hAnsi="仿宋_GB2312" w:eastAsia="仿宋_GB2312" w:cs="仿宋_GB2312"/>
          <w:sz w:val="32"/>
          <w:szCs w:val="32"/>
        </w:rPr>
        <w:t>工作，</w:t>
      </w:r>
      <w:r>
        <w:rPr>
          <w:rFonts w:eastAsia="仿宋_GB2312"/>
          <w:sz w:val="32"/>
          <w:szCs w:val="32"/>
        </w:rPr>
        <w:t>落实“一示二审”制度，严把入党程序、严审入党资格，全年发展转正党员12名，新发展党员7名，培养积极分子11名</w:t>
      </w:r>
      <w:r>
        <w:rPr>
          <w:rFonts w:hint="eastAsia" w:eastAsia="仿宋_GB2312"/>
          <w:sz w:val="32"/>
          <w:szCs w:val="32"/>
        </w:rPr>
        <w:t>，摸排</w:t>
      </w:r>
      <w:r>
        <w:rPr>
          <w:rFonts w:eastAsia="仿宋_GB2312"/>
          <w:sz w:val="32"/>
          <w:szCs w:val="32"/>
        </w:rPr>
        <w:t>发现问题7个，已全部整改完成。</w:t>
      </w:r>
      <w:r>
        <w:rPr>
          <w:rFonts w:hint="eastAsia" w:ascii="仿宋_GB2312" w:hAnsi="仿宋_GB2312" w:eastAsia="仿宋_GB2312" w:cs="仿宋_GB2312"/>
          <w:sz w:val="32"/>
          <w:szCs w:val="32"/>
        </w:rPr>
        <w:t>四是持续强化作风建设。抓好制度体系建设行动，牢固树立制度管人思想，创新运用数字化办公，利用钉钉办公平台制定执行好干部履职清单、干部考核等重要工作制度；抓好分层分类党史学习教育行动，在镇村两级党组织班子中开展“学党史 知法纪 明职责”活动，在机关支部中开展“学党史 知法纪 转作风”活动，在一般党员队伍中开展“学党史 知法纪 做先锋”活动，干部作风持续好转。五是持续强化党风廉政建设。坚持按照谁主管、谁负责的党风廉政建设工作责任制，</w:t>
      </w:r>
      <w:r>
        <w:rPr>
          <w:rFonts w:eastAsia="仿宋_GB2312"/>
          <w:sz w:val="32"/>
          <w:szCs w:val="32"/>
        </w:rPr>
        <w:t>牵头制定全面从严治党“三张清单”，</w:t>
      </w:r>
      <w:r>
        <w:rPr>
          <w:rFonts w:hint="eastAsia" w:ascii="仿宋_GB2312" w:hAnsi="仿宋_GB2312" w:eastAsia="仿宋_GB2312" w:cs="仿宋_GB2312"/>
          <w:sz w:val="32"/>
          <w:szCs w:val="32"/>
        </w:rPr>
        <w:t>坚持党委会会前通报学习纪律政策和典型案件，</w:t>
      </w:r>
      <w:r>
        <w:rPr>
          <w:rFonts w:eastAsia="仿宋_GB2312"/>
          <w:sz w:val="32"/>
          <w:szCs w:val="32"/>
        </w:rPr>
        <w:t>全年组织干部职工系统学习党规党纪1</w:t>
      </w:r>
      <w:r>
        <w:rPr>
          <w:rFonts w:hint="eastAsia" w:eastAsia="仿宋_GB2312"/>
          <w:sz w:val="32"/>
          <w:szCs w:val="32"/>
        </w:rPr>
        <w:t>2</w:t>
      </w:r>
      <w:r>
        <w:rPr>
          <w:rFonts w:eastAsia="仿宋_GB2312"/>
          <w:sz w:val="32"/>
          <w:szCs w:val="32"/>
        </w:rPr>
        <w:t>次、</w:t>
      </w:r>
      <w:r>
        <w:rPr>
          <w:rFonts w:hint="eastAsia" w:eastAsia="仿宋_GB2312"/>
          <w:sz w:val="32"/>
          <w:szCs w:val="32"/>
        </w:rPr>
        <w:t>集中观看警示教育片4次</w:t>
      </w:r>
      <w:r>
        <w:rPr>
          <w:rFonts w:eastAsia="仿宋_GB2312"/>
          <w:sz w:val="32"/>
          <w:szCs w:val="32"/>
        </w:rPr>
        <w:t>，</w:t>
      </w:r>
      <w:r>
        <w:rPr>
          <w:rFonts w:hint="eastAsia" w:ascii="仿宋_GB2312" w:hAnsi="仿宋_GB2312" w:eastAsia="仿宋_GB2312" w:cs="仿宋_GB2312"/>
          <w:sz w:val="32"/>
          <w:szCs w:val="32"/>
        </w:rPr>
        <w:t>开展警示教</w:t>
      </w:r>
      <w:r>
        <w:rPr>
          <w:rFonts w:hint="eastAsia" w:eastAsia="仿宋_GB2312"/>
          <w:spacing w:val="2"/>
          <w:sz w:val="32"/>
          <w:szCs w:val="32"/>
        </w:rPr>
        <w:t>育8次，通报违纪违法案例10起，专题安排部署党风廉政建设工作5次，着力保持清正廉洁的政治本色、营造风清气正的政治生态。</w:t>
      </w:r>
    </w:p>
    <w:p w14:paraId="03357630">
      <w:pPr>
        <w:widowControl/>
        <w:adjustRightInd w:val="0"/>
        <w:snapToGrid w:val="0"/>
        <w:spacing w:line="576" w:lineRule="exact"/>
        <w:ind w:firstLine="640" w:firstLineChars="200"/>
        <w:contextualSpacing/>
        <w:jc w:val="left"/>
        <w:outlineLvl w:val="2"/>
        <w:rPr>
          <w:rFonts w:ascii="楷体_GB2312" w:hAnsi="楷体_GB2312" w:eastAsia="楷体_GB2312" w:cs="楷体_GB2312"/>
          <w:color w:val="000000" w:themeColor="text1"/>
          <w:kern w:val="0"/>
          <w:sz w:val="32"/>
          <w:szCs w:val="32"/>
          <w:shd w:val="clear" w:color="auto" w:fill="FFFFFF"/>
          <w:lang w:val="zh-CN"/>
        </w:rPr>
      </w:pPr>
      <w:bookmarkStart w:id="166" w:name="_Toc29034"/>
      <w:bookmarkStart w:id="167" w:name="_Toc8652"/>
      <w:r>
        <w:rPr>
          <w:rFonts w:hint="eastAsia" w:ascii="楷体_GB2312" w:hAnsi="楷体_GB2312" w:eastAsia="楷体_GB2312" w:cs="楷体_GB2312"/>
          <w:color w:val="000000" w:themeColor="text1"/>
          <w:kern w:val="0"/>
          <w:sz w:val="32"/>
          <w:szCs w:val="32"/>
          <w:shd w:val="clear" w:color="auto" w:fill="FFFFFF"/>
          <w:lang w:val="zh-CN"/>
        </w:rPr>
        <w:t>（四）部门整体支出绩效目标。</w:t>
      </w:r>
      <w:bookmarkEnd w:id="166"/>
      <w:bookmarkEnd w:id="167"/>
    </w:p>
    <w:p w14:paraId="245C521B">
      <w:pPr>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深入学习贯彻市区第八次党代会精神，坚决落实中央、省委、市委及区委的各项部署安排，紧紧围绕区委“四城新区”建设，聚焦产业发展、两项改革“后半篇”文章、招商引资、基层治理、民生改善、从严治党等重点工作，推动王家镇再上新台阶。一是完成区级各项目标任务；二是保障在职干部、临聘人员、退休干部、村（社区）干部的工资、保险、目标奖、生活补助和日常正常运转；三是做好基层组织活动和公共运行维护工作；四是文化的保护和维修工作；五是做好预备役征兵保障工作；六是做好农村税费改革农村税收工作；七是做好场镇环境卫生、路灯管理、人大等相关工作。服务对象覆盖镇域内所有村社区，群众满意度达到95%以上。</w:t>
      </w:r>
    </w:p>
    <w:p w14:paraId="78CC7E34">
      <w:pPr>
        <w:widowControl/>
        <w:adjustRightInd w:val="0"/>
        <w:snapToGrid w:val="0"/>
        <w:spacing w:line="576" w:lineRule="exact"/>
        <w:ind w:firstLine="640" w:firstLineChars="200"/>
        <w:contextualSpacing/>
        <w:jc w:val="left"/>
        <w:outlineLvl w:val="1"/>
        <w:rPr>
          <w:rFonts w:ascii="黑体" w:hAnsi="宋体" w:eastAsia="黑体" w:cs="宋体"/>
          <w:color w:val="000000" w:themeColor="text1"/>
          <w:kern w:val="0"/>
          <w:sz w:val="32"/>
          <w:szCs w:val="32"/>
          <w:shd w:val="clear" w:color="auto" w:fill="FFFFFF"/>
        </w:rPr>
      </w:pPr>
      <w:bookmarkStart w:id="168" w:name="_Toc11725"/>
      <w:bookmarkStart w:id="169" w:name="_Toc21915"/>
      <w:bookmarkStart w:id="170" w:name="_Toc29102"/>
      <w:r>
        <w:rPr>
          <w:rFonts w:hint="eastAsia" w:ascii="黑体" w:hAnsi="宋体" w:eastAsia="黑体" w:cs="宋体"/>
          <w:color w:val="000000" w:themeColor="text1"/>
          <w:kern w:val="0"/>
          <w:sz w:val="32"/>
          <w:szCs w:val="32"/>
          <w:shd w:val="clear" w:color="auto" w:fill="FFFFFF"/>
        </w:rPr>
        <w:t>二、部门资金收支情况</w:t>
      </w:r>
      <w:bookmarkEnd w:id="168"/>
      <w:bookmarkEnd w:id="169"/>
      <w:bookmarkEnd w:id="170"/>
    </w:p>
    <w:p w14:paraId="0D2321DF">
      <w:pPr>
        <w:spacing w:line="576" w:lineRule="exact"/>
        <w:ind w:firstLine="640" w:firstLineChars="200"/>
        <w:outlineLvl w:val="2"/>
        <w:rPr>
          <w:rFonts w:ascii="楷体_GB2312" w:hAnsi="楷体_GB2312" w:eastAsia="楷体_GB2312" w:cs="楷体_GB2312"/>
          <w:sz w:val="32"/>
          <w:szCs w:val="32"/>
        </w:rPr>
      </w:pPr>
      <w:bookmarkStart w:id="171" w:name="_Toc414"/>
      <w:bookmarkStart w:id="172" w:name="_Toc29515"/>
      <w:r>
        <w:rPr>
          <w:rFonts w:hint="eastAsia" w:ascii="楷体_GB2312" w:hAnsi="楷体_GB2312" w:eastAsia="楷体_GB2312" w:cs="楷体_GB2312"/>
          <w:sz w:val="32"/>
          <w:szCs w:val="32"/>
        </w:rPr>
        <w:t>（一）单位财政资金收入情况</w:t>
      </w:r>
      <w:bookmarkEnd w:id="171"/>
      <w:bookmarkEnd w:id="172"/>
    </w:p>
    <w:p w14:paraId="5D75B434">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2022年全年预算数1393.93万元，其中：一般公共预算拨款收入1393.93万元。</w:t>
      </w:r>
    </w:p>
    <w:p w14:paraId="4FF4DDB5">
      <w:pPr>
        <w:spacing w:line="576" w:lineRule="exact"/>
        <w:ind w:firstLine="640" w:firstLineChars="200"/>
        <w:outlineLvl w:val="2"/>
        <w:rPr>
          <w:rFonts w:ascii="楷体_GB2312" w:hAnsi="楷体_GB2312" w:eastAsia="楷体_GB2312" w:cs="楷体_GB2312"/>
          <w:sz w:val="32"/>
          <w:szCs w:val="32"/>
        </w:rPr>
      </w:pPr>
      <w:bookmarkStart w:id="173" w:name="_Toc12958"/>
      <w:bookmarkStart w:id="174" w:name="_Toc23328"/>
      <w:r>
        <w:rPr>
          <w:rFonts w:hint="eastAsia" w:ascii="楷体_GB2312" w:hAnsi="楷体_GB2312" w:eastAsia="楷体_GB2312" w:cs="楷体_GB2312"/>
          <w:sz w:val="32"/>
          <w:szCs w:val="32"/>
        </w:rPr>
        <w:t>（二）单位财政支出情况</w:t>
      </w:r>
      <w:bookmarkEnd w:id="173"/>
      <w:bookmarkEnd w:id="174"/>
    </w:p>
    <w:p w14:paraId="717051B9">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王家镇人民政府2022年支出1393.93万元，其中：一般公共预算支出1393.93万元。2022年全年执行数：一般公共预算支出1393.93万元。</w:t>
      </w:r>
    </w:p>
    <w:p w14:paraId="4B59EFD8">
      <w:pPr>
        <w:spacing w:line="576" w:lineRule="exact"/>
        <w:ind w:firstLine="640" w:firstLineChars="200"/>
        <w:outlineLvl w:val="1"/>
        <w:rPr>
          <w:rFonts w:ascii="仿宋_GB2312" w:hAnsi="仿宋_GB2312" w:eastAsia="仿宋_GB2312" w:cs="仿宋_GB2312"/>
          <w:sz w:val="32"/>
          <w:szCs w:val="32"/>
          <w:lang w:val="zh-CN"/>
        </w:rPr>
      </w:pPr>
      <w:bookmarkStart w:id="175" w:name="_Toc11886"/>
      <w:bookmarkStart w:id="176" w:name="_Toc7796"/>
      <w:bookmarkStart w:id="177" w:name="_Toc16871"/>
      <w:r>
        <w:rPr>
          <w:rFonts w:hint="eastAsia" w:ascii="仿宋_GB2312" w:hAnsi="仿宋_GB2312" w:eastAsia="仿宋_GB2312" w:cs="仿宋_GB2312"/>
          <w:sz w:val="32"/>
          <w:szCs w:val="32"/>
          <w:lang w:val="zh-CN"/>
        </w:rPr>
        <w:t>三、部门整体绩效分析</w:t>
      </w:r>
      <w:bookmarkEnd w:id="175"/>
      <w:bookmarkEnd w:id="176"/>
      <w:bookmarkEnd w:id="177"/>
    </w:p>
    <w:p w14:paraId="49005015">
      <w:pPr>
        <w:spacing w:line="576" w:lineRule="exact"/>
        <w:ind w:firstLine="640" w:firstLineChars="200"/>
        <w:outlineLvl w:val="2"/>
        <w:rPr>
          <w:rFonts w:ascii="仿宋_GB2312" w:hAnsi="仿宋_GB2312" w:eastAsia="仿宋_GB2312" w:cs="仿宋_GB2312"/>
          <w:sz w:val="32"/>
          <w:szCs w:val="32"/>
          <w:lang w:val="zh-CN"/>
        </w:rPr>
      </w:pPr>
      <w:bookmarkStart w:id="178" w:name="_Toc20465"/>
      <w:bookmarkStart w:id="179" w:name="_Toc4577"/>
      <w:r>
        <w:rPr>
          <w:rFonts w:hint="eastAsia" w:ascii="仿宋_GB2312" w:hAnsi="仿宋_GB2312" w:eastAsia="仿宋_GB2312" w:cs="仿宋_GB2312"/>
          <w:sz w:val="32"/>
          <w:szCs w:val="32"/>
          <w:lang w:val="zh-CN"/>
        </w:rPr>
        <w:t>（一）部门预算项目绩效分析</w:t>
      </w:r>
      <w:bookmarkEnd w:id="178"/>
      <w:bookmarkEnd w:id="179"/>
    </w:p>
    <w:p w14:paraId="3A97B9B9">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1.人员类项目绩效分析</w:t>
      </w:r>
    </w:p>
    <w:p w14:paraId="6D58058E">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部门绩效目标制定：绩效目标是预算编制的前提和基础，按照“费随事定”的原则，按要求编制了绩效目标,从项目完成、项目效益、满意度等方面设置了绩效指标，综合反映项目预期完成的数量、成本、时效、质量，预期达到的社会效益、经济效益、生态效益、可持续影响以及服务对象满意度等情况。</w:t>
      </w:r>
    </w:p>
    <w:p w14:paraId="338842DE">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目标实现：全年人员类资金支出982.54万元，主要用于：人员基本工资、津贴补贴、奖金、机关事业单位养老保险、医疗保险，其他社会保障缴费、住房公积金、其他工资福利等。</w:t>
      </w:r>
    </w:p>
    <w:p w14:paraId="243D6BFF">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出控制：2022年王家镇全年人员类资金支出982.54万元。全年执行数：基本工资371.98万元、津贴补贴76.18万元、奖金150万元、绩效工资75.9万元、机关事业单位基本养老保险缴费77.34万元、职业年金缴费4.62万元、职工基本医疗保险缴费30.2万元、住房公积金59.35万元、其他工资福利支出8.85万元、离休费60.9万元、生活补助60.22万元、其他对个人和家庭的补助7万元。</w:t>
      </w:r>
    </w:p>
    <w:p w14:paraId="12E289E1">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及时处置：本单位人员预算调整已严格按照上级要求按时按质完成预算调整。</w:t>
      </w:r>
    </w:p>
    <w:p w14:paraId="02540B85">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执行进度：王家镇人民政府2022年人员类经费预算982.54万元，全年预算执行982.54万元。</w:t>
      </w:r>
    </w:p>
    <w:p w14:paraId="0E500283">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预算完成情况：截止2022年12月31日，王家镇人民政府2022年全年人员类预算982.548万元，全年预算执行982.54万元。</w:t>
      </w:r>
    </w:p>
    <w:p w14:paraId="3DE4E5C6">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资金结余金额：2022年无人员类结余资金。</w:t>
      </w:r>
    </w:p>
    <w:p w14:paraId="34C08AFF">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2.运转类项目绩效分析</w:t>
      </w:r>
    </w:p>
    <w:p w14:paraId="26F4EBB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部门绩效目标制定：绩效目标是预算编制的前提和基础，按照“费随事定”的原则，2022王家镇人民政府垃圾清运费、村级办公经费，按要求编制了绩效目标,从项目完成、项目效益、满意度等方面设置了绩效指标，综合反映项目预期完成的数量、成本、时效、质量，预期达到的社会效益、经济效益、生态效益、可持续影响以及服务对象满意度等情况。</w:t>
      </w:r>
    </w:p>
    <w:p w14:paraId="0E957315">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目标实现：全年运转类资金支出211.39万元，主要用于：办公费、印刷费、水电费、差旅费、维修费、会议费、培训费、公务接待支出等。</w:t>
      </w:r>
    </w:p>
    <w:p w14:paraId="4FC8C35B">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支出控制：2022年王家镇人民政府预算日常公用经费211.39万元。全年执行数：办公费50.14万元、印刷费3万元、咨询费0.3万元、水费3.85万元、电费9.15万元、差旅费43.3万元、维修（护）7.76万元、会议费6.92万元、培训费5.92万元、公务接待费11.78万元、工会经费11.5万元、其他交通费用18.82万元、其他商品和服务支出38.96万元。</w:t>
      </w:r>
    </w:p>
    <w:p w14:paraId="77568937">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及时处置：本单位本年度无项目调整，与运转类经费调整已严格按照上级要求按时按质完成预算调整。</w:t>
      </w:r>
    </w:p>
    <w:p w14:paraId="2B94BA37">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执行进度：王家镇人民政府实际支出211.39万元，执行率100%。</w:t>
      </w:r>
    </w:p>
    <w:p w14:paraId="7B83F346">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预算完成情况：截止2022年12月31日，王家镇人民政府2022年全年运转类资金预算211.39万元，全年实际执行数211.39万元，执行率100%。</w:t>
      </w:r>
    </w:p>
    <w:p w14:paraId="74384038">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资金结余金额：2022年无运转类结余资金。</w:t>
      </w:r>
    </w:p>
    <w:p w14:paraId="2B16431F">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3.特定目标类项目绩效分析</w:t>
      </w:r>
    </w:p>
    <w:p w14:paraId="3A6AE030">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部门绩效目标制定：绩效目标是预算编制的前提和基础，按照“费随事定”的原则，2022王家镇人民政府农公运、烤烟项目，均按要求编制了绩效目标,从项目完成、项目效益、满意度等方面设置了绩效指标，综合反映项目预期完成的数量、成本、时效、质量，预期达到的社会效益、经济效益、生态效益、可持续影响以及服务对象满意度等情况。</w:t>
      </w:r>
    </w:p>
    <w:p w14:paraId="6FBDDEE4">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目标实现：全年特定目标类项目资金支出200万元，主要用住房保障支出及对村民委员会和村党支部的补助。</w:t>
      </w:r>
    </w:p>
    <w:p w14:paraId="46186B9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支出控制：2022年王家镇人民政府预算特定目标类项目资金支出200万元。全年执行数200万元。</w:t>
      </w:r>
    </w:p>
    <w:p w14:paraId="37E35140">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及时处置：本单位根据各项目完成进度情况，及时足额拨付相关资金。</w:t>
      </w:r>
    </w:p>
    <w:p w14:paraId="7752671C">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执行进度：王家镇人民政府截止2022年12月31日，实际支出200万元，执行率100%。</w:t>
      </w:r>
    </w:p>
    <w:p w14:paraId="7642639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预算完成情况：王家镇人民政府2022年特定目标类预算200万元，全年预算执行200万元。其中：一般公共服务支出4.6万元；农林水支出95.5万元；住房保障支出99.9万元。</w:t>
      </w:r>
    </w:p>
    <w:p w14:paraId="0DF02486">
      <w:pPr>
        <w:pStyle w:val="2"/>
        <w:spacing w:before="93" w:line="576" w:lineRule="exact"/>
        <w:ind w:firstLine="640" w:firstLineChars="200"/>
        <w:rPr>
          <w:rFonts w:hAnsi="仿宋_GB2312" w:cs="仿宋_GB2312"/>
          <w:kern w:val="2"/>
          <w:sz w:val="32"/>
          <w:szCs w:val="32"/>
        </w:rPr>
      </w:pPr>
      <w:r>
        <w:rPr>
          <w:rFonts w:hint="eastAsia" w:hAnsi="仿宋_GB2312" w:cs="仿宋_GB2312"/>
          <w:kern w:val="2"/>
          <w:sz w:val="32"/>
          <w:szCs w:val="32"/>
        </w:rPr>
        <w:t>资金结余金额：2022年无运转类结余资金。</w:t>
      </w:r>
    </w:p>
    <w:p w14:paraId="5143B1EE">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本单位无违法违纪使用资金情况。</w:t>
      </w:r>
    </w:p>
    <w:p w14:paraId="1BEADAF0">
      <w:pPr>
        <w:spacing w:line="576" w:lineRule="exact"/>
        <w:ind w:firstLine="640" w:firstLineChars="200"/>
        <w:outlineLvl w:val="2"/>
        <w:rPr>
          <w:rFonts w:ascii="仿宋_GB2312" w:hAnsi="仿宋_GB2312" w:eastAsia="仿宋_GB2312" w:cs="仿宋_GB2312"/>
          <w:sz w:val="32"/>
          <w:szCs w:val="32"/>
        </w:rPr>
      </w:pPr>
      <w:bookmarkStart w:id="180" w:name="_Toc14465"/>
      <w:bookmarkStart w:id="181" w:name="_Toc18212"/>
      <w:r>
        <w:rPr>
          <w:rFonts w:hint="eastAsia" w:ascii="仿宋_GB2312" w:hAnsi="仿宋_GB2312" w:eastAsia="仿宋_GB2312" w:cs="仿宋_GB2312"/>
          <w:sz w:val="32"/>
          <w:szCs w:val="32"/>
        </w:rPr>
        <w:t>（二）部门整体履职绩效分析</w:t>
      </w:r>
      <w:bookmarkEnd w:id="180"/>
      <w:bookmarkEnd w:id="181"/>
    </w:p>
    <w:p w14:paraId="5E068E4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我单位部门整体支出绩效目标完成总情况来看，各个指标绩效运行正常有序。从数量指标来看，部门整体支出计划与完成数覆盖全镇11村1社区65个村民小组及镇村组级所有干部214人，覆盖率为100%。从成本指标上看，镇村两级基本运转公用经费1193.93万元，严格按照“上四下六”均衡用款原则执行了全年公用经费支出；项目支出200万元，严格审批各项资料完成支付。从质量指标上看，全年合理安排了人员工资及各类保险与日常公用支出，确保了单位正常运转。从成本指标上看，基本上按照单位计划完成了基本支出和项目支出的进度资金支付，确保了各级干部队伍的稳定及各个项目的正常有序建设。从效益指标及群众满意度指标上看，能够助力乡村振兴，比如烤烟产业发展过程中解决了更多农村剩余劳动力，并在生态效益上讲，未造成任何污染现象，经济效益上讲，引导产业发展，增加了农户收入。镇村干部及涉及群众满意度较高。</w:t>
      </w:r>
    </w:p>
    <w:p w14:paraId="72161AF5">
      <w:pPr>
        <w:widowControl/>
        <w:adjustRightInd w:val="0"/>
        <w:snapToGrid w:val="0"/>
        <w:spacing w:line="576" w:lineRule="exact"/>
        <w:ind w:firstLine="640" w:firstLineChars="200"/>
        <w:contextualSpacing/>
        <w:jc w:val="left"/>
        <w:outlineLvl w:val="2"/>
        <w:rPr>
          <w:rFonts w:ascii="楷体_GB2312" w:hAnsi="楷体_GB2312" w:eastAsia="楷体_GB2312" w:cs="楷体_GB2312"/>
          <w:color w:val="000000" w:themeColor="text1"/>
          <w:kern w:val="0"/>
          <w:sz w:val="32"/>
          <w:szCs w:val="32"/>
          <w:shd w:val="clear" w:color="auto" w:fill="FFFFFF"/>
          <w:lang w:val="zh-CN"/>
        </w:rPr>
      </w:pPr>
      <w:bookmarkStart w:id="182" w:name="_Toc1094"/>
      <w:bookmarkStart w:id="183" w:name="_Toc4314"/>
      <w:r>
        <w:rPr>
          <w:rFonts w:hint="eastAsia" w:ascii="楷体_GB2312" w:hAnsi="楷体_GB2312" w:eastAsia="楷体_GB2312" w:cs="楷体_GB2312"/>
          <w:color w:val="000000" w:themeColor="text1"/>
          <w:kern w:val="0"/>
          <w:sz w:val="32"/>
          <w:szCs w:val="32"/>
          <w:shd w:val="clear" w:color="auto" w:fill="FFFFFF"/>
          <w:lang w:val="zh-CN"/>
        </w:rPr>
        <w:t>（三）结果应用情况</w:t>
      </w:r>
      <w:bookmarkEnd w:id="182"/>
      <w:bookmarkEnd w:id="183"/>
    </w:p>
    <w:p w14:paraId="1590F382">
      <w:pPr>
        <w:pStyle w:val="14"/>
        <w:spacing w:after="0" w:line="576" w:lineRule="exact"/>
        <w:ind w:left="0" w:leftChars="0" w:firstLine="640"/>
        <w:rPr>
          <w:rFonts w:hAnsi="仿宋_GB2312" w:eastAsia="仿宋_GB2312" w:cs="仿宋_GB2312"/>
          <w:sz w:val="32"/>
        </w:rPr>
      </w:pPr>
      <w:r>
        <w:rPr>
          <w:rFonts w:hint="eastAsia" w:hAnsi="仿宋_GB2312" w:eastAsia="仿宋_GB2312" w:cs="仿宋_GB2312"/>
          <w:sz w:val="32"/>
        </w:rPr>
        <w:t>内部应用：一是成立了以镇长为组长，副书记为副组长，纪委书记、镇财政所所长、镇农经站负责人、镇办公室负责人为成员的预算绩效管理工作领导小组，为进一步做好我镇年度预算绩效管理工作，开展年度预算绩效等财务相关工作；二是将站所、村（社区）相关工作纳入年度考核中。三是建立内部财务制度。所长、会计、出纳岗位职责明确，会计管账不管钱，出纳管钱不管账。所有支出都是以正规发票入账，并有经办人、分管领导等签字，然后由镇长审批支付。出纳负责按月将原始票据分类汇总并及时交会计按月记账，并按月与银行核对银行存款余额、与出纳核对现金余额，并将其分类汇总装订成册归档。所有支出都有财务初核，从最大程度上杜绝了不合规原始票据入账。印章管理实行会计出纳分管，会计管理财务公章、会计印章，出纳管理镇长印章、出纳印章。现金、存款支票均由出纳管理，使用时由会计人员填制，然后由出纳人员复核、加密、盖章。</w:t>
      </w:r>
    </w:p>
    <w:p w14:paraId="1D459660">
      <w:pPr>
        <w:pStyle w:val="14"/>
        <w:spacing w:after="0" w:line="576" w:lineRule="exact"/>
        <w:ind w:left="0" w:leftChars="0" w:firstLine="640"/>
        <w:rPr>
          <w:rFonts w:hAnsi="仿宋_GB2312" w:eastAsia="仿宋_GB2312" w:cs="仿宋_GB2312"/>
          <w:sz w:val="32"/>
        </w:rPr>
      </w:pPr>
      <w:r>
        <w:rPr>
          <w:rFonts w:hint="eastAsia" w:hAnsi="仿宋_GB2312" w:eastAsia="仿宋_GB2312" w:cs="仿宋_GB2312"/>
          <w:sz w:val="32"/>
        </w:rPr>
        <w:t>自评公开：按上级要求公开公示制度要求，对各项资金的收支余管理情况进行了公开公示，对机关人员经费及公用经费开支情况定期不定期的上传机关微信、QQ工作群公示等，并设置了监督电话举报箱。按上级要求信息通达制度要求，落实财政所出纳为信息联络员，并有信息传递记录装订成册，并已分类整理、装订成册、归档保管。</w:t>
      </w:r>
    </w:p>
    <w:p w14:paraId="133FD9C1">
      <w:pPr>
        <w:widowControl/>
        <w:adjustRightInd w:val="0"/>
        <w:snapToGrid w:val="0"/>
        <w:spacing w:line="576" w:lineRule="exact"/>
        <w:ind w:firstLine="640" w:firstLineChars="200"/>
        <w:contextualSpacing/>
        <w:jc w:val="left"/>
      </w:pPr>
      <w:r>
        <w:rPr>
          <w:rFonts w:hint="eastAsia" w:ascii="仿宋_GB2312" w:hAnsi="仿宋_GB2312" w:eastAsia="仿宋_GB2312" w:cs="仿宋_GB2312"/>
          <w:color w:val="000000" w:themeColor="text1"/>
          <w:kern w:val="0"/>
          <w:sz w:val="32"/>
          <w:szCs w:val="32"/>
          <w:shd w:val="clear" w:color="auto" w:fill="FFFFFF"/>
          <w:lang w:val="zh-CN"/>
        </w:rPr>
        <w:t>自评质量：</w:t>
      </w:r>
      <w:r>
        <w:rPr>
          <w:rFonts w:hint="eastAsia" w:ascii="仿宋_GB2312" w:hAnsi="仿宋_GB2312" w:eastAsia="仿宋_GB2312" w:cs="仿宋_GB2312"/>
          <w:sz w:val="32"/>
          <w:szCs w:val="32"/>
        </w:rPr>
        <w:t>全年人员类资金预算</w:t>
      </w:r>
      <w:r>
        <w:rPr>
          <w:rFonts w:hint="eastAsia" w:ascii="仿宋_GB2312" w:hAnsi="仿宋_GB2312" w:eastAsia="仿宋_GB2312" w:cs="仿宋_GB2312"/>
          <w:color w:val="000000" w:themeColor="text1"/>
          <w:sz w:val="32"/>
          <w:szCs w:val="32"/>
        </w:rPr>
        <w:t>支出</w:t>
      </w:r>
      <w:r>
        <w:rPr>
          <w:rFonts w:hint="eastAsia" w:ascii="仿宋_GB2312" w:hAnsi="仿宋_GB2312" w:eastAsia="仿宋_GB2312" w:cs="仿宋_GB2312"/>
          <w:sz w:val="32"/>
          <w:szCs w:val="32"/>
        </w:rPr>
        <w:t>982.54</w:t>
      </w:r>
      <w:r>
        <w:rPr>
          <w:rFonts w:hint="eastAsia" w:ascii="仿宋_GB2312" w:hAnsi="仿宋_GB2312" w:eastAsia="仿宋_GB2312" w:cs="仿宋_GB2312"/>
          <w:color w:val="000000" w:themeColor="text1"/>
          <w:sz w:val="32"/>
          <w:szCs w:val="32"/>
        </w:rPr>
        <w:t>万元，主要用于：人员基本工资、津贴补贴、奖金、机关事业单位养老保险、医疗保险，其他社会保障缴费、住房公积金、其他工资福利等。全年运转类预算资金支出</w:t>
      </w:r>
      <w:r>
        <w:rPr>
          <w:rFonts w:hint="eastAsia" w:ascii="仿宋_GB2312" w:hAnsi="仿宋_GB2312" w:eastAsia="仿宋_GB2312" w:cs="仿宋_GB2312"/>
          <w:color w:val="333333"/>
          <w:kern w:val="0"/>
          <w:sz w:val="32"/>
          <w:szCs w:val="32"/>
          <w:shd w:val="clear" w:color="auto" w:fill="FFFFFF"/>
        </w:rPr>
        <w:t>211.39</w:t>
      </w:r>
      <w:r>
        <w:rPr>
          <w:rFonts w:hint="eastAsia" w:ascii="仿宋_GB2312" w:hAnsi="仿宋_GB2312" w:eastAsia="仿宋_GB2312" w:cs="仿宋_GB2312"/>
          <w:color w:val="000000" w:themeColor="text1"/>
          <w:sz w:val="32"/>
          <w:szCs w:val="32"/>
        </w:rPr>
        <w:t>万元，主要用于：办公费、印刷费、水电费、差旅费、维修费、会议费、培训费、公务接待支出。全年特定目标类项目预算资金支出200万元，主要用于农村公共运行服务费及烤烟费用</w:t>
      </w:r>
      <w:r>
        <w:rPr>
          <w:rFonts w:hint="eastAsia" w:ascii="仿宋_GB2312" w:hAnsi="仿宋_GB2312" w:eastAsia="仿宋_GB2312" w:cs="仿宋_GB2312"/>
          <w:sz w:val="32"/>
          <w:szCs w:val="32"/>
        </w:rPr>
        <w:t>。</w:t>
      </w:r>
    </w:p>
    <w:p w14:paraId="52C0072C">
      <w:pPr>
        <w:spacing w:line="576" w:lineRule="exact"/>
        <w:ind w:firstLine="640" w:firstLineChars="200"/>
        <w:outlineLvl w:val="1"/>
        <w:rPr>
          <w:rFonts w:ascii="黑体" w:hAnsi="黑体" w:eastAsia="黑体" w:cs="黑体"/>
          <w:sz w:val="32"/>
          <w:szCs w:val="32"/>
        </w:rPr>
      </w:pPr>
      <w:bookmarkStart w:id="184" w:name="_Toc27526"/>
      <w:bookmarkStart w:id="185" w:name="_Toc4256"/>
      <w:bookmarkStart w:id="186" w:name="_Toc30287"/>
      <w:bookmarkStart w:id="187" w:name="_Toc15396618"/>
      <w:r>
        <w:rPr>
          <w:rFonts w:hint="eastAsia" w:ascii="黑体" w:hAnsi="黑体" w:eastAsia="黑体" w:cs="黑体"/>
          <w:sz w:val="32"/>
          <w:szCs w:val="32"/>
        </w:rPr>
        <w:t>四、评价结论及建议</w:t>
      </w:r>
      <w:bookmarkEnd w:id="184"/>
      <w:bookmarkEnd w:id="185"/>
      <w:bookmarkEnd w:id="186"/>
    </w:p>
    <w:p w14:paraId="0DCD826A">
      <w:pPr>
        <w:spacing w:line="576" w:lineRule="exact"/>
        <w:ind w:firstLine="640" w:firstLineChars="200"/>
        <w:outlineLvl w:val="2"/>
      </w:pPr>
      <w:bookmarkStart w:id="188" w:name="_Toc16610"/>
      <w:bookmarkStart w:id="189" w:name="_Toc23679"/>
      <w:r>
        <w:rPr>
          <w:rFonts w:hint="eastAsia" w:ascii="楷体_GB2312" w:hAnsi="楷体_GB2312" w:eastAsia="楷体_GB2312" w:cs="楷体_GB2312"/>
          <w:sz w:val="32"/>
          <w:szCs w:val="32"/>
        </w:rPr>
        <w:t>（一）自评结论</w:t>
      </w:r>
      <w:bookmarkEnd w:id="188"/>
      <w:bookmarkEnd w:id="189"/>
    </w:p>
    <w:p w14:paraId="001761FD">
      <w:pPr>
        <w:widowControl/>
        <w:adjustRightInd w:val="0"/>
        <w:snapToGrid w:val="0"/>
        <w:spacing w:line="576" w:lineRule="exact"/>
        <w:ind w:firstLine="640" w:firstLineChars="200"/>
        <w:contextualSpacing/>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王家镇部门整体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2022年基本完成，在保障机关运转、履行职能职责上整体情况良好。</w:t>
      </w:r>
    </w:p>
    <w:p w14:paraId="09D5497D">
      <w:pPr>
        <w:spacing w:line="576" w:lineRule="exact"/>
        <w:ind w:firstLine="640" w:firstLineChars="200"/>
        <w:outlineLvl w:val="2"/>
        <w:rPr>
          <w:rFonts w:ascii="楷体_GB2312" w:hAnsi="楷体_GB2312" w:eastAsia="楷体_GB2312" w:cs="楷体_GB2312"/>
          <w:sz w:val="32"/>
          <w:szCs w:val="32"/>
        </w:rPr>
      </w:pPr>
      <w:bookmarkStart w:id="190" w:name="_Toc23807"/>
      <w:bookmarkStart w:id="191" w:name="_Toc12686"/>
      <w:r>
        <w:rPr>
          <w:rFonts w:hint="eastAsia" w:ascii="楷体_GB2312" w:hAnsi="楷体_GB2312" w:eastAsia="楷体_GB2312" w:cs="楷体_GB2312"/>
          <w:sz w:val="32"/>
          <w:szCs w:val="32"/>
        </w:rPr>
        <w:t>（二）存在问题</w:t>
      </w:r>
      <w:bookmarkEnd w:id="190"/>
      <w:bookmarkEnd w:id="191"/>
    </w:p>
    <w:p w14:paraId="67D108E0">
      <w:pPr>
        <w:spacing w:line="576" w:lineRule="exact"/>
        <w:ind w:firstLine="640" w:firstLineChars="200"/>
        <w:outlineLvl w:val="2"/>
        <w:rPr>
          <w:rFonts w:ascii="仿宋_GB2312" w:hAnsi="仿宋_GB2312" w:eastAsia="仿宋_GB2312" w:cs="仿宋_GB2312"/>
          <w:color w:val="000000" w:themeColor="text1"/>
          <w:sz w:val="32"/>
          <w:szCs w:val="32"/>
        </w:rPr>
      </w:pPr>
      <w:bookmarkStart w:id="192" w:name="_Toc3865"/>
      <w:bookmarkStart w:id="193" w:name="_Toc9743"/>
      <w:r>
        <w:rPr>
          <w:rFonts w:hint="eastAsia" w:ascii="仿宋_GB2312" w:hAnsi="仿宋_GB2312" w:eastAsia="仿宋_GB2312" w:cs="仿宋_GB2312"/>
          <w:color w:val="000000" w:themeColor="text1"/>
          <w:sz w:val="32"/>
          <w:szCs w:val="32"/>
        </w:rPr>
        <w:t>1.绩效目标编制不准确</w:t>
      </w:r>
    </w:p>
    <w:p w14:paraId="0AD7B97B">
      <w:pPr>
        <w:widowControl/>
        <w:adjustRightInd w:val="0"/>
        <w:snapToGrid w:val="0"/>
        <w:spacing w:line="576" w:lineRule="exact"/>
        <w:ind w:firstLine="640" w:firstLineChars="200"/>
        <w:contextualSpacing/>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2022年部门综合绩效目标与个别预算项目绩效目标均不同程度存在编制不规范，指标设置不够科学准确、具体明确等问题，导致绩效目标科学性、合理性不强，不便于考核评价。</w:t>
      </w:r>
    </w:p>
    <w:p w14:paraId="197F9D9E">
      <w:pPr>
        <w:widowControl/>
        <w:adjustRightInd w:val="0"/>
        <w:snapToGrid w:val="0"/>
        <w:spacing w:line="576" w:lineRule="exact"/>
        <w:ind w:firstLine="640" w:firstLineChars="200"/>
        <w:contextualSpacing/>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2.部门预算执行进度缓慢</w:t>
      </w:r>
    </w:p>
    <w:p w14:paraId="25A72247">
      <w:pPr>
        <w:widowControl/>
        <w:adjustRightInd w:val="0"/>
        <w:snapToGrid w:val="0"/>
        <w:spacing w:line="576" w:lineRule="exact"/>
        <w:ind w:firstLine="640" w:firstLineChars="200"/>
        <w:contextualSpacing/>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2022年因守新冠疫情防控影响，个别指标显示预算执行进度缓慢，我镇要加强与想、上级业务部门工作对接，加快预算的执行进度，狠抓项目建设的时效性，继续从实际工作入手，统筹兼顾整体支出所有指标和预算执行面，分清主次村（居）均衡实施项目，确保全年项目资金实现均衡支出。</w:t>
      </w:r>
    </w:p>
    <w:p w14:paraId="59073824">
      <w:pPr>
        <w:widowControl/>
        <w:adjustRightInd w:val="0"/>
        <w:snapToGrid w:val="0"/>
        <w:spacing w:line="576" w:lineRule="exact"/>
        <w:ind w:firstLine="640" w:firstLineChars="200"/>
        <w:contextualSpacing/>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3.预算绩效管理制度机制不够健全完善。</w:t>
      </w:r>
    </w:p>
    <w:p w14:paraId="710C74B0">
      <w:pPr>
        <w:widowControl/>
        <w:adjustRightInd w:val="0"/>
        <w:snapToGrid w:val="0"/>
        <w:spacing w:line="576" w:lineRule="exact"/>
        <w:ind w:firstLine="640" w:firstLineChars="200"/>
        <w:contextualSpacing/>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截至评价日，2022年广元市昭化区王家镇人民政府制定了预算管理制度，但未将部门内部绩效自评纳入考核体系，未建立部门内部预算与绩效挂钩机制。</w:t>
      </w:r>
    </w:p>
    <w:p w14:paraId="3CB33156">
      <w:pPr>
        <w:spacing w:line="576" w:lineRule="exact"/>
        <w:ind w:firstLine="640" w:firstLineChars="200"/>
        <w:outlineLvl w:val="2"/>
        <w:rPr>
          <w:rFonts w:ascii="楷体_GB2312" w:hAnsi="楷体_GB2312" w:eastAsia="楷体_GB2312" w:cs="楷体_GB2312"/>
          <w:sz w:val="32"/>
          <w:szCs w:val="32"/>
        </w:rPr>
      </w:pPr>
      <w:r>
        <w:rPr>
          <w:rFonts w:hint="eastAsia" w:ascii="楷体_GB2312" w:hAnsi="楷体_GB2312" w:eastAsia="楷体_GB2312" w:cs="楷体_GB2312"/>
          <w:sz w:val="32"/>
          <w:szCs w:val="32"/>
        </w:rPr>
        <w:t>（三）改进建议</w:t>
      </w:r>
      <w:bookmarkEnd w:id="192"/>
      <w:bookmarkEnd w:id="193"/>
    </w:p>
    <w:p w14:paraId="6FE6AAFB">
      <w:pPr>
        <w:widowControl/>
        <w:adjustRightInd w:val="0"/>
        <w:snapToGrid w:val="0"/>
        <w:spacing w:line="576" w:lineRule="exact"/>
        <w:ind w:firstLine="640" w:firstLineChars="200"/>
        <w:contextualSpacing/>
        <w:jc w:val="left"/>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严格按《行政单位财务规则》和《行政单位会计制度》的规定准确核算财务收支、编制财务报表，同时加强资产管理，定期和不定期盘点资产，以保证资产账实相符、账表相符。细化预算编制工作 ，进一步加强内部机构预算管理意识，严格按照预算编制的相关制度和要求，公用经费根据单位的年度工作重点和项目专项工作规划，本着“勤俭节约、保障运转”的原则进行预算的编制。编制范围尽可能的全面，不漏项。进一步提高预算编制的科学性、合理性、严谨性和可控性。</w:t>
      </w:r>
    </w:p>
    <w:p w14:paraId="4B7EBBFB">
      <w:pPr>
        <w:spacing w:line="576" w:lineRule="exact"/>
        <w:jc w:val="center"/>
        <w:rPr>
          <w:sz w:val="32"/>
          <w:szCs w:val="32"/>
        </w:rPr>
      </w:pPr>
    </w:p>
    <w:p w14:paraId="45B86992">
      <w:pPr>
        <w:pStyle w:val="2"/>
        <w:spacing w:before="93"/>
      </w:pPr>
    </w:p>
    <w:p w14:paraId="281E5600">
      <w:pPr>
        <w:pStyle w:val="2"/>
        <w:spacing w:before="93"/>
      </w:pPr>
    </w:p>
    <w:p w14:paraId="61AAD23A">
      <w:pPr>
        <w:pStyle w:val="2"/>
        <w:spacing w:before="93"/>
      </w:pPr>
    </w:p>
    <w:p w14:paraId="39F0BBB4">
      <w:pPr>
        <w:pStyle w:val="2"/>
        <w:spacing w:before="93"/>
      </w:pPr>
    </w:p>
    <w:p w14:paraId="61EAABB4">
      <w:pPr>
        <w:pStyle w:val="2"/>
        <w:spacing w:before="93"/>
      </w:pPr>
    </w:p>
    <w:p w14:paraId="2F0B7F98">
      <w:pPr>
        <w:pStyle w:val="2"/>
        <w:spacing w:before="93"/>
      </w:pPr>
    </w:p>
    <w:p w14:paraId="0E81EB64">
      <w:pPr>
        <w:pStyle w:val="2"/>
        <w:spacing w:before="93"/>
      </w:pPr>
    </w:p>
    <w:p w14:paraId="72F0690B">
      <w:pPr>
        <w:spacing w:before="5" w:line="215" w:lineRule="auto"/>
        <w:ind w:left="850"/>
        <w:outlineLvl w:val="1"/>
        <w:rPr>
          <w:rFonts w:cs="宋体"/>
          <w:sz w:val="37"/>
          <w:szCs w:val="37"/>
        </w:rPr>
      </w:pPr>
      <w:bookmarkStart w:id="194" w:name="_Toc21621"/>
      <w:bookmarkStart w:id="195" w:name="_Toc14255"/>
      <w:bookmarkStart w:id="196" w:name="_Toc31649"/>
      <w:r>
        <w:rPr>
          <w:rFonts w:cs="宋体"/>
          <w:sz w:val="37"/>
          <w:szCs w:val="37"/>
        </w:rPr>
        <w:t>广元市昭化区部门整体支出绩效目标自评表</w:t>
      </w:r>
      <w:bookmarkEnd w:id="194"/>
      <w:bookmarkEnd w:id="195"/>
      <w:bookmarkEnd w:id="196"/>
    </w:p>
    <w:p w14:paraId="60317A1C">
      <w:pPr>
        <w:spacing w:line="219" w:lineRule="auto"/>
        <w:ind w:left="4044"/>
        <w:rPr>
          <w:rFonts w:cs="宋体"/>
          <w:sz w:val="25"/>
          <w:szCs w:val="25"/>
        </w:rPr>
      </w:pPr>
      <w:r>
        <w:rPr>
          <w:rFonts w:cs="宋体"/>
          <w:spacing w:val="-16"/>
          <w:sz w:val="25"/>
          <w:szCs w:val="25"/>
        </w:rPr>
        <w:t>(</w:t>
      </w:r>
      <w:r>
        <w:rPr>
          <w:rFonts w:hint="eastAsia" w:cs="宋体"/>
          <w:spacing w:val="24"/>
          <w:sz w:val="25"/>
          <w:szCs w:val="25"/>
        </w:rPr>
        <w:t>2022</w:t>
      </w:r>
      <w:r>
        <w:rPr>
          <w:rFonts w:cs="宋体"/>
          <w:spacing w:val="-16"/>
          <w:sz w:val="25"/>
          <w:szCs w:val="25"/>
        </w:rPr>
        <w:t>年度)</w:t>
      </w:r>
    </w:p>
    <w:p w14:paraId="77B220BF">
      <w:pPr>
        <w:spacing w:line="147" w:lineRule="exact"/>
      </w:pPr>
    </w:p>
    <w:tbl>
      <w:tblPr>
        <w:tblStyle w:val="35"/>
        <w:tblW w:w="969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840"/>
        <w:gridCol w:w="1350"/>
        <w:gridCol w:w="1005"/>
        <w:gridCol w:w="1560"/>
        <w:gridCol w:w="1155"/>
        <w:gridCol w:w="1350"/>
        <w:gridCol w:w="1770"/>
      </w:tblGrid>
      <w:tr w14:paraId="13517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tcPr>
          <w:p w14:paraId="0E4002BD">
            <w:pPr>
              <w:spacing w:before="92" w:line="219" w:lineRule="auto"/>
              <w:ind w:left="434"/>
              <w:rPr>
                <w:rFonts w:cs="宋体"/>
                <w:sz w:val="18"/>
                <w:szCs w:val="18"/>
              </w:rPr>
            </w:pPr>
            <w:r>
              <w:rPr>
                <w:rFonts w:cs="宋体"/>
                <w:spacing w:val="5"/>
                <w:sz w:val="18"/>
                <w:szCs w:val="18"/>
              </w:rPr>
              <w:t>主管部门</w:t>
            </w:r>
          </w:p>
        </w:tc>
        <w:tc>
          <w:tcPr>
            <w:tcW w:w="3915" w:type="dxa"/>
            <w:gridSpan w:val="3"/>
          </w:tcPr>
          <w:p w14:paraId="4956D2F5">
            <w:pPr>
              <w:spacing w:line="360" w:lineRule="auto"/>
              <w:jc w:val="center"/>
            </w:pPr>
            <w:r>
              <w:rPr>
                <w:rFonts w:hint="eastAsia" w:cs="宋体"/>
                <w:spacing w:val="5"/>
                <w:sz w:val="18"/>
                <w:szCs w:val="18"/>
              </w:rPr>
              <w:t>广元市昭化区人民政府</w:t>
            </w:r>
          </w:p>
        </w:tc>
        <w:tc>
          <w:tcPr>
            <w:tcW w:w="1155" w:type="dxa"/>
          </w:tcPr>
          <w:p w14:paraId="5F5A4F2B">
            <w:pPr>
              <w:spacing w:before="93" w:line="220" w:lineRule="auto"/>
              <w:jc w:val="center"/>
              <w:rPr>
                <w:rFonts w:cs="宋体"/>
                <w:sz w:val="18"/>
                <w:szCs w:val="18"/>
              </w:rPr>
            </w:pPr>
            <w:r>
              <w:rPr>
                <w:rFonts w:cs="宋体"/>
                <w:spacing w:val="-3"/>
                <w:sz w:val="18"/>
                <w:szCs w:val="18"/>
              </w:rPr>
              <w:t>实施单位</w:t>
            </w:r>
          </w:p>
        </w:tc>
        <w:tc>
          <w:tcPr>
            <w:tcW w:w="3120" w:type="dxa"/>
            <w:gridSpan w:val="2"/>
          </w:tcPr>
          <w:p w14:paraId="5FA0EB3A">
            <w:pPr>
              <w:jc w:val="center"/>
            </w:pPr>
            <w:r>
              <w:rPr>
                <w:rFonts w:hint="eastAsia" w:cs="宋体"/>
                <w:spacing w:val="5"/>
                <w:sz w:val="18"/>
                <w:szCs w:val="18"/>
              </w:rPr>
              <w:t>广元市昭化区王家镇人民政府</w:t>
            </w:r>
          </w:p>
        </w:tc>
      </w:tr>
      <w:tr w14:paraId="4D339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vMerge w:val="restart"/>
            <w:tcBorders>
              <w:bottom w:val="nil"/>
            </w:tcBorders>
          </w:tcPr>
          <w:p w14:paraId="0E196EB8">
            <w:pPr>
              <w:spacing w:line="246" w:lineRule="auto"/>
            </w:pPr>
          </w:p>
          <w:p w14:paraId="45DAB29E">
            <w:pPr>
              <w:spacing w:line="246" w:lineRule="auto"/>
            </w:pPr>
          </w:p>
          <w:p w14:paraId="6883D8F4">
            <w:pPr>
              <w:spacing w:line="246" w:lineRule="auto"/>
            </w:pPr>
          </w:p>
          <w:p w14:paraId="670F41E5">
            <w:pPr>
              <w:spacing w:line="247" w:lineRule="auto"/>
            </w:pPr>
          </w:p>
          <w:p w14:paraId="2BDAB72B">
            <w:pPr>
              <w:spacing w:line="247" w:lineRule="auto"/>
            </w:pPr>
          </w:p>
          <w:p w14:paraId="0748008B">
            <w:pPr>
              <w:spacing w:before="59" w:line="248" w:lineRule="auto"/>
              <w:ind w:right="277"/>
              <w:jc w:val="center"/>
              <w:rPr>
                <w:rFonts w:cs="宋体"/>
                <w:sz w:val="18"/>
                <w:szCs w:val="18"/>
              </w:rPr>
            </w:pPr>
            <w:r>
              <w:rPr>
                <w:rFonts w:cs="宋体"/>
                <w:spacing w:val="-2"/>
                <w:sz w:val="18"/>
                <w:szCs w:val="18"/>
              </w:rPr>
              <w:t>项目(政策)资金</w:t>
            </w:r>
            <w:r>
              <w:rPr>
                <w:rFonts w:cs="宋体"/>
                <w:spacing w:val="5"/>
                <w:sz w:val="18"/>
                <w:szCs w:val="18"/>
              </w:rPr>
              <w:t xml:space="preserve"> </w:t>
            </w:r>
            <w:r>
              <w:rPr>
                <w:rFonts w:cs="宋体"/>
                <w:spacing w:val="9"/>
                <w:sz w:val="18"/>
                <w:szCs w:val="18"/>
              </w:rPr>
              <w:t>(万元)</w:t>
            </w:r>
          </w:p>
        </w:tc>
        <w:tc>
          <w:tcPr>
            <w:tcW w:w="2355" w:type="dxa"/>
            <w:gridSpan w:val="2"/>
          </w:tcPr>
          <w:p w14:paraId="3F89511B"/>
        </w:tc>
        <w:tc>
          <w:tcPr>
            <w:tcW w:w="1560" w:type="dxa"/>
          </w:tcPr>
          <w:p w14:paraId="747AE195">
            <w:pPr>
              <w:spacing w:before="87" w:line="219" w:lineRule="auto"/>
              <w:jc w:val="center"/>
              <w:rPr>
                <w:rFonts w:cs="宋体"/>
                <w:sz w:val="18"/>
                <w:szCs w:val="18"/>
              </w:rPr>
            </w:pPr>
            <w:r>
              <w:rPr>
                <w:rFonts w:cs="宋体"/>
                <w:spacing w:val="-2"/>
                <w:sz w:val="18"/>
                <w:szCs w:val="18"/>
              </w:rPr>
              <w:t>年初预算数</w:t>
            </w:r>
          </w:p>
        </w:tc>
        <w:tc>
          <w:tcPr>
            <w:tcW w:w="1155" w:type="dxa"/>
          </w:tcPr>
          <w:p w14:paraId="7CCAFBCC">
            <w:pPr>
              <w:spacing w:before="87" w:line="219" w:lineRule="auto"/>
              <w:jc w:val="center"/>
              <w:rPr>
                <w:rFonts w:cs="宋体"/>
                <w:sz w:val="18"/>
                <w:szCs w:val="18"/>
              </w:rPr>
            </w:pPr>
            <w:r>
              <w:rPr>
                <w:rFonts w:cs="宋体"/>
                <w:spacing w:val="-2"/>
                <w:sz w:val="18"/>
                <w:szCs w:val="18"/>
              </w:rPr>
              <w:t>全年预算数</w:t>
            </w:r>
          </w:p>
        </w:tc>
        <w:tc>
          <w:tcPr>
            <w:tcW w:w="1350" w:type="dxa"/>
          </w:tcPr>
          <w:p w14:paraId="76ED0C43">
            <w:pPr>
              <w:spacing w:before="87" w:line="219" w:lineRule="auto"/>
              <w:jc w:val="center"/>
              <w:rPr>
                <w:rFonts w:cs="宋体"/>
                <w:sz w:val="18"/>
                <w:szCs w:val="18"/>
              </w:rPr>
            </w:pPr>
            <w:r>
              <w:rPr>
                <w:rFonts w:cs="宋体"/>
                <w:spacing w:val="-2"/>
                <w:sz w:val="18"/>
                <w:szCs w:val="18"/>
              </w:rPr>
              <w:t>全年执行数</w:t>
            </w:r>
          </w:p>
        </w:tc>
        <w:tc>
          <w:tcPr>
            <w:tcW w:w="1770" w:type="dxa"/>
          </w:tcPr>
          <w:p w14:paraId="4AD77D89">
            <w:pPr>
              <w:spacing w:before="87" w:line="219" w:lineRule="auto"/>
              <w:jc w:val="center"/>
              <w:rPr>
                <w:rFonts w:cs="宋体"/>
                <w:sz w:val="18"/>
                <w:szCs w:val="18"/>
              </w:rPr>
            </w:pPr>
            <w:r>
              <w:rPr>
                <w:rFonts w:cs="宋体"/>
                <w:spacing w:val="6"/>
                <w:sz w:val="18"/>
                <w:szCs w:val="18"/>
              </w:rPr>
              <w:t>执行率(%)</w:t>
            </w:r>
          </w:p>
        </w:tc>
      </w:tr>
      <w:tr w14:paraId="38FF2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vMerge w:val="continue"/>
            <w:tcBorders>
              <w:top w:val="nil"/>
              <w:bottom w:val="nil"/>
            </w:tcBorders>
          </w:tcPr>
          <w:p w14:paraId="4D56E8B6"/>
        </w:tc>
        <w:tc>
          <w:tcPr>
            <w:tcW w:w="2355" w:type="dxa"/>
            <w:gridSpan w:val="2"/>
          </w:tcPr>
          <w:p w14:paraId="69F716D5">
            <w:pPr>
              <w:spacing w:before="88" w:line="219" w:lineRule="auto"/>
              <w:ind w:left="162"/>
              <w:rPr>
                <w:rFonts w:cs="宋体"/>
                <w:sz w:val="18"/>
                <w:szCs w:val="18"/>
              </w:rPr>
            </w:pPr>
            <w:r>
              <w:rPr>
                <w:rFonts w:cs="宋体"/>
                <w:spacing w:val="-2"/>
                <w:sz w:val="18"/>
                <w:szCs w:val="18"/>
              </w:rPr>
              <w:t>年度资金总额</w:t>
            </w:r>
          </w:p>
        </w:tc>
        <w:tc>
          <w:tcPr>
            <w:tcW w:w="1560" w:type="dxa"/>
            <w:vAlign w:val="center"/>
          </w:tcPr>
          <w:p w14:paraId="2103248A">
            <w:pPr>
              <w:jc w:val="center"/>
              <w:rPr>
                <w:rFonts w:ascii="宋体" w:hAnsi="宋体" w:cs="宋体"/>
                <w:sz w:val="18"/>
                <w:szCs w:val="18"/>
              </w:rPr>
            </w:pPr>
            <w:r>
              <w:rPr>
                <w:rFonts w:hint="eastAsia"/>
                <w:sz w:val="18"/>
                <w:szCs w:val="18"/>
              </w:rPr>
              <w:t>1393.93</w:t>
            </w:r>
          </w:p>
        </w:tc>
        <w:tc>
          <w:tcPr>
            <w:tcW w:w="1155" w:type="dxa"/>
            <w:vAlign w:val="center"/>
          </w:tcPr>
          <w:p w14:paraId="7285FBA9">
            <w:pPr>
              <w:jc w:val="center"/>
              <w:rPr>
                <w:rFonts w:ascii="宋体" w:hAnsi="宋体" w:cs="宋体"/>
                <w:sz w:val="18"/>
                <w:szCs w:val="18"/>
              </w:rPr>
            </w:pPr>
            <w:r>
              <w:rPr>
                <w:rFonts w:hint="eastAsia"/>
                <w:sz w:val="18"/>
                <w:szCs w:val="18"/>
              </w:rPr>
              <w:t>1393.93</w:t>
            </w:r>
          </w:p>
        </w:tc>
        <w:tc>
          <w:tcPr>
            <w:tcW w:w="1350" w:type="dxa"/>
            <w:vAlign w:val="center"/>
          </w:tcPr>
          <w:p w14:paraId="6CB7C332">
            <w:pPr>
              <w:jc w:val="center"/>
              <w:rPr>
                <w:rFonts w:ascii="宋体" w:hAnsi="宋体" w:cs="宋体"/>
                <w:sz w:val="18"/>
                <w:szCs w:val="18"/>
              </w:rPr>
            </w:pPr>
            <w:r>
              <w:rPr>
                <w:rFonts w:hint="eastAsia"/>
                <w:sz w:val="18"/>
                <w:szCs w:val="18"/>
              </w:rPr>
              <w:t>1393.93</w:t>
            </w:r>
          </w:p>
        </w:tc>
        <w:tc>
          <w:tcPr>
            <w:tcW w:w="1770" w:type="dxa"/>
          </w:tcPr>
          <w:p w14:paraId="0765C648">
            <w:pPr>
              <w:jc w:val="center"/>
            </w:pPr>
            <w:r>
              <w:rPr>
                <w:rFonts w:hint="eastAsia" w:ascii="宋体" w:hAnsi="宋体" w:cs="宋体"/>
                <w:sz w:val="18"/>
                <w:szCs w:val="18"/>
              </w:rPr>
              <w:t>100.00%</w:t>
            </w:r>
          </w:p>
        </w:tc>
      </w:tr>
      <w:tr w14:paraId="79855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vMerge w:val="continue"/>
            <w:tcBorders>
              <w:top w:val="nil"/>
              <w:bottom w:val="nil"/>
            </w:tcBorders>
          </w:tcPr>
          <w:p w14:paraId="5F93B727"/>
        </w:tc>
        <w:tc>
          <w:tcPr>
            <w:tcW w:w="2355" w:type="dxa"/>
            <w:gridSpan w:val="2"/>
          </w:tcPr>
          <w:p w14:paraId="6814D741">
            <w:pPr>
              <w:spacing w:before="89" w:line="219" w:lineRule="auto"/>
              <w:ind w:left="162"/>
              <w:rPr>
                <w:rFonts w:cs="宋体"/>
                <w:sz w:val="18"/>
                <w:szCs w:val="18"/>
              </w:rPr>
            </w:pPr>
            <w:r>
              <w:rPr>
                <w:rFonts w:cs="宋体"/>
                <w:sz w:val="18"/>
                <w:szCs w:val="18"/>
              </w:rPr>
              <w:t>(一)财政拨款小计</w:t>
            </w:r>
          </w:p>
        </w:tc>
        <w:tc>
          <w:tcPr>
            <w:tcW w:w="1560" w:type="dxa"/>
            <w:vAlign w:val="center"/>
          </w:tcPr>
          <w:p w14:paraId="68255A2D">
            <w:pPr>
              <w:jc w:val="center"/>
              <w:rPr>
                <w:rFonts w:ascii="宋体" w:hAnsi="宋体" w:cs="宋体"/>
                <w:sz w:val="18"/>
                <w:szCs w:val="18"/>
              </w:rPr>
            </w:pPr>
            <w:r>
              <w:rPr>
                <w:rFonts w:hint="eastAsia"/>
                <w:sz w:val="18"/>
                <w:szCs w:val="18"/>
              </w:rPr>
              <w:t>1393.93</w:t>
            </w:r>
          </w:p>
        </w:tc>
        <w:tc>
          <w:tcPr>
            <w:tcW w:w="1155" w:type="dxa"/>
            <w:vAlign w:val="center"/>
          </w:tcPr>
          <w:p w14:paraId="7EE872F9">
            <w:pPr>
              <w:jc w:val="center"/>
              <w:rPr>
                <w:rFonts w:ascii="宋体" w:hAnsi="宋体" w:cs="宋体"/>
                <w:sz w:val="18"/>
                <w:szCs w:val="18"/>
              </w:rPr>
            </w:pPr>
            <w:r>
              <w:rPr>
                <w:rFonts w:hint="eastAsia"/>
                <w:sz w:val="18"/>
                <w:szCs w:val="18"/>
              </w:rPr>
              <w:t>1393.93</w:t>
            </w:r>
          </w:p>
        </w:tc>
        <w:tc>
          <w:tcPr>
            <w:tcW w:w="1350" w:type="dxa"/>
            <w:vAlign w:val="center"/>
          </w:tcPr>
          <w:p w14:paraId="4F1A2CE9">
            <w:pPr>
              <w:jc w:val="center"/>
              <w:rPr>
                <w:rFonts w:ascii="宋体" w:hAnsi="宋体" w:cs="宋体"/>
                <w:sz w:val="18"/>
                <w:szCs w:val="18"/>
              </w:rPr>
            </w:pPr>
            <w:r>
              <w:rPr>
                <w:rFonts w:hint="eastAsia"/>
                <w:sz w:val="18"/>
                <w:szCs w:val="18"/>
              </w:rPr>
              <w:t>1393.93</w:t>
            </w:r>
          </w:p>
        </w:tc>
        <w:tc>
          <w:tcPr>
            <w:tcW w:w="1770" w:type="dxa"/>
          </w:tcPr>
          <w:p w14:paraId="1BEC2C95">
            <w:pPr>
              <w:jc w:val="center"/>
            </w:pPr>
            <w:r>
              <w:rPr>
                <w:rFonts w:hint="eastAsia" w:ascii="宋体" w:hAnsi="宋体" w:cs="宋体"/>
                <w:sz w:val="18"/>
                <w:szCs w:val="18"/>
              </w:rPr>
              <w:t>100.00%</w:t>
            </w:r>
          </w:p>
        </w:tc>
      </w:tr>
      <w:tr w14:paraId="4C9A9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vMerge w:val="continue"/>
            <w:tcBorders>
              <w:top w:val="nil"/>
              <w:bottom w:val="nil"/>
            </w:tcBorders>
          </w:tcPr>
          <w:p w14:paraId="754C289E"/>
        </w:tc>
        <w:tc>
          <w:tcPr>
            <w:tcW w:w="2355" w:type="dxa"/>
            <w:gridSpan w:val="2"/>
          </w:tcPr>
          <w:p w14:paraId="7EA259BF">
            <w:pPr>
              <w:spacing w:before="90" w:line="219" w:lineRule="auto"/>
              <w:ind w:left="162"/>
              <w:rPr>
                <w:rFonts w:cs="宋体"/>
                <w:sz w:val="18"/>
                <w:szCs w:val="18"/>
              </w:rPr>
            </w:pPr>
            <w:r>
              <w:rPr>
                <w:rFonts w:cs="宋体"/>
                <w:spacing w:val="1"/>
                <w:sz w:val="18"/>
                <w:szCs w:val="18"/>
              </w:rPr>
              <w:t>1.一般公共预算</w:t>
            </w:r>
          </w:p>
        </w:tc>
        <w:tc>
          <w:tcPr>
            <w:tcW w:w="1560" w:type="dxa"/>
            <w:vAlign w:val="center"/>
          </w:tcPr>
          <w:p w14:paraId="7850FC12">
            <w:pPr>
              <w:jc w:val="center"/>
              <w:rPr>
                <w:rFonts w:ascii="宋体" w:hAnsi="宋体" w:cs="宋体"/>
                <w:sz w:val="18"/>
                <w:szCs w:val="18"/>
              </w:rPr>
            </w:pPr>
            <w:r>
              <w:rPr>
                <w:rFonts w:hint="eastAsia"/>
                <w:sz w:val="18"/>
                <w:szCs w:val="18"/>
              </w:rPr>
              <w:t>1393.93</w:t>
            </w:r>
          </w:p>
        </w:tc>
        <w:tc>
          <w:tcPr>
            <w:tcW w:w="1155" w:type="dxa"/>
            <w:vAlign w:val="center"/>
          </w:tcPr>
          <w:p w14:paraId="58AD25FB">
            <w:pPr>
              <w:jc w:val="center"/>
              <w:rPr>
                <w:rFonts w:ascii="宋体" w:hAnsi="宋体" w:cs="宋体"/>
                <w:sz w:val="18"/>
                <w:szCs w:val="18"/>
              </w:rPr>
            </w:pPr>
            <w:r>
              <w:rPr>
                <w:rFonts w:hint="eastAsia"/>
                <w:sz w:val="18"/>
                <w:szCs w:val="18"/>
              </w:rPr>
              <w:t>1393.93</w:t>
            </w:r>
          </w:p>
        </w:tc>
        <w:tc>
          <w:tcPr>
            <w:tcW w:w="1350" w:type="dxa"/>
            <w:vAlign w:val="center"/>
          </w:tcPr>
          <w:p w14:paraId="28F63BE8">
            <w:pPr>
              <w:jc w:val="center"/>
              <w:rPr>
                <w:rFonts w:ascii="宋体" w:hAnsi="宋体" w:cs="宋体"/>
                <w:sz w:val="18"/>
                <w:szCs w:val="18"/>
              </w:rPr>
            </w:pPr>
            <w:r>
              <w:rPr>
                <w:rFonts w:hint="eastAsia"/>
                <w:sz w:val="18"/>
                <w:szCs w:val="18"/>
              </w:rPr>
              <w:t>1393.93</w:t>
            </w:r>
          </w:p>
        </w:tc>
        <w:tc>
          <w:tcPr>
            <w:tcW w:w="1770" w:type="dxa"/>
          </w:tcPr>
          <w:p w14:paraId="250EC6FC">
            <w:pPr>
              <w:jc w:val="center"/>
            </w:pPr>
            <w:r>
              <w:rPr>
                <w:rFonts w:hint="eastAsia" w:ascii="宋体" w:hAnsi="宋体" w:cs="宋体"/>
                <w:sz w:val="18"/>
                <w:szCs w:val="18"/>
              </w:rPr>
              <w:t>100.00%</w:t>
            </w:r>
          </w:p>
        </w:tc>
      </w:tr>
      <w:tr w14:paraId="7B790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vMerge w:val="continue"/>
            <w:tcBorders>
              <w:top w:val="nil"/>
              <w:bottom w:val="nil"/>
            </w:tcBorders>
          </w:tcPr>
          <w:p w14:paraId="5C12CB32"/>
        </w:tc>
        <w:tc>
          <w:tcPr>
            <w:tcW w:w="2355" w:type="dxa"/>
            <w:gridSpan w:val="2"/>
          </w:tcPr>
          <w:p w14:paraId="5A8F8FC9">
            <w:pPr>
              <w:spacing w:before="99" w:line="219" w:lineRule="auto"/>
              <w:ind w:left="162"/>
              <w:rPr>
                <w:rFonts w:cs="宋体"/>
                <w:sz w:val="18"/>
                <w:szCs w:val="18"/>
              </w:rPr>
            </w:pPr>
            <w:r>
              <w:rPr>
                <w:rFonts w:cs="宋体"/>
                <w:spacing w:val="-2"/>
                <w:sz w:val="18"/>
                <w:szCs w:val="18"/>
              </w:rPr>
              <w:t>2.政府性基金</w:t>
            </w:r>
          </w:p>
        </w:tc>
        <w:tc>
          <w:tcPr>
            <w:tcW w:w="1560" w:type="dxa"/>
            <w:vAlign w:val="center"/>
          </w:tcPr>
          <w:p w14:paraId="7A4C24B9">
            <w:pPr>
              <w:rPr>
                <w:rFonts w:cs="宋体"/>
                <w:spacing w:val="1"/>
                <w:sz w:val="18"/>
                <w:szCs w:val="18"/>
              </w:rPr>
            </w:pPr>
          </w:p>
        </w:tc>
        <w:tc>
          <w:tcPr>
            <w:tcW w:w="1155" w:type="dxa"/>
            <w:vAlign w:val="center"/>
          </w:tcPr>
          <w:p w14:paraId="61914725">
            <w:pPr>
              <w:jc w:val="center"/>
              <w:textAlignment w:val="center"/>
              <w:rPr>
                <w:rFonts w:cs="宋体"/>
                <w:spacing w:val="1"/>
                <w:sz w:val="18"/>
                <w:szCs w:val="18"/>
              </w:rPr>
            </w:pPr>
          </w:p>
        </w:tc>
        <w:tc>
          <w:tcPr>
            <w:tcW w:w="1350" w:type="dxa"/>
            <w:vAlign w:val="center"/>
          </w:tcPr>
          <w:p w14:paraId="29F3F2FA">
            <w:pPr>
              <w:jc w:val="center"/>
              <w:textAlignment w:val="center"/>
              <w:rPr>
                <w:rFonts w:cs="宋体"/>
                <w:spacing w:val="1"/>
                <w:sz w:val="18"/>
                <w:szCs w:val="18"/>
              </w:rPr>
            </w:pPr>
          </w:p>
        </w:tc>
        <w:tc>
          <w:tcPr>
            <w:tcW w:w="1770" w:type="dxa"/>
            <w:vAlign w:val="center"/>
          </w:tcPr>
          <w:p w14:paraId="38B47F90">
            <w:pPr>
              <w:jc w:val="center"/>
              <w:textAlignment w:val="center"/>
              <w:rPr>
                <w:rFonts w:cs="宋体"/>
                <w:spacing w:val="1"/>
                <w:sz w:val="18"/>
                <w:szCs w:val="18"/>
              </w:rPr>
            </w:pPr>
          </w:p>
        </w:tc>
      </w:tr>
      <w:tr w14:paraId="1307B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vMerge w:val="continue"/>
            <w:tcBorders>
              <w:top w:val="nil"/>
              <w:bottom w:val="nil"/>
            </w:tcBorders>
          </w:tcPr>
          <w:p w14:paraId="26BD24E5"/>
        </w:tc>
        <w:tc>
          <w:tcPr>
            <w:tcW w:w="2355" w:type="dxa"/>
            <w:gridSpan w:val="2"/>
          </w:tcPr>
          <w:p w14:paraId="60EC255D">
            <w:pPr>
              <w:spacing w:before="129" w:line="219" w:lineRule="auto"/>
              <w:ind w:left="162"/>
              <w:rPr>
                <w:rFonts w:cs="宋体"/>
                <w:sz w:val="18"/>
                <w:szCs w:val="18"/>
              </w:rPr>
            </w:pPr>
            <w:r>
              <w:rPr>
                <w:rFonts w:cs="宋体"/>
                <w:spacing w:val="-1"/>
                <w:sz w:val="18"/>
                <w:szCs w:val="18"/>
              </w:rPr>
              <w:t>3.国有资本经营预算</w:t>
            </w:r>
          </w:p>
        </w:tc>
        <w:tc>
          <w:tcPr>
            <w:tcW w:w="1560" w:type="dxa"/>
          </w:tcPr>
          <w:p w14:paraId="10E8F4B6"/>
        </w:tc>
        <w:tc>
          <w:tcPr>
            <w:tcW w:w="1155" w:type="dxa"/>
          </w:tcPr>
          <w:p w14:paraId="36E08054"/>
        </w:tc>
        <w:tc>
          <w:tcPr>
            <w:tcW w:w="1350" w:type="dxa"/>
          </w:tcPr>
          <w:p w14:paraId="2ADDF9BE"/>
        </w:tc>
        <w:tc>
          <w:tcPr>
            <w:tcW w:w="1770" w:type="dxa"/>
          </w:tcPr>
          <w:p w14:paraId="792D4879">
            <w:pPr>
              <w:spacing w:before="90" w:line="219" w:lineRule="auto"/>
              <w:ind w:left="162"/>
              <w:jc w:val="center"/>
            </w:pPr>
          </w:p>
        </w:tc>
      </w:tr>
      <w:tr w14:paraId="71FC3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vMerge w:val="continue"/>
            <w:tcBorders>
              <w:top w:val="nil"/>
              <w:bottom w:val="nil"/>
            </w:tcBorders>
          </w:tcPr>
          <w:p w14:paraId="747E5F43"/>
        </w:tc>
        <w:tc>
          <w:tcPr>
            <w:tcW w:w="2355" w:type="dxa"/>
            <w:gridSpan w:val="2"/>
          </w:tcPr>
          <w:p w14:paraId="585AE731">
            <w:pPr>
              <w:spacing w:before="91" w:line="219" w:lineRule="auto"/>
              <w:ind w:left="162"/>
              <w:rPr>
                <w:rFonts w:cs="宋体"/>
                <w:sz w:val="18"/>
                <w:szCs w:val="18"/>
              </w:rPr>
            </w:pPr>
            <w:r>
              <w:rPr>
                <w:rFonts w:cs="宋体"/>
                <w:spacing w:val="-1"/>
                <w:sz w:val="18"/>
                <w:szCs w:val="18"/>
              </w:rPr>
              <w:t>4.社保基金</w:t>
            </w:r>
          </w:p>
        </w:tc>
        <w:tc>
          <w:tcPr>
            <w:tcW w:w="1560" w:type="dxa"/>
          </w:tcPr>
          <w:p w14:paraId="69B647E6"/>
        </w:tc>
        <w:tc>
          <w:tcPr>
            <w:tcW w:w="1155" w:type="dxa"/>
          </w:tcPr>
          <w:p w14:paraId="108C08D6"/>
        </w:tc>
        <w:tc>
          <w:tcPr>
            <w:tcW w:w="1350" w:type="dxa"/>
          </w:tcPr>
          <w:p w14:paraId="6D03AC94"/>
        </w:tc>
        <w:tc>
          <w:tcPr>
            <w:tcW w:w="1770" w:type="dxa"/>
          </w:tcPr>
          <w:p w14:paraId="3232188D"/>
        </w:tc>
      </w:tr>
      <w:tr w14:paraId="1A509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1506" w:type="dxa"/>
            <w:gridSpan w:val="2"/>
            <w:vMerge w:val="continue"/>
            <w:tcBorders>
              <w:top w:val="nil"/>
            </w:tcBorders>
          </w:tcPr>
          <w:p w14:paraId="2C4C549B"/>
        </w:tc>
        <w:tc>
          <w:tcPr>
            <w:tcW w:w="2355" w:type="dxa"/>
            <w:gridSpan w:val="2"/>
          </w:tcPr>
          <w:p w14:paraId="11B369B0">
            <w:pPr>
              <w:spacing w:before="93" w:line="220" w:lineRule="auto"/>
              <w:ind w:left="162"/>
              <w:rPr>
                <w:rFonts w:cs="宋体"/>
                <w:sz w:val="18"/>
                <w:szCs w:val="18"/>
              </w:rPr>
            </w:pPr>
            <w:r>
              <w:rPr>
                <w:rFonts w:cs="宋体"/>
                <w:spacing w:val="1"/>
                <w:sz w:val="18"/>
                <w:szCs w:val="18"/>
              </w:rPr>
              <w:t>(二)其他资金</w:t>
            </w:r>
          </w:p>
        </w:tc>
        <w:tc>
          <w:tcPr>
            <w:tcW w:w="1560" w:type="dxa"/>
          </w:tcPr>
          <w:p w14:paraId="63DB33A8">
            <w:pPr>
              <w:jc w:val="center"/>
            </w:pPr>
          </w:p>
        </w:tc>
        <w:tc>
          <w:tcPr>
            <w:tcW w:w="1155" w:type="dxa"/>
          </w:tcPr>
          <w:p w14:paraId="057EF501">
            <w:pPr>
              <w:jc w:val="center"/>
            </w:pPr>
          </w:p>
        </w:tc>
        <w:tc>
          <w:tcPr>
            <w:tcW w:w="1350" w:type="dxa"/>
          </w:tcPr>
          <w:p w14:paraId="320753BE">
            <w:pPr>
              <w:jc w:val="center"/>
            </w:pPr>
          </w:p>
        </w:tc>
        <w:tc>
          <w:tcPr>
            <w:tcW w:w="1770" w:type="dxa"/>
          </w:tcPr>
          <w:p w14:paraId="0A9901DD">
            <w:pPr>
              <w:jc w:val="center"/>
            </w:pPr>
          </w:p>
        </w:tc>
      </w:tr>
      <w:tr w14:paraId="32DD2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666" w:type="dxa"/>
            <w:vMerge w:val="restart"/>
            <w:tcBorders>
              <w:bottom w:val="nil"/>
            </w:tcBorders>
          </w:tcPr>
          <w:p w14:paraId="2EF090E6">
            <w:pPr>
              <w:spacing w:line="423" w:lineRule="auto"/>
            </w:pPr>
          </w:p>
          <w:p w14:paraId="10D2A0E1">
            <w:pPr>
              <w:spacing w:before="59" w:line="235" w:lineRule="auto"/>
              <w:ind w:left="204"/>
              <w:rPr>
                <w:rFonts w:cs="宋体"/>
                <w:sz w:val="18"/>
                <w:szCs w:val="18"/>
              </w:rPr>
            </w:pPr>
            <w:r>
              <w:rPr>
                <w:rFonts w:cs="宋体"/>
                <w:spacing w:val="-2"/>
                <w:sz w:val="18"/>
                <w:szCs w:val="18"/>
              </w:rPr>
              <w:t>整体</w:t>
            </w:r>
          </w:p>
          <w:p w14:paraId="7C8FF13A">
            <w:pPr>
              <w:spacing w:line="220" w:lineRule="auto"/>
              <w:ind w:left="204"/>
              <w:rPr>
                <w:rFonts w:cs="宋体"/>
                <w:sz w:val="18"/>
                <w:szCs w:val="18"/>
              </w:rPr>
            </w:pPr>
            <w:r>
              <w:rPr>
                <w:rFonts w:cs="宋体"/>
                <w:spacing w:val="7"/>
                <w:sz w:val="18"/>
                <w:szCs w:val="18"/>
              </w:rPr>
              <w:t>目标</w:t>
            </w:r>
          </w:p>
        </w:tc>
        <w:tc>
          <w:tcPr>
            <w:tcW w:w="5910" w:type="dxa"/>
            <w:gridSpan w:val="5"/>
          </w:tcPr>
          <w:p w14:paraId="57039F26">
            <w:pPr>
              <w:spacing w:before="223" w:line="219" w:lineRule="auto"/>
              <w:ind w:left="2501"/>
              <w:rPr>
                <w:rFonts w:cs="宋体"/>
                <w:sz w:val="18"/>
                <w:szCs w:val="18"/>
              </w:rPr>
            </w:pPr>
            <w:r>
              <w:rPr>
                <w:rFonts w:cs="宋体"/>
                <w:spacing w:val="-2"/>
                <w:sz w:val="18"/>
                <w:szCs w:val="18"/>
              </w:rPr>
              <w:t>年度目标</w:t>
            </w:r>
          </w:p>
        </w:tc>
        <w:tc>
          <w:tcPr>
            <w:tcW w:w="3120" w:type="dxa"/>
            <w:gridSpan w:val="2"/>
          </w:tcPr>
          <w:p w14:paraId="145D01F6">
            <w:pPr>
              <w:spacing w:before="223" w:line="219" w:lineRule="auto"/>
              <w:ind w:left="996"/>
              <w:rPr>
                <w:rFonts w:cs="宋体"/>
                <w:sz w:val="18"/>
                <w:szCs w:val="18"/>
              </w:rPr>
            </w:pPr>
            <w:r>
              <w:rPr>
                <w:rFonts w:cs="宋体"/>
                <w:spacing w:val="-2"/>
                <w:sz w:val="18"/>
                <w:szCs w:val="18"/>
              </w:rPr>
              <w:t>完成情况</w:t>
            </w:r>
          </w:p>
        </w:tc>
      </w:tr>
      <w:tr w14:paraId="02DC7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9" w:hRule="atLeast"/>
        </w:trPr>
        <w:tc>
          <w:tcPr>
            <w:tcW w:w="666" w:type="dxa"/>
            <w:vMerge w:val="continue"/>
            <w:tcBorders>
              <w:top w:val="nil"/>
            </w:tcBorders>
          </w:tcPr>
          <w:p w14:paraId="5332CDBB"/>
        </w:tc>
        <w:tc>
          <w:tcPr>
            <w:tcW w:w="5910" w:type="dxa"/>
            <w:gridSpan w:val="5"/>
          </w:tcPr>
          <w:p w14:paraId="4164B776">
            <w:pPr>
              <w:ind w:firstLine="380" w:firstLineChars="200"/>
            </w:pPr>
            <w:r>
              <w:rPr>
                <w:rFonts w:hint="eastAsia" w:eastAsia="Helvetica" w:cs="Helvetica"/>
                <w:sz w:val="19"/>
                <w:szCs w:val="19"/>
                <w:shd w:val="clear" w:color="auto" w:fill="FFFFFF"/>
              </w:rPr>
              <w:t>深入学习贯彻市区第八次党代会精神，坚决落实中央、省委、市委及区委的各项部署安排，紧紧围绕区委“四城新区”建设，聚焦产业发展、两项改革“后半篇”文章、招商引资、基层治理、民生改善、从严治党等重点工作，推动王家镇再上新台阶。一是完成区级各项目标任务；二是保障在职干部、临聘人员、退休干部、村（社区）干部的工资、保险、目标奖、生活补助和日常正常运转；三是做好基层组织活动和公共运行维护工作；四是文化的保护和维修工作；五是做好预备役征兵保障工作；六是做好农村税费改革农村税收工作；七是做好场镇环境卫生、路灯管理、人大等相关工作。服务对象覆盖镇域内所有村社区，群众满意度达到95%以上。</w:t>
            </w:r>
          </w:p>
        </w:tc>
        <w:tc>
          <w:tcPr>
            <w:tcW w:w="3120" w:type="dxa"/>
            <w:gridSpan w:val="2"/>
          </w:tcPr>
          <w:p w14:paraId="4837F814">
            <w:pPr>
              <w:ind w:firstLine="380" w:firstLineChars="200"/>
            </w:pPr>
            <w:r>
              <w:rPr>
                <w:rFonts w:hint="eastAsia" w:eastAsia="Helvetica" w:cs="Helvetica"/>
                <w:sz w:val="19"/>
                <w:szCs w:val="19"/>
                <w:shd w:val="clear" w:color="auto" w:fill="FFFFFF"/>
              </w:rPr>
              <w:t>深入学习贯彻市区第八次党代会精神，坚决落实中央、省委、市委及区委的各项部署安排，紧紧围绕区委“四城新区”建设，聚焦产业发展、两项改革“后半篇”文章、招商引资、基层治理、民生改善、从严治党等重点工作，推动王家镇再上新台阶。一是完成区级各项目标任务；二是保障在职干部、临聘人员、退休干部、村（社区）干部的工资、保险、目标奖、生活补助和日常正常运转；三是做好基层组织活动和公共运行维护工作；四是文化的保护和维修工作；五是做好预备役征兵保障工作；六是做好农村税费改革农村税收工作；七是做好场镇环境卫生、路灯管理、人大等相关工作。服务对象覆盖镇域内所有村社区，群众满意度达到95%以上。</w:t>
            </w:r>
          </w:p>
        </w:tc>
      </w:tr>
      <w:tr w14:paraId="5283D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66" w:type="dxa"/>
            <w:vMerge w:val="restart"/>
            <w:tcBorders>
              <w:top w:val="single" w:color="auto" w:sz="4" w:space="0"/>
              <w:left w:val="single" w:color="auto" w:sz="4" w:space="0"/>
              <w:bottom w:val="single" w:color="auto" w:sz="4" w:space="0"/>
              <w:right w:val="single" w:color="auto" w:sz="4" w:space="0"/>
            </w:tcBorders>
          </w:tcPr>
          <w:p w14:paraId="60ADB3A2">
            <w:pPr>
              <w:spacing w:line="256" w:lineRule="auto"/>
            </w:pPr>
          </w:p>
          <w:p w14:paraId="74BE0967">
            <w:pPr>
              <w:spacing w:line="256" w:lineRule="auto"/>
            </w:pPr>
          </w:p>
          <w:p w14:paraId="4BD6C153">
            <w:pPr>
              <w:spacing w:line="256" w:lineRule="auto"/>
            </w:pPr>
          </w:p>
          <w:p w14:paraId="3B294328">
            <w:pPr>
              <w:spacing w:line="256" w:lineRule="auto"/>
            </w:pPr>
          </w:p>
          <w:p w14:paraId="454E7C15">
            <w:pPr>
              <w:spacing w:line="256" w:lineRule="auto"/>
            </w:pPr>
          </w:p>
          <w:p w14:paraId="261D22CB">
            <w:pPr>
              <w:spacing w:line="256" w:lineRule="auto"/>
            </w:pPr>
          </w:p>
          <w:p w14:paraId="7597CAA9">
            <w:pPr>
              <w:spacing w:line="256" w:lineRule="auto"/>
            </w:pPr>
          </w:p>
          <w:p w14:paraId="3F6E8B92">
            <w:pPr>
              <w:spacing w:line="256" w:lineRule="auto"/>
            </w:pPr>
          </w:p>
          <w:p w14:paraId="0B4705B4">
            <w:pPr>
              <w:spacing w:line="256" w:lineRule="auto"/>
            </w:pPr>
          </w:p>
          <w:p w14:paraId="4D121F17">
            <w:pPr>
              <w:spacing w:line="256" w:lineRule="auto"/>
            </w:pPr>
          </w:p>
          <w:p w14:paraId="1613B839">
            <w:pPr>
              <w:spacing w:line="256" w:lineRule="auto"/>
            </w:pPr>
          </w:p>
          <w:p w14:paraId="3E4C7A72">
            <w:pPr>
              <w:spacing w:line="257" w:lineRule="auto"/>
            </w:pPr>
          </w:p>
          <w:p w14:paraId="4A4077A1">
            <w:pPr>
              <w:spacing w:line="257" w:lineRule="auto"/>
            </w:pPr>
          </w:p>
          <w:p w14:paraId="7051D088">
            <w:pPr>
              <w:spacing w:line="257" w:lineRule="auto"/>
            </w:pPr>
          </w:p>
          <w:p w14:paraId="39DE2D78">
            <w:pPr>
              <w:spacing w:before="55" w:line="241" w:lineRule="auto"/>
              <w:ind w:left="75"/>
              <w:rPr>
                <w:rFonts w:cs="宋体"/>
                <w:sz w:val="17"/>
                <w:szCs w:val="17"/>
              </w:rPr>
            </w:pPr>
            <w:r>
              <w:rPr>
                <w:rFonts w:cs="宋体"/>
                <w:spacing w:val="4"/>
                <w:sz w:val="17"/>
                <w:szCs w:val="17"/>
              </w:rPr>
              <w:t>部门整体绩效指标</w:t>
            </w:r>
          </w:p>
        </w:tc>
        <w:tc>
          <w:tcPr>
            <w:tcW w:w="840" w:type="dxa"/>
            <w:tcBorders>
              <w:top w:val="single" w:color="auto" w:sz="4" w:space="0"/>
              <w:left w:val="single" w:color="auto" w:sz="4" w:space="0"/>
              <w:bottom w:val="single" w:color="auto" w:sz="4" w:space="0"/>
              <w:right w:val="single" w:color="auto" w:sz="4" w:space="0"/>
            </w:tcBorders>
          </w:tcPr>
          <w:p w14:paraId="6B0F5A91">
            <w:pPr>
              <w:spacing w:before="176" w:line="220" w:lineRule="auto"/>
              <w:ind w:left="81"/>
              <w:jc w:val="center"/>
              <w:rPr>
                <w:rFonts w:cs="宋体"/>
                <w:sz w:val="18"/>
                <w:szCs w:val="18"/>
              </w:rPr>
            </w:pPr>
            <w:r>
              <w:rPr>
                <w:rFonts w:cs="宋体"/>
                <w:spacing w:val="-2"/>
                <w:sz w:val="18"/>
                <w:szCs w:val="18"/>
              </w:rPr>
              <w:t>一级指标</w:t>
            </w:r>
          </w:p>
        </w:tc>
        <w:tc>
          <w:tcPr>
            <w:tcW w:w="1350" w:type="dxa"/>
            <w:tcBorders>
              <w:top w:val="single" w:color="auto" w:sz="4" w:space="0"/>
              <w:left w:val="single" w:color="auto" w:sz="4" w:space="0"/>
              <w:bottom w:val="single" w:color="auto" w:sz="4" w:space="0"/>
              <w:right w:val="single" w:color="auto" w:sz="4" w:space="0"/>
            </w:tcBorders>
          </w:tcPr>
          <w:p w14:paraId="4B769741">
            <w:pPr>
              <w:spacing w:before="176" w:line="220" w:lineRule="auto"/>
              <w:ind w:left="191"/>
              <w:jc w:val="center"/>
              <w:rPr>
                <w:rFonts w:cs="宋体"/>
                <w:sz w:val="18"/>
                <w:szCs w:val="18"/>
              </w:rPr>
            </w:pPr>
            <w:r>
              <w:rPr>
                <w:rFonts w:cs="宋体"/>
                <w:spacing w:val="-2"/>
                <w:sz w:val="18"/>
                <w:szCs w:val="18"/>
              </w:rPr>
              <w:t>二级指标</w:t>
            </w:r>
          </w:p>
        </w:tc>
        <w:tc>
          <w:tcPr>
            <w:tcW w:w="2565" w:type="dxa"/>
            <w:gridSpan w:val="2"/>
            <w:tcBorders>
              <w:top w:val="single" w:color="auto" w:sz="4" w:space="0"/>
              <w:left w:val="single" w:color="auto" w:sz="4" w:space="0"/>
              <w:bottom w:val="single" w:color="auto" w:sz="4" w:space="0"/>
              <w:right w:val="single" w:color="auto" w:sz="4" w:space="0"/>
            </w:tcBorders>
          </w:tcPr>
          <w:p w14:paraId="4AEABB64">
            <w:pPr>
              <w:spacing w:before="176" w:line="220" w:lineRule="auto"/>
              <w:ind w:left="833"/>
              <w:jc w:val="center"/>
              <w:rPr>
                <w:rFonts w:cs="宋体"/>
                <w:sz w:val="18"/>
                <w:szCs w:val="18"/>
              </w:rPr>
            </w:pPr>
            <w:r>
              <w:rPr>
                <w:rFonts w:cs="宋体"/>
                <w:spacing w:val="-2"/>
                <w:sz w:val="18"/>
                <w:szCs w:val="18"/>
              </w:rPr>
              <w:t>三级指标</w:t>
            </w:r>
          </w:p>
        </w:tc>
        <w:tc>
          <w:tcPr>
            <w:tcW w:w="1155" w:type="dxa"/>
            <w:tcBorders>
              <w:left w:val="single" w:color="auto" w:sz="4" w:space="0"/>
            </w:tcBorders>
          </w:tcPr>
          <w:p w14:paraId="37E46358">
            <w:pPr>
              <w:spacing w:before="175" w:line="219" w:lineRule="auto"/>
              <w:ind w:left="224"/>
              <w:jc w:val="center"/>
              <w:rPr>
                <w:rFonts w:cs="宋体"/>
                <w:sz w:val="18"/>
                <w:szCs w:val="18"/>
              </w:rPr>
            </w:pPr>
            <w:r>
              <w:rPr>
                <w:rFonts w:cs="宋体"/>
                <w:spacing w:val="-2"/>
                <w:sz w:val="18"/>
                <w:szCs w:val="18"/>
              </w:rPr>
              <w:t>年度指标值</w:t>
            </w:r>
          </w:p>
        </w:tc>
        <w:tc>
          <w:tcPr>
            <w:tcW w:w="1350" w:type="dxa"/>
          </w:tcPr>
          <w:p w14:paraId="17D5207E">
            <w:pPr>
              <w:spacing w:before="175" w:line="219" w:lineRule="auto"/>
              <w:ind w:left="287"/>
              <w:jc w:val="center"/>
              <w:rPr>
                <w:rFonts w:cs="宋体"/>
                <w:sz w:val="18"/>
                <w:szCs w:val="18"/>
              </w:rPr>
            </w:pPr>
            <w:r>
              <w:rPr>
                <w:rFonts w:cs="宋体"/>
                <w:spacing w:val="-2"/>
                <w:sz w:val="18"/>
                <w:szCs w:val="18"/>
              </w:rPr>
              <w:t>实际完成值</w:t>
            </w:r>
          </w:p>
        </w:tc>
        <w:tc>
          <w:tcPr>
            <w:tcW w:w="1770" w:type="dxa"/>
          </w:tcPr>
          <w:p w14:paraId="62C1F617">
            <w:pPr>
              <w:spacing w:before="85" w:line="236" w:lineRule="auto"/>
              <w:ind w:left="326" w:hanging="247"/>
              <w:jc w:val="center"/>
              <w:rPr>
                <w:rFonts w:cs="宋体"/>
                <w:spacing w:val="-2"/>
                <w:sz w:val="18"/>
                <w:szCs w:val="18"/>
              </w:rPr>
            </w:pPr>
            <w:r>
              <w:rPr>
                <w:rFonts w:cs="宋体"/>
                <w:spacing w:val="-2"/>
                <w:sz w:val="18"/>
                <w:szCs w:val="18"/>
              </w:rPr>
              <w:t>偏差原因分析及</w:t>
            </w:r>
          </w:p>
          <w:p w14:paraId="7CE189A1">
            <w:pPr>
              <w:spacing w:before="85" w:line="236" w:lineRule="auto"/>
              <w:ind w:left="326" w:hanging="247"/>
              <w:jc w:val="center"/>
              <w:rPr>
                <w:rFonts w:cs="宋体"/>
                <w:sz w:val="17"/>
                <w:szCs w:val="17"/>
              </w:rPr>
            </w:pPr>
            <w:r>
              <w:rPr>
                <w:rFonts w:cs="宋体"/>
                <w:spacing w:val="-2"/>
                <w:sz w:val="18"/>
                <w:szCs w:val="18"/>
              </w:rPr>
              <w:t>改进措施</w:t>
            </w:r>
          </w:p>
        </w:tc>
      </w:tr>
      <w:tr w14:paraId="67238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15758D32"/>
        </w:tc>
        <w:tc>
          <w:tcPr>
            <w:tcW w:w="840" w:type="dxa"/>
            <w:vMerge w:val="restart"/>
            <w:tcBorders>
              <w:top w:val="single" w:color="auto" w:sz="4" w:space="0"/>
              <w:left w:val="single" w:color="auto" w:sz="4" w:space="0"/>
              <w:right w:val="single" w:color="auto" w:sz="4" w:space="0"/>
            </w:tcBorders>
            <w:vAlign w:val="center"/>
          </w:tcPr>
          <w:p w14:paraId="3D9E5256">
            <w:pPr>
              <w:spacing w:line="267" w:lineRule="auto"/>
            </w:pPr>
          </w:p>
          <w:p w14:paraId="3F41EE25">
            <w:pPr>
              <w:spacing w:before="58" w:line="219" w:lineRule="auto"/>
              <w:ind w:left="81"/>
              <w:jc w:val="center"/>
              <w:rPr>
                <w:rFonts w:cs="宋体"/>
                <w:sz w:val="18"/>
                <w:szCs w:val="18"/>
              </w:rPr>
            </w:pPr>
            <w:r>
              <w:rPr>
                <w:rFonts w:cs="宋体"/>
                <w:spacing w:val="-2"/>
                <w:sz w:val="18"/>
                <w:szCs w:val="18"/>
              </w:rPr>
              <w:t>产出指标</w:t>
            </w:r>
          </w:p>
        </w:tc>
        <w:tc>
          <w:tcPr>
            <w:tcW w:w="1350" w:type="dxa"/>
            <w:vMerge w:val="restart"/>
            <w:tcBorders>
              <w:top w:val="single" w:color="auto" w:sz="4" w:space="0"/>
              <w:left w:val="single" w:color="auto" w:sz="4" w:space="0"/>
              <w:right w:val="single" w:color="auto" w:sz="4" w:space="0"/>
            </w:tcBorders>
          </w:tcPr>
          <w:p w14:paraId="30A96A1E">
            <w:pPr>
              <w:spacing w:before="116" w:line="218" w:lineRule="auto"/>
              <w:ind w:left="371" w:right="215" w:hanging="180"/>
              <w:jc w:val="center"/>
              <w:rPr>
                <w:rFonts w:cs="宋体"/>
                <w:spacing w:val="-3"/>
                <w:sz w:val="18"/>
                <w:szCs w:val="18"/>
              </w:rPr>
            </w:pPr>
          </w:p>
          <w:p w14:paraId="71CF3DA5">
            <w:pPr>
              <w:spacing w:before="116" w:line="218" w:lineRule="auto"/>
              <w:ind w:left="371" w:right="215" w:hanging="180"/>
              <w:jc w:val="center"/>
              <w:rPr>
                <w:rFonts w:cs="宋体"/>
                <w:spacing w:val="-3"/>
                <w:sz w:val="18"/>
                <w:szCs w:val="18"/>
              </w:rPr>
            </w:pPr>
            <w:r>
              <w:rPr>
                <w:rFonts w:cs="宋体"/>
                <w:spacing w:val="-3"/>
                <w:sz w:val="18"/>
                <w:szCs w:val="18"/>
              </w:rPr>
              <w:t>数量指标</w:t>
            </w: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6CD4F7E0">
            <w:pPr>
              <w:jc w:val="center"/>
              <w:textAlignment w:val="center"/>
              <w:rPr>
                <w:rFonts w:cs="宋体"/>
                <w:spacing w:val="-3"/>
                <w:sz w:val="18"/>
                <w:szCs w:val="18"/>
              </w:rPr>
            </w:pPr>
            <w:r>
              <w:rPr>
                <w:rFonts w:hint="eastAsia" w:ascii="宋体" w:hAnsi="宋体" w:cs="宋体"/>
                <w:sz w:val="18"/>
                <w:szCs w:val="18"/>
              </w:rPr>
              <w:t>保证政府人员日常开支正常运行人数</w:t>
            </w:r>
          </w:p>
        </w:tc>
        <w:tc>
          <w:tcPr>
            <w:tcW w:w="1155" w:type="dxa"/>
            <w:tcBorders>
              <w:left w:val="single" w:color="auto" w:sz="4" w:space="0"/>
            </w:tcBorders>
            <w:vAlign w:val="center"/>
          </w:tcPr>
          <w:p w14:paraId="54F00046">
            <w:pPr>
              <w:jc w:val="center"/>
              <w:textAlignment w:val="center"/>
              <w:rPr>
                <w:rFonts w:cs="宋体"/>
                <w:spacing w:val="-3"/>
                <w:sz w:val="18"/>
                <w:szCs w:val="18"/>
              </w:rPr>
            </w:pPr>
            <w:r>
              <w:rPr>
                <w:rFonts w:hint="eastAsia" w:ascii="宋体" w:hAnsi="宋体" w:cs="宋体"/>
                <w:sz w:val="18"/>
                <w:szCs w:val="18"/>
              </w:rPr>
              <w:t>=56人</w:t>
            </w:r>
          </w:p>
        </w:tc>
        <w:tc>
          <w:tcPr>
            <w:tcW w:w="1350" w:type="dxa"/>
            <w:vAlign w:val="center"/>
          </w:tcPr>
          <w:p w14:paraId="7DED0BA3">
            <w:pPr>
              <w:jc w:val="center"/>
              <w:textAlignment w:val="center"/>
              <w:rPr>
                <w:rFonts w:cs="宋体"/>
                <w:spacing w:val="-3"/>
                <w:sz w:val="18"/>
                <w:szCs w:val="18"/>
              </w:rPr>
            </w:pPr>
            <w:r>
              <w:rPr>
                <w:rFonts w:hint="eastAsia" w:ascii="宋体" w:hAnsi="宋体" w:cs="宋体"/>
                <w:sz w:val="18"/>
                <w:szCs w:val="18"/>
              </w:rPr>
              <w:t>56人</w:t>
            </w:r>
          </w:p>
        </w:tc>
        <w:tc>
          <w:tcPr>
            <w:tcW w:w="1770" w:type="dxa"/>
          </w:tcPr>
          <w:p w14:paraId="62DAE241">
            <w:pPr>
              <w:spacing w:before="116" w:line="218" w:lineRule="auto"/>
              <w:ind w:left="371" w:right="215" w:hanging="180"/>
              <w:jc w:val="center"/>
              <w:rPr>
                <w:rFonts w:cs="宋体"/>
                <w:spacing w:val="-3"/>
                <w:sz w:val="18"/>
                <w:szCs w:val="18"/>
              </w:rPr>
            </w:pPr>
          </w:p>
        </w:tc>
      </w:tr>
      <w:tr w14:paraId="5B8F5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320F821F"/>
        </w:tc>
        <w:tc>
          <w:tcPr>
            <w:tcW w:w="840" w:type="dxa"/>
            <w:vMerge w:val="continue"/>
            <w:tcBorders>
              <w:left w:val="single" w:color="auto" w:sz="4" w:space="0"/>
              <w:right w:val="single" w:color="auto" w:sz="4" w:space="0"/>
            </w:tcBorders>
            <w:vAlign w:val="center"/>
          </w:tcPr>
          <w:p w14:paraId="65F16663">
            <w:pPr>
              <w:jc w:val="center"/>
            </w:pPr>
          </w:p>
        </w:tc>
        <w:tc>
          <w:tcPr>
            <w:tcW w:w="1350" w:type="dxa"/>
            <w:vMerge w:val="continue"/>
            <w:tcBorders>
              <w:left w:val="single" w:color="auto" w:sz="4" w:space="0"/>
              <w:right w:val="single" w:color="auto" w:sz="4" w:space="0"/>
            </w:tcBorders>
          </w:tcPr>
          <w:p w14:paraId="5CB8851D">
            <w:pPr>
              <w:spacing w:before="116" w:line="218" w:lineRule="auto"/>
              <w:ind w:left="371" w:right="215" w:hanging="180"/>
              <w:jc w:val="center"/>
              <w:rPr>
                <w:rFonts w:cs="宋体"/>
                <w:spacing w:val="-3"/>
                <w:sz w:val="18"/>
                <w:szCs w:val="18"/>
              </w:rPr>
            </w:pP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3212C29C">
            <w:pPr>
              <w:jc w:val="center"/>
              <w:textAlignment w:val="center"/>
              <w:rPr>
                <w:rFonts w:cs="宋体"/>
                <w:spacing w:val="-3"/>
                <w:sz w:val="18"/>
                <w:szCs w:val="18"/>
              </w:rPr>
            </w:pPr>
            <w:r>
              <w:rPr>
                <w:rFonts w:hint="eastAsia" w:ascii="宋体" w:hAnsi="宋体" w:cs="宋体"/>
                <w:sz w:val="18"/>
                <w:szCs w:val="18"/>
              </w:rPr>
              <w:t>维持村级基本运转村社区个数</w:t>
            </w:r>
          </w:p>
        </w:tc>
        <w:tc>
          <w:tcPr>
            <w:tcW w:w="1155" w:type="dxa"/>
            <w:tcBorders>
              <w:left w:val="single" w:color="auto" w:sz="4" w:space="0"/>
            </w:tcBorders>
            <w:vAlign w:val="center"/>
          </w:tcPr>
          <w:p w14:paraId="200BCDC7">
            <w:pPr>
              <w:jc w:val="center"/>
              <w:textAlignment w:val="center"/>
              <w:rPr>
                <w:rFonts w:cs="宋体"/>
                <w:spacing w:val="-3"/>
                <w:sz w:val="18"/>
                <w:szCs w:val="18"/>
              </w:rPr>
            </w:pPr>
            <w:r>
              <w:rPr>
                <w:rFonts w:hint="eastAsia" w:ascii="宋体" w:hAnsi="宋体" w:cs="宋体"/>
                <w:sz w:val="18"/>
                <w:szCs w:val="18"/>
              </w:rPr>
              <w:t>=12个</w:t>
            </w:r>
          </w:p>
        </w:tc>
        <w:tc>
          <w:tcPr>
            <w:tcW w:w="1350" w:type="dxa"/>
            <w:vAlign w:val="center"/>
          </w:tcPr>
          <w:p w14:paraId="39F0EB37">
            <w:pPr>
              <w:jc w:val="center"/>
              <w:textAlignment w:val="center"/>
              <w:rPr>
                <w:rFonts w:cs="宋体"/>
                <w:spacing w:val="-3"/>
                <w:sz w:val="18"/>
                <w:szCs w:val="18"/>
              </w:rPr>
            </w:pPr>
            <w:r>
              <w:rPr>
                <w:rFonts w:hint="eastAsia" w:ascii="宋体" w:hAnsi="宋体" w:cs="宋体"/>
                <w:sz w:val="18"/>
                <w:szCs w:val="18"/>
              </w:rPr>
              <w:t>12个</w:t>
            </w:r>
          </w:p>
        </w:tc>
        <w:tc>
          <w:tcPr>
            <w:tcW w:w="1770" w:type="dxa"/>
          </w:tcPr>
          <w:p w14:paraId="7039F4C0">
            <w:pPr>
              <w:spacing w:before="116" w:line="218" w:lineRule="auto"/>
              <w:ind w:left="371" w:right="215" w:hanging="180"/>
              <w:jc w:val="center"/>
              <w:rPr>
                <w:rFonts w:cs="宋体"/>
                <w:spacing w:val="-3"/>
                <w:sz w:val="18"/>
                <w:szCs w:val="18"/>
              </w:rPr>
            </w:pPr>
          </w:p>
        </w:tc>
      </w:tr>
      <w:tr w14:paraId="27A0B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0FE576A4"/>
        </w:tc>
        <w:tc>
          <w:tcPr>
            <w:tcW w:w="840" w:type="dxa"/>
            <w:vMerge w:val="continue"/>
            <w:tcBorders>
              <w:left w:val="single" w:color="auto" w:sz="4" w:space="0"/>
              <w:right w:val="single" w:color="auto" w:sz="4" w:space="0"/>
            </w:tcBorders>
            <w:vAlign w:val="center"/>
          </w:tcPr>
          <w:p w14:paraId="042CF93D">
            <w:pPr>
              <w:jc w:val="center"/>
            </w:pPr>
          </w:p>
        </w:tc>
        <w:tc>
          <w:tcPr>
            <w:tcW w:w="1350" w:type="dxa"/>
            <w:vMerge w:val="continue"/>
            <w:tcBorders>
              <w:left w:val="single" w:color="auto" w:sz="4" w:space="0"/>
              <w:right w:val="single" w:color="auto" w:sz="4" w:space="0"/>
            </w:tcBorders>
          </w:tcPr>
          <w:p w14:paraId="34DCB2D3">
            <w:pPr>
              <w:spacing w:before="116" w:line="218" w:lineRule="auto"/>
              <w:ind w:left="371" w:right="215" w:hanging="180"/>
              <w:jc w:val="center"/>
              <w:rPr>
                <w:rFonts w:cs="宋体"/>
                <w:spacing w:val="-3"/>
                <w:sz w:val="18"/>
                <w:szCs w:val="18"/>
              </w:rPr>
            </w:pP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0789898F">
            <w:pPr>
              <w:jc w:val="center"/>
              <w:textAlignment w:val="center"/>
              <w:rPr>
                <w:rFonts w:cs="宋体"/>
                <w:spacing w:val="-3"/>
                <w:sz w:val="18"/>
                <w:szCs w:val="18"/>
              </w:rPr>
            </w:pPr>
            <w:r>
              <w:rPr>
                <w:rFonts w:hint="eastAsia" w:ascii="宋体" w:hAnsi="宋体" w:cs="宋体"/>
                <w:sz w:val="18"/>
                <w:szCs w:val="18"/>
              </w:rPr>
              <w:t>在职干部、临聘人员、退休干部、遗属人员等人员数量</w:t>
            </w:r>
          </w:p>
        </w:tc>
        <w:tc>
          <w:tcPr>
            <w:tcW w:w="1155" w:type="dxa"/>
            <w:tcBorders>
              <w:left w:val="single" w:color="auto" w:sz="4" w:space="0"/>
            </w:tcBorders>
            <w:vAlign w:val="center"/>
          </w:tcPr>
          <w:p w14:paraId="0065DB90">
            <w:pPr>
              <w:jc w:val="center"/>
              <w:textAlignment w:val="center"/>
              <w:rPr>
                <w:rFonts w:cs="宋体"/>
                <w:spacing w:val="-3"/>
                <w:sz w:val="18"/>
                <w:szCs w:val="18"/>
              </w:rPr>
            </w:pPr>
            <w:r>
              <w:rPr>
                <w:rFonts w:hint="eastAsia" w:ascii="宋体" w:hAnsi="宋体" w:cs="宋体"/>
                <w:sz w:val="18"/>
                <w:szCs w:val="18"/>
              </w:rPr>
              <w:t>=82人</w:t>
            </w:r>
          </w:p>
        </w:tc>
        <w:tc>
          <w:tcPr>
            <w:tcW w:w="1350" w:type="dxa"/>
            <w:vAlign w:val="center"/>
          </w:tcPr>
          <w:p w14:paraId="253025D2">
            <w:pPr>
              <w:jc w:val="center"/>
              <w:textAlignment w:val="center"/>
              <w:rPr>
                <w:rFonts w:cs="宋体"/>
                <w:spacing w:val="-3"/>
                <w:sz w:val="18"/>
                <w:szCs w:val="18"/>
              </w:rPr>
            </w:pPr>
            <w:r>
              <w:rPr>
                <w:rFonts w:hint="eastAsia" w:ascii="宋体" w:hAnsi="宋体" w:cs="宋体"/>
                <w:sz w:val="18"/>
                <w:szCs w:val="18"/>
              </w:rPr>
              <w:t>82人</w:t>
            </w:r>
          </w:p>
        </w:tc>
        <w:tc>
          <w:tcPr>
            <w:tcW w:w="1770" w:type="dxa"/>
          </w:tcPr>
          <w:p w14:paraId="751EAC41">
            <w:pPr>
              <w:spacing w:before="116" w:line="218" w:lineRule="auto"/>
              <w:ind w:left="371" w:right="215" w:hanging="180"/>
              <w:jc w:val="center"/>
              <w:rPr>
                <w:rFonts w:cs="宋体"/>
                <w:spacing w:val="-3"/>
                <w:sz w:val="18"/>
                <w:szCs w:val="18"/>
              </w:rPr>
            </w:pPr>
          </w:p>
        </w:tc>
      </w:tr>
      <w:tr w14:paraId="46078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7DFEF8C3"/>
        </w:tc>
        <w:tc>
          <w:tcPr>
            <w:tcW w:w="840" w:type="dxa"/>
            <w:vMerge w:val="continue"/>
            <w:tcBorders>
              <w:left w:val="single" w:color="auto" w:sz="4" w:space="0"/>
              <w:right w:val="single" w:color="auto" w:sz="4" w:space="0"/>
            </w:tcBorders>
            <w:vAlign w:val="center"/>
          </w:tcPr>
          <w:p w14:paraId="28576A9B">
            <w:pPr>
              <w:jc w:val="center"/>
            </w:pPr>
          </w:p>
        </w:tc>
        <w:tc>
          <w:tcPr>
            <w:tcW w:w="1350" w:type="dxa"/>
            <w:vMerge w:val="continue"/>
            <w:tcBorders>
              <w:left w:val="single" w:color="auto" w:sz="4" w:space="0"/>
              <w:bottom w:val="single" w:color="auto" w:sz="4" w:space="0"/>
              <w:right w:val="single" w:color="auto" w:sz="4" w:space="0"/>
            </w:tcBorders>
          </w:tcPr>
          <w:p w14:paraId="539CB11E">
            <w:pPr>
              <w:spacing w:before="116" w:line="218" w:lineRule="auto"/>
              <w:ind w:left="371" w:right="215" w:hanging="180"/>
              <w:jc w:val="center"/>
              <w:rPr>
                <w:rFonts w:cs="宋体"/>
                <w:spacing w:val="-3"/>
                <w:sz w:val="18"/>
                <w:szCs w:val="18"/>
              </w:rPr>
            </w:pP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6AB673AF">
            <w:pPr>
              <w:jc w:val="center"/>
              <w:textAlignment w:val="center"/>
              <w:rPr>
                <w:rFonts w:cs="宋体"/>
                <w:spacing w:val="-3"/>
                <w:sz w:val="18"/>
                <w:szCs w:val="18"/>
              </w:rPr>
            </w:pPr>
            <w:r>
              <w:rPr>
                <w:rFonts w:hint="eastAsia" w:ascii="宋体" w:hAnsi="宋体" w:cs="宋体"/>
                <w:sz w:val="18"/>
                <w:szCs w:val="18"/>
              </w:rPr>
              <w:t>镇村两级人员工资、保险经费，及时缴交与支付</w:t>
            </w:r>
          </w:p>
        </w:tc>
        <w:tc>
          <w:tcPr>
            <w:tcW w:w="1155" w:type="dxa"/>
            <w:tcBorders>
              <w:left w:val="single" w:color="auto" w:sz="4" w:space="0"/>
            </w:tcBorders>
            <w:vAlign w:val="center"/>
          </w:tcPr>
          <w:p w14:paraId="33D18775">
            <w:pPr>
              <w:jc w:val="center"/>
              <w:textAlignment w:val="center"/>
              <w:rPr>
                <w:rFonts w:cs="宋体"/>
                <w:spacing w:val="-3"/>
                <w:sz w:val="18"/>
                <w:szCs w:val="18"/>
              </w:rPr>
            </w:pPr>
            <w:r>
              <w:rPr>
                <w:rFonts w:hint="eastAsia" w:ascii="宋体" w:hAnsi="宋体" w:cs="宋体"/>
                <w:sz w:val="18"/>
                <w:szCs w:val="18"/>
              </w:rPr>
              <w:t>=9</w:t>
            </w:r>
            <w:r>
              <w:rPr>
                <w:rFonts w:ascii="宋体" w:hAnsi="宋体" w:cs="宋体"/>
                <w:sz w:val="18"/>
                <w:szCs w:val="18"/>
              </w:rPr>
              <w:t>7人</w:t>
            </w:r>
          </w:p>
        </w:tc>
        <w:tc>
          <w:tcPr>
            <w:tcW w:w="1350" w:type="dxa"/>
            <w:vAlign w:val="center"/>
          </w:tcPr>
          <w:p w14:paraId="73A8A20B">
            <w:pPr>
              <w:jc w:val="center"/>
              <w:textAlignment w:val="center"/>
              <w:rPr>
                <w:rFonts w:cs="宋体"/>
                <w:spacing w:val="-3"/>
                <w:sz w:val="18"/>
                <w:szCs w:val="18"/>
              </w:rPr>
            </w:pPr>
            <w:r>
              <w:rPr>
                <w:rFonts w:hint="eastAsia" w:ascii="宋体" w:hAnsi="宋体" w:cs="宋体"/>
                <w:sz w:val="18"/>
                <w:szCs w:val="18"/>
              </w:rPr>
              <w:t>97人</w:t>
            </w:r>
          </w:p>
        </w:tc>
        <w:tc>
          <w:tcPr>
            <w:tcW w:w="1770" w:type="dxa"/>
          </w:tcPr>
          <w:p w14:paraId="38043CCB">
            <w:pPr>
              <w:spacing w:before="116" w:line="218" w:lineRule="auto"/>
              <w:ind w:left="371" w:right="215" w:hanging="180"/>
              <w:jc w:val="center"/>
              <w:rPr>
                <w:rFonts w:cs="宋体"/>
                <w:spacing w:val="-3"/>
                <w:sz w:val="18"/>
                <w:szCs w:val="18"/>
              </w:rPr>
            </w:pPr>
          </w:p>
        </w:tc>
      </w:tr>
      <w:tr w14:paraId="59957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21416B1F"/>
        </w:tc>
        <w:tc>
          <w:tcPr>
            <w:tcW w:w="840" w:type="dxa"/>
            <w:vMerge w:val="continue"/>
            <w:tcBorders>
              <w:left w:val="single" w:color="auto" w:sz="4" w:space="0"/>
              <w:right w:val="single" w:color="auto" w:sz="4" w:space="0"/>
            </w:tcBorders>
            <w:vAlign w:val="center"/>
          </w:tcPr>
          <w:p w14:paraId="419BECCA">
            <w:pPr>
              <w:jc w:val="center"/>
            </w:pPr>
          </w:p>
        </w:tc>
        <w:tc>
          <w:tcPr>
            <w:tcW w:w="1350" w:type="dxa"/>
            <w:vMerge w:val="restart"/>
            <w:tcBorders>
              <w:top w:val="single" w:color="auto" w:sz="4" w:space="0"/>
              <w:left w:val="single" w:color="auto" w:sz="4" w:space="0"/>
              <w:bottom w:val="single" w:color="auto" w:sz="4" w:space="0"/>
              <w:right w:val="single" w:color="auto" w:sz="4" w:space="0"/>
            </w:tcBorders>
          </w:tcPr>
          <w:p w14:paraId="1C00A552">
            <w:pPr>
              <w:spacing w:before="116" w:line="218" w:lineRule="auto"/>
              <w:ind w:left="371" w:right="215" w:hanging="180"/>
              <w:jc w:val="center"/>
              <w:rPr>
                <w:rFonts w:cs="宋体"/>
                <w:spacing w:val="-3"/>
                <w:sz w:val="18"/>
                <w:szCs w:val="18"/>
              </w:rPr>
            </w:pPr>
            <w:r>
              <w:rPr>
                <w:rFonts w:cs="宋体"/>
                <w:spacing w:val="-3"/>
                <w:sz w:val="18"/>
                <w:szCs w:val="18"/>
              </w:rPr>
              <w:t>质量指标</w:t>
            </w: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488D87E3">
            <w:pPr>
              <w:spacing w:before="116" w:line="218" w:lineRule="auto"/>
              <w:ind w:right="215"/>
              <w:jc w:val="center"/>
              <w:rPr>
                <w:rFonts w:cs="宋体"/>
                <w:spacing w:val="-3"/>
                <w:sz w:val="18"/>
                <w:szCs w:val="18"/>
              </w:rPr>
            </w:pPr>
            <w:r>
              <w:rPr>
                <w:rFonts w:hint="eastAsia" w:cs="宋体"/>
                <w:spacing w:val="-3"/>
                <w:sz w:val="18"/>
                <w:szCs w:val="18"/>
              </w:rPr>
              <w:t>镇域内各项基本工作完成率</w:t>
            </w:r>
          </w:p>
        </w:tc>
        <w:tc>
          <w:tcPr>
            <w:tcW w:w="1155" w:type="dxa"/>
            <w:tcBorders>
              <w:left w:val="single" w:color="auto" w:sz="4" w:space="0"/>
            </w:tcBorders>
            <w:vAlign w:val="center"/>
          </w:tcPr>
          <w:p w14:paraId="7BC1912F">
            <w:pPr>
              <w:spacing w:before="116" w:line="218" w:lineRule="auto"/>
              <w:ind w:left="371" w:right="215" w:hanging="180"/>
              <w:jc w:val="center"/>
              <w:rPr>
                <w:rFonts w:cs="宋体"/>
                <w:spacing w:val="-3"/>
                <w:sz w:val="18"/>
                <w:szCs w:val="18"/>
              </w:rPr>
            </w:pPr>
            <w:r>
              <w:rPr>
                <w:rFonts w:hint="eastAsia" w:cs="宋体"/>
                <w:spacing w:val="-3"/>
                <w:sz w:val="18"/>
                <w:szCs w:val="18"/>
              </w:rPr>
              <w:t>≥98%</w:t>
            </w:r>
          </w:p>
        </w:tc>
        <w:tc>
          <w:tcPr>
            <w:tcW w:w="1350" w:type="dxa"/>
            <w:vAlign w:val="center"/>
          </w:tcPr>
          <w:p w14:paraId="759B3EB1">
            <w:pPr>
              <w:spacing w:before="116" w:line="218" w:lineRule="auto"/>
              <w:ind w:left="371" w:right="215" w:hanging="180"/>
              <w:jc w:val="center"/>
              <w:rPr>
                <w:rFonts w:cs="宋体"/>
                <w:spacing w:val="-3"/>
                <w:sz w:val="18"/>
                <w:szCs w:val="18"/>
              </w:rPr>
            </w:pPr>
            <w:r>
              <w:rPr>
                <w:rFonts w:hint="eastAsia" w:cs="宋体"/>
                <w:spacing w:val="-3"/>
                <w:sz w:val="18"/>
                <w:szCs w:val="18"/>
              </w:rPr>
              <w:t>99%</w:t>
            </w:r>
          </w:p>
        </w:tc>
        <w:tc>
          <w:tcPr>
            <w:tcW w:w="1770" w:type="dxa"/>
          </w:tcPr>
          <w:p w14:paraId="000164DF">
            <w:pPr>
              <w:spacing w:before="116" w:line="218" w:lineRule="auto"/>
              <w:ind w:left="371" w:right="215" w:hanging="180"/>
              <w:jc w:val="center"/>
              <w:rPr>
                <w:rFonts w:cs="宋体"/>
                <w:spacing w:val="-3"/>
                <w:sz w:val="18"/>
                <w:szCs w:val="18"/>
              </w:rPr>
            </w:pPr>
          </w:p>
        </w:tc>
      </w:tr>
      <w:tr w14:paraId="517C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27C3FAD2"/>
        </w:tc>
        <w:tc>
          <w:tcPr>
            <w:tcW w:w="840" w:type="dxa"/>
            <w:vMerge w:val="continue"/>
            <w:tcBorders>
              <w:left w:val="single" w:color="auto" w:sz="4" w:space="0"/>
              <w:right w:val="single" w:color="auto" w:sz="4" w:space="0"/>
            </w:tcBorders>
            <w:vAlign w:val="center"/>
          </w:tcPr>
          <w:p w14:paraId="23AD61F9">
            <w:pPr>
              <w:jc w:val="center"/>
            </w:pPr>
          </w:p>
        </w:tc>
        <w:tc>
          <w:tcPr>
            <w:tcW w:w="1350" w:type="dxa"/>
            <w:vMerge w:val="continue"/>
            <w:tcBorders>
              <w:top w:val="single" w:color="auto" w:sz="4" w:space="0"/>
              <w:left w:val="single" w:color="auto" w:sz="4" w:space="0"/>
              <w:bottom w:val="single" w:color="auto" w:sz="4" w:space="0"/>
              <w:right w:val="single" w:color="auto" w:sz="4" w:space="0"/>
            </w:tcBorders>
          </w:tcPr>
          <w:p w14:paraId="6264A06B">
            <w:pPr>
              <w:spacing w:before="116" w:line="218" w:lineRule="auto"/>
              <w:ind w:left="371" w:right="215" w:hanging="180"/>
              <w:jc w:val="center"/>
              <w:rPr>
                <w:rFonts w:cs="宋体"/>
                <w:spacing w:val="-3"/>
                <w:sz w:val="18"/>
                <w:szCs w:val="18"/>
              </w:rPr>
            </w:pP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05688CE9">
            <w:pPr>
              <w:spacing w:before="116" w:line="218" w:lineRule="auto"/>
              <w:ind w:right="215"/>
              <w:jc w:val="center"/>
              <w:rPr>
                <w:rFonts w:cs="宋体"/>
                <w:spacing w:val="-3"/>
                <w:sz w:val="18"/>
                <w:szCs w:val="18"/>
              </w:rPr>
            </w:pPr>
            <w:r>
              <w:rPr>
                <w:rFonts w:hint="eastAsia" w:cs="宋体"/>
                <w:spacing w:val="-3"/>
                <w:sz w:val="18"/>
                <w:szCs w:val="18"/>
              </w:rPr>
              <w:t>镇域内项目验收合格率</w:t>
            </w:r>
          </w:p>
        </w:tc>
        <w:tc>
          <w:tcPr>
            <w:tcW w:w="1155" w:type="dxa"/>
            <w:tcBorders>
              <w:left w:val="single" w:color="auto" w:sz="4" w:space="0"/>
            </w:tcBorders>
            <w:vAlign w:val="center"/>
          </w:tcPr>
          <w:p w14:paraId="5B190779">
            <w:pPr>
              <w:spacing w:before="116" w:line="218" w:lineRule="auto"/>
              <w:ind w:left="371" w:right="215" w:hanging="180"/>
              <w:jc w:val="center"/>
              <w:rPr>
                <w:rFonts w:cs="宋体"/>
                <w:spacing w:val="-3"/>
                <w:sz w:val="18"/>
                <w:szCs w:val="18"/>
              </w:rPr>
            </w:pPr>
            <w:r>
              <w:rPr>
                <w:rFonts w:hint="eastAsia" w:cs="宋体"/>
                <w:spacing w:val="-3"/>
                <w:sz w:val="18"/>
                <w:szCs w:val="18"/>
              </w:rPr>
              <w:t>≥98%</w:t>
            </w:r>
          </w:p>
        </w:tc>
        <w:tc>
          <w:tcPr>
            <w:tcW w:w="1350" w:type="dxa"/>
            <w:vAlign w:val="center"/>
          </w:tcPr>
          <w:p w14:paraId="325F04A0">
            <w:pPr>
              <w:spacing w:before="116" w:line="218" w:lineRule="auto"/>
              <w:ind w:left="371" w:right="215" w:hanging="180"/>
              <w:jc w:val="center"/>
              <w:rPr>
                <w:rFonts w:cs="宋体"/>
                <w:spacing w:val="-3"/>
                <w:sz w:val="18"/>
                <w:szCs w:val="18"/>
              </w:rPr>
            </w:pPr>
            <w:r>
              <w:rPr>
                <w:rFonts w:hint="eastAsia" w:cs="宋体"/>
                <w:spacing w:val="-3"/>
                <w:sz w:val="18"/>
                <w:szCs w:val="18"/>
              </w:rPr>
              <w:t>99%</w:t>
            </w:r>
          </w:p>
        </w:tc>
        <w:tc>
          <w:tcPr>
            <w:tcW w:w="1770" w:type="dxa"/>
          </w:tcPr>
          <w:p w14:paraId="278FB3E5">
            <w:pPr>
              <w:spacing w:before="116" w:line="218" w:lineRule="auto"/>
              <w:ind w:left="371" w:right="215" w:hanging="180"/>
              <w:jc w:val="center"/>
              <w:rPr>
                <w:rFonts w:cs="宋体"/>
                <w:spacing w:val="-3"/>
                <w:sz w:val="18"/>
                <w:szCs w:val="18"/>
              </w:rPr>
            </w:pPr>
          </w:p>
        </w:tc>
      </w:tr>
      <w:tr w14:paraId="2EEDC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6465062C"/>
        </w:tc>
        <w:tc>
          <w:tcPr>
            <w:tcW w:w="840" w:type="dxa"/>
            <w:vMerge w:val="continue"/>
            <w:tcBorders>
              <w:left w:val="single" w:color="auto" w:sz="4" w:space="0"/>
              <w:bottom w:val="single" w:color="auto" w:sz="4" w:space="0"/>
              <w:right w:val="single" w:color="auto" w:sz="4" w:space="0"/>
            </w:tcBorders>
            <w:vAlign w:val="center"/>
          </w:tcPr>
          <w:p w14:paraId="4B7E3C66">
            <w:pPr>
              <w:jc w:val="center"/>
            </w:pPr>
          </w:p>
        </w:tc>
        <w:tc>
          <w:tcPr>
            <w:tcW w:w="1350" w:type="dxa"/>
            <w:tcBorders>
              <w:top w:val="single" w:color="auto" w:sz="4" w:space="0"/>
              <w:left w:val="single" w:color="auto" w:sz="4" w:space="0"/>
              <w:bottom w:val="single" w:color="auto" w:sz="4" w:space="0"/>
              <w:right w:val="single" w:color="auto" w:sz="4" w:space="0"/>
            </w:tcBorders>
          </w:tcPr>
          <w:p w14:paraId="504344A2">
            <w:pPr>
              <w:spacing w:before="116" w:line="218" w:lineRule="auto"/>
              <w:ind w:left="371" w:right="215" w:hanging="180"/>
              <w:jc w:val="center"/>
              <w:rPr>
                <w:rFonts w:cs="宋体"/>
                <w:spacing w:val="-3"/>
                <w:sz w:val="18"/>
                <w:szCs w:val="18"/>
              </w:rPr>
            </w:pPr>
            <w:r>
              <w:rPr>
                <w:rFonts w:cs="宋体"/>
                <w:spacing w:val="-3"/>
                <w:sz w:val="18"/>
                <w:szCs w:val="18"/>
              </w:rPr>
              <w:t>时效指标</w:t>
            </w:r>
          </w:p>
        </w:tc>
        <w:tc>
          <w:tcPr>
            <w:tcW w:w="2565" w:type="dxa"/>
            <w:gridSpan w:val="2"/>
            <w:tcBorders>
              <w:top w:val="single" w:color="auto" w:sz="4" w:space="0"/>
              <w:left w:val="single" w:color="auto" w:sz="4" w:space="0"/>
              <w:bottom w:val="single" w:color="auto" w:sz="4" w:space="0"/>
              <w:right w:val="single" w:color="auto" w:sz="4" w:space="0"/>
            </w:tcBorders>
          </w:tcPr>
          <w:p w14:paraId="5D17916F">
            <w:pPr>
              <w:spacing w:before="116" w:line="218" w:lineRule="auto"/>
              <w:ind w:right="215"/>
              <w:jc w:val="center"/>
              <w:rPr>
                <w:rFonts w:cs="宋体"/>
                <w:spacing w:val="-3"/>
                <w:sz w:val="18"/>
                <w:szCs w:val="18"/>
              </w:rPr>
            </w:pPr>
            <w:r>
              <w:rPr>
                <w:rFonts w:hint="eastAsia" w:cs="宋体"/>
                <w:spacing w:val="-3"/>
                <w:sz w:val="18"/>
                <w:szCs w:val="18"/>
              </w:rPr>
              <w:t>按工程建设、工作开展进度支付对应进度款</w:t>
            </w:r>
          </w:p>
        </w:tc>
        <w:tc>
          <w:tcPr>
            <w:tcW w:w="1155" w:type="dxa"/>
            <w:tcBorders>
              <w:left w:val="single" w:color="auto" w:sz="4" w:space="0"/>
            </w:tcBorders>
            <w:vAlign w:val="center"/>
          </w:tcPr>
          <w:p w14:paraId="69606284">
            <w:pPr>
              <w:spacing w:before="116" w:line="218" w:lineRule="auto"/>
              <w:ind w:left="371" w:right="215" w:hanging="180"/>
              <w:jc w:val="center"/>
              <w:rPr>
                <w:rFonts w:cs="宋体"/>
                <w:spacing w:val="-3"/>
                <w:sz w:val="18"/>
                <w:szCs w:val="18"/>
              </w:rPr>
            </w:pPr>
            <w:r>
              <w:rPr>
                <w:rFonts w:hint="eastAsia" w:cs="宋体"/>
                <w:spacing w:val="-3"/>
                <w:sz w:val="18"/>
                <w:szCs w:val="18"/>
              </w:rPr>
              <w:t>1年</w:t>
            </w:r>
          </w:p>
        </w:tc>
        <w:tc>
          <w:tcPr>
            <w:tcW w:w="1350" w:type="dxa"/>
            <w:vAlign w:val="center"/>
          </w:tcPr>
          <w:p w14:paraId="2C848F6C">
            <w:pPr>
              <w:spacing w:before="116" w:line="218" w:lineRule="auto"/>
              <w:ind w:left="371" w:right="215" w:hanging="180"/>
              <w:jc w:val="center"/>
              <w:rPr>
                <w:rFonts w:cs="宋体"/>
                <w:spacing w:val="-3"/>
                <w:sz w:val="18"/>
                <w:szCs w:val="18"/>
              </w:rPr>
            </w:pPr>
            <w:r>
              <w:rPr>
                <w:rFonts w:hint="eastAsia" w:cs="宋体"/>
                <w:spacing w:val="-3"/>
                <w:sz w:val="18"/>
                <w:szCs w:val="18"/>
              </w:rPr>
              <w:t>1年</w:t>
            </w:r>
          </w:p>
        </w:tc>
        <w:tc>
          <w:tcPr>
            <w:tcW w:w="1770" w:type="dxa"/>
          </w:tcPr>
          <w:p w14:paraId="01CACD25">
            <w:pPr>
              <w:spacing w:before="116" w:line="218" w:lineRule="auto"/>
              <w:ind w:left="371" w:right="215" w:hanging="180"/>
              <w:jc w:val="center"/>
              <w:rPr>
                <w:rFonts w:cs="宋体"/>
                <w:spacing w:val="-3"/>
                <w:sz w:val="18"/>
                <w:szCs w:val="18"/>
              </w:rPr>
            </w:pPr>
          </w:p>
        </w:tc>
      </w:tr>
      <w:tr w14:paraId="7B6CF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155414D7"/>
        </w:tc>
        <w:tc>
          <w:tcPr>
            <w:tcW w:w="840" w:type="dxa"/>
            <w:vMerge w:val="restart"/>
            <w:tcBorders>
              <w:top w:val="single" w:color="auto" w:sz="4" w:space="0"/>
              <w:left w:val="single" w:color="auto" w:sz="4" w:space="0"/>
              <w:right w:val="single" w:color="auto" w:sz="4" w:space="0"/>
            </w:tcBorders>
            <w:vAlign w:val="center"/>
          </w:tcPr>
          <w:p w14:paraId="6999E7FD">
            <w:pPr>
              <w:jc w:val="center"/>
              <w:rPr>
                <w:rFonts w:cs="宋体"/>
                <w:spacing w:val="-3"/>
                <w:sz w:val="18"/>
                <w:szCs w:val="18"/>
              </w:rPr>
            </w:pPr>
            <w:r>
              <w:rPr>
                <w:rFonts w:cs="宋体"/>
                <w:spacing w:val="-3"/>
                <w:sz w:val="18"/>
                <w:szCs w:val="18"/>
              </w:rPr>
              <w:t>成本指标</w:t>
            </w:r>
          </w:p>
        </w:tc>
        <w:tc>
          <w:tcPr>
            <w:tcW w:w="1350" w:type="dxa"/>
            <w:vMerge w:val="restart"/>
            <w:tcBorders>
              <w:top w:val="single" w:color="auto" w:sz="4" w:space="0"/>
              <w:left w:val="single" w:color="auto" w:sz="4" w:space="0"/>
              <w:right w:val="single" w:color="auto" w:sz="4" w:space="0"/>
            </w:tcBorders>
            <w:vAlign w:val="center"/>
          </w:tcPr>
          <w:p w14:paraId="76B7E117">
            <w:pPr>
              <w:spacing w:before="116" w:line="218" w:lineRule="auto"/>
              <w:ind w:right="215"/>
              <w:jc w:val="center"/>
              <w:rPr>
                <w:rFonts w:cs="宋体"/>
                <w:spacing w:val="-3"/>
                <w:sz w:val="18"/>
                <w:szCs w:val="18"/>
              </w:rPr>
            </w:pPr>
            <w:r>
              <w:rPr>
                <w:rFonts w:hint="eastAsia" w:cs="宋体"/>
                <w:spacing w:val="-3"/>
                <w:sz w:val="18"/>
                <w:szCs w:val="18"/>
              </w:rPr>
              <w:t>经济</w:t>
            </w:r>
            <w:r>
              <w:rPr>
                <w:rFonts w:cs="宋体"/>
                <w:spacing w:val="-3"/>
                <w:sz w:val="18"/>
                <w:szCs w:val="18"/>
              </w:rPr>
              <w:t>成本指标</w:t>
            </w: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5BECA663">
            <w:pPr>
              <w:jc w:val="center"/>
              <w:rPr>
                <w:rFonts w:ascii="宋体" w:hAnsi="宋体" w:cs="宋体"/>
                <w:sz w:val="18"/>
                <w:szCs w:val="18"/>
              </w:rPr>
            </w:pPr>
            <w:r>
              <w:rPr>
                <w:rFonts w:hint="eastAsia" w:ascii="宋体" w:hAnsi="宋体" w:cs="宋体"/>
                <w:sz w:val="18"/>
                <w:szCs w:val="18"/>
              </w:rPr>
              <w:t>镇域内项目资金支出费用</w:t>
            </w:r>
          </w:p>
        </w:tc>
        <w:tc>
          <w:tcPr>
            <w:tcW w:w="1155" w:type="dxa"/>
            <w:tcBorders>
              <w:left w:val="single" w:color="auto" w:sz="4" w:space="0"/>
            </w:tcBorders>
            <w:vAlign w:val="center"/>
          </w:tcPr>
          <w:p w14:paraId="3C843AD7">
            <w:pPr>
              <w:rPr>
                <w:rFonts w:ascii="宋体" w:hAnsi="宋体" w:cs="宋体"/>
                <w:sz w:val="18"/>
                <w:szCs w:val="18"/>
              </w:rPr>
            </w:pPr>
            <w:r>
              <w:rPr>
                <w:rFonts w:hint="eastAsia"/>
                <w:sz w:val="18"/>
                <w:szCs w:val="18"/>
              </w:rPr>
              <w:t>200</w:t>
            </w:r>
            <w:r>
              <w:rPr>
                <w:rFonts w:hint="eastAsia" w:ascii="宋体" w:hAnsi="宋体" w:cs="宋体"/>
                <w:sz w:val="18"/>
                <w:szCs w:val="18"/>
              </w:rPr>
              <w:t>万元</w:t>
            </w:r>
          </w:p>
        </w:tc>
        <w:tc>
          <w:tcPr>
            <w:tcW w:w="1350" w:type="dxa"/>
            <w:vAlign w:val="center"/>
          </w:tcPr>
          <w:p w14:paraId="3AB7C1B6">
            <w:pPr>
              <w:jc w:val="center"/>
              <w:rPr>
                <w:rFonts w:ascii="宋体" w:hAnsi="宋体" w:cs="宋体"/>
                <w:sz w:val="18"/>
                <w:szCs w:val="18"/>
              </w:rPr>
            </w:pPr>
            <w:r>
              <w:rPr>
                <w:rFonts w:hint="eastAsia"/>
                <w:sz w:val="18"/>
                <w:szCs w:val="18"/>
              </w:rPr>
              <w:t>200</w:t>
            </w:r>
            <w:r>
              <w:rPr>
                <w:rFonts w:hint="eastAsia" w:ascii="宋体" w:hAnsi="宋体" w:cs="宋体"/>
                <w:sz w:val="18"/>
                <w:szCs w:val="18"/>
              </w:rPr>
              <w:t>万元</w:t>
            </w:r>
          </w:p>
        </w:tc>
        <w:tc>
          <w:tcPr>
            <w:tcW w:w="1770" w:type="dxa"/>
          </w:tcPr>
          <w:p w14:paraId="176D5725">
            <w:pPr>
              <w:spacing w:before="116" w:line="218" w:lineRule="auto"/>
              <w:ind w:left="371" w:right="215" w:hanging="180"/>
              <w:jc w:val="center"/>
              <w:rPr>
                <w:rFonts w:cs="宋体"/>
                <w:spacing w:val="-3"/>
                <w:sz w:val="18"/>
                <w:szCs w:val="18"/>
              </w:rPr>
            </w:pPr>
          </w:p>
        </w:tc>
      </w:tr>
      <w:tr w14:paraId="501EC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2C454795"/>
        </w:tc>
        <w:tc>
          <w:tcPr>
            <w:tcW w:w="840" w:type="dxa"/>
            <w:vMerge w:val="continue"/>
            <w:tcBorders>
              <w:left w:val="single" w:color="auto" w:sz="4" w:space="0"/>
              <w:bottom w:val="single" w:color="auto" w:sz="4" w:space="0"/>
              <w:right w:val="single" w:color="auto" w:sz="4" w:space="0"/>
            </w:tcBorders>
            <w:vAlign w:val="center"/>
          </w:tcPr>
          <w:p w14:paraId="6328ED05">
            <w:pPr>
              <w:jc w:val="center"/>
            </w:pPr>
          </w:p>
        </w:tc>
        <w:tc>
          <w:tcPr>
            <w:tcW w:w="1350" w:type="dxa"/>
            <w:vMerge w:val="continue"/>
            <w:tcBorders>
              <w:left w:val="single" w:color="auto" w:sz="4" w:space="0"/>
              <w:bottom w:val="single" w:color="auto" w:sz="4" w:space="0"/>
              <w:right w:val="single" w:color="auto" w:sz="4" w:space="0"/>
            </w:tcBorders>
          </w:tcPr>
          <w:p w14:paraId="3E7578EE">
            <w:pPr>
              <w:spacing w:before="116" w:line="218" w:lineRule="auto"/>
              <w:ind w:left="371" w:right="215" w:hanging="180"/>
              <w:jc w:val="center"/>
              <w:rPr>
                <w:rFonts w:cs="宋体"/>
                <w:spacing w:val="-3"/>
                <w:sz w:val="18"/>
                <w:szCs w:val="18"/>
              </w:rPr>
            </w:pPr>
          </w:p>
        </w:tc>
        <w:tc>
          <w:tcPr>
            <w:tcW w:w="2565" w:type="dxa"/>
            <w:gridSpan w:val="2"/>
            <w:tcBorders>
              <w:top w:val="single" w:color="auto" w:sz="4" w:space="0"/>
              <w:left w:val="single" w:color="auto" w:sz="4" w:space="0"/>
              <w:bottom w:val="single" w:color="auto" w:sz="4" w:space="0"/>
              <w:right w:val="single" w:color="auto" w:sz="4" w:space="0"/>
            </w:tcBorders>
            <w:vAlign w:val="center"/>
          </w:tcPr>
          <w:p w14:paraId="522E2C17">
            <w:pPr>
              <w:jc w:val="center"/>
              <w:rPr>
                <w:rFonts w:ascii="宋体" w:hAnsi="宋体" w:cs="宋体"/>
                <w:sz w:val="18"/>
                <w:szCs w:val="18"/>
              </w:rPr>
            </w:pPr>
            <w:r>
              <w:rPr>
                <w:rFonts w:hint="eastAsia" w:ascii="宋体" w:hAnsi="宋体" w:cs="宋体"/>
                <w:sz w:val="18"/>
                <w:szCs w:val="18"/>
              </w:rPr>
              <w:t>镇域内人员类及日常运转类费用</w:t>
            </w:r>
          </w:p>
        </w:tc>
        <w:tc>
          <w:tcPr>
            <w:tcW w:w="1155" w:type="dxa"/>
            <w:tcBorders>
              <w:left w:val="single" w:color="auto" w:sz="4" w:space="0"/>
            </w:tcBorders>
            <w:vAlign w:val="center"/>
          </w:tcPr>
          <w:p w14:paraId="62464A4B">
            <w:pPr>
              <w:ind w:firstLine="90" w:firstLineChars="50"/>
              <w:rPr>
                <w:rFonts w:ascii="宋体" w:hAnsi="宋体" w:cs="宋体"/>
                <w:sz w:val="18"/>
                <w:szCs w:val="18"/>
              </w:rPr>
            </w:pPr>
            <w:r>
              <w:rPr>
                <w:rFonts w:hint="eastAsia"/>
                <w:sz w:val="18"/>
                <w:szCs w:val="18"/>
              </w:rPr>
              <w:t>1193.93</w:t>
            </w:r>
            <w:r>
              <w:rPr>
                <w:rFonts w:hint="eastAsia" w:ascii="宋体" w:hAnsi="宋体" w:cs="宋体"/>
                <w:sz w:val="18"/>
                <w:szCs w:val="18"/>
              </w:rPr>
              <w:t>万元</w:t>
            </w:r>
          </w:p>
        </w:tc>
        <w:tc>
          <w:tcPr>
            <w:tcW w:w="1350" w:type="dxa"/>
            <w:vAlign w:val="center"/>
          </w:tcPr>
          <w:p w14:paraId="6D81D188">
            <w:pPr>
              <w:rPr>
                <w:rFonts w:ascii="宋体" w:hAnsi="宋体" w:cs="宋体"/>
                <w:sz w:val="18"/>
                <w:szCs w:val="18"/>
              </w:rPr>
            </w:pPr>
            <w:r>
              <w:rPr>
                <w:rFonts w:hint="eastAsia"/>
                <w:sz w:val="18"/>
                <w:szCs w:val="18"/>
              </w:rPr>
              <w:t>1193.93</w:t>
            </w:r>
            <w:r>
              <w:rPr>
                <w:rFonts w:hint="eastAsia" w:ascii="宋体" w:hAnsi="宋体" w:cs="宋体"/>
                <w:sz w:val="18"/>
                <w:szCs w:val="18"/>
              </w:rPr>
              <w:t>万元</w:t>
            </w:r>
          </w:p>
        </w:tc>
        <w:tc>
          <w:tcPr>
            <w:tcW w:w="1770" w:type="dxa"/>
          </w:tcPr>
          <w:p w14:paraId="1C24C1AE">
            <w:pPr>
              <w:spacing w:before="116" w:line="218" w:lineRule="auto"/>
              <w:ind w:left="371" w:right="215" w:hanging="180"/>
              <w:jc w:val="center"/>
              <w:rPr>
                <w:rFonts w:cs="宋体"/>
                <w:spacing w:val="-3"/>
                <w:sz w:val="18"/>
                <w:szCs w:val="18"/>
              </w:rPr>
            </w:pPr>
          </w:p>
        </w:tc>
      </w:tr>
      <w:tr w14:paraId="63F14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2FD14D8A"/>
        </w:tc>
        <w:tc>
          <w:tcPr>
            <w:tcW w:w="840" w:type="dxa"/>
            <w:vMerge w:val="restart"/>
            <w:tcBorders>
              <w:top w:val="single" w:color="auto" w:sz="4" w:space="0"/>
              <w:left w:val="single" w:color="auto" w:sz="4" w:space="0"/>
              <w:right w:val="single" w:color="auto" w:sz="4" w:space="0"/>
            </w:tcBorders>
            <w:vAlign w:val="center"/>
          </w:tcPr>
          <w:p w14:paraId="3722EF85">
            <w:pPr>
              <w:jc w:val="center"/>
            </w:pPr>
            <w:r>
              <w:rPr>
                <w:rFonts w:cs="宋体"/>
                <w:spacing w:val="-3"/>
                <w:sz w:val="18"/>
                <w:szCs w:val="18"/>
              </w:rPr>
              <w:t>效益指标</w:t>
            </w:r>
          </w:p>
        </w:tc>
        <w:tc>
          <w:tcPr>
            <w:tcW w:w="1350" w:type="dxa"/>
            <w:tcBorders>
              <w:top w:val="single" w:color="auto" w:sz="4" w:space="0"/>
              <w:left w:val="single" w:color="auto" w:sz="4" w:space="0"/>
              <w:bottom w:val="single" w:color="auto" w:sz="4" w:space="0"/>
              <w:right w:val="single" w:color="auto" w:sz="4" w:space="0"/>
            </w:tcBorders>
          </w:tcPr>
          <w:p w14:paraId="386AB887">
            <w:pPr>
              <w:spacing w:before="116" w:line="218" w:lineRule="auto"/>
              <w:ind w:right="215"/>
              <w:jc w:val="center"/>
              <w:rPr>
                <w:rFonts w:cs="宋体"/>
                <w:spacing w:val="-3"/>
                <w:sz w:val="18"/>
                <w:szCs w:val="18"/>
              </w:rPr>
            </w:pPr>
            <w:r>
              <w:rPr>
                <w:rFonts w:cs="宋体"/>
                <w:spacing w:val="-3"/>
                <w:sz w:val="18"/>
                <w:szCs w:val="18"/>
              </w:rPr>
              <w:t>社会效益指标</w:t>
            </w:r>
          </w:p>
        </w:tc>
        <w:tc>
          <w:tcPr>
            <w:tcW w:w="2565" w:type="dxa"/>
            <w:gridSpan w:val="2"/>
            <w:tcBorders>
              <w:top w:val="single" w:color="auto" w:sz="4" w:space="0"/>
              <w:left w:val="single" w:color="auto" w:sz="4" w:space="0"/>
              <w:bottom w:val="single" w:color="auto" w:sz="4" w:space="0"/>
              <w:right w:val="single" w:color="auto" w:sz="4" w:space="0"/>
            </w:tcBorders>
          </w:tcPr>
          <w:p w14:paraId="4BD9A462">
            <w:pPr>
              <w:spacing w:before="116" w:line="218" w:lineRule="auto"/>
              <w:ind w:right="215"/>
              <w:jc w:val="center"/>
              <w:rPr>
                <w:rFonts w:cs="宋体"/>
                <w:spacing w:val="-3"/>
                <w:sz w:val="18"/>
                <w:szCs w:val="18"/>
              </w:rPr>
            </w:pPr>
            <w:r>
              <w:rPr>
                <w:rFonts w:hint="eastAsia" w:cs="宋体"/>
                <w:spacing w:val="-3"/>
                <w:sz w:val="18"/>
                <w:szCs w:val="18"/>
              </w:rPr>
              <w:t>完善政府公共服务能力，提升整体服务水平</w:t>
            </w:r>
            <w:r>
              <w:rPr>
                <w:rFonts w:cs="宋体"/>
                <w:spacing w:val="-3"/>
                <w:sz w:val="18"/>
                <w:szCs w:val="18"/>
              </w:rPr>
              <w:t>:</w:t>
            </w:r>
          </w:p>
        </w:tc>
        <w:tc>
          <w:tcPr>
            <w:tcW w:w="1155" w:type="dxa"/>
            <w:tcBorders>
              <w:left w:val="single" w:color="auto" w:sz="4" w:space="0"/>
            </w:tcBorders>
            <w:vAlign w:val="center"/>
          </w:tcPr>
          <w:p w14:paraId="2F1B46D1">
            <w:pPr>
              <w:spacing w:before="116" w:line="218" w:lineRule="auto"/>
              <w:ind w:left="371" w:right="215" w:hanging="180"/>
              <w:jc w:val="center"/>
              <w:rPr>
                <w:rFonts w:cs="宋体"/>
                <w:spacing w:val="-3"/>
                <w:sz w:val="18"/>
                <w:szCs w:val="18"/>
              </w:rPr>
            </w:pPr>
            <w:r>
              <w:rPr>
                <w:rFonts w:hint="eastAsia" w:cs="宋体"/>
                <w:spacing w:val="-3"/>
                <w:sz w:val="18"/>
                <w:szCs w:val="18"/>
              </w:rPr>
              <w:t>定性</w:t>
            </w:r>
          </w:p>
        </w:tc>
        <w:tc>
          <w:tcPr>
            <w:tcW w:w="1350" w:type="dxa"/>
            <w:vAlign w:val="center"/>
          </w:tcPr>
          <w:p w14:paraId="7D1F200F">
            <w:pPr>
              <w:spacing w:before="116" w:line="218" w:lineRule="auto"/>
              <w:ind w:left="371" w:right="215" w:hanging="180"/>
              <w:jc w:val="center"/>
              <w:rPr>
                <w:rFonts w:cs="宋体"/>
                <w:spacing w:val="-3"/>
                <w:sz w:val="18"/>
                <w:szCs w:val="18"/>
              </w:rPr>
            </w:pPr>
            <w:r>
              <w:rPr>
                <w:rFonts w:hint="eastAsia" w:cs="宋体"/>
                <w:spacing w:val="-3"/>
                <w:sz w:val="18"/>
                <w:szCs w:val="18"/>
              </w:rPr>
              <w:t>优</w:t>
            </w:r>
          </w:p>
        </w:tc>
        <w:tc>
          <w:tcPr>
            <w:tcW w:w="1770" w:type="dxa"/>
          </w:tcPr>
          <w:p w14:paraId="59215CBE">
            <w:pPr>
              <w:spacing w:before="116" w:line="218" w:lineRule="auto"/>
              <w:ind w:left="371" w:right="215" w:hanging="180"/>
              <w:jc w:val="center"/>
              <w:rPr>
                <w:rFonts w:cs="宋体"/>
                <w:spacing w:val="-3"/>
                <w:sz w:val="18"/>
                <w:szCs w:val="18"/>
              </w:rPr>
            </w:pPr>
          </w:p>
        </w:tc>
      </w:tr>
      <w:tr w14:paraId="63604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4EA4C499"/>
        </w:tc>
        <w:tc>
          <w:tcPr>
            <w:tcW w:w="840" w:type="dxa"/>
            <w:vMerge w:val="continue"/>
            <w:tcBorders>
              <w:left w:val="single" w:color="auto" w:sz="4" w:space="0"/>
              <w:bottom w:val="single" w:color="auto" w:sz="4" w:space="0"/>
              <w:right w:val="single" w:color="auto" w:sz="4" w:space="0"/>
            </w:tcBorders>
          </w:tcPr>
          <w:p w14:paraId="6B732A75">
            <w:pPr>
              <w:jc w:val="center"/>
            </w:pPr>
          </w:p>
        </w:tc>
        <w:tc>
          <w:tcPr>
            <w:tcW w:w="1350" w:type="dxa"/>
            <w:tcBorders>
              <w:top w:val="single" w:color="auto" w:sz="4" w:space="0"/>
              <w:left w:val="single" w:color="auto" w:sz="4" w:space="0"/>
              <w:bottom w:val="single" w:color="auto" w:sz="4" w:space="0"/>
              <w:right w:val="single" w:color="auto" w:sz="4" w:space="0"/>
            </w:tcBorders>
          </w:tcPr>
          <w:p w14:paraId="469B9A5D">
            <w:pPr>
              <w:spacing w:before="116" w:line="218" w:lineRule="auto"/>
              <w:ind w:right="215"/>
              <w:jc w:val="center"/>
              <w:rPr>
                <w:rFonts w:cs="宋体"/>
                <w:spacing w:val="-3"/>
                <w:sz w:val="18"/>
                <w:szCs w:val="18"/>
              </w:rPr>
            </w:pPr>
            <w:r>
              <w:rPr>
                <w:rFonts w:cs="宋体"/>
                <w:spacing w:val="-3"/>
                <w:sz w:val="18"/>
                <w:szCs w:val="18"/>
              </w:rPr>
              <w:t>可持续影响 指标</w:t>
            </w:r>
          </w:p>
        </w:tc>
        <w:tc>
          <w:tcPr>
            <w:tcW w:w="2565" w:type="dxa"/>
            <w:gridSpan w:val="2"/>
            <w:tcBorders>
              <w:top w:val="single" w:color="auto" w:sz="4" w:space="0"/>
              <w:left w:val="single" w:color="auto" w:sz="4" w:space="0"/>
              <w:bottom w:val="single" w:color="auto" w:sz="4" w:space="0"/>
              <w:right w:val="single" w:color="auto" w:sz="4" w:space="0"/>
            </w:tcBorders>
          </w:tcPr>
          <w:p w14:paraId="6AFE2003">
            <w:pPr>
              <w:spacing w:before="116" w:line="218" w:lineRule="auto"/>
              <w:ind w:right="215"/>
              <w:jc w:val="center"/>
              <w:rPr>
                <w:rFonts w:cs="宋体"/>
                <w:spacing w:val="-3"/>
                <w:sz w:val="18"/>
                <w:szCs w:val="18"/>
              </w:rPr>
            </w:pPr>
            <w:r>
              <w:rPr>
                <w:rFonts w:hint="eastAsia" w:cs="宋体"/>
                <w:spacing w:val="-3"/>
                <w:sz w:val="18"/>
                <w:szCs w:val="18"/>
              </w:rPr>
              <w:t>促进村民对国家政策理解支持率</w:t>
            </w:r>
          </w:p>
        </w:tc>
        <w:tc>
          <w:tcPr>
            <w:tcW w:w="1155" w:type="dxa"/>
            <w:tcBorders>
              <w:left w:val="single" w:color="auto" w:sz="4" w:space="0"/>
            </w:tcBorders>
            <w:vAlign w:val="center"/>
          </w:tcPr>
          <w:p w14:paraId="17A1780B">
            <w:pPr>
              <w:spacing w:before="116" w:line="218" w:lineRule="auto"/>
              <w:ind w:left="371" w:right="215" w:hanging="180"/>
              <w:jc w:val="center"/>
              <w:rPr>
                <w:rFonts w:cs="宋体"/>
                <w:spacing w:val="-3"/>
                <w:sz w:val="18"/>
                <w:szCs w:val="18"/>
              </w:rPr>
            </w:pPr>
            <w:r>
              <w:rPr>
                <w:rFonts w:hint="eastAsia" w:cs="宋体"/>
                <w:spacing w:val="-3"/>
                <w:sz w:val="18"/>
                <w:szCs w:val="18"/>
              </w:rPr>
              <w:t>≥98%</w:t>
            </w:r>
          </w:p>
        </w:tc>
        <w:tc>
          <w:tcPr>
            <w:tcW w:w="1350" w:type="dxa"/>
            <w:vAlign w:val="center"/>
          </w:tcPr>
          <w:p w14:paraId="5A9D93B5">
            <w:pPr>
              <w:spacing w:before="116" w:line="218" w:lineRule="auto"/>
              <w:ind w:left="371" w:right="215" w:hanging="180"/>
              <w:jc w:val="center"/>
              <w:rPr>
                <w:rFonts w:cs="宋体"/>
                <w:spacing w:val="-3"/>
                <w:sz w:val="18"/>
                <w:szCs w:val="18"/>
              </w:rPr>
            </w:pPr>
            <w:r>
              <w:rPr>
                <w:rFonts w:hint="eastAsia" w:cs="宋体"/>
                <w:spacing w:val="-3"/>
                <w:sz w:val="18"/>
                <w:szCs w:val="18"/>
              </w:rPr>
              <w:t>98%</w:t>
            </w:r>
          </w:p>
        </w:tc>
        <w:tc>
          <w:tcPr>
            <w:tcW w:w="1770" w:type="dxa"/>
          </w:tcPr>
          <w:p w14:paraId="2D6957C6">
            <w:pPr>
              <w:spacing w:before="116" w:line="218" w:lineRule="auto"/>
              <w:ind w:left="371" w:right="215" w:hanging="180"/>
              <w:jc w:val="center"/>
              <w:rPr>
                <w:rFonts w:cs="宋体"/>
                <w:spacing w:val="-3"/>
                <w:sz w:val="18"/>
                <w:szCs w:val="18"/>
              </w:rPr>
            </w:pPr>
          </w:p>
        </w:tc>
      </w:tr>
      <w:tr w14:paraId="1E659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666" w:type="dxa"/>
            <w:vMerge w:val="continue"/>
            <w:tcBorders>
              <w:top w:val="single" w:color="auto" w:sz="4" w:space="0"/>
              <w:left w:val="single" w:color="auto" w:sz="4" w:space="0"/>
              <w:bottom w:val="single" w:color="auto" w:sz="4" w:space="0"/>
              <w:right w:val="single" w:color="auto" w:sz="4" w:space="0"/>
            </w:tcBorders>
          </w:tcPr>
          <w:p w14:paraId="29F208AC"/>
        </w:tc>
        <w:tc>
          <w:tcPr>
            <w:tcW w:w="840" w:type="dxa"/>
            <w:tcBorders>
              <w:top w:val="single" w:color="auto" w:sz="4" w:space="0"/>
              <w:left w:val="single" w:color="auto" w:sz="4" w:space="0"/>
              <w:bottom w:val="single" w:color="auto" w:sz="4" w:space="0"/>
              <w:right w:val="single" w:color="auto" w:sz="4" w:space="0"/>
            </w:tcBorders>
            <w:vAlign w:val="center"/>
          </w:tcPr>
          <w:p w14:paraId="47D0C1E8">
            <w:pPr>
              <w:spacing w:before="165" w:line="120" w:lineRule="exact"/>
              <w:ind w:left="81"/>
              <w:jc w:val="center"/>
              <w:rPr>
                <w:rFonts w:cs="宋体"/>
                <w:sz w:val="18"/>
                <w:szCs w:val="18"/>
              </w:rPr>
            </w:pPr>
            <w:r>
              <w:rPr>
                <w:rFonts w:cs="宋体"/>
                <w:spacing w:val="-2"/>
                <w:sz w:val="18"/>
                <w:szCs w:val="18"/>
              </w:rPr>
              <w:t>满意度</w:t>
            </w:r>
          </w:p>
          <w:p w14:paraId="0020AAA7">
            <w:pPr>
              <w:spacing w:line="120" w:lineRule="exact"/>
              <w:ind w:left="220"/>
              <w:jc w:val="center"/>
              <w:rPr>
                <w:rFonts w:cs="宋体"/>
                <w:sz w:val="18"/>
                <w:szCs w:val="18"/>
              </w:rPr>
            </w:pPr>
            <w:r>
              <w:rPr>
                <w:rFonts w:cs="宋体"/>
                <w:spacing w:val="-3"/>
                <w:sz w:val="18"/>
                <w:szCs w:val="18"/>
              </w:rPr>
              <w:t>指标</w:t>
            </w:r>
          </w:p>
        </w:tc>
        <w:tc>
          <w:tcPr>
            <w:tcW w:w="1350" w:type="dxa"/>
            <w:tcBorders>
              <w:top w:val="single" w:color="auto" w:sz="4" w:space="0"/>
              <w:left w:val="single" w:color="auto" w:sz="4" w:space="0"/>
              <w:bottom w:val="single" w:color="auto" w:sz="4" w:space="0"/>
              <w:right w:val="single" w:color="auto" w:sz="4" w:space="0"/>
            </w:tcBorders>
          </w:tcPr>
          <w:p w14:paraId="28950DE5">
            <w:pPr>
              <w:spacing w:before="165" w:line="80" w:lineRule="exact"/>
              <w:ind w:left="79"/>
              <w:jc w:val="center"/>
              <w:rPr>
                <w:rFonts w:cs="宋体"/>
                <w:spacing w:val="-2"/>
                <w:sz w:val="18"/>
                <w:szCs w:val="18"/>
              </w:rPr>
            </w:pPr>
            <w:r>
              <w:rPr>
                <w:rFonts w:cs="宋体"/>
                <w:spacing w:val="-2"/>
                <w:sz w:val="18"/>
                <w:szCs w:val="18"/>
              </w:rPr>
              <w:t>服务对象满</w:t>
            </w:r>
          </w:p>
          <w:p w14:paraId="2DC87CB0">
            <w:pPr>
              <w:spacing w:before="165" w:line="80" w:lineRule="exact"/>
              <w:ind w:left="79"/>
              <w:jc w:val="center"/>
              <w:rPr>
                <w:rFonts w:cs="宋体"/>
                <w:spacing w:val="-3"/>
                <w:sz w:val="18"/>
                <w:szCs w:val="18"/>
              </w:rPr>
            </w:pPr>
            <w:r>
              <w:rPr>
                <w:rFonts w:cs="宋体"/>
                <w:spacing w:val="-2"/>
                <w:sz w:val="18"/>
                <w:szCs w:val="18"/>
              </w:rPr>
              <w:t>意度指标</w:t>
            </w:r>
          </w:p>
        </w:tc>
        <w:tc>
          <w:tcPr>
            <w:tcW w:w="2565" w:type="dxa"/>
            <w:gridSpan w:val="2"/>
            <w:tcBorders>
              <w:top w:val="single" w:color="auto" w:sz="4" w:space="0"/>
              <w:left w:val="single" w:color="auto" w:sz="4" w:space="0"/>
              <w:bottom w:val="single" w:color="auto" w:sz="4" w:space="0"/>
              <w:right w:val="single" w:color="auto" w:sz="4" w:space="0"/>
            </w:tcBorders>
          </w:tcPr>
          <w:p w14:paraId="33813358">
            <w:pPr>
              <w:spacing w:before="116" w:line="218" w:lineRule="auto"/>
              <w:ind w:right="215"/>
              <w:jc w:val="center"/>
              <w:rPr>
                <w:rFonts w:cs="宋体"/>
                <w:spacing w:val="-3"/>
                <w:sz w:val="18"/>
                <w:szCs w:val="18"/>
              </w:rPr>
            </w:pPr>
            <w:r>
              <w:rPr>
                <w:rFonts w:hint="eastAsia" w:cs="宋体"/>
                <w:spacing w:val="-3"/>
                <w:sz w:val="18"/>
                <w:szCs w:val="18"/>
              </w:rPr>
              <w:t>全镇镇村组干部、退休干部、遗属人员、群众满意度</w:t>
            </w:r>
          </w:p>
        </w:tc>
        <w:tc>
          <w:tcPr>
            <w:tcW w:w="1155" w:type="dxa"/>
            <w:tcBorders>
              <w:left w:val="single" w:color="auto" w:sz="4" w:space="0"/>
            </w:tcBorders>
          </w:tcPr>
          <w:p w14:paraId="120B4D8E">
            <w:pPr>
              <w:spacing w:before="116" w:line="218" w:lineRule="auto"/>
              <w:ind w:left="371" w:right="215" w:hanging="180"/>
              <w:jc w:val="center"/>
              <w:rPr>
                <w:rFonts w:cs="宋体"/>
                <w:spacing w:val="-3"/>
                <w:sz w:val="18"/>
                <w:szCs w:val="18"/>
              </w:rPr>
            </w:pPr>
            <w:r>
              <w:rPr>
                <w:rFonts w:hint="eastAsia" w:cs="宋体"/>
                <w:spacing w:val="-3"/>
                <w:sz w:val="18"/>
                <w:szCs w:val="18"/>
              </w:rPr>
              <w:t>≥98%</w:t>
            </w:r>
          </w:p>
        </w:tc>
        <w:tc>
          <w:tcPr>
            <w:tcW w:w="1350" w:type="dxa"/>
          </w:tcPr>
          <w:p w14:paraId="38F0F65F">
            <w:pPr>
              <w:spacing w:before="116" w:line="218" w:lineRule="auto"/>
              <w:ind w:left="371" w:right="215" w:hanging="180"/>
              <w:jc w:val="center"/>
              <w:rPr>
                <w:rFonts w:cs="宋体"/>
                <w:spacing w:val="-3"/>
                <w:sz w:val="18"/>
                <w:szCs w:val="18"/>
              </w:rPr>
            </w:pPr>
            <w:r>
              <w:rPr>
                <w:rFonts w:hint="eastAsia" w:cs="宋体"/>
                <w:spacing w:val="-3"/>
                <w:sz w:val="18"/>
                <w:szCs w:val="18"/>
              </w:rPr>
              <w:t>98%</w:t>
            </w:r>
          </w:p>
        </w:tc>
        <w:tc>
          <w:tcPr>
            <w:tcW w:w="1770" w:type="dxa"/>
          </w:tcPr>
          <w:p w14:paraId="51053564">
            <w:pPr>
              <w:spacing w:before="116" w:line="218" w:lineRule="auto"/>
              <w:ind w:left="371" w:right="215" w:hanging="180"/>
              <w:jc w:val="center"/>
              <w:rPr>
                <w:rFonts w:cs="宋体"/>
                <w:spacing w:val="-3"/>
                <w:sz w:val="18"/>
                <w:szCs w:val="18"/>
              </w:rPr>
            </w:pPr>
          </w:p>
        </w:tc>
      </w:tr>
      <w:tr w14:paraId="60265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7926" w:type="dxa"/>
            <w:gridSpan w:val="7"/>
            <w:tcBorders>
              <w:top w:val="single" w:color="auto" w:sz="4" w:space="0"/>
              <w:left w:val="single" w:color="auto" w:sz="4" w:space="0"/>
              <w:bottom w:val="single" w:color="auto" w:sz="4" w:space="0"/>
            </w:tcBorders>
          </w:tcPr>
          <w:p w14:paraId="016D2792">
            <w:pPr>
              <w:spacing w:before="165" w:line="237" w:lineRule="auto"/>
              <w:ind w:left="81"/>
              <w:jc w:val="center"/>
              <w:rPr>
                <w:rFonts w:cs="宋体"/>
                <w:spacing w:val="-2"/>
                <w:sz w:val="18"/>
                <w:szCs w:val="18"/>
              </w:rPr>
            </w:pPr>
            <w:r>
              <w:rPr>
                <w:rFonts w:hint="eastAsia" w:cs="宋体"/>
                <w:spacing w:val="-2"/>
                <w:sz w:val="18"/>
                <w:szCs w:val="18"/>
              </w:rPr>
              <w:t>总分</w:t>
            </w:r>
          </w:p>
        </w:tc>
        <w:tc>
          <w:tcPr>
            <w:tcW w:w="1770" w:type="dxa"/>
          </w:tcPr>
          <w:p w14:paraId="3E8EEA98">
            <w:pPr>
              <w:spacing w:before="165" w:line="237" w:lineRule="auto"/>
              <w:ind w:left="81"/>
              <w:jc w:val="center"/>
              <w:rPr>
                <w:rFonts w:cs="宋体"/>
                <w:spacing w:val="-2"/>
                <w:sz w:val="18"/>
                <w:szCs w:val="18"/>
              </w:rPr>
            </w:pPr>
            <w:r>
              <w:rPr>
                <w:rFonts w:hint="eastAsia" w:cs="宋体"/>
                <w:spacing w:val="-2"/>
                <w:sz w:val="18"/>
                <w:szCs w:val="18"/>
              </w:rPr>
              <w:t>99.5</w:t>
            </w:r>
          </w:p>
        </w:tc>
      </w:tr>
    </w:tbl>
    <w:p w14:paraId="1E0581FA">
      <w:pPr>
        <w:spacing w:line="320" w:lineRule="auto"/>
      </w:pPr>
    </w:p>
    <w:p w14:paraId="510B1AF7"/>
    <w:p w14:paraId="7801AF99">
      <w:pPr>
        <w:pStyle w:val="2"/>
        <w:spacing w:before="93"/>
      </w:pPr>
    </w:p>
    <w:p w14:paraId="2CDFCCC6">
      <w:pPr>
        <w:pStyle w:val="2"/>
        <w:spacing w:before="93"/>
      </w:pPr>
    </w:p>
    <w:p w14:paraId="0BB74BE5">
      <w:pPr>
        <w:spacing w:line="576" w:lineRule="exact"/>
        <w:jc w:val="center"/>
        <w:rPr>
          <w:rFonts w:ascii="黑体" w:hAnsi="黑体" w:eastAsia="黑体"/>
          <w:color w:val="000000" w:themeColor="text1"/>
          <w:sz w:val="44"/>
          <w:szCs w:val="44"/>
        </w:rPr>
      </w:pPr>
    </w:p>
    <w:p w14:paraId="7895B8B2">
      <w:pPr>
        <w:pStyle w:val="2"/>
        <w:spacing w:before="93"/>
      </w:pPr>
    </w:p>
    <w:p w14:paraId="505995D4">
      <w:pPr>
        <w:pStyle w:val="2"/>
        <w:spacing w:before="93"/>
      </w:pPr>
    </w:p>
    <w:p w14:paraId="771A4671">
      <w:pPr>
        <w:pStyle w:val="2"/>
        <w:spacing w:before="93"/>
      </w:pPr>
    </w:p>
    <w:p w14:paraId="573F2512">
      <w:pPr>
        <w:pStyle w:val="2"/>
        <w:spacing w:before="93"/>
      </w:pPr>
    </w:p>
    <w:p w14:paraId="26FB9800">
      <w:pPr>
        <w:pStyle w:val="2"/>
        <w:spacing w:before="93"/>
      </w:pPr>
    </w:p>
    <w:p w14:paraId="191B0DBD">
      <w:pPr>
        <w:pStyle w:val="2"/>
        <w:spacing w:before="93"/>
      </w:pPr>
    </w:p>
    <w:p w14:paraId="2C85AAF0">
      <w:pPr>
        <w:pStyle w:val="2"/>
        <w:spacing w:before="93"/>
      </w:pPr>
    </w:p>
    <w:p w14:paraId="78E04198">
      <w:pPr>
        <w:pStyle w:val="2"/>
        <w:spacing w:before="93"/>
        <w:rPr>
          <w:sz w:val="32"/>
          <w:szCs w:val="32"/>
        </w:rPr>
      </w:pPr>
      <w:r>
        <w:rPr>
          <w:rFonts w:hint="eastAsia" w:hAnsi="宋体" w:cs="宋体"/>
          <w:sz w:val="32"/>
          <w:szCs w:val="32"/>
          <w:shd w:val="clear" w:color="auto" w:fill="FFFFFF"/>
          <w:lang w:val="zh-CN"/>
        </w:rPr>
        <w:t>附件</w:t>
      </w:r>
      <w:r>
        <w:rPr>
          <w:rFonts w:hint="eastAsia" w:hAnsi="宋体" w:cs="宋体"/>
          <w:sz w:val="32"/>
          <w:szCs w:val="32"/>
          <w:shd w:val="clear" w:color="auto" w:fill="FFFFFF"/>
        </w:rPr>
        <w:t>2</w:t>
      </w:r>
    </w:p>
    <w:p w14:paraId="1C20C931">
      <w:pPr>
        <w:snapToGrid w:val="0"/>
        <w:spacing w:line="576" w:lineRule="exact"/>
        <w:jc w:val="center"/>
        <w:rPr>
          <w:rFonts w:eastAsia="方正小标宋简体"/>
          <w:sz w:val="44"/>
          <w:szCs w:val="44"/>
        </w:rPr>
      </w:pPr>
      <w:r>
        <w:rPr>
          <w:rFonts w:hint="eastAsia" w:eastAsia="方正小标宋简体"/>
          <w:sz w:val="44"/>
          <w:szCs w:val="44"/>
        </w:rPr>
        <w:t>广元市昭化区王家镇人民政府</w:t>
      </w:r>
    </w:p>
    <w:p w14:paraId="43A3C208">
      <w:pPr>
        <w:snapToGrid w:val="0"/>
        <w:spacing w:line="576" w:lineRule="exact"/>
        <w:jc w:val="center"/>
        <w:rPr>
          <w:rFonts w:eastAsia="方正小标宋简体"/>
          <w:sz w:val="44"/>
          <w:szCs w:val="44"/>
        </w:rPr>
      </w:pPr>
      <w:r>
        <w:rPr>
          <w:rFonts w:hint="eastAsia" w:eastAsia="方正小标宋简体"/>
          <w:sz w:val="44"/>
          <w:szCs w:val="44"/>
        </w:rPr>
        <w:t>关于</w:t>
      </w:r>
      <w:r>
        <w:rPr>
          <w:rFonts w:hint="eastAsia" w:eastAsia="方正小标宋简体"/>
          <w:sz w:val="44"/>
          <w:szCs w:val="44"/>
          <w:lang w:val="zh-CN"/>
        </w:rPr>
        <w:t>2022年基层组织活动和公共服务运行经费</w:t>
      </w:r>
      <w:r>
        <w:rPr>
          <w:rFonts w:eastAsia="方正小标宋简体"/>
          <w:sz w:val="44"/>
          <w:szCs w:val="44"/>
        </w:rPr>
        <w:t>项目支出绩效自评报告</w:t>
      </w:r>
    </w:p>
    <w:p w14:paraId="7C1A8F07">
      <w:pPr>
        <w:spacing w:line="576" w:lineRule="exact"/>
        <w:rPr>
          <w:sz w:val="30"/>
          <w:szCs w:val="30"/>
        </w:rPr>
      </w:pPr>
    </w:p>
    <w:p w14:paraId="028F9037">
      <w:pPr>
        <w:numPr>
          <w:ilvl w:val="0"/>
          <w:numId w:val="4"/>
        </w:numPr>
        <w:adjustRightInd w:val="0"/>
        <w:snapToGrid w:val="0"/>
        <w:spacing w:line="576" w:lineRule="exact"/>
        <w:ind w:firstLine="640" w:firstLineChars="200"/>
        <w:outlineLvl w:val="1"/>
        <w:rPr>
          <w:rFonts w:eastAsia="黑体"/>
          <w:lang w:val="zh-CN"/>
        </w:rPr>
      </w:pPr>
      <w:bookmarkStart w:id="197" w:name="_Toc19121"/>
      <w:bookmarkStart w:id="198" w:name="_Toc12471"/>
      <w:bookmarkStart w:id="199" w:name="_Toc20696"/>
      <w:r>
        <w:rPr>
          <w:rFonts w:eastAsia="黑体"/>
          <w:sz w:val="32"/>
          <w:szCs w:val="32"/>
          <w:lang w:val="zh-CN"/>
        </w:rPr>
        <w:t>项目概况</w:t>
      </w:r>
      <w:bookmarkEnd w:id="197"/>
      <w:bookmarkEnd w:id="198"/>
      <w:bookmarkEnd w:id="199"/>
    </w:p>
    <w:p w14:paraId="3D17890E">
      <w:pPr>
        <w:adjustRightInd w:val="0"/>
        <w:snapToGrid w:val="0"/>
        <w:spacing w:line="520" w:lineRule="exact"/>
        <w:ind w:firstLine="640" w:firstLineChars="200"/>
        <w:outlineLvl w:val="2"/>
        <w:rPr>
          <w:rFonts w:eastAsia="楷体_GB2312"/>
          <w:lang w:val="zh-CN"/>
        </w:rPr>
      </w:pPr>
      <w:bookmarkStart w:id="200" w:name="_Toc20234"/>
      <w:bookmarkStart w:id="201" w:name="_Toc1026"/>
      <w:r>
        <w:rPr>
          <w:rFonts w:hint="eastAsia" w:eastAsia="楷体_GB2312"/>
          <w:sz w:val="32"/>
          <w:szCs w:val="32"/>
          <w:lang w:val="zh-CN"/>
        </w:rPr>
        <w:t>（一）</w:t>
      </w:r>
      <w:r>
        <w:rPr>
          <w:rFonts w:eastAsia="楷体_GB2312"/>
          <w:sz w:val="32"/>
          <w:szCs w:val="32"/>
          <w:lang w:val="zh-CN"/>
        </w:rPr>
        <w:t>项目</w:t>
      </w:r>
      <w:r>
        <w:rPr>
          <w:rFonts w:hint="eastAsia" w:eastAsia="楷体_GB2312"/>
          <w:sz w:val="32"/>
          <w:szCs w:val="32"/>
          <w:lang w:val="zh-CN"/>
        </w:rPr>
        <w:t>资金申报及批复情况。</w:t>
      </w:r>
      <w:bookmarkEnd w:id="200"/>
      <w:bookmarkEnd w:id="201"/>
    </w:p>
    <w:p w14:paraId="3A5D6F34">
      <w:pPr>
        <w:adjustRightInd w:val="0"/>
        <w:snapToGrid w:val="0"/>
        <w:spacing w:line="560" w:lineRule="exact"/>
        <w:ind w:firstLine="720"/>
        <w:rPr>
          <w:lang w:val="zh-CN"/>
        </w:rPr>
      </w:pPr>
      <w:r>
        <w:rPr>
          <w:rFonts w:hint="eastAsia" w:ascii="仿宋_GB2312" w:hAnsi="宋体" w:eastAsia="仿宋_GB2312"/>
          <w:sz w:val="32"/>
          <w:szCs w:val="32"/>
        </w:rPr>
        <w:t>根据《广元市昭化区基层组织活动和公共服务运行经费管理使用管理办法》</w:t>
      </w:r>
      <w:r>
        <w:rPr>
          <w:rFonts w:hint="eastAsia" w:ascii="仿宋_GB2312" w:hAnsi="宋体"/>
          <w:sz w:val="32"/>
          <w:szCs w:val="32"/>
        </w:rPr>
        <w:t>要求</w:t>
      </w:r>
      <w:r>
        <w:rPr>
          <w:rFonts w:hint="eastAsia" w:ascii="仿宋_GB2312" w:hAnsi="宋体" w:eastAsia="仿宋_GB2312"/>
          <w:sz w:val="32"/>
          <w:szCs w:val="32"/>
        </w:rPr>
        <w:t>，广元市昭化区</w:t>
      </w:r>
      <w:r>
        <w:rPr>
          <w:rFonts w:hint="eastAsia" w:ascii="仿宋_GB2312" w:hAnsi="宋体"/>
          <w:sz w:val="32"/>
          <w:szCs w:val="32"/>
        </w:rPr>
        <w:t>王家</w:t>
      </w:r>
      <w:r>
        <w:rPr>
          <w:rFonts w:hint="eastAsia" w:ascii="仿宋_GB2312" w:hAnsi="宋体" w:eastAsia="仿宋_GB2312"/>
          <w:sz w:val="32"/>
          <w:szCs w:val="32"/>
        </w:rPr>
        <w:t>镇辖</w:t>
      </w:r>
      <w:r>
        <w:rPr>
          <w:rFonts w:hint="eastAsia" w:ascii="仿宋_GB2312" w:hAnsi="宋体"/>
          <w:sz w:val="32"/>
          <w:szCs w:val="32"/>
        </w:rPr>
        <w:t>11</w:t>
      </w:r>
      <w:r>
        <w:rPr>
          <w:rFonts w:hint="eastAsia" w:ascii="仿宋_GB2312" w:hAnsi="宋体" w:eastAsia="仿宋_GB2312"/>
          <w:sz w:val="32"/>
          <w:szCs w:val="32"/>
        </w:rPr>
        <w:t>个村1个社区，</w:t>
      </w:r>
      <w:r>
        <w:rPr>
          <w:rFonts w:hint="eastAsia" w:ascii="仿宋_GB2312" w:hAnsi="仿宋_GB2312" w:eastAsia="仿宋_GB2312" w:cs="仿宋_GB2312"/>
          <w:sz w:val="32"/>
          <w:szCs w:val="32"/>
          <w:lang w:val="zh-CN"/>
        </w:rPr>
        <w:t>荣华村、五马村、文星村、安平村、作功村</w:t>
      </w:r>
      <w:r>
        <w:rPr>
          <w:rFonts w:hint="eastAsia" w:ascii="仿宋_GB2312" w:hAnsi="仿宋_GB2312" w:eastAsia="仿宋_GB2312" w:cs="仿宋_GB2312"/>
          <w:sz w:val="32"/>
          <w:szCs w:val="32"/>
        </w:rPr>
        <w:t>5村按三类村（社区）</w:t>
      </w:r>
      <w:r>
        <w:rPr>
          <w:rFonts w:hint="eastAsia" w:ascii="仿宋_GB2312" w:hAnsi="仿宋_GB2312" w:eastAsia="仿宋_GB2312" w:cs="仿宋_GB2312"/>
          <w:sz w:val="32"/>
          <w:szCs w:val="32"/>
          <w:lang w:val="zh-CN"/>
        </w:rPr>
        <w:t>计划资金均分别为</w:t>
      </w:r>
      <w:r>
        <w:rPr>
          <w:rFonts w:hint="eastAsia" w:ascii="仿宋_GB2312" w:hAnsi="仿宋_GB2312" w:eastAsia="仿宋_GB2312" w:cs="仿宋_GB2312"/>
          <w:sz w:val="32"/>
          <w:szCs w:val="32"/>
        </w:rPr>
        <w:t>6万元；（2）金星村、银鱼村、方山村、新华村、金帽铺社区5村（社区）按二类村（社区）</w:t>
      </w:r>
      <w:r>
        <w:rPr>
          <w:rFonts w:hint="eastAsia" w:ascii="仿宋_GB2312" w:hAnsi="仿宋_GB2312" w:eastAsia="仿宋_GB2312" w:cs="仿宋_GB2312"/>
          <w:sz w:val="32"/>
          <w:szCs w:val="32"/>
          <w:lang w:val="zh-CN"/>
        </w:rPr>
        <w:t>计划资金分别为</w:t>
      </w:r>
      <w:r>
        <w:rPr>
          <w:rFonts w:hint="eastAsia" w:ascii="仿宋_GB2312" w:hAnsi="仿宋_GB2312" w:eastAsia="仿宋_GB2312" w:cs="仿宋_GB2312"/>
          <w:sz w:val="32"/>
          <w:szCs w:val="32"/>
        </w:rPr>
        <w:t>7万元；（3）红庙村、晋贤村按一类村</w:t>
      </w:r>
      <w:r>
        <w:rPr>
          <w:rFonts w:hint="eastAsia" w:ascii="仿宋_GB2312" w:hAnsi="仿宋_GB2312" w:eastAsia="仿宋_GB2312" w:cs="仿宋_GB2312"/>
          <w:sz w:val="32"/>
          <w:szCs w:val="32"/>
          <w:lang w:val="zh-CN"/>
        </w:rPr>
        <w:t>计划资金分别为</w:t>
      </w:r>
      <w:r>
        <w:rPr>
          <w:rFonts w:hint="eastAsia" w:ascii="仿宋_GB2312" w:hAnsi="仿宋_GB2312" w:eastAsia="仿宋_GB2312" w:cs="仿宋_GB2312"/>
          <w:sz w:val="32"/>
          <w:szCs w:val="32"/>
        </w:rPr>
        <w:t xml:space="preserve">8万元； </w:t>
      </w:r>
      <w:r>
        <w:rPr>
          <w:rFonts w:hint="eastAsia" w:ascii="仿宋_GB2312" w:hAnsi="仿宋_GB2312" w:eastAsia="仿宋_GB2312" w:cs="仿宋_GB2312"/>
          <w:sz w:val="32"/>
          <w:szCs w:val="32"/>
          <w:lang w:val="zh-CN"/>
        </w:rPr>
        <w:t>村（社区）实行报账制度。区级、镇本级资金到位率均为100%。</w:t>
      </w:r>
    </w:p>
    <w:p w14:paraId="63B2B57D">
      <w:pPr>
        <w:adjustRightInd w:val="0"/>
        <w:snapToGrid w:val="0"/>
        <w:spacing w:line="576" w:lineRule="exact"/>
        <w:ind w:firstLine="640" w:firstLineChars="200"/>
        <w:rPr>
          <w:rFonts w:ascii="仿宋_GB2312" w:hAnsi="仿宋_GB2312" w:cs="仿宋_GB2312"/>
          <w:lang w:val="zh-CN"/>
        </w:rPr>
      </w:pPr>
      <w:r>
        <w:rPr>
          <w:rFonts w:eastAsia="楷体_GB2312"/>
          <w:sz w:val="32"/>
          <w:szCs w:val="32"/>
          <w:lang w:val="zh-CN"/>
        </w:rPr>
        <w:t>（二）项目绩效目标。</w:t>
      </w:r>
      <w:r>
        <w:rPr>
          <w:rFonts w:hint="eastAsia" w:ascii="仿宋_GB2312" w:hAnsi="仿宋_GB2312" w:eastAsia="仿宋_GB2312" w:cs="仿宋_GB2312"/>
          <w:sz w:val="32"/>
          <w:szCs w:val="32"/>
          <w:lang w:val="zh-CN"/>
        </w:rPr>
        <w:t>20</w:t>
      </w:r>
      <w:r>
        <w:rPr>
          <w:rFonts w:hint="eastAsia" w:ascii="仿宋_GB2312" w:hAnsi="仿宋_GB2312" w:eastAsia="仿宋_GB2312" w:cs="仿宋_GB2312"/>
          <w:sz w:val="32"/>
          <w:szCs w:val="32"/>
        </w:rPr>
        <w:t>2</w:t>
      </w:r>
      <w:r>
        <w:rPr>
          <w:rFonts w:hint="eastAsia" w:ascii="仿宋_GB2312" w:hAnsi="仿宋_GB2312" w:cs="仿宋_GB2312"/>
          <w:sz w:val="32"/>
          <w:szCs w:val="32"/>
        </w:rPr>
        <w:t>2</w:t>
      </w:r>
      <w:r>
        <w:rPr>
          <w:rFonts w:hint="eastAsia" w:ascii="仿宋_GB2312" w:hAnsi="仿宋_GB2312" w:eastAsia="仿宋_GB2312" w:cs="仿宋_GB2312"/>
          <w:sz w:val="32"/>
          <w:szCs w:val="32"/>
          <w:lang w:val="zh-CN"/>
        </w:rPr>
        <w:t>年该项目主要用于</w:t>
      </w:r>
      <w:r>
        <w:rPr>
          <w:rFonts w:hint="eastAsia" w:ascii="仿宋_GB2312" w:hAnsi="仿宋_GB2312" w:cs="仿宋_GB2312"/>
          <w:sz w:val="32"/>
          <w:szCs w:val="32"/>
          <w:lang w:val="zh-CN"/>
        </w:rPr>
        <w:t>王家</w:t>
      </w:r>
      <w:r>
        <w:rPr>
          <w:rFonts w:hint="eastAsia" w:ascii="仿宋_GB2312" w:hAnsi="仿宋_GB2312" w:eastAsia="仿宋_GB2312" w:cs="仿宋_GB2312"/>
          <w:sz w:val="32"/>
          <w:szCs w:val="32"/>
          <w:lang w:val="zh-CN"/>
        </w:rPr>
        <w:t>镇</w:t>
      </w:r>
      <w:r>
        <w:rPr>
          <w:rFonts w:hint="eastAsia" w:ascii="仿宋_GB2312" w:hAnsi="仿宋_GB2312" w:cs="仿宋_GB2312"/>
          <w:sz w:val="32"/>
          <w:szCs w:val="32"/>
        </w:rPr>
        <w:t>11</w:t>
      </w:r>
      <w:r>
        <w:rPr>
          <w:rFonts w:hint="eastAsia" w:ascii="仿宋_GB2312" w:hAnsi="仿宋_GB2312" w:eastAsia="仿宋_GB2312" w:cs="仿宋_GB2312"/>
          <w:sz w:val="32"/>
          <w:szCs w:val="32"/>
          <w:lang w:val="zh-CN"/>
        </w:rPr>
        <w:t>村</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zh-CN"/>
        </w:rPr>
        <w:t>社区的辖区内道路、水利、供水</w:t>
      </w:r>
      <w:r>
        <w:rPr>
          <w:rFonts w:hint="eastAsia" w:ascii="仿宋_GB2312" w:hAnsi="仿宋_GB2312" w:cs="仿宋_GB2312"/>
          <w:sz w:val="32"/>
          <w:szCs w:val="32"/>
          <w:lang w:val="zh-CN"/>
        </w:rPr>
        <w:t>、</w:t>
      </w:r>
      <w:r>
        <w:rPr>
          <w:rFonts w:hint="eastAsia" w:ascii="仿宋_GB2312" w:hAnsi="仿宋_GB2312" w:cs="仿宋_GB2312"/>
          <w:sz w:val="32"/>
          <w:szCs w:val="32"/>
        </w:rPr>
        <w:t>公园修复</w:t>
      </w:r>
      <w:r>
        <w:rPr>
          <w:rFonts w:hint="eastAsia" w:ascii="仿宋_GB2312" w:hAnsi="仿宋_GB2312" w:eastAsia="仿宋_GB2312" w:cs="仿宋_GB2312"/>
          <w:sz w:val="32"/>
          <w:szCs w:val="32"/>
          <w:lang w:val="zh-CN"/>
        </w:rPr>
        <w:t>等基础设施，农村垃圾、园林绿化等；农业科技推广、农业信息化、农业资源与生态保护等；农村生活服务“村村通”、电影放映服务、报刊图书阅览服务、文体及健身活动等；农村社会管理环境卫生监督管理、政策宣传、农村土地规划管理、食品安全保障等服务维护活动。</w:t>
      </w:r>
    </w:p>
    <w:p w14:paraId="1521BB0F">
      <w:pPr>
        <w:adjustRightInd w:val="0"/>
        <w:snapToGrid w:val="0"/>
        <w:spacing w:line="520" w:lineRule="exact"/>
        <w:ind w:firstLine="640" w:firstLineChars="200"/>
        <w:rPr>
          <w:rFonts w:ascii="仿宋_GB2312" w:hAnsi="宋体"/>
        </w:rPr>
      </w:pPr>
      <w:r>
        <w:rPr>
          <w:rFonts w:eastAsia="楷体_GB2312"/>
          <w:sz w:val="32"/>
          <w:szCs w:val="32"/>
          <w:lang w:val="zh-CN"/>
        </w:rPr>
        <w:t>（三）项目资金申报相符性。</w:t>
      </w:r>
      <w:r>
        <w:rPr>
          <w:rFonts w:hint="eastAsia" w:ascii="仿宋_GB2312" w:hAnsi="宋体" w:eastAsia="仿宋_GB2312"/>
          <w:sz w:val="32"/>
          <w:szCs w:val="32"/>
        </w:rPr>
        <w:t>为确保202</w:t>
      </w:r>
      <w:r>
        <w:rPr>
          <w:rFonts w:hint="eastAsia" w:ascii="仿宋_GB2312" w:hAnsi="宋体"/>
          <w:sz w:val="32"/>
          <w:szCs w:val="32"/>
        </w:rPr>
        <w:t>2</w:t>
      </w:r>
      <w:r>
        <w:rPr>
          <w:rFonts w:hint="eastAsia" w:ascii="仿宋_GB2312" w:hAnsi="宋体" w:eastAsia="仿宋_GB2312"/>
          <w:sz w:val="32"/>
          <w:szCs w:val="32"/>
        </w:rPr>
        <w:t>年基层组织活动和公共运行维护经费（202</w:t>
      </w:r>
      <w:r>
        <w:rPr>
          <w:rFonts w:hint="eastAsia" w:ascii="仿宋_GB2312" w:hAnsi="宋体"/>
          <w:sz w:val="32"/>
          <w:szCs w:val="32"/>
        </w:rPr>
        <w:t>2</w:t>
      </w:r>
      <w:r>
        <w:rPr>
          <w:rFonts w:hint="eastAsia" w:ascii="仿宋_GB2312" w:hAnsi="宋体" w:eastAsia="仿宋_GB2312"/>
          <w:sz w:val="32"/>
          <w:szCs w:val="32"/>
        </w:rPr>
        <w:t>年）项目顺利实施，按照国家、省政府有关文件精神，将基层组织活动和公共运行维护经费（202</w:t>
      </w:r>
      <w:r>
        <w:rPr>
          <w:rFonts w:hint="eastAsia" w:ascii="仿宋_GB2312" w:hAnsi="宋体"/>
          <w:sz w:val="32"/>
          <w:szCs w:val="32"/>
        </w:rPr>
        <w:t>2</w:t>
      </w:r>
      <w:r>
        <w:rPr>
          <w:rFonts w:hint="eastAsia" w:ascii="仿宋_GB2312" w:hAnsi="宋体" w:eastAsia="仿宋_GB2312"/>
          <w:sz w:val="32"/>
          <w:szCs w:val="32"/>
        </w:rPr>
        <w:t>年）项目纳入重要议事日程，未雨绸缪，统筹规划，科学安排。尤其要做好运行经费的年度预算编制与申请工作，积极协调各有关部门，确保经费、机构、人员、办公条件落实实处，确保基层组织活动和公共服务运行正常。</w:t>
      </w:r>
    </w:p>
    <w:p w14:paraId="1ECE0DB8">
      <w:pPr>
        <w:adjustRightInd w:val="0"/>
        <w:snapToGrid w:val="0"/>
        <w:spacing w:line="576" w:lineRule="exact"/>
        <w:ind w:firstLine="640" w:firstLineChars="200"/>
        <w:outlineLvl w:val="2"/>
        <w:rPr>
          <w:rFonts w:eastAsia="楷体_GB2312"/>
          <w:lang w:val="zh-CN"/>
        </w:rPr>
      </w:pPr>
      <w:bookmarkStart w:id="202" w:name="_Toc13981"/>
      <w:bookmarkStart w:id="203" w:name="_Toc7886"/>
      <w:r>
        <w:rPr>
          <w:rFonts w:hint="eastAsia" w:eastAsia="楷体_GB2312"/>
          <w:sz w:val="32"/>
          <w:szCs w:val="32"/>
          <w:lang w:val="zh-CN"/>
        </w:rPr>
        <w:t>（四）自评步骤及方法</w:t>
      </w:r>
      <w:bookmarkEnd w:id="202"/>
      <w:bookmarkEnd w:id="203"/>
    </w:p>
    <w:p w14:paraId="32079E9F">
      <w:pPr>
        <w:adjustRightInd w:val="0"/>
        <w:snapToGrid w:val="0"/>
        <w:spacing w:line="576" w:lineRule="exact"/>
        <w:ind w:firstLine="640" w:firstLineChars="200"/>
        <w:rPr>
          <w:rFonts w:ascii="仿宋_GB2312" w:hAnsi="宋体"/>
        </w:rPr>
      </w:pPr>
      <w:r>
        <w:rPr>
          <w:rFonts w:hint="eastAsia" w:ascii="仿宋_GB2312" w:hAnsi="宋体" w:eastAsia="仿宋_GB2312"/>
          <w:sz w:val="32"/>
          <w:szCs w:val="32"/>
        </w:rPr>
        <w:t>本项目采取自评与他评相结合方式，成立项目自评小组，结合评价内容，做到有计划，有安排，扎实开展本次自评工作。按照上级下达的项目支出绩效评价指标体系，自评小组针对申报内容、实施情况、资金兑现、财务管理、社会效益等做出自我评价，认真听取村、社区居民建议意见，做好自评工作。</w:t>
      </w:r>
    </w:p>
    <w:p w14:paraId="65642DAB">
      <w:pPr>
        <w:adjustRightInd w:val="0"/>
        <w:snapToGrid w:val="0"/>
        <w:spacing w:line="576" w:lineRule="exact"/>
        <w:ind w:firstLine="640" w:firstLineChars="200"/>
        <w:outlineLvl w:val="1"/>
        <w:rPr>
          <w:rFonts w:eastAsia="黑体"/>
        </w:rPr>
      </w:pPr>
      <w:bookmarkStart w:id="204" w:name="_Toc28046"/>
      <w:bookmarkStart w:id="205" w:name="_Toc6727"/>
      <w:bookmarkStart w:id="206" w:name="_Toc11082"/>
      <w:r>
        <w:rPr>
          <w:rFonts w:eastAsia="黑体"/>
          <w:sz w:val="32"/>
          <w:szCs w:val="32"/>
        </w:rPr>
        <w:t>二、项目实施及管理情况</w:t>
      </w:r>
      <w:bookmarkEnd w:id="204"/>
      <w:bookmarkEnd w:id="205"/>
      <w:bookmarkEnd w:id="206"/>
    </w:p>
    <w:p w14:paraId="5C238B0E">
      <w:pPr>
        <w:adjustRightInd w:val="0"/>
        <w:snapToGrid w:val="0"/>
        <w:spacing w:line="576" w:lineRule="exact"/>
        <w:ind w:firstLine="640" w:firstLineChars="200"/>
        <w:outlineLvl w:val="2"/>
        <w:rPr>
          <w:rFonts w:eastAsia="楷体_GB2312"/>
          <w:lang w:val="zh-CN"/>
        </w:rPr>
      </w:pPr>
      <w:bookmarkStart w:id="207" w:name="_Toc12796"/>
      <w:bookmarkStart w:id="208" w:name="_Toc9215"/>
      <w:r>
        <w:rPr>
          <w:rFonts w:eastAsia="楷体_GB2312"/>
          <w:sz w:val="32"/>
          <w:szCs w:val="32"/>
          <w:lang w:val="zh-CN"/>
        </w:rPr>
        <w:t>（一）资金计划、到位及使用情况</w:t>
      </w:r>
      <w:bookmarkEnd w:id="207"/>
      <w:bookmarkEnd w:id="208"/>
    </w:p>
    <w:p w14:paraId="6FA617AA">
      <w:pPr>
        <w:adjustRightInd w:val="0"/>
        <w:snapToGrid w:val="0"/>
        <w:spacing w:line="576" w:lineRule="exact"/>
        <w:ind w:firstLine="640" w:firstLineChars="200"/>
        <w:rPr>
          <w:rFonts w:ascii="仿宋_GB2312" w:hAnsi="宋体" w:eastAsia="仿宋_GB2312"/>
          <w:sz w:val="32"/>
          <w:szCs w:val="32"/>
        </w:rPr>
      </w:pPr>
      <w:r>
        <w:rPr>
          <w:rFonts w:hint="eastAsia"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资金计划及到位。本项目资金来源为财政拨款，总投入为</w:t>
      </w:r>
      <w:r>
        <w:rPr>
          <w:rFonts w:hint="eastAsia" w:ascii="仿宋_GB2312" w:hAnsi="宋体" w:eastAsia="仿宋_GB2312"/>
          <w:sz w:val="32"/>
          <w:szCs w:val="32"/>
        </w:rPr>
        <w:t>81万元，资金于2022年初部门预算批复到位。</w:t>
      </w:r>
    </w:p>
    <w:p w14:paraId="2C747F92">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2</w:t>
      </w:r>
      <w:r>
        <w:rPr>
          <w:rFonts w:hint="eastAsia" w:ascii="仿宋_GB2312" w:hAnsi="宋体" w:eastAsia="仿宋_GB2312"/>
          <w:sz w:val="32"/>
          <w:szCs w:val="32"/>
        </w:rPr>
        <w:t>.</w:t>
      </w:r>
      <w:r>
        <w:rPr>
          <w:rFonts w:hint="eastAsia" w:ascii="仿宋_GB2312" w:hAnsi="宋体" w:eastAsia="仿宋_GB2312"/>
          <w:sz w:val="32"/>
          <w:szCs w:val="32"/>
          <w:lang w:val="zh-CN"/>
        </w:rPr>
        <w:t>资金使用。汇总统计截止评价时点项目资金的实际支出情况，并对资金的安全性、规范性及有效性进行重点分析，包括资金开支范围、支付标准、支付进度、支付依据等是否合规合法、是否与预算相符，并对自评中发现的相关问题进行分析说明。</w:t>
      </w:r>
    </w:p>
    <w:p w14:paraId="77FA6558">
      <w:pPr>
        <w:adjustRightInd w:val="0"/>
        <w:snapToGrid w:val="0"/>
        <w:spacing w:line="576" w:lineRule="exact"/>
        <w:ind w:firstLine="640" w:firstLineChars="200"/>
        <w:outlineLvl w:val="2"/>
        <w:rPr>
          <w:rFonts w:eastAsia="楷体_GB2312"/>
          <w:lang w:val="zh-CN"/>
        </w:rPr>
      </w:pPr>
      <w:bookmarkStart w:id="209" w:name="_Toc4394"/>
      <w:bookmarkStart w:id="210" w:name="_Toc7454"/>
      <w:r>
        <w:rPr>
          <w:rFonts w:eastAsia="楷体_GB2312"/>
          <w:sz w:val="32"/>
          <w:szCs w:val="32"/>
          <w:lang w:val="zh-CN"/>
        </w:rPr>
        <w:t>（二）项目财务管理情况</w:t>
      </w:r>
      <w:bookmarkEnd w:id="209"/>
      <w:bookmarkEnd w:id="210"/>
    </w:p>
    <w:p w14:paraId="3B61C64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镇严格按照区财政局要求，各村居完善相关报账资料，并经村居负责人、联村领导、分管领导以及镇长签字后，上报区财政相关股室审核和领导审批后，直接打卡到施工单位（人）。按照项目资金管理办法和财务管理制度，按时记录收入和支出，会计核算规范正确。</w:t>
      </w:r>
    </w:p>
    <w:p w14:paraId="3440A6A5">
      <w:pPr>
        <w:adjustRightInd w:val="0"/>
        <w:snapToGrid w:val="0"/>
        <w:spacing w:line="576" w:lineRule="exact"/>
        <w:ind w:firstLine="640" w:firstLineChars="200"/>
        <w:outlineLvl w:val="2"/>
        <w:rPr>
          <w:rFonts w:eastAsia="楷体_GB2312"/>
          <w:lang w:val="zh-CN"/>
        </w:rPr>
      </w:pPr>
      <w:bookmarkStart w:id="211" w:name="_Toc3803"/>
      <w:bookmarkStart w:id="212" w:name="_Toc30086"/>
      <w:r>
        <w:rPr>
          <w:rFonts w:eastAsia="楷体_GB2312"/>
          <w:sz w:val="32"/>
          <w:szCs w:val="32"/>
          <w:lang w:val="zh-CN"/>
        </w:rPr>
        <w:t>（三）项目组织实施</w:t>
      </w:r>
      <w:r>
        <w:rPr>
          <w:rFonts w:hint="eastAsia" w:eastAsia="楷体_GB2312"/>
          <w:sz w:val="32"/>
          <w:szCs w:val="32"/>
          <w:lang w:val="zh-CN"/>
        </w:rPr>
        <w:t>及管理</w:t>
      </w:r>
      <w:r>
        <w:rPr>
          <w:rFonts w:eastAsia="楷体_GB2312"/>
          <w:sz w:val="32"/>
          <w:szCs w:val="32"/>
          <w:lang w:val="zh-CN"/>
        </w:rPr>
        <w:t>情况</w:t>
      </w:r>
      <w:bookmarkEnd w:id="211"/>
      <w:bookmarkEnd w:id="212"/>
    </w:p>
    <w:p w14:paraId="50A3B2BB">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一是镇党委政府高度重视农村公共运行服务项目，并成立工作领导小组。以镇党委副书记、镇长为组长，各联村（社区）领导为副组长，农经站负责人、财政所负责人、各村（社区书记）为成员。抓牢抓实此项目的实施。二是项目资金由镇财政所具体管理，按投资计划，制定管理制度，对项目资金按项目单独核算实行“专款专用、专人管理”，不得挤占挪用项目资金。三是强化监督，项目的正常实施监督检查是保障。定期或不定期对项目进行现场检查和督查，确保项目建设质量。</w:t>
      </w:r>
    </w:p>
    <w:p w14:paraId="16270F69">
      <w:pPr>
        <w:adjustRightInd w:val="0"/>
        <w:snapToGrid w:val="0"/>
        <w:spacing w:line="576" w:lineRule="exact"/>
        <w:ind w:firstLine="640" w:firstLineChars="200"/>
        <w:outlineLvl w:val="1"/>
        <w:rPr>
          <w:lang w:val="zh-CN"/>
        </w:rPr>
      </w:pPr>
      <w:bookmarkStart w:id="213" w:name="_Toc645"/>
      <w:bookmarkStart w:id="214" w:name="_Toc28589"/>
      <w:bookmarkStart w:id="215" w:name="_Toc31622"/>
      <w:r>
        <w:rPr>
          <w:rFonts w:eastAsia="黑体"/>
          <w:sz w:val="32"/>
          <w:szCs w:val="32"/>
        </w:rPr>
        <w:t>三、项目绩效情况</w:t>
      </w:r>
      <w:bookmarkEnd w:id="213"/>
      <w:bookmarkEnd w:id="214"/>
      <w:bookmarkEnd w:id="215"/>
      <w:r>
        <w:rPr>
          <w:sz w:val="32"/>
          <w:szCs w:val="32"/>
          <w:lang w:val="zh-CN"/>
        </w:rPr>
        <w:tab/>
      </w:r>
    </w:p>
    <w:p w14:paraId="1C480257">
      <w:pPr>
        <w:adjustRightInd w:val="0"/>
        <w:snapToGrid w:val="0"/>
        <w:spacing w:line="576" w:lineRule="exact"/>
        <w:ind w:firstLine="640" w:firstLineChars="200"/>
        <w:outlineLvl w:val="2"/>
        <w:rPr>
          <w:rFonts w:eastAsia="楷体_GB2312"/>
          <w:lang w:val="zh-CN"/>
        </w:rPr>
      </w:pPr>
      <w:bookmarkStart w:id="216" w:name="_Toc17588"/>
      <w:bookmarkStart w:id="217" w:name="_Toc27733"/>
      <w:r>
        <w:rPr>
          <w:rFonts w:eastAsia="楷体_GB2312"/>
          <w:sz w:val="32"/>
          <w:szCs w:val="32"/>
          <w:lang w:val="zh-CN"/>
        </w:rPr>
        <w:t>（一）项目完成情况</w:t>
      </w:r>
      <w:bookmarkEnd w:id="216"/>
      <w:bookmarkEnd w:id="217"/>
    </w:p>
    <w:p w14:paraId="681A5E1D">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镇党委政府将农村公共运行服务项目工作纳入村级目标管理。2022年我镇农村公共运行服务项目：完成了垃圾清运1650余次、村社道路维修3.7公里，护林624次，涵洞维修4处，稻香广场1处，水毁道路3处。项目于2022年12月20日前全部实施完工。</w:t>
      </w:r>
    </w:p>
    <w:p w14:paraId="5DED669C">
      <w:pPr>
        <w:adjustRightInd w:val="0"/>
        <w:snapToGrid w:val="0"/>
        <w:spacing w:line="576" w:lineRule="exact"/>
        <w:ind w:firstLine="640" w:firstLineChars="200"/>
        <w:outlineLvl w:val="2"/>
        <w:rPr>
          <w:lang w:val="zh-CN"/>
        </w:rPr>
      </w:pPr>
      <w:bookmarkStart w:id="218" w:name="_Toc4000"/>
      <w:bookmarkStart w:id="219" w:name="_Toc16943"/>
      <w:r>
        <w:rPr>
          <w:rFonts w:eastAsia="楷体_GB2312"/>
          <w:sz w:val="32"/>
          <w:szCs w:val="32"/>
          <w:lang w:val="zh-CN"/>
        </w:rPr>
        <w:t>（</w:t>
      </w:r>
      <w:r>
        <w:rPr>
          <w:rFonts w:hint="eastAsia" w:eastAsia="楷体_GB2312"/>
          <w:sz w:val="32"/>
          <w:szCs w:val="32"/>
          <w:lang w:val="zh-CN"/>
        </w:rPr>
        <w:t>二</w:t>
      </w:r>
      <w:r>
        <w:rPr>
          <w:rFonts w:eastAsia="楷体_GB2312"/>
          <w:sz w:val="32"/>
          <w:szCs w:val="32"/>
          <w:lang w:val="zh-CN"/>
        </w:rPr>
        <w:t>）项目效益情况。</w:t>
      </w:r>
      <w:bookmarkEnd w:id="218"/>
      <w:bookmarkEnd w:id="219"/>
    </w:p>
    <w:p w14:paraId="42689E64">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为切实做好这项工作，省农村综合改革领导小组办公室特制定了《四川省农村公共服务运行维护机制建设工作手册》，结合我镇的实际实施情况，将改善村（社区）办公场所、公共基础设施、环境卫生条件、提高群众的农技知识、提升群众的生活质量和幸福感、获得群众对政府的满意度和对党的感恩之心。</w:t>
      </w:r>
    </w:p>
    <w:p w14:paraId="01E80309">
      <w:pPr>
        <w:adjustRightInd w:val="0"/>
        <w:snapToGrid w:val="0"/>
        <w:spacing w:line="576" w:lineRule="exact"/>
        <w:ind w:firstLine="640" w:firstLineChars="200"/>
        <w:outlineLvl w:val="1"/>
        <w:rPr>
          <w:rFonts w:eastAsia="黑体"/>
        </w:rPr>
      </w:pPr>
      <w:bookmarkStart w:id="220" w:name="_Toc21384"/>
      <w:bookmarkStart w:id="221" w:name="_Toc14784"/>
      <w:bookmarkStart w:id="222" w:name="_Toc8627"/>
      <w:r>
        <w:rPr>
          <w:rFonts w:eastAsia="黑体"/>
          <w:sz w:val="32"/>
          <w:szCs w:val="32"/>
        </w:rPr>
        <w:t>四、</w:t>
      </w:r>
      <w:r>
        <w:rPr>
          <w:rFonts w:hint="eastAsia" w:eastAsia="黑体"/>
          <w:sz w:val="32"/>
          <w:szCs w:val="32"/>
        </w:rPr>
        <w:t>自评结论及</w:t>
      </w:r>
      <w:r>
        <w:rPr>
          <w:rFonts w:eastAsia="黑体"/>
          <w:sz w:val="32"/>
          <w:szCs w:val="32"/>
        </w:rPr>
        <w:t>建议</w:t>
      </w:r>
      <w:bookmarkEnd w:id="220"/>
      <w:bookmarkEnd w:id="221"/>
      <w:bookmarkEnd w:id="222"/>
    </w:p>
    <w:p w14:paraId="5A40F32F">
      <w:pPr>
        <w:adjustRightInd w:val="0"/>
        <w:snapToGrid w:val="0"/>
        <w:spacing w:line="576" w:lineRule="exact"/>
        <w:ind w:firstLine="640" w:firstLineChars="200"/>
        <w:rPr>
          <w:rFonts w:ascii="仿宋_GB2312" w:hAnsi="宋体" w:eastAsia="仿宋_GB2312"/>
          <w:sz w:val="32"/>
          <w:szCs w:val="32"/>
          <w:lang w:val="zh-CN"/>
        </w:rPr>
      </w:pPr>
      <w:r>
        <w:rPr>
          <w:rFonts w:hint="eastAsia" w:eastAsia="楷体_GB2312"/>
          <w:sz w:val="32"/>
          <w:szCs w:val="32"/>
          <w:lang w:val="zh-CN"/>
        </w:rPr>
        <w:t>（一）评价结论。</w:t>
      </w:r>
      <w:r>
        <w:rPr>
          <w:rFonts w:hint="eastAsia" w:ascii="仿宋_GB2312" w:hAnsi="宋体" w:eastAsia="仿宋_GB2312"/>
          <w:sz w:val="32"/>
          <w:szCs w:val="32"/>
          <w:lang w:val="zh-CN"/>
        </w:rPr>
        <w:t>该项目设立经过严格评估论证，属于部门职责相符，属于公共财政支持范围，符合地方事权支出责任划分原则，与相关部门同类项目或部门内部无相关项目重复。项目规划符合省委、区委、省政府、区政府重大决策部署，项目绩效目标合理、明确，与项目年度目标一致。总体评价99分。</w:t>
      </w:r>
    </w:p>
    <w:p w14:paraId="3393EDE2">
      <w:pPr>
        <w:adjustRightInd w:val="0"/>
        <w:snapToGrid w:val="0"/>
        <w:spacing w:line="576" w:lineRule="exact"/>
        <w:ind w:firstLine="640" w:firstLineChars="200"/>
        <w:outlineLvl w:val="2"/>
        <w:rPr>
          <w:rFonts w:eastAsia="楷体_GB2312"/>
          <w:lang w:val="zh-CN"/>
        </w:rPr>
      </w:pPr>
      <w:bookmarkStart w:id="223" w:name="_Toc20258"/>
      <w:bookmarkStart w:id="224" w:name="_Toc20920"/>
      <w:r>
        <w:rPr>
          <w:rFonts w:hint="eastAsia" w:eastAsia="楷体_GB2312"/>
          <w:sz w:val="32"/>
          <w:szCs w:val="32"/>
          <w:lang w:val="zh-CN"/>
        </w:rPr>
        <w:t>（二）存在的问题</w:t>
      </w:r>
      <w:bookmarkEnd w:id="223"/>
      <w:bookmarkEnd w:id="224"/>
    </w:p>
    <w:p w14:paraId="39C82CD1">
      <w:pPr>
        <w:adjustRightInd w:val="0"/>
        <w:snapToGrid w:val="0"/>
        <w:spacing w:line="576" w:lineRule="exact"/>
        <w:ind w:firstLine="640" w:firstLineChars="200"/>
        <w:rPr>
          <w:lang w:val="zh-CN"/>
        </w:rPr>
      </w:pPr>
      <w:r>
        <w:rPr>
          <w:rFonts w:hint="eastAsia" w:ascii="仿宋_GB2312" w:hAnsi="宋体" w:eastAsia="仿宋_GB2312"/>
          <w:sz w:val="32"/>
          <w:szCs w:val="32"/>
          <w:lang w:val="zh-CN"/>
        </w:rPr>
        <w:t>1.项目资金整合力度不够，到村项目较为分散，难以综合投入。</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2.在资料软件收集和整理方面优待提高。</w:t>
      </w:r>
    </w:p>
    <w:p w14:paraId="532429F1">
      <w:pPr>
        <w:adjustRightInd w:val="0"/>
        <w:snapToGrid w:val="0"/>
        <w:spacing w:line="576" w:lineRule="exact"/>
        <w:ind w:firstLine="640" w:firstLineChars="200"/>
        <w:outlineLvl w:val="2"/>
        <w:rPr>
          <w:rFonts w:eastAsia="楷体_GB2312"/>
          <w:lang w:val="zh-CN"/>
        </w:rPr>
      </w:pPr>
      <w:bookmarkStart w:id="225" w:name="_Toc4510"/>
      <w:bookmarkStart w:id="226" w:name="_Toc21847"/>
      <w:r>
        <w:rPr>
          <w:rFonts w:hint="eastAsia" w:eastAsia="楷体_GB2312"/>
          <w:sz w:val="32"/>
          <w:szCs w:val="32"/>
          <w:lang w:val="zh-CN"/>
        </w:rPr>
        <w:t>（三）相关建议</w:t>
      </w:r>
      <w:bookmarkEnd w:id="225"/>
      <w:bookmarkEnd w:id="226"/>
    </w:p>
    <w:p w14:paraId="22DCA319">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1、加强资金管理，在公共服务运行维护资金的使用范围上严格把关，按规定进行公开透明；</w:t>
      </w:r>
      <w:r>
        <w:rPr>
          <w:rFonts w:hint="eastAsia" w:ascii="仿宋_GB2312" w:hAnsi="宋体" w:eastAsia="仿宋_GB2312"/>
          <w:sz w:val="32"/>
          <w:szCs w:val="32"/>
          <w:lang w:val="zh-CN"/>
        </w:rPr>
        <w:br w:type="textWrapping"/>
      </w:r>
      <w:r>
        <w:rPr>
          <w:rFonts w:hint="eastAsia" w:ascii="仿宋_GB2312" w:hAnsi="宋体" w:eastAsia="仿宋_GB2312"/>
          <w:sz w:val="32"/>
          <w:szCs w:val="32"/>
          <w:lang w:val="zh-CN"/>
        </w:rPr>
        <w:t xml:space="preserve">    2.及时总结我镇在公共服务运行维护项目在实施过程中存在的问题和好的经验，进一步完善运行维护工作机制。</w:t>
      </w:r>
    </w:p>
    <w:p w14:paraId="476B8955">
      <w:pPr>
        <w:pStyle w:val="2"/>
        <w:spacing w:before="93"/>
      </w:pPr>
    </w:p>
    <w:p w14:paraId="3F1347EF">
      <w:pPr>
        <w:pStyle w:val="2"/>
        <w:spacing w:before="93"/>
      </w:pPr>
    </w:p>
    <w:p w14:paraId="3A6E121F">
      <w:pPr>
        <w:pStyle w:val="2"/>
        <w:spacing w:before="93"/>
      </w:pPr>
    </w:p>
    <w:p w14:paraId="35B1CCD0">
      <w:pPr>
        <w:pStyle w:val="2"/>
        <w:spacing w:before="93"/>
      </w:pPr>
    </w:p>
    <w:p w14:paraId="35095D78">
      <w:pPr>
        <w:spacing w:before="103" w:line="219" w:lineRule="auto"/>
        <w:jc w:val="center"/>
        <w:rPr>
          <w:rFonts w:ascii="宋体" w:hAnsi="宋体" w:cs="宋体"/>
          <w:sz w:val="34"/>
          <w:szCs w:val="34"/>
        </w:rPr>
      </w:pPr>
      <w:r>
        <w:rPr>
          <w:rFonts w:ascii="宋体" w:hAnsi="宋体" w:cs="宋体"/>
          <w:spacing w:val="28"/>
          <w:sz w:val="34"/>
          <w:szCs w:val="34"/>
        </w:rPr>
        <w:t>广元市昭化区财政项目(政策)支出绩效自评表</w:t>
      </w:r>
    </w:p>
    <w:p w14:paraId="4803F61B">
      <w:pPr>
        <w:spacing w:before="86" w:line="219" w:lineRule="auto"/>
        <w:ind w:left="3894"/>
        <w:rPr>
          <w:rFonts w:ascii="宋体" w:hAnsi="宋体" w:cs="宋体"/>
          <w:sz w:val="22"/>
          <w:szCs w:val="22"/>
        </w:rPr>
      </w:pPr>
      <w:r>
        <w:rPr>
          <w:rFonts w:ascii="宋体" w:hAnsi="宋体" w:cs="宋体"/>
          <w:spacing w:val="-14"/>
          <w:sz w:val="22"/>
          <w:szCs w:val="22"/>
        </w:rPr>
        <w:t>(</w:t>
      </w:r>
      <w:r>
        <w:rPr>
          <w:rFonts w:ascii="宋体" w:hAnsi="宋体" w:cs="宋体"/>
          <w:spacing w:val="32"/>
          <w:sz w:val="22"/>
          <w:szCs w:val="22"/>
        </w:rPr>
        <w:t xml:space="preserve">  </w:t>
      </w:r>
      <w:r>
        <w:rPr>
          <w:rFonts w:hint="eastAsia" w:ascii="宋体" w:hAnsi="宋体" w:cs="宋体"/>
          <w:spacing w:val="32"/>
          <w:sz w:val="22"/>
          <w:szCs w:val="22"/>
        </w:rPr>
        <w:t>2022</w:t>
      </w:r>
      <w:r>
        <w:rPr>
          <w:rFonts w:ascii="宋体" w:hAnsi="宋体" w:cs="宋体"/>
          <w:spacing w:val="32"/>
          <w:sz w:val="22"/>
          <w:szCs w:val="22"/>
        </w:rPr>
        <w:t xml:space="preserve"> </w:t>
      </w:r>
      <w:r>
        <w:rPr>
          <w:rFonts w:ascii="宋体" w:hAnsi="宋体" w:cs="宋体"/>
          <w:spacing w:val="-14"/>
          <w:sz w:val="22"/>
          <w:szCs w:val="22"/>
        </w:rPr>
        <w:t>年度)</w:t>
      </w:r>
    </w:p>
    <w:tbl>
      <w:tblPr>
        <w:tblStyle w:val="35"/>
        <w:tblpPr w:leftFromText="180" w:rightFromText="180" w:vertAnchor="text" w:horzAnchor="page" w:tblpX="1580" w:tblpY="31"/>
        <w:tblOverlap w:val="never"/>
        <w:tblW w:w="91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759"/>
        <w:gridCol w:w="1009"/>
        <w:gridCol w:w="784"/>
        <w:gridCol w:w="1485"/>
        <w:gridCol w:w="1020"/>
        <w:gridCol w:w="1035"/>
        <w:gridCol w:w="2385"/>
      </w:tblGrid>
      <w:tr w14:paraId="72C7C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463" w:type="dxa"/>
            <w:gridSpan w:val="2"/>
          </w:tcPr>
          <w:p w14:paraId="63037EF8">
            <w:pPr>
              <w:spacing w:before="78" w:line="219" w:lineRule="auto"/>
              <w:jc w:val="center"/>
              <w:rPr>
                <w:rFonts w:ascii="宋体" w:hAnsi="宋体" w:cs="宋体"/>
                <w:spacing w:val="4"/>
                <w:sz w:val="17"/>
                <w:szCs w:val="17"/>
              </w:rPr>
            </w:pPr>
            <w:r>
              <w:rPr>
                <w:rFonts w:ascii="宋体" w:hAnsi="宋体" w:cs="宋体"/>
                <w:spacing w:val="4"/>
                <w:sz w:val="17"/>
                <w:szCs w:val="17"/>
              </w:rPr>
              <w:t>项目(政策)名称</w:t>
            </w:r>
          </w:p>
        </w:tc>
        <w:tc>
          <w:tcPr>
            <w:tcW w:w="7718" w:type="dxa"/>
            <w:gridSpan w:val="6"/>
          </w:tcPr>
          <w:p w14:paraId="4B181D15">
            <w:pPr>
              <w:spacing w:before="78" w:line="219" w:lineRule="auto"/>
              <w:rPr>
                <w:rFonts w:ascii="宋体" w:hAnsi="宋体" w:cs="宋体"/>
                <w:spacing w:val="4"/>
                <w:sz w:val="17"/>
                <w:szCs w:val="17"/>
              </w:rPr>
            </w:pPr>
            <w:r>
              <w:rPr>
                <w:rFonts w:hint="eastAsia" w:ascii="宋体" w:hAnsi="宋体" w:cs="宋体"/>
                <w:spacing w:val="4"/>
                <w:sz w:val="17"/>
                <w:szCs w:val="17"/>
                <w:lang w:val="zh-CN"/>
              </w:rPr>
              <w:t>2022年基层组织活动和公共服务运行经费</w:t>
            </w:r>
          </w:p>
        </w:tc>
      </w:tr>
      <w:tr w14:paraId="44B185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63" w:type="dxa"/>
            <w:gridSpan w:val="2"/>
          </w:tcPr>
          <w:p w14:paraId="608D659F">
            <w:pPr>
              <w:spacing w:before="78" w:line="219" w:lineRule="auto"/>
              <w:ind w:left="404"/>
              <w:jc w:val="center"/>
              <w:rPr>
                <w:rFonts w:ascii="宋体" w:hAnsi="宋体" w:cs="宋体"/>
                <w:sz w:val="17"/>
                <w:szCs w:val="17"/>
              </w:rPr>
            </w:pPr>
            <w:r>
              <w:rPr>
                <w:rFonts w:ascii="宋体" w:hAnsi="宋体" w:cs="宋体"/>
                <w:spacing w:val="4"/>
                <w:sz w:val="17"/>
                <w:szCs w:val="17"/>
              </w:rPr>
              <w:t>主管部门</w:t>
            </w:r>
          </w:p>
        </w:tc>
        <w:tc>
          <w:tcPr>
            <w:tcW w:w="4298" w:type="dxa"/>
            <w:gridSpan w:val="4"/>
          </w:tcPr>
          <w:p w14:paraId="4B4C0E9E">
            <w:pPr>
              <w:jc w:val="center"/>
            </w:pPr>
            <w:r>
              <w:rPr>
                <w:rFonts w:hint="eastAsia" w:ascii="宋体" w:hAnsi="宋体" w:cs="宋体"/>
                <w:spacing w:val="-2"/>
                <w:sz w:val="17"/>
                <w:szCs w:val="17"/>
              </w:rPr>
              <w:t>广元市昭化区人民政府</w:t>
            </w:r>
          </w:p>
        </w:tc>
        <w:tc>
          <w:tcPr>
            <w:tcW w:w="1035" w:type="dxa"/>
          </w:tcPr>
          <w:p w14:paraId="54020896">
            <w:pPr>
              <w:spacing w:before="78" w:line="219" w:lineRule="auto"/>
              <w:jc w:val="center"/>
              <w:rPr>
                <w:rFonts w:ascii="宋体" w:hAnsi="宋体" w:cs="宋体"/>
                <w:spacing w:val="4"/>
                <w:sz w:val="17"/>
                <w:szCs w:val="17"/>
              </w:rPr>
            </w:pPr>
            <w:r>
              <w:rPr>
                <w:rFonts w:ascii="宋体" w:hAnsi="宋体" w:cs="宋体"/>
                <w:spacing w:val="4"/>
                <w:sz w:val="17"/>
                <w:szCs w:val="17"/>
              </w:rPr>
              <w:t>实施单位</w:t>
            </w:r>
          </w:p>
        </w:tc>
        <w:tc>
          <w:tcPr>
            <w:tcW w:w="2385" w:type="dxa"/>
          </w:tcPr>
          <w:p w14:paraId="4660B259">
            <w:pPr>
              <w:spacing w:before="78" w:line="219" w:lineRule="auto"/>
              <w:jc w:val="center"/>
              <w:rPr>
                <w:rFonts w:ascii="宋体" w:hAnsi="宋体" w:cs="宋体"/>
                <w:spacing w:val="4"/>
                <w:sz w:val="17"/>
                <w:szCs w:val="17"/>
              </w:rPr>
            </w:pPr>
            <w:r>
              <w:rPr>
                <w:rFonts w:hint="eastAsia" w:ascii="宋体" w:hAnsi="宋体" w:cs="宋体"/>
                <w:spacing w:val="4"/>
                <w:sz w:val="17"/>
                <w:szCs w:val="17"/>
              </w:rPr>
              <w:t>王家镇人民政府</w:t>
            </w:r>
          </w:p>
        </w:tc>
      </w:tr>
      <w:tr w14:paraId="3AA1B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63" w:type="dxa"/>
            <w:gridSpan w:val="2"/>
            <w:vMerge w:val="restart"/>
            <w:tcBorders>
              <w:bottom w:val="nil"/>
            </w:tcBorders>
          </w:tcPr>
          <w:p w14:paraId="1BA92C0A">
            <w:pPr>
              <w:spacing w:line="279" w:lineRule="auto"/>
            </w:pPr>
          </w:p>
          <w:p w14:paraId="7AA46830">
            <w:pPr>
              <w:spacing w:line="279" w:lineRule="auto"/>
            </w:pPr>
          </w:p>
          <w:p w14:paraId="115C490D">
            <w:pPr>
              <w:spacing w:line="279" w:lineRule="auto"/>
            </w:pPr>
          </w:p>
          <w:p w14:paraId="70C5820F">
            <w:pPr>
              <w:spacing w:line="279" w:lineRule="auto"/>
            </w:pPr>
          </w:p>
          <w:p w14:paraId="50209D78">
            <w:pPr>
              <w:spacing w:before="55" w:line="235" w:lineRule="auto"/>
              <w:ind w:left="464" w:right="197" w:hanging="389"/>
              <w:rPr>
                <w:rFonts w:ascii="宋体" w:hAnsi="宋体" w:cs="宋体"/>
                <w:sz w:val="17"/>
                <w:szCs w:val="17"/>
              </w:rPr>
            </w:pPr>
            <w:r>
              <w:rPr>
                <w:rFonts w:ascii="宋体" w:hAnsi="宋体" w:cs="宋体"/>
                <w:spacing w:val="-2"/>
                <w:sz w:val="17"/>
                <w:szCs w:val="17"/>
              </w:rPr>
              <w:t>项目(政策)资金</w:t>
            </w:r>
            <w:r>
              <w:rPr>
                <w:rFonts w:ascii="宋体" w:hAnsi="宋体" w:cs="宋体"/>
                <w:spacing w:val="5"/>
                <w:sz w:val="17"/>
                <w:szCs w:val="17"/>
              </w:rPr>
              <w:t xml:space="preserve"> </w:t>
            </w:r>
            <w:r>
              <w:rPr>
                <w:rFonts w:ascii="宋体" w:hAnsi="宋体" w:cs="宋体"/>
                <w:spacing w:val="9"/>
                <w:sz w:val="17"/>
                <w:szCs w:val="17"/>
              </w:rPr>
              <w:t>(万元)</w:t>
            </w:r>
          </w:p>
        </w:tc>
        <w:tc>
          <w:tcPr>
            <w:tcW w:w="1793" w:type="dxa"/>
            <w:gridSpan w:val="2"/>
          </w:tcPr>
          <w:p w14:paraId="3CB92609"/>
        </w:tc>
        <w:tc>
          <w:tcPr>
            <w:tcW w:w="1485" w:type="dxa"/>
          </w:tcPr>
          <w:p w14:paraId="66CC38B6">
            <w:pPr>
              <w:spacing w:before="77" w:line="219" w:lineRule="auto"/>
              <w:jc w:val="center"/>
              <w:rPr>
                <w:rFonts w:ascii="宋体" w:hAnsi="宋体" w:cs="宋体"/>
                <w:sz w:val="17"/>
                <w:szCs w:val="17"/>
              </w:rPr>
            </w:pPr>
            <w:r>
              <w:rPr>
                <w:rFonts w:ascii="宋体" w:hAnsi="宋体" w:cs="宋体"/>
                <w:spacing w:val="-2"/>
                <w:sz w:val="17"/>
                <w:szCs w:val="17"/>
              </w:rPr>
              <w:t>年初预算数</w:t>
            </w:r>
          </w:p>
        </w:tc>
        <w:tc>
          <w:tcPr>
            <w:tcW w:w="1020" w:type="dxa"/>
          </w:tcPr>
          <w:p w14:paraId="7DFF8270">
            <w:pPr>
              <w:spacing w:before="98" w:line="219" w:lineRule="auto"/>
              <w:jc w:val="center"/>
              <w:rPr>
                <w:rFonts w:ascii="宋体" w:hAnsi="宋体" w:cs="宋体"/>
                <w:sz w:val="17"/>
                <w:szCs w:val="17"/>
              </w:rPr>
            </w:pPr>
            <w:r>
              <w:rPr>
                <w:rFonts w:ascii="宋体" w:hAnsi="宋体" w:cs="宋体"/>
                <w:spacing w:val="-2"/>
                <w:sz w:val="17"/>
                <w:szCs w:val="17"/>
              </w:rPr>
              <w:t>全年预算数</w:t>
            </w:r>
          </w:p>
        </w:tc>
        <w:tc>
          <w:tcPr>
            <w:tcW w:w="1035" w:type="dxa"/>
          </w:tcPr>
          <w:p w14:paraId="1E19367B">
            <w:pPr>
              <w:spacing w:before="77" w:line="219" w:lineRule="auto"/>
              <w:jc w:val="center"/>
              <w:rPr>
                <w:rFonts w:ascii="宋体" w:hAnsi="宋体" w:cs="宋体"/>
                <w:sz w:val="17"/>
                <w:szCs w:val="17"/>
              </w:rPr>
            </w:pPr>
            <w:r>
              <w:rPr>
                <w:rFonts w:ascii="宋体" w:hAnsi="宋体" w:cs="宋体"/>
                <w:spacing w:val="-2"/>
                <w:sz w:val="17"/>
                <w:szCs w:val="17"/>
              </w:rPr>
              <w:t>全年执行数</w:t>
            </w:r>
          </w:p>
        </w:tc>
        <w:tc>
          <w:tcPr>
            <w:tcW w:w="2385" w:type="dxa"/>
          </w:tcPr>
          <w:p w14:paraId="223A6022">
            <w:pPr>
              <w:spacing w:before="77" w:line="219" w:lineRule="auto"/>
              <w:jc w:val="center"/>
              <w:rPr>
                <w:rFonts w:ascii="宋体" w:hAnsi="宋体" w:cs="宋体"/>
                <w:sz w:val="17"/>
                <w:szCs w:val="17"/>
              </w:rPr>
            </w:pPr>
            <w:r>
              <w:rPr>
                <w:rFonts w:ascii="宋体" w:hAnsi="宋体" w:cs="宋体"/>
                <w:spacing w:val="-2"/>
                <w:sz w:val="17"/>
                <w:szCs w:val="17"/>
              </w:rPr>
              <w:t>执行率</w:t>
            </w:r>
          </w:p>
        </w:tc>
      </w:tr>
      <w:tr w14:paraId="10949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63" w:type="dxa"/>
            <w:gridSpan w:val="2"/>
            <w:vMerge w:val="continue"/>
            <w:tcBorders>
              <w:top w:val="nil"/>
              <w:bottom w:val="nil"/>
            </w:tcBorders>
          </w:tcPr>
          <w:p w14:paraId="58E08658"/>
        </w:tc>
        <w:tc>
          <w:tcPr>
            <w:tcW w:w="1793" w:type="dxa"/>
            <w:gridSpan w:val="2"/>
          </w:tcPr>
          <w:p w14:paraId="25E51F8D">
            <w:pPr>
              <w:spacing w:before="79" w:line="219" w:lineRule="auto"/>
              <w:ind w:left="151"/>
              <w:rPr>
                <w:rFonts w:ascii="宋体" w:hAnsi="宋体" w:cs="宋体"/>
                <w:sz w:val="17"/>
                <w:szCs w:val="17"/>
              </w:rPr>
            </w:pPr>
            <w:r>
              <w:rPr>
                <w:rFonts w:ascii="宋体" w:hAnsi="宋体" w:cs="宋体"/>
                <w:spacing w:val="-2"/>
                <w:sz w:val="17"/>
                <w:szCs w:val="17"/>
              </w:rPr>
              <w:t>年度资金总额</w:t>
            </w:r>
          </w:p>
        </w:tc>
        <w:tc>
          <w:tcPr>
            <w:tcW w:w="1485" w:type="dxa"/>
            <w:vAlign w:val="center"/>
          </w:tcPr>
          <w:p w14:paraId="2E834C97">
            <w:pPr>
              <w:jc w:val="center"/>
              <w:textAlignment w:val="center"/>
              <w:rPr>
                <w:rFonts w:ascii="宋体" w:hAnsi="宋体" w:cs="宋体"/>
                <w:spacing w:val="-2"/>
                <w:sz w:val="17"/>
                <w:szCs w:val="17"/>
              </w:rPr>
            </w:pPr>
            <w:r>
              <w:rPr>
                <w:rFonts w:hint="eastAsia" w:ascii="宋体" w:hAnsi="宋体" w:cs="宋体"/>
                <w:snapToGrid w:val="0"/>
                <w:color w:val="000000"/>
                <w:kern w:val="0"/>
                <w:sz w:val="18"/>
                <w:szCs w:val="18"/>
              </w:rPr>
              <w:t>81</w:t>
            </w:r>
          </w:p>
        </w:tc>
        <w:tc>
          <w:tcPr>
            <w:tcW w:w="1020" w:type="dxa"/>
            <w:vAlign w:val="center"/>
          </w:tcPr>
          <w:p w14:paraId="38E61F1D">
            <w:pPr>
              <w:jc w:val="center"/>
              <w:textAlignment w:val="center"/>
              <w:rPr>
                <w:rFonts w:ascii="宋体" w:hAnsi="宋体" w:cs="宋体"/>
                <w:spacing w:val="-2"/>
                <w:sz w:val="17"/>
                <w:szCs w:val="17"/>
              </w:rPr>
            </w:pPr>
            <w:r>
              <w:rPr>
                <w:rFonts w:hint="eastAsia" w:ascii="宋体" w:hAnsi="宋体" w:cs="宋体"/>
                <w:snapToGrid w:val="0"/>
                <w:color w:val="000000"/>
                <w:kern w:val="0"/>
                <w:sz w:val="18"/>
                <w:szCs w:val="18"/>
              </w:rPr>
              <w:t>81</w:t>
            </w:r>
          </w:p>
        </w:tc>
        <w:tc>
          <w:tcPr>
            <w:tcW w:w="1035" w:type="dxa"/>
            <w:vAlign w:val="center"/>
          </w:tcPr>
          <w:p w14:paraId="5E3A1D7E">
            <w:pPr>
              <w:jc w:val="center"/>
              <w:textAlignment w:val="center"/>
              <w:rPr>
                <w:rFonts w:ascii="宋体" w:hAnsi="宋体" w:cs="宋体"/>
                <w:spacing w:val="-2"/>
                <w:sz w:val="17"/>
                <w:szCs w:val="17"/>
              </w:rPr>
            </w:pPr>
            <w:r>
              <w:rPr>
                <w:rFonts w:hint="eastAsia" w:ascii="宋体" w:hAnsi="宋体" w:cs="宋体"/>
                <w:snapToGrid w:val="0"/>
                <w:color w:val="000000"/>
                <w:kern w:val="0"/>
                <w:sz w:val="18"/>
                <w:szCs w:val="18"/>
              </w:rPr>
              <w:t>81</w:t>
            </w:r>
          </w:p>
        </w:tc>
        <w:tc>
          <w:tcPr>
            <w:tcW w:w="2385" w:type="dxa"/>
            <w:vAlign w:val="center"/>
          </w:tcPr>
          <w:p w14:paraId="4AA317C4">
            <w:pPr>
              <w:jc w:val="center"/>
              <w:textAlignment w:val="center"/>
              <w:rPr>
                <w:rFonts w:ascii="宋体" w:hAnsi="宋体" w:cs="宋体"/>
                <w:spacing w:val="-2"/>
                <w:sz w:val="17"/>
                <w:szCs w:val="17"/>
              </w:rPr>
            </w:pPr>
            <w:r>
              <w:rPr>
                <w:rFonts w:hint="eastAsia" w:ascii="宋体" w:hAnsi="宋体" w:cs="宋体"/>
                <w:snapToGrid w:val="0"/>
                <w:color w:val="000000"/>
                <w:kern w:val="0"/>
                <w:sz w:val="18"/>
                <w:szCs w:val="18"/>
              </w:rPr>
              <w:t>100%</w:t>
            </w:r>
          </w:p>
        </w:tc>
      </w:tr>
      <w:tr w14:paraId="23635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63" w:type="dxa"/>
            <w:gridSpan w:val="2"/>
            <w:vMerge w:val="continue"/>
            <w:tcBorders>
              <w:top w:val="nil"/>
              <w:bottom w:val="nil"/>
            </w:tcBorders>
          </w:tcPr>
          <w:p w14:paraId="3E9D953A"/>
        </w:tc>
        <w:tc>
          <w:tcPr>
            <w:tcW w:w="1793" w:type="dxa"/>
            <w:gridSpan w:val="2"/>
          </w:tcPr>
          <w:p w14:paraId="726798B5">
            <w:pPr>
              <w:spacing w:before="109" w:line="219" w:lineRule="auto"/>
              <w:ind w:left="151"/>
              <w:rPr>
                <w:rFonts w:ascii="宋体" w:hAnsi="宋体" w:cs="宋体"/>
                <w:sz w:val="17"/>
                <w:szCs w:val="17"/>
              </w:rPr>
            </w:pPr>
            <w:r>
              <w:rPr>
                <w:rFonts w:ascii="宋体" w:hAnsi="宋体" w:cs="宋体"/>
                <w:sz w:val="17"/>
                <w:szCs w:val="17"/>
              </w:rPr>
              <w:t>(一)财政拨款小计</w:t>
            </w:r>
          </w:p>
        </w:tc>
        <w:tc>
          <w:tcPr>
            <w:tcW w:w="1485" w:type="dxa"/>
            <w:vAlign w:val="center"/>
          </w:tcPr>
          <w:p w14:paraId="5A372342">
            <w:pPr>
              <w:jc w:val="center"/>
              <w:textAlignment w:val="center"/>
            </w:pPr>
            <w:r>
              <w:rPr>
                <w:rFonts w:hint="eastAsia" w:ascii="宋体" w:hAnsi="宋体" w:cs="宋体"/>
                <w:snapToGrid w:val="0"/>
                <w:color w:val="000000"/>
                <w:kern w:val="0"/>
                <w:sz w:val="18"/>
                <w:szCs w:val="18"/>
              </w:rPr>
              <w:t>81</w:t>
            </w:r>
          </w:p>
        </w:tc>
        <w:tc>
          <w:tcPr>
            <w:tcW w:w="1020" w:type="dxa"/>
            <w:vAlign w:val="center"/>
          </w:tcPr>
          <w:p w14:paraId="4B1DDBA4">
            <w:pPr>
              <w:jc w:val="center"/>
              <w:textAlignment w:val="center"/>
            </w:pPr>
            <w:r>
              <w:rPr>
                <w:rFonts w:hint="eastAsia" w:ascii="宋体" w:hAnsi="宋体" w:cs="宋体"/>
                <w:snapToGrid w:val="0"/>
                <w:color w:val="000000"/>
                <w:kern w:val="0"/>
                <w:sz w:val="18"/>
                <w:szCs w:val="18"/>
              </w:rPr>
              <w:t>81</w:t>
            </w:r>
          </w:p>
        </w:tc>
        <w:tc>
          <w:tcPr>
            <w:tcW w:w="1035" w:type="dxa"/>
            <w:vAlign w:val="center"/>
          </w:tcPr>
          <w:p w14:paraId="3873568C">
            <w:pPr>
              <w:jc w:val="center"/>
              <w:textAlignment w:val="center"/>
            </w:pPr>
            <w:r>
              <w:rPr>
                <w:rFonts w:hint="eastAsia" w:ascii="宋体" w:hAnsi="宋体" w:cs="宋体"/>
                <w:snapToGrid w:val="0"/>
                <w:color w:val="000000"/>
                <w:kern w:val="0"/>
                <w:sz w:val="18"/>
                <w:szCs w:val="18"/>
              </w:rPr>
              <w:t>81</w:t>
            </w:r>
          </w:p>
        </w:tc>
        <w:tc>
          <w:tcPr>
            <w:tcW w:w="2385" w:type="dxa"/>
            <w:vAlign w:val="center"/>
          </w:tcPr>
          <w:p w14:paraId="1E423C6D">
            <w:pPr>
              <w:jc w:val="center"/>
              <w:textAlignment w:val="center"/>
            </w:pPr>
            <w:r>
              <w:rPr>
                <w:rFonts w:hint="eastAsia" w:ascii="宋体" w:hAnsi="宋体" w:cs="宋体"/>
                <w:snapToGrid w:val="0"/>
                <w:color w:val="000000"/>
                <w:kern w:val="0"/>
                <w:sz w:val="18"/>
                <w:szCs w:val="18"/>
              </w:rPr>
              <w:t>100%</w:t>
            </w:r>
          </w:p>
        </w:tc>
      </w:tr>
      <w:tr w14:paraId="26688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63" w:type="dxa"/>
            <w:gridSpan w:val="2"/>
            <w:vMerge w:val="continue"/>
            <w:tcBorders>
              <w:top w:val="nil"/>
              <w:bottom w:val="nil"/>
            </w:tcBorders>
          </w:tcPr>
          <w:p w14:paraId="3E9A72D5"/>
        </w:tc>
        <w:tc>
          <w:tcPr>
            <w:tcW w:w="1793" w:type="dxa"/>
            <w:gridSpan w:val="2"/>
          </w:tcPr>
          <w:p w14:paraId="26529C5F">
            <w:pPr>
              <w:spacing w:before="80" w:line="219" w:lineRule="auto"/>
              <w:ind w:left="151"/>
              <w:rPr>
                <w:rFonts w:ascii="宋体" w:hAnsi="宋体" w:cs="宋体"/>
                <w:sz w:val="17"/>
                <w:szCs w:val="17"/>
              </w:rPr>
            </w:pPr>
            <w:r>
              <w:rPr>
                <w:rFonts w:ascii="宋体" w:hAnsi="宋体" w:cs="宋体"/>
                <w:sz w:val="17"/>
                <w:szCs w:val="17"/>
              </w:rPr>
              <w:t>1.一般公共预算</w:t>
            </w:r>
          </w:p>
        </w:tc>
        <w:tc>
          <w:tcPr>
            <w:tcW w:w="1485" w:type="dxa"/>
            <w:vAlign w:val="center"/>
          </w:tcPr>
          <w:p w14:paraId="3A8537D1">
            <w:pPr>
              <w:jc w:val="center"/>
              <w:textAlignment w:val="center"/>
            </w:pPr>
            <w:r>
              <w:rPr>
                <w:rFonts w:hint="eastAsia" w:ascii="宋体" w:hAnsi="宋体" w:cs="宋体"/>
                <w:snapToGrid w:val="0"/>
                <w:color w:val="000000"/>
                <w:kern w:val="0"/>
                <w:sz w:val="18"/>
                <w:szCs w:val="18"/>
              </w:rPr>
              <w:t>81</w:t>
            </w:r>
          </w:p>
        </w:tc>
        <w:tc>
          <w:tcPr>
            <w:tcW w:w="1020" w:type="dxa"/>
            <w:vAlign w:val="center"/>
          </w:tcPr>
          <w:p w14:paraId="4D5BFB3C">
            <w:pPr>
              <w:jc w:val="center"/>
              <w:textAlignment w:val="center"/>
            </w:pPr>
            <w:r>
              <w:rPr>
                <w:rFonts w:hint="eastAsia" w:ascii="宋体" w:hAnsi="宋体" w:cs="宋体"/>
                <w:snapToGrid w:val="0"/>
                <w:color w:val="000000"/>
                <w:kern w:val="0"/>
                <w:sz w:val="18"/>
                <w:szCs w:val="18"/>
              </w:rPr>
              <w:t>81</w:t>
            </w:r>
          </w:p>
        </w:tc>
        <w:tc>
          <w:tcPr>
            <w:tcW w:w="1035" w:type="dxa"/>
            <w:vAlign w:val="center"/>
          </w:tcPr>
          <w:p w14:paraId="7129E10F">
            <w:pPr>
              <w:jc w:val="center"/>
              <w:textAlignment w:val="center"/>
            </w:pPr>
            <w:r>
              <w:rPr>
                <w:rFonts w:hint="eastAsia" w:ascii="宋体" w:hAnsi="宋体" w:cs="宋体"/>
                <w:snapToGrid w:val="0"/>
                <w:color w:val="000000"/>
                <w:kern w:val="0"/>
                <w:sz w:val="18"/>
                <w:szCs w:val="18"/>
              </w:rPr>
              <w:t>81</w:t>
            </w:r>
          </w:p>
        </w:tc>
        <w:tc>
          <w:tcPr>
            <w:tcW w:w="2385" w:type="dxa"/>
            <w:vAlign w:val="center"/>
          </w:tcPr>
          <w:p w14:paraId="4F9ABC87">
            <w:pPr>
              <w:jc w:val="center"/>
              <w:textAlignment w:val="center"/>
            </w:pPr>
            <w:r>
              <w:rPr>
                <w:rFonts w:hint="eastAsia" w:ascii="宋体" w:hAnsi="宋体" w:cs="宋体"/>
                <w:snapToGrid w:val="0"/>
                <w:color w:val="000000"/>
                <w:kern w:val="0"/>
                <w:sz w:val="18"/>
                <w:szCs w:val="18"/>
              </w:rPr>
              <w:t>100%</w:t>
            </w:r>
          </w:p>
        </w:tc>
      </w:tr>
      <w:tr w14:paraId="2B37F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463" w:type="dxa"/>
            <w:gridSpan w:val="2"/>
            <w:vMerge w:val="continue"/>
            <w:tcBorders>
              <w:top w:val="nil"/>
              <w:bottom w:val="nil"/>
            </w:tcBorders>
          </w:tcPr>
          <w:p w14:paraId="3FEF255C"/>
        </w:tc>
        <w:tc>
          <w:tcPr>
            <w:tcW w:w="1793" w:type="dxa"/>
            <w:gridSpan w:val="2"/>
          </w:tcPr>
          <w:p w14:paraId="118125B5">
            <w:pPr>
              <w:spacing w:before="78" w:line="219" w:lineRule="auto"/>
              <w:ind w:left="151"/>
              <w:rPr>
                <w:rFonts w:ascii="宋体" w:hAnsi="宋体" w:cs="宋体"/>
                <w:sz w:val="17"/>
                <w:szCs w:val="17"/>
              </w:rPr>
            </w:pPr>
            <w:r>
              <w:rPr>
                <w:rFonts w:ascii="宋体" w:hAnsi="宋体" w:cs="宋体"/>
                <w:spacing w:val="-2"/>
                <w:sz w:val="17"/>
                <w:szCs w:val="17"/>
              </w:rPr>
              <w:t>2.政府性基金</w:t>
            </w:r>
          </w:p>
        </w:tc>
        <w:tc>
          <w:tcPr>
            <w:tcW w:w="1485" w:type="dxa"/>
          </w:tcPr>
          <w:p w14:paraId="1A52E2BA"/>
        </w:tc>
        <w:tc>
          <w:tcPr>
            <w:tcW w:w="1020" w:type="dxa"/>
          </w:tcPr>
          <w:p w14:paraId="6AF354B8"/>
        </w:tc>
        <w:tc>
          <w:tcPr>
            <w:tcW w:w="1035" w:type="dxa"/>
          </w:tcPr>
          <w:p w14:paraId="71C9D3FC"/>
        </w:tc>
        <w:tc>
          <w:tcPr>
            <w:tcW w:w="2385" w:type="dxa"/>
          </w:tcPr>
          <w:p w14:paraId="6F01F48F"/>
        </w:tc>
      </w:tr>
      <w:tr w14:paraId="11858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463" w:type="dxa"/>
            <w:gridSpan w:val="2"/>
            <w:vMerge w:val="continue"/>
            <w:tcBorders>
              <w:top w:val="nil"/>
              <w:bottom w:val="nil"/>
            </w:tcBorders>
          </w:tcPr>
          <w:p w14:paraId="7485CE43"/>
        </w:tc>
        <w:tc>
          <w:tcPr>
            <w:tcW w:w="1793" w:type="dxa"/>
            <w:gridSpan w:val="2"/>
          </w:tcPr>
          <w:p w14:paraId="55573E4E">
            <w:pPr>
              <w:spacing w:before="119" w:line="219" w:lineRule="auto"/>
              <w:ind w:left="151"/>
              <w:rPr>
                <w:rFonts w:ascii="宋体" w:hAnsi="宋体" w:cs="宋体"/>
                <w:sz w:val="17"/>
                <w:szCs w:val="17"/>
              </w:rPr>
            </w:pPr>
            <w:r>
              <w:rPr>
                <w:rFonts w:ascii="宋体" w:hAnsi="宋体" w:cs="宋体"/>
                <w:spacing w:val="-1"/>
                <w:sz w:val="17"/>
                <w:szCs w:val="17"/>
              </w:rPr>
              <w:t>3.国有资本经营预算</w:t>
            </w:r>
          </w:p>
        </w:tc>
        <w:tc>
          <w:tcPr>
            <w:tcW w:w="1485" w:type="dxa"/>
          </w:tcPr>
          <w:p w14:paraId="21AA33CA"/>
        </w:tc>
        <w:tc>
          <w:tcPr>
            <w:tcW w:w="1020" w:type="dxa"/>
          </w:tcPr>
          <w:p w14:paraId="7EB92789"/>
        </w:tc>
        <w:tc>
          <w:tcPr>
            <w:tcW w:w="1035" w:type="dxa"/>
          </w:tcPr>
          <w:p w14:paraId="29EB5DE5"/>
        </w:tc>
        <w:tc>
          <w:tcPr>
            <w:tcW w:w="2385" w:type="dxa"/>
          </w:tcPr>
          <w:p w14:paraId="11AEC21E"/>
        </w:tc>
      </w:tr>
      <w:tr w14:paraId="72A97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463" w:type="dxa"/>
            <w:gridSpan w:val="2"/>
            <w:vMerge w:val="continue"/>
            <w:tcBorders>
              <w:top w:val="nil"/>
              <w:bottom w:val="nil"/>
            </w:tcBorders>
          </w:tcPr>
          <w:p w14:paraId="108A94F1"/>
        </w:tc>
        <w:tc>
          <w:tcPr>
            <w:tcW w:w="1793" w:type="dxa"/>
            <w:gridSpan w:val="2"/>
          </w:tcPr>
          <w:p w14:paraId="5633246C">
            <w:pPr>
              <w:spacing w:before="82" w:line="219" w:lineRule="auto"/>
              <w:ind w:left="151"/>
              <w:rPr>
                <w:rFonts w:ascii="宋体" w:hAnsi="宋体" w:cs="宋体"/>
                <w:sz w:val="17"/>
                <w:szCs w:val="17"/>
              </w:rPr>
            </w:pPr>
            <w:r>
              <w:rPr>
                <w:rFonts w:ascii="宋体" w:hAnsi="宋体" w:cs="宋体"/>
                <w:spacing w:val="-1"/>
                <w:sz w:val="17"/>
                <w:szCs w:val="17"/>
              </w:rPr>
              <w:t>4.社保基金</w:t>
            </w:r>
          </w:p>
        </w:tc>
        <w:tc>
          <w:tcPr>
            <w:tcW w:w="1485" w:type="dxa"/>
          </w:tcPr>
          <w:p w14:paraId="6EE0F228"/>
        </w:tc>
        <w:tc>
          <w:tcPr>
            <w:tcW w:w="1020" w:type="dxa"/>
          </w:tcPr>
          <w:p w14:paraId="498A2A0F"/>
        </w:tc>
        <w:tc>
          <w:tcPr>
            <w:tcW w:w="1035" w:type="dxa"/>
          </w:tcPr>
          <w:p w14:paraId="4FF0C80A"/>
        </w:tc>
        <w:tc>
          <w:tcPr>
            <w:tcW w:w="2385" w:type="dxa"/>
          </w:tcPr>
          <w:p w14:paraId="4A3F375A"/>
        </w:tc>
      </w:tr>
      <w:tr w14:paraId="0B4B8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463" w:type="dxa"/>
            <w:gridSpan w:val="2"/>
            <w:vMerge w:val="continue"/>
            <w:tcBorders>
              <w:top w:val="nil"/>
            </w:tcBorders>
          </w:tcPr>
          <w:p w14:paraId="523DE735"/>
        </w:tc>
        <w:tc>
          <w:tcPr>
            <w:tcW w:w="1793" w:type="dxa"/>
            <w:gridSpan w:val="2"/>
          </w:tcPr>
          <w:p w14:paraId="6CA6A552">
            <w:pPr>
              <w:spacing w:before="112" w:line="220" w:lineRule="auto"/>
              <w:ind w:left="151"/>
              <w:rPr>
                <w:rFonts w:ascii="宋体" w:hAnsi="宋体" w:cs="宋体"/>
                <w:sz w:val="17"/>
                <w:szCs w:val="17"/>
              </w:rPr>
            </w:pPr>
            <w:r>
              <w:rPr>
                <w:rFonts w:ascii="宋体" w:hAnsi="宋体" w:cs="宋体"/>
                <w:spacing w:val="1"/>
                <w:sz w:val="17"/>
                <w:szCs w:val="17"/>
              </w:rPr>
              <w:t>(二)其他资金</w:t>
            </w:r>
          </w:p>
        </w:tc>
        <w:tc>
          <w:tcPr>
            <w:tcW w:w="1485" w:type="dxa"/>
          </w:tcPr>
          <w:p w14:paraId="7580AA4B"/>
        </w:tc>
        <w:tc>
          <w:tcPr>
            <w:tcW w:w="1020" w:type="dxa"/>
          </w:tcPr>
          <w:p w14:paraId="54F9BC7F"/>
        </w:tc>
        <w:tc>
          <w:tcPr>
            <w:tcW w:w="1035" w:type="dxa"/>
          </w:tcPr>
          <w:p w14:paraId="427FDB08"/>
        </w:tc>
        <w:tc>
          <w:tcPr>
            <w:tcW w:w="2385" w:type="dxa"/>
          </w:tcPr>
          <w:p w14:paraId="2C46E5D1"/>
        </w:tc>
      </w:tr>
      <w:tr w14:paraId="53320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04" w:type="dxa"/>
            <w:vMerge w:val="restart"/>
            <w:tcBorders>
              <w:bottom w:val="nil"/>
            </w:tcBorders>
          </w:tcPr>
          <w:p w14:paraId="31574A7F">
            <w:pPr>
              <w:spacing w:before="55" w:line="219" w:lineRule="auto"/>
              <w:ind w:left="194" w:right="2" w:hanging="139"/>
              <w:rPr>
                <w:rFonts w:ascii="宋体" w:hAnsi="宋体" w:cs="宋体"/>
                <w:spacing w:val="-11"/>
                <w:sz w:val="17"/>
                <w:szCs w:val="17"/>
              </w:rPr>
            </w:pPr>
          </w:p>
          <w:p w14:paraId="7752ED19">
            <w:pPr>
              <w:spacing w:before="55" w:line="219" w:lineRule="auto"/>
              <w:ind w:left="194" w:right="2" w:hanging="139"/>
              <w:rPr>
                <w:rFonts w:ascii="宋体" w:hAnsi="宋体" w:cs="宋体"/>
                <w:spacing w:val="-11"/>
                <w:sz w:val="17"/>
                <w:szCs w:val="17"/>
              </w:rPr>
            </w:pPr>
          </w:p>
          <w:p w14:paraId="6DEE051F">
            <w:pPr>
              <w:spacing w:before="55" w:line="219" w:lineRule="auto"/>
              <w:ind w:left="194" w:right="2" w:hanging="139"/>
              <w:rPr>
                <w:rFonts w:ascii="宋体" w:hAnsi="宋体" w:cs="宋体"/>
                <w:spacing w:val="-11"/>
                <w:sz w:val="17"/>
                <w:szCs w:val="17"/>
              </w:rPr>
            </w:pPr>
          </w:p>
          <w:p w14:paraId="1D053D66">
            <w:pPr>
              <w:spacing w:before="55" w:line="219" w:lineRule="auto"/>
              <w:ind w:left="194" w:right="2" w:hanging="139"/>
              <w:rPr>
                <w:rFonts w:ascii="宋体" w:hAnsi="宋体" w:cs="宋体"/>
                <w:spacing w:val="-11"/>
                <w:sz w:val="17"/>
                <w:szCs w:val="17"/>
              </w:rPr>
            </w:pPr>
          </w:p>
          <w:p w14:paraId="5202EE75">
            <w:pPr>
              <w:spacing w:before="55" w:line="219" w:lineRule="auto"/>
              <w:ind w:left="194" w:right="2" w:hanging="139"/>
              <w:rPr>
                <w:rFonts w:ascii="宋体" w:hAnsi="宋体" w:cs="宋体"/>
                <w:spacing w:val="-11"/>
                <w:sz w:val="17"/>
                <w:szCs w:val="17"/>
              </w:rPr>
            </w:pPr>
            <w:r>
              <w:rPr>
                <w:rFonts w:ascii="宋体" w:hAnsi="宋体" w:cs="宋体"/>
                <w:spacing w:val="-11"/>
                <w:sz w:val="17"/>
                <w:szCs w:val="17"/>
              </w:rPr>
              <w:t>年度总体 目标</w:t>
            </w:r>
          </w:p>
        </w:tc>
        <w:tc>
          <w:tcPr>
            <w:tcW w:w="6092" w:type="dxa"/>
            <w:gridSpan w:val="6"/>
          </w:tcPr>
          <w:p w14:paraId="71C2B35F">
            <w:pPr>
              <w:spacing w:before="55" w:line="219" w:lineRule="auto"/>
              <w:ind w:left="194" w:right="2" w:hanging="139"/>
              <w:rPr>
                <w:rFonts w:ascii="宋体" w:hAnsi="宋体" w:cs="宋体"/>
                <w:spacing w:val="-11"/>
                <w:sz w:val="17"/>
                <w:szCs w:val="17"/>
              </w:rPr>
            </w:pPr>
            <w:r>
              <w:rPr>
                <w:rFonts w:ascii="宋体" w:hAnsi="宋体" w:cs="宋体"/>
                <w:spacing w:val="-11"/>
                <w:sz w:val="17"/>
                <w:szCs w:val="17"/>
              </w:rPr>
              <w:t>预期目标</w:t>
            </w:r>
          </w:p>
        </w:tc>
        <w:tc>
          <w:tcPr>
            <w:tcW w:w="2385" w:type="dxa"/>
          </w:tcPr>
          <w:p w14:paraId="0D702A01">
            <w:pPr>
              <w:spacing w:before="183" w:line="220" w:lineRule="auto"/>
              <w:jc w:val="center"/>
              <w:rPr>
                <w:rFonts w:ascii="宋体" w:hAnsi="宋体" w:cs="宋体"/>
                <w:spacing w:val="-2"/>
                <w:sz w:val="17"/>
                <w:szCs w:val="17"/>
              </w:rPr>
            </w:pPr>
            <w:r>
              <w:rPr>
                <w:rFonts w:hint="eastAsia" w:ascii="宋体" w:hAnsi="宋体" w:cs="宋体"/>
                <w:spacing w:val="-2"/>
                <w:sz w:val="17"/>
                <w:szCs w:val="17"/>
              </w:rPr>
              <w:t>完成情况</w:t>
            </w:r>
          </w:p>
        </w:tc>
      </w:tr>
      <w:tr w14:paraId="44B3D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4" w:hRule="atLeast"/>
        </w:trPr>
        <w:tc>
          <w:tcPr>
            <w:tcW w:w="704" w:type="dxa"/>
            <w:vMerge w:val="continue"/>
            <w:tcBorders>
              <w:top w:val="nil"/>
            </w:tcBorders>
          </w:tcPr>
          <w:p w14:paraId="76F72F0B">
            <w:pPr>
              <w:spacing w:before="55" w:line="219" w:lineRule="auto"/>
              <w:ind w:left="194" w:right="2" w:hanging="139"/>
              <w:rPr>
                <w:rFonts w:ascii="宋体" w:hAnsi="宋体" w:cs="宋体"/>
                <w:spacing w:val="-11"/>
                <w:sz w:val="17"/>
                <w:szCs w:val="17"/>
              </w:rPr>
            </w:pPr>
          </w:p>
        </w:tc>
        <w:tc>
          <w:tcPr>
            <w:tcW w:w="6092" w:type="dxa"/>
            <w:gridSpan w:val="6"/>
            <w:vAlign w:val="center"/>
          </w:tcPr>
          <w:p w14:paraId="2A532D76">
            <w:pPr>
              <w:spacing w:before="55" w:line="219" w:lineRule="auto"/>
              <w:ind w:left="194" w:right="2" w:hanging="139"/>
              <w:rPr>
                <w:rFonts w:ascii="宋体" w:hAnsi="宋体" w:cs="宋体"/>
                <w:spacing w:val="-11"/>
                <w:sz w:val="17"/>
                <w:szCs w:val="17"/>
              </w:rPr>
            </w:pPr>
            <w:r>
              <w:rPr>
                <w:rFonts w:hint="eastAsia" w:ascii="宋体" w:hAnsi="宋体" w:cs="宋体"/>
                <w:spacing w:val="-11"/>
                <w:sz w:val="17"/>
                <w:szCs w:val="17"/>
              </w:rPr>
              <w:t>加加强基层组织建设，提高公共运行服务保障水平和社会治理能力，按照《广元市昭化区基层活动和公共服务运行经费使用管理办法》，王家镇2022年12月之前完成组织活动场所维护12个，全年组织活动开展135次，全年垃圾共清运1600次，村容村貌良好，无任何“脏乱差”现象发生，王家镇农工运成本为81万元，覆盖对象11个村1个社区，65个村民小组，共18625人，群众满意度达到95%以上。</w:t>
            </w:r>
          </w:p>
        </w:tc>
        <w:tc>
          <w:tcPr>
            <w:tcW w:w="2385" w:type="dxa"/>
            <w:vAlign w:val="center"/>
          </w:tcPr>
          <w:p w14:paraId="2E872EE5">
            <w:pPr>
              <w:spacing w:before="183" w:line="220" w:lineRule="auto"/>
              <w:rPr>
                <w:rFonts w:ascii="宋体" w:hAnsi="宋体" w:cs="宋体"/>
                <w:spacing w:val="-2"/>
                <w:sz w:val="17"/>
                <w:szCs w:val="17"/>
              </w:rPr>
            </w:pPr>
            <w:r>
              <w:rPr>
                <w:rFonts w:hint="eastAsia" w:ascii="宋体" w:hAnsi="宋体" w:cs="宋体"/>
                <w:spacing w:val="-11"/>
                <w:sz w:val="17"/>
                <w:szCs w:val="17"/>
              </w:rPr>
              <w:t>加加强基层组织建设，提高公共运行服务保障水平和社会治理能力，按照《广元市昭化区基层活动和公共服务运行经费使用管理办法》，王家镇2022年12月之前完成组织活动场所维护12个，全年组织活动开展135次，全年垃圾共清运1600次，村容村貌良好，无任何“脏乱差”现象发生，王家镇农工运成本为81万元，覆盖对象11个村1个社区，65个村民小组，共18625人，群众满意度达到95%以上。</w:t>
            </w:r>
          </w:p>
        </w:tc>
      </w:tr>
      <w:tr w14:paraId="6B204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04" w:type="dxa"/>
            <w:vMerge w:val="restart"/>
            <w:tcBorders>
              <w:bottom w:val="nil"/>
            </w:tcBorders>
          </w:tcPr>
          <w:p w14:paraId="4E267789">
            <w:pPr>
              <w:spacing w:line="253" w:lineRule="auto"/>
              <w:jc w:val="center"/>
            </w:pPr>
          </w:p>
          <w:p w14:paraId="7ABA0C3D">
            <w:pPr>
              <w:spacing w:line="253" w:lineRule="auto"/>
              <w:jc w:val="center"/>
            </w:pPr>
          </w:p>
          <w:p w14:paraId="51263CEF">
            <w:pPr>
              <w:spacing w:line="253" w:lineRule="auto"/>
              <w:jc w:val="center"/>
            </w:pPr>
          </w:p>
          <w:p w14:paraId="5B857A5F">
            <w:pPr>
              <w:spacing w:line="254" w:lineRule="auto"/>
              <w:jc w:val="center"/>
            </w:pPr>
          </w:p>
          <w:p w14:paraId="405C34FD">
            <w:pPr>
              <w:spacing w:line="254" w:lineRule="auto"/>
              <w:jc w:val="center"/>
            </w:pPr>
          </w:p>
          <w:p w14:paraId="1431995D">
            <w:pPr>
              <w:spacing w:line="254" w:lineRule="auto"/>
              <w:jc w:val="center"/>
            </w:pPr>
          </w:p>
          <w:p w14:paraId="020069EF">
            <w:pPr>
              <w:spacing w:line="254" w:lineRule="auto"/>
              <w:jc w:val="center"/>
            </w:pPr>
          </w:p>
          <w:p w14:paraId="1802E732">
            <w:pPr>
              <w:spacing w:line="254" w:lineRule="auto"/>
              <w:jc w:val="center"/>
            </w:pPr>
          </w:p>
          <w:p w14:paraId="0561C53F">
            <w:pPr>
              <w:spacing w:line="254" w:lineRule="auto"/>
              <w:jc w:val="center"/>
            </w:pPr>
          </w:p>
          <w:p w14:paraId="0A9AB3AC">
            <w:pPr>
              <w:spacing w:line="254" w:lineRule="auto"/>
              <w:jc w:val="center"/>
            </w:pPr>
          </w:p>
          <w:p w14:paraId="65F617D4">
            <w:pPr>
              <w:spacing w:line="254" w:lineRule="auto"/>
              <w:jc w:val="center"/>
            </w:pPr>
          </w:p>
          <w:p w14:paraId="1BA2FA4A">
            <w:pPr>
              <w:spacing w:before="56" w:line="220" w:lineRule="auto"/>
              <w:ind w:left="55"/>
              <w:jc w:val="center"/>
              <w:rPr>
                <w:rFonts w:ascii="宋体" w:hAnsi="宋体" w:cs="宋体"/>
                <w:sz w:val="17"/>
                <w:szCs w:val="17"/>
              </w:rPr>
            </w:pPr>
            <w:r>
              <w:rPr>
                <w:rFonts w:ascii="宋体" w:hAnsi="宋体" w:cs="宋体"/>
                <w:spacing w:val="-11"/>
                <w:sz w:val="17"/>
                <w:szCs w:val="17"/>
              </w:rPr>
              <w:t>绩效指标</w:t>
            </w:r>
          </w:p>
        </w:tc>
        <w:tc>
          <w:tcPr>
            <w:tcW w:w="759" w:type="dxa"/>
            <w:tcBorders>
              <w:bottom w:val="single" w:color="auto" w:sz="4" w:space="0"/>
            </w:tcBorders>
          </w:tcPr>
          <w:p w14:paraId="44F84A3F">
            <w:pPr>
              <w:spacing w:before="155" w:line="220" w:lineRule="auto"/>
              <w:ind w:left="40"/>
              <w:jc w:val="center"/>
              <w:rPr>
                <w:rFonts w:ascii="宋体" w:hAnsi="宋体" w:cs="宋体"/>
                <w:sz w:val="17"/>
                <w:szCs w:val="17"/>
              </w:rPr>
            </w:pPr>
            <w:r>
              <w:rPr>
                <w:rFonts w:ascii="宋体" w:hAnsi="宋体" w:cs="宋体"/>
                <w:spacing w:val="-2"/>
                <w:sz w:val="17"/>
                <w:szCs w:val="17"/>
              </w:rPr>
              <w:t>一级指标</w:t>
            </w:r>
          </w:p>
        </w:tc>
        <w:tc>
          <w:tcPr>
            <w:tcW w:w="1009" w:type="dxa"/>
          </w:tcPr>
          <w:p w14:paraId="2331E1E8">
            <w:pPr>
              <w:spacing w:before="155" w:line="220" w:lineRule="auto"/>
              <w:jc w:val="center"/>
              <w:rPr>
                <w:rFonts w:ascii="宋体" w:hAnsi="宋体" w:cs="宋体"/>
                <w:sz w:val="17"/>
                <w:szCs w:val="17"/>
              </w:rPr>
            </w:pPr>
            <w:r>
              <w:rPr>
                <w:rFonts w:ascii="宋体" w:hAnsi="宋体" w:cs="宋体"/>
                <w:spacing w:val="-2"/>
                <w:sz w:val="17"/>
                <w:szCs w:val="17"/>
              </w:rPr>
              <w:t>二级指标</w:t>
            </w:r>
          </w:p>
        </w:tc>
        <w:tc>
          <w:tcPr>
            <w:tcW w:w="2269" w:type="dxa"/>
            <w:gridSpan w:val="2"/>
          </w:tcPr>
          <w:p w14:paraId="57302F3B">
            <w:pPr>
              <w:spacing w:before="155" w:line="220" w:lineRule="auto"/>
              <w:jc w:val="center"/>
              <w:rPr>
                <w:rFonts w:ascii="宋体" w:hAnsi="宋体" w:cs="宋体"/>
                <w:sz w:val="17"/>
                <w:szCs w:val="17"/>
              </w:rPr>
            </w:pPr>
            <w:r>
              <w:rPr>
                <w:rFonts w:ascii="宋体" w:hAnsi="宋体" w:cs="宋体"/>
                <w:spacing w:val="-2"/>
                <w:sz w:val="17"/>
                <w:szCs w:val="17"/>
              </w:rPr>
              <w:t>三级指标</w:t>
            </w:r>
          </w:p>
        </w:tc>
        <w:tc>
          <w:tcPr>
            <w:tcW w:w="1020" w:type="dxa"/>
          </w:tcPr>
          <w:p w14:paraId="796DAC1E">
            <w:pPr>
              <w:spacing w:before="155" w:line="219" w:lineRule="auto"/>
              <w:jc w:val="center"/>
              <w:rPr>
                <w:rFonts w:ascii="宋体" w:hAnsi="宋体" w:cs="宋体"/>
                <w:sz w:val="17"/>
                <w:szCs w:val="17"/>
              </w:rPr>
            </w:pPr>
            <w:r>
              <w:rPr>
                <w:rFonts w:ascii="宋体" w:hAnsi="宋体" w:cs="宋体"/>
                <w:spacing w:val="-2"/>
                <w:sz w:val="17"/>
                <w:szCs w:val="17"/>
              </w:rPr>
              <w:t>年度指标值</w:t>
            </w:r>
          </w:p>
        </w:tc>
        <w:tc>
          <w:tcPr>
            <w:tcW w:w="1035" w:type="dxa"/>
          </w:tcPr>
          <w:p w14:paraId="47B026BA">
            <w:pPr>
              <w:spacing w:before="155" w:line="219" w:lineRule="auto"/>
              <w:jc w:val="center"/>
              <w:rPr>
                <w:rFonts w:ascii="宋体" w:hAnsi="宋体" w:cs="宋体"/>
                <w:sz w:val="17"/>
                <w:szCs w:val="17"/>
              </w:rPr>
            </w:pPr>
            <w:r>
              <w:rPr>
                <w:rFonts w:ascii="宋体" w:hAnsi="宋体" w:cs="宋体"/>
                <w:spacing w:val="-2"/>
                <w:sz w:val="17"/>
                <w:szCs w:val="17"/>
              </w:rPr>
              <w:t>实际完成值</w:t>
            </w:r>
          </w:p>
        </w:tc>
        <w:tc>
          <w:tcPr>
            <w:tcW w:w="2385" w:type="dxa"/>
          </w:tcPr>
          <w:p w14:paraId="7D3E44C1">
            <w:pPr>
              <w:spacing w:before="75" w:line="227" w:lineRule="auto"/>
              <w:jc w:val="center"/>
              <w:rPr>
                <w:rFonts w:ascii="宋体" w:hAnsi="宋体" w:cs="宋体"/>
                <w:sz w:val="16"/>
                <w:szCs w:val="16"/>
              </w:rPr>
            </w:pPr>
            <w:r>
              <w:rPr>
                <w:rFonts w:ascii="宋体" w:hAnsi="宋体" w:cs="宋体"/>
                <w:sz w:val="16"/>
                <w:szCs w:val="16"/>
              </w:rPr>
              <w:t>偏差原因分析及</w:t>
            </w:r>
            <w:r>
              <w:rPr>
                <w:rFonts w:ascii="宋体" w:hAnsi="宋体" w:cs="宋体"/>
                <w:spacing w:val="11"/>
                <w:sz w:val="16"/>
                <w:szCs w:val="16"/>
              </w:rPr>
              <w:t>改进措施</w:t>
            </w:r>
          </w:p>
        </w:tc>
      </w:tr>
      <w:tr w14:paraId="5105B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right w:val="single" w:color="auto" w:sz="4" w:space="0"/>
            </w:tcBorders>
          </w:tcPr>
          <w:p w14:paraId="6573C3FC">
            <w:pPr>
              <w:jc w:val="center"/>
            </w:pPr>
          </w:p>
        </w:tc>
        <w:tc>
          <w:tcPr>
            <w:tcW w:w="759" w:type="dxa"/>
            <w:vMerge w:val="restart"/>
            <w:tcBorders>
              <w:top w:val="single" w:color="auto" w:sz="4" w:space="0"/>
              <w:left w:val="single" w:color="auto" w:sz="4" w:space="0"/>
              <w:right w:val="single" w:color="auto" w:sz="4" w:space="0"/>
            </w:tcBorders>
            <w:vAlign w:val="center"/>
          </w:tcPr>
          <w:p w14:paraId="5E492796">
            <w:pPr>
              <w:spacing w:line="286" w:lineRule="auto"/>
              <w:jc w:val="center"/>
            </w:pPr>
          </w:p>
          <w:p w14:paraId="78CF3537">
            <w:pPr>
              <w:spacing w:line="287" w:lineRule="auto"/>
              <w:jc w:val="center"/>
            </w:pPr>
          </w:p>
          <w:p w14:paraId="35A8E0A5">
            <w:pPr>
              <w:spacing w:before="56" w:line="219" w:lineRule="auto"/>
              <w:ind w:left="40"/>
              <w:jc w:val="center"/>
              <w:rPr>
                <w:rFonts w:ascii="宋体" w:hAnsi="宋体" w:cs="宋体"/>
                <w:sz w:val="17"/>
                <w:szCs w:val="17"/>
              </w:rPr>
            </w:pPr>
            <w:r>
              <w:rPr>
                <w:rFonts w:ascii="宋体" w:hAnsi="宋体" w:cs="宋体"/>
                <w:spacing w:val="-2"/>
                <w:sz w:val="17"/>
                <w:szCs w:val="17"/>
              </w:rPr>
              <w:t>产出指标</w:t>
            </w:r>
          </w:p>
        </w:tc>
        <w:tc>
          <w:tcPr>
            <w:tcW w:w="1009" w:type="dxa"/>
            <w:vMerge w:val="restart"/>
            <w:tcBorders>
              <w:left w:val="single" w:color="auto" w:sz="4" w:space="0"/>
            </w:tcBorders>
            <w:vAlign w:val="center"/>
          </w:tcPr>
          <w:p w14:paraId="3E0E25BF">
            <w:pPr>
              <w:spacing w:before="55" w:line="219" w:lineRule="auto"/>
              <w:jc w:val="center"/>
              <w:rPr>
                <w:rFonts w:ascii="宋体" w:hAnsi="宋体" w:cs="宋体"/>
                <w:sz w:val="17"/>
                <w:szCs w:val="17"/>
              </w:rPr>
            </w:pPr>
            <w:r>
              <w:rPr>
                <w:rFonts w:ascii="宋体" w:hAnsi="宋体" w:cs="宋体"/>
                <w:spacing w:val="-2"/>
                <w:sz w:val="17"/>
                <w:szCs w:val="17"/>
              </w:rPr>
              <w:t>数量指标</w:t>
            </w:r>
          </w:p>
        </w:tc>
        <w:tc>
          <w:tcPr>
            <w:tcW w:w="2269" w:type="dxa"/>
            <w:gridSpan w:val="2"/>
            <w:vAlign w:val="center"/>
          </w:tcPr>
          <w:p w14:paraId="4971B2CC">
            <w:pPr>
              <w:spacing w:before="55" w:line="219" w:lineRule="auto"/>
              <w:jc w:val="center"/>
              <w:rPr>
                <w:rFonts w:ascii="宋体" w:hAnsi="宋体" w:cs="宋体"/>
                <w:spacing w:val="-2"/>
                <w:sz w:val="17"/>
                <w:szCs w:val="17"/>
              </w:rPr>
            </w:pPr>
            <w:r>
              <w:rPr>
                <w:rFonts w:hint="eastAsia" w:ascii="宋体" w:hAnsi="宋体" w:cs="宋体"/>
                <w:spacing w:val="-2"/>
                <w:sz w:val="17"/>
                <w:szCs w:val="17"/>
              </w:rPr>
              <w:t>村社区全年垃圾清运次数</w:t>
            </w:r>
          </w:p>
        </w:tc>
        <w:tc>
          <w:tcPr>
            <w:tcW w:w="1020" w:type="dxa"/>
            <w:vAlign w:val="center"/>
          </w:tcPr>
          <w:p w14:paraId="564C1EA1">
            <w:pPr>
              <w:spacing w:before="55" w:line="219" w:lineRule="auto"/>
              <w:jc w:val="center"/>
              <w:rPr>
                <w:rFonts w:ascii="宋体" w:hAnsi="宋体" w:cs="宋体"/>
                <w:spacing w:val="-2"/>
                <w:sz w:val="17"/>
                <w:szCs w:val="17"/>
              </w:rPr>
            </w:pPr>
            <w:r>
              <w:rPr>
                <w:rFonts w:hint="eastAsia" w:ascii="宋体" w:hAnsi="宋体" w:cs="宋体"/>
                <w:spacing w:val="-2"/>
                <w:sz w:val="17"/>
                <w:szCs w:val="17"/>
              </w:rPr>
              <w:t>≥576次</w:t>
            </w:r>
          </w:p>
        </w:tc>
        <w:tc>
          <w:tcPr>
            <w:tcW w:w="1035" w:type="dxa"/>
            <w:vAlign w:val="center"/>
          </w:tcPr>
          <w:p w14:paraId="46117BCA">
            <w:pPr>
              <w:spacing w:before="55" w:line="219" w:lineRule="auto"/>
              <w:jc w:val="center"/>
              <w:rPr>
                <w:rFonts w:ascii="宋体" w:hAnsi="宋体" w:cs="宋体"/>
                <w:spacing w:val="-2"/>
                <w:sz w:val="17"/>
                <w:szCs w:val="17"/>
              </w:rPr>
            </w:pPr>
            <w:r>
              <w:rPr>
                <w:rFonts w:hint="eastAsia" w:ascii="宋体" w:hAnsi="宋体" w:cs="宋体"/>
                <w:spacing w:val="-2"/>
                <w:sz w:val="17"/>
                <w:szCs w:val="17"/>
              </w:rPr>
              <w:t>576次</w:t>
            </w:r>
          </w:p>
        </w:tc>
        <w:tc>
          <w:tcPr>
            <w:tcW w:w="2385" w:type="dxa"/>
            <w:vAlign w:val="center"/>
          </w:tcPr>
          <w:p w14:paraId="455F1602">
            <w:pPr>
              <w:spacing w:before="55" w:line="219" w:lineRule="auto"/>
              <w:jc w:val="center"/>
              <w:rPr>
                <w:rFonts w:ascii="宋体" w:hAnsi="宋体" w:cs="宋体"/>
                <w:spacing w:val="-2"/>
                <w:sz w:val="17"/>
                <w:szCs w:val="17"/>
              </w:rPr>
            </w:pPr>
          </w:p>
        </w:tc>
      </w:tr>
      <w:tr w14:paraId="433FA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right w:val="single" w:color="auto" w:sz="4" w:space="0"/>
            </w:tcBorders>
          </w:tcPr>
          <w:p w14:paraId="11370CBF">
            <w:pPr>
              <w:spacing w:before="36" w:line="220" w:lineRule="auto"/>
              <w:jc w:val="center"/>
            </w:pPr>
          </w:p>
        </w:tc>
        <w:tc>
          <w:tcPr>
            <w:tcW w:w="759" w:type="dxa"/>
            <w:vMerge w:val="continue"/>
            <w:tcBorders>
              <w:left w:val="single" w:color="auto" w:sz="4" w:space="0"/>
              <w:right w:val="single" w:color="auto" w:sz="4" w:space="0"/>
            </w:tcBorders>
            <w:vAlign w:val="center"/>
          </w:tcPr>
          <w:p w14:paraId="08230857">
            <w:pPr>
              <w:spacing w:before="36" w:line="220" w:lineRule="auto"/>
              <w:jc w:val="center"/>
            </w:pPr>
          </w:p>
        </w:tc>
        <w:tc>
          <w:tcPr>
            <w:tcW w:w="1009" w:type="dxa"/>
            <w:vMerge w:val="continue"/>
            <w:tcBorders>
              <w:left w:val="single" w:color="auto" w:sz="4" w:space="0"/>
            </w:tcBorders>
            <w:vAlign w:val="center"/>
          </w:tcPr>
          <w:p w14:paraId="4ADD726A">
            <w:pPr>
              <w:spacing w:before="36" w:line="220" w:lineRule="auto"/>
              <w:jc w:val="center"/>
            </w:pPr>
          </w:p>
        </w:tc>
        <w:tc>
          <w:tcPr>
            <w:tcW w:w="2269" w:type="dxa"/>
            <w:gridSpan w:val="2"/>
            <w:vAlign w:val="center"/>
          </w:tcPr>
          <w:p w14:paraId="5CFE2B2D">
            <w:pPr>
              <w:spacing w:before="55" w:line="219" w:lineRule="auto"/>
              <w:jc w:val="center"/>
              <w:rPr>
                <w:rFonts w:ascii="宋体" w:hAnsi="宋体" w:cs="宋体"/>
                <w:spacing w:val="-2"/>
                <w:sz w:val="17"/>
                <w:szCs w:val="17"/>
              </w:rPr>
            </w:pPr>
            <w:r>
              <w:rPr>
                <w:rFonts w:hint="eastAsia" w:ascii="宋体" w:hAnsi="宋体" w:cs="宋体"/>
                <w:spacing w:val="-2"/>
                <w:sz w:val="17"/>
                <w:szCs w:val="17"/>
              </w:rPr>
              <w:t>村组织环境卫生维护个数</w:t>
            </w:r>
          </w:p>
        </w:tc>
        <w:tc>
          <w:tcPr>
            <w:tcW w:w="1020" w:type="dxa"/>
            <w:vAlign w:val="center"/>
          </w:tcPr>
          <w:p w14:paraId="24CC5828">
            <w:pPr>
              <w:spacing w:before="55" w:line="219" w:lineRule="auto"/>
              <w:jc w:val="center"/>
              <w:rPr>
                <w:rFonts w:ascii="宋体" w:hAnsi="宋体" w:cs="宋体"/>
                <w:spacing w:val="-2"/>
                <w:sz w:val="17"/>
                <w:szCs w:val="17"/>
              </w:rPr>
            </w:pPr>
            <w:r>
              <w:rPr>
                <w:rFonts w:hint="eastAsia" w:ascii="宋体" w:hAnsi="宋体" w:cs="宋体"/>
                <w:spacing w:val="-2"/>
                <w:sz w:val="17"/>
                <w:szCs w:val="17"/>
              </w:rPr>
              <w:t>=12个</w:t>
            </w:r>
          </w:p>
        </w:tc>
        <w:tc>
          <w:tcPr>
            <w:tcW w:w="1035" w:type="dxa"/>
            <w:vAlign w:val="center"/>
          </w:tcPr>
          <w:p w14:paraId="383165BB">
            <w:pPr>
              <w:spacing w:before="55" w:line="219" w:lineRule="auto"/>
              <w:jc w:val="center"/>
              <w:rPr>
                <w:rFonts w:ascii="宋体" w:hAnsi="宋体" w:cs="宋体"/>
                <w:spacing w:val="-2"/>
                <w:sz w:val="17"/>
                <w:szCs w:val="17"/>
              </w:rPr>
            </w:pPr>
            <w:r>
              <w:rPr>
                <w:rFonts w:hint="eastAsia" w:ascii="宋体" w:hAnsi="宋体" w:cs="宋体"/>
                <w:spacing w:val="-2"/>
                <w:sz w:val="17"/>
                <w:szCs w:val="17"/>
              </w:rPr>
              <w:t>3处</w:t>
            </w:r>
          </w:p>
        </w:tc>
        <w:tc>
          <w:tcPr>
            <w:tcW w:w="2385" w:type="dxa"/>
            <w:vAlign w:val="center"/>
          </w:tcPr>
          <w:p w14:paraId="79F43046">
            <w:pPr>
              <w:spacing w:before="55" w:line="219" w:lineRule="auto"/>
              <w:jc w:val="center"/>
              <w:rPr>
                <w:rFonts w:ascii="宋体" w:hAnsi="宋体" w:cs="宋体"/>
                <w:spacing w:val="-2"/>
                <w:sz w:val="17"/>
                <w:szCs w:val="17"/>
              </w:rPr>
            </w:pPr>
          </w:p>
        </w:tc>
      </w:tr>
      <w:tr w14:paraId="367E7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right w:val="single" w:color="auto" w:sz="4" w:space="0"/>
            </w:tcBorders>
          </w:tcPr>
          <w:p w14:paraId="5AE5E69E">
            <w:pPr>
              <w:spacing w:before="36" w:line="220" w:lineRule="auto"/>
              <w:jc w:val="center"/>
              <w:rPr>
                <w:rFonts w:ascii="宋体" w:hAnsi="宋体" w:cs="宋体"/>
                <w:sz w:val="17"/>
                <w:szCs w:val="17"/>
              </w:rPr>
            </w:pPr>
          </w:p>
        </w:tc>
        <w:tc>
          <w:tcPr>
            <w:tcW w:w="759" w:type="dxa"/>
            <w:vMerge w:val="continue"/>
            <w:tcBorders>
              <w:left w:val="single" w:color="auto" w:sz="4" w:space="0"/>
              <w:right w:val="single" w:color="auto" w:sz="4" w:space="0"/>
            </w:tcBorders>
            <w:vAlign w:val="center"/>
          </w:tcPr>
          <w:p w14:paraId="0ABFD407">
            <w:pPr>
              <w:spacing w:before="36" w:line="220" w:lineRule="auto"/>
              <w:jc w:val="center"/>
              <w:rPr>
                <w:rFonts w:ascii="宋体" w:hAnsi="宋体" w:cs="宋体"/>
                <w:sz w:val="17"/>
                <w:szCs w:val="17"/>
              </w:rPr>
            </w:pPr>
          </w:p>
        </w:tc>
        <w:tc>
          <w:tcPr>
            <w:tcW w:w="1009" w:type="dxa"/>
            <w:vMerge w:val="continue"/>
            <w:tcBorders>
              <w:left w:val="single" w:color="auto" w:sz="4" w:space="0"/>
            </w:tcBorders>
            <w:vAlign w:val="center"/>
          </w:tcPr>
          <w:p w14:paraId="49C20F7E">
            <w:pPr>
              <w:spacing w:before="36" w:line="220" w:lineRule="auto"/>
              <w:jc w:val="center"/>
              <w:rPr>
                <w:rFonts w:ascii="宋体" w:hAnsi="宋体" w:cs="宋体"/>
                <w:sz w:val="17"/>
                <w:szCs w:val="17"/>
              </w:rPr>
            </w:pPr>
          </w:p>
        </w:tc>
        <w:tc>
          <w:tcPr>
            <w:tcW w:w="2269" w:type="dxa"/>
            <w:gridSpan w:val="2"/>
            <w:vAlign w:val="center"/>
          </w:tcPr>
          <w:p w14:paraId="75EFC7D2">
            <w:pPr>
              <w:spacing w:before="55" w:line="219" w:lineRule="auto"/>
              <w:jc w:val="center"/>
              <w:rPr>
                <w:rFonts w:ascii="宋体" w:hAnsi="宋体" w:cs="宋体"/>
                <w:spacing w:val="-2"/>
                <w:sz w:val="17"/>
                <w:szCs w:val="17"/>
              </w:rPr>
            </w:pPr>
            <w:r>
              <w:rPr>
                <w:rFonts w:hint="eastAsia" w:ascii="宋体" w:hAnsi="宋体" w:cs="宋体"/>
                <w:spacing w:val="-2"/>
                <w:sz w:val="17"/>
                <w:szCs w:val="17"/>
              </w:rPr>
              <w:t>覆盖村民数</w:t>
            </w:r>
          </w:p>
        </w:tc>
        <w:tc>
          <w:tcPr>
            <w:tcW w:w="1020" w:type="dxa"/>
            <w:vAlign w:val="center"/>
          </w:tcPr>
          <w:p w14:paraId="19DCBF75">
            <w:pPr>
              <w:spacing w:before="55" w:line="219" w:lineRule="auto"/>
              <w:jc w:val="center"/>
              <w:rPr>
                <w:rFonts w:ascii="宋体" w:hAnsi="宋体" w:cs="宋体"/>
                <w:spacing w:val="-2"/>
                <w:sz w:val="17"/>
                <w:szCs w:val="17"/>
              </w:rPr>
            </w:pPr>
            <w:r>
              <w:rPr>
                <w:rFonts w:hint="eastAsia" w:ascii="宋体" w:hAnsi="宋体" w:cs="宋体"/>
                <w:spacing w:val="-2"/>
                <w:sz w:val="17"/>
                <w:szCs w:val="17"/>
              </w:rPr>
              <w:t>≥18439人</w:t>
            </w:r>
          </w:p>
        </w:tc>
        <w:tc>
          <w:tcPr>
            <w:tcW w:w="1035" w:type="dxa"/>
            <w:vAlign w:val="center"/>
          </w:tcPr>
          <w:p w14:paraId="12AC5CA7">
            <w:pPr>
              <w:spacing w:before="55" w:line="219" w:lineRule="auto"/>
              <w:jc w:val="center"/>
              <w:rPr>
                <w:rFonts w:ascii="宋体" w:hAnsi="宋体" w:cs="宋体"/>
                <w:spacing w:val="-2"/>
                <w:sz w:val="17"/>
                <w:szCs w:val="17"/>
              </w:rPr>
            </w:pPr>
            <w:r>
              <w:rPr>
                <w:rFonts w:hint="eastAsia" w:ascii="宋体" w:hAnsi="宋体" w:cs="宋体"/>
                <w:spacing w:val="-2"/>
                <w:sz w:val="17"/>
                <w:szCs w:val="17"/>
              </w:rPr>
              <w:t>18439人</w:t>
            </w:r>
          </w:p>
        </w:tc>
        <w:tc>
          <w:tcPr>
            <w:tcW w:w="2385" w:type="dxa"/>
            <w:vAlign w:val="center"/>
          </w:tcPr>
          <w:p w14:paraId="7E7B2EEE">
            <w:pPr>
              <w:spacing w:before="55" w:line="219" w:lineRule="auto"/>
              <w:jc w:val="center"/>
              <w:rPr>
                <w:rFonts w:ascii="宋体" w:hAnsi="宋体" w:cs="宋体"/>
                <w:spacing w:val="-2"/>
                <w:sz w:val="17"/>
                <w:szCs w:val="17"/>
              </w:rPr>
            </w:pPr>
          </w:p>
        </w:tc>
      </w:tr>
      <w:tr w14:paraId="196B7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right w:val="single" w:color="auto" w:sz="4" w:space="0"/>
            </w:tcBorders>
          </w:tcPr>
          <w:p w14:paraId="1A128CB0">
            <w:pPr>
              <w:jc w:val="center"/>
            </w:pPr>
          </w:p>
        </w:tc>
        <w:tc>
          <w:tcPr>
            <w:tcW w:w="759" w:type="dxa"/>
            <w:vMerge w:val="continue"/>
            <w:tcBorders>
              <w:left w:val="single" w:color="auto" w:sz="4" w:space="0"/>
              <w:right w:val="single" w:color="auto" w:sz="4" w:space="0"/>
            </w:tcBorders>
            <w:vAlign w:val="center"/>
          </w:tcPr>
          <w:p w14:paraId="066D9CC6">
            <w:pPr>
              <w:jc w:val="center"/>
            </w:pPr>
          </w:p>
        </w:tc>
        <w:tc>
          <w:tcPr>
            <w:tcW w:w="1009" w:type="dxa"/>
            <w:tcBorders>
              <w:left w:val="single" w:color="auto" w:sz="4" w:space="0"/>
              <w:bottom w:val="nil"/>
            </w:tcBorders>
            <w:vAlign w:val="center"/>
          </w:tcPr>
          <w:p w14:paraId="226747A7">
            <w:pPr>
              <w:spacing w:line="259" w:lineRule="auto"/>
              <w:jc w:val="center"/>
            </w:pPr>
          </w:p>
          <w:p w14:paraId="78C2B6A6">
            <w:pPr>
              <w:spacing w:before="55" w:line="220" w:lineRule="auto"/>
              <w:jc w:val="center"/>
              <w:rPr>
                <w:rFonts w:ascii="宋体" w:hAnsi="宋体" w:cs="宋体"/>
                <w:sz w:val="17"/>
                <w:szCs w:val="17"/>
              </w:rPr>
            </w:pPr>
            <w:r>
              <w:rPr>
                <w:rFonts w:ascii="宋体" w:hAnsi="宋体" w:cs="宋体"/>
                <w:spacing w:val="-2"/>
                <w:sz w:val="17"/>
                <w:szCs w:val="17"/>
              </w:rPr>
              <w:t>质量指标</w:t>
            </w:r>
          </w:p>
        </w:tc>
        <w:tc>
          <w:tcPr>
            <w:tcW w:w="2269" w:type="dxa"/>
            <w:gridSpan w:val="2"/>
            <w:vAlign w:val="center"/>
          </w:tcPr>
          <w:p w14:paraId="65475DDC">
            <w:pPr>
              <w:spacing w:before="55" w:line="219" w:lineRule="auto"/>
              <w:jc w:val="center"/>
              <w:rPr>
                <w:rFonts w:ascii="宋体" w:hAnsi="宋体" w:cs="宋体"/>
                <w:spacing w:val="-2"/>
                <w:sz w:val="17"/>
                <w:szCs w:val="17"/>
              </w:rPr>
            </w:pPr>
            <w:r>
              <w:rPr>
                <w:rFonts w:hint="eastAsia" w:ascii="宋体" w:hAnsi="宋体" w:cs="宋体"/>
                <w:spacing w:val="-2"/>
                <w:sz w:val="17"/>
                <w:szCs w:val="17"/>
              </w:rPr>
              <w:t>村组道路维护、卫生等验收合格</w:t>
            </w:r>
          </w:p>
        </w:tc>
        <w:tc>
          <w:tcPr>
            <w:tcW w:w="1020" w:type="dxa"/>
            <w:vAlign w:val="center"/>
          </w:tcPr>
          <w:p w14:paraId="6B28181A">
            <w:pPr>
              <w:spacing w:before="55" w:line="219" w:lineRule="auto"/>
              <w:jc w:val="center"/>
              <w:rPr>
                <w:rFonts w:ascii="宋体" w:hAnsi="宋体" w:cs="宋体"/>
                <w:spacing w:val="-2"/>
                <w:sz w:val="17"/>
                <w:szCs w:val="17"/>
              </w:rPr>
            </w:pPr>
            <w:r>
              <w:rPr>
                <w:rFonts w:hint="eastAsia" w:ascii="宋体" w:hAnsi="宋体" w:cs="宋体"/>
                <w:spacing w:val="-2"/>
                <w:sz w:val="17"/>
                <w:szCs w:val="17"/>
              </w:rPr>
              <w:t>≥95%</w:t>
            </w:r>
          </w:p>
        </w:tc>
        <w:tc>
          <w:tcPr>
            <w:tcW w:w="1035" w:type="dxa"/>
            <w:vAlign w:val="center"/>
          </w:tcPr>
          <w:p w14:paraId="3339F85C">
            <w:pPr>
              <w:spacing w:before="55" w:line="219" w:lineRule="auto"/>
              <w:jc w:val="center"/>
              <w:rPr>
                <w:rFonts w:ascii="宋体" w:hAnsi="宋体" w:cs="宋体"/>
                <w:spacing w:val="-2"/>
                <w:sz w:val="17"/>
                <w:szCs w:val="17"/>
              </w:rPr>
            </w:pPr>
            <w:r>
              <w:rPr>
                <w:rFonts w:hint="eastAsia" w:ascii="宋体" w:hAnsi="宋体" w:cs="宋体"/>
                <w:spacing w:val="-2"/>
                <w:sz w:val="17"/>
                <w:szCs w:val="17"/>
              </w:rPr>
              <w:t>96%</w:t>
            </w:r>
          </w:p>
        </w:tc>
        <w:tc>
          <w:tcPr>
            <w:tcW w:w="2385" w:type="dxa"/>
            <w:vAlign w:val="center"/>
          </w:tcPr>
          <w:p w14:paraId="19EF9FBB">
            <w:pPr>
              <w:spacing w:before="55" w:line="219" w:lineRule="auto"/>
              <w:jc w:val="center"/>
              <w:rPr>
                <w:rFonts w:ascii="宋体" w:hAnsi="宋体" w:cs="宋体"/>
                <w:spacing w:val="-2"/>
                <w:sz w:val="17"/>
                <w:szCs w:val="17"/>
              </w:rPr>
            </w:pPr>
          </w:p>
        </w:tc>
      </w:tr>
      <w:tr w14:paraId="7E29D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right w:val="single" w:color="auto" w:sz="4" w:space="0"/>
            </w:tcBorders>
          </w:tcPr>
          <w:p w14:paraId="0C16EE14">
            <w:pPr>
              <w:jc w:val="center"/>
            </w:pPr>
          </w:p>
        </w:tc>
        <w:tc>
          <w:tcPr>
            <w:tcW w:w="759" w:type="dxa"/>
            <w:vMerge w:val="continue"/>
            <w:tcBorders>
              <w:left w:val="single" w:color="auto" w:sz="4" w:space="0"/>
              <w:right w:val="single" w:color="auto" w:sz="4" w:space="0"/>
            </w:tcBorders>
            <w:vAlign w:val="center"/>
          </w:tcPr>
          <w:p w14:paraId="74BDACBF">
            <w:pPr>
              <w:jc w:val="center"/>
            </w:pPr>
          </w:p>
        </w:tc>
        <w:tc>
          <w:tcPr>
            <w:tcW w:w="1009" w:type="dxa"/>
            <w:tcBorders>
              <w:left w:val="single" w:color="auto" w:sz="4" w:space="0"/>
            </w:tcBorders>
            <w:vAlign w:val="center"/>
          </w:tcPr>
          <w:p w14:paraId="1130CF77">
            <w:pPr>
              <w:spacing w:line="259" w:lineRule="auto"/>
              <w:jc w:val="center"/>
            </w:pPr>
          </w:p>
          <w:p w14:paraId="5539F6EE">
            <w:pPr>
              <w:spacing w:before="55" w:line="220" w:lineRule="auto"/>
              <w:jc w:val="center"/>
              <w:rPr>
                <w:rFonts w:ascii="宋体" w:hAnsi="宋体" w:cs="宋体"/>
                <w:sz w:val="17"/>
                <w:szCs w:val="17"/>
              </w:rPr>
            </w:pPr>
            <w:r>
              <w:rPr>
                <w:rFonts w:ascii="宋体" w:hAnsi="宋体" w:cs="宋体"/>
                <w:spacing w:val="1"/>
                <w:sz w:val="17"/>
                <w:szCs w:val="17"/>
              </w:rPr>
              <w:t>时效指标</w:t>
            </w:r>
          </w:p>
        </w:tc>
        <w:tc>
          <w:tcPr>
            <w:tcW w:w="2269" w:type="dxa"/>
            <w:gridSpan w:val="2"/>
            <w:vAlign w:val="center"/>
          </w:tcPr>
          <w:p w14:paraId="033A6991">
            <w:pPr>
              <w:spacing w:before="55" w:line="219" w:lineRule="auto"/>
              <w:jc w:val="center"/>
              <w:rPr>
                <w:rFonts w:ascii="宋体" w:hAnsi="宋体" w:cs="宋体"/>
                <w:spacing w:val="-2"/>
                <w:sz w:val="17"/>
                <w:szCs w:val="17"/>
              </w:rPr>
            </w:pPr>
            <w:r>
              <w:rPr>
                <w:rFonts w:hint="eastAsia" w:ascii="宋体" w:hAnsi="宋体" w:cs="宋体"/>
                <w:spacing w:val="-2"/>
                <w:sz w:val="17"/>
                <w:szCs w:val="17"/>
              </w:rPr>
              <w:t>项目实施时间</w:t>
            </w:r>
          </w:p>
        </w:tc>
        <w:tc>
          <w:tcPr>
            <w:tcW w:w="1020" w:type="dxa"/>
            <w:vAlign w:val="center"/>
          </w:tcPr>
          <w:p w14:paraId="03111269">
            <w:pPr>
              <w:spacing w:before="55" w:line="219" w:lineRule="auto"/>
              <w:jc w:val="center"/>
              <w:rPr>
                <w:rFonts w:ascii="宋体" w:hAnsi="宋体" w:cs="宋体"/>
                <w:spacing w:val="-2"/>
                <w:sz w:val="17"/>
                <w:szCs w:val="17"/>
              </w:rPr>
            </w:pPr>
            <w:r>
              <w:rPr>
                <w:rFonts w:hint="eastAsia" w:ascii="宋体" w:hAnsi="宋体" w:cs="宋体"/>
                <w:spacing w:val="-2"/>
                <w:sz w:val="17"/>
                <w:szCs w:val="17"/>
              </w:rPr>
              <w:t>2022年12月底前</w:t>
            </w:r>
          </w:p>
        </w:tc>
        <w:tc>
          <w:tcPr>
            <w:tcW w:w="1035" w:type="dxa"/>
            <w:vAlign w:val="center"/>
          </w:tcPr>
          <w:p w14:paraId="5C6AADEE">
            <w:pPr>
              <w:spacing w:before="55" w:line="219" w:lineRule="auto"/>
              <w:jc w:val="center"/>
              <w:rPr>
                <w:rFonts w:ascii="宋体" w:hAnsi="宋体" w:cs="宋体"/>
                <w:spacing w:val="-2"/>
                <w:sz w:val="17"/>
                <w:szCs w:val="17"/>
              </w:rPr>
            </w:pPr>
            <w:r>
              <w:rPr>
                <w:rFonts w:hint="eastAsia" w:ascii="宋体" w:hAnsi="宋体" w:cs="宋体"/>
                <w:spacing w:val="-2"/>
                <w:sz w:val="17"/>
                <w:szCs w:val="17"/>
              </w:rPr>
              <w:t>2022年12月底前</w:t>
            </w:r>
          </w:p>
        </w:tc>
        <w:tc>
          <w:tcPr>
            <w:tcW w:w="2385" w:type="dxa"/>
            <w:vAlign w:val="center"/>
          </w:tcPr>
          <w:p w14:paraId="286DE55F">
            <w:pPr>
              <w:spacing w:before="55" w:line="219" w:lineRule="auto"/>
              <w:jc w:val="center"/>
              <w:rPr>
                <w:rFonts w:ascii="宋体" w:hAnsi="宋体" w:cs="宋体"/>
                <w:spacing w:val="-2"/>
                <w:sz w:val="17"/>
                <w:szCs w:val="17"/>
              </w:rPr>
            </w:pPr>
          </w:p>
        </w:tc>
      </w:tr>
      <w:tr w14:paraId="16DCE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right w:val="single" w:color="auto" w:sz="4" w:space="0"/>
            </w:tcBorders>
          </w:tcPr>
          <w:p w14:paraId="537335E0">
            <w:pPr>
              <w:jc w:val="center"/>
            </w:pPr>
          </w:p>
        </w:tc>
        <w:tc>
          <w:tcPr>
            <w:tcW w:w="759" w:type="dxa"/>
            <w:vMerge w:val="restart"/>
            <w:tcBorders>
              <w:left w:val="single" w:color="auto" w:sz="4" w:space="0"/>
              <w:right w:val="single" w:color="auto" w:sz="4" w:space="0"/>
            </w:tcBorders>
            <w:vAlign w:val="center"/>
          </w:tcPr>
          <w:p w14:paraId="055CF82B">
            <w:pPr>
              <w:spacing w:before="56" w:line="219" w:lineRule="auto"/>
              <w:ind w:left="40"/>
              <w:jc w:val="center"/>
              <w:rPr>
                <w:rFonts w:ascii="宋体" w:hAnsi="宋体" w:cs="宋体"/>
                <w:spacing w:val="-2"/>
                <w:sz w:val="17"/>
                <w:szCs w:val="17"/>
              </w:rPr>
            </w:pPr>
            <w:r>
              <w:rPr>
                <w:rFonts w:hint="eastAsia" w:ascii="宋体" w:hAnsi="宋体" w:cs="宋体"/>
                <w:spacing w:val="-2"/>
                <w:sz w:val="17"/>
                <w:szCs w:val="17"/>
              </w:rPr>
              <w:t>效益指标</w:t>
            </w:r>
          </w:p>
        </w:tc>
        <w:tc>
          <w:tcPr>
            <w:tcW w:w="1009" w:type="dxa"/>
            <w:tcBorders>
              <w:left w:val="single" w:color="auto" w:sz="4" w:space="0"/>
              <w:bottom w:val="nil"/>
            </w:tcBorders>
            <w:vAlign w:val="center"/>
          </w:tcPr>
          <w:p w14:paraId="2D5C0E4C">
            <w:pPr>
              <w:spacing w:before="85" w:line="219" w:lineRule="auto"/>
              <w:ind w:right="124"/>
              <w:jc w:val="center"/>
              <w:rPr>
                <w:rFonts w:ascii="宋体" w:hAnsi="宋体" w:cs="宋体"/>
                <w:spacing w:val="-2"/>
                <w:sz w:val="17"/>
                <w:szCs w:val="17"/>
              </w:rPr>
            </w:pPr>
            <w:r>
              <w:rPr>
                <w:rFonts w:hint="eastAsia" w:ascii="宋体" w:hAnsi="宋体" w:cs="宋体"/>
                <w:spacing w:val="-2"/>
                <w:sz w:val="17"/>
                <w:szCs w:val="17"/>
              </w:rPr>
              <w:t>生态效益指标</w:t>
            </w:r>
          </w:p>
        </w:tc>
        <w:tc>
          <w:tcPr>
            <w:tcW w:w="2269" w:type="dxa"/>
            <w:gridSpan w:val="2"/>
            <w:vAlign w:val="center"/>
          </w:tcPr>
          <w:p w14:paraId="378458AF">
            <w:pPr>
              <w:spacing w:before="55" w:line="219" w:lineRule="auto"/>
              <w:jc w:val="center"/>
              <w:rPr>
                <w:rFonts w:ascii="宋体" w:hAnsi="宋体" w:cs="宋体"/>
                <w:spacing w:val="-2"/>
                <w:sz w:val="17"/>
                <w:szCs w:val="17"/>
              </w:rPr>
            </w:pPr>
            <w:r>
              <w:rPr>
                <w:rFonts w:hint="eastAsia" w:ascii="宋体" w:hAnsi="宋体" w:cs="宋体"/>
                <w:spacing w:val="-2"/>
                <w:sz w:val="17"/>
                <w:szCs w:val="17"/>
              </w:rPr>
              <w:t>全镇环境卫生无“脏、乱、差”现象，村容村貌良好</w:t>
            </w:r>
          </w:p>
        </w:tc>
        <w:tc>
          <w:tcPr>
            <w:tcW w:w="1020" w:type="dxa"/>
            <w:vAlign w:val="center"/>
          </w:tcPr>
          <w:p w14:paraId="7EEE3E60">
            <w:pPr>
              <w:spacing w:before="55" w:line="219" w:lineRule="auto"/>
              <w:jc w:val="center"/>
              <w:rPr>
                <w:rFonts w:ascii="宋体" w:hAnsi="宋体" w:cs="宋体"/>
                <w:spacing w:val="-2"/>
                <w:sz w:val="17"/>
                <w:szCs w:val="17"/>
              </w:rPr>
            </w:pPr>
            <w:r>
              <w:rPr>
                <w:rFonts w:hint="eastAsia" w:ascii="宋体" w:hAnsi="宋体" w:cs="宋体"/>
                <w:spacing w:val="-2"/>
                <w:sz w:val="17"/>
                <w:szCs w:val="17"/>
              </w:rPr>
              <w:t>优</w:t>
            </w:r>
          </w:p>
        </w:tc>
        <w:tc>
          <w:tcPr>
            <w:tcW w:w="1035" w:type="dxa"/>
            <w:vAlign w:val="center"/>
          </w:tcPr>
          <w:p w14:paraId="59C7C220">
            <w:pPr>
              <w:spacing w:before="55" w:line="219" w:lineRule="auto"/>
              <w:jc w:val="center"/>
              <w:rPr>
                <w:rFonts w:ascii="宋体" w:hAnsi="宋体" w:cs="宋体"/>
                <w:spacing w:val="-2"/>
                <w:sz w:val="17"/>
                <w:szCs w:val="17"/>
              </w:rPr>
            </w:pPr>
            <w:r>
              <w:rPr>
                <w:rFonts w:hint="eastAsia" w:ascii="宋体" w:hAnsi="宋体" w:cs="宋体"/>
                <w:spacing w:val="-2"/>
                <w:sz w:val="17"/>
                <w:szCs w:val="17"/>
              </w:rPr>
              <w:t>优</w:t>
            </w:r>
          </w:p>
        </w:tc>
        <w:tc>
          <w:tcPr>
            <w:tcW w:w="2385" w:type="dxa"/>
            <w:vAlign w:val="center"/>
          </w:tcPr>
          <w:p w14:paraId="0F058E82">
            <w:pPr>
              <w:spacing w:before="55" w:line="219" w:lineRule="auto"/>
              <w:jc w:val="center"/>
              <w:rPr>
                <w:rFonts w:ascii="宋体" w:hAnsi="宋体" w:cs="宋体"/>
                <w:spacing w:val="-2"/>
                <w:sz w:val="17"/>
                <w:szCs w:val="17"/>
              </w:rPr>
            </w:pPr>
          </w:p>
        </w:tc>
      </w:tr>
      <w:tr w14:paraId="5B6AE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right w:val="single" w:color="auto" w:sz="4" w:space="0"/>
            </w:tcBorders>
          </w:tcPr>
          <w:p w14:paraId="44C23024">
            <w:pPr>
              <w:jc w:val="center"/>
            </w:pPr>
          </w:p>
        </w:tc>
        <w:tc>
          <w:tcPr>
            <w:tcW w:w="759" w:type="dxa"/>
            <w:vMerge w:val="continue"/>
            <w:tcBorders>
              <w:left w:val="single" w:color="auto" w:sz="4" w:space="0"/>
              <w:bottom w:val="single" w:color="auto" w:sz="4" w:space="0"/>
              <w:right w:val="single" w:color="auto" w:sz="4" w:space="0"/>
            </w:tcBorders>
            <w:vAlign w:val="center"/>
          </w:tcPr>
          <w:p w14:paraId="79DA86C9">
            <w:pPr>
              <w:spacing w:before="56" w:line="219" w:lineRule="auto"/>
              <w:ind w:left="40"/>
              <w:jc w:val="center"/>
              <w:rPr>
                <w:rFonts w:ascii="宋体" w:hAnsi="宋体" w:cs="宋体"/>
                <w:spacing w:val="-2"/>
                <w:sz w:val="17"/>
                <w:szCs w:val="17"/>
              </w:rPr>
            </w:pPr>
          </w:p>
        </w:tc>
        <w:tc>
          <w:tcPr>
            <w:tcW w:w="1009" w:type="dxa"/>
            <w:tcBorders>
              <w:left w:val="single" w:color="auto" w:sz="4" w:space="0"/>
              <w:bottom w:val="nil"/>
            </w:tcBorders>
            <w:vAlign w:val="center"/>
          </w:tcPr>
          <w:p w14:paraId="6CAD056E">
            <w:pPr>
              <w:spacing w:before="85" w:line="219" w:lineRule="auto"/>
              <w:ind w:right="124"/>
              <w:jc w:val="center"/>
              <w:rPr>
                <w:rFonts w:ascii="宋体" w:hAnsi="宋体" w:cs="宋体"/>
                <w:sz w:val="17"/>
                <w:szCs w:val="17"/>
              </w:rPr>
            </w:pPr>
            <w:r>
              <w:rPr>
                <w:rFonts w:ascii="宋体" w:hAnsi="宋体" w:cs="宋体"/>
                <w:spacing w:val="-2"/>
                <w:sz w:val="17"/>
                <w:szCs w:val="17"/>
              </w:rPr>
              <w:t>社会效益</w:t>
            </w:r>
            <w:r>
              <w:rPr>
                <w:rFonts w:ascii="宋体" w:hAnsi="宋体" w:cs="宋体"/>
                <w:sz w:val="17"/>
                <w:szCs w:val="17"/>
              </w:rPr>
              <w:t xml:space="preserve"> </w:t>
            </w:r>
            <w:r>
              <w:rPr>
                <w:rFonts w:ascii="宋体" w:hAnsi="宋体" w:cs="宋体"/>
                <w:spacing w:val="-3"/>
                <w:sz w:val="17"/>
                <w:szCs w:val="17"/>
              </w:rPr>
              <w:t>指标</w:t>
            </w:r>
          </w:p>
        </w:tc>
        <w:tc>
          <w:tcPr>
            <w:tcW w:w="2269" w:type="dxa"/>
            <w:gridSpan w:val="2"/>
            <w:vAlign w:val="center"/>
          </w:tcPr>
          <w:p w14:paraId="13C9AFD1">
            <w:pPr>
              <w:spacing w:before="55" w:line="219" w:lineRule="auto"/>
              <w:jc w:val="center"/>
              <w:rPr>
                <w:rFonts w:ascii="宋体" w:hAnsi="宋体" w:cs="宋体"/>
                <w:spacing w:val="-2"/>
                <w:sz w:val="17"/>
                <w:szCs w:val="17"/>
              </w:rPr>
            </w:pPr>
            <w:r>
              <w:rPr>
                <w:rFonts w:hint="eastAsia" w:ascii="宋体" w:hAnsi="宋体" w:cs="宋体"/>
                <w:spacing w:val="-2"/>
                <w:sz w:val="17"/>
                <w:szCs w:val="17"/>
              </w:rPr>
              <w:t>改善村社人居环境，提升</w:t>
            </w:r>
          </w:p>
        </w:tc>
        <w:tc>
          <w:tcPr>
            <w:tcW w:w="1020" w:type="dxa"/>
            <w:vAlign w:val="center"/>
          </w:tcPr>
          <w:p w14:paraId="1CC92FEC">
            <w:pPr>
              <w:spacing w:before="55" w:line="219" w:lineRule="auto"/>
              <w:jc w:val="center"/>
              <w:rPr>
                <w:rFonts w:ascii="宋体" w:hAnsi="宋体" w:cs="宋体"/>
                <w:spacing w:val="-2"/>
                <w:sz w:val="17"/>
                <w:szCs w:val="17"/>
              </w:rPr>
            </w:pPr>
            <w:r>
              <w:rPr>
                <w:rFonts w:hint="eastAsia" w:ascii="宋体" w:hAnsi="宋体" w:cs="宋体"/>
                <w:spacing w:val="-2"/>
                <w:sz w:val="17"/>
                <w:szCs w:val="17"/>
              </w:rPr>
              <w:t>优</w:t>
            </w:r>
          </w:p>
        </w:tc>
        <w:tc>
          <w:tcPr>
            <w:tcW w:w="1035" w:type="dxa"/>
            <w:vAlign w:val="center"/>
          </w:tcPr>
          <w:p w14:paraId="30A391E7">
            <w:pPr>
              <w:spacing w:before="55" w:line="219" w:lineRule="auto"/>
              <w:jc w:val="center"/>
              <w:rPr>
                <w:rFonts w:ascii="宋体" w:hAnsi="宋体" w:cs="宋体"/>
                <w:spacing w:val="-2"/>
                <w:sz w:val="17"/>
                <w:szCs w:val="17"/>
              </w:rPr>
            </w:pPr>
            <w:r>
              <w:rPr>
                <w:rFonts w:hint="eastAsia" w:ascii="宋体" w:hAnsi="宋体" w:cs="宋体"/>
                <w:spacing w:val="-2"/>
                <w:sz w:val="17"/>
                <w:szCs w:val="17"/>
              </w:rPr>
              <w:t>优</w:t>
            </w:r>
          </w:p>
        </w:tc>
        <w:tc>
          <w:tcPr>
            <w:tcW w:w="2385" w:type="dxa"/>
            <w:vAlign w:val="center"/>
          </w:tcPr>
          <w:p w14:paraId="16BE2A63">
            <w:pPr>
              <w:spacing w:before="55" w:line="219" w:lineRule="auto"/>
              <w:jc w:val="center"/>
              <w:rPr>
                <w:rFonts w:ascii="宋体" w:hAnsi="宋体" w:cs="宋体"/>
                <w:spacing w:val="-2"/>
                <w:sz w:val="17"/>
                <w:szCs w:val="17"/>
              </w:rPr>
            </w:pPr>
          </w:p>
        </w:tc>
      </w:tr>
      <w:tr w14:paraId="222AF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right w:val="single" w:color="auto" w:sz="4" w:space="0"/>
            </w:tcBorders>
          </w:tcPr>
          <w:p w14:paraId="03C1A99D">
            <w:pPr>
              <w:jc w:val="center"/>
            </w:pPr>
          </w:p>
        </w:tc>
        <w:tc>
          <w:tcPr>
            <w:tcW w:w="759" w:type="dxa"/>
            <w:tcBorders>
              <w:top w:val="single" w:color="auto" w:sz="4" w:space="0"/>
              <w:left w:val="single" w:color="auto" w:sz="4" w:space="0"/>
              <w:bottom w:val="single" w:color="auto" w:sz="4" w:space="0"/>
              <w:right w:val="single" w:color="auto" w:sz="4" w:space="0"/>
            </w:tcBorders>
            <w:vAlign w:val="center"/>
          </w:tcPr>
          <w:p w14:paraId="35A2E786">
            <w:pPr>
              <w:spacing w:before="56" w:line="219" w:lineRule="auto"/>
              <w:ind w:left="40"/>
              <w:jc w:val="center"/>
              <w:rPr>
                <w:rFonts w:ascii="宋体" w:hAnsi="宋体" w:cs="宋体"/>
                <w:spacing w:val="-2"/>
                <w:sz w:val="17"/>
                <w:szCs w:val="17"/>
              </w:rPr>
            </w:pPr>
            <w:r>
              <w:rPr>
                <w:rFonts w:hint="eastAsia" w:ascii="宋体" w:hAnsi="宋体" w:cs="宋体"/>
                <w:spacing w:val="-2"/>
                <w:sz w:val="17"/>
                <w:szCs w:val="17"/>
              </w:rPr>
              <w:t>成本指标</w:t>
            </w:r>
          </w:p>
        </w:tc>
        <w:tc>
          <w:tcPr>
            <w:tcW w:w="1009" w:type="dxa"/>
            <w:tcBorders>
              <w:left w:val="single" w:color="auto" w:sz="4" w:space="0"/>
              <w:bottom w:val="nil"/>
            </w:tcBorders>
            <w:vAlign w:val="center"/>
          </w:tcPr>
          <w:p w14:paraId="0388B473">
            <w:pPr>
              <w:spacing w:before="86" w:line="213" w:lineRule="auto"/>
              <w:ind w:right="164"/>
              <w:jc w:val="center"/>
              <w:rPr>
                <w:rFonts w:ascii="宋体" w:hAnsi="宋体" w:cs="宋体"/>
                <w:sz w:val="17"/>
                <w:szCs w:val="17"/>
              </w:rPr>
            </w:pPr>
            <w:r>
              <w:rPr>
                <w:rFonts w:hint="eastAsia" w:ascii="宋体" w:hAnsi="宋体" w:cs="宋体"/>
                <w:sz w:val="17"/>
                <w:szCs w:val="17"/>
              </w:rPr>
              <w:t>经济成本指标</w:t>
            </w:r>
          </w:p>
        </w:tc>
        <w:tc>
          <w:tcPr>
            <w:tcW w:w="2269" w:type="dxa"/>
            <w:gridSpan w:val="2"/>
            <w:vAlign w:val="center"/>
          </w:tcPr>
          <w:p w14:paraId="60444722">
            <w:pPr>
              <w:spacing w:before="55" w:line="219" w:lineRule="auto"/>
              <w:jc w:val="center"/>
              <w:rPr>
                <w:rFonts w:ascii="宋体" w:hAnsi="宋体" w:cs="宋体"/>
                <w:spacing w:val="-2"/>
                <w:sz w:val="17"/>
                <w:szCs w:val="17"/>
              </w:rPr>
            </w:pPr>
            <w:r>
              <w:rPr>
                <w:rFonts w:hint="eastAsia" w:ascii="宋体" w:hAnsi="宋体" w:cs="宋体"/>
                <w:spacing w:val="-2"/>
                <w:sz w:val="17"/>
                <w:szCs w:val="17"/>
              </w:rPr>
              <w:t>财政补助资金</w:t>
            </w:r>
          </w:p>
        </w:tc>
        <w:tc>
          <w:tcPr>
            <w:tcW w:w="1020" w:type="dxa"/>
            <w:vAlign w:val="center"/>
          </w:tcPr>
          <w:p w14:paraId="08FB0DAB">
            <w:pPr>
              <w:spacing w:before="55" w:line="219" w:lineRule="auto"/>
              <w:jc w:val="center"/>
              <w:rPr>
                <w:rFonts w:ascii="宋体" w:hAnsi="宋体" w:cs="宋体"/>
                <w:spacing w:val="-2"/>
                <w:sz w:val="17"/>
                <w:szCs w:val="17"/>
              </w:rPr>
            </w:pPr>
            <w:r>
              <w:rPr>
                <w:rFonts w:hint="eastAsia" w:ascii="宋体" w:hAnsi="宋体" w:cs="宋体"/>
                <w:spacing w:val="-2"/>
                <w:sz w:val="17"/>
                <w:szCs w:val="17"/>
              </w:rPr>
              <w:t>2081万元</w:t>
            </w:r>
          </w:p>
        </w:tc>
        <w:tc>
          <w:tcPr>
            <w:tcW w:w="1035" w:type="dxa"/>
            <w:vAlign w:val="center"/>
          </w:tcPr>
          <w:p w14:paraId="2F9AF5CA">
            <w:pPr>
              <w:spacing w:before="55" w:line="219" w:lineRule="auto"/>
              <w:jc w:val="center"/>
              <w:rPr>
                <w:rFonts w:ascii="宋体" w:hAnsi="宋体" w:cs="宋体"/>
                <w:spacing w:val="-2"/>
                <w:sz w:val="17"/>
                <w:szCs w:val="17"/>
              </w:rPr>
            </w:pPr>
            <w:r>
              <w:rPr>
                <w:rFonts w:hint="eastAsia" w:ascii="宋体" w:hAnsi="宋体" w:cs="宋体"/>
                <w:spacing w:val="-2"/>
                <w:sz w:val="17"/>
                <w:szCs w:val="17"/>
              </w:rPr>
              <w:t>81万元</w:t>
            </w:r>
          </w:p>
        </w:tc>
        <w:tc>
          <w:tcPr>
            <w:tcW w:w="2385" w:type="dxa"/>
            <w:vAlign w:val="center"/>
          </w:tcPr>
          <w:p w14:paraId="4CDD8A3B">
            <w:pPr>
              <w:spacing w:before="55" w:line="219" w:lineRule="auto"/>
              <w:jc w:val="center"/>
              <w:rPr>
                <w:rFonts w:ascii="宋体" w:hAnsi="宋体" w:cs="宋体"/>
                <w:spacing w:val="-2"/>
                <w:sz w:val="17"/>
                <w:szCs w:val="17"/>
              </w:rPr>
            </w:pPr>
          </w:p>
        </w:tc>
      </w:tr>
      <w:tr w14:paraId="51FF4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vMerge w:val="continue"/>
            <w:tcBorders>
              <w:top w:val="nil"/>
              <w:bottom w:val="nil"/>
            </w:tcBorders>
          </w:tcPr>
          <w:p w14:paraId="24A837CE">
            <w:pPr>
              <w:jc w:val="center"/>
            </w:pPr>
          </w:p>
        </w:tc>
        <w:tc>
          <w:tcPr>
            <w:tcW w:w="759" w:type="dxa"/>
            <w:tcBorders>
              <w:top w:val="single" w:color="auto" w:sz="4" w:space="0"/>
              <w:bottom w:val="nil"/>
            </w:tcBorders>
            <w:vAlign w:val="center"/>
          </w:tcPr>
          <w:p w14:paraId="4547A1DC">
            <w:pPr>
              <w:spacing w:before="56" w:line="219" w:lineRule="auto"/>
              <w:ind w:left="40"/>
              <w:jc w:val="center"/>
              <w:rPr>
                <w:rFonts w:ascii="宋体" w:hAnsi="宋体" w:cs="宋体"/>
                <w:spacing w:val="-2"/>
                <w:sz w:val="17"/>
                <w:szCs w:val="17"/>
              </w:rPr>
            </w:pPr>
            <w:r>
              <w:rPr>
                <w:rFonts w:ascii="宋体" w:hAnsi="宋体" w:cs="宋体"/>
                <w:spacing w:val="-2"/>
                <w:sz w:val="17"/>
                <w:szCs w:val="17"/>
              </w:rPr>
              <w:t>满意度 指标</w:t>
            </w:r>
          </w:p>
        </w:tc>
        <w:tc>
          <w:tcPr>
            <w:tcW w:w="1009" w:type="dxa"/>
            <w:tcBorders>
              <w:bottom w:val="nil"/>
            </w:tcBorders>
            <w:vAlign w:val="center"/>
          </w:tcPr>
          <w:p w14:paraId="268E9FFE">
            <w:pPr>
              <w:spacing w:before="155" w:line="214" w:lineRule="auto"/>
              <w:ind w:right="123"/>
              <w:jc w:val="center"/>
              <w:rPr>
                <w:rFonts w:ascii="宋体" w:hAnsi="宋体" w:cs="宋体"/>
                <w:sz w:val="17"/>
                <w:szCs w:val="17"/>
              </w:rPr>
            </w:pPr>
            <w:r>
              <w:rPr>
                <w:rFonts w:ascii="宋体" w:hAnsi="宋体" w:cs="宋体"/>
                <w:spacing w:val="-2"/>
                <w:sz w:val="17"/>
                <w:szCs w:val="17"/>
              </w:rPr>
              <w:t>服务对象满</w:t>
            </w:r>
            <w:r>
              <w:rPr>
                <w:rFonts w:ascii="宋体" w:hAnsi="宋体" w:cs="宋体"/>
                <w:spacing w:val="2"/>
                <w:sz w:val="17"/>
                <w:szCs w:val="17"/>
              </w:rPr>
              <w:t xml:space="preserve"> </w:t>
            </w:r>
            <w:r>
              <w:rPr>
                <w:rFonts w:ascii="宋体" w:hAnsi="宋体" w:cs="宋体"/>
                <w:spacing w:val="-3"/>
                <w:sz w:val="17"/>
                <w:szCs w:val="17"/>
              </w:rPr>
              <w:t>意度指标</w:t>
            </w:r>
          </w:p>
        </w:tc>
        <w:tc>
          <w:tcPr>
            <w:tcW w:w="2269" w:type="dxa"/>
            <w:gridSpan w:val="2"/>
            <w:vAlign w:val="center"/>
          </w:tcPr>
          <w:p w14:paraId="04D2320C">
            <w:pPr>
              <w:spacing w:before="55" w:line="219" w:lineRule="auto"/>
              <w:jc w:val="center"/>
              <w:rPr>
                <w:rFonts w:ascii="宋体" w:hAnsi="宋体" w:cs="宋体"/>
                <w:spacing w:val="-2"/>
                <w:sz w:val="17"/>
                <w:szCs w:val="17"/>
              </w:rPr>
            </w:pPr>
            <w:r>
              <w:rPr>
                <w:rFonts w:hint="eastAsia" w:ascii="宋体" w:hAnsi="宋体" w:cs="宋体"/>
                <w:spacing w:val="-2"/>
                <w:sz w:val="17"/>
                <w:szCs w:val="17"/>
              </w:rPr>
              <w:t>项目实施主体及项目区域群众满意度</w:t>
            </w:r>
          </w:p>
        </w:tc>
        <w:tc>
          <w:tcPr>
            <w:tcW w:w="1020" w:type="dxa"/>
            <w:vAlign w:val="center"/>
          </w:tcPr>
          <w:p w14:paraId="3BDD69E0">
            <w:pPr>
              <w:spacing w:before="55" w:line="219" w:lineRule="auto"/>
              <w:jc w:val="center"/>
              <w:rPr>
                <w:rFonts w:ascii="宋体" w:hAnsi="宋体" w:cs="宋体"/>
                <w:spacing w:val="-2"/>
                <w:sz w:val="17"/>
                <w:szCs w:val="17"/>
              </w:rPr>
            </w:pPr>
            <w:r>
              <w:rPr>
                <w:rFonts w:hint="eastAsia" w:ascii="宋体" w:hAnsi="宋体" w:cs="宋体"/>
                <w:spacing w:val="-2"/>
                <w:sz w:val="17"/>
                <w:szCs w:val="17"/>
              </w:rPr>
              <w:t>≥98%</w:t>
            </w:r>
          </w:p>
        </w:tc>
        <w:tc>
          <w:tcPr>
            <w:tcW w:w="1035" w:type="dxa"/>
            <w:vAlign w:val="center"/>
          </w:tcPr>
          <w:p w14:paraId="33FD832C">
            <w:pPr>
              <w:spacing w:before="55" w:line="219" w:lineRule="auto"/>
              <w:jc w:val="center"/>
              <w:rPr>
                <w:rFonts w:ascii="宋体" w:hAnsi="宋体" w:cs="宋体"/>
                <w:spacing w:val="-2"/>
                <w:sz w:val="17"/>
                <w:szCs w:val="17"/>
              </w:rPr>
            </w:pPr>
            <w:r>
              <w:rPr>
                <w:rFonts w:hint="eastAsia" w:ascii="宋体" w:hAnsi="宋体" w:cs="宋体"/>
                <w:spacing w:val="-2"/>
                <w:sz w:val="17"/>
                <w:szCs w:val="17"/>
              </w:rPr>
              <w:t>98%</w:t>
            </w:r>
          </w:p>
        </w:tc>
        <w:tc>
          <w:tcPr>
            <w:tcW w:w="2385" w:type="dxa"/>
            <w:vAlign w:val="center"/>
          </w:tcPr>
          <w:p w14:paraId="356A2123">
            <w:pPr>
              <w:spacing w:before="55" w:line="219" w:lineRule="auto"/>
              <w:jc w:val="center"/>
              <w:rPr>
                <w:rFonts w:ascii="宋体" w:hAnsi="宋体" w:cs="宋体"/>
                <w:spacing w:val="-2"/>
                <w:sz w:val="17"/>
                <w:szCs w:val="17"/>
              </w:rPr>
            </w:pPr>
          </w:p>
        </w:tc>
      </w:tr>
      <w:tr w14:paraId="75A3E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6796" w:type="dxa"/>
            <w:gridSpan w:val="7"/>
          </w:tcPr>
          <w:p w14:paraId="44021EF8">
            <w:pPr>
              <w:spacing w:before="48" w:line="220" w:lineRule="auto"/>
              <w:ind w:left="3664"/>
              <w:jc w:val="center"/>
              <w:rPr>
                <w:rFonts w:ascii="宋体" w:hAnsi="宋体" w:cs="宋体"/>
                <w:sz w:val="17"/>
                <w:szCs w:val="17"/>
              </w:rPr>
            </w:pPr>
            <w:r>
              <w:rPr>
                <w:rFonts w:ascii="宋体" w:hAnsi="宋体" w:cs="宋体"/>
                <w:spacing w:val="-3"/>
                <w:sz w:val="17"/>
                <w:szCs w:val="17"/>
              </w:rPr>
              <w:t>总分</w:t>
            </w:r>
          </w:p>
        </w:tc>
        <w:tc>
          <w:tcPr>
            <w:tcW w:w="2385" w:type="dxa"/>
          </w:tcPr>
          <w:p w14:paraId="3D579191">
            <w:pPr>
              <w:jc w:val="center"/>
            </w:pPr>
            <w:r>
              <w:rPr>
                <w:rFonts w:hint="eastAsia" w:ascii="宋体" w:hAnsi="宋体" w:cs="宋体"/>
                <w:sz w:val="17"/>
                <w:szCs w:val="17"/>
              </w:rPr>
              <w:t>99</w:t>
            </w:r>
          </w:p>
        </w:tc>
      </w:tr>
    </w:tbl>
    <w:p w14:paraId="775D50AE">
      <w:pPr>
        <w:spacing w:line="134" w:lineRule="exact"/>
      </w:pPr>
    </w:p>
    <w:p w14:paraId="58C922E4">
      <w:pPr>
        <w:pStyle w:val="2"/>
        <w:spacing w:before="93"/>
      </w:pPr>
    </w:p>
    <w:p w14:paraId="4075838B">
      <w:pPr>
        <w:pStyle w:val="2"/>
        <w:spacing w:before="93"/>
      </w:pPr>
    </w:p>
    <w:p w14:paraId="7AD83D64">
      <w:pPr>
        <w:pStyle w:val="2"/>
        <w:spacing w:before="93"/>
      </w:pPr>
    </w:p>
    <w:p w14:paraId="10742F73">
      <w:pPr>
        <w:pStyle w:val="2"/>
        <w:spacing w:before="93"/>
      </w:pPr>
    </w:p>
    <w:p w14:paraId="336470C1">
      <w:pPr>
        <w:pStyle w:val="2"/>
        <w:spacing w:before="93"/>
      </w:pPr>
    </w:p>
    <w:p w14:paraId="3759B3CB">
      <w:pPr>
        <w:pStyle w:val="2"/>
        <w:spacing w:before="93"/>
      </w:pPr>
    </w:p>
    <w:p w14:paraId="2F126F16">
      <w:pPr>
        <w:pStyle w:val="2"/>
        <w:spacing w:before="93"/>
      </w:pPr>
    </w:p>
    <w:p w14:paraId="17FF6B24">
      <w:pPr>
        <w:pStyle w:val="2"/>
        <w:spacing w:before="93"/>
      </w:pPr>
    </w:p>
    <w:p w14:paraId="07BD30FC">
      <w:pPr>
        <w:pStyle w:val="2"/>
        <w:spacing w:before="93"/>
      </w:pPr>
    </w:p>
    <w:p w14:paraId="6EC7DBBD">
      <w:pPr>
        <w:pStyle w:val="2"/>
        <w:spacing w:before="93"/>
      </w:pPr>
    </w:p>
    <w:p w14:paraId="64A977EA">
      <w:pPr>
        <w:pStyle w:val="2"/>
        <w:spacing w:before="93"/>
      </w:pPr>
    </w:p>
    <w:p w14:paraId="121E2D06">
      <w:pPr>
        <w:pStyle w:val="2"/>
        <w:spacing w:before="93"/>
      </w:pPr>
    </w:p>
    <w:p w14:paraId="1D286CFC">
      <w:pPr>
        <w:pStyle w:val="2"/>
        <w:spacing w:before="93"/>
      </w:pPr>
    </w:p>
    <w:p w14:paraId="006AD91C">
      <w:pPr>
        <w:pStyle w:val="2"/>
        <w:spacing w:before="93"/>
      </w:pPr>
    </w:p>
    <w:p w14:paraId="1576F703">
      <w:pPr>
        <w:snapToGrid w:val="0"/>
        <w:spacing w:line="576" w:lineRule="exact"/>
        <w:jc w:val="center"/>
        <w:outlineLvl w:val="1"/>
        <w:rPr>
          <w:rFonts w:eastAsia="方正小标宋简体"/>
          <w:sz w:val="44"/>
          <w:szCs w:val="44"/>
        </w:rPr>
      </w:pPr>
      <w:bookmarkStart w:id="227" w:name="_Toc18785"/>
      <w:bookmarkStart w:id="228" w:name="_Toc6649"/>
      <w:bookmarkStart w:id="229" w:name="_Toc32736"/>
      <w:r>
        <w:rPr>
          <w:rFonts w:hint="eastAsia" w:eastAsia="方正小标宋简体"/>
          <w:sz w:val="44"/>
          <w:szCs w:val="44"/>
        </w:rPr>
        <w:t>广元市昭化区王家镇人民政府</w:t>
      </w:r>
      <w:bookmarkEnd w:id="227"/>
      <w:bookmarkEnd w:id="228"/>
      <w:bookmarkEnd w:id="229"/>
    </w:p>
    <w:p w14:paraId="52C25BA5">
      <w:pPr>
        <w:spacing w:line="576" w:lineRule="exact"/>
        <w:jc w:val="center"/>
        <w:rPr>
          <w:rFonts w:eastAsia="方正小标宋简体" w:cs="方正小标宋简体"/>
          <w:color w:val="000000" w:themeColor="text1"/>
          <w:spacing w:val="11"/>
          <w:sz w:val="44"/>
          <w:szCs w:val="44"/>
          <w:lang w:val="zh-CN"/>
        </w:rPr>
      </w:pPr>
      <w:r>
        <w:rPr>
          <w:rFonts w:hint="eastAsia" w:eastAsia="方正小标宋简体"/>
          <w:sz w:val="44"/>
          <w:szCs w:val="44"/>
          <w:lang w:val="zh-CN"/>
        </w:rPr>
        <w:t>关于2022年中央纪检监察转移支付资金等财政项目支出绩效自评报告</w:t>
      </w:r>
    </w:p>
    <w:p w14:paraId="57A5400B">
      <w:pPr>
        <w:spacing w:line="576" w:lineRule="exact"/>
        <w:ind w:firstLine="640" w:firstLineChars="200"/>
        <w:rPr>
          <w:rFonts w:eastAsia="仿宋_GB2312" w:cs="仿宋_GB2312"/>
          <w:color w:val="000000" w:themeColor="text1"/>
          <w:sz w:val="32"/>
          <w:szCs w:val="32"/>
          <w:lang w:val="zh-CN"/>
        </w:rPr>
      </w:pPr>
    </w:p>
    <w:p w14:paraId="42563987">
      <w:pPr>
        <w:spacing w:line="536" w:lineRule="exact"/>
        <w:ind w:firstLine="640" w:firstLineChars="200"/>
        <w:outlineLvl w:val="1"/>
        <w:rPr>
          <w:rFonts w:eastAsia="黑体" w:cs="黑体"/>
          <w:color w:val="000000" w:themeColor="text1"/>
          <w:sz w:val="32"/>
          <w:szCs w:val="32"/>
          <w:lang w:val="zh-CN"/>
        </w:rPr>
      </w:pPr>
      <w:bookmarkStart w:id="230" w:name="_Toc29574"/>
      <w:bookmarkStart w:id="231" w:name="_Toc632"/>
      <w:bookmarkStart w:id="232" w:name="_Toc20155"/>
      <w:r>
        <w:rPr>
          <w:rFonts w:hint="eastAsia" w:eastAsia="黑体" w:cs="黑体"/>
          <w:color w:val="000000" w:themeColor="text1"/>
          <w:sz w:val="32"/>
          <w:szCs w:val="32"/>
          <w:lang w:val="zh-CN"/>
        </w:rPr>
        <w:t>一、项目概况</w:t>
      </w:r>
      <w:bookmarkEnd w:id="230"/>
      <w:bookmarkEnd w:id="231"/>
      <w:bookmarkEnd w:id="232"/>
    </w:p>
    <w:p w14:paraId="4FECFE2D">
      <w:pPr>
        <w:spacing w:line="536" w:lineRule="exact"/>
        <w:ind w:firstLine="640" w:firstLineChars="200"/>
        <w:outlineLvl w:val="2"/>
        <w:rPr>
          <w:rFonts w:eastAsia="楷体_GB2312" w:cs="楷体_GB2312"/>
          <w:color w:val="000000" w:themeColor="text1"/>
          <w:sz w:val="32"/>
          <w:szCs w:val="32"/>
          <w:lang w:val="zh-CN"/>
        </w:rPr>
      </w:pPr>
      <w:r>
        <w:rPr>
          <w:rFonts w:hint="eastAsia" w:eastAsia="楷体_GB2312" w:cs="楷体_GB2312"/>
          <w:color w:val="000000" w:themeColor="text1"/>
          <w:sz w:val="32"/>
          <w:szCs w:val="32"/>
          <w:lang w:val="zh-CN"/>
        </w:rPr>
        <w:t xml:space="preserve"> </w:t>
      </w:r>
      <w:bookmarkStart w:id="233" w:name="_Toc30521"/>
      <w:bookmarkStart w:id="234" w:name="_Toc9463"/>
      <w:r>
        <w:rPr>
          <w:rFonts w:hint="eastAsia" w:eastAsia="楷体_GB2312" w:cs="楷体_GB2312"/>
          <w:color w:val="000000" w:themeColor="text1"/>
          <w:sz w:val="32"/>
          <w:szCs w:val="32"/>
          <w:lang w:val="zh-CN"/>
        </w:rPr>
        <w:t>(一)项目资金申报及批复情况</w:t>
      </w:r>
      <w:bookmarkEnd w:id="233"/>
      <w:bookmarkEnd w:id="234"/>
    </w:p>
    <w:p w14:paraId="52870A4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该项目申报资金性质为一般公共预算，总申报金额为</w:t>
      </w:r>
      <w:r>
        <w:rPr>
          <w:rFonts w:hint="eastAsia" w:eastAsia="仿宋_GB2312"/>
          <w:sz w:val="32"/>
          <w:szCs w:val="32"/>
        </w:rPr>
        <w:t>4.6</w:t>
      </w:r>
      <w:r>
        <w:rPr>
          <w:rFonts w:hint="eastAsia" w:ascii="仿宋_GB2312" w:hAnsi="仿宋_GB2312" w:eastAsia="仿宋_GB2312" w:cs="仿宋_GB2312"/>
          <w:sz w:val="32"/>
          <w:szCs w:val="32"/>
        </w:rPr>
        <w:t>万元。上级实际批复和安排预算资金为</w:t>
      </w:r>
      <w:r>
        <w:rPr>
          <w:rFonts w:hint="eastAsia" w:eastAsia="仿宋_GB2312"/>
          <w:sz w:val="32"/>
          <w:szCs w:val="32"/>
        </w:rPr>
        <w:t>4.6</w:t>
      </w:r>
      <w:r>
        <w:rPr>
          <w:rFonts w:hint="eastAsia" w:ascii="仿宋_GB2312" w:hAnsi="仿宋_GB2312" w:eastAsia="仿宋_GB2312" w:cs="仿宋_GB2312"/>
          <w:sz w:val="32"/>
          <w:szCs w:val="32"/>
        </w:rPr>
        <w:t>万元。</w:t>
      </w:r>
      <w:r>
        <w:rPr>
          <w:rFonts w:hint="eastAsia" w:eastAsia="楷体_GB2312" w:cs="楷体_GB2312"/>
          <w:color w:val="000000" w:themeColor="text1"/>
          <w:sz w:val="32"/>
          <w:szCs w:val="32"/>
          <w:lang w:val="zh-CN"/>
        </w:rPr>
        <w:t xml:space="preserve"> </w:t>
      </w:r>
    </w:p>
    <w:p w14:paraId="7938071D">
      <w:pPr>
        <w:spacing w:line="536" w:lineRule="exact"/>
        <w:ind w:firstLine="640" w:firstLineChars="200"/>
        <w:outlineLvl w:val="2"/>
        <w:rPr>
          <w:rFonts w:eastAsia="仿宋_GB2312" w:cs="仿宋_GB2312"/>
          <w:color w:val="000000" w:themeColor="text1"/>
          <w:sz w:val="32"/>
          <w:szCs w:val="32"/>
          <w:lang w:val="zh-CN"/>
        </w:rPr>
      </w:pPr>
      <w:r>
        <w:rPr>
          <w:rFonts w:hint="eastAsia" w:eastAsia="楷体_GB2312" w:cs="楷体_GB2312"/>
          <w:color w:val="000000" w:themeColor="text1"/>
          <w:sz w:val="32"/>
          <w:szCs w:val="32"/>
          <w:lang w:val="zh-CN"/>
        </w:rPr>
        <w:t xml:space="preserve"> </w:t>
      </w:r>
      <w:bookmarkStart w:id="235" w:name="_Toc3913"/>
      <w:bookmarkStart w:id="236" w:name="_Toc13669"/>
      <w:r>
        <w:rPr>
          <w:rFonts w:hint="eastAsia" w:eastAsia="楷体_GB2312" w:cs="楷体_GB2312"/>
          <w:color w:val="000000" w:themeColor="text1"/>
          <w:sz w:val="32"/>
          <w:szCs w:val="32"/>
          <w:lang w:val="zh-CN"/>
        </w:rPr>
        <w:t>(二)项目绩效目标</w:t>
      </w:r>
      <w:bookmarkEnd w:id="235"/>
      <w:bookmarkEnd w:id="236"/>
      <w:r>
        <w:rPr>
          <w:rFonts w:hint="eastAsia" w:eastAsia="仿宋_GB2312" w:cs="仿宋_GB2312"/>
          <w:color w:val="000000" w:themeColor="text1"/>
          <w:sz w:val="32"/>
          <w:szCs w:val="32"/>
          <w:lang w:val="zh-CN"/>
        </w:rPr>
        <w:t xml:space="preserve"> </w:t>
      </w:r>
    </w:p>
    <w:p w14:paraId="67F66EA8">
      <w:pPr>
        <w:spacing w:line="536" w:lineRule="exact"/>
        <w:ind w:firstLine="640" w:firstLineChars="200"/>
        <w:rPr>
          <w:rFonts w:eastAsia="仿宋_GB2312" w:cs="仿宋_GB2312"/>
          <w:color w:val="000000" w:themeColor="text1"/>
          <w:sz w:val="32"/>
          <w:szCs w:val="32"/>
          <w:lang w:val="zh-CN"/>
        </w:rPr>
      </w:pPr>
      <w:r>
        <w:rPr>
          <w:rFonts w:hint="eastAsia" w:ascii="仿宋_GB2312" w:hAnsi="仿宋_GB2312" w:eastAsia="仿宋_GB2312" w:cs="仿宋_GB2312"/>
          <w:sz w:val="32"/>
          <w:szCs w:val="32"/>
        </w:rPr>
        <w:t>项目年初申报绩效目标为：</w:t>
      </w:r>
      <w:r>
        <w:rPr>
          <w:rFonts w:hint="eastAsia" w:eastAsia="仿宋_GB2312" w:cs="仿宋_GB2312"/>
          <w:color w:val="000000" w:themeColor="text1"/>
          <w:sz w:val="32"/>
          <w:szCs w:val="32"/>
          <w:lang w:val="zh-CN"/>
        </w:rPr>
        <w:t>用于强化监督执纪问责和监督调查处置职能，围绕现代化建设大局发挥监督保障作用，以便更好的服务民生大众。</w:t>
      </w:r>
    </w:p>
    <w:p w14:paraId="38702EC3">
      <w:pPr>
        <w:spacing w:line="536" w:lineRule="exact"/>
        <w:ind w:firstLine="640" w:firstLineChars="200"/>
        <w:outlineLvl w:val="2"/>
        <w:rPr>
          <w:rFonts w:eastAsia="楷体_GB2312" w:cs="楷体_GB2312"/>
          <w:color w:val="000000" w:themeColor="text1"/>
          <w:sz w:val="32"/>
          <w:szCs w:val="32"/>
          <w:lang w:val="zh-CN"/>
        </w:rPr>
      </w:pPr>
      <w:bookmarkStart w:id="237" w:name="_Toc10485"/>
      <w:bookmarkStart w:id="238" w:name="_Toc28674"/>
      <w:r>
        <w:rPr>
          <w:rFonts w:hint="eastAsia" w:eastAsia="楷体_GB2312" w:cs="楷体_GB2312"/>
          <w:color w:val="000000" w:themeColor="text1"/>
          <w:sz w:val="32"/>
          <w:szCs w:val="32"/>
          <w:lang w:val="zh-CN"/>
        </w:rPr>
        <w:t>(三)项目资金申报相符性</w:t>
      </w:r>
      <w:bookmarkEnd w:id="237"/>
      <w:bookmarkEnd w:id="238"/>
    </w:p>
    <w:p w14:paraId="65A180A8">
      <w:pPr>
        <w:spacing w:line="536" w:lineRule="exact"/>
        <w:ind w:firstLine="640" w:firstLineChars="200"/>
        <w:rPr>
          <w:rFonts w:eastAsia="仿宋_GB2312" w:cs="仿宋_GB2312"/>
          <w:color w:val="000000" w:themeColor="text1"/>
          <w:sz w:val="32"/>
          <w:szCs w:val="32"/>
          <w:lang w:val="zh-CN"/>
        </w:rPr>
      </w:pPr>
      <w:r>
        <w:rPr>
          <w:rFonts w:hint="eastAsia" w:eastAsia="仿宋_GB2312"/>
          <w:color w:val="000000" w:themeColor="text1"/>
          <w:sz w:val="32"/>
          <w:szCs w:val="32"/>
        </w:rPr>
        <w:t>纪检监察转移支付资金严格按照年初项目经费申报要求执行，项目经费申报符合当年本单位工作需要，并达到预期目标。</w:t>
      </w:r>
      <w:r>
        <w:rPr>
          <w:rFonts w:hint="eastAsia" w:eastAsia="仿宋_GB2312" w:cs="仿宋_GB2312"/>
          <w:snapToGrid w:val="0"/>
          <w:color w:val="000000" w:themeColor="text1"/>
          <w:spacing w:val="17"/>
          <w:kern w:val="0"/>
          <w:sz w:val="32"/>
          <w:szCs w:val="32"/>
        </w:rPr>
        <w:t>申报内容与实际相符、申报目标合理可行。</w:t>
      </w:r>
    </w:p>
    <w:p w14:paraId="2571F505">
      <w:pPr>
        <w:spacing w:line="536" w:lineRule="exact"/>
        <w:ind w:firstLine="640" w:firstLineChars="200"/>
        <w:outlineLvl w:val="2"/>
        <w:rPr>
          <w:rFonts w:eastAsia="楷体_GB2312" w:cs="楷体_GB2312"/>
          <w:color w:val="000000" w:themeColor="text1"/>
          <w:sz w:val="32"/>
          <w:szCs w:val="32"/>
          <w:lang w:val="zh-CN"/>
        </w:rPr>
      </w:pPr>
      <w:bookmarkStart w:id="239" w:name="_Toc13047"/>
      <w:bookmarkStart w:id="240" w:name="_Toc16764"/>
      <w:r>
        <w:rPr>
          <w:rFonts w:hint="eastAsia" w:eastAsia="楷体_GB2312" w:cs="楷体_GB2312"/>
          <w:color w:val="000000" w:themeColor="text1"/>
          <w:sz w:val="32"/>
          <w:szCs w:val="32"/>
          <w:lang w:val="zh-CN"/>
        </w:rPr>
        <w:t>(四)自评步骤及方法</w:t>
      </w:r>
      <w:bookmarkEnd w:id="239"/>
      <w:bookmarkEnd w:id="240"/>
    </w:p>
    <w:p w14:paraId="3A497718">
      <w:pPr>
        <w:spacing w:line="536" w:lineRule="exact"/>
        <w:ind w:firstLine="640" w:firstLineChars="200"/>
        <w:rPr>
          <w:rFonts w:eastAsia="仿宋_GB2312"/>
          <w:color w:val="000000" w:themeColor="text1"/>
          <w:sz w:val="32"/>
          <w:szCs w:val="32"/>
        </w:rPr>
      </w:pPr>
      <w:r>
        <w:rPr>
          <w:rFonts w:hint="eastAsia" w:eastAsia="仿宋_GB2312"/>
          <w:color w:val="000000" w:themeColor="text1"/>
          <w:sz w:val="32"/>
          <w:szCs w:val="32"/>
        </w:rPr>
        <w:t>通过制定方案、资料收集、审核评价资料及撰写报告等几个阶段，认真、准确填写自评数据表，形成详实的自评报告，并在2023年4月20日之前按时完成自评工作，对所报送自评材料的真实性、完整性、一致性、规范性负责。</w:t>
      </w:r>
    </w:p>
    <w:p w14:paraId="07FBC5A3">
      <w:pPr>
        <w:spacing w:line="536" w:lineRule="exact"/>
        <w:ind w:firstLine="640" w:firstLineChars="200"/>
        <w:outlineLvl w:val="1"/>
        <w:rPr>
          <w:rFonts w:eastAsia="黑体" w:cs="黑体"/>
          <w:color w:val="000000" w:themeColor="text1"/>
          <w:sz w:val="32"/>
          <w:szCs w:val="32"/>
          <w:lang w:val="zh-CN"/>
        </w:rPr>
      </w:pPr>
      <w:bookmarkStart w:id="241" w:name="_Toc26385"/>
      <w:bookmarkStart w:id="242" w:name="_Toc558"/>
      <w:bookmarkStart w:id="243" w:name="_Toc11538"/>
      <w:r>
        <w:rPr>
          <w:rFonts w:hint="eastAsia" w:eastAsia="黑体" w:cs="黑体"/>
          <w:color w:val="000000" w:themeColor="text1"/>
          <w:sz w:val="32"/>
          <w:szCs w:val="32"/>
          <w:lang w:val="zh-CN"/>
        </w:rPr>
        <w:t>二、 项目实施及管理情况</w:t>
      </w:r>
      <w:bookmarkEnd w:id="241"/>
      <w:bookmarkEnd w:id="242"/>
      <w:bookmarkEnd w:id="243"/>
    </w:p>
    <w:p w14:paraId="0BE1B145">
      <w:pPr>
        <w:spacing w:line="536" w:lineRule="exact"/>
        <w:ind w:firstLine="640" w:firstLineChars="200"/>
        <w:outlineLvl w:val="2"/>
        <w:rPr>
          <w:rFonts w:eastAsia="楷体_GB2312" w:cs="楷体_GB2312"/>
          <w:color w:val="000000" w:themeColor="text1"/>
          <w:sz w:val="32"/>
          <w:szCs w:val="32"/>
          <w:lang w:val="zh-CN"/>
        </w:rPr>
      </w:pPr>
      <w:bookmarkStart w:id="244" w:name="_Toc3702"/>
      <w:bookmarkStart w:id="245" w:name="_Toc24274"/>
      <w:r>
        <w:rPr>
          <w:rFonts w:hint="eastAsia" w:eastAsia="楷体_GB2312" w:cs="楷体_GB2312"/>
          <w:color w:val="000000" w:themeColor="text1"/>
          <w:sz w:val="32"/>
          <w:szCs w:val="32"/>
          <w:lang w:val="zh-CN"/>
        </w:rPr>
        <w:t>(一)资金计划、到位及使用情况</w:t>
      </w:r>
      <w:bookmarkEnd w:id="244"/>
      <w:bookmarkEnd w:id="245"/>
    </w:p>
    <w:p w14:paraId="5856EF7C">
      <w:pPr>
        <w:spacing w:line="536" w:lineRule="exact"/>
        <w:ind w:firstLine="640" w:firstLineChars="200"/>
        <w:rPr>
          <w:rFonts w:eastAsia="仿宋_GB2312" w:cs="仿宋_GB2312"/>
          <w:color w:val="000000" w:themeColor="text1"/>
          <w:sz w:val="32"/>
          <w:szCs w:val="32"/>
          <w:lang w:val="zh-CN"/>
        </w:rPr>
      </w:pPr>
      <w:r>
        <w:rPr>
          <w:rFonts w:hint="eastAsia" w:eastAsia="仿宋_GB2312" w:cs="仿宋_GB2312"/>
          <w:color w:val="000000" w:themeColor="text1"/>
          <w:sz w:val="32"/>
          <w:szCs w:val="32"/>
          <w:lang w:val="zh-CN"/>
        </w:rPr>
        <w:t>1.资金计划及到位。</w:t>
      </w:r>
    </w:p>
    <w:p w14:paraId="4B77EBE3">
      <w:pPr>
        <w:spacing w:line="536" w:lineRule="exact"/>
        <w:ind w:firstLine="708" w:firstLineChars="200"/>
        <w:rPr>
          <w:rFonts w:eastAsia="仿宋_GB2312" w:cs="仿宋_GB2312"/>
          <w:color w:val="000000" w:themeColor="text1"/>
          <w:spacing w:val="17"/>
          <w:sz w:val="32"/>
          <w:szCs w:val="32"/>
        </w:rPr>
      </w:pPr>
      <w:r>
        <w:rPr>
          <w:rFonts w:hint="eastAsia" w:eastAsia="仿宋_GB2312" w:cs="仿宋_GB2312"/>
          <w:color w:val="000000" w:themeColor="text1"/>
          <w:spacing w:val="17"/>
          <w:sz w:val="32"/>
          <w:szCs w:val="32"/>
        </w:rPr>
        <w:t>各项目资金来源均为财政资金。资金到位及时，资金到位率100%、到位及时性90%。</w:t>
      </w:r>
    </w:p>
    <w:p w14:paraId="305D4D16">
      <w:pPr>
        <w:spacing w:line="536" w:lineRule="exact"/>
        <w:ind w:firstLine="640" w:firstLineChars="200"/>
        <w:rPr>
          <w:rFonts w:eastAsia="仿宋_GB2312" w:cs="仿宋_GB2312"/>
          <w:color w:val="000000" w:themeColor="text1"/>
          <w:sz w:val="32"/>
          <w:szCs w:val="32"/>
          <w:lang w:val="zh-CN"/>
        </w:rPr>
      </w:pPr>
      <w:r>
        <w:rPr>
          <w:rFonts w:hint="eastAsia" w:eastAsia="仿宋_GB2312" w:cs="仿宋_GB2312"/>
          <w:color w:val="000000" w:themeColor="text1"/>
          <w:sz w:val="32"/>
          <w:szCs w:val="32"/>
          <w:lang w:val="zh-CN"/>
        </w:rPr>
        <w:t>2.资金使用。</w:t>
      </w:r>
    </w:p>
    <w:p w14:paraId="20016EC6">
      <w:pPr>
        <w:spacing w:line="536" w:lineRule="exact"/>
        <w:ind w:firstLine="640" w:firstLineChars="200"/>
        <w:rPr>
          <w:rFonts w:eastAsia="仿宋_GB2312"/>
          <w:color w:val="000000" w:themeColor="text1"/>
          <w:sz w:val="32"/>
          <w:szCs w:val="32"/>
        </w:rPr>
      </w:pPr>
      <w:r>
        <w:rPr>
          <w:rFonts w:hint="eastAsia" w:eastAsia="仿宋_GB2312"/>
          <w:color w:val="000000" w:themeColor="text1"/>
          <w:sz w:val="32"/>
          <w:szCs w:val="32"/>
        </w:rPr>
        <w:t>2022年中央纪检监察转移支付资金预算支出4.6万元，实际支出</w:t>
      </w:r>
      <w:r>
        <w:rPr>
          <w:rFonts w:hint="eastAsia" w:eastAsia="仿宋_GB2312" w:cs="仿宋_GB2312"/>
          <w:color w:val="000000" w:themeColor="text1"/>
          <w:spacing w:val="17"/>
          <w:sz w:val="32"/>
          <w:szCs w:val="32"/>
        </w:rPr>
        <w:t>4.6</w:t>
      </w:r>
      <w:r>
        <w:rPr>
          <w:rFonts w:hint="eastAsia" w:eastAsia="仿宋_GB2312"/>
          <w:color w:val="000000" w:themeColor="text1"/>
          <w:sz w:val="32"/>
          <w:szCs w:val="32"/>
        </w:rPr>
        <w:t>万元，主要用于王家镇纪委谈话室的建设。</w:t>
      </w:r>
    </w:p>
    <w:p w14:paraId="407C99CA">
      <w:pPr>
        <w:spacing w:line="536" w:lineRule="exact"/>
        <w:ind w:firstLine="640" w:firstLineChars="200"/>
        <w:outlineLvl w:val="2"/>
        <w:rPr>
          <w:rFonts w:eastAsia="楷体_GB2312" w:cs="楷体_GB2312"/>
          <w:color w:val="000000" w:themeColor="text1"/>
          <w:sz w:val="32"/>
          <w:szCs w:val="32"/>
          <w:lang w:val="zh-CN"/>
        </w:rPr>
      </w:pPr>
      <w:bookmarkStart w:id="246" w:name="_Toc23881"/>
      <w:bookmarkStart w:id="247" w:name="_Toc28683"/>
      <w:r>
        <w:rPr>
          <w:rFonts w:hint="eastAsia" w:eastAsia="楷体_GB2312" w:cs="楷体_GB2312"/>
          <w:color w:val="000000" w:themeColor="text1"/>
          <w:sz w:val="32"/>
          <w:szCs w:val="32"/>
          <w:lang w:val="zh-CN"/>
        </w:rPr>
        <w:t>(二)项目财务管理情况</w:t>
      </w:r>
      <w:bookmarkEnd w:id="246"/>
      <w:bookmarkEnd w:id="247"/>
    </w:p>
    <w:p w14:paraId="4D64F6FF">
      <w:pPr>
        <w:spacing w:line="536" w:lineRule="exact"/>
        <w:ind w:firstLine="708" w:firstLineChars="200"/>
        <w:rPr>
          <w:rFonts w:eastAsia="仿宋_GB2312" w:cs="仿宋_GB2312"/>
          <w:color w:val="000000" w:themeColor="text1"/>
          <w:sz w:val="32"/>
          <w:szCs w:val="32"/>
          <w:lang w:val="zh-CN"/>
        </w:rPr>
      </w:pPr>
      <w:r>
        <w:rPr>
          <w:rFonts w:hint="eastAsia" w:eastAsia="仿宋_GB2312" w:cs="仿宋_GB2312"/>
          <w:color w:val="000000" w:themeColor="text1"/>
          <w:spacing w:val="17"/>
          <w:sz w:val="32"/>
          <w:szCs w:val="32"/>
        </w:rPr>
        <w:t>我镇有健全的财务制度，资金拨付严格按照财务管理制度进行管理，保证专款专用，资金发放复查由财务人员按照财务制度进行资金的审核、支付和核算，所有支出均按政策进行，在具体支付时，具备了资金发票等相关材料，手续完善，不存在虚假会计凭证的情况，会计严格执行财务管理制度，财务处理及时，核算规范。</w:t>
      </w:r>
    </w:p>
    <w:p w14:paraId="042445C5">
      <w:pPr>
        <w:spacing w:line="536" w:lineRule="exact"/>
        <w:ind w:firstLine="640" w:firstLineChars="200"/>
        <w:outlineLvl w:val="2"/>
        <w:rPr>
          <w:rFonts w:eastAsia="楷体_GB2312" w:cs="楷体_GB2312"/>
          <w:color w:val="000000" w:themeColor="text1"/>
          <w:sz w:val="32"/>
          <w:szCs w:val="32"/>
          <w:lang w:val="zh-CN"/>
        </w:rPr>
      </w:pPr>
      <w:bookmarkStart w:id="248" w:name="_Toc14714"/>
      <w:bookmarkStart w:id="249" w:name="_Toc29922"/>
      <w:r>
        <w:rPr>
          <w:rFonts w:hint="eastAsia" w:eastAsia="楷体_GB2312" w:cs="楷体_GB2312"/>
          <w:color w:val="000000" w:themeColor="text1"/>
          <w:sz w:val="32"/>
          <w:szCs w:val="32"/>
          <w:lang w:val="zh-CN"/>
        </w:rPr>
        <w:t>(三)项目组织实施及管理情况</w:t>
      </w:r>
      <w:bookmarkEnd w:id="248"/>
      <w:bookmarkEnd w:id="249"/>
    </w:p>
    <w:p w14:paraId="6AB06D9F">
      <w:pPr>
        <w:spacing w:line="536" w:lineRule="exact"/>
        <w:ind w:firstLine="708" w:firstLineChars="200"/>
        <w:rPr>
          <w:rFonts w:eastAsia="仿宋_GB2312" w:cs="仿宋_GB2312"/>
          <w:color w:val="000000" w:themeColor="text1"/>
          <w:spacing w:val="17"/>
          <w:sz w:val="32"/>
          <w:szCs w:val="32"/>
        </w:rPr>
      </w:pPr>
      <w:r>
        <w:rPr>
          <w:rFonts w:hint="eastAsia" w:eastAsia="仿宋_GB2312" w:cs="仿宋_GB2312"/>
          <w:color w:val="000000" w:themeColor="text1"/>
          <w:spacing w:val="17"/>
          <w:sz w:val="32"/>
          <w:szCs w:val="32"/>
        </w:rPr>
        <w:t>该资金主要用于王家镇纪检谈话室建设，为全镇查处违反纪政纪案提供硬件设施及相关服务，为合理规范使用项目资金，提高资金使用效率，确保资金安全，我镇严格执行相关法律法规及项目管理制度，严格按照项目资金管理办法实施，资金拨付程序合规，符合资金批复用途。</w:t>
      </w:r>
    </w:p>
    <w:p w14:paraId="57AE1D6E">
      <w:pPr>
        <w:spacing w:line="536" w:lineRule="exact"/>
        <w:ind w:firstLine="640" w:firstLineChars="200"/>
        <w:outlineLvl w:val="1"/>
        <w:rPr>
          <w:rFonts w:eastAsia="黑体" w:cs="黑体"/>
          <w:color w:val="000000" w:themeColor="text1"/>
          <w:sz w:val="32"/>
          <w:szCs w:val="32"/>
          <w:lang w:val="zh-CN"/>
        </w:rPr>
      </w:pPr>
      <w:bookmarkStart w:id="250" w:name="_Toc17370"/>
      <w:bookmarkStart w:id="251" w:name="_Toc9823"/>
      <w:bookmarkStart w:id="252" w:name="_Toc30985"/>
      <w:r>
        <w:rPr>
          <w:rFonts w:hint="eastAsia" w:eastAsia="黑体" w:cs="黑体"/>
          <w:color w:val="000000" w:themeColor="text1"/>
          <w:sz w:val="32"/>
          <w:szCs w:val="32"/>
          <w:lang w:val="zh-CN"/>
        </w:rPr>
        <w:t>三、 项目绩效情况</w:t>
      </w:r>
      <w:bookmarkEnd w:id="250"/>
      <w:bookmarkEnd w:id="251"/>
      <w:bookmarkEnd w:id="252"/>
    </w:p>
    <w:p w14:paraId="1DD9DF3F">
      <w:pPr>
        <w:spacing w:line="536" w:lineRule="exact"/>
        <w:ind w:firstLine="640" w:firstLineChars="200"/>
        <w:outlineLvl w:val="2"/>
        <w:rPr>
          <w:rFonts w:eastAsia="楷体_GB2312" w:cs="楷体_GB2312"/>
          <w:color w:val="000000" w:themeColor="text1"/>
          <w:sz w:val="32"/>
          <w:szCs w:val="32"/>
          <w:lang w:val="zh-CN"/>
        </w:rPr>
      </w:pPr>
      <w:bookmarkStart w:id="253" w:name="_Toc16384"/>
      <w:bookmarkStart w:id="254" w:name="_Toc7439"/>
      <w:r>
        <w:rPr>
          <w:rFonts w:hint="eastAsia" w:eastAsia="楷体_GB2312" w:cs="楷体_GB2312"/>
          <w:color w:val="000000" w:themeColor="text1"/>
          <w:sz w:val="32"/>
          <w:szCs w:val="32"/>
          <w:lang w:val="zh-CN"/>
        </w:rPr>
        <w:t>(一)项目完成情况</w:t>
      </w:r>
      <w:bookmarkEnd w:id="253"/>
      <w:bookmarkEnd w:id="254"/>
    </w:p>
    <w:p w14:paraId="55F2D93A">
      <w:pPr>
        <w:spacing w:line="536" w:lineRule="exact"/>
        <w:ind w:firstLine="708" w:firstLineChars="200"/>
        <w:rPr>
          <w:rFonts w:eastAsia="仿宋_GB2312" w:cs="仿宋_GB2312"/>
          <w:color w:val="000000" w:themeColor="text1"/>
          <w:spacing w:val="17"/>
          <w:sz w:val="32"/>
          <w:szCs w:val="32"/>
          <w:lang w:val="zh-CN"/>
        </w:rPr>
      </w:pPr>
      <w:r>
        <w:rPr>
          <w:rFonts w:hint="eastAsia" w:eastAsia="仿宋_GB2312" w:cs="仿宋_GB2312"/>
          <w:color w:val="000000" w:themeColor="text1"/>
          <w:spacing w:val="17"/>
          <w:sz w:val="32"/>
          <w:szCs w:val="32"/>
          <w:lang w:val="zh-CN"/>
        </w:rPr>
        <w:t>完成改造纪委谈话室一间，有效提升乡镇案件查办质效，营造良好的政治生态环境，群众及相关干部满意度达98%，项目时效为</w:t>
      </w:r>
      <w:r>
        <w:rPr>
          <w:rFonts w:hint="eastAsia" w:eastAsia="仿宋_GB2312" w:cs="仿宋_GB2312"/>
          <w:color w:val="000000" w:themeColor="text1"/>
          <w:spacing w:val="17"/>
          <w:sz w:val="32"/>
          <w:szCs w:val="32"/>
        </w:rPr>
        <w:t>2022年1月1日-12月31日，</w:t>
      </w:r>
      <w:r>
        <w:rPr>
          <w:rFonts w:hint="eastAsia" w:eastAsia="仿宋_GB2312" w:cs="仿宋_GB2312"/>
          <w:color w:val="000000" w:themeColor="text1"/>
          <w:spacing w:val="17"/>
          <w:sz w:val="32"/>
          <w:szCs w:val="32"/>
          <w:lang w:val="zh-CN"/>
        </w:rPr>
        <w:t>在项目资金支付时，无违规记录，支付进度正常。</w:t>
      </w:r>
    </w:p>
    <w:p w14:paraId="77FC7192">
      <w:pPr>
        <w:spacing w:line="536" w:lineRule="exact"/>
        <w:ind w:firstLine="640" w:firstLineChars="200"/>
        <w:outlineLvl w:val="2"/>
        <w:rPr>
          <w:rFonts w:eastAsia="仿宋_GB2312" w:cs="仿宋_GB2312"/>
          <w:color w:val="000000" w:themeColor="text1"/>
          <w:sz w:val="32"/>
          <w:szCs w:val="32"/>
          <w:lang w:val="zh-CN"/>
        </w:rPr>
      </w:pPr>
      <w:bookmarkStart w:id="255" w:name="_Toc3718"/>
      <w:bookmarkStart w:id="256" w:name="_Toc26847"/>
      <w:r>
        <w:rPr>
          <w:rFonts w:hint="eastAsia" w:eastAsia="楷体_GB2312" w:cs="楷体_GB2312"/>
          <w:color w:val="000000" w:themeColor="text1"/>
          <w:sz w:val="32"/>
          <w:szCs w:val="32"/>
          <w:lang w:val="zh-CN"/>
        </w:rPr>
        <w:t>(二)项目效益情况。</w:t>
      </w:r>
      <w:bookmarkEnd w:id="255"/>
      <w:bookmarkEnd w:id="256"/>
      <w:r>
        <w:rPr>
          <w:rFonts w:hint="eastAsia" w:eastAsia="仿宋_GB2312" w:cs="仿宋_GB2312"/>
          <w:color w:val="000000" w:themeColor="text1"/>
          <w:sz w:val="32"/>
          <w:szCs w:val="32"/>
          <w:lang w:val="zh-CN"/>
        </w:rPr>
        <w:t xml:space="preserve"> </w:t>
      </w:r>
    </w:p>
    <w:p w14:paraId="2C3D4CB4">
      <w:pPr>
        <w:spacing w:line="536" w:lineRule="exact"/>
        <w:ind w:firstLine="708" w:firstLineChars="200"/>
        <w:rPr>
          <w:rFonts w:eastAsia="仿宋_GB2312" w:cs="仿宋_GB2312"/>
          <w:color w:val="000000" w:themeColor="text1"/>
          <w:spacing w:val="17"/>
          <w:sz w:val="32"/>
          <w:szCs w:val="32"/>
          <w:lang w:val="zh-CN"/>
        </w:rPr>
      </w:pPr>
      <w:r>
        <w:rPr>
          <w:rFonts w:hint="eastAsia" w:eastAsia="仿宋_GB2312" w:cs="仿宋_GB2312"/>
          <w:color w:val="000000" w:themeColor="text1"/>
          <w:spacing w:val="17"/>
          <w:sz w:val="32"/>
          <w:szCs w:val="32"/>
        </w:rPr>
        <w:t>本单位2022年中央纪检监察转移支付资金4.6万元已全部完成支付，数量指标完成100%；资金支付完成率、执行率、合规率均为100%；为经济发展提供了坚强的政治保障，营造了风清气正的良好政治生态，推动纪检监察工作高质量发展。</w:t>
      </w:r>
    </w:p>
    <w:p w14:paraId="15560AAE">
      <w:pPr>
        <w:spacing w:line="536" w:lineRule="exact"/>
        <w:ind w:firstLine="640" w:firstLineChars="200"/>
        <w:outlineLvl w:val="1"/>
        <w:rPr>
          <w:rFonts w:eastAsia="黑体" w:cs="黑体"/>
          <w:color w:val="000000" w:themeColor="text1"/>
          <w:sz w:val="32"/>
          <w:szCs w:val="32"/>
          <w:lang w:val="zh-CN"/>
        </w:rPr>
      </w:pPr>
      <w:bookmarkStart w:id="257" w:name="_Toc8093"/>
      <w:bookmarkStart w:id="258" w:name="_Toc32208"/>
      <w:bookmarkStart w:id="259" w:name="_Toc8958"/>
      <w:r>
        <w:rPr>
          <w:rFonts w:hint="eastAsia" w:eastAsia="黑体" w:cs="黑体"/>
          <w:color w:val="000000" w:themeColor="text1"/>
          <w:sz w:val="32"/>
          <w:szCs w:val="32"/>
          <w:lang w:val="zh-CN"/>
        </w:rPr>
        <w:t>四、自评结论及建议</w:t>
      </w:r>
      <w:bookmarkEnd w:id="257"/>
      <w:bookmarkEnd w:id="258"/>
      <w:bookmarkEnd w:id="259"/>
    </w:p>
    <w:p w14:paraId="30BFA88E">
      <w:pPr>
        <w:spacing w:line="536" w:lineRule="exact"/>
        <w:ind w:firstLine="640" w:firstLineChars="200"/>
        <w:outlineLvl w:val="2"/>
        <w:rPr>
          <w:rFonts w:eastAsia="仿宋_GB2312" w:cs="仿宋_GB2312"/>
          <w:color w:val="000000" w:themeColor="text1"/>
          <w:sz w:val="32"/>
          <w:szCs w:val="32"/>
          <w:lang w:val="zh-CN"/>
        </w:rPr>
      </w:pPr>
      <w:bookmarkStart w:id="260" w:name="_Toc6605"/>
      <w:bookmarkStart w:id="261" w:name="_Toc398"/>
      <w:r>
        <w:rPr>
          <w:rFonts w:hint="eastAsia" w:eastAsia="楷体_GB2312" w:cs="楷体_GB2312"/>
          <w:color w:val="000000" w:themeColor="text1"/>
          <w:sz w:val="32"/>
          <w:szCs w:val="32"/>
          <w:lang w:val="zh-CN"/>
        </w:rPr>
        <w:t>(一)评价结论。</w:t>
      </w:r>
      <w:bookmarkEnd w:id="260"/>
      <w:bookmarkEnd w:id="261"/>
    </w:p>
    <w:p w14:paraId="2ED3BCED">
      <w:pPr>
        <w:spacing w:line="536" w:lineRule="exact"/>
        <w:ind w:firstLine="708" w:firstLineChars="200"/>
        <w:rPr>
          <w:rFonts w:eastAsia="仿宋_GB2312" w:cs="仿宋_GB2312"/>
          <w:color w:val="000000" w:themeColor="text1"/>
          <w:sz w:val="32"/>
          <w:szCs w:val="32"/>
        </w:rPr>
      </w:pPr>
      <w:r>
        <w:rPr>
          <w:rFonts w:hint="eastAsia" w:eastAsia="仿宋_GB2312" w:cs="仿宋_GB2312"/>
          <w:color w:val="000000" w:themeColor="text1"/>
          <w:spacing w:val="17"/>
          <w:sz w:val="32"/>
          <w:szCs w:val="32"/>
          <w:lang w:val="zh-CN"/>
        </w:rPr>
        <w:t>我镇项目设立经过严格评估论证，属于部门职责相符，属于公共财政支持范围，符合地方事权支出责任划分原则，与相关部门同类项目或部门内部无相关项目重复。项目规划符合省委、区委、省政府、区政府重大决策部署，项目绩效目标合理、明确，与项目年度目标一致。总体评价</w:t>
      </w:r>
      <w:r>
        <w:rPr>
          <w:rFonts w:hint="eastAsia" w:eastAsia="仿宋_GB2312" w:cs="仿宋_GB2312"/>
          <w:color w:val="000000" w:themeColor="text1"/>
          <w:spacing w:val="17"/>
          <w:sz w:val="32"/>
          <w:szCs w:val="32"/>
        </w:rPr>
        <w:t>98.5分。</w:t>
      </w:r>
    </w:p>
    <w:p w14:paraId="07D66E3A">
      <w:pPr>
        <w:spacing w:line="536" w:lineRule="exact"/>
        <w:ind w:firstLine="640" w:firstLineChars="200"/>
        <w:outlineLvl w:val="2"/>
        <w:rPr>
          <w:rFonts w:eastAsia="仿宋_GB2312" w:cs="仿宋_GB2312"/>
          <w:color w:val="000000" w:themeColor="text1"/>
          <w:sz w:val="32"/>
          <w:szCs w:val="32"/>
          <w:lang w:val="zh-CN"/>
        </w:rPr>
      </w:pPr>
      <w:bookmarkStart w:id="262" w:name="_Toc10649"/>
      <w:bookmarkStart w:id="263" w:name="_Toc14989"/>
      <w:r>
        <w:rPr>
          <w:rFonts w:hint="eastAsia" w:eastAsia="楷体_GB2312" w:cs="楷体_GB2312"/>
          <w:color w:val="000000" w:themeColor="text1"/>
          <w:sz w:val="32"/>
          <w:szCs w:val="32"/>
          <w:lang w:val="zh-CN"/>
        </w:rPr>
        <w:t>(二)存在的问题。</w:t>
      </w:r>
      <w:bookmarkEnd w:id="262"/>
      <w:bookmarkEnd w:id="263"/>
      <w:r>
        <w:rPr>
          <w:rFonts w:hint="eastAsia" w:eastAsia="仿宋_GB2312" w:cs="仿宋_GB2312"/>
          <w:color w:val="000000" w:themeColor="text1"/>
          <w:sz w:val="32"/>
          <w:szCs w:val="32"/>
          <w:lang w:val="zh-CN"/>
        </w:rPr>
        <w:t xml:space="preserve"> </w:t>
      </w:r>
    </w:p>
    <w:p w14:paraId="69A95553">
      <w:pPr>
        <w:spacing w:line="536" w:lineRule="exact"/>
        <w:ind w:firstLine="640" w:firstLineChars="200"/>
        <w:rPr>
          <w:rFonts w:eastAsia="楷体_GB2312" w:cs="楷体_GB2312"/>
          <w:color w:val="000000" w:themeColor="text1"/>
          <w:sz w:val="32"/>
          <w:szCs w:val="32"/>
          <w:lang w:val="zh-CN"/>
        </w:rPr>
      </w:pPr>
      <w:r>
        <w:rPr>
          <w:rFonts w:hint="eastAsia" w:ascii="仿宋_GB2312" w:hAnsi="仿宋_GB2312" w:eastAsia="仿宋_GB2312" w:cs="仿宋_GB2312"/>
          <w:color w:val="000000" w:themeColor="text1"/>
          <w:sz w:val="32"/>
          <w:szCs w:val="32"/>
        </w:rPr>
        <w:t>无</w:t>
      </w:r>
    </w:p>
    <w:p w14:paraId="7D1E9700">
      <w:pPr>
        <w:spacing w:line="536" w:lineRule="exact"/>
        <w:ind w:firstLine="640" w:firstLineChars="200"/>
        <w:outlineLvl w:val="2"/>
        <w:rPr>
          <w:rFonts w:eastAsia="仿宋_GB2312" w:cs="仿宋_GB2312"/>
          <w:color w:val="000000" w:themeColor="text1"/>
          <w:sz w:val="32"/>
          <w:szCs w:val="32"/>
          <w:lang w:val="zh-CN"/>
        </w:rPr>
      </w:pPr>
      <w:bookmarkStart w:id="264" w:name="_Toc22476"/>
      <w:bookmarkStart w:id="265" w:name="_Toc12893"/>
      <w:r>
        <w:rPr>
          <w:rFonts w:hint="eastAsia" w:eastAsia="楷体_GB2312" w:cs="楷体_GB2312"/>
          <w:color w:val="000000" w:themeColor="text1"/>
          <w:sz w:val="32"/>
          <w:szCs w:val="32"/>
          <w:lang w:val="zh-CN"/>
        </w:rPr>
        <w:t>(三)相关建议。</w:t>
      </w:r>
      <w:bookmarkEnd w:id="264"/>
      <w:bookmarkEnd w:id="265"/>
      <w:r>
        <w:rPr>
          <w:rFonts w:hint="eastAsia" w:eastAsia="仿宋_GB2312" w:cs="仿宋_GB2312"/>
          <w:color w:val="000000" w:themeColor="text1"/>
          <w:sz w:val="32"/>
          <w:szCs w:val="32"/>
          <w:lang w:val="zh-CN"/>
        </w:rPr>
        <w:t xml:space="preserve"> </w:t>
      </w:r>
    </w:p>
    <w:p w14:paraId="6A15168D">
      <w:pPr>
        <w:spacing w:line="536" w:lineRule="exact"/>
        <w:ind w:firstLine="708" w:firstLineChars="200"/>
        <w:rPr>
          <w:rFonts w:eastAsia="仿宋_GB2312" w:cs="仿宋_GB2312"/>
          <w:color w:val="000000" w:themeColor="text1"/>
          <w:spacing w:val="17"/>
          <w:sz w:val="32"/>
          <w:szCs w:val="32"/>
        </w:rPr>
      </w:pPr>
      <w:r>
        <w:rPr>
          <w:rFonts w:hint="eastAsia" w:eastAsia="仿宋_GB2312" w:cs="仿宋_GB2312"/>
          <w:color w:val="000000" w:themeColor="text1"/>
          <w:spacing w:val="17"/>
          <w:sz w:val="32"/>
          <w:szCs w:val="32"/>
        </w:rPr>
        <w:t>强化转移支付资金的使用和管理，按时对转移支付资金的绩效目标自评报告进行公开，广泛接受社会监督。</w:t>
      </w:r>
    </w:p>
    <w:p w14:paraId="229C75E0">
      <w:pPr>
        <w:pStyle w:val="2"/>
        <w:spacing w:before="93"/>
      </w:pPr>
    </w:p>
    <w:p w14:paraId="4FCE3DD4">
      <w:pPr>
        <w:pStyle w:val="2"/>
        <w:spacing w:before="93"/>
      </w:pPr>
    </w:p>
    <w:p w14:paraId="5152A37C">
      <w:pPr>
        <w:pStyle w:val="2"/>
        <w:spacing w:before="93"/>
      </w:pPr>
    </w:p>
    <w:p w14:paraId="22C23BCB">
      <w:pPr>
        <w:pStyle w:val="2"/>
        <w:spacing w:before="93"/>
      </w:pPr>
    </w:p>
    <w:p w14:paraId="2B85ABE7">
      <w:pPr>
        <w:pStyle w:val="2"/>
        <w:spacing w:before="93"/>
      </w:pPr>
    </w:p>
    <w:p w14:paraId="14D67FC6">
      <w:pPr>
        <w:spacing w:before="103" w:line="219" w:lineRule="auto"/>
        <w:jc w:val="center"/>
        <w:rPr>
          <w:rFonts w:ascii="宋体" w:hAnsi="宋体" w:cs="宋体"/>
          <w:sz w:val="34"/>
          <w:szCs w:val="34"/>
        </w:rPr>
      </w:pPr>
      <w:r>
        <w:rPr>
          <w:rFonts w:ascii="宋体" w:hAnsi="宋体" w:cs="宋体"/>
          <w:spacing w:val="28"/>
          <w:sz w:val="34"/>
          <w:szCs w:val="34"/>
        </w:rPr>
        <w:t>广元市昭化区财政项目(政策)支出绩效自评表</w:t>
      </w:r>
    </w:p>
    <w:p w14:paraId="290D3CD6">
      <w:pPr>
        <w:spacing w:before="86" w:line="219" w:lineRule="auto"/>
        <w:ind w:left="3894"/>
        <w:rPr>
          <w:rFonts w:ascii="宋体" w:hAnsi="宋体" w:cs="宋体"/>
          <w:sz w:val="22"/>
          <w:szCs w:val="22"/>
        </w:rPr>
      </w:pPr>
      <w:r>
        <w:rPr>
          <w:rFonts w:ascii="宋体" w:hAnsi="宋体" w:cs="宋体"/>
          <w:spacing w:val="-14"/>
          <w:sz w:val="22"/>
          <w:szCs w:val="22"/>
        </w:rPr>
        <w:t>(</w:t>
      </w:r>
      <w:r>
        <w:rPr>
          <w:rFonts w:ascii="宋体" w:hAnsi="宋体" w:cs="宋体"/>
          <w:spacing w:val="32"/>
          <w:sz w:val="22"/>
          <w:szCs w:val="22"/>
        </w:rPr>
        <w:t xml:space="preserve"> </w:t>
      </w:r>
      <w:r>
        <w:rPr>
          <w:rFonts w:hint="eastAsia" w:ascii="宋体" w:hAnsi="宋体" w:cs="宋体"/>
          <w:spacing w:val="32"/>
          <w:sz w:val="22"/>
          <w:szCs w:val="22"/>
        </w:rPr>
        <w:t>2022</w:t>
      </w:r>
      <w:r>
        <w:rPr>
          <w:rFonts w:ascii="宋体" w:hAnsi="宋体" w:cs="宋体"/>
          <w:spacing w:val="32"/>
          <w:sz w:val="22"/>
          <w:szCs w:val="22"/>
        </w:rPr>
        <w:t xml:space="preserve"> </w:t>
      </w:r>
      <w:r>
        <w:rPr>
          <w:rFonts w:ascii="宋体" w:hAnsi="宋体" w:cs="宋体"/>
          <w:spacing w:val="-14"/>
          <w:sz w:val="22"/>
          <w:szCs w:val="22"/>
        </w:rPr>
        <w:t>年度)</w:t>
      </w:r>
    </w:p>
    <w:p w14:paraId="3A0E1F6C">
      <w:pPr>
        <w:spacing w:line="134" w:lineRule="exact"/>
      </w:pPr>
    </w:p>
    <w:tbl>
      <w:tblPr>
        <w:tblStyle w:val="35"/>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52277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21FF5122">
            <w:pPr>
              <w:spacing w:before="82" w:line="220" w:lineRule="auto"/>
              <w:ind w:left="75"/>
              <w:rPr>
                <w:rFonts w:ascii="宋体" w:hAnsi="宋体" w:cs="宋体"/>
                <w:sz w:val="17"/>
                <w:szCs w:val="17"/>
              </w:rPr>
            </w:pPr>
            <w:r>
              <w:rPr>
                <w:rFonts w:ascii="宋体" w:hAnsi="宋体" w:cs="宋体"/>
                <w:spacing w:val="-2"/>
                <w:sz w:val="17"/>
                <w:szCs w:val="17"/>
              </w:rPr>
              <w:t>项目(政策)名称</w:t>
            </w:r>
          </w:p>
        </w:tc>
        <w:tc>
          <w:tcPr>
            <w:tcW w:w="7650" w:type="dxa"/>
            <w:gridSpan w:val="6"/>
          </w:tcPr>
          <w:p w14:paraId="3DB38613">
            <w:r>
              <w:rPr>
                <w:rFonts w:hint="eastAsia" w:eastAsia="仿宋_GB2312" w:cs="仿宋_GB2312"/>
                <w:color w:val="000000" w:themeColor="text1"/>
                <w:sz w:val="22"/>
                <w:szCs w:val="22"/>
              </w:rPr>
              <w:t>2022年中央纪检监察转移支付资金</w:t>
            </w:r>
          </w:p>
        </w:tc>
      </w:tr>
      <w:tr w14:paraId="49A94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38C25CA6">
            <w:pPr>
              <w:spacing w:before="78" w:line="219" w:lineRule="auto"/>
              <w:ind w:left="404"/>
              <w:jc w:val="center"/>
              <w:rPr>
                <w:rFonts w:ascii="宋体" w:hAnsi="宋体" w:cs="宋体"/>
                <w:sz w:val="17"/>
                <w:szCs w:val="17"/>
              </w:rPr>
            </w:pPr>
            <w:r>
              <w:rPr>
                <w:rFonts w:ascii="宋体" w:hAnsi="宋体" w:cs="宋体"/>
                <w:spacing w:val="4"/>
                <w:sz w:val="17"/>
                <w:szCs w:val="17"/>
              </w:rPr>
              <w:t>主管部门</w:t>
            </w:r>
          </w:p>
        </w:tc>
        <w:tc>
          <w:tcPr>
            <w:tcW w:w="4230" w:type="dxa"/>
            <w:gridSpan w:val="4"/>
          </w:tcPr>
          <w:p w14:paraId="1FC6B582">
            <w:r>
              <w:rPr>
                <w:rFonts w:hint="eastAsia" w:eastAsia="仿宋_GB2312" w:cs="仿宋_GB2312"/>
                <w:color w:val="000000" w:themeColor="text1"/>
                <w:sz w:val="22"/>
                <w:szCs w:val="22"/>
              </w:rPr>
              <w:t>广元市昭化区纪委监委</w:t>
            </w:r>
          </w:p>
        </w:tc>
        <w:tc>
          <w:tcPr>
            <w:tcW w:w="951" w:type="dxa"/>
          </w:tcPr>
          <w:p w14:paraId="2646A8E5">
            <w:pPr>
              <w:spacing w:before="78" w:line="219" w:lineRule="auto"/>
              <w:jc w:val="center"/>
              <w:rPr>
                <w:rFonts w:ascii="宋体" w:hAnsi="宋体" w:cs="宋体"/>
                <w:spacing w:val="4"/>
                <w:sz w:val="17"/>
                <w:szCs w:val="17"/>
              </w:rPr>
            </w:pPr>
            <w:r>
              <w:rPr>
                <w:rFonts w:ascii="宋体" w:hAnsi="宋体" w:cs="宋体"/>
                <w:spacing w:val="4"/>
                <w:sz w:val="17"/>
                <w:szCs w:val="17"/>
              </w:rPr>
              <w:t>实施单位</w:t>
            </w:r>
          </w:p>
        </w:tc>
        <w:tc>
          <w:tcPr>
            <w:tcW w:w="2469" w:type="dxa"/>
          </w:tcPr>
          <w:p w14:paraId="70716B07">
            <w:pPr>
              <w:spacing w:before="78" w:line="219" w:lineRule="auto"/>
              <w:jc w:val="center"/>
              <w:rPr>
                <w:rFonts w:ascii="宋体" w:hAnsi="宋体" w:cs="宋体"/>
                <w:spacing w:val="4"/>
                <w:sz w:val="17"/>
                <w:szCs w:val="17"/>
              </w:rPr>
            </w:pPr>
            <w:r>
              <w:rPr>
                <w:rFonts w:hint="eastAsia" w:ascii="宋体" w:hAnsi="宋体" w:cs="宋体"/>
                <w:spacing w:val="4"/>
                <w:sz w:val="17"/>
                <w:szCs w:val="17"/>
              </w:rPr>
              <w:t>王家镇人民政府</w:t>
            </w:r>
          </w:p>
        </w:tc>
      </w:tr>
      <w:tr w14:paraId="11CE9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73123B7F">
            <w:pPr>
              <w:spacing w:line="279" w:lineRule="auto"/>
            </w:pPr>
          </w:p>
          <w:p w14:paraId="3E00669E">
            <w:pPr>
              <w:spacing w:line="279" w:lineRule="auto"/>
            </w:pPr>
          </w:p>
          <w:p w14:paraId="500E4E13">
            <w:pPr>
              <w:spacing w:line="279" w:lineRule="auto"/>
            </w:pPr>
          </w:p>
          <w:p w14:paraId="40A37FBC">
            <w:pPr>
              <w:spacing w:line="279" w:lineRule="auto"/>
            </w:pPr>
          </w:p>
          <w:p w14:paraId="3ACB7ADB">
            <w:pPr>
              <w:spacing w:before="55" w:line="235" w:lineRule="auto"/>
              <w:ind w:left="464" w:right="197" w:hanging="389"/>
              <w:rPr>
                <w:rFonts w:ascii="宋体" w:hAnsi="宋体" w:cs="宋体"/>
                <w:sz w:val="17"/>
                <w:szCs w:val="17"/>
              </w:rPr>
            </w:pPr>
            <w:r>
              <w:rPr>
                <w:rFonts w:ascii="宋体" w:hAnsi="宋体" w:cs="宋体"/>
                <w:spacing w:val="-2"/>
                <w:sz w:val="17"/>
                <w:szCs w:val="17"/>
              </w:rPr>
              <w:t>项目(政策)资金</w:t>
            </w:r>
            <w:r>
              <w:rPr>
                <w:rFonts w:ascii="宋体" w:hAnsi="宋体" w:cs="宋体"/>
                <w:spacing w:val="5"/>
                <w:sz w:val="17"/>
                <w:szCs w:val="17"/>
              </w:rPr>
              <w:t xml:space="preserve"> </w:t>
            </w:r>
            <w:r>
              <w:rPr>
                <w:rFonts w:ascii="宋体" w:hAnsi="宋体" w:cs="宋体"/>
                <w:spacing w:val="9"/>
                <w:sz w:val="17"/>
                <w:szCs w:val="17"/>
              </w:rPr>
              <w:t>(万元)</w:t>
            </w:r>
          </w:p>
        </w:tc>
        <w:tc>
          <w:tcPr>
            <w:tcW w:w="1777" w:type="dxa"/>
            <w:gridSpan w:val="2"/>
          </w:tcPr>
          <w:p w14:paraId="397CA3A5"/>
        </w:tc>
        <w:tc>
          <w:tcPr>
            <w:tcW w:w="1308" w:type="dxa"/>
          </w:tcPr>
          <w:p w14:paraId="14D7A587">
            <w:pPr>
              <w:spacing w:before="77" w:line="219" w:lineRule="auto"/>
              <w:jc w:val="center"/>
              <w:rPr>
                <w:rFonts w:ascii="宋体" w:hAnsi="宋体" w:cs="宋体"/>
                <w:sz w:val="17"/>
                <w:szCs w:val="17"/>
              </w:rPr>
            </w:pPr>
            <w:r>
              <w:rPr>
                <w:rFonts w:ascii="宋体" w:hAnsi="宋体" w:cs="宋体"/>
                <w:spacing w:val="-2"/>
                <w:sz w:val="17"/>
                <w:szCs w:val="17"/>
              </w:rPr>
              <w:t>年初预算数</w:t>
            </w:r>
          </w:p>
        </w:tc>
        <w:tc>
          <w:tcPr>
            <w:tcW w:w="1145" w:type="dxa"/>
          </w:tcPr>
          <w:p w14:paraId="0E674E8D">
            <w:pPr>
              <w:spacing w:before="98" w:line="219" w:lineRule="auto"/>
              <w:jc w:val="center"/>
              <w:rPr>
                <w:rFonts w:ascii="宋体" w:hAnsi="宋体" w:cs="宋体"/>
                <w:sz w:val="17"/>
                <w:szCs w:val="17"/>
              </w:rPr>
            </w:pPr>
            <w:r>
              <w:rPr>
                <w:rFonts w:ascii="宋体" w:hAnsi="宋体" w:cs="宋体"/>
                <w:spacing w:val="-2"/>
                <w:sz w:val="17"/>
                <w:szCs w:val="17"/>
              </w:rPr>
              <w:t>全年预算数</w:t>
            </w:r>
          </w:p>
        </w:tc>
        <w:tc>
          <w:tcPr>
            <w:tcW w:w="951" w:type="dxa"/>
          </w:tcPr>
          <w:p w14:paraId="56711F10">
            <w:pPr>
              <w:spacing w:before="77" w:line="219" w:lineRule="auto"/>
              <w:jc w:val="center"/>
              <w:rPr>
                <w:rFonts w:ascii="宋体" w:hAnsi="宋体" w:cs="宋体"/>
                <w:sz w:val="17"/>
                <w:szCs w:val="17"/>
              </w:rPr>
            </w:pPr>
            <w:r>
              <w:rPr>
                <w:rFonts w:ascii="宋体" w:hAnsi="宋体" w:cs="宋体"/>
                <w:spacing w:val="-2"/>
                <w:sz w:val="17"/>
                <w:szCs w:val="17"/>
              </w:rPr>
              <w:t>全年执行数</w:t>
            </w:r>
          </w:p>
        </w:tc>
        <w:tc>
          <w:tcPr>
            <w:tcW w:w="2469" w:type="dxa"/>
          </w:tcPr>
          <w:p w14:paraId="4E7F777A">
            <w:pPr>
              <w:spacing w:before="77" w:line="219" w:lineRule="auto"/>
              <w:jc w:val="center"/>
              <w:rPr>
                <w:rFonts w:ascii="宋体" w:hAnsi="宋体" w:cs="宋体"/>
                <w:sz w:val="17"/>
                <w:szCs w:val="17"/>
              </w:rPr>
            </w:pPr>
            <w:r>
              <w:rPr>
                <w:rFonts w:ascii="宋体" w:hAnsi="宋体" w:cs="宋体"/>
                <w:spacing w:val="-2"/>
                <w:sz w:val="17"/>
                <w:szCs w:val="17"/>
              </w:rPr>
              <w:t>执行率</w:t>
            </w:r>
          </w:p>
        </w:tc>
      </w:tr>
      <w:tr w14:paraId="63C4A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586F150F"/>
        </w:tc>
        <w:tc>
          <w:tcPr>
            <w:tcW w:w="1777" w:type="dxa"/>
            <w:gridSpan w:val="2"/>
          </w:tcPr>
          <w:p w14:paraId="512937DA">
            <w:pPr>
              <w:spacing w:before="79" w:line="219" w:lineRule="auto"/>
              <w:ind w:left="151"/>
              <w:rPr>
                <w:rFonts w:ascii="宋体" w:hAnsi="宋体" w:cs="宋体"/>
                <w:sz w:val="17"/>
                <w:szCs w:val="17"/>
              </w:rPr>
            </w:pPr>
            <w:r>
              <w:rPr>
                <w:rFonts w:ascii="宋体" w:hAnsi="宋体" w:cs="宋体"/>
                <w:spacing w:val="-2"/>
                <w:sz w:val="17"/>
                <w:szCs w:val="17"/>
              </w:rPr>
              <w:t>年度资金总额</w:t>
            </w:r>
          </w:p>
        </w:tc>
        <w:tc>
          <w:tcPr>
            <w:tcW w:w="1308" w:type="dxa"/>
          </w:tcPr>
          <w:p w14:paraId="4BA40E65">
            <w:pPr>
              <w:spacing w:before="77" w:line="219" w:lineRule="auto"/>
              <w:jc w:val="center"/>
              <w:rPr>
                <w:rFonts w:ascii="宋体" w:hAnsi="宋体" w:cs="宋体"/>
                <w:spacing w:val="-2"/>
                <w:sz w:val="17"/>
                <w:szCs w:val="17"/>
              </w:rPr>
            </w:pPr>
            <w:r>
              <w:rPr>
                <w:rFonts w:hint="eastAsia" w:ascii="宋体" w:hAnsi="宋体" w:cs="宋体"/>
                <w:spacing w:val="-2"/>
                <w:sz w:val="17"/>
                <w:szCs w:val="17"/>
              </w:rPr>
              <w:t>4.6</w:t>
            </w:r>
          </w:p>
        </w:tc>
        <w:tc>
          <w:tcPr>
            <w:tcW w:w="1145" w:type="dxa"/>
          </w:tcPr>
          <w:p w14:paraId="74AE9820">
            <w:pPr>
              <w:spacing w:before="77" w:line="219" w:lineRule="auto"/>
              <w:jc w:val="center"/>
              <w:rPr>
                <w:rFonts w:ascii="宋体" w:hAnsi="宋体" w:cs="宋体"/>
                <w:spacing w:val="-2"/>
                <w:sz w:val="17"/>
                <w:szCs w:val="17"/>
              </w:rPr>
            </w:pPr>
            <w:r>
              <w:rPr>
                <w:rFonts w:hint="eastAsia" w:ascii="宋体" w:hAnsi="宋体" w:cs="宋体"/>
                <w:spacing w:val="-2"/>
                <w:sz w:val="17"/>
                <w:szCs w:val="17"/>
              </w:rPr>
              <w:t>4.6</w:t>
            </w:r>
          </w:p>
        </w:tc>
        <w:tc>
          <w:tcPr>
            <w:tcW w:w="951" w:type="dxa"/>
          </w:tcPr>
          <w:p w14:paraId="4A68AA34">
            <w:pPr>
              <w:spacing w:before="77" w:line="219" w:lineRule="auto"/>
              <w:jc w:val="center"/>
              <w:rPr>
                <w:rFonts w:ascii="宋体" w:hAnsi="宋体" w:cs="宋体"/>
                <w:spacing w:val="-2"/>
                <w:sz w:val="17"/>
                <w:szCs w:val="17"/>
              </w:rPr>
            </w:pPr>
            <w:r>
              <w:rPr>
                <w:rFonts w:hint="eastAsia" w:ascii="宋体" w:hAnsi="宋体" w:cs="宋体"/>
                <w:spacing w:val="-2"/>
                <w:sz w:val="17"/>
                <w:szCs w:val="17"/>
              </w:rPr>
              <w:t>4.6</w:t>
            </w:r>
          </w:p>
        </w:tc>
        <w:tc>
          <w:tcPr>
            <w:tcW w:w="2469" w:type="dxa"/>
            <w:vAlign w:val="center"/>
          </w:tcPr>
          <w:p w14:paraId="789D1647">
            <w:pPr>
              <w:spacing w:before="77" w:line="219" w:lineRule="auto"/>
              <w:jc w:val="center"/>
              <w:rPr>
                <w:rFonts w:ascii="宋体" w:hAnsi="宋体" w:cs="宋体"/>
                <w:spacing w:val="-2"/>
                <w:sz w:val="17"/>
                <w:szCs w:val="17"/>
              </w:rPr>
            </w:pPr>
            <w:r>
              <w:rPr>
                <w:rFonts w:hint="eastAsia" w:ascii="宋体" w:hAnsi="宋体" w:cs="宋体"/>
                <w:spacing w:val="-2"/>
                <w:sz w:val="17"/>
                <w:szCs w:val="17"/>
              </w:rPr>
              <w:t>100%</w:t>
            </w:r>
          </w:p>
        </w:tc>
      </w:tr>
      <w:tr w14:paraId="63B56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08C9223E"/>
        </w:tc>
        <w:tc>
          <w:tcPr>
            <w:tcW w:w="1777" w:type="dxa"/>
            <w:gridSpan w:val="2"/>
          </w:tcPr>
          <w:p w14:paraId="56966342">
            <w:pPr>
              <w:spacing w:before="109" w:line="219" w:lineRule="auto"/>
              <w:ind w:left="151"/>
              <w:rPr>
                <w:rFonts w:ascii="宋体" w:hAnsi="宋体" w:cs="宋体"/>
                <w:sz w:val="17"/>
                <w:szCs w:val="17"/>
              </w:rPr>
            </w:pPr>
            <w:r>
              <w:rPr>
                <w:rFonts w:ascii="宋体" w:hAnsi="宋体" w:cs="宋体"/>
                <w:sz w:val="17"/>
                <w:szCs w:val="17"/>
              </w:rPr>
              <w:t>(一)财政拨款小计</w:t>
            </w:r>
          </w:p>
        </w:tc>
        <w:tc>
          <w:tcPr>
            <w:tcW w:w="1308" w:type="dxa"/>
          </w:tcPr>
          <w:p w14:paraId="0DBC808D">
            <w:pPr>
              <w:spacing w:before="77" w:line="219" w:lineRule="auto"/>
              <w:jc w:val="center"/>
            </w:pPr>
            <w:r>
              <w:rPr>
                <w:rFonts w:hint="eastAsia" w:ascii="宋体" w:hAnsi="宋体" w:cs="宋体"/>
                <w:spacing w:val="-2"/>
                <w:sz w:val="17"/>
                <w:szCs w:val="17"/>
              </w:rPr>
              <w:t>4.6</w:t>
            </w:r>
          </w:p>
        </w:tc>
        <w:tc>
          <w:tcPr>
            <w:tcW w:w="1145" w:type="dxa"/>
          </w:tcPr>
          <w:p w14:paraId="2300087F">
            <w:pPr>
              <w:spacing w:before="77" w:line="219" w:lineRule="auto"/>
              <w:jc w:val="center"/>
            </w:pPr>
            <w:r>
              <w:rPr>
                <w:rFonts w:hint="eastAsia" w:ascii="宋体" w:hAnsi="宋体" w:cs="宋体"/>
                <w:spacing w:val="-2"/>
                <w:sz w:val="17"/>
                <w:szCs w:val="17"/>
              </w:rPr>
              <w:t>4.6</w:t>
            </w:r>
          </w:p>
        </w:tc>
        <w:tc>
          <w:tcPr>
            <w:tcW w:w="951" w:type="dxa"/>
          </w:tcPr>
          <w:p w14:paraId="69B847F1">
            <w:pPr>
              <w:spacing w:before="77" w:line="219" w:lineRule="auto"/>
              <w:jc w:val="center"/>
            </w:pPr>
            <w:r>
              <w:rPr>
                <w:rFonts w:hint="eastAsia" w:ascii="宋体" w:hAnsi="宋体" w:cs="宋体"/>
                <w:spacing w:val="-2"/>
                <w:sz w:val="17"/>
                <w:szCs w:val="17"/>
              </w:rPr>
              <w:t>4.6</w:t>
            </w:r>
          </w:p>
        </w:tc>
        <w:tc>
          <w:tcPr>
            <w:tcW w:w="2469" w:type="dxa"/>
            <w:vAlign w:val="center"/>
          </w:tcPr>
          <w:p w14:paraId="362F779C">
            <w:pPr>
              <w:jc w:val="center"/>
            </w:pPr>
            <w:r>
              <w:rPr>
                <w:rFonts w:hint="eastAsia" w:ascii="宋体" w:hAnsi="宋体" w:cs="宋体"/>
                <w:spacing w:val="-2"/>
                <w:sz w:val="17"/>
                <w:szCs w:val="17"/>
              </w:rPr>
              <w:t>100%</w:t>
            </w:r>
          </w:p>
        </w:tc>
      </w:tr>
      <w:tr w14:paraId="6B9C2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46AAE89F"/>
        </w:tc>
        <w:tc>
          <w:tcPr>
            <w:tcW w:w="1777" w:type="dxa"/>
            <w:gridSpan w:val="2"/>
          </w:tcPr>
          <w:p w14:paraId="301A7537">
            <w:pPr>
              <w:spacing w:before="80" w:line="219" w:lineRule="auto"/>
              <w:ind w:left="151"/>
              <w:rPr>
                <w:rFonts w:ascii="宋体" w:hAnsi="宋体" w:cs="宋体"/>
                <w:sz w:val="17"/>
                <w:szCs w:val="17"/>
              </w:rPr>
            </w:pPr>
            <w:r>
              <w:rPr>
                <w:rFonts w:ascii="宋体" w:hAnsi="宋体" w:cs="宋体"/>
                <w:sz w:val="17"/>
                <w:szCs w:val="17"/>
              </w:rPr>
              <w:t>1.一般公共预算</w:t>
            </w:r>
          </w:p>
        </w:tc>
        <w:tc>
          <w:tcPr>
            <w:tcW w:w="1308" w:type="dxa"/>
          </w:tcPr>
          <w:p w14:paraId="2594B250">
            <w:pPr>
              <w:spacing w:before="77" w:line="219" w:lineRule="auto"/>
              <w:jc w:val="center"/>
            </w:pPr>
            <w:r>
              <w:rPr>
                <w:rFonts w:hint="eastAsia" w:ascii="宋体" w:hAnsi="宋体" w:cs="宋体"/>
                <w:spacing w:val="-2"/>
                <w:sz w:val="17"/>
                <w:szCs w:val="17"/>
              </w:rPr>
              <w:t>4.6</w:t>
            </w:r>
          </w:p>
        </w:tc>
        <w:tc>
          <w:tcPr>
            <w:tcW w:w="1145" w:type="dxa"/>
          </w:tcPr>
          <w:p w14:paraId="3913A38F">
            <w:pPr>
              <w:spacing w:before="77" w:line="219" w:lineRule="auto"/>
              <w:jc w:val="center"/>
            </w:pPr>
            <w:r>
              <w:rPr>
                <w:rFonts w:hint="eastAsia" w:ascii="宋体" w:hAnsi="宋体" w:cs="宋体"/>
                <w:spacing w:val="-2"/>
                <w:sz w:val="17"/>
                <w:szCs w:val="17"/>
              </w:rPr>
              <w:t>4.6</w:t>
            </w:r>
          </w:p>
        </w:tc>
        <w:tc>
          <w:tcPr>
            <w:tcW w:w="951" w:type="dxa"/>
          </w:tcPr>
          <w:p w14:paraId="7143C298">
            <w:pPr>
              <w:spacing w:before="77" w:line="219" w:lineRule="auto"/>
              <w:jc w:val="center"/>
            </w:pPr>
            <w:r>
              <w:rPr>
                <w:rFonts w:hint="eastAsia" w:ascii="宋体" w:hAnsi="宋体" w:cs="宋体"/>
                <w:spacing w:val="-2"/>
                <w:sz w:val="17"/>
                <w:szCs w:val="17"/>
              </w:rPr>
              <w:t>4.6</w:t>
            </w:r>
          </w:p>
        </w:tc>
        <w:tc>
          <w:tcPr>
            <w:tcW w:w="2469" w:type="dxa"/>
            <w:vAlign w:val="center"/>
          </w:tcPr>
          <w:p w14:paraId="20D3C6A6">
            <w:pPr>
              <w:jc w:val="center"/>
            </w:pPr>
            <w:r>
              <w:rPr>
                <w:rFonts w:hint="eastAsia" w:ascii="宋体" w:hAnsi="宋体" w:cs="宋体"/>
                <w:spacing w:val="-2"/>
                <w:sz w:val="17"/>
                <w:szCs w:val="17"/>
              </w:rPr>
              <w:t>100%</w:t>
            </w:r>
          </w:p>
        </w:tc>
      </w:tr>
      <w:tr w14:paraId="33541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675D9FDD"/>
        </w:tc>
        <w:tc>
          <w:tcPr>
            <w:tcW w:w="1777" w:type="dxa"/>
            <w:gridSpan w:val="2"/>
          </w:tcPr>
          <w:p w14:paraId="2E23BE79">
            <w:pPr>
              <w:spacing w:before="78" w:line="219" w:lineRule="auto"/>
              <w:ind w:left="151"/>
              <w:rPr>
                <w:rFonts w:ascii="宋体" w:hAnsi="宋体" w:cs="宋体"/>
                <w:sz w:val="17"/>
                <w:szCs w:val="17"/>
              </w:rPr>
            </w:pPr>
            <w:r>
              <w:rPr>
                <w:rFonts w:ascii="宋体" w:hAnsi="宋体" w:cs="宋体"/>
                <w:spacing w:val="-2"/>
                <w:sz w:val="17"/>
                <w:szCs w:val="17"/>
              </w:rPr>
              <w:t>2.政府性基金</w:t>
            </w:r>
          </w:p>
        </w:tc>
        <w:tc>
          <w:tcPr>
            <w:tcW w:w="1308" w:type="dxa"/>
          </w:tcPr>
          <w:p w14:paraId="5144D469"/>
        </w:tc>
        <w:tc>
          <w:tcPr>
            <w:tcW w:w="1145" w:type="dxa"/>
          </w:tcPr>
          <w:p w14:paraId="22364829"/>
        </w:tc>
        <w:tc>
          <w:tcPr>
            <w:tcW w:w="951" w:type="dxa"/>
          </w:tcPr>
          <w:p w14:paraId="3BABD1AE"/>
        </w:tc>
        <w:tc>
          <w:tcPr>
            <w:tcW w:w="2469" w:type="dxa"/>
          </w:tcPr>
          <w:p w14:paraId="6D7C717F"/>
        </w:tc>
      </w:tr>
      <w:tr w14:paraId="2158E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1CBD6EDB"/>
        </w:tc>
        <w:tc>
          <w:tcPr>
            <w:tcW w:w="1777" w:type="dxa"/>
            <w:gridSpan w:val="2"/>
          </w:tcPr>
          <w:p w14:paraId="10722F80">
            <w:pPr>
              <w:spacing w:before="119" w:line="219" w:lineRule="auto"/>
              <w:ind w:left="151"/>
              <w:rPr>
                <w:rFonts w:ascii="宋体" w:hAnsi="宋体" w:cs="宋体"/>
                <w:sz w:val="17"/>
                <w:szCs w:val="17"/>
              </w:rPr>
            </w:pPr>
            <w:r>
              <w:rPr>
                <w:rFonts w:ascii="宋体" w:hAnsi="宋体" w:cs="宋体"/>
                <w:spacing w:val="-1"/>
                <w:sz w:val="17"/>
                <w:szCs w:val="17"/>
              </w:rPr>
              <w:t>3.国有资本经营预算</w:t>
            </w:r>
          </w:p>
        </w:tc>
        <w:tc>
          <w:tcPr>
            <w:tcW w:w="1308" w:type="dxa"/>
          </w:tcPr>
          <w:p w14:paraId="6B080479"/>
        </w:tc>
        <w:tc>
          <w:tcPr>
            <w:tcW w:w="1145" w:type="dxa"/>
          </w:tcPr>
          <w:p w14:paraId="7012855D"/>
        </w:tc>
        <w:tc>
          <w:tcPr>
            <w:tcW w:w="951" w:type="dxa"/>
          </w:tcPr>
          <w:p w14:paraId="6EB50364"/>
        </w:tc>
        <w:tc>
          <w:tcPr>
            <w:tcW w:w="2469" w:type="dxa"/>
          </w:tcPr>
          <w:p w14:paraId="555AED15"/>
        </w:tc>
      </w:tr>
      <w:tr w14:paraId="1BB4F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325601E4"/>
        </w:tc>
        <w:tc>
          <w:tcPr>
            <w:tcW w:w="1777" w:type="dxa"/>
            <w:gridSpan w:val="2"/>
          </w:tcPr>
          <w:p w14:paraId="22EA3C9B">
            <w:pPr>
              <w:spacing w:before="82" w:line="219" w:lineRule="auto"/>
              <w:ind w:left="151"/>
              <w:rPr>
                <w:rFonts w:ascii="宋体" w:hAnsi="宋体" w:cs="宋体"/>
                <w:sz w:val="17"/>
                <w:szCs w:val="17"/>
              </w:rPr>
            </w:pPr>
            <w:r>
              <w:rPr>
                <w:rFonts w:ascii="宋体" w:hAnsi="宋体" w:cs="宋体"/>
                <w:spacing w:val="-1"/>
                <w:sz w:val="17"/>
                <w:szCs w:val="17"/>
              </w:rPr>
              <w:t>4.社保基金</w:t>
            </w:r>
          </w:p>
        </w:tc>
        <w:tc>
          <w:tcPr>
            <w:tcW w:w="1308" w:type="dxa"/>
          </w:tcPr>
          <w:p w14:paraId="630BE107"/>
        </w:tc>
        <w:tc>
          <w:tcPr>
            <w:tcW w:w="1145" w:type="dxa"/>
          </w:tcPr>
          <w:p w14:paraId="7D84816F"/>
        </w:tc>
        <w:tc>
          <w:tcPr>
            <w:tcW w:w="951" w:type="dxa"/>
          </w:tcPr>
          <w:p w14:paraId="7C641926"/>
        </w:tc>
        <w:tc>
          <w:tcPr>
            <w:tcW w:w="2469" w:type="dxa"/>
          </w:tcPr>
          <w:p w14:paraId="092F91E5"/>
        </w:tc>
      </w:tr>
      <w:tr w14:paraId="27E8A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5984BCC8"/>
        </w:tc>
        <w:tc>
          <w:tcPr>
            <w:tcW w:w="1777" w:type="dxa"/>
            <w:gridSpan w:val="2"/>
          </w:tcPr>
          <w:p w14:paraId="754C1F38">
            <w:pPr>
              <w:spacing w:before="112" w:line="220" w:lineRule="auto"/>
              <w:ind w:left="151"/>
              <w:rPr>
                <w:rFonts w:ascii="宋体" w:hAnsi="宋体" w:cs="宋体"/>
                <w:sz w:val="17"/>
                <w:szCs w:val="17"/>
              </w:rPr>
            </w:pPr>
            <w:r>
              <w:rPr>
                <w:rFonts w:ascii="宋体" w:hAnsi="宋体" w:cs="宋体"/>
                <w:spacing w:val="1"/>
                <w:sz w:val="17"/>
                <w:szCs w:val="17"/>
              </w:rPr>
              <w:t>(二)其他资金</w:t>
            </w:r>
          </w:p>
        </w:tc>
        <w:tc>
          <w:tcPr>
            <w:tcW w:w="1308" w:type="dxa"/>
          </w:tcPr>
          <w:p w14:paraId="5F95A328"/>
        </w:tc>
        <w:tc>
          <w:tcPr>
            <w:tcW w:w="1145" w:type="dxa"/>
          </w:tcPr>
          <w:p w14:paraId="4F447895"/>
        </w:tc>
        <w:tc>
          <w:tcPr>
            <w:tcW w:w="951" w:type="dxa"/>
          </w:tcPr>
          <w:p w14:paraId="77561656"/>
        </w:tc>
        <w:tc>
          <w:tcPr>
            <w:tcW w:w="2469" w:type="dxa"/>
          </w:tcPr>
          <w:p w14:paraId="18107125"/>
        </w:tc>
      </w:tr>
      <w:tr w14:paraId="287AA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4D1CD0E1">
            <w:pPr>
              <w:spacing w:line="385" w:lineRule="auto"/>
            </w:pPr>
          </w:p>
          <w:p w14:paraId="41A71A41">
            <w:pPr>
              <w:spacing w:before="55" w:line="219" w:lineRule="auto"/>
              <w:ind w:left="194" w:right="2" w:hanging="139"/>
              <w:rPr>
                <w:rFonts w:ascii="宋体" w:hAnsi="宋体" w:cs="宋体"/>
                <w:sz w:val="17"/>
                <w:szCs w:val="17"/>
              </w:rPr>
            </w:pPr>
            <w:r>
              <w:rPr>
                <w:rFonts w:ascii="宋体" w:hAnsi="宋体" w:cs="宋体"/>
                <w:spacing w:val="-11"/>
                <w:sz w:val="17"/>
                <w:szCs w:val="17"/>
              </w:rPr>
              <w:t>年度总体</w:t>
            </w:r>
            <w:r>
              <w:rPr>
                <w:rFonts w:ascii="宋体" w:hAnsi="宋体" w:cs="宋体"/>
                <w:sz w:val="17"/>
                <w:szCs w:val="17"/>
              </w:rPr>
              <w:t xml:space="preserve"> </w:t>
            </w:r>
            <w:r>
              <w:rPr>
                <w:rFonts w:ascii="宋体" w:hAnsi="宋体" w:cs="宋体"/>
                <w:spacing w:val="6"/>
                <w:sz w:val="17"/>
                <w:szCs w:val="17"/>
              </w:rPr>
              <w:t>目标</w:t>
            </w:r>
          </w:p>
        </w:tc>
        <w:tc>
          <w:tcPr>
            <w:tcW w:w="5933" w:type="dxa"/>
            <w:gridSpan w:val="6"/>
          </w:tcPr>
          <w:p w14:paraId="2E4BB178">
            <w:pPr>
              <w:spacing w:before="183" w:line="220" w:lineRule="auto"/>
              <w:jc w:val="center"/>
              <w:rPr>
                <w:rFonts w:ascii="宋体" w:hAnsi="宋体" w:cs="宋体"/>
                <w:sz w:val="17"/>
                <w:szCs w:val="17"/>
              </w:rPr>
            </w:pPr>
            <w:r>
              <w:rPr>
                <w:rFonts w:ascii="宋体" w:hAnsi="宋体" w:cs="宋体"/>
                <w:spacing w:val="-2"/>
                <w:sz w:val="17"/>
                <w:szCs w:val="17"/>
              </w:rPr>
              <w:t>预期目标</w:t>
            </w:r>
          </w:p>
        </w:tc>
        <w:tc>
          <w:tcPr>
            <w:tcW w:w="2469" w:type="dxa"/>
          </w:tcPr>
          <w:p w14:paraId="66C52CD4">
            <w:pPr>
              <w:spacing w:before="183" w:line="220" w:lineRule="auto"/>
              <w:jc w:val="center"/>
              <w:rPr>
                <w:rFonts w:ascii="宋体" w:hAnsi="宋体" w:cs="宋体"/>
                <w:spacing w:val="-2"/>
                <w:sz w:val="17"/>
                <w:szCs w:val="17"/>
              </w:rPr>
            </w:pPr>
            <w:r>
              <w:rPr>
                <w:rFonts w:hint="eastAsia" w:ascii="宋体" w:hAnsi="宋体" w:cs="宋体"/>
                <w:spacing w:val="-2"/>
                <w:sz w:val="17"/>
                <w:szCs w:val="17"/>
              </w:rPr>
              <w:t>完成情况</w:t>
            </w:r>
          </w:p>
        </w:tc>
      </w:tr>
      <w:tr w14:paraId="0A7EC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697" w:type="dxa"/>
            <w:vMerge w:val="continue"/>
            <w:tcBorders>
              <w:top w:val="nil"/>
            </w:tcBorders>
          </w:tcPr>
          <w:p w14:paraId="390B4CAD"/>
        </w:tc>
        <w:tc>
          <w:tcPr>
            <w:tcW w:w="5933" w:type="dxa"/>
            <w:gridSpan w:val="6"/>
            <w:vAlign w:val="center"/>
          </w:tcPr>
          <w:p w14:paraId="52E31FB5">
            <w:r>
              <w:rPr>
                <w:rFonts w:hint="eastAsia" w:ascii="宋体" w:hAnsi="宋体" w:cs="宋体"/>
                <w:spacing w:val="-2"/>
                <w:sz w:val="17"/>
                <w:szCs w:val="17"/>
                <w:lang w:val="zh-CN"/>
              </w:rPr>
              <w:t xml:space="preserve">    中央纪检监察转移支付资金，主要用于强化监督执纪问责和监督调查处置职能，围绕现代化建设大局发挥监督保障作用，以便更好的服务民生大众。</w:t>
            </w:r>
          </w:p>
        </w:tc>
        <w:tc>
          <w:tcPr>
            <w:tcW w:w="2469" w:type="dxa"/>
            <w:vAlign w:val="center"/>
          </w:tcPr>
          <w:p w14:paraId="17143BD8">
            <w:pPr>
              <w:rPr>
                <w:rFonts w:ascii="宋体" w:hAnsi="宋体" w:cs="宋体"/>
                <w:spacing w:val="-2"/>
                <w:sz w:val="17"/>
                <w:szCs w:val="17"/>
              </w:rPr>
            </w:pPr>
            <w:r>
              <w:rPr>
                <w:rFonts w:hint="eastAsia" w:ascii="宋体" w:hAnsi="宋体" w:cs="宋体"/>
                <w:spacing w:val="-2"/>
                <w:sz w:val="17"/>
                <w:szCs w:val="17"/>
                <w:lang w:val="zh-CN"/>
              </w:rPr>
              <w:t xml:space="preserve">   中央纪检监察转移支付资金，主要用于强化监督执纪问责和监督调查处置职能，围绕现代化建设大局发挥监督保障作用，以便更好的服务民生大众。</w:t>
            </w:r>
          </w:p>
          <w:p w14:paraId="51EEEB19">
            <w:pPr>
              <w:spacing w:before="183" w:line="220" w:lineRule="auto"/>
              <w:rPr>
                <w:rFonts w:ascii="宋体" w:hAnsi="宋体" w:cs="宋体"/>
                <w:spacing w:val="-2"/>
                <w:sz w:val="17"/>
                <w:szCs w:val="17"/>
              </w:rPr>
            </w:pPr>
          </w:p>
        </w:tc>
      </w:tr>
      <w:tr w14:paraId="39144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5C6E689">
            <w:pPr>
              <w:spacing w:line="253" w:lineRule="auto"/>
              <w:jc w:val="center"/>
            </w:pPr>
          </w:p>
          <w:p w14:paraId="1AB75A20">
            <w:pPr>
              <w:spacing w:line="253" w:lineRule="auto"/>
              <w:jc w:val="center"/>
            </w:pPr>
          </w:p>
          <w:p w14:paraId="1E0C835E">
            <w:pPr>
              <w:spacing w:line="253" w:lineRule="auto"/>
              <w:jc w:val="center"/>
            </w:pPr>
          </w:p>
          <w:p w14:paraId="773D43A1">
            <w:pPr>
              <w:spacing w:line="254" w:lineRule="auto"/>
              <w:jc w:val="center"/>
            </w:pPr>
          </w:p>
          <w:p w14:paraId="234EDA1E">
            <w:pPr>
              <w:spacing w:line="254" w:lineRule="auto"/>
              <w:jc w:val="center"/>
            </w:pPr>
          </w:p>
          <w:p w14:paraId="42F542E1">
            <w:pPr>
              <w:spacing w:line="254" w:lineRule="auto"/>
              <w:jc w:val="center"/>
            </w:pPr>
          </w:p>
          <w:p w14:paraId="6C03A555">
            <w:pPr>
              <w:spacing w:line="254" w:lineRule="auto"/>
              <w:jc w:val="center"/>
            </w:pPr>
          </w:p>
          <w:p w14:paraId="0A4C4D23">
            <w:pPr>
              <w:spacing w:line="254" w:lineRule="auto"/>
              <w:jc w:val="center"/>
            </w:pPr>
          </w:p>
          <w:p w14:paraId="486D933B">
            <w:pPr>
              <w:spacing w:line="254" w:lineRule="auto"/>
              <w:jc w:val="center"/>
            </w:pPr>
          </w:p>
          <w:p w14:paraId="6ED23982">
            <w:pPr>
              <w:spacing w:line="254" w:lineRule="auto"/>
              <w:jc w:val="center"/>
            </w:pPr>
          </w:p>
          <w:p w14:paraId="2CB6F292">
            <w:pPr>
              <w:spacing w:line="254" w:lineRule="auto"/>
              <w:jc w:val="center"/>
            </w:pPr>
          </w:p>
          <w:p w14:paraId="71CFD346">
            <w:pPr>
              <w:spacing w:line="254" w:lineRule="auto"/>
              <w:jc w:val="center"/>
            </w:pPr>
          </w:p>
          <w:p w14:paraId="799AFE22">
            <w:pPr>
              <w:spacing w:line="254" w:lineRule="auto"/>
              <w:jc w:val="center"/>
            </w:pPr>
          </w:p>
          <w:p w14:paraId="1F82BAB1">
            <w:pPr>
              <w:spacing w:before="56" w:line="220" w:lineRule="auto"/>
              <w:ind w:left="55"/>
              <w:jc w:val="center"/>
              <w:rPr>
                <w:rFonts w:ascii="宋体" w:hAnsi="宋体" w:cs="宋体"/>
                <w:sz w:val="17"/>
                <w:szCs w:val="17"/>
              </w:rPr>
            </w:pPr>
            <w:r>
              <w:rPr>
                <w:rFonts w:ascii="宋体" w:hAnsi="宋体" w:cs="宋体"/>
                <w:spacing w:val="-11"/>
                <w:sz w:val="17"/>
                <w:szCs w:val="17"/>
              </w:rPr>
              <w:t>绩效指标</w:t>
            </w:r>
          </w:p>
        </w:tc>
        <w:tc>
          <w:tcPr>
            <w:tcW w:w="752" w:type="dxa"/>
            <w:tcBorders>
              <w:bottom w:val="single" w:color="auto" w:sz="4" w:space="0"/>
            </w:tcBorders>
          </w:tcPr>
          <w:p w14:paraId="6FB2876C">
            <w:pPr>
              <w:spacing w:before="155" w:line="220" w:lineRule="auto"/>
              <w:ind w:left="40"/>
              <w:jc w:val="center"/>
              <w:rPr>
                <w:rFonts w:ascii="宋体" w:hAnsi="宋体" w:cs="宋体"/>
                <w:sz w:val="17"/>
                <w:szCs w:val="17"/>
              </w:rPr>
            </w:pPr>
            <w:r>
              <w:rPr>
                <w:rFonts w:ascii="宋体" w:hAnsi="宋体" w:cs="宋体"/>
                <w:spacing w:val="-2"/>
                <w:sz w:val="17"/>
                <w:szCs w:val="17"/>
              </w:rPr>
              <w:t>一级指标</w:t>
            </w:r>
          </w:p>
        </w:tc>
        <w:tc>
          <w:tcPr>
            <w:tcW w:w="999" w:type="dxa"/>
          </w:tcPr>
          <w:p w14:paraId="7D396504">
            <w:pPr>
              <w:spacing w:before="155" w:line="220" w:lineRule="auto"/>
              <w:jc w:val="center"/>
              <w:rPr>
                <w:rFonts w:ascii="宋体" w:hAnsi="宋体" w:cs="宋体"/>
                <w:sz w:val="17"/>
                <w:szCs w:val="17"/>
              </w:rPr>
            </w:pPr>
            <w:r>
              <w:rPr>
                <w:rFonts w:ascii="宋体" w:hAnsi="宋体" w:cs="宋体"/>
                <w:spacing w:val="-2"/>
                <w:sz w:val="17"/>
                <w:szCs w:val="17"/>
              </w:rPr>
              <w:t>二级指标</w:t>
            </w:r>
          </w:p>
        </w:tc>
        <w:tc>
          <w:tcPr>
            <w:tcW w:w="2086" w:type="dxa"/>
            <w:gridSpan w:val="2"/>
          </w:tcPr>
          <w:p w14:paraId="10CA02E1">
            <w:pPr>
              <w:spacing w:before="155" w:line="220" w:lineRule="auto"/>
              <w:jc w:val="center"/>
              <w:rPr>
                <w:rFonts w:ascii="宋体" w:hAnsi="宋体" w:cs="宋体"/>
                <w:sz w:val="17"/>
                <w:szCs w:val="17"/>
              </w:rPr>
            </w:pPr>
            <w:r>
              <w:rPr>
                <w:rFonts w:ascii="宋体" w:hAnsi="宋体" w:cs="宋体"/>
                <w:spacing w:val="-2"/>
                <w:sz w:val="17"/>
                <w:szCs w:val="17"/>
              </w:rPr>
              <w:t>三级指标</w:t>
            </w:r>
          </w:p>
        </w:tc>
        <w:tc>
          <w:tcPr>
            <w:tcW w:w="1145" w:type="dxa"/>
          </w:tcPr>
          <w:p w14:paraId="1E2529E2">
            <w:pPr>
              <w:spacing w:before="155" w:line="219" w:lineRule="auto"/>
              <w:jc w:val="center"/>
              <w:rPr>
                <w:rFonts w:ascii="宋体" w:hAnsi="宋体" w:cs="宋体"/>
                <w:sz w:val="17"/>
                <w:szCs w:val="17"/>
              </w:rPr>
            </w:pPr>
            <w:r>
              <w:rPr>
                <w:rFonts w:ascii="宋体" w:hAnsi="宋体" w:cs="宋体"/>
                <w:spacing w:val="-2"/>
                <w:sz w:val="17"/>
                <w:szCs w:val="17"/>
              </w:rPr>
              <w:t>年度指标值</w:t>
            </w:r>
          </w:p>
        </w:tc>
        <w:tc>
          <w:tcPr>
            <w:tcW w:w="951" w:type="dxa"/>
          </w:tcPr>
          <w:p w14:paraId="1001442D">
            <w:pPr>
              <w:spacing w:before="155" w:line="219" w:lineRule="auto"/>
              <w:jc w:val="center"/>
              <w:rPr>
                <w:rFonts w:ascii="宋体" w:hAnsi="宋体" w:cs="宋体"/>
                <w:sz w:val="17"/>
                <w:szCs w:val="17"/>
              </w:rPr>
            </w:pPr>
            <w:r>
              <w:rPr>
                <w:rFonts w:ascii="宋体" w:hAnsi="宋体" w:cs="宋体"/>
                <w:spacing w:val="-2"/>
                <w:sz w:val="17"/>
                <w:szCs w:val="17"/>
              </w:rPr>
              <w:t>实际完成值</w:t>
            </w:r>
          </w:p>
        </w:tc>
        <w:tc>
          <w:tcPr>
            <w:tcW w:w="2469" w:type="dxa"/>
          </w:tcPr>
          <w:p w14:paraId="6950D2AA">
            <w:pPr>
              <w:spacing w:before="75" w:line="227" w:lineRule="auto"/>
              <w:jc w:val="center"/>
              <w:rPr>
                <w:rFonts w:ascii="宋体" w:hAnsi="宋体" w:cs="宋体"/>
                <w:sz w:val="16"/>
                <w:szCs w:val="16"/>
              </w:rPr>
            </w:pPr>
            <w:r>
              <w:rPr>
                <w:rFonts w:ascii="宋体" w:hAnsi="宋体" w:cs="宋体"/>
                <w:sz w:val="16"/>
                <w:szCs w:val="16"/>
              </w:rPr>
              <w:t>偏差原因分析及</w:t>
            </w:r>
            <w:r>
              <w:rPr>
                <w:rFonts w:ascii="宋体" w:hAnsi="宋体" w:cs="宋体"/>
                <w:spacing w:val="11"/>
                <w:sz w:val="16"/>
                <w:szCs w:val="16"/>
              </w:rPr>
              <w:t>改进措施</w:t>
            </w:r>
          </w:p>
        </w:tc>
      </w:tr>
      <w:tr w14:paraId="5750F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97" w:type="dxa"/>
            <w:vMerge w:val="continue"/>
            <w:vAlign w:val="center"/>
          </w:tcPr>
          <w:p w14:paraId="0F2C0677">
            <w:pPr>
              <w:jc w:val="cente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6F4BF530">
            <w:pPr>
              <w:spacing w:line="286" w:lineRule="auto"/>
              <w:jc w:val="center"/>
            </w:pPr>
          </w:p>
          <w:p w14:paraId="2C3CB5E6">
            <w:pPr>
              <w:spacing w:line="286" w:lineRule="auto"/>
              <w:jc w:val="center"/>
            </w:pPr>
          </w:p>
          <w:p w14:paraId="7A356B82">
            <w:pPr>
              <w:spacing w:line="286" w:lineRule="auto"/>
              <w:jc w:val="center"/>
            </w:pPr>
          </w:p>
          <w:p w14:paraId="2611781B">
            <w:pPr>
              <w:spacing w:line="286" w:lineRule="auto"/>
              <w:jc w:val="center"/>
            </w:pPr>
          </w:p>
          <w:p w14:paraId="033DD8AE">
            <w:pPr>
              <w:spacing w:line="287" w:lineRule="auto"/>
              <w:jc w:val="center"/>
            </w:pPr>
          </w:p>
          <w:p w14:paraId="461D09ED">
            <w:pPr>
              <w:spacing w:before="56" w:line="219" w:lineRule="auto"/>
              <w:ind w:left="40"/>
              <w:jc w:val="center"/>
              <w:rPr>
                <w:rFonts w:ascii="宋体" w:hAnsi="宋体" w:cs="宋体"/>
                <w:sz w:val="17"/>
                <w:szCs w:val="17"/>
              </w:rPr>
            </w:pPr>
            <w:r>
              <w:rPr>
                <w:rFonts w:ascii="宋体" w:hAnsi="宋体" w:cs="宋体"/>
                <w:spacing w:val="-2"/>
                <w:sz w:val="17"/>
                <w:szCs w:val="17"/>
              </w:rPr>
              <w:t>产出指标</w:t>
            </w:r>
          </w:p>
        </w:tc>
        <w:tc>
          <w:tcPr>
            <w:tcW w:w="999" w:type="dxa"/>
            <w:tcBorders>
              <w:left w:val="single" w:color="auto" w:sz="4" w:space="0"/>
              <w:bottom w:val="nil"/>
            </w:tcBorders>
            <w:vAlign w:val="center"/>
          </w:tcPr>
          <w:p w14:paraId="2CF9DA8C">
            <w:pPr>
              <w:spacing w:before="67" w:line="209" w:lineRule="auto"/>
              <w:ind w:left="23"/>
              <w:jc w:val="center"/>
              <w:rPr>
                <w:rFonts w:ascii="宋体" w:hAnsi="宋体" w:cs="宋体"/>
                <w:sz w:val="17"/>
                <w:szCs w:val="17"/>
              </w:rPr>
            </w:pPr>
            <w:r>
              <w:rPr>
                <w:rFonts w:ascii="宋体" w:hAnsi="宋体" w:cs="宋体"/>
                <w:sz w:val="17"/>
                <w:szCs w:val="17"/>
              </w:rPr>
              <w:t>时效指标</w:t>
            </w:r>
          </w:p>
        </w:tc>
        <w:tc>
          <w:tcPr>
            <w:tcW w:w="2086" w:type="dxa"/>
            <w:gridSpan w:val="2"/>
            <w:vAlign w:val="center"/>
          </w:tcPr>
          <w:p w14:paraId="4772D6EC">
            <w:pPr>
              <w:spacing w:before="67" w:line="209" w:lineRule="auto"/>
              <w:ind w:left="23"/>
              <w:jc w:val="center"/>
              <w:rPr>
                <w:rFonts w:ascii="宋体" w:hAnsi="宋体" w:cs="宋体"/>
                <w:sz w:val="17"/>
                <w:szCs w:val="17"/>
              </w:rPr>
            </w:pPr>
            <w:r>
              <w:rPr>
                <w:rFonts w:hint="eastAsia" w:ascii="宋体" w:hAnsi="宋体" w:cs="宋体"/>
                <w:sz w:val="17"/>
                <w:szCs w:val="17"/>
              </w:rPr>
              <w:t>项目使用年限</w:t>
            </w:r>
          </w:p>
        </w:tc>
        <w:tc>
          <w:tcPr>
            <w:tcW w:w="1145" w:type="dxa"/>
            <w:vAlign w:val="center"/>
          </w:tcPr>
          <w:p w14:paraId="6F8CE836">
            <w:pPr>
              <w:spacing w:before="67" w:line="209" w:lineRule="auto"/>
              <w:ind w:left="23"/>
              <w:jc w:val="center"/>
              <w:rPr>
                <w:rFonts w:ascii="宋体" w:hAnsi="宋体" w:cs="宋体"/>
                <w:sz w:val="17"/>
                <w:szCs w:val="17"/>
              </w:rPr>
            </w:pPr>
            <w:r>
              <w:rPr>
                <w:rFonts w:ascii="宋体" w:hAnsi="宋体" w:cs="宋体"/>
                <w:sz w:val="17"/>
                <w:szCs w:val="17"/>
              </w:rPr>
              <w:t>1</w:t>
            </w:r>
            <w:r>
              <w:rPr>
                <w:rFonts w:hint="eastAsia" w:ascii="宋体" w:hAnsi="宋体" w:cs="宋体"/>
                <w:sz w:val="17"/>
                <w:szCs w:val="17"/>
              </w:rPr>
              <w:t>年</w:t>
            </w:r>
          </w:p>
        </w:tc>
        <w:tc>
          <w:tcPr>
            <w:tcW w:w="951" w:type="dxa"/>
            <w:vAlign w:val="center"/>
          </w:tcPr>
          <w:p w14:paraId="630BC7B1">
            <w:pPr>
              <w:spacing w:before="67" w:line="209" w:lineRule="auto"/>
              <w:ind w:left="23"/>
              <w:jc w:val="center"/>
              <w:rPr>
                <w:rFonts w:ascii="宋体" w:hAnsi="宋体" w:cs="宋体"/>
                <w:sz w:val="17"/>
                <w:szCs w:val="17"/>
              </w:rPr>
            </w:pPr>
            <w:r>
              <w:rPr>
                <w:rFonts w:hint="eastAsia" w:ascii="宋体" w:hAnsi="宋体" w:cs="宋体"/>
                <w:sz w:val="17"/>
                <w:szCs w:val="17"/>
              </w:rPr>
              <w:t>1年</w:t>
            </w:r>
          </w:p>
        </w:tc>
        <w:tc>
          <w:tcPr>
            <w:tcW w:w="2469" w:type="dxa"/>
          </w:tcPr>
          <w:p w14:paraId="75CBBEC2">
            <w:pPr>
              <w:jc w:val="center"/>
            </w:pPr>
          </w:p>
        </w:tc>
      </w:tr>
      <w:tr w14:paraId="5DB5B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697" w:type="dxa"/>
            <w:vMerge w:val="continue"/>
            <w:vAlign w:val="center"/>
          </w:tcPr>
          <w:p w14:paraId="10D13C93">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F935E40">
            <w:pPr>
              <w:jc w:val="center"/>
            </w:pPr>
          </w:p>
        </w:tc>
        <w:tc>
          <w:tcPr>
            <w:tcW w:w="999" w:type="dxa"/>
            <w:tcBorders>
              <w:left w:val="single" w:color="auto" w:sz="4" w:space="0"/>
            </w:tcBorders>
            <w:vAlign w:val="center"/>
          </w:tcPr>
          <w:p w14:paraId="27643218">
            <w:pPr>
              <w:spacing w:before="67" w:line="209" w:lineRule="auto"/>
              <w:ind w:left="23"/>
              <w:jc w:val="center"/>
              <w:rPr>
                <w:rFonts w:ascii="宋体" w:hAnsi="宋体" w:cs="宋体"/>
                <w:sz w:val="17"/>
                <w:szCs w:val="17"/>
              </w:rPr>
            </w:pPr>
            <w:r>
              <w:rPr>
                <w:rFonts w:ascii="宋体" w:hAnsi="宋体" w:cs="宋体"/>
                <w:sz w:val="17"/>
                <w:szCs w:val="17"/>
              </w:rPr>
              <w:t>质量指标</w:t>
            </w:r>
          </w:p>
        </w:tc>
        <w:tc>
          <w:tcPr>
            <w:tcW w:w="2086" w:type="dxa"/>
            <w:gridSpan w:val="2"/>
            <w:vAlign w:val="center"/>
          </w:tcPr>
          <w:p w14:paraId="678D7DA8">
            <w:pPr>
              <w:spacing w:before="67" w:line="209" w:lineRule="auto"/>
              <w:ind w:left="23"/>
              <w:jc w:val="center"/>
              <w:rPr>
                <w:rFonts w:ascii="宋体" w:hAnsi="宋体" w:cs="宋体"/>
                <w:sz w:val="17"/>
                <w:szCs w:val="17"/>
              </w:rPr>
            </w:pPr>
            <w:r>
              <w:rPr>
                <w:rFonts w:hint="eastAsia" w:ascii="宋体" w:hAnsi="宋体" w:cs="宋体"/>
                <w:sz w:val="17"/>
                <w:szCs w:val="17"/>
              </w:rPr>
              <w:t>提升乡镇案件查办质效</w:t>
            </w:r>
          </w:p>
        </w:tc>
        <w:tc>
          <w:tcPr>
            <w:tcW w:w="1145" w:type="dxa"/>
            <w:vAlign w:val="center"/>
          </w:tcPr>
          <w:p w14:paraId="671479E2">
            <w:pPr>
              <w:spacing w:before="67" w:line="209" w:lineRule="auto"/>
              <w:ind w:left="23"/>
              <w:jc w:val="center"/>
              <w:rPr>
                <w:rFonts w:ascii="宋体" w:hAnsi="宋体" w:cs="宋体"/>
                <w:sz w:val="17"/>
                <w:szCs w:val="17"/>
              </w:rPr>
            </w:pPr>
            <w:r>
              <w:rPr>
                <w:rFonts w:hint="eastAsia" w:ascii="宋体" w:hAnsi="宋体" w:cs="宋体"/>
                <w:sz w:val="17"/>
                <w:szCs w:val="17"/>
              </w:rPr>
              <w:t>定性</w:t>
            </w:r>
          </w:p>
        </w:tc>
        <w:tc>
          <w:tcPr>
            <w:tcW w:w="951" w:type="dxa"/>
            <w:vAlign w:val="center"/>
          </w:tcPr>
          <w:p w14:paraId="07DFE431">
            <w:pPr>
              <w:spacing w:before="67" w:line="209" w:lineRule="auto"/>
              <w:ind w:left="23"/>
              <w:jc w:val="center"/>
              <w:rPr>
                <w:rFonts w:ascii="宋体" w:hAnsi="宋体" w:cs="宋体"/>
                <w:sz w:val="17"/>
                <w:szCs w:val="17"/>
              </w:rPr>
            </w:pPr>
            <w:r>
              <w:rPr>
                <w:rFonts w:hint="eastAsia" w:ascii="宋体" w:hAnsi="宋体" w:cs="宋体"/>
                <w:sz w:val="17"/>
                <w:szCs w:val="17"/>
              </w:rPr>
              <w:t>有效</w:t>
            </w:r>
          </w:p>
        </w:tc>
        <w:tc>
          <w:tcPr>
            <w:tcW w:w="2469" w:type="dxa"/>
          </w:tcPr>
          <w:p w14:paraId="0A079C81">
            <w:pPr>
              <w:jc w:val="center"/>
            </w:pPr>
          </w:p>
        </w:tc>
      </w:tr>
      <w:tr w14:paraId="02702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97" w:type="dxa"/>
            <w:vMerge w:val="continue"/>
            <w:vAlign w:val="center"/>
          </w:tcPr>
          <w:p w14:paraId="7CB2FAB3">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9557CBC">
            <w:pPr>
              <w:jc w:val="center"/>
            </w:pPr>
          </w:p>
        </w:tc>
        <w:tc>
          <w:tcPr>
            <w:tcW w:w="999" w:type="dxa"/>
            <w:tcBorders>
              <w:left w:val="single" w:color="auto" w:sz="4" w:space="0"/>
              <w:bottom w:val="nil"/>
            </w:tcBorders>
            <w:vAlign w:val="center"/>
          </w:tcPr>
          <w:p w14:paraId="1368DC61">
            <w:pPr>
              <w:spacing w:before="67" w:line="209" w:lineRule="auto"/>
              <w:ind w:left="23"/>
              <w:jc w:val="center"/>
              <w:rPr>
                <w:rFonts w:ascii="宋体" w:hAnsi="宋体" w:cs="宋体"/>
                <w:sz w:val="17"/>
                <w:szCs w:val="17"/>
              </w:rPr>
            </w:pPr>
            <w:r>
              <w:rPr>
                <w:rFonts w:hint="eastAsia" w:ascii="宋体" w:hAnsi="宋体" w:cs="宋体"/>
                <w:sz w:val="17"/>
                <w:szCs w:val="17"/>
              </w:rPr>
              <w:t>质量</w:t>
            </w:r>
            <w:r>
              <w:rPr>
                <w:rFonts w:ascii="宋体" w:hAnsi="宋体" w:cs="宋体"/>
                <w:sz w:val="17"/>
                <w:szCs w:val="17"/>
              </w:rPr>
              <w:t>指标</w:t>
            </w:r>
          </w:p>
        </w:tc>
        <w:tc>
          <w:tcPr>
            <w:tcW w:w="2086" w:type="dxa"/>
            <w:gridSpan w:val="2"/>
            <w:vAlign w:val="center"/>
          </w:tcPr>
          <w:p w14:paraId="6E0A523C">
            <w:pPr>
              <w:spacing w:before="67" w:line="209" w:lineRule="auto"/>
              <w:ind w:left="23"/>
              <w:jc w:val="center"/>
              <w:rPr>
                <w:rFonts w:ascii="宋体" w:hAnsi="宋体" w:cs="宋体"/>
                <w:sz w:val="17"/>
                <w:szCs w:val="17"/>
              </w:rPr>
            </w:pPr>
            <w:r>
              <w:rPr>
                <w:rFonts w:hint="eastAsia" w:ascii="宋体" w:hAnsi="宋体" w:cs="宋体"/>
                <w:sz w:val="17"/>
                <w:szCs w:val="17"/>
              </w:rPr>
              <w:t>质量达标情况</w:t>
            </w:r>
          </w:p>
        </w:tc>
        <w:tc>
          <w:tcPr>
            <w:tcW w:w="1145" w:type="dxa"/>
            <w:vAlign w:val="center"/>
          </w:tcPr>
          <w:p w14:paraId="0F9148A1">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951" w:type="dxa"/>
            <w:vAlign w:val="center"/>
          </w:tcPr>
          <w:p w14:paraId="75818F2B">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2469" w:type="dxa"/>
          </w:tcPr>
          <w:p w14:paraId="18E0D60D">
            <w:pPr>
              <w:jc w:val="center"/>
            </w:pPr>
          </w:p>
        </w:tc>
      </w:tr>
      <w:tr w14:paraId="29B09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697" w:type="dxa"/>
            <w:vMerge w:val="continue"/>
            <w:vAlign w:val="center"/>
          </w:tcPr>
          <w:p w14:paraId="07716C54">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0358DC6">
            <w:pPr>
              <w:jc w:val="center"/>
            </w:pPr>
          </w:p>
        </w:tc>
        <w:tc>
          <w:tcPr>
            <w:tcW w:w="999" w:type="dxa"/>
            <w:tcBorders>
              <w:left w:val="single" w:color="auto" w:sz="4" w:space="0"/>
              <w:bottom w:val="nil"/>
            </w:tcBorders>
            <w:vAlign w:val="center"/>
          </w:tcPr>
          <w:p w14:paraId="2F3AC0F6">
            <w:pPr>
              <w:spacing w:before="67" w:line="209" w:lineRule="auto"/>
              <w:ind w:left="23"/>
              <w:jc w:val="center"/>
              <w:rPr>
                <w:rFonts w:ascii="宋体" w:hAnsi="宋体" w:cs="宋体"/>
                <w:sz w:val="17"/>
                <w:szCs w:val="17"/>
              </w:rPr>
            </w:pPr>
            <w:r>
              <w:rPr>
                <w:rFonts w:ascii="宋体" w:hAnsi="宋体" w:cs="宋体"/>
                <w:sz w:val="17"/>
                <w:szCs w:val="17"/>
              </w:rPr>
              <w:t>数量指标</w:t>
            </w:r>
          </w:p>
        </w:tc>
        <w:tc>
          <w:tcPr>
            <w:tcW w:w="2086" w:type="dxa"/>
            <w:gridSpan w:val="2"/>
            <w:vAlign w:val="center"/>
          </w:tcPr>
          <w:p w14:paraId="0979FD3D">
            <w:pPr>
              <w:spacing w:before="67" w:line="209" w:lineRule="auto"/>
              <w:ind w:left="23"/>
              <w:jc w:val="center"/>
              <w:rPr>
                <w:rFonts w:ascii="宋体" w:hAnsi="宋体" w:cs="宋体"/>
                <w:sz w:val="17"/>
                <w:szCs w:val="17"/>
              </w:rPr>
            </w:pPr>
            <w:r>
              <w:rPr>
                <w:rFonts w:hint="eastAsia" w:ascii="宋体" w:hAnsi="宋体" w:cs="宋体"/>
                <w:sz w:val="17"/>
                <w:szCs w:val="17"/>
              </w:rPr>
              <w:t>纪委谈话室数量</w:t>
            </w:r>
          </w:p>
        </w:tc>
        <w:tc>
          <w:tcPr>
            <w:tcW w:w="1145" w:type="dxa"/>
            <w:vAlign w:val="center"/>
          </w:tcPr>
          <w:p w14:paraId="488D2363">
            <w:pPr>
              <w:spacing w:before="67" w:line="209" w:lineRule="auto"/>
              <w:ind w:left="23"/>
              <w:jc w:val="center"/>
              <w:rPr>
                <w:rFonts w:ascii="宋体" w:hAnsi="宋体" w:cs="宋体"/>
                <w:sz w:val="17"/>
                <w:szCs w:val="17"/>
              </w:rPr>
            </w:pPr>
            <w:r>
              <w:rPr>
                <w:rFonts w:hint="eastAsia" w:ascii="宋体" w:hAnsi="宋体" w:cs="宋体"/>
                <w:sz w:val="17"/>
                <w:szCs w:val="17"/>
              </w:rPr>
              <w:t>=1间</w:t>
            </w:r>
          </w:p>
        </w:tc>
        <w:tc>
          <w:tcPr>
            <w:tcW w:w="951" w:type="dxa"/>
            <w:vAlign w:val="center"/>
          </w:tcPr>
          <w:p w14:paraId="015E4D5C">
            <w:pPr>
              <w:spacing w:before="67" w:line="209" w:lineRule="auto"/>
              <w:ind w:left="23" w:firstLine="340" w:firstLineChars="200"/>
              <w:rPr>
                <w:rFonts w:ascii="宋体" w:hAnsi="宋体" w:cs="宋体"/>
                <w:sz w:val="17"/>
                <w:szCs w:val="17"/>
              </w:rPr>
            </w:pPr>
            <w:r>
              <w:rPr>
                <w:rFonts w:hint="eastAsia" w:ascii="宋体" w:hAnsi="宋体" w:cs="宋体"/>
                <w:sz w:val="17"/>
                <w:szCs w:val="17"/>
              </w:rPr>
              <w:t>1间</w:t>
            </w:r>
          </w:p>
        </w:tc>
        <w:tc>
          <w:tcPr>
            <w:tcW w:w="2469" w:type="dxa"/>
          </w:tcPr>
          <w:p w14:paraId="4D570753">
            <w:pPr>
              <w:jc w:val="center"/>
            </w:pPr>
          </w:p>
        </w:tc>
      </w:tr>
      <w:tr w14:paraId="6AD92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697" w:type="dxa"/>
            <w:vMerge w:val="continue"/>
            <w:vAlign w:val="center"/>
          </w:tcPr>
          <w:p w14:paraId="6C4FF9DE">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DEDC86B">
            <w:pPr>
              <w:jc w:val="center"/>
            </w:pPr>
          </w:p>
        </w:tc>
        <w:tc>
          <w:tcPr>
            <w:tcW w:w="999" w:type="dxa"/>
            <w:tcBorders>
              <w:left w:val="single" w:color="auto" w:sz="4" w:space="0"/>
              <w:bottom w:val="nil"/>
            </w:tcBorders>
            <w:vAlign w:val="center"/>
          </w:tcPr>
          <w:p w14:paraId="50287A45">
            <w:pPr>
              <w:spacing w:before="67" w:line="209" w:lineRule="auto"/>
              <w:ind w:left="23"/>
              <w:jc w:val="center"/>
              <w:rPr>
                <w:rFonts w:ascii="宋体" w:hAnsi="宋体" w:cs="宋体"/>
                <w:sz w:val="17"/>
                <w:szCs w:val="17"/>
              </w:rPr>
            </w:pPr>
            <w:r>
              <w:rPr>
                <w:rFonts w:hint="eastAsia" w:ascii="宋体" w:hAnsi="宋体" w:cs="宋体"/>
                <w:sz w:val="17"/>
                <w:szCs w:val="17"/>
              </w:rPr>
              <w:t>数量指标</w:t>
            </w:r>
          </w:p>
        </w:tc>
        <w:tc>
          <w:tcPr>
            <w:tcW w:w="2086" w:type="dxa"/>
            <w:gridSpan w:val="2"/>
            <w:vAlign w:val="center"/>
          </w:tcPr>
          <w:p w14:paraId="2C168C4D">
            <w:pPr>
              <w:spacing w:before="67" w:line="209" w:lineRule="auto"/>
              <w:ind w:left="23"/>
              <w:jc w:val="center"/>
              <w:rPr>
                <w:rFonts w:ascii="宋体" w:hAnsi="宋体" w:cs="宋体"/>
                <w:sz w:val="17"/>
                <w:szCs w:val="17"/>
              </w:rPr>
            </w:pPr>
            <w:r>
              <w:rPr>
                <w:rFonts w:hint="eastAsia" w:ascii="宋体" w:hAnsi="宋体" w:cs="宋体"/>
                <w:sz w:val="17"/>
                <w:szCs w:val="17"/>
              </w:rPr>
              <w:t>房屋装修（含水电灯安装、墙体粉刷、软包等）</w:t>
            </w:r>
          </w:p>
        </w:tc>
        <w:tc>
          <w:tcPr>
            <w:tcW w:w="1145" w:type="dxa"/>
            <w:vAlign w:val="center"/>
          </w:tcPr>
          <w:p w14:paraId="43B28D65">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50平方米</w:t>
            </w:r>
          </w:p>
        </w:tc>
        <w:tc>
          <w:tcPr>
            <w:tcW w:w="951" w:type="dxa"/>
            <w:vAlign w:val="center"/>
          </w:tcPr>
          <w:p w14:paraId="452F9479">
            <w:pPr>
              <w:spacing w:before="67" w:line="209" w:lineRule="auto"/>
              <w:ind w:left="23"/>
              <w:jc w:val="center"/>
              <w:rPr>
                <w:rFonts w:ascii="宋体" w:hAnsi="宋体" w:cs="宋体"/>
                <w:sz w:val="17"/>
                <w:szCs w:val="17"/>
              </w:rPr>
            </w:pPr>
            <w:r>
              <w:rPr>
                <w:rFonts w:hint="eastAsia" w:ascii="宋体" w:hAnsi="宋体" w:cs="宋体"/>
                <w:sz w:val="17"/>
                <w:szCs w:val="17"/>
              </w:rPr>
              <w:t>64平方米</w:t>
            </w:r>
          </w:p>
        </w:tc>
        <w:tc>
          <w:tcPr>
            <w:tcW w:w="2469" w:type="dxa"/>
          </w:tcPr>
          <w:p w14:paraId="02B39876">
            <w:pPr>
              <w:jc w:val="center"/>
            </w:pPr>
          </w:p>
        </w:tc>
      </w:tr>
      <w:tr w14:paraId="55A47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697" w:type="dxa"/>
            <w:vMerge w:val="continue"/>
            <w:vAlign w:val="center"/>
          </w:tcPr>
          <w:p w14:paraId="2F501835">
            <w:pPr>
              <w:jc w:val="center"/>
            </w:pPr>
          </w:p>
        </w:tc>
        <w:tc>
          <w:tcPr>
            <w:tcW w:w="752" w:type="dxa"/>
            <w:vMerge w:val="restart"/>
            <w:tcBorders>
              <w:top w:val="single" w:color="auto" w:sz="4" w:space="0"/>
              <w:left w:val="single" w:color="auto" w:sz="4" w:space="0"/>
              <w:right w:val="single" w:color="auto" w:sz="4" w:space="0"/>
            </w:tcBorders>
            <w:vAlign w:val="center"/>
          </w:tcPr>
          <w:p w14:paraId="11DFCE9A">
            <w:pPr>
              <w:jc w:val="center"/>
            </w:pPr>
            <w:r>
              <w:rPr>
                <w:rFonts w:hint="eastAsia" w:ascii="宋体" w:hAnsi="宋体" w:cs="宋体"/>
                <w:spacing w:val="-2"/>
                <w:sz w:val="17"/>
                <w:szCs w:val="17"/>
              </w:rPr>
              <w:t>效益指标</w:t>
            </w:r>
          </w:p>
        </w:tc>
        <w:tc>
          <w:tcPr>
            <w:tcW w:w="999" w:type="dxa"/>
            <w:tcBorders>
              <w:left w:val="single" w:color="auto" w:sz="4" w:space="0"/>
              <w:bottom w:val="nil"/>
            </w:tcBorders>
            <w:vAlign w:val="center"/>
          </w:tcPr>
          <w:p w14:paraId="3FE4B0CE">
            <w:pPr>
              <w:spacing w:before="67" w:line="209" w:lineRule="auto"/>
              <w:ind w:left="23"/>
              <w:jc w:val="center"/>
              <w:rPr>
                <w:rFonts w:ascii="宋体" w:hAnsi="宋体" w:cs="宋体"/>
                <w:sz w:val="17"/>
                <w:szCs w:val="17"/>
              </w:rPr>
            </w:pPr>
            <w:r>
              <w:rPr>
                <w:rFonts w:hint="eastAsia" w:ascii="宋体" w:hAnsi="宋体" w:cs="宋体"/>
                <w:sz w:val="17"/>
                <w:szCs w:val="17"/>
              </w:rPr>
              <w:t>经济效益指标</w:t>
            </w:r>
          </w:p>
        </w:tc>
        <w:tc>
          <w:tcPr>
            <w:tcW w:w="2086" w:type="dxa"/>
            <w:gridSpan w:val="2"/>
            <w:vAlign w:val="center"/>
          </w:tcPr>
          <w:p w14:paraId="4AD02C94">
            <w:pPr>
              <w:spacing w:before="67" w:line="209" w:lineRule="auto"/>
              <w:ind w:left="23"/>
              <w:jc w:val="center"/>
              <w:rPr>
                <w:rFonts w:ascii="宋体" w:hAnsi="宋体" w:cs="宋体"/>
                <w:sz w:val="17"/>
                <w:szCs w:val="17"/>
              </w:rPr>
            </w:pPr>
            <w:r>
              <w:rPr>
                <w:rFonts w:hint="eastAsia" w:ascii="宋体" w:hAnsi="宋体" w:cs="宋体"/>
                <w:sz w:val="17"/>
                <w:szCs w:val="17"/>
              </w:rPr>
              <w:t>财政资金预算内执行</w:t>
            </w:r>
          </w:p>
        </w:tc>
        <w:tc>
          <w:tcPr>
            <w:tcW w:w="1145" w:type="dxa"/>
            <w:vAlign w:val="center"/>
          </w:tcPr>
          <w:p w14:paraId="5CDA10C6">
            <w:pPr>
              <w:spacing w:before="67" w:line="209" w:lineRule="auto"/>
              <w:ind w:left="23"/>
              <w:jc w:val="center"/>
              <w:rPr>
                <w:rFonts w:ascii="宋体" w:hAnsi="宋体" w:cs="宋体"/>
                <w:sz w:val="17"/>
                <w:szCs w:val="17"/>
              </w:rPr>
            </w:pPr>
            <w:r>
              <w:rPr>
                <w:rFonts w:hint="eastAsia" w:ascii="宋体" w:hAnsi="宋体" w:cs="宋体"/>
                <w:sz w:val="17"/>
                <w:szCs w:val="17"/>
              </w:rPr>
              <w:t>≤4.6万元</w:t>
            </w:r>
          </w:p>
        </w:tc>
        <w:tc>
          <w:tcPr>
            <w:tcW w:w="951" w:type="dxa"/>
            <w:vAlign w:val="center"/>
          </w:tcPr>
          <w:p w14:paraId="3B06CFD0">
            <w:pPr>
              <w:spacing w:before="67" w:line="209" w:lineRule="auto"/>
              <w:ind w:left="23"/>
              <w:jc w:val="center"/>
              <w:rPr>
                <w:rFonts w:ascii="宋体" w:hAnsi="宋体" w:cs="宋体"/>
                <w:sz w:val="17"/>
                <w:szCs w:val="17"/>
              </w:rPr>
            </w:pPr>
            <w:r>
              <w:rPr>
                <w:rFonts w:hint="eastAsia" w:ascii="宋体" w:hAnsi="宋体" w:cs="宋体"/>
                <w:sz w:val="17"/>
                <w:szCs w:val="17"/>
              </w:rPr>
              <w:t>4.6万元</w:t>
            </w:r>
          </w:p>
        </w:tc>
        <w:tc>
          <w:tcPr>
            <w:tcW w:w="2469" w:type="dxa"/>
          </w:tcPr>
          <w:p w14:paraId="39EEFD8D">
            <w:pPr>
              <w:jc w:val="center"/>
            </w:pPr>
          </w:p>
        </w:tc>
      </w:tr>
      <w:tr w14:paraId="26F53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026C6787">
            <w:pPr>
              <w:jc w:val="center"/>
            </w:pPr>
          </w:p>
        </w:tc>
        <w:tc>
          <w:tcPr>
            <w:tcW w:w="752" w:type="dxa"/>
            <w:vMerge w:val="continue"/>
            <w:tcBorders>
              <w:left w:val="single" w:color="auto" w:sz="4" w:space="0"/>
              <w:bottom w:val="single" w:color="auto" w:sz="4" w:space="0"/>
              <w:right w:val="single" w:color="auto" w:sz="4" w:space="0"/>
            </w:tcBorders>
            <w:vAlign w:val="center"/>
          </w:tcPr>
          <w:p w14:paraId="5F924F85">
            <w:pPr>
              <w:jc w:val="center"/>
            </w:pPr>
          </w:p>
        </w:tc>
        <w:tc>
          <w:tcPr>
            <w:tcW w:w="999" w:type="dxa"/>
            <w:tcBorders>
              <w:left w:val="single" w:color="auto" w:sz="4" w:space="0"/>
              <w:bottom w:val="nil"/>
            </w:tcBorders>
            <w:vAlign w:val="center"/>
          </w:tcPr>
          <w:p w14:paraId="528C84C0">
            <w:pPr>
              <w:spacing w:before="67" w:line="209" w:lineRule="auto"/>
              <w:ind w:left="23"/>
              <w:jc w:val="center"/>
              <w:rPr>
                <w:rFonts w:ascii="宋体" w:hAnsi="宋体" w:cs="宋体"/>
                <w:sz w:val="17"/>
                <w:szCs w:val="17"/>
              </w:rPr>
            </w:pPr>
            <w:r>
              <w:rPr>
                <w:rFonts w:hint="eastAsia" w:ascii="宋体" w:hAnsi="宋体" w:cs="宋体"/>
                <w:sz w:val="17"/>
                <w:szCs w:val="17"/>
              </w:rPr>
              <w:t>社会效益指标</w:t>
            </w:r>
          </w:p>
        </w:tc>
        <w:tc>
          <w:tcPr>
            <w:tcW w:w="2086" w:type="dxa"/>
            <w:gridSpan w:val="2"/>
            <w:vAlign w:val="center"/>
          </w:tcPr>
          <w:p w14:paraId="17F6E00C">
            <w:pPr>
              <w:spacing w:before="67" w:line="209" w:lineRule="auto"/>
              <w:ind w:left="23"/>
              <w:jc w:val="center"/>
              <w:rPr>
                <w:rFonts w:ascii="宋体" w:hAnsi="宋体" w:cs="宋体"/>
                <w:sz w:val="17"/>
                <w:szCs w:val="17"/>
              </w:rPr>
            </w:pPr>
            <w:r>
              <w:rPr>
                <w:rFonts w:hint="eastAsia" w:ascii="宋体" w:hAnsi="宋体" w:cs="宋体"/>
                <w:sz w:val="17"/>
                <w:szCs w:val="17"/>
              </w:rPr>
              <w:t>营造良好的政治生态环境</w:t>
            </w:r>
          </w:p>
        </w:tc>
        <w:tc>
          <w:tcPr>
            <w:tcW w:w="1145" w:type="dxa"/>
            <w:vAlign w:val="center"/>
          </w:tcPr>
          <w:p w14:paraId="13B4DF83">
            <w:pPr>
              <w:spacing w:before="67" w:line="209" w:lineRule="auto"/>
              <w:ind w:left="23"/>
              <w:jc w:val="center"/>
              <w:rPr>
                <w:rFonts w:ascii="宋体" w:hAnsi="宋体" w:cs="宋体"/>
                <w:sz w:val="17"/>
                <w:szCs w:val="17"/>
              </w:rPr>
            </w:pPr>
            <w:r>
              <w:rPr>
                <w:rFonts w:hint="eastAsia" w:ascii="宋体" w:hAnsi="宋体" w:cs="宋体"/>
                <w:sz w:val="17"/>
                <w:szCs w:val="17"/>
              </w:rPr>
              <w:t>定性</w:t>
            </w:r>
          </w:p>
        </w:tc>
        <w:tc>
          <w:tcPr>
            <w:tcW w:w="951" w:type="dxa"/>
            <w:vAlign w:val="center"/>
          </w:tcPr>
          <w:p w14:paraId="62CE640D">
            <w:pPr>
              <w:spacing w:before="67" w:line="209" w:lineRule="auto"/>
              <w:ind w:left="23"/>
              <w:jc w:val="center"/>
              <w:rPr>
                <w:rFonts w:ascii="宋体" w:hAnsi="宋体" w:cs="宋体"/>
                <w:sz w:val="17"/>
                <w:szCs w:val="17"/>
              </w:rPr>
            </w:pPr>
            <w:r>
              <w:rPr>
                <w:rFonts w:hint="eastAsia" w:ascii="宋体" w:hAnsi="宋体" w:cs="宋体"/>
                <w:snapToGrid w:val="0"/>
                <w:color w:val="000000"/>
                <w:kern w:val="0"/>
                <w:sz w:val="17"/>
                <w:szCs w:val="17"/>
              </w:rPr>
              <w:t>优</w:t>
            </w:r>
          </w:p>
        </w:tc>
        <w:tc>
          <w:tcPr>
            <w:tcW w:w="2469" w:type="dxa"/>
          </w:tcPr>
          <w:p w14:paraId="558AA552">
            <w:pPr>
              <w:jc w:val="center"/>
            </w:pPr>
          </w:p>
        </w:tc>
      </w:tr>
      <w:tr w14:paraId="1BADC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697" w:type="dxa"/>
            <w:vMerge w:val="continue"/>
            <w:vAlign w:val="center"/>
          </w:tcPr>
          <w:p w14:paraId="23F2783E">
            <w:pPr>
              <w:jc w:val="center"/>
            </w:pPr>
          </w:p>
        </w:tc>
        <w:tc>
          <w:tcPr>
            <w:tcW w:w="752" w:type="dxa"/>
            <w:tcBorders>
              <w:top w:val="single" w:color="auto" w:sz="4" w:space="0"/>
              <w:bottom w:val="nil"/>
            </w:tcBorders>
            <w:vAlign w:val="center"/>
          </w:tcPr>
          <w:p w14:paraId="7C1ADEAD">
            <w:pPr>
              <w:spacing w:before="146" w:line="219" w:lineRule="auto"/>
              <w:ind w:left="191" w:right="124" w:hanging="70"/>
              <w:jc w:val="center"/>
              <w:rPr>
                <w:rFonts w:ascii="宋体" w:hAnsi="宋体" w:cs="宋体"/>
                <w:sz w:val="17"/>
                <w:szCs w:val="17"/>
              </w:rPr>
            </w:pPr>
            <w:r>
              <w:rPr>
                <w:rFonts w:ascii="宋体" w:hAnsi="宋体" w:cs="宋体"/>
                <w:spacing w:val="-3"/>
                <w:sz w:val="17"/>
                <w:szCs w:val="17"/>
              </w:rPr>
              <w:t>满意度</w:t>
            </w:r>
            <w:r>
              <w:rPr>
                <w:rFonts w:ascii="宋体" w:hAnsi="宋体" w:cs="宋体"/>
                <w:spacing w:val="1"/>
                <w:sz w:val="17"/>
                <w:szCs w:val="17"/>
              </w:rPr>
              <w:t xml:space="preserve"> </w:t>
            </w:r>
            <w:r>
              <w:rPr>
                <w:rFonts w:ascii="宋体" w:hAnsi="宋体" w:cs="宋体"/>
                <w:spacing w:val="-3"/>
                <w:sz w:val="17"/>
                <w:szCs w:val="17"/>
              </w:rPr>
              <w:t>指标</w:t>
            </w:r>
          </w:p>
        </w:tc>
        <w:tc>
          <w:tcPr>
            <w:tcW w:w="999" w:type="dxa"/>
            <w:tcBorders>
              <w:bottom w:val="nil"/>
            </w:tcBorders>
            <w:vAlign w:val="center"/>
          </w:tcPr>
          <w:p w14:paraId="2AA30863">
            <w:pPr>
              <w:spacing w:before="67" w:line="209" w:lineRule="auto"/>
              <w:ind w:left="23"/>
              <w:jc w:val="center"/>
              <w:rPr>
                <w:rFonts w:ascii="宋体" w:hAnsi="宋体" w:cs="宋体"/>
                <w:sz w:val="17"/>
                <w:szCs w:val="17"/>
              </w:rPr>
            </w:pPr>
            <w:r>
              <w:rPr>
                <w:rFonts w:hint="eastAsia" w:ascii="宋体" w:hAnsi="宋体" w:cs="宋体"/>
                <w:sz w:val="17"/>
                <w:szCs w:val="17"/>
              </w:rPr>
              <w:t>满意度指标</w:t>
            </w:r>
          </w:p>
        </w:tc>
        <w:tc>
          <w:tcPr>
            <w:tcW w:w="2086" w:type="dxa"/>
            <w:gridSpan w:val="2"/>
            <w:vAlign w:val="center"/>
          </w:tcPr>
          <w:p w14:paraId="4043573F">
            <w:pPr>
              <w:spacing w:before="67" w:line="209" w:lineRule="auto"/>
              <w:ind w:left="23"/>
              <w:jc w:val="center"/>
              <w:rPr>
                <w:rFonts w:ascii="宋体" w:hAnsi="宋体" w:cs="宋体"/>
                <w:sz w:val="17"/>
                <w:szCs w:val="17"/>
              </w:rPr>
            </w:pPr>
            <w:r>
              <w:rPr>
                <w:rFonts w:hint="eastAsia" w:ascii="宋体" w:hAnsi="宋体" w:cs="宋体"/>
                <w:sz w:val="17"/>
                <w:szCs w:val="17"/>
              </w:rPr>
              <w:t>群众及相关干部满意度</w:t>
            </w:r>
          </w:p>
        </w:tc>
        <w:tc>
          <w:tcPr>
            <w:tcW w:w="1145" w:type="dxa"/>
            <w:vAlign w:val="center"/>
          </w:tcPr>
          <w:p w14:paraId="4C4F6FDA">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98%</w:t>
            </w:r>
          </w:p>
        </w:tc>
        <w:tc>
          <w:tcPr>
            <w:tcW w:w="951" w:type="dxa"/>
            <w:vAlign w:val="center"/>
          </w:tcPr>
          <w:p w14:paraId="7DBD1226">
            <w:pPr>
              <w:spacing w:before="67" w:line="209" w:lineRule="auto"/>
              <w:ind w:left="23"/>
              <w:jc w:val="center"/>
              <w:rPr>
                <w:rFonts w:ascii="宋体" w:hAnsi="宋体" w:cs="宋体"/>
                <w:sz w:val="17"/>
                <w:szCs w:val="17"/>
              </w:rPr>
            </w:pPr>
            <w:r>
              <w:rPr>
                <w:rFonts w:hint="eastAsia" w:ascii="宋体" w:hAnsi="宋体" w:cs="宋体"/>
                <w:sz w:val="17"/>
                <w:szCs w:val="17"/>
              </w:rPr>
              <w:t>99%</w:t>
            </w:r>
          </w:p>
        </w:tc>
        <w:tc>
          <w:tcPr>
            <w:tcW w:w="2469" w:type="dxa"/>
          </w:tcPr>
          <w:p w14:paraId="47806F7E">
            <w:pPr>
              <w:jc w:val="center"/>
            </w:pPr>
          </w:p>
        </w:tc>
      </w:tr>
      <w:tr w14:paraId="43460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46DB9B9F">
            <w:pPr>
              <w:spacing w:before="48" w:line="220" w:lineRule="auto"/>
              <w:ind w:left="3664"/>
              <w:jc w:val="center"/>
              <w:rPr>
                <w:rFonts w:ascii="宋体" w:hAnsi="宋体" w:cs="宋体"/>
                <w:sz w:val="17"/>
                <w:szCs w:val="17"/>
              </w:rPr>
            </w:pPr>
            <w:r>
              <w:rPr>
                <w:rFonts w:ascii="宋体" w:hAnsi="宋体" w:cs="宋体"/>
                <w:spacing w:val="-3"/>
                <w:sz w:val="17"/>
                <w:szCs w:val="17"/>
              </w:rPr>
              <w:t>总分</w:t>
            </w:r>
          </w:p>
        </w:tc>
        <w:tc>
          <w:tcPr>
            <w:tcW w:w="2469" w:type="dxa"/>
            <w:vAlign w:val="center"/>
          </w:tcPr>
          <w:p w14:paraId="1A812179">
            <w:pPr>
              <w:jc w:val="center"/>
            </w:pPr>
            <w:r>
              <w:rPr>
                <w:rFonts w:hint="eastAsia" w:ascii="宋体" w:hAnsi="宋体" w:cs="宋体"/>
                <w:sz w:val="17"/>
                <w:szCs w:val="17"/>
              </w:rPr>
              <w:t>98.5</w:t>
            </w:r>
          </w:p>
        </w:tc>
      </w:tr>
    </w:tbl>
    <w:p w14:paraId="5DA97CAE">
      <w:pPr>
        <w:snapToGrid w:val="0"/>
        <w:spacing w:line="576" w:lineRule="exact"/>
        <w:jc w:val="center"/>
        <w:outlineLvl w:val="1"/>
        <w:rPr>
          <w:rFonts w:eastAsia="方正小标宋简体"/>
          <w:sz w:val="44"/>
          <w:szCs w:val="44"/>
        </w:rPr>
      </w:pPr>
      <w:bookmarkStart w:id="266" w:name="_Toc9344"/>
      <w:bookmarkStart w:id="267" w:name="_Toc1350"/>
      <w:bookmarkStart w:id="268" w:name="_Toc14668"/>
      <w:r>
        <w:rPr>
          <w:rFonts w:hint="eastAsia" w:eastAsia="方正小标宋简体"/>
          <w:sz w:val="44"/>
          <w:szCs w:val="44"/>
        </w:rPr>
        <w:t>广元市昭化区王家镇人民政府</w:t>
      </w:r>
      <w:bookmarkEnd w:id="266"/>
      <w:bookmarkEnd w:id="267"/>
      <w:bookmarkEnd w:id="268"/>
    </w:p>
    <w:p w14:paraId="5ED155FA">
      <w:pPr>
        <w:spacing w:line="576"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关于2022年烤烟产业发展资金支出的绩效</w:t>
      </w:r>
    </w:p>
    <w:p w14:paraId="550D5928">
      <w:pPr>
        <w:spacing w:line="576"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自评报告</w:t>
      </w:r>
    </w:p>
    <w:p w14:paraId="0D67A7FA">
      <w:pPr>
        <w:spacing w:line="576" w:lineRule="exact"/>
        <w:ind w:firstLine="640" w:firstLineChars="200"/>
        <w:jc w:val="left"/>
        <w:rPr>
          <w:rFonts w:ascii="仿宋_GB2312" w:hAnsi="楷体_GB2312" w:eastAsia="仿宋_GB2312" w:cs="楷体_GB2312"/>
          <w:sz w:val="32"/>
          <w:szCs w:val="32"/>
        </w:rPr>
      </w:pPr>
    </w:p>
    <w:p w14:paraId="03B06467">
      <w:pPr>
        <w:spacing w:line="576" w:lineRule="exact"/>
        <w:ind w:firstLine="640" w:firstLineChars="200"/>
        <w:outlineLvl w:val="1"/>
        <w:rPr>
          <w:rFonts w:ascii="黑体" w:hAnsi="黑体" w:eastAsia="黑体" w:cs="黑体"/>
          <w:sz w:val="32"/>
          <w:szCs w:val="32"/>
        </w:rPr>
      </w:pPr>
      <w:bookmarkStart w:id="269" w:name="_Toc29508"/>
      <w:bookmarkStart w:id="270" w:name="_Toc17378"/>
      <w:bookmarkStart w:id="271" w:name="_Toc24842"/>
      <w:r>
        <w:rPr>
          <w:rFonts w:hint="eastAsia" w:ascii="黑体" w:hAnsi="黑体" w:eastAsia="黑体" w:cs="黑体"/>
          <w:sz w:val="32"/>
          <w:szCs w:val="32"/>
        </w:rPr>
        <w:t>一、项目概况</w:t>
      </w:r>
      <w:bookmarkEnd w:id="269"/>
      <w:bookmarkEnd w:id="270"/>
      <w:bookmarkEnd w:id="271"/>
    </w:p>
    <w:p w14:paraId="40E43719">
      <w:pPr>
        <w:spacing w:line="576" w:lineRule="exact"/>
        <w:ind w:firstLine="640" w:firstLineChars="200"/>
        <w:outlineLvl w:val="2"/>
        <w:rPr>
          <w:rFonts w:ascii="楷体_GB2312" w:hAnsi="楷体_GB2312" w:eastAsia="楷体_GB2312" w:cs="楷体_GB2312"/>
          <w:sz w:val="32"/>
          <w:szCs w:val="32"/>
        </w:rPr>
      </w:pPr>
      <w:bookmarkStart w:id="272" w:name="_Toc9528"/>
      <w:bookmarkStart w:id="273" w:name="_Toc19297"/>
      <w:r>
        <w:rPr>
          <w:rFonts w:hint="eastAsia" w:ascii="楷体_GB2312" w:hAnsi="楷体_GB2312" w:eastAsia="楷体_GB2312" w:cs="楷体_GB2312"/>
          <w:sz w:val="32"/>
          <w:szCs w:val="32"/>
        </w:rPr>
        <w:t>（一）项目资金申报及批复情况</w:t>
      </w:r>
      <w:bookmarkEnd w:id="272"/>
      <w:bookmarkEnd w:id="273"/>
    </w:p>
    <w:p w14:paraId="7D8C0490">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该项目申报资金性质为一般公共预算，总申报金额为</w:t>
      </w:r>
      <w:r>
        <w:rPr>
          <w:rFonts w:hint="eastAsia" w:eastAsia="仿宋_GB2312"/>
          <w:sz w:val="32"/>
          <w:szCs w:val="32"/>
        </w:rPr>
        <w:t>14.4</w:t>
      </w:r>
      <w:r>
        <w:rPr>
          <w:rFonts w:hint="eastAsia" w:ascii="仿宋_GB2312" w:hAnsi="仿宋_GB2312" w:eastAsia="仿宋_GB2312" w:cs="仿宋_GB2312"/>
          <w:sz w:val="32"/>
          <w:szCs w:val="32"/>
        </w:rPr>
        <w:t>万元，申报项目涉及全镇</w:t>
      </w:r>
      <w:r>
        <w:rPr>
          <w:rFonts w:hint="eastAsia" w:eastAsia="仿宋_GB2312"/>
          <w:sz w:val="32"/>
          <w:szCs w:val="32"/>
        </w:rPr>
        <w:t>11</w:t>
      </w:r>
      <w:r>
        <w:rPr>
          <w:rFonts w:hint="eastAsia" w:ascii="仿宋_GB2312" w:hAnsi="仿宋_GB2312" w:eastAsia="仿宋_GB2312" w:cs="仿宋_GB2312"/>
          <w:sz w:val="32"/>
          <w:szCs w:val="32"/>
        </w:rPr>
        <w:t>村。上级实际批复和安排预算资金为</w:t>
      </w:r>
      <w:r>
        <w:rPr>
          <w:rFonts w:hint="eastAsia" w:eastAsia="仿宋_GB2312"/>
          <w:sz w:val="32"/>
          <w:szCs w:val="32"/>
        </w:rPr>
        <w:t>14.4</w:t>
      </w:r>
      <w:r>
        <w:rPr>
          <w:rFonts w:hint="eastAsia" w:ascii="仿宋_GB2312" w:hAnsi="仿宋_GB2312" w:eastAsia="仿宋_GB2312" w:cs="仿宋_GB2312"/>
          <w:sz w:val="32"/>
          <w:szCs w:val="32"/>
        </w:rPr>
        <w:t>万元。</w:t>
      </w:r>
    </w:p>
    <w:p w14:paraId="70EA2FF1">
      <w:pPr>
        <w:spacing w:line="576" w:lineRule="exact"/>
        <w:ind w:firstLine="640" w:firstLineChars="200"/>
        <w:outlineLvl w:val="2"/>
        <w:rPr>
          <w:rFonts w:ascii="楷体_GB2312" w:hAnsi="楷体_GB2312" w:eastAsia="楷体_GB2312" w:cs="楷体_GB2312"/>
          <w:sz w:val="32"/>
          <w:szCs w:val="32"/>
        </w:rPr>
      </w:pPr>
      <w:bookmarkStart w:id="274" w:name="_Toc3249"/>
      <w:bookmarkStart w:id="275" w:name="_Toc8229"/>
      <w:r>
        <w:rPr>
          <w:rFonts w:hint="eastAsia" w:ascii="楷体_GB2312" w:hAnsi="楷体_GB2312" w:eastAsia="楷体_GB2312" w:cs="楷体_GB2312"/>
          <w:sz w:val="32"/>
          <w:szCs w:val="32"/>
        </w:rPr>
        <w:t>（二）项目绩效目标</w:t>
      </w:r>
      <w:bookmarkEnd w:id="274"/>
      <w:bookmarkEnd w:id="275"/>
    </w:p>
    <w:p w14:paraId="62C399F1">
      <w:pPr>
        <w:spacing w:line="576" w:lineRule="exact"/>
        <w:ind w:firstLine="640" w:firstLineChars="200"/>
        <w:rPr>
          <w:rFonts w:eastAsia="仿宋_GB2312"/>
          <w:sz w:val="32"/>
          <w:szCs w:val="32"/>
        </w:rPr>
      </w:pPr>
      <w:r>
        <w:rPr>
          <w:rFonts w:hint="eastAsia" w:ascii="仿宋_GB2312" w:hAnsi="仿宋_GB2312" w:eastAsia="仿宋_GB2312" w:cs="仿宋_GB2312"/>
          <w:sz w:val="32"/>
          <w:szCs w:val="32"/>
        </w:rPr>
        <w:t>项目年初申报绩效目标为：全年开展烤烟技术集中培训</w:t>
      </w:r>
      <w:r>
        <w:rPr>
          <w:rFonts w:hint="eastAsia" w:eastAsia="仿宋_GB2312"/>
          <w:sz w:val="32"/>
          <w:szCs w:val="32"/>
        </w:rPr>
        <w:t>4</w:t>
      </w:r>
      <w:r>
        <w:rPr>
          <w:rFonts w:hint="eastAsia" w:ascii="仿宋_GB2312" w:hAnsi="仿宋_GB2312" w:eastAsia="仿宋_GB2312" w:cs="仿宋_GB2312"/>
          <w:sz w:val="32"/>
          <w:szCs w:val="32"/>
        </w:rPr>
        <w:t>次，维修及新建烤房</w:t>
      </w:r>
      <w:r>
        <w:rPr>
          <w:rFonts w:hint="eastAsia" w:eastAsia="仿宋_GB2312"/>
          <w:sz w:val="32"/>
          <w:szCs w:val="32"/>
        </w:rPr>
        <w:t>15</w:t>
      </w:r>
      <w:r>
        <w:rPr>
          <w:rFonts w:hint="eastAsia" w:ascii="仿宋_GB2312" w:hAnsi="仿宋_GB2312" w:eastAsia="仿宋_GB2312" w:cs="仿宋_GB2312"/>
          <w:sz w:val="32"/>
          <w:szCs w:val="32"/>
        </w:rPr>
        <w:t>间，完成整理烟地2000余亩，对生态环境不造成任何污染，项目建设期一年，全年烟农效益增收率达到</w:t>
      </w:r>
      <w:r>
        <w:rPr>
          <w:rFonts w:hint="eastAsia" w:eastAsia="仿宋_GB2312"/>
          <w:sz w:val="32"/>
          <w:szCs w:val="32"/>
        </w:rPr>
        <w:t>10%以上，烟农满意度98%以上。</w:t>
      </w:r>
    </w:p>
    <w:p w14:paraId="483BE6C5">
      <w:pPr>
        <w:spacing w:line="576" w:lineRule="exact"/>
        <w:ind w:firstLine="640" w:firstLineChars="200"/>
        <w:outlineLvl w:val="2"/>
        <w:rPr>
          <w:rFonts w:ascii="楷体_GB2312" w:hAnsi="楷体_GB2312" w:eastAsia="楷体_GB2312" w:cs="楷体_GB2312"/>
          <w:sz w:val="32"/>
          <w:szCs w:val="32"/>
        </w:rPr>
      </w:pPr>
      <w:bookmarkStart w:id="276" w:name="_Toc6334"/>
      <w:bookmarkStart w:id="277" w:name="_Toc12096"/>
      <w:r>
        <w:rPr>
          <w:rFonts w:hint="eastAsia" w:ascii="楷体_GB2312" w:hAnsi="楷体_GB2312" w:eastAsia="楷体_GB2312" w:cs="楷体_GB2312"/>
          <w:sz w:val="32"/>
          <w:szCs w:val="32"/>
        </w:rPr>
        <w:t>（三）项目资金申报相符性</w:t>
      </w:r>
      <w:bookmarkEnd w:id="276"/>
      <w:bookmarkEnd w:id="277"/>
    </w:p>
    <w:p w14:paraId="611B1F72">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该项目申报内容是结合我镇多年实施该项目的实际情况编报，</w:t>
      </w:r>
      <w:r>
        <w:rPr>
          <w:rFonts w:hint="eastAsia" w:ascii="仿宋_GB2312" w:hAnsi="仿宋_GB2312" w:eastAsia="仿宋_GB2312" w:cs="仿宋_GB2312"/>
          <w:sz w:val="32"/>
          <w:szCs w:val="32"/>
          <w:lang w:val="zh-CN"/>
        </w:rPr>
        <w:t>经项目竣工验收，申报目标合理，实施项目均与项目绩效实施范围、申报相符，</w:t>
      </w:r>
      <w:r>
        <w:rPr>
          <w:rFonts w:hint="eastAsia" w:ascii="仿宋_GB2312" w:hAnsi="仿宋_GB2312" w:eastAsia="仿宋_GB2312" w:cs="仿宋_GB2312"/>
          <w:sz w:val="32"/>
          <w:szCs w:val="32"/>
        </w:rPr>
        <w:t>申报目标合理可行。</w:t>
      </w:r>
    </w:p>
    <w:p w14:paraId="580A880A">
      <w:pPr>
        <w:spacing w:line="576" w:lineRule="exact"/>
        <w:ind w:firstLine="640" w:firstLineChars="200"/>
        <w:outlineLvl w:val="2"/>
        <w:rPr>
          <w:rFonts w:ascii="楷体_GB2312" w:hAnsi="楷体_GB2312" w:eastAsia="楷体_GB2312" w:cs="楷体_GB2312"/>
          <w:sz w:val="32"/>
          <w:szCs w:val="32"/>
          <w:lang w:val="zh-CN"/>
        </w:rPr>
      </w:pPr>
      <w:bookmarkStart w:id="278" w:name="_Toc15825"/>
      <w:bookmarkStart w:id="279" w:name="_Toc11320"/>
      <w:r>
        <w:rPr>
          <w:rFonts w:hint="eastAsia" w:ascii="楷体_GB2312" w:hAnsi="楷体_GB2312" w:eastAsia="楷体_GB2312" w:cs="楷体_GB2312"/>
          <w:sz w:val="32"/>
          <w:szCs w:val="32"/>
          <w:lang w:val="zh-CN"/>
        </w:rPr>
        <w:t>（四）自评步骤及方法</w:t>
      </w:r>
      <w:bookmarkEnd w:id="278"/>
      <w:bookmarkEnd w:id="279"/>
    </w:p>
    <w:p w14:paraId="31B1BE7F">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按区财政部门绩效管理相关规定，认真开展项目绩效评价工作，</w:t>
      </w:r>
      <w:r>
        <w:rPr>
          <w:rFonts w:hint="eastAsia" w:eastAsia="仿宋_GB2312" w:cs="仿宋_GB2312"/>
          <w:sz w:val="32"/>
          <w:szCs w:val="32"/>
        </w:rPr>
        <w:t>本项目采取自评与他评相结合方式，成立项目自评小组，结合评价内容，做到有计划，有安排，扎实开展本次自评工作。按照上级下达的项目支出绩效评价指标体系，自评小组针对申报内容、实施情况、资金兑现、财务管理、社会效益等做出自我评价，认真听取村、社区群众建议意见，做好自评工作</w:t>
      </w:r>
      <w:r>
        <w:rPr>
          <w:rFonts w:hint="eastAsia" w:ascii="仿宋_GB2312" w:hAnsi="仿宋_GB2312" w:eastAsia="仿宋_GB2312" w:cs="仿宋_GB2312"/>
          <w:sz w:val="32"/>
          <w:szCs w:val="32"/>
          <w:lang w:val="zh-CN"/>
        </w:rPr>
        <w:t>。</w:t>
      </w:r>
    </w:p>
    <w:p w14:paraId="7FCAE9F8">
      <w:pPr>
        <w:spacing w:line="576" w:lineRule="exact"/>
        <w:ind w:firstLine="640" w:firstLineChars="200"/>
        <w:outlineLvl w:val="1"/>
        <w:rPr>
          <w:rFonts w:ascii="黑体" w:hAnsi="黑体" w:eastAsia="黑体" w:cs="黑体"/>
          <w:sz w:val="32"/>
          <w:szCs w:val="32"/>
        </w:rPr>
      </w:pPr>
      <w:bookmarkStart w:id="280" w:name="_Toc30880"/>
      <w:bookmarkStart w:id="281" w:name="_Toc12972"/>
      <w:bookmarkStart w:id="282" w:name="_Toc1879"/>
      <w:r>
        <w:rPr>
          <w:rFonts w:hint="eastAsia" w:ascii="黑体" w:hAnsi="黑体" w:eastAsia="黑体" w:cs="黑体"/>
          <w:sz w:val="32"/>
          <w:szCs w:val="32"/>
        </w:rPr>
        <w:t>二、项目实施及管理情况</w:t>
      </w:r>
      <w:bookmarkEnd w:id="280"/>
      <w:bookmarkEnd w:id="281"/>
      <w:bookmarkEnd w:id="282"/>
    </w:p>
    <w:p w14:paraId="19878E9F">
      <w:pPr>
        <w:spacing w:line="576" w:lineRule="exact"/>
        <w:ind w:firstLine="640" w:firstLineChars="200"/>
        <w:outlineLvl w:val="2"/>
        <w:rPr>
          <w:rFonts w:ascii="楷体_GB2312" w:hAnsi="楷体_GB2312" w:eastAsia="楷体_GB2312" w:cs="楷体_GB2312"/>
          <w:sz w:val="32"/>
          <w:szCs w:val="32"/>
        </w:rPr>
      </w:pPr>
      <w:bookmarkStart w:id="283" w:name="_Toc817"/>
      <w:bookmarkStart w:id="284" w:name="_Toc17130"/>
      <w:r>
        <w:rPr>
          <w:rFonts w:hint="eastAsia" w:ascii="楷体_GB2312" w:hAnsi="楷体_GB2312" w:eastAsia="楷体_GB2312" w:cs="楷体_GB2312"/>
          <w:sz w:val="32"/>
          <w:szCs w:val="32"/>
        </w:rPr>
        <w:t>（一）资金计划、到位及使用情况</w:t>
      </w:r>
      <w:bookmarkEnd w:id="283"/>
      <w:bookmarkEnd w:id="284"/>
    </w:p>
    <w:p w14:paraId="00F2F63C">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1.资金预算及时到位。该项目资金预算</w:t>
      </w:r>
      <w:r>
        <w:rPr>
          <w:rFonts w:hint="eastAsia" w:eastAsia="仿宋_GB2312"/>
          <w:sz w:val="32"/>
          <w:szCs w:val="32"/>
        </w:rPr>
        <w:t>14.4</w:t>
      </w:r>
      <w:r>
        <w:rPr>
          <w:rFonts w:hint="eastAsia" w:ascii="仿宋_GB2312" w:hAnsi="仿宋_GB2312" w:eastAsia="仿宋_GB2312" w:cs="仿宋_GB2312"/>
          <w:sz w:val="32"/>
          <w:szCs w:val="32"/>
        </w:rPr>
        <w:t>万元，实际到位资金</w:t>
      </w:r>
      <w:r>
        <w:rPr>
          <w:rFonts w:hint="eastAsia" w:eastAsia="仿宋_GB2312"/>
          <w:sz w:val="32"/>
          <w:szCs w:val="32"/>
        </w:rPr>
        <w:t>14.4</w:t>
      </w:r>
      <w:r>
        <w:rPr>
          <w:rFonts w:hint="eastAsia" w:ascii="仿宋_GB2312" w:hAnsi="仿宋_GB2312" w:eastAsia="仿宋_GB2312" w:cs="仿宋_GB2312"/>
          <w:sz w:val="32"/>
          <w:szCs w:val="32"/>
        </w:rPr>
        <w:t>万元。均按多年来的该项目资金管理模式操作，通过镇、村、社验收后，由村申报、镇审核，报区财政部门审批直接拨付到施工单位和烟农。后续资金由于因产业特殊性，各项发展经费需在收购环节完成结算产值并计税后予以支付，故当年未完成产业发展经费支付进度。</w:t>
      </w:r>
    </w:p>
    <w:p w14:paraId="622C8E47">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2.资金使用。该项目实际应支</w:t>
      </w:r>
      <w:r>
        <w:rPr>
          <w:rFonts w:hint="eastAsia" w:eastAsia="仿宋_GB2312"/>
          <w:sz w:val="32"/>
          <w:szCs w:val="32"/>
        </w:rPr>
        <w:t>出14.4</w:t>
      </w:r>
      <w:r>
        <w:rPr>
          <w:rFonts w:hint="eastAsia" w:ascii="仿宋_GB2312" w:hAnsi="仿宋_GB2312" w:eastAsia="仿宋_GB2312" w:cs="仿宋_GB2312"/>
          <w:sz w:val="32"/>
          <w:szCs w:val="32"/>
        </w:rPr>
        <w:t>万元,实际支付约</w:t>
      </w:r>
      <w:r>
        <w:rPr>
          <w:rFonts w:hint="eastAsia" w:eastAsia="仿宋_GB2312"/>
          <w:sz w:val="32"/>
          <w:szCs w:val="32"/>
        </w:rPr>
        <w:t>14.4</w:t>
      </w:r>
      <w:r>
        <w:rPr>
          <w:rFonts w:hint="eastAsia" w:ascii="仿宋_GB2312" w:hAnsi="仿宋_GB2312" w:eastAsia="仿宋_GB2312" w:cs="仿宋_GB2312"/>
          <w:sz w:val="32"/>
          <w:szCs w:val="32"/>
        </w:rPr>
        <w:t>万元，均按规定支付</w:t>
      </w:r>
      <w:r>
        <w:rPr>
          <w:rFonts w:ascii="仿宋_GB2312" w:hAnsi="仿宋_GB2312" w:eastAsia="仿宋_GB2312" w:cs="仿宋_GB2312"/>
          <w:sz w:val="32"/>
          <w:szCs w:val="32"/>
        </w:rPr>
        <w:t>烤烟生产经费</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烟叶产业发展基础设施建设经费</w:t>
      </w:r>
      <w:r>
        <w:rPr>
          <w:rFonts w:hint="eastAsia" w:ascii="仿宋_GB2312" w:hAnsi="仿宋_GB2312" w:eastAsia="仿宋_GB2312" w:cs="仿宋_GB2312"/>
          <w:sz w:val="32"/>
          <w:szCs w:val="32"/>
        </w:rPr>
        <w:t>。</w:t>
      </w:r>
    </w:p>
    <w:p w14:paraId="77AC389B">
      <w:pPr>
        <w:spacing w:line="576" w:lineRule="exact"/>
        <w:ind w:firstLine="640" w:firstLineChars="200"/>
        <w:outlineLvl w:val="2"/>
        <w:rPr>
          <w:rFonts w:ascii="楷体_GB2312" w:hAnsi="楷体_GB2312" w:eastAsia="楷体_GB2312" w:cs="楷体_GB2312"/>
          <w:sz w:val="32"/>
          <w:szCs w:val="32"/>
        </w:rPr>
      </w:pPr>
      <w:bookmarkStart w:id="285" w:name="_Toc15948"/>
      <w:bookmarkStart w:id="286" w:name="_Toc10553"/>
      <w:r>
        <w:rPr>
          <w:rFonts w:hint="eastAsia" w:ascii="楷体_GB2312" w:hAnsi="楷体_GB2312" w:eastAsia="楷体_GB2312" w:cs="楷体_GB2312"/>
          <w:sz w:val="32"/>
          <w:szCs w:val="32"/>
        </w:rPr>
        <w:t>（二）项目财务管理情况</w:t>
      </w:r>
      <w:bookmarkEnd w:id="285"/>
      <w:bookmarkEnd w:id="286"/>
    </w:p>
    <w:p w14:paraId="159BFDC3">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该项资金实务中严格按照财经制度进行结算支付，财务制度健全、管理规范。一是严控资金使用范围。各村（社区）均做到了资金“专款专用”，对不符合项目绩效设施范围的项目，坚决不予使用该项资金报销；</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zh-CN"/>
        </w:rPr>
        <w:t>二是严格管理报销流程，</w:t>
      </w:r>
      <w:r>
        <w:rPr>
          <w:rFonts w:hint="eastAsia" w:ascii="仿宋_GB2312" w:hAnsi="仿宋_GB2312" w:eastAsia="仿宋_GB2312" w:cs="仿宋_GB2312"/>
          <w:sz w:val="32"/>
          <w:szCs w:val="32"/>
        </w:rPr>
        <w:t>由镇相关部门完善相关报账资料，并经财务负责人、分管领导以及镇长签字后，上报区财政相关股室审核和领导审批后，直接打卡到施工单位（人）。</w:t>
      </w:r>
    </w:p>
    <w:p w14:paraId="7F228C96">
      <w:pPr>
        <w:numPr>
          <w:ilvl w:val="0"/>
          <w:numId w:val="5"/>
        </w:numPr>
        <w:spacing w:line="576" w:lineRule="exact"/>
        <w:ind w:firstLine="640" w:firstLineChars="200"/>
        <w:outlineLvl w:val="2"/>
        <w:rPr>
          <w:rFonts w:ascii="仿宋_GB2312" w:hAnsi="仿宋_GB2312" w:eastAsia="仿宋_GB2312" w:cs="仿宋_GB2312"/>
          <w:sz w:val="32"/>
          <w:szCs w:val="32"/>
        </w:rPr>
      </w:pPr>
      <w:bookmarkStart w:id="287" w:name="_Toc6453"/>
      <w:bookmarkStart w:id="288" w:name="_Toc27576"/>
      <w:r>
        <w:rPr>
          <w:rFonts w:hint="eastAsia" w:ascii="楷体_GB2312" w:hAnsi="楷体_GB2312" w:eastAsia="楷体_GB2312" w:cs="楷体_GB2312"/>
          <w:sz w:val="32"/>
          <w:szCs w:val="32"/>
        </w:rPr>
        <w:t>项目组织实施及管理情况</w:t>
      </w:r>
      <w:bookmarkEnd w:id="287"/>
      <w:bookmarkEnd w:id="288"/>
    </w:p>
    <w:p w14:paraId="49C80F99">
      <w:pPr>
        <w:pStyle w:val="13"/>
        <w:widowControl/>
        <w:spacing w:beforeAutospacing="0" w:afterAutospacing="0" w:line="576" w:lineRule="exact"/>
        <w:ind w:firstLine="640" w:firstLineChars="200"/>
        <w:jc w:val="both"/>
        <w:rPr>
          <w:rFonts w:ascii="仿宋_GB2312" w:hAnsi="仿宋_GB2312" w:cs="仿宋_GB2312"/>
          <w:sz w:val="32"/>
        </w:rPr>
      </w:pPr>
      <w:r>
        <w:rPr>
          <w:rFonts w:hint="eastAsia" w:ascii="仿宋_GB2312" w:hAnsi="仿宋_GB2312" w:cs="仿宋_GB2312"/>
          <w:sz w:val="32"/>
          <w:shd w:val="clear" w:color="auto" w:fill="FFFFFF"/>
        </w:rPr>
        <w:t>财政批复烤烟生产发展资金预算项目，主要包括烤烟翻耕补贴、烟田土地整理项目配套、烟叶基础设施建设和烤房新建、维修及管护，逐步完善基础设施和调动各级各部门的种烟抓烟积极性，保证全镇烤烟面积、收购任务、税收任务的落实，实现烟农增收、财政增税，推进全镇烤烟产业持续稳定发展。为更为有效地巩固提升我镇烤烟生产传统项目，不断推进项目有序、有效开展，按照年初预算安排，认真论证项目实施的可行性和效益性，并在项目实施过程中认真完善项目建设中的相关手续办理和基础资料的收集整理、组织呈报等，加强与相关部门之间工作的及时沟通协调，确保项目顺利开展。在项目实施中，工作职责明确，许多情况都能跟踪跟进，有效地推进项目建设进度和保证项目质量。</w:t>
      </w:r>
      <w:r>
        <w:rPr>
          <w:rFonts w:hint="eastAsia" w:ascii="仿宋_GB2312" w:hAnsi="仿宋_GB2312" w:cs="仿宋_GB2312"/>
          <w:sz w:val="32"/>
        </w:rPr>
        <w:t>资金开支的范围、标准及支付进度完全按照预算要求进行，项目实施村按镇批准方案，与服务队伍签订建设合同，组织项目实施，村民理财小组、质量监督小组等群众自治组织参与项目实施全过程监管。项目完成后，项目验收，镇村两级参与进行验收并进行公示，接受村民评议，公示无异议后报镇、区财政直接打卡支付给第三方。</w:t>
      </w:r>
    </w:p>
    <w:p w14:paraId="7F1EB86F">
      <w:pPr>
        <w:numPr>
          <w:ilvl w:val="0"/>
          <w:numId w:val="6"/>
        </w:numPr>
        <w:spacing w:line="576" w:lineRule="exact"/>
        <w:ind w:firstLine="640" w:firstLineChars="200"/>
        <w:outlineLvl w:val="1"/>
        <w:rPr>
          <w:rFonts w:ascii="黑体" w:hAnsi="黑体" w:eastAsia="黑体" w:cs="黑体"/>
          <w:sz w:val="32"/>
          <w:szCs w:val="32"/>
        </w:rPr>
      </w:pPr>
      <w:bookmarkStart w:id="289" w:name="_Toc23364"/>
      <w:bookmarkStart w:id="290" w:name="_Toc13610"/>
      <w:bookmarkStart w:id="291" w:name="_Toc2229"/>
      <w:r>
        <w:rPr>
          <w:rFonts w:hint="eastAsia" w:ascii="黑体" w:hAnsi="黑体" w:eastAsia="黑体" w:cs="黑体"/>
          <w:sz w:val="32"/>
          <w:szCs w:val="32"/>
        </w:rPr>
        <w:t>项目绩效情况</w:t>
      </w:r>
      <w:bookmarkEnd w:id="289"/>
      <w:bookmarkEnd w:id="290"/>
      <w:bookmarkEnd w:id="291"/>
    </w:p>
    <w:p w14:paraId="26347CFF">
      <w:pPr>
        <w:adjustRightInd w:val="0"/>
        <w:snapToGrid w:val="0"/>
        <w:spacing w:line="576" w:lineRule="exact"/>
        <w:ind w:firstLine="640" w:firstLineChars="200"/>
        <w:outlineLvl w:val="2"/>
        <w:rPr>
          <w:rFonts w:ascii="楷体_GB2312" w:hAnsi="楷体_GB2312" w:eastAsia="楷体_GB2312" w:cs="楷体_GB2312"/>
          <w:sz w:val="32"/>
          <w:szCs w:val="32"/>
          <w:lang w:val="zh-CN"/>
        </w:rPr>
      </w:pPr>
      <w:bookmarkStart w:id="292" w:name="_Toc4723"/>
      <w:bookmarkStart w:id="293" w:name="_Toc30309"/>
      <w:r>
        <w:rPr>
          <w:rFonts w:hint="eastAsia" w:ascii="楷体_GB2312" w:hAnsi="楷体_GB2312" w:eastAsia="楷体_GB2312" w:cs="楷体_GB2312"/>
          <w:sz w:val="32"/>
          <w:szCs w:val="32"/>
        </w:rPr>
        <w:t>（一）目标完成情况</w:t>
      </w:r>
      <w:bookmarkEnd w:id="292"/>
      <w:bookmarkEnd w:id="293"/>
      <w:r>
        <w:rPr>
          <w:rFonts w:hint="eastAsia" w:ascii="楷体_GB2312" w:hAnsi="楷体_GB2312" w:eastAsia="楷体_GB2312" w:cs="楷体_GB2312"/>
          <w:sz w:val="32"/>
          <w:szCs w:val="32"/>
          <w:lang w:val="zh-CN"/>
        </w:rPr>
        <w:tab/>
      </w:r>
    </w:p>
    <w:p w14:paraId="21A7A803">
      <w:pPr>
        <w:pStyle w:val="13"/>
        <w:widowControl/>
        <w:spacing w:beforeAutospacing="0" w:afterAutospacing="0" w:line="576" w:lineRule="exact"/>
        <w:ind w:firstLine="640" w:firstLineChars="200"/>
        <w:jc w:val="both"/>
        <w:rPr>
          <w:rFonts w:ascii="仿宋_GB2312" w:hAnsi="仿宋_GB2312" w:cs="仿宋_GB2312"/>
          <w:sz w:val="32"/>
          <w:shd w:val="clear" w:color="auto" w:fill="FFFFFF"/>
        </w:rPr>
      </w:pPr>
      <w:r>
        <w:rPr>
          <w:rFonts w:hint="eastAsia" w:ascii="仿宋_GB2312" w:hAnsi="仿宋_GB2312" w:cs="仿宋_GB2312"/>
          <w:sz w:val="32"/>
          <w:shd w:val="clear" w:color="auto" w:fill="FFFFFF"/>
        </w:rPr>
        <w:t>全年完成对烟农技术培训4次，烟地整理共</w:t>
      </w:r>
      <w:r>
        <w:rPr>
          <w:rFonts w:hint="eastAsia"/>
          <w:kern w:val="2"/>
          <w:sz w:val="32"/>
          <w:lang w:val="zh-CN"/>
        </w:rPr>
        <w:t>2450</w:t>
      </w:r>
      <w:r>
        <w:rPr>
          <w:rFonts w:hint="eastAsia" w:ascii="仿宋_GB2312" w:hAnsi="仿宋_GB2312" w:cs="仿宋_GB2312"/>
          <w:sz w:val="32"/>
          <w:shd w:val="clear" w:color="auto" w:fill="FFFFFF"/>
        </w:rPr>
        <w:t>亩，维修烤烟房</w:t>
      </w:r>
      <w:r>
        <w:rPr>
          <w:rFonts w:hint="eastAsia"/>
          <w:kern w:val="2"/>
          <w:sz w:val="32"/>
        </w:rPr>
        <w:t>15</w:t>
      </w:r>
      <w:r>
        <w:rPr>
          <w:rFonts w:hint="eastAsia" w:ascii="仿宋_GB2312" w:hAnsi="仿宋_GB2312" w:cs="仿宋_GB2312"/>
          <w:sz w:val="32"/>
          <w:shd w:val="clear" w:color="auto" w:fill="FFFFFF"/>
        </w:rPr>
        <w:t>间。</w:t>
      </w:r>
      <w:r>
        <w:rPr>
          <w:rFonts w:hint="eastAsia"/>
          <w:kern w:val="2"/>
          <w:sz w:val="32"/>
        </w:rPr>
        <w:t>2022</w:t>
      </w:r>
      <w:r>
        <w:rPr>
          <w:rFonts w:hint="eastAsia" w:ascii="仿宋_GB2312" w:hAnsi="仿宋_GB2312" w:cs="仿宋_GB2312"/>
          <w:sz w:val="32"/>
          <w:shd w:val="clear" w:color="auto" w:fill="FFFFFF"/>
        </w:rPr>
        <w:t>年</w:t>
      </w:r>
      <w:r>
        <w:rPr>
          <w:rFonts w:hint="eastAsia"/>
          <w:kern w:val="2"/>
          <w:sz w:val="32"/>
        </w:rPr>
        <w:t>12</w:t>
      </w:r>
      <w:r>
        <w:rPr>
          <w:rFonts w:hint="eastAsia" w:ascii="仿宋_GB2312" w:hAnsi="仿宋_GB2312" w:cs="仿宋_GB2312"/>
          <w:sz w:val="32"/>
          <w:shd w:val="clear" w:color="auto" w:fill="FFFFFF"/>
        </w:rPr>
        <w:t>月前有序完成了“产、管、销”系列工作进度</w:t>
      </w:r>
      <w:r>
        <w:rPr>
          <w:rFonts w:hint="eastAsia"/>
          <w:kern w:val="2"/>
          <w:sz w:val="32"/>
        </w:rPr>
        <w:t>100</w:t>
      </w:r>
      <w:r>
        <w:rPr>
          <w:rFonts w:hint="eastAsia" w:ascii="仿宋_GB2312" w:hAnsi="仿宋_GB2312" w:cs="仿宋_GB2312"/>
          <w:sz w:val="32"/>
          <w:shd w:val="clear" w:color="auto" w:fill="FFFFFF"/>
        </w:rPr>
        <w:t>%，未对生态环境造成污染，全年烟农效益增收率</w:t>
      </w:r>
      <w:r>
        <w:rPr>
          <w:rFonts w:hint="eastAsia"/>
          <w:kern w:val="2"/>
          <w:sz w:val="32"/>
        </w:rPr>
        <w:t>10</w:t>
      </w:r>
      <w:r>
        <w:rPr>
          <w:rFonts w:hint="eastAsia" w:ascii="仿宋_GB2312" w:hAnsi="仿宋_GB2312" w:cs="仿宋_GB2312"/>
          <w:sz w:val="32"/>
          <w:shd w:val="clear" w:color="auto" w:fill="FFFFFF"/>
        </w:rPr>
        <w:t>%以上，群众满意度达到</w:t>
      </w:r>
      <w:r>
        <w:rPr>
          <w:rFonts w:hint="eastAsia"/>
          <w:kern w:val="2"/>
          <w:sz w:val="32"/>
        </w:rPr>
        <w:t>99</w:t>
      </w:r>
      <w:r>
        <w:rPr>
          <w:rFonts w:hint="eastAsia" w:ascii="仿宋_GB2312" w:hAnsi="仿宋_GB2312" w:cs="仿宋_GB2312"/>
          <w:sz w:val="32"/>
          <w:shd w:val="clear" w:color="auto" w:fill="FFFFFF"/>
        </w:rPr>
        <w:t>%，资金支付</w:t>
      </w:r>
      <w:r>
        <w:rPr>
          <w:rFonts w:hint="eastAsia"/>
          <w:kern w:val="2"/>
          <w:sz w:val="32"/>
        </w:rPr>
        <w:t>14.4</w:t>
      </w:r>
      <w:r>
        <w:rPr>
          <w:rFonts w:hint="eastAsia" w:ascii="仿宋_GB2312" w:hAnsi="仿宋_GB2312" w:cs="仿宋_GB2312"/>
          <w:sz w:val="32"/>
          <w:shd w:val="clear" w:color="auto" w:fill="FFFFFF"/>
        </w:rPr>
        <w:t>万元</w:t>
      </w:r>
    </w:p>
    <w:p w14:paraId="2D190603">
      <w:pPr>
        <w:adjustRightInd w:val="0"/>
        <w:snapToGrid w:val="0"/>
        <w:spacing w:line="576" w:lineRule="exact"/>
        <w:ind w:firstLine="640" w:firstLineChars="200"/>
        <w:outlineLvl w:val="2"/>
        <w:rPr>
          <w:rFonts w:ascii="楷体_GB2312" w:hAnsi="楷体_GB2312" w:eastAsia="楷体_GB2312" w:cs="楷体_GB2312"/>
          <w:sz w:val="32"/>
          <w:szCs w:val="32"/>
        </w:rPr>
      </w:pPr>
      <w:bookmarkStart w:id="294" w:name="_Toc13315"/>
      <w:bookmarkStart w:id="295" w:name="_Toc18540"/>
      <w:r>
        <w:rPr>
          <w:rFonts w:hint="eastAsia" w:ascii="楷体_GB2312" w:hAnsi="楷体_GB2312" w:eastAsia="楷体_GB2312" w:cs="楷体_GB2312"/>
          <w:sz w:val="32"/>
          <w:szCs w:val="32"/>
        </w:rPr>
        <w:t>（二）项目效益情况</w:t>
      </w:r>
      <w:bookmarkEnd w:id="294"/>
      <w:bookmarkEnd w:id="295"/>
    </w:p>
    <w:p w14:paraId="33D1AA23">
      <w:pPr>
        <w:pStyle w:val="13"/>
        <w:widowControl/>
        <w:spacing w:beforeAutospacing="0" w:afterAutospacing="0" w:line="576" w:lineRule="exact"/>
        <w:ind w:firstLine="640" w:firstLineChars="200"/>
        <w:jc w:val="both"/>
        <w:rPr>
          <w:rFonts w:ascii="仿宋_GB2312" w:hAnsi="仿宋_GB2312" w:cs="仿宋_GB2312"/>
          <w:sz w:val="32"/>
        </w:rPr>
      </w:pPr>
      <w:r>
        <w:rPr>
          <w:rFonts w:hint="eastAsia" w:ascii="仿宋_GB2312" w:hAnsi="仿宋_GB2312" w:cs="仿宋_GB2312"/>
          <w:sz w:val="32"/>
          <w:shd w:val="clear" w:color="auto" w:fill="FFFFFF"/>
        </w:rPr>
        <w:t>我镇较好地完成项目绩效目标：完成烤烟种植面积</w:t>
      </w:r>
      <w:r>
        <w:rPr>
          <w:rFonts w:hint="eastAsia"/>
          <w:kern w:val="2"/>
          <w:sz w:val="32"/>
        </w:rPr>
        <w:t>2450</w:t>
      </w:r>
      <w:r>
        <w:rPr>
          <w:rFonts w:hint="eastAsia" w:ascii="仿宋_GB2312" w:hAnsi="仿宋_GB2312" w:cs="仿宋_GB2312"/>
          <w:sz w:val="32"/>
          <w:shd w:val="clear" w:color="auto" w:fill="FFFFFF"/>
        </w:rPr>
        <w:t>亩</w:t>
      </w:r>
      <w:r>
        <w:rPr>
          <w:sz w:val="32"/>
        </w:rPr>
        <w:t>位居全区第一</w:t>
      </w:r>
      <w:r>
        <w:rPr>
          <w:rFonts w:hint="eastAsia" w:ascii="仿宋_GB2312" w:hAnsi="仿宋_GB2312" w:cs="仿宋_GB2312"/>
          <w:sz w:val="32"/>
          <w:shd w:val="clear" w:color="auto" w:fill="FFFFFF"/>
        </w:rPr>
        <w:t>，</w:t>
      </w:r>
      <w:r>
        <w:rPr>
          <w:rFonts w:hint="eastAsia"/>
          <w:sz w:val="32"/>
        </w:rPr>
        <w:t>实现</w:t>
      </w:r>
      <w:r>
        <w:rPr>
          <w:rFonts w:hint="eastAsia" w:ascii="仿宋_GB2312" w:hAnsi="仿宋_GB2312" w:cs="仿宋_GB2312"/>
          <w:sz w:val="32"/>
        </w:rPr>
        <w:t>产量</w:t>
      </w:r>
      <w:r>
        <w:rPr>
          <w:rFonts w:hint="eastAsia"/>
          <w:sz w:val="32"/>
        </w:rPr>
        <w:t>4820担，同比增长15%，</w:t>
      </w:r>
      <w:r>
        <w:rPr>
          <w:sz w:val="32"/>
        </w:rPr>
        <w:t>完成产值5</w:t>
      </w:r>
      <w:r>
        <w:rPr>
          <w:rFonts w:hint="eastAsia"/>
          <w:sz w:val="32"/>
        </w:rPr>
        <w:t>80</w:t>
      </w:r>
      <w:r>
        <w:rPr>
          <w:sz w:val="32"/>
        </w:rPr>
        <w:t>万元，</w:t>
      </w:r>
      <w:r>
        <w:rPr>
          <w:rFonts w:hint="eastAsia"/>
          <w:sz w:val="32"/>
        </w:rPr>
        <w:t>同比增长7.4%，实现</w:t>
      </w:r>
      <w:r>
        <w:rPr>
          <w:sz w:val="32"/>
        </w:rPr>
        <w:t>创税</w:t>
      </w:r>
      <w:r>
        <w:rPr>
          <w:rFonts w:hint="eastAsia"/>
          <w:sz w:val="32"/>
        </w:rPr>
        <w:t>116</w:t>
      </w:r>
      <w:r>
        <w:rPr>
          <w:sz w:val="32"/>
        </w:rPr>
        <w:t>万元，带动就近务工1万余人次，人均年增收3</w:t>
      </w:r>
      <w:r>
        <w:rPr>
          <w:rFonts w:hint="eastAsia"/>
          <w:sz w:val="32"/>
        </w:rPr>
        <w:t>4</w:t>
      </w:r>
      <w:r>
        <w:rPr>
          <w:sz w:val="32"/>
        </w:rPr>
        <w:t>00余元</w:t>
      </w:r>
      <w:r>
        <w:rPr>
          <w:rFonts w:hint="eastAsia"/>
          <w:sz w:val="32"/>
        </w:rPr>
        <w:t>，</w:t>
      </w:r>
      <w:r>
        <w:rPr>
          <w:rFonts w:hint="eastAsia" w:ascii="仿宋_GB2312" w:hAnsi="仿宋_GB2312" w:cs="仿宋_GB2312"/>
          <w:sz w:val="32"/>
          <w:shd w:val="clear" w:color="auto" w:fill="FFFFFF"/>
        </w:rPr>
        <w:t>烤烟生产的烟叶发展补助资金的投入为我区财政增税、农民增收起到了特别显著的成效</w:t>
      </w:r>
      <w:r>
        <w:rPr>
          <w:sz w:val="32"/>
        </w:rPr>
        <w:t>，</w:t>
      </w:r>
    </w:p>
    <w:p w14:paraId="10304109">
      <w:pPr>
        <w:adjustRightInd w:val="0"/>
        <w:snapToGrid w:val="0"/>
        <w:spacing w:line="576" w:lineRule="exact"/>
        <w:ind w:firstLine="640" w:firstLineChars="200"/>
        <w:outlineLvl w:val="1"/>
        <w:rPr>
          <w:rFonts w:ascii="黑体" w:hAnsi="黑体" w:eastAsia="黑体" w:cs="黑体"/>
          <w:sz w:val="32"/>
          <w:szCs w:val="32"/>
        </w:rPr>
      </w:pPr>
      <w:bookmarkStart w:id="296" w:name="_Toc30042"/>
      <w:bookmarkStart w:id="297" w:name="_Toc3318"/>
      <w:bookmarkStart w:id="298" w:name="_Toc17343"/>
      <w:r>
        <w:rPr>
          <w:rFonts w:hint="eastAsia" w:ascii="黑体" w:hAnsi="黑体" w:eastAsia="黑体" w:cs="黑体"/>
          <w:sz w:val="32"/>
          <w:szCs w:val="32"/>
        </w:rPr>
        <w:t>四、评价结论及问题建议</w:t>
      </w:r>
      <w:bookmarkEnd w:id="296"/>
      <w:bookmarkEnd w:id="297"/>
      <w:bookmarkEnd w:id="298"/>
    </w:p>
    <w:p w14:paraId="152B4BDA">
      <w:pPr>
        <w:adjustRightInd w:val="0"/>
        <w:snapToGrid w:val="0"/>
        <w:spacing w:line="576" w:lineRule="exact"/>
        <w:ind w:firstLine="640" w:firstLineChars="200"/>
        <w:outlineLvl w:val="2"/>
        <w:rPr>
          <w:rFonts w:ascii="楷体_GB2312" w:hAnsi="楷体_GB2312" w:eastAsia="楷体_GB2312" w:cs="楷体_GB2312"/>
          <w:sz w:val="32"/>
          <w:szCs w:val="32"/>
        </w:rPr>
      </w:pPr>
      <w:bookmarkStart w:id="299" w:name="_Toc3382"/>
      <w:bookmarkStart w:id="300" w:name="_Toc23591"/>
      <w:r>
        <w:rPr>
          <w:rFonts w:hint="eastAsia" w:ascii="楷体_GB2312" w:hAnsi="楷体_GB2312" w:eastAsia="楷体_GB2312" w:cs="楷体_GB2312"/>
          <w:sz w:val="32"/>
          <w:szCs w:val="32"/>
        </w:rPr>
        <w:t>（一）评价结论</w:t>
      </w:r>
      <w:bookmarkEnd w:id="299"/>
      <w:bookmarkEnd w:id="300"/>
    </w:p>
    <w:p w14:paraId="200F7824">
      <w:pPr>
        <w:adjustRightInd w:val="0"/>
        <w:snapToGrid w:val="0"/>
        <w:spacing w:line="576"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shd w:val="clear" w:color="auto" w:fill="FFFFFF"/>
        </w:rPr>
        <w:t>综合评价情况及评价结论：该项目建设紧抓以促进烤烟产业持续稳定发展和让烟农得实惠为出发点；以提升烟叶质量和市场竞争力为关键点；以完善基础设施为保障点；真正使财政资金实现令人民满意和取得最大绩效。我镇</w:t>
      </w:r>
      <w:r>
        <w:rPr>
          <w:rFonts w:eastAsia="仿宋_GB2312"/>
          <w:sz w:val="32"/>
          <w:szCs w:val="32"/>
        </w:rPr>
        <w:t>按照《广元市昭化区财政支出事后绩效评价管理办法》（昭府办函〔2022〕37号）</w:t>
      </w:r>
      <w:r>
        <w:rPr>
          <w:rFonts w:hint="eastAsia" w:ascii="仿宋_GB2312" w:hAnsi="仿宋_GB2312" w:eastAsia="仿宋_GB2312" w:cs="仿宋_GB2312"/>
          <w:sz w:val="32"/>
          <w:szCs w:val="32"/>
          <w:shd w:val="clear" w:color="auto" w:fill="FFFFFF"/>
        </w:rPr>
        <w:t>开展绩效评价，自评得分为</w:t>
      </w:r>
      <w:r>
        <w:rPr>
          <w:rFonts w:hint="eastAsia" w:eastAsia="仿宋_GB2312"/>
          <w:sz w:val="32"/>
          <w:szCs w:val="32"/>
        </w:rPr>
        <w:t>99.5</w:t>
      </w:r>
      <w:r>
        <w:rPr>
          <w:rFonts w:hint="eastAsia" w:ascii="仿宋_GB2312" w:hAnsi="仿宋_GB2312" w:eastAsia="仿宋_GB2312" w:cs="仿宋_GB2312"/>
          <w:sz w:val="32"/>
          <w:szCs w:val="32"/>
          <w:shd w:val="clear" w:color="auto" w:fill="FFFFFF"/>
        </w:rPr>
        <w:t>分</w:t>
      </w:r>
      <w:r>
        <w:rPr>
          <w:rFonts w:hint="eastAsia" w:ascii="仿宋_GB2312" w:hAnsi="仿宋_GB2312" w:eastAsia="仿宋_GB2312" w:cs="仿宋_GB2312"/>
          <w:color w:val="333333"/>
          <w:sz w:val="32"/>
          <w:szCs w:val="32"/>
          <w:shd w:val="clear" w:color="auto" w:fill="FFFFFF"/>
        </w:rPr>
        <w:t>。</w:t>
      </w:r>
    </w:p>
    <w:p w14:paraId="446EEEC2">
      <w:pPr>
        <w:adjustRightInd w:val="0"/>
        <w:snapToGrid w:val="0"/>
        <w:spacing w:line="576" w:lineRule="exact"/>
        <w:ind w:firstLine="640" w:firstLineChars="200"/>
        <w:outlineLvl w:val="2"/>
        <w:rPr>
          <w:rFonts w:ascii="楷体_GB2312" w:hAnsi="楷体_GB2312" w:eastAsia="楷体_GB2312" w:cs="楷体_GB2312"/>
          <w:sz w:val="32"/>
          <w:szCs w:val="32"/>
        </w:rPr>
      </w:pPr>
      <w:bookmarkStart w:id="301" w:name="_Toc4784"/>
      <w:bookmarkStart w:id="302" w:name="_Toc26523"/>
      <w:r>
        <w:rPr>
          <w:rFonts w:hint="eastAsia" w:ascii="楷体_GB2312" w:hAnsi="楷体_GB2312" w:eastAsia="楷体_GB2312" w:cs="楷体_GB2312"/>
          <w:sz w:val="32"/>
          <w:szCs w:val="32"/>
        </w:rPr>
        <w:t>（二）存在的问题</w:t>
      </w:r>
      <w:bookmarkEnd w:id="301"/>
      <w:bookmarkEnd w:id="302"/>
    </w:p>
    <w:p w14:paraId="34CC97E6">
      <w:pPr>
        <w:pStyle w:val="13"/>
        <w:widowControl/>
        <w:spacing w:beforeAutospacing="0" w:afterAutospacing="0" w:line="576" w:lineRule="exact"/>
        <w:ind w:firstLine="640" w:firstLineChars="200"/>
        <w:jc w:val="both"/>
        <w:rPr>
          <w:rFonts w:ascii="仿宋_GB2312" w:hAnsi="仿宋_GB2312" w:cs="仿宋_GB2312"/>
          <w:sz w:val="32"/>
          <w:shd w:val="clear" w:color="auto" w:fill="FFFFFF"/>
        </w:rPr>
      </w:pPr>
      <w:r>
        <w:rPr>
          <w:rFonts w:hint="eastAsia" w:ascii="仿宋_GB2312" w:hAnsi="仿宋_GB2312" w:cs="仿宋_GB2312"/>
          <w:sz w:val="32"/>
          <w:shd w:val="clear" w:color="auto" w:fill="FFFFFF"/>
        </w:rPr>
        <w:t>1.项目建设中存在土地流转难、后期管护资金难以跟上和烟叶基础设施管护难以落实到人；</w:t>
      </w:r>
    </w:p>
    <w:p w14:paraId="714B2014">
      <w:pPr>
        <w:pStyle w:val="13"/>
        <w:widowControl/>
        <w:spacing w:beforeAutospacing="0" w:afterAutospacing="0" w:line="576" w:lineRule="exact"/>
        <w:ind w:firstLine="640" w:firstLineChars="200"/>
        <w:jc w:val="both"/>
        <w:rPr>
          <w:rFonts w:ascii="仿宋_GB2312" w:hAnsi="仿宋_GB2312" w:cs="仿宋_GB2312"/>
          <w:sz w:val="32"/>
          <w:shd w:val="clear" w:color="auto" w:fill="FFFFFF"/>
        </w:rPr>
      </w:pPr>
      <w:r>
        <w:rPr>
          <w:rFonts w:hint="eastAsia" w:ascii="仿宋_GB2312" w:hAnsi="仿宋_GB2312" w:cs="仿宋_GB2312"/>
          <w:sz w:val="32"/>
          <w:shd w:val="clear" w:color="auto" w:fill="FFFFFF"/>
        </w:rPr>
        <w:t>2.烤烟种植面的空间还有待不断扩充；</w:t>
      </w:r>
    </w:p>
    <w:p w14:paraId="2F5A2ECC">
      <w:pPr>
        <w:pStyle w:val="13"/>
        <w:widowControl/>
        <w:spacing w:beforeAutospacing="0" w:afterAutospacing="0" w:line="576" w:lineRule="exact"/>
        <w:ind w:firstLine="640" w:firstLineChars="200"/>
        <w:jc w:val="both"/>
        <w:rPr>
          <w:rFonts w:ascii="仿宋_GB2312" w:hAnsi="仿宋_GB2312" w:cs="仿宋_GB2312"/>
          <w:color w:val="333333"/>
          <w:sz w:val="32"/>
          <w:shd w:val="clear" w:color="auto" w:fill="FFFFFF"/>
        </w:rPr>
      </w:pPr>
      <w:r>
        <w:rPr>
          <w:rFonts w:hint="eastAsia" w:ascii="仿宋_GB2312" w:hAnsi="仿宋_GB2312" w:cs="仿宋_GB2312"/>
          <w:sz w:val="32"/>
          <w:shd w:val="clear" w:color="auto" w:fill="FFFFFF"/>
        </w:rPr>
        <w:t>3.资金支付不及时，进度缓慢。</w:t>
      </w:r>
    </w:p>
    <w:p w14:paraId="438FABFB">
      <w:pPr>
        <w:adjustRightInd w:val="0"/>
        <w:snapToGrid w:val="0"/>
        <w:spacing w:line="576" w:lineRule="exact"/>
        <w:ind w:firstLine="640" w:firstLineChars="200"/>
        <w:outlineLvl w:val="2"/>
        <w:rPr>
          <w:rFonts w:ascii="楷体_GB2312" w:hAnsi="楷体_GB2312" w:eastAsia="楷体_GB2312" w:cs="楷体_GB2312"/>
          <w:sz w:val="32"/>
          <w:szCs w:val="32"/>
        </w:rPr>
      </w:pPr>
      <w:bookmarkStart w:id="303" w:name="_Toc11220"/>
      <w:bookmarkStart w:id="304" w:name="_Toc14597"/>
      <w:r>
        <w:rPr>
          <w:rFonts w:hint="eastAsia" w:ascii="楷体_GB2312" w:hAnsi="楷体_GB2312" w:eastAsia="楷体_GB2312" w:cs="楷体_GB2312"/>
          <w:sz w:val="32"/>
          <w:szCs w:val="32"/>
        </w:rPr>
        <w:t>（三）相关措施建议</w:t>
      </w:r>
      <w:bookmarkEnd w:id="303"/>
      <w:bookmarkEnd w:id="304"/>
    </w:p>
    <w:p w14:paraId="06C82F1B">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加大对该产业项目的宣传力度、加大对该产业项目的发展投入，促进经济的快速提升，从而带动我镇农村各项事业持续、有效、快速发展。</w:t>
      </w:r>
    </w:p>
    <w:p w14:paraId="68DFB46F">
      <w:pPr>
        <w:pStyle w:val="2"/>
        <w:spacing w:before="93"/>
      </w:pPr>
    </w:p>
    <w:p w14:paraId="1959D2A8">
      <w:pPr>
        <w:spacing w:before="103" w:line="219" w:lineRule="auto"/>
        <w:jc w:val="center"/>
        <w:rPr>
          <w:rFonts w:ascii="宋体" w:hAnsi="宋体" w:cs="宋体"/>
          <w:sz w:val="34"/>
          <w:szCs w:val="34"/>
        </w:rPr>
      </w:pPr>
      <w:r>
        <w:rPr>
          <w:rFonts w:ascii="宋体" w:hAnsi="宋体" w:cs="宋体"/>
          <w:spacing w:val="28"/>
          <w:sz w:val="34"/>
          <w:szCs w:val="34"/>
        </w:rPr>
        <w:t>广元市昭化区财政项目(政策)支出绩效自评表</w:t>
      </w:r>
    </w:p>
    <w:p w14:paraId="72AEEA76">
      <w:pPr>
        <w:spacing w:before="86" w:line="219" w:lineRule="auto"/>
        <w:ind w:left="3894"/>
        <w:rPr>
          <w:rFonts w:ascii="宋体" w:hAnsi="宋体" w:cs="宋体"/>
          <w:sz w:val="22"/>
          <w:szCs w:val="22"/>
        </w:rPr>
      </w:pPr>
      <w:r>
        <w:rPr>
          <w:rFonts w:ascii="宋体" w:hAnsi="宋体" w:cs="宋体"/>
          <w:spacing w:val="-14"/>
          <w:sz w:val="22"/>
          <w:szCs w:val="22"/>
        </w:rPr>
        <w:t>(</w:t>
      </w:r>
      <w:r>
        <w:rPr>
          <w:rFonts w:ascii="宋体" w:hAnsi="宋体" w:cs="宋体"/>
          <w:spacing w:val="32"/>
          <w:sz w:val="22"/>
          <w:szCs w:val="22"/>
        </w:rPr>
        <w:t xml:space="preserve"> </w:t>
      </w:r>
      <w:r>
        <w:rPr>
          <w:rFonts w:hint="eastAsia" w:ascii="宋体" w:hAnsi="宋体" w:cs="宋体"/>
          <w:spacing w:val="32"/>
          <w:sz w:val="22"/>
          <w:szCs w:val="22"/>
        </w:rPr>
        <w:t>2022</w:t>
      </w:r>
      <w:r>
        <w:rPr>
          <w:rFonts w:ascii="宋体" w:hAnsi="宋体" w:cs="宋体"/>
          <w:spacing w:val="32"/>
          <w:sz w:val="22"/>
          <w:szCs w:val="22"/>
        </w:rPr>
        <w:t xml:space="preserve"> </w:t>
      </w:r>
      <w:r>
        <w:rPr>
          <w:rFonts w:ascii="宋体" w:hAnsi="宋体" w:cs="宋体"/>
          <w:spacing w:val="-14"/>
          <w:sz w:val="22"/>
          <w:szCs w:val="22"/>
        </w:rPr>
        <w:t>年度)</w:t>
      </w:r>
    </w:p>
    <w:p w14:paraId="67E71EF1">
      <w:pPr>
        <w:spacing w:line="134" w:lineRule="exact"/>
      </w:pPr>
    </w:p>
    <w:tbl>
      <w:tblPr>
        <w:tblStyle w:val="35"/>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3F4A6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0F1A2896">
            <w:pPr>
              <w:spacing w:before="82" w:line="220" w:lineRule="auto"/>
              <w:ind w:left="75"/>
              <w:rPr>
                <w:rFonts w:ascii="宋体" w:hAnsi="宋体" w:cs="宋体"/>
                <w:sz w:val="17"/>
                <w:szCs w:val="17"/>
              </w:rPr>
            </w:pPr>
            <w:r>
              <w:rPr>
                <w:rFonts w:ascii="宋体" w:hAnsi="宋体" w:cs="宋体"/>
                <w:spacing w:val="-2"/>
                <w:sz w:val="17"/>
                <w:szCs w:val="17"/>
              </w:rPr>
              <w:t>项目(政策)名称</w:t>
            </w:r>
          </w:p>
        </w:tc>
        <w:tc>
          <w:tcPr>
            <w:tcW w:w="7650" w:type="dxa"/>
            <w:gridSpan w:val="6"/>
          </w:tcPr>
          <w:p w14:paraId="01D7D170">
            <w:r>
              <w:rPr>
                <w:rFonts w:hint="eastAsia" w:eastAsia="仿宋_GB2312" w:cs="仿宋_GB2312"/>
                <w:color w:val="000000" w:themeColor="text1"/>
                <w:sz w:val="22"/>
                <w:szCs w:val="22"/>
              </w:rPr>
              <w:t>烟叶发展资金</w:t>
            </w:r>
          </w:p>
        </w:tc>
      </w:tr>
      <w:tr w14:paraId="203DE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45F8140B">
            <w:pPr>
              <w:spacing w:before="78" w:line="219" w:lineRule="auto"/>
              <w:ind w:left="404"/>
              <w:jc w:val="center"/>
              <w:rPr>
                <w:rFonts w:ascii="宋体" w:hAnsi="宋体" w:cs="宋体"/>
                <w:sz w:val="17"/>
                <w:szCs w:val="17"/>
              </w:rPr>
            </w:pPr>
            <w:r>
              <w:rPr>
                <w:rFonts w:ascii="宋体" w:hAnsi="宋体" w:cs="宋体"/>
                <w:spacing w:val="4"/>
                <w:sz w:val="17"/>
                <w:szCs w:val="17"/>
              </w:rPr>
              <w:t>主管部门</w:t>
            </w:r>
          </w:p>
        </w:tc>
        <w:tc>
          <w:tcPr>
            <w:tcW w:w="4230" w:type="dxa"/>
            <w:gridSpan w:val="4"/>
          </w:tcPr>
          <w:p w14:paraId="72ADAA1B">
            <w:r>
              <w:rPr>
                <w:rFonts w:hint="eastAsia" w:eastAsia="仿宋_GB2312" w:cs="仿宋_GB2312"/>
                <w:color w:val="000000" w:themeColor="text1"/>
                <w:sz w:val="22"/>
                <w:szCs w:val="22"/>
              </w:rPr>
              <w:t>广元市昭化区人民政府</w:t>
            </w:r>
          </w:p>
        </w:tc>
        <w:tc>
          <w:tcPr>
            <w:tcW w:w="951" w:type="dxa"/>
          </w:tcPr>
          <w:p w14:paraId="6851902C">
            <w:pPr>
              <w:spacing w:before="78" w:line="219" w:lineRule="auto"/>
              <w:jc w:val="center"/>
              <w:rPr>
                <w:rFonts w:ascii="宋体" w:hAnsi="宋体" w:cs="宋体"/>
                <w:spacing w:val="4"/>
                <w:sz w:val="17"/>
                <w:szCs w:val="17"/>
              </w:rPr>
            </w:pPr>
            <w:r>
              <w:rPr>
                <w:rFonts w:ascii="宋体" w:hAnsi="宋体" w:cs="宋体"/>
                <w:spacing w:val="4"/>
                <w:sz w:val="17"/>
                <w:szCs w:val="17"/>
              </w:rPr>
              <w:t>实施单位</w:t>
            </w:r>
          </w:p>
        </w:tc>
        <w:tc>
          <w:tcPr>
            <w:tcW w:w="2469" w:type="dxa"/>
          </w:tcPr>
          <w:p w14:paraId="4D89F0EF">
            <w:pPr>
              <w:spacing w:before="78" w:line="219" w:lineRule="auto"/>
              <w:jc w:val="center"/>
              <w:rPr>
                <w:rFonts w:ascii="宋体" w:hAnsi="宋体" w:cs="宋体"/>
                <w:spacing w:val="4"/>
                <w:sz w:val="17"/>
                <w:szCs w:val="17"/>
              </w:rPr>
            </w:pPr>
            <w:r>
              <w:rPr>
                <w:rFonts w:hint="eastAsia" w:ascii="宋体" w:hAnsi="宋体" w:cs="宋体"/>
                <w:spacing w:val="4"/>
                <w:sz w:val="17"/>
                <w:szCs w:val="17"/>
              </w:rPr>
              <w:t>王家镇人民政府</w:t>
            </w:r>
          </w:p>
        </w:tc>
      </w:tr>
      <w:tr w14:paraId="176CA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15C88246">
            <w:pPr>
              <w:spacing w:line="279" w:lineRule="auto"/>
            </w:pPr>
          </w:p>
          <w:p w14:paraId="5CD64B58">
            <w:pPr>
              <w:spacing w:line="279" w:lineRule="auto"/>
            </w:pPr>
          </w:p>
          <w:p w14:paraId="2AF9FD8A">
            <w:pPr>
              <w:spacing w:line="279" w:lineRule="auto"/>
            </w:pPr>
          </w:p>
          <w:p w14:paraId="5C7C8A00">
            <w:pPr>
              <w:spacing w:line="279" w:lineRule="auto"/>
            </w:pPr>
          </w:p>
          <w:p w14:paraId="6198B731">
            <w:pPr>
              <w:spacing w:before="55" w:line="235" w:lineRule="auto"/>
              <w:ind w:left="464" w:right="197" w:hanging="389"/>
              <w:rPr>
                <w:rFonts w:ascii="宋体" w:hAnsi="宋体" w:cs="宋体"/>
                <w:sz w:val="17"/>
                <w:szCs w:val="17"/>
              </w:rPr>
            </w:pPr>
            <w:r>
              <w:rPr>
                <w:rFonts w:ascii="宋体" w:hAnsi="宋体" w:cs="宋体"/>
                <w:spacing w:val="-2"/>
                <w:sz w:val="17"/>
                <w:szCs w:val="17"/>
              </w:rPr>
              <w:t>项目(政策)资金</w:t>
            </w:r>
            <w:r>
              <w:rPr>
                <w:rFonts w:ascii="宋体" w:hAnsi="宋体" w:cs="宋体"/>
                <w:spacing w:val="5"/>
                <w:sz w:val="17"/>
                <w:szCs w:val="17"/>
              </w:rPr>
              <w:t xml:space="preserve"> </w:t>
            </w:r>
            <w:r>
              <w:rPr>
                <w:rFonts w:ascii="宋体" w:hAnsi="宋体" w:cs="宋体"/>
                <w:spacing w:val="9"/>
                <w:sz w:val="17"/>
                <w:szCs w:val="17"/>
              </w:rPr>
              <w:t>(万元)</w:t>
            </w:r>
          </w:p>
        </w:tc>
        <w:tc>
          <w:tcPr>
            <w:tcW w:w="1777" w:type="dxa"/>
            <w:gridSpan w:val="2"/>
          </w:tcPr>
          <w:p w14:paraId="26F37473"/>
        </w:tc>
        <w:tc>
          <w:tcPr>
            <w:tcW w:w="1308" w:type="dxa"/>
          </w:tcPr>
          <w:p w14:paraId="2CC97A2E">
            <w:pPr>
              <w:spacing w:before="77" w:line="219" w:lineRule="auto"/>
              <w:jc w:val="center"/>
              <w:rPr>
                <w:rFonts w:ascii="宋体" w:hAnsi="宋体" w:cs="宋体"/>
                <w:sz w:val="17"/>
                <w:szCs w:val="17"/>
              </w:rPr>
            </w:pPr>
            <w:r>
              <w:rPr>
                <w:rFonts w:ascii="宋体" w:hAnsi="宋体" w:cs="宋体"/>
                <w:spacing w:val="-2"/>
                <w:sz w:val="17"/>
                <w:szCs w:val="17"/>
              </w:rPr>
              <w:t>年初预算数</w:t>
            </w:r>
          </w:p>
        </w:tc>
        <w:tc>
          <w:tcPr>
            <w:tcW w:w="1145" w:type="dxa"/>
          </w:tcPr>
          <w:p w14:paraId="3FE94488">
            <w:pPr>
              <w:spacing w:before="98" w:line="219" w:lineRule="auto"/>
              <w:jc w:val="center"/>
              <w:rPr>
                <w:rFonts w:ascii="宋体" w:hAnsi="宋体" w:cs="宋体"/>
                <w:sz w:val="17"/>
                <w:szCs w:val="17"/>
              </w:rPr>
            </w:pPr>
            <w:r>
              <w:rPr>
                <w:rFonts w:ascii="宋体" w:hAnsi="宋体" w:cs="宋体"/>
                <w:spacing w:val="-2"/>
                <w:sz w:val="17"/>
                <w:szCs w:val="17"/>
              </w:rPr>
              <w:t>全年预算数</w:t>
            </w:r>
          </w:p>
        </w:tc>
        <w:tc>
          <w:tcPr>
            <w:tcW w:w="951" w:type="dxa"/>
          </w:tcPr>
          <w:p w14:paraId="41D3274F">
            <w:pPr>
              <w:spacing w:before="77" w:line="219" w:lineRule="auto"/>
              <w:jc w:val="center"/>
              <w:rPr>
                <w:rFonts w:ascii="宋体" w:hAnsi="宋体" w:cs="宋体"/>
                <w:sz w:val="17"/>
                <w:szCs w:val="17"/>
              </w:rPr>
            </w:pPr>
            <w:r>
              <w:rPr>
                <w:rFonts w:ascii="宋体" w:hAnsi="宋体" w:cs="宋体"/>
                <w:spacing w:val="-2"/>
                <w:sz w:val="17"/>
                <w:szCs w:val="17"/>
              </w:rPr>
              <w:t>全年执行数</w:t>
            </w:r>
          </w:p>
        </w:tc>
        <w:tc>
          <w:tcPr>
            <w:tcW w:w="2469" w:type="dxa"/>
          </w:tcPr>
          <w:p w14:paraId="3A9AAE4F">
            <w:pPr>
              <w:spacing w:before="77" w:line="219" w:lineRule="auto"/>
              <w:jc w:val="center"/>
              <w:rPr>
                <w:rFonts w:ascii="宋体" w:hAnsi="宋体" w:cs="宋体"/>
                <w:sz w:val="17"/>
                <w:szCs w:val="17"/>
              </w:rPr>
            </w:pPr>
            <w:r>
              <w:rPr>
                <w:rFonts w:ascii="宋体" w:hAnsi="宋体" w:cs="宋体"/>
                <w:spacing w:val="-2"/>
                <w:sz w:val="17"/>
                <w:szCs w:val="17"/>
              </w:rPr>
              <w:t>执行率</w:t>
            </w:r>
          </w:p>
        </w:tc>
      </w:tr>
      <w:tr w14:paraId="7F2F1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5E775C7A"/>
        </w:tc>
        <w:tc>
          <w:tcPr>
            <w:tcW w:w="1777" w:type="dxa"/>
            <w:gridSpan w:val="2"/>
          </w:tcPr>
          <w:p w14:paraId="19D880F9">
            <w:pPr>
              <w:spacing w:before="79" w:line="219" w:lineRule="auto"/>
              <w:ind w:left="151"/>
              <w:rPr>
                <w:rFonts w:ascii="宋体" w:hAnsi="宋体" w:cs="宋体"/>
                <w:sz w:val="17"/>
                <w:szCs w:val="17"/>
              </w:rPr>
            </w:pPr>
            <w:r>
              <w:rPr>
                <w:rFonts w:ascii="宋体" w:hAnsi="宋体" w:cs="宋体"/>
                <w:spacing w:val="-2"/>
                <w:sz w:val="17"/>
                <w:szCs w:val="17"/>
              </w:rPr>
              <w:t>年度资金总额</w:t>
            </w:r>
          </w:p>
        </w:tc>
        <w:tc>
          <w:tcPr>
            <w:tcW w:w="1308" w:type="dxa"/>
          </w:tcPr>
          <w:p w14:paraId="466D42CF">
            <w:pPr>
              <w:spacing w:before="77" w:line="219" w:lineRule="auto"/>
              <w:jc w:val="center"/>
              <w:rPr>
                <w:rFonts w:ascii="宋体" w:hAnsi="宋体" w:cs="宋体"/>
                <w:spacing w:val="-2"/>
                <w:sz w:val="17"/>
                <w:szCs w:val="17"/>
              </w:rPr>
            </w:pPr>
            <w:r>
              <w:rPr>
                <w:rFonts w:hint="eastAsia" w:ascii="宋体" w:hAnsi="宋体" w:cs="宋体"/>
                <w:spacing w:val="-2"/>
                <w:sz w:val="17"/>
                <w:szCs w:val="17"/>
              </w:rPr>
              <w:t>14.4</w:t>
            </w:r>
          </w:p>
        </w:tc>
        <w:tc>
          <w:tcPr>
            <w:tcW w:w="1145" w:type="dxa"/>
          </w:tcPr>
          <w:p w14:paraId="5D3EB5D4">
            <w:pPr>
              <w:spacing w:before="77" w:line="219" w:lineRule="auto"/>
              <w:jc w:val="center"/>
              <w:rPr>
                <w:rFonts w:ascii="宋体" w:hAnsi="宋体" w:cs="宋体"/>
                <w:spacing w:val="-2"/>
                <w:sz w:val="17"/>
                <w:szCs w:val="17"/>
              </w:rPr>
            </w:pPr>
            <w:r>
              <w:rPr>
                <w:rFonts w:hint="eastAsia" w:ascii="宋体" w:hAnsi="宋体" w:cs="宋体"/>
                <w:spacing w:val="-2"/>
                <w:sz w:val="17"/>
                <w:szCs w:val="17"/>
              </w:rPr>
              <w:t>14.4</w:t>
            </w:r>
          </w:p>
        </w:tc>
        <w:tc>
          <w:tcPr>
            <w:tcW w:w="951" w:type="dxa"/>
          </w:tcPr>
          <w:p w14:paraId="7499E737">
            <w:pPr>
              <w:spacing w:before="77" w:line="219" w:lineRule="auto"/>
              <w:jc w:val="center"/>
              <w:rPr>
                <w:rFonts w:ascii="宋体" w:hAnsi="宋体" w:cs="宋体"/>
                <w:spacing w:val="-2"/>
                <w:sz w:val="17"/>
                <w:szCs w:val="17"/>
              </w:rPr>
            </w:pPr>
            <w:r>
              <w:rPr>
                <w:rFonts w:hint="eastAsia" w:ascii="宋体" w:hAnsi="宋体" w:cs="宋体"/>
                <w:spacing w:val="-2"/>
                <w:sz w:val="17"/>
                <w:szCs w:val="17"/>
              </w:rPr>
              <w:t>14.4</w:t>
            </w:r>
          </w:p>
        </w:tc>
        <w:tc>
          <w:tcPr>
            <w:tcW w:w="2469" w:type="dxa"/>
            <w:vAlign w:val="center"/>
          </w:tcPr>
          <w:p w14:paraId="1F22016B">
            <w:pPr>
              <w:spacing w:before="77" w:line="219" w:lineRule="auto"/>
              <w:jc w:val="center"/>
              <w:rPr>
                <w:rFonts w:ascii="宋体" w:hAnsi="宋体" w:cs="宋体"/>
                <w:spacing w:val="-2"/>
                <w:sz w:val="17"/>
                <w:szCs w:val="17"/>
              </w:rPr>
            </w:pPr>
            <w:r>
              <w:rPr>
                <w:rFonts w:hint="eastAsia" w:ascii="宋体" w:hAnsi="宋体" w:cs="宋体"/>
                <w:spacing w:val="-2"/>
                <w:sz w:val="17"/>
                <w:szCs w:val="17"/>
              </w:rPr>
              <w:t>100%</w:t>
            </w:r>
          </w:p>
        </w:tc>
      </w:tr>
      <w:tr w14:paraId="23FF6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180D8592"/>
        </w:tc>
        <w:tc>
          <w:tcPr>
            <w:tcW w:w="1777" w:type="dxa"/>
            <w:gridSpan w:val="2"/>
          </w:tcPr>
          <w:p w14:paraId="29034443">
            <w:pPr>
              <w:spacing w:before="109" w:line="219" w:lineRule="auto"/>
              <w:ind w:left="151"/>
              <w:rPr>
                <w:rFonts w:ascii="宋体" w:hAnsi="宋体" w:cs="宋体"/>
                <w:sz w:val="17"/>
                <w:szCs w:val="17"/>
              </w:rPr>
            </w:pPr>
            <w:r>
              <w:rPr>
                <w:rFonts w:ascii="宋体" w:hAnsi="宋体" w:cs="宋体"/>
                <w:sz w:val="17"/>
                <w:szCs w:val="17"/>
              </w:rPr>
              <w:t>(一)财政拨款小计</w:t>
            </w:r>
          </w:p>
        </w:tc>
        <w:tc>
          <w:tcPr>
            <w:tcW w:w="1308" w:type="dxa"/>
          </w:tcPr>
          <w:p w14:paraId="3B87571F">
            <w:pPr>
              <w:spacing w:before="77" w:line="219" w:lineRule="auto"/>
              <w:jc w:val="center"/>
            </w:pPr>
            <w:r>
              <w:rPr>
                <w:rFonts w:hint="eastAsia" w:ascii="宋体" w:hAnsi="宋体" w:cs="宋体"/>
                <w:spacing w:val="-2"/>
                <w:sz w:val="17"/>
                <w:szCs w:val="17"/>
              </w:rPr>
              <w:t>14.4</w:t>
            </w:r>
          </w:p>
        </w:tc>
        <w:tc>
          <w:tcPr>
            <w:tcW w:w="1145" w:type="dxa"/>
          </w:tcPr>
          <w:p w14:paraId="30CB4654">
            <w:pPr>
              <w:spacing w:before="77" w:line="219" w:lineRule="auto"/>
              <w:jc w:val="center"/>
            </w:pPr>
            <w:r>
              <w:rPr>
                <w:rFonts w:hint="eastAsia" w:ascii="宋体" w:hAnsi="宋体" w:cs="宋体"/>
                <w:spacing w:val="-2"/>
                <w:sz w:val="17"/>
                <w:szCs w:val="17"/>
              </w:rPr>
              <w:t>14.4</w:t>
            </w:r>
          </w:p>
        </w:tc>
        <w:tc>
          <w:tcPr>
            <w:tcW w:w="951" w:type="dxa"/>
          </w:tcPr>
          <w:p w14:paraId="3919D506">
            <w:pPr>
              <w:spacing w:before="77" w:line="219" w:lineRule="auto"/>
              <w:jc w:val="center"/>
            </w:pPr>
            <w:r>
              <w:rPr>
                <w:rFonts w:hint="eastAsia" w:ascii="宋体" w:hAnsi="宋体" w:cs="宋体"/>
                <w:spacing w:val="-2"/>
                <w:sz w:val="17"/>
                <w:szCs w:val="17"/>
              </w:rPr>
              <w:t>14.4</w:t>
            </w:r>
          </w:p>
        </w:tc>
        <w:tc>
          <w:tcPr>
            <w:tcW w:w="2469" w:type="dxa"/>
            <w:vAlign w:val="center"/>
          </w:tcPr>
          <w:p w14:paraId="727BB444">
            <w:pPr>
              <w:jc w:val="center"/>
            </w:pPr>
            <w:r>
              <w:rPr>
                <w:rFonts w:hint="eastAsia" w:ascii="宋体" w:hAnsi="宋体" w:cs="宋体"/>
                <w:spacing w:val="-2"/>
                <w:sz w:val="17"/>
                <w:szCs w:val="17"/>
              </w:rPr>
              <w:t>100%</w:t>
            </w:r>
          </w:p>
        </w:tc>
      </w:tr>
      <w:tr w14:paraId="0DEDA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42716201"/>
        </w:tc>
        <w:tc>
          <w:tcPr>
            <w:tcW w:w="1777" w:type="dxa"/>
            <w:gridSpan w:val="2"/>
          </w:tcPr>
          <w:p w14:paraId="5720C818">
            <w:pPr>
              <w:spacing w:before="80" w:line="219" w:lineRule="auto"/>
              <w:ind w:left="151"/>
              <w:rPr>
                <w:rFonts w:ascii="宋体" w:hAnsi="宋体" w:cs="宋体"/>
                <w:sz w:val="17"/>
                <w:szCs w:val="17"/>
              </w:rPr>
            </w:pPr>
            <w:r>
              <w:rPr>
                <w:rFonts w:ascii="宋体" w:hAnsi="宋体" w:cs="宋体"/>
                <w:sz w:val="17"/>
                <w:szCs w:val="17"/>
              </w:rPr>
              <w:t>1.一般公共预算</w:t>
            </w:r>
          </w:p>
        </w:tc>
        <w:tc>
          <w:tcPr>
            <w:tcW w:w="1308" w:type="dxa"/>
          </w:tcPr>
          <w:p w14:paraId="6AD6A54E">
            <w:pPr>
              <w:spacing w:before="77" w:line="219" w:lineRule="auto"/>
              <w:jc w:val="center"/>
            </w:pPr>
            <w:r>
              <w:rPr>
                <w:rFonts w:hint="eastAsia" w:ascii="宋体" w:hAnsi="宋体" w:cs="宋体"/>
                <w:spacing w:val="-2"/>
                <w:sz w:val="17"/>
                <w:szCs w:val="17"/>
              </w:rPr>
              <w:t>14.4</w:t>
            </w:r>
          </w:p>
        </w:tc>
        <w:tc>
          <w:tcPr>
            <w:tcW w:w="1145" w:type="dxa"/>
          </w:tcPr>
          <w:p w14:paraId="4728FFDD">
            <w:pPr>
              <w:spacing w:before="77" w:line="219" w:lineRule="auto"/>
              <w:jc w:val="center"/>
            </w:pPr>
            <w:r>
              <w:rPr>
                <w:rFonts w:hint="eastAsia" w:ascii="宋体" w:hAnsi="宋体" w:cs="宋体"/>
                <w:spacing w:val="-2"/>
                <w:sz w:val="17"/>
                <w:szCs w:val="17"/>
              </w:rPr>
              <w:t>14.4</w:t>
            </w:r>
          </w:p>
        </w:tc>
        <w:tc>
          <w:tcPr>
            <w:tcW w:w="951" w:type="dxa"/>
          </w:tcPr>
          <w:p w14:paraId="50304141">
            <w:pPr>
              <w:spacing w:before="77" w:line="219" w:lineRule="auto"/>
              <w:jc w:val="center"/>
            </w:pPr>
            <w:r>
              <w:rPr>
                <w:rFonts w:hint="eastAsia" w:ascii="宋体" w:hAnsi="宋体" w:cs="宋体"/>
                <w:spacing w:val="-2"/>
                <w:sz w:val="17"/>
                <w:szCs w:val="17"/>
              </w:rPr>
              <w:t>14.4</w:t>
            </w:r>
          </w:p>
        </w:tc>
        <w:tc>
          <w:tcPr>
            <w:tcW w:w="2469" w:type="dxa"/>
            <w:vAlign w:val="center"/>
          </w:tcPr>
          <w:p w14:paraId="63A54097">
            <w:pPr>
              <w:jc w:val="center"/>
            </w:pPr>
            <w:r>
              <w:rPr>
                <w:rFonts w:hint="eastAsia" w:ascii="宋体" w:hAnsi="宋体" w:cs="宋体"/>
                <w:spacing w:val="-2"/>
                <w:sz w:val="17"/>
                <w:szCs w:val="17"/>
              </w:rPr>
              <w:t>100%</w:t>
            </w:r>
          </w:p>
        </w:tc>
      </w:tr>
      <w:tr w14:paraId="49BC5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34BDE33"/>
        </w:tc>
        <w:tc>
          <w:tcPr>
            <w:tcW w:w="1777" w:type="dxa"/>
            <w:gridSpan w:val="2"/>
          </w:tcPr>
          <w:p w14:paraId="39C2EE77">
            <w:pPr>
              <w:spacing w:before="78" w:line="219" w:lineRule="auto"/>
              <w:ind w:left="151"/>
              <w:rPr>
                <w:rFonts w:ascii="宋体" w:hAnsi="宋体" w:cs="宋体"/>
                <w:sz w:val="17"/>
                <w:szCs w:val="17"/>
              </w:rPr>
            </w:pPr>
            <w:r>
              <w:rPr>
                <w:rFonts w:ascii="宋体" w:hAnsi="宋体" w:cs="宋体"/>
                <w:spacing w:val="-2"/>
                <w:sz w:val="17"/>
                <w:szCs w:val="17"/>
              </w:rPr>
              <w:t>2.政府性基金</w:t>
            </w:r>
          </w:p>
        </w:tc>
        <w:tc>
          <w:tcPr>
            <w:tcW w:w="1308" w:type="dxa"/>
          </w:tcPr>
          <w:p w14:paraId="6EF10FF7"/>
        </w:tc>
        <w:tc>
          <w:tcPr>
            <w:tcW w:w="1145" w:type="dxa"/>
          </w:tcPr>
          <w:p w14:paraId="24E747F7"/>
        </w:tc>
        <w:tc>
          <w:tcPr>
            <w:tcW w:w="951" w:type="dxa"/>
          </w:tcPr>
          <w:p w14:paraId="4124BD64"/>
        </w:tc>
        <w:tc>
          <w:tcPr>
            <w:tcW w:w="2469" w:type="dxa"/>
          </w:tcPr>
          <w:p w14:paraId="697A0F27"/>
        </w:tc>
      </w:tr>
      <w:tr w14:paraId="1E434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7A79C909"/>
        </w:tc>
        <w:tc>
          <w:tcPr>
            <w:tcW w:w="1777" w:type="dxa"/>
            <w:gridSpan w:val="2"/>
          </w:tcPr>
          <w:p w14:paraId="1B8E6DC2">
            <w:pPr>
              <w:spacing w:before="119" w:line="219" w:lineRule="auto"/>
              <w:ind w:left="151"/>
              <w:rPr>
                <w:rFonts w:ascii="宋体" w:hAnsi="宋体" w:cs="宋体"/>
                <w:sz w:val="17"/>
                <w:szCs w:val="17"/>
              </w:rPr>
            </w:pPr>
            <w:r>
              <w:rPr>
                <w:rFonts w:ascii="宋体" w:hAnsi="宋体" w:cs="宋体"/>
                <w:spacing w:val="-1"/>
                <w:sz w:val="17"/>
                <w:szCs w:val="17"/>
              </w:rPr>
              <w:t>3.国有资本经营预算</w:t>
            </w:r>
          </w:p>
        </w:tc>
        <w:tc>
          <w:tcPr>
            <w:tcW w:w="1308" w:type="dxa"/>
          </w:tcPr>
          <w:p w14:paraId="272DD57A"/>
        </w:tc>
        <w:tc>
          <w:tcPr>
            <w:tcW w:w="1145" w:type="dxa"/>
          </w:tcPr>
          <w:p w14:paraId="5579B840"/>
        </w:tc>
        <w:tc>
          <w:tcPr>
            <w:tcW w:w="951" w:type="dxa"/>
          </w:tcPr>
          <w:p w14:paraId="6F064347"/>
        </w:tc>
        <w:tc>
          <w:tcPr>
            <w:tcW w:w="2469" w:type="dxa"/>
          </w:tcPr>
          <w:p w14:paraId="58D6F87A"/>
        </w:tc>
      </w:tr>
      <w:tr w14:paraId="78DA4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5081AA76"/>
        </w:tc>
        <w:tc>
          <w:tcPr>
            <w:tcW w:w="1777" w:type="dxa"/>
            <w:gridSpan w:val="2"/>
          </w:tcPr>
          <w:p w14:paraId="7673D33F">
            <w:pPr>
              <w:spacing w:before="82" w:line="219" w:lineRule="auto"/>
              <w:ind w:left="151"/>
              <w:rPr>
                <w:rFonts w:ascii="宋体" w:hAnsi="宋体" w:cs="宋体"/>
                <w:sz w:val="17"/>
                <w:szCs w:val="17"/>
              </w:rPr>
            </w:pPr>
            <w:r>
              <w:rPr>
                <w:rFonts w:ascii="宋体" w:hAnsi="宋体" w:cs="宋体"/>
                <w:spacing w:val="-1"/>
                <w:sz w:val="17"/>
                <w:szCs w:val="17"/>
              </w:rPr>
              <w:t>4.社保基金</w:t>
            </w:r>
          </w:p>
        </w:tc>
        <w:tc>
          <w:tcPr>
            <w:tcW w:w="1308" w:type="dxa"/>
          </w:tcPr>
          <w:p w14:paraId="1083367E"/>
        </w:tc>
        <w:tc>
          <w:tcPr>
            <w:tcW w:w="1145" w:type="dxa"/>
          </w:tcPr>
          <w:p w14:paraId="01021DD9"/>
        </w:tc>
        <w:tc>
          <w:tcPr>
            <w:tcW w:w="951" w:type="dxa"/>
          </w:tcPr>
          <w:p w14:paraId="5E759BA2"/>
        </w:tc>
        <w:tc>
          <w:tcPr>
            <w:tcW w:w="2469" w:type="dxa"/>
          </w:tcPr>
          <w:p w14:paraId="1C2CE940"/>
        </w:tc>
      </w:tr>
      <w:tr w14:paraId="10B10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707FFD5E"/>
        </w:tc>
        <w:tc>
          <w:tcPr>
            <w:tcW w:w="1777" w:type="dxa"/>
            <w:gridSpan w:val="2"/>
          </w:tcPr>
          <w:p w14:paraId="2580F066">
            <w:pPr>
              <w:spacing w:before="112" w:line="220" w:lineRule="auto"/>
              <w:ind w:left="151"/>
              <w:rPr>
                <w:rFonts w:ascii="宋体" w:hAnsi="宋体" w:cs="宋体"/>
                <w:sz w:val="17"/>
                <w:szCs w:val="17"/>
              </w:rPr>
            </w:pPr>
            <w:r>
              <w:rPr>
                <w:rFonts w:ascii="宋体" w:hAnsi="宋体" w:cs="宋体"/>
                <w:spacing w:val="1"/>
                <w:sz w:val="17"/>
                <w:szCs w:val="17"/>
              </w:rPr>
              <w:t>(二)其他资金</w:t>
            </w:r>
          </w:p>
        </w:tc>
        <w:tc>
          <w:tcPr>
            <w:tcW w:w="1308" w:type="dxa"/>
          </w:tcPr>
          <w:p w14:paraId="4117B257"/>
        </w:tc>
        <w:tc>
          <w:tcPr>
            <w:tcW w:w="1145" w:type="dxa"/>
          </w:tcPr>
          <w:p w14:paraId="6B28AD01"/>
        </w:tc>
        <w:tc>
          <w:tcPr>
            <w:tcW w:w="951" w:type="dxa"/>
          </w:tcPr>
          <w:p w14:paraId="142C791F"/>
        </w:tc>
        <w:tc>
          <w:tcPr>
            <w:tcW w:w="2469" w:type="dxa"/>
          </w:tcPr>
          <w:p w14:paraId="2CBDD926"/>
        </w:tc>
      </w:tr>
      <w:tr w14:paraId="55074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1DC75DBF">
            <w:pPr>
              <w:spacing w:line="385" w:lineRule="auto"/>
            </w:pPr>
          </w:p>
          <w:p w14:paraId="48F1A915">
            <w:pPr>
              <w:spacing w:before="55" w:line="219" w:lineRule="auto"/>
              <w:ind w:left="194" w:right="2" w:hanging="139"/>
              <w:rPr>
                <w:rFonts w:ascii="宋体" w:hAnsi="宋体" w:cs="宋体"/>
                <w:sz w:val="17"/>
                <w:szCs w:val="17"/>
              </w:rPr>
            </w:pPr>
            <w:r>
              <w:rPr>
                <w:rFonts w:ascii="宋体" w:hAnsi="宋体" w:cs="宋体"/>
                <w:spacing w:val="-11"/>
                <w:sz w:val="17"/>
                <w:szCs w:val="17"/>
              </w:rPr>
              <w:t>年度总体</w:t>
            </w:r>
            <w:r>
              <w:rPr>
                <w:rFonts w:ascii="宋体" w:hAnsi="宋体" w:cs="宋体"/>
                <w:sz w:val="17"/>
                <w:szCs w:val="17"/>
              </w:rPr>
              <w:t xml:space="preserve"> </w:t>
            </w:r>
            <w:r>
              <w:rPr>
                <w:rFonts w:ascii="宋体" w:hAnsi="宋体" w:cs="宋体"/>
                <w:spacing w:val="6"/>
                <w:sz w:val="17"/>
                <w:szCs w:val="17"/>
              </w:rPr>
              <w:t>目标</w:t>
            </w:r>
          </w:p>
        </w:tc>
        <w:tc>
          <w:tcPr>
            <w:tcW w:w="5933" w:type="dxa"/>
            <w:gridSpan w:val="6"/>
          </w:tcPr>
          <w:p w14:paraId="5493F24F">
            <w:pPr>
              <w:spacing w:before="183" w:line="220" w:lineRule="auto"/>
              <w:jc w:val="center"/>
              <w:rPr>
                <w:rFonts w:ascii="宋体" w:hAnsi="宋体" w:cs="宋体"/>
                <w:sz w:val="17"/>
                <w:szCs w:val="17"/>
              </w:rPr>
            </w:pPr>
            <w:r>
              <w:rPr>
                <w:rFonts w:ascii="宋体" w:hAnsi="宋体" w:cs="宋体"/>
                <w:spacing w:val="-2"/>
                <w:sz w:val="17"/>
                <w:szCs w:val="17"/>
              </w:rPr>
              <w:t>预期目标</w:t>
            </w:r>
          </w:p>
        </w:tc>
        <w:tc>
          <w:tcPr>
            <w:tcW w:w="2469" w:type="dxa"/>
          </w:tcPr>
          <w:p w14:paraId="76A2E47C">
            <w:pPr>
              <w:spacing w:before="183" w:line="220" w:lineRule="auto"/>
              <w:jc w:val="center"/>
              <w:rPr>
                <w:rFonts w:ascii="宋体" w:hAnsi="宋体" w:cs="宋体"/>
                <w:spacing w:val="-2"/>
                <w:sz w:val="17"/>
                <w:szCs w:val="17"/>
              </w:rPr>
            </w:pPr>
            <w:r>
              <w:rPr>
                <w:rFonts w:hint="eastAsia" w:ascii="宋体" w:hAnsi="宋体" w:cs="宋体"/>
                <w:spacing w:val="-2"/>
                <w:sz w:val="17"/>
                <w:szCs w:val="17"/>
              </w:rPr>
              <w:t>完成情况</w:t>
            </w:r>
          </w:p>
        </w:tc>
      </w:tr>
      <w:tr w14:paraId="2AFF3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1" w:hRule="atLeast"/>
        </w:trPr>
        <w:tc>
          <w:tcPr>
            <w:tcW w:w="697" w:type="dxa"/>
            <w:vMerge w:val="continue"/>
            <w:tcBorders>
              <w:top w:val="nil"/>
            </w:tcBorders>
          </w:tcPr>
          <w:p w14:paraId="4ECD42DF"/>
        </w:tc>
        <w:tc>
          <w:tcPr>
            <w:tcW w:w="5933" w:type="dxa"/>
            <w:gridSpan w:val="6"/>
            <w:vAlign w:val="center"/>
          </w:tcPr>
          <w:p w14:paraId="7C220C38">
            <w:pPr>
              <w:rPr>
                <w:rFonts w:ascii="宋体" w:hAnsi="宋体" w:cs="宋体"/>
                <w:spacing w:val="-2"/>
                <w:sz w:val="17"/>
                <w:szCs w:val="17"/>
              </w:rPr>
            </w:pPr>
            <w:r>
              <w:rPr>
                <w:rFonts w:hint="eastAsia" w:ascii="宋体" w:hAnsi="宋体" w:cs="宋体"/>
                <w:spacing w:val="-2"/>
                <w:sz w:val="17"/>
                <w:szCs w:val="17"/>
                <w:lang w:val="zh-CN"/>
              </w:rPr>
              <w:t xml:space="preserve">    开展烤烟生产技术培训</w:t>
            </w:r>
            <w:r>
              <w:rPr>
                <w:rFonts w:hint="eastAsia" w:ascii="宋体" w:hAnsi="宋体" w:cs="宋体"/>
                <w:spacing w:val="-2"/>
                <w:sz w:val="17"/>
                <w:szCs w:val="17"/>
              </w:rPr>
              <w:t>4次，维修烤房15间，烟地整理2000亩，完成税收目标任务，带动烟农增收10%。</w:t>
            </w:r>
          </w:p>
          <w:p w14:paraId="03E36361"/>
        </w:tc>
        <w:tc>
          <w:tcPr>
            <w:tcW w:w="2469" w:type="dxa"/>
            <w:vAlign w:val="center"/>
          </w:tcPr>
          <w:p w14:paraId="5EA687E4">
            <w:pPr>
              <w:rPr>
                <w:rFonts w:ascii="宋体" w:hAnsi="宋体" w:cs="宋体"/>
                <w:spacing w:val="-2"/>
                <w:sz w:val="17"/>
                <w:szCs w:val="17"/>
              </w:rPr>
            </w:pPr>
            <w:r>
              <w:rPr>
                <w:rFonts w:hint="eastAsia" w:ascii="宋体" w:hAnsi="宋体" w:cs="宋体"/>
                <w:spacing w:val="-2"/>
                <w:sz w:val="17"/>
                <w:szCs w:val="17"/>
                <w:lang w:val="zh-CN"/>
              </w:rPr>
              <w:t xml:space="preserve">   开展烤烟生产技术培训</w:t>
            </w:r>
            <w:r>
              <w:rPr>
                <w:rFonts w:hint="eastAsia" w:ascii="宋体" w:hAnsi="宋体" w:cs="宋体"/>
                <w:spacing w:val="-2"/>
                <w:sz w:val="17"/>
                <w:szCs w:val="17"/>
              </w:rPr>
              <w:t>4次，维修烤房15间，烟地整理2000亩，完成税收目标任务，带动烟农增收10%。</w:t>
            </w:r>
          </w:p>
        </w:tc>
      </w:tr>
      <w:tr w14:paraId="1F02B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425936C1">
            <w:pPr>
              <w:spacing w:line="253" w:lineRule="auto"/>
              <w:jc w:val="center"/>
            </w:pPr>
          </w:p>
          <w:p w14:paraId="72F942DE">
            <w:pPr>
              <w:spacing w:line="253" w:lineRule="auto"/>
              <w:jc w:val="center"/>
            </w:pPr>
          </w:p>
          <w:p w14:paraId="615C1E55">
            <w:pPr>
              <w:spacing w:line="253" w:lineRule="auto"/>
              <w:jc w:val="center"/>
            </w:pPr>
          </w:p>
          <w:p w14:paraId="6C9CCE4B">
            <w:pPr>
              <w:spacing w:line="254" w:lineRule="auto"/>
              <w:jc w:val="center"/>
            </w:pPr>
          </w:p>
          <w:p w14:paraId="7CFD60F4">
            <w:pPr>
              <w:spacing w:line="254" w:lineRule="auto"/>
              <w:jc w:val="center"/>
            </w:pPr>
          </w:p>
          <w:p w14:paraId="51C1B4CC">
            <w:pPr>
              <w:spacing w:line="254" w:lineRule="auto"/>
              <w:jc w:val="center"/>
            </w:pPr>
          </w:p>
          <w:p w14:paraId="7EBBCA07">
            <w:pPr>
              <w:spacing w:line="254" w:lineRule="auto"/>
              <w:jc w:val="center"/>
            </w:pPr>
          </w:p>
          <w:p w14:paraId="57A1C6B3">
            <w:pPr>
              <w:spacing w:line="254" w:lineRule="auto"/>
              <w:jc w:val="center"/>
            </w:pPr>
          </w:p>
          <w:p w14:paraId="41C3F0FD">
            <w:pPr>
              <w:spacing w:line="254" w:lineRule="auto"/>
              <w:jc w:val="center"/>
            </w:pPr>
          </w:p>
          <w:p w14:paraId="6F5714E2">
            <w:pPr>
              <w:spacing w:line="254" w:lineRule="auto"/>
              <w:jc w:val="center"/>
            </w:pPr>
          </w:p>
          <w:p w14:paraId="634F1A8D">
            <w:pPr>
              <w:spacing w:line="254" w:lineRule="auto"/>
              <w:jc w:val="center"/>
            </w:pPr>
          </w:p>
          <w:p w14:paraId="477809CA">
            <w:pPr>
              <w:spacing w:line="254" w:lineRule="auto"/>
              <w:jc w:val="center"/>
            </w:pPr>
          </w:p>
          <w:p w14:paraId="5D19D8BC">
            <w:pPr>
              <w:spacing w:line="254" w:lineRule="auto"/>
              <w:jc w:val="center"/>
            </w:pPr>
          </w:p>
          <w:p w14:paraId="38978697">
            <w:pPr>
              <w:spacing w:before="56" w:line="220" w:lineRule="auto"/>
              <w:ind w:left="55"/>
              <w:jc w:val="center"/>
              <w:rPr>
                <w:rFonts w:ascii="宋体" w:hAnsi="宋体" w:cs="宋体"/>
                <w:sz w:val="17"/>
                <w:szCs w:val="17"/>
              </w:rPr>
            </w:pPr>
            <w:r>
              <w:rPr>
                <w:rFonts w:ascii="宋体" w:hAnsi="宋体" w:cs="宋体"/>
                <w:spacing w:val="-11"/>
                <w:sz w:val="17"/>
                <w:szCs w:val="17"/>
              </w:rPr>
              <w:t>绩效指标</w:t>
            </w:r>
          </w:p>
        </w:tc>
        <w:tc>
          <w:tcPr>
            <w:tcW w:w="752" w:type="dxa"/>
            <w:tcBorders>
              <w:bottom w:val="single" w:color="auto" w:sz="4" w:space="0"/>
            </w:tcBorders>
          </w:tcPr>
          <w:p w14:paraId="57885061">
            <w:pPr>
              <w:spacing w:before="155" w:line="220" w:lineRule="auto"/>
              <w:ind w:left="40"/>
              <w:jc w:val="center"/>
              <w:rPr>
                <w:rFonts w:ascii="宋体" w:hAnsi="宋体" w:cs="宋体"/>
                <w:sz w:val="17"/>
                <w:szCs w:val="17"/>
              </w:rPr>
            </w:pPr>
            <w:r>
              <w:rPr>
                <w:rFonts w:ascii="宋体" w:hAnsi="宋体" w:cs="宋体"/>
                <w:spacing w:val="-2"/>
                <w:sz w:val="17"/>
                <w:szCs w:val="17"/>
              </w:rPr>
              <w:t>一级指标</w:t>
            </w:r>
          </w:p>
        </w:tc>
        <w:tc>
          <w:tcPr>
            <w:tcW w:w="999" w:type="dxa"/>
          </w:tcPr>
          <w:p w14:paraId="725028B3">
            <w:pPr>
              <w:spacing w:before="155" w:line="220" w:lineRule="auto"/>
              <w:jc w:val="center"/>
              <w:rPr>
                <w:rFonts w:ascii="宋体" w:hAnsi="宋体" w:cs="宋体"/>
                <w:sz w:val="17"/>
                <w:szCs w:val="17"/>
              </w:rPr>
            </w:pPr>
            <w:r>
              <w:rPr>
                <w:rFonts w:ascii="宋体" w:hAnsi="宋体" w:cs="宋体"/>
                <w:spacing w:val="-2"/>
                <w:sz w:val="17"/>
                <w:szCs w:val="17"/>
              </w:rPr>
              <w:t>二级指标</w:t>
            </w:r>
          </w:p>
        </w:tc>
        <w:tc>
          <w:tcPr>
            <w:tcW w:w="2086" w:type="dxa"/>
            <w:gridSpan w:val="2"/>
          </w:tcPr>
          <w:p w14:paraId="678B2CC4">
            <w:pPr>
              <w:spacing w:before="155" w:line="220" w:lineRule="auto"/>
              <w:jc w:val="center"/>
              <w:rPr>
                <w:rFonts w:ascii="宋体" w:hAnsi="宋体" w:cs="宋体"/>
                <w:sz w:val="17"/>
                <w:szCs w:val="17"/>
              </w:rPr>
            </w:pPr>
            <w:r>
              <w:rPr>
                <w:rFonts w:ascii="宋体" w:hAnsi="宋体" w:cs="宋体"/>
                <w:spacing w:val="-2"/>
                <w:sz w:val="17"/>
                <w:szCs w:val="17"/>
              </w:rPr>
              <w:t>三级指标</w:t>
            </w:r>
          </w:p>
        </w:tc>
        <w:tc>
          <w:tcPr>
            <w:tcW w:w="1145" w:type="dxa"/>
          </w:tcPr>
          <w:p w14:paraId="02A97B93">
            <w:pPr>
              <w:spacing w:before="155" w:line="219" w:lineRule="auto"/>
              <w:jc w:val="center"/>
              <w:rPr>
                <w:rFonts w:ascii="宋体" w:hAnsi="宋体" w:cs="宋体"/>
                <w:sz w:val="17"/>
                <w:szCs w:val="17"/>
              </w:rPr>
            </w:pPr>
            <w:r>
              <w:rPr>
                <w:rFonts w:ascii="宋体" w:hAnsi="宋体" w:cs="宋体"/>
                <w:spacing w:val="-2"/>
                <w:sz w:val="17"/>
                <w:szCs w:val="17"/>
              </w:rPr>
              <w:t>年度指标值</w:t>
            </w:r>
          </w:p>
        </w:tc>
        <w:tc>
          <w:tcPr>
            <w:tcW w:w="951" w:type="dxa"/>
          </w:tcPr>
          <w:p w14:paraId="6A461222">
            <w:pPr>
              <w:spacing w:before="155" w:line="219" w:lineRule="auto"/>
              <w:jc w:val="center"/>
              <w:rPr>
                <w:rFonts w:ascii="宋体" w:hAnsi="宋体" w:cs="宋体"/>
                <w:sz w:val="17"/>
                <w:szCs w:val="17"/>
              </w:rPr>
            </w:pPr>
            <w:r>
              <w:rPr>
                <w:rFonts w:ascii="宋体" w:hAnsi="宋体" w:cs="宋体"/>
                <w:spacing w:val="-2"/>
                <w:sz w:val="17"/>
                <w:szCs w:val="17"/>
              </w:rPr>
              <w:t>实际完成值</w:t>
            </w:r>
          </w:p>
        </w:tc>
        <w:tc>
          <w:tcPr>
            <w:tcW w:w="2469" w:type="dxa"/>
          </w:tcPr>
          <w:p w14:paraId="708EABA9">
            <w:pPr>
              <w:spacing w:before="75" w:line="227" w:lineRule="auto"/>
              <w:jc w:val="center"/>
              <w:rPr>
                <w:rFonts w:ascii="宋体" w:hAnsi="宋体" w:cs="宋体"/>
                <w:sz w:val="16"/>
                <w:szCs w:val="16"/>
              </w:rPr>
            </w:pPr>
            <w:r>
              <w:rPr>
                <w:rFonts w:ascii="宋体" w:hAnsi="宋体" w:cs="宋体"/>
                <w:sz w:val="16"/>
                <w:szCs w:val="16"/>
              </w:rPr>
              <w:t>偏差原因分析及</w:t>
            </w:r>
            <w:r>
              <w:rPr>
                <w:rFonts w:ascii="宋体" w:hAnsi="宋体" w:cs="宋体"/>
                <w:spacing w:val="11"/>
                <w:sz w:val="16"/>
                <w:szCs w:val="16"/>
              </w:rPr>
              <w:t>改进措施</w:t>
            </w:r>
          </w:p>
        </w:tc>
      </w:tr>
      <w:tr w14:paraId="461B4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697" w:type="dxa"/>
            <w:vMerge w:val="continue"/>
            <w:vAlign w:val="center"/>
          </w:tcPr>
          <w:p w14:paraId="6F754843">
            <w:pPr>
              <w:jc w:val="cente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7EA4BBC2">
            <w:pPr>
              <w:spacing w:line="286" w:lineRule="auto"/>
              <w:jc w:val="center"/>
            </w:pPr>
          </w:p>
          <w:p w14:paraId="6075918F">
            <w:pPr>
              <w:spacing w:line="286" w:lineRule="auto"/>
              <w:jc w:val="center"/>
            </w:pPr>
          </w:p>
          <w:p w14:paraId="459445FB">
            <w:pPr>
              <w:spacing w:line="286" w:lineRule="auto"/>
              <w:jc w:val="center"/>
            </w:pPr>
          </w:p>
          <w:p w14:paraId="28B92AE6">
            <w:pPr>
              <w:spacing w:line="286" w:lineRule="auto"/>
              <w:jc w:val="center"/>
            </w:pPr>
          </w:p>
          <w:p w14:paraId="741E0BAF">
            <w:pPr>
              <w:spacing w:line="287" w:lineRule="auto"/>
              <w:jc w:val="center"/>
            </w:pPr>
          </w:p>
          <w:p w14:paraId="4BE35ED7">
            <w:pPr>
              <w:spacing w:before="56" w:line="219" w:lineRule="auto"/>
              <w:ind w:left="40"/>
              <w:jc w:val="center"/>
              <w:rPr>
                <w:rFonts w:ascii="宋体" w:hAnsi="宋体" w:cs="宋体"/>
                <w:sz w:val="17"/>
                <w:szCs w:val="17"/>
              </w:rPr>
            </w:pPr>
            <w:r>
              <w:rPr>
                <w:rFonts w:ascii="宋体" w:hAnsi="宋体" w:cs="宋体"/>
                <w:spacing w:val="-2"/>
                <w:sz w:val="17"/>
                <w:szCs w:val="17"/>
              </w:rPr>
              <w:t>产出指标</w:t>
            </w:r>
          </w:p>
        </w:tc>
        <w:tc>
          <w:tcPr>
            <w:tcW w:w="999" w:type="dxa"/>
            <w:tcBorders>
              <w:left w:val="single" w:color="auto" w:sz="4" w:space="0"/>
              <w:bottom w:val="nil"/>
            </w:tcBorders>
            <w:vAlign w:val="center"/>
          </w:tcPr>
          <w:p w14:paraId="4193C0D6">
            <w:pPr>
              <w:spacing w:before="67" w:line="209" w:lineRule="auto"/>
              <w:ind w:left="23"/>
              <w:jc w:val="center"/>
              <w:rPr>
                <w:rFonts w:ascii="宋体" w:hAnsi="宋体" w:cs="宋体"/>
                <w:sz w:val="17"/>
                <w:szCs w:val="17"/>
              </w:rPr>
            </w:pPr>
            <w:r>
              <w:rPr>
                <w:rFonts w:ascii="宋体" w:hAnsi="宋体" w:cs="宋体"/>
                <w:sz w:val="17"/>
                <w:szCs w:val="17"/>
              </w:rPr>
              <w:t>时效指标</w:t>
            </w:r>
          </w:p>
        </w:tc>
        <w:tc>
          <w:tcPr>
            <w:tcW w:w="2086" w:type="dxa"/>
            <w:gridSpan w:val="2"/>
            <w:vAlign w:val="center"/>
          </w:tcPr>
          <w:p w14:paraId="3CFBE2FD">
            <w:pPr>
              <w:spacing w:before="67" w:line="209" w:lineRule="auto"/>
              <w:ind w:left="23"/>
              <w:jc w:val="center"/>
              <w:rPr>
                <w:rFonts w:ascii="宋体" w:hAnsi="宋体" w:cs="宋体"/>
                <w:sz w:val="17"/>
                <w:szCs w:val="17"/>
              </w:rPr>
            </w:pPr>
            <w:r>
              <w:rPr>
                <w:rFonts w:hint="eastAsia" w:ascii="宋体" w:hAnsi="宋体" w:cs="宋体"/>
                <w:sz w:val="17"/>
                <w:szCs w:val="17"/>
              </w:rPr>
              <w:t>项目使用年限</w:t>
            </w:r>
          </w:p>
        </w:tc>
        <w:tc>
          <w:tcPr>
            <w:tcW w:w="1145" w:type="dxa"/>
            <w:vAlign w:val="center"/>
          </w:tcPr>
          <w:p w14:paraId="79CF9E7E">
            <w:pPr>
              <w:spacing w:before="67" w:line="209" w:lineRule="auto"/>
              <w:ind w:left="23"/>
              <w:jc w:val="center"/>
              <w:rPr>
                <w:rFonts w:ascii="宋体" w:hAnsi="宋体" w:cs="宋体"/>
                <w:sz w:val="17"/>
                <w:szCs w:val="17"/>
              </w:rPr>
            </w:pPr>
            <w:r>
              <w:rPr>
                <w:rFonts w:ascii="宋体" w:hAnsi="宋体" w:cs="宋体"/>
                <w:sz w:val="17"/>
                <w:szCs w:val="17"/>
              </w:rPr>
              <w:t>1</w:t>
            </w:r>
            <w:r>
              <w:rPr>
                <w:rFonts w:hint="eastAsia" w:ascii="宋体" w:hAnsi="宋体" w:cs="宋体"/>
                <w:sz w:val="17"/>
                <w:szCs w:val="17"/>
              </w:rPr>
              <w:t>年</w:t>
            </w:r>
          </w:p>
        </w:tc>
        <w:tc>
          <w:tcPr>
            <w:tcW w:w="951" w:type="dxa"/>
            <w:vAlign w:val="center"/>
          </w:tcPr>
          <w:p w14:paraId="7DC8FF57">
            <w:pPr>
              <w:spacing w:before="67" w:line="209" w:lineRule="auto"/>
              <w:ind w:left="23"/>
              <w:jc w:val="center"/>
              <w:rPr>
                <w:rFonts w:ascii="宋体" w:hAnsi="宋体" w:cs="宋体"/>
                <w:sz w:val="17"/>
                <w:szCs w:val="17"/>
              </w:rPr>
            </w:pPr>
            <w:r>
              <w:rPr>
                <w:rFonts w:hint="eastAsia" w:ascii="宋体" w:hAnsi="宋体" w:cs="宋体"/>
                <w:sz w:val="17"/>
                <w:szCs w:val="17"/>
              </w:rPr>
              <w:t>1年</w:t>
            </w:r>
          </w:p>
        </w:tc>
        <w:tc>
          <w:tcPr>
            <w:tcW w:w="2469" w:type="dxa"/>
          </w:tcPr>
          <w:p w14:paraId="6ECEB119">
            <w:pPr>
              <w:jc w:val="center"/>
            </w:pPr>
          </w:p>
        </w:tc>
      </w:tr>
      <w:tr w14:paraId="28F28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697" w:type="dxa"/>
            <w:vMerge w:val="continue"/>
            <w:vAlign w:val="center"/>
          </w:tcPr>
          <w:p w14:paraId="099E25DE">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729C6FB1">
            <w:pPr>
              <w:jc w:val="center"/>
            </w:pPr>
          </w:p>
        </w:tc>
        <w:tc>
          <w:tcPr>
            <w:tcW w:w="999" w:type="dxa"/>
            <w:tcBorders>
              <w:left w:val="single" w:color="auto" w:sz="4" w:space="0"/>
            </w:tcBorders>
            <w:vAlign w:val="center"/>
          </w:tcPr>
          <w:p w14:paraId="1A0B8DDF">
            <w:pPr>
              <w:spacing w:before="67" w:line="209" w:lineRule="auto"/>
              <w:ind w:left="23"/>
              <w:jc w:val="center"/>
              <w:rPr>
                <w:rFonts w:ascii="宋体" w:hAnsi="宋体" w:cs="宋体"/>
                <w:sz w:val="17"/>
                <w:szCs w:val="17"/>
              </w:rPr>
            </w:pPr>
            <w:r>
              <w:rPr>
                <w:rFonts w:ascii="宋体" w:hAnsi="宋体" w:cs="宋体"/>
                <w:sz w:val="17"/>
                <w:szCs w:val="17"/>
              </w:rPr>
              <w:t>质量指标</w:t>
            </w:r>
          </w:p>
        </w:tc>
        <w:tc>
          <w:tcPr>
            <w:tcW w:w="2086" w:type="dxa"/>
            <w:gridSpan w:val="2"/>
            <w:vAlign w:val="center"/>
          </w:tcPr>
          <w:p w14:paraId="2A04CF95">
            <w:pPr>
              <w:spacing w:before="67" w:line="209" w:lineRule="auto"/>
              <w:ind w:left="23"/>
              <w:jc w:val="center"/>
              <w:rPr>
                <w:rFonts w:ascii="宋体" w:hAnsi="宋体" w:cs="宋体"/>
                <w:sz w:val="17"/>
                <w:szCs w:val="17"/>
              </w:rPr>
            </w:pPr>
            <w:r>
              <w:rPr>
                <w:rFonts w:hint="eastAsia" w:ascii="宋体" w:hAnsi="宋体" w:cs="宋体"/>
                <w:sz w:val="17"/>
                <w:szCs w:val="17"/>
              </w:rPr>
              <w:t>烤烟质检合格率（被收购烤烟质量检测合格数量/烤烟总数量*100%）</w:t>
            </w:r>
          </w:p>
        </w:tc>
        <w:tc>
          <w:tcPr>
            <w:tcW w:w="1145" w:type="dxa"/>
            <w:vAlign w:val="center"/>
          </w:tcPr>
          <w:p w14:paraId="78732EAA">
            <w:pPr>
              <w:spacing w:before="67" w:line="209" w:lineRule="auto"/>
              <w:ind w:left="23"/>
              <w:jc w:val="center"/>
              <w:rPr>
                <w:rFonts w:ascii="宋体" w:hAnsi="宋体" w:cs="宋体"/>
                <w:sz w:val="17"/>
                <w:szCs w:val="17"/>
              </w:rPr>
            </w:pPr>
            <w:r>
              <w:rPr>
                <w:rFonts w:hint="eastAsia" w:ascii="宋体" w:hAnsi="宋体" w:cs="宋体"/>
                <w:sz w:val="17"/>
                <w:szCs w:val="17"/>
              </w:rPr>
              <w:t>≥95%</w:t>
            </w:r>
          </w:p>
        </w:tc>
        <w:tc>
          <w:tcPr>
            <w:tcW w:w="951" w:type="dxa"/>
            <w:vAlign w:val="center"/>
          </w:tcPr>
          <w:p w14:paraId="215A59D9">
            <w:pPr>
              <w:spacing w:before="67" w:line="209" w:lineRule="auto"/>
              <w:ind w:left="23"/>
              <w:jc w:val="center"/>
              <w:rPr>
                <w:rFonts w:ascii="宋体" w:hAnsi="宋体" w:cs="宋体"/>
                <w:sz w:val="17"/>
                <w:szCs w:val="17"/>
              </w:rPr>
            </w:pPr>
            <w:r>
              <w:rPr>
                <w:rFonts w:hint="eastAsia" w:ascii="宋体" w:hAnsi="宋体" w:cs="宋体"/>
                <w:sz w:val="17"/>
                <w:szCs w:val="17"/>
              </w:rPr>
              <w:t>95%</w:t>
            </w:r>
          </w:p>
        </w:tc>
        <w:tc>
          <w:tcPr>
            <w:tcW w:w="2469" w:type="dxa"/>
          </w:tcPr>
          <w:p w14:paraId="5E4211EF">
            <w:pPr>
              <w:jc w:val="center"/>
            </w:pPr>
          </w:p>
        </w:tc>
      </w:tr>
      <w:tr w14:paraId="1081F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77480963">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2A749E05">
            <w:pPr>
              <w:jc w:val="center"/>
            </w:pPr>
          </w:p>
        </w:tc>
        <w:tc>
          <w:tcPr>
            <w:tcW w:w="999" w:type="dxa"/>
            <w:tcBorders>
              <w:left w:val="single" w:color="auto" w:sz="4" w:space="0"/>
              <w:bottom w:val="nil"/>
            </w:tcBorders>
            <w:vAlign w:val="center"/>
          </w:tcPr>
          <w:p w14:paraId="0BC96A3B">
            <w:pPr>
              <w:spacing w:before="67" w:line="209" w:lineRule="auto"/>
              <w:ind w:left="23"/>
              <w:jc w:val="center"/>
              <w:rPr>
                <w:rFonts w:ascii="宋体" w:hAnsi="宋体" w:cs="宋体"/>
                <w:sz w:val="17"/>
                <w:szCs w:val="17"/>
              </w:rPr>
            </w:pPr>
            <w:r>
              <w:rPr>
                <w:rFonts w:hint="eastAsia" w:ascii="宋体" w:hAnsi="宋体" w:cs="宋体"/>
                <w:sz w:val="17"/>
                <w:szCs w:val="17"/>
              </w:rPr>
              <w:t>质量</w:t>
            </w:r>
            <w:r>
              <w:rPr>
                <w:rFonts w:ascii="宋体" w:hAnsi="宋体" w:cs="宋体"/>
                <w:sz w:val="17"/>
                <w:szCs w:val="17"/>
              </w:rPr>
              <w:t>指标</w:t>
            </w:r>
          </w:p>
        </w:tc>
        <w:tc>
          <w:tcPr>
            <w:tcW w:w="2086" w:type="dxa"/>
            <w:gridSpan w:val="2"/>
            <w:vAlign w:val="center"/>
          </w:tcPr>
          <w:p w14:paraId="65693315">
            <w:pPr>
              <w:spacing w:before="67" w:line="209" w:lineRule="auto"/>
              <w:ind w:left="23"/>
              <w:jc w:val="center"/>
              <w:rPr>
                <w:rFonts w:ascii="宋体" w:hAnsi="宋体" w:cs="宋体"/>
                <w:sz w:val="17"/>
                <w:szCs w:val="17"/>
              </w:rPr>
            </w:pPr>
            <w:r>
              <w:rPr>
                <w:rFonts w:hint="eastAsia" w:ascii="宋体" w:hAnsi="宋体" w:cs="宋体"/>
                <w:sz w:val="17"/>
                <w:szCs w:val="17"/>
              </w:rPr>
              <w:t>全年烟叶税收目标任务完成率（烟叶税实际完成数/烟叶税计划完成数*100%）</w:t>
            </w:r>
          </w:p>
        </w:tc>
        <w:tc>
          <w:tcPr>
            <w:tcW w:w="1145" w:type="dxa"/>
            <w:vAlign w:val="center"/>
          </w:tcPr>
          <w:p w14:paraId="16D08341">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951" w:type="dxa"/>
            <w:vAlign w:val="center"/>
          </w:tcPr>
          <w:p w14:paraId="3C891471">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2469" w:type="dxa"/>
          </w:tcPr>
          <w:p w14:paraId="17873300">
            <w:pPr>
              <w:jc w:val="center"/>
            </w:pPr>
          </w:p>
        </w:tc>
      </w:tr>
      <w:tr w14:paraId="2D138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697" w:type="dxa"/>
            <w:vMerge w:val="continue"/>
            <w:vAlign w:val="center"/>
          </w:tcPr>
          <w:p w14:paraId="53E154C3">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5C04F9E1">
            <w:pPr>
              <w:jc w:val="center"/>
            </w:pPr>
          </w:p>
        </w:tc>
        <w:tc>
          <w:tcPr>
            <w:tcW w:w="999" w:type="dxa"/>
            <w:tcBorders>
              <w:left w:val="single" w:color="auto" w:sz="4" w:space="0"/>
              <w:bottom w:val="nil"/>
            </w:tcBorders>
            <w:vAlign w:val="center"/>
          </w:tcPr>
          <w:p w14:paraId="75EC08F2">
            <w:pPr>
              <w:spacing w:before="67" w:line="209" w:lineRule="auto"/>
              <w:ind w:left="23"/>
              <w:jc w:val="center"/>
              <w:rPr>
                <w:rFonts w:ascii="宋体" w:hAnsi="宋体" w:cs="宋体"/>
                <w:sz w:val="17"/>
                <w:szCs w:val="17"/>
              </w:rPr>
            </w:pPr>
            <w:r>
              <w:rPr>
                <w:rFonts w:ascii="宋体" w:hAnsi="宋体" w:cs="宋体"/>
                <w:sz w:val="17"/>
                <w:szCs w:val="17"/>
              </w:rPr>
              <w:t>数量指标</w:t>
            </w:r>
          </w:p>
        </w:tc>
        <w:tc>
          <w:tcPr>
            <w:tcW w:w="2086" w:type="dxa"/>
            <w:gridSpan w:val="2"/>
            <w:vAlign w:val="center"/>
          </w:tcPr>
          <w:p w14:paraId="07FF4ACE">
            <w:pPr>
              <w:spacing w:before="67" w:line="180" w:lineRule="exact"/>
              <w:ind w:left="23"/>
              <w:jc w:val="center"/>
              <w:rPr>
                <w:rFonts w:ascii="宋体" w:hAnsi="宋体" w:cs="宋体"/>
                <w:sz w:val="17"/>
                <w:szCs w:val="17"/>
              </w:rPr>
            </w:pPr>
            <w:r>
              <w:rPr>
                <w:rFonts w:hint="eastAsia" w:ascii="宋体" w:hAnsi="宋体" w:cs="宋体"/>
                <w:sz w:val="17"/>
                <w:szCs w:val="17"/>
              </w:rPr>
              <w:t>对烟农烤烟技术集中培训次数</w:t>
            </w:r>
          </w:p>
        </w:tc>
        <w:tc>
          <w:tcPr>
            <w:tcW w:w="1145" w:type="dxa"/>
            <w:vAlign w:val="center"/>
          </w:tcPr>
          <w:p w14:paraId="04EEE9D4">
            <w:pPr>
              <w:spacing w:before="67" w:line="209" w:lineRule="auto"/>
              <w:ind w:left="23"/>
              <w:jc w:val="center"/>
              <w:rPr>
                <w:rFonts w:ascii="宋体" w:hAnsi="宋体" w:cs="宋体"/>
                <w:sz w:val="17"/>
                <w:szCs w:val="17"/>
              </w:rPr>
            </w:pPr>
            <w:r>
              <w:rPr>
                <w:rFonts w:hint="eastAsia" w:ascii="宋体" w:hAnsi="宋体" w:cs="宋体"/>
                <w:sz w:val="17"/>
                <w:szCs w:val="17"/>
              </w:rPr>
              <w:t>≥4次</w:t>
            </w:r>
          </w:p>
        </w:tc>
        <w:tc>
          <w:tcPr>
            <w:tcW w:w="951" w:type="dxa"/>
            <w:vAlign w:val="center"/>
          </w:tcPr>
          <w:p w14:paraId="26F3F95A">
            <w:pPr>
              <w:spacing w:before="67" w:line="209" w:lineRule="auto"/>
              <w:ind w:left="23" w:firstLine="340" w:firstLineChars="200"/>
              <w:rPr>
                <w:rFonts w:ascii="宋体" w:hAnsi="宋体" w:cs="宋体"/>
                <w:sz w:val="17"/>
                <w:szCs w:val="17"/>
              </w:rPr>
            </w:pPr>
            <w:r>
              <w:rPr>
                <w:rFonts w:hint="eastAsia" w:ascii="宋体" w:hAnsi="宋体" w:cs="宋体"/>
                <w:sz w:val="17"/>
                <w:szCs w:val="17"/>
              </w:rPr>
              <w:t>4次</w:t>
            </w:r>
          </w:p>
        </w:tc>
        <w:tc>
          <w:tcPr>
            <w:tcW w:w="2469" w:type="dxa"/>
          </w:tcPr>
          <w:p w14:paraId="1A6A3114">
            <w:pPr>
              <w:jc w:val="center"/>
            </w:pPr>
          </w:p>
        </w:tc>
      </w:tr>
      <w:tr w14:paraId="017FB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97" w:type="dxa"/>
            <w:vMerge w:val="continue"/>
            <w:vAlign w:val="center"/>
          </w:tcPr>
          <w:p w14:paraId="1AAAE94A">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D67A5B9">
            <w:pPr>
              <w:jc w:val="center"/>
            </w:pPr>
          </w:p>
        </w:tc>
        <w:tc>
          <w:tcPr>
            <w:tcW w:w="999" w:type="dxa"/>
            <w:tcBorders>
              <w:left w:val="single" w:color="auto" w:sz="4" w:space="0"/>
              <w:bottom w:val="nil"/>
            </w:tcBorders>
            <w:vAlign w:val="center"/>
          </w:tcPr>
          <w:p w14:paraId="15431E6A">
            <w:pPr>
              <w:spacing w:before="67" w:line="209" w:lineRule="auto"/>
              <w:ind w:left="23"/>
              <w:jc w:val="center"/>
              <w:rPr>
                <w:rFonts w:ascii="宋体" w:hAnsi="宋体" w:cs="宋体"/>
                <w:sz w:val="17"/>
                <w:szCs w:val="17"/>
              </w:rPr>
            </w:pPr>
            <w:r>
              <w:rPr>
                <w:rFonts w:hint="eastAsia" w:ascii="宋体" w:hAnsi="宋体" w:cs="宋体"/>
                <w:sz w:val="17"/>
                <w:szCs w:val="17"/>
              </w:rPr>
              <w:t>数量指标</w:t>
            </w:r>
          </w:p>
        </w:tc>
        <w:tc>
          <w:tcPr>
            <w:tcW w:w="2086" w:type="dxa"/>
            <w:gridSpan w:val="2"/>
            <w:vAlign w:val="center"/>
          </w:tcPr>
          <w:p w14:paraId="729A8929">
            <w:pPr>
              <w:spacing w:before="67" w:line="180" w:lineRule="exact"/>
              <w:ind w:left="23"/>
              <w:jc w:val="center"/>
              <w:rPr>
                <w:rFonts w:ascii="宋体" w:hAnsi="宋体" w:cs="宋体"/>
                <w:sz w:val="17"/>
                <w:szCs w:val="17"/>
              </w:rPr>
            </w:pPr>
            <w:r>
              <w:rPr>
                <w:rFonts w:hint="eastAsia" w:ascii="宋体" w:hAnsi="宋体" w:cs="宋体"/>
                <w:sz w:val="17"/>
                <w:szCs w:val="17"/>
              </w:rPr>
              <w:t>全年维修及新建烤房数量</w:t>
            </w:r>
          </w:p>
        </w:tc>
        <w:tc>
          <w:tcPr>
            <w:tcW w:w="1145" w:type="dxa"/>
            <w:vAlign w:val="center"/>
          </w:tcPr>
          <w:p w14:paraId="7F44034B">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15间</w:t>
            </w:r>
          </w:p>
        </w:tc>
        <w:tc>
          <w:tcPr>
            <w:tcW w:w="951" w:type="dxa"/>
            <w:vAlign w:val="center"/>
          </w:tcPr>
          <w:p w14:paraId="2A85D034">
            <w:pPr>
              <w:spacing w:before="67" w:line="209" w:lineRule="auto"/>
              <w:ind w:left="23"/>
              <w:jc w:val="center"/>
              <w:rPr>
                <w:rFonts w:ascii="宋体" w:hAnsi="宋体" w:cs="宋体"/>
                <w:sz w:val="17"/>
                <w:szCs w:val="17"/>
              </w:rPr>
            </w:pPr>
            <w:r>
              <w:rPr>
                <w:rFonts w:hint="eastAsia" w:ascii="宋体" w:hAnsi="宋体" w:cs="宋体"/>
                <w:sz w:val="17"/>
                <w:szCs w:val="17"/>
              </w:rPr>
              <w:t>15间</w:t>
            </w:r>
          </w:p>
        </w:tc>
        <w:tc>
          <w:tcPr>
            <w:tcW w:w="2469" w:type="dxa"/>
          </w:tcPr>
          <w:p w14:paraId="451FDC63">
            <w:pPr>
              <w:jc w:val="center"/>
            </w:pPr>
          </w:p>
        </w:tc>
      </w:tr>
      <w:tr w14:paraId="7C55F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97" w:type="dxa"/>
            <w:vMerge w:val="continue"/>
            <w:vAlign w:val="center"/>
          </w:tcPr>
          <w:p w14:paraId="10EEAEA1">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5443A13A">
            <w:pPr>
              <w:jc w:val="center"/>
            </w:pPr>
          </w:p>
        </w:tc>
        <w:tc>
          <w:tcPr>
            <w:tcW w:w="999" w:type="dxa"/>
            <w:tcBorders>
              <w:left w:val="single" w:color="auto" w:sz="4" w:space="0"/>
              <w:bottom w:val="nil"/>
            </w:tcBorders>
            <w:vAlign w:val="center"/>
          </w:tcPr>
          <w:p w14:paraId="0DF21620">
            <w:pPr>
              <w:spacing w:before="67" w:line="209" w:lineRule="auto"/>
              <w:ind w:left="23"/>
              <w:jc w:val="center"/>
              <w:rPr>
                <w:rFonts w:ascii="宋体" w:hAnsi="宋体" w:cs="宋体"/>
                <w:sz w:val="17"/>
                <w:szCs w:val="17"/>
              </w:rPr>
            </w:pPr>
            <w:r>
              <w:rPr>
                <w:rFonts w:hint="eastAsia" w:ascii="宋体" w:hAnsi="宋体" w:cs="宋体"/>
                <w:sz w:val="17"/>
                <w:szCs w:val="17"/>
              </w:rPr>
              <w:t>数量指标</w:t>
            </w:r>
          </w:p>
        </w:tc>
        <w:tc>
          <w:tcPr>
            <w:tcW w:w="2086" w:type="dxa"/>
            <w:gridSpan w:val="2"/>
            <w:vAlign w:val="center"/>
          </w:tcPr>
          <w:p w14:paraId="78CD1F64">
            <w:pPr>
              <w:spacing w:before="67" w:line="180" w:lineRule="exact"/>
              <w:ind w:left="23"/>
              <w:jc w:val="center"/>
              <w:rPr>
                <w:rFonts w:ascii="宋体" w:hAnsi="宋体" w:cs="宋体"/>
                <w:sz w:val="17"/>
                <w:szCs w:val="17"/>
              </w:rPr>
            </w:pPr>
            <w:r>
              <w:rPr>
                <w:rFonts w:hint="eastAsia" w:ascii="宋体" w:hAnsi="宋体" w:cs="宋体"/>
                <w:sz w:val="17"/>
                <w:szCs w:val="17"/>
              </w:rPr>
              <w:t>烟地整理面积</w:t>
            </w:r>
          </w:p>
        </w:tc>
        <w:tc>
          <w:tcPr>
            <w:tcW w:w="1145" w:type="dxa"/>
            <w:vAlign w:val="center"/>
          </w:tcPr>
          <w:p w14:paraId="2D99BD1D">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2000亩</w:t>
            </w:r>
          </w:p>
        </w:tc>
        <w:tc>
          <w:tcPr>
            <w:tcW w:w="951" w:type="dxa"/>
            <w:vAlign w:val="center"/>
          </w:tcPr>
          <w:p w14:paraId="3F015A5E">
            <w:pPr>
              <w:spacing w:before="67" w:line="209" w:lineRule="auto"/>
              <w:ind w:left="23"/>
              <w:jc w:val="center"/>
              <w:rPr>
                <w:rFonts w:ascii="宋体" w:hAnsi="宋体" w:cs="宋体"/>
                <w:sz w:val="17"/>
                <w:szCs w:val="17"/>
              </w:rPr>
            </w:pPr>
            <w:r>
              <w:rPr>
                <w:rFonts w:hint="eastAsia" w:ascii="宋体" w:hAnsi="宋体" w:cs="宋体"/>
                <w:sz w:val="17"/>
                <w:szCs w:val="17"/>
              </w:rPr>
              <w:t>2450亩</w:t>
            </w:r>
          </w:p>
        </w:tc>
        <w:tc>
          <w:tcPr>
            <w:tcW w:w="2469" w:type="dxa"/>
          </w:tcPr>
          <w:p w14:paraId="0E55CB9D">
            <w:pPr>
              <w:jc w:val="center"/>
            </w:pPr>
          </w:p>
        </w:tc>
      </w:tr>
      <w:tr w14:paraId="12658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606F4C72">
            <w:pPr>
              <w:jc w:val="center"/>
            </w:pPr>
          </w:p>
        </w:tc>
        <w:tc>
          <w:tcPr>
            <w:tcW w:w="752" w:type="dxa"/>
            <w:vMerge w:val="restart"/>
            <w:tcBorders>
              <w:top w:val="single" w:color="auto" w:sz="4" w:space="0"/>
              <w:left w:val="single" w:color="auto" w:sz="4" w:space="0"/>
              <w:right w:val="single" w:color="auto" w:sz="4" w:space="0"/>
            </w:tcBorders>
            <w:vAlign w:val="center"/>
          </w:tcPr>
          <w:p w14:paraId="33A54B9A">
            <w:pPr>
              <w:jc w:val="center"/>
            </w:pPr>
            <w:r>
              <w:rPr>
                <w:rFonts w:hint="eastAsia" w:ascii="宋体" w:hAnsi="宋体" w:cs="宋体"/>
                <w:spacing w:val="-2"/>
                <w:sz w:val="17"/>
                <w:szCs w:val="17"/>
              </w:rPr>
              <w:t>效益指标</w:t>
            </w:r>
          </w:p>
        </w:tc>
        <w:tc>
          <w:tcPr>
            <w:tcW w:w="999" w:type="dxa"/>
            <w:tcBorders>
              <w:left w:val="single" w:color="auto" w:sz="4" w:space="0"/>
              <w:bottom w:val="nil"/>
            </w:tcBorders>
            <w:vAlign w:val="center"/>
          </w:tcPr>
          <w:p w14:paraId="39EDE5BC">
            <w:pPr>
              <w:spacing w:before="67" w:line="180" w:lineRule="exact"/>
              <w:ind w:left="23"/>
              <w:jc w:val="center"/>
              <w:rPr>
                <w:rFonts w:ascii="宋体" w:hAnsi="宋体" w:cs="宋体"/>
                <w:sz w:val="17"/>
                <w:szCs w:val="17"/>
              </w:rPr>
            </w:pPr>
            <w:r>
              <w:rPr>
                <w:rFonts w:hint="eastAsia" w:ascii="宋体" w:hAnsi="宋体" w:cs="宋体"/>
                <w:sz w:val="17"/>
                <w:szCs w:val="17"/>
              </w:rPr>
              <w:t>经济效益</w:t>
            </w:r>
          </w:p>
          <w:p w14:paraId="3FDFD844">
            <w:pPr>
              <w:spacing w:before="67" w:line="180" w:lineRule="exact"/>
              <w:ind w:left="23"/>
              <w:jc w:val="center"/>
              <w:rPr>
                <w:rFonts w:ascii="宋体" w:hAnsi="宋体" w:cs="宋体"/>
                <w:sz w:val="17"/>
                <w:szCs w:val="17"/>
              </w:rPr>
            </w:pPr>
            <w:r>
              <w:rPr>
                <w:rFonts w:hint="eastAsia" w:ascii="宋体" w:hAnsi="宋体" w:cs="宋体"/>
                <w:sz w:val="17"/>
                <w:szCs w:val="17"/>
              </w:rPr>
              <w:t>指标</w:t>
            </w:r>
          </w:p>
        </w:tc>
        <w:tc>
          <w:tcPr>
            <w:tcW w:w="2086" w:type="dxa"/>
            <w:gridSpan w:val="2"/>
            <w:vAlign w:val="center"/>
          </w:tcPr>
          <w:p w14:paraId="09021B84">
            <w:pPr>
              <w:spacing w:before="67" w:line="180" w:lineRule="exact"/>
              <w:ind w:left="23"/>
              <w:jc w:val="center"/>
              <w:rPr>
                <w:rFonts w:ascii="宋体" w:hAnsi="宋体" w:cs="宋体"/>
                <w:sz w:val="17"/>
                <w:szCs w:val="17"/>
              </w:rPr>
            </w:pPr>
            <w:r>
              <w:rPr>
                <w:rFonts w:hint="eastAsia" w:ascii="宋体" w:hAnsi="宋体" w:cs="宋体"/>
                <w:sz w:val="17"/>
                <w:szCs w:val="17"/>
              </w:rPr>
              <w:t>全年烟农增收率（烟农2022年户均收入-上年户均收入）/上年户均收入数*100%</w:t>
            </w:r>
          </w:p>
        </w:tc>
        <w:tc>
          <w:tcPr>
            <w:tcW w:w="1145" w:type="dxa"/>
            <w:vAlign w:val="center"/>
          </w:tcPr>
          <w:p w14:paraId="176FFD00">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10%</w:t>
            </w:r>
          </w:p>
        </w:tc>
        <w:tc>
          <w:tcPr>
            <w:tcW w:w="951" w:type="dxa"/>
            <w:vAlign w:val="center"/>
          </w:tcPr>
          <w:p w14:paraId="66811058">
            <w:pPr>
              <w:spacing w:before="67" w:line="209" w:lineRule="auto"/>
              <w:ind w:left="23"/>
              <w:jc w:val="center"/>
              <w:rPr>
                <w:rFonts w:ascii="宋体" w:hAnsi="宋体" w:cs="宋体"/>
                <w:sz w:val="17"/>
                <w:szCs w:val="17"/>
              </w:rPr>
            </w:pPr>
            <w:r>
              <w:rPr>
                <w:rFonts w:hint="eastAsia" w:ascii="宋体" w:hAnsi="宋体" w:cs="宋体"/>
                <w:sz w:val="17"/>
                <w:szCs w:val="17"/>
              </w:rPr>
              <w:t>10%</w:t>
            </w:r>
          </w:p>
        </w:tc>
        <w:tc>
          <w:tcPr>
            <w:tcW w:w="2469" w:type="dxa"/>
          </w:tcPr>
          <w:p w14:paraId="24A7C5E1">
            <w:pPr>
              <w:jc w:val="center"/>
            </w:pPr>
          </w:p>
        </w:tc>
      </w:tr>
      <w:tr w14:paraId="3D4BF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97" w:type="dxa"/>
            <w:vMerge w:val="continue"/>
            <w:vAlign w:val="center"/>
          </w:tcPr>
          <w:p w14:paraId="0ED379B3">
            <w:pPr>
              <w:jc w:val="center"/>
            </w:pPr>
          </w:p>
        </w:tc>
        <w:tc>
          <w:tcPr>
            <w:tcW w:w="752" w:type="dxa"/>
            <w:vMerge w:val="continue"/>
            <w:tcBorders>
              <w:left w:val="single" w:color="auto" w:sz="4" w:space="0"/>
              <w:bottom w:val="single" w:color="auto" w:sz="4" w:space="0"/>
              <w:right w:val="single" w:color="auto" w:sz="4" w:space="0"/>
            </w:tcBorders>
            <w:vAlign w:val="center"/>
          </w:tcPr>
          <w:p w14:paraId="3F73D3A2">
            <w:pPr>
              <w:jc w:val="center"/>
            </w:pPr>
          </w:p>
        </w:tc>
        <w:tc>
          <w:tcPr>
            <w:tcW w:w="999" w:type="dxa"/>
            <w:tcBorders>
              <w:left w:val="single" w:color="auto" w:sz="4" w:space="0"/>
              <w:bottom w:val="nil"/>
            </w:tcBorders>
            <w:vAlign w:val="center"/>
          </w:tcPr>
          <w:p w14:paraId="0BD8425B">
            <w:pPr>
              <w:spacing w:before="67" w:line="180" w:lineRule="exact"/>
              <w:ind w:left="23"/>
              <w:jc w:val="center"/>
              <w:rPr>
                <w:rFonts w:ascii="宋体" w:hAnsi="宋体" w:cs="宋体"/>
                <w:sz w:val="17"/>
                <w:szCs w:val="17"/>
              </w:rPr>
            </w:pPr>
            <w:r>
              <w:rPr>
                <w:rFonts w:hint="eastAsia" w:ascii="宋体" w:hAnsi="宋体" w:cs="宋体"/>
                <w:sz w:val="17"/>
                <w:szCs w:val="17"/>
              </w:rPr>
              <w:t>社会效益</w:t>
            </w:r>
          </w:p>
          <w:p w14:paraId="01CC1C93">
            <w:pPr>
              <w:spacing w:before="67" w:line="180" w:lineRule="exact"/>
              <w:ind w:left="23"/>
              <w:jc w:val="center"/>
              <w:rPr>
                <w:rFonts w:ascii="宋体" w:hAnsi="宋体" w:cs="宋体"/>
                <w:sz w:val="17"/>
                <w:szCs w:val="17"/>
              </w:rPr>
            </w:pPr>
            <w:r>
              <w:rPr>
                <w:rFonts w:hint="eastAsia" w:ascii="宋体" w:hAnsi="宋体" w:cs="宋体"/>
                <w:sz w:val="17"/>
                <w:szCs w:val="17"/>
              </w:rPr>
              <w:t>指标</w:t>
            </w:r>
          </w:p>
        </w:tc>
        <w:tc>
          <w:tcPr>
            <w:tcW w:w="2086" w:type="dxa"/>
            <w:gridSpan w:val="2"/>
            <w:vAlign w:val="center"/>
          </w:tcPr>
          <w:p w14:paraId="606B52CD">
            <w:pPr>
              <w:spacing w:before="67" w:line="209" w:lineRule="auto"/>
              <w:ind w:left="23"/>
              <w:jc w:val="center"/>
              <w:rPr>
                <w:rFonts w:ascii="宋体" w:hAnsi="宋体" w:cs="宋体"/>
                <w:sz w:val="17"/>
                <w:szCs w:val="17"/>
              </w:rPr>
            </w:pPr>
            <w:r>
              <w:rPr>
                <w:rFonts w:hint="eastAsia" w:ascii="宋体" w:hAnsi="宋体" w:cs="宋体"/>
                <w:sz w:val="17"/>
                <w:szCs w:val="17"/>
              </w:rPr>
              <w:t>带动烟农增收户数</w:t>
            </w:r>
          </w:p>
        </w:tc>
        <w:tc>
          <w:tcPr>
            <w:tcW w:w="1145" w:type="dxa"/>
            <w:vAlign w:val="center"/>
          </w:tcPr>
          <w:p w14:paraId="0D1A2B00">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45户</w:t>
            </w:r>
          </w:p>
        </w:tc>
        <w:tc>
          <w:tcPr>
            <w:tcW w:w="951" w:type="dxa"/>
            <w:vAlign w:val="center"/>
          </w:tcPr>
          <w:p w14:paraId="72F92A9E">
            <w:pPr>
              <w:spacing w:before="67" w:line="209" w:lineRule="auto"/>
              <w:ind w:left="23"/>
              <w:jc w:val="center"/>
              <w:rPr>
                <w:rFonts w:ascii="宋体" w:hAnsi="宋体" w:cs="宋体"/>
                <w:sz w:val="17"/>
                <w:szCs w:val="17"/>
              </w:rPr>
            </w:pPr>
            <w:r>
              <w:rPr>
                <w:rFonts w:hint="eastAsia" w:ascii="宋体" w:hAnsi="宋体" w:cs="宋体"/>
                <w:snapToGrid w:val="0"/>
                <w:color w:val="000000"/>
                <w:kern w:val="0"/>
                <w:sz w:val="17"/>
                <w:szCs w:val="17"/>
              </w:rPr>
              <w:t>50户</w:t>
            </w:r>
          </w:p>
        </w:tc>
        <w:tc>
          <w:tcPr>
            <w:tcW w:w="2469" w:type="dxa"/>
          </w:tcPr>
          <w:p w14:paraId="30455B2C">
            <w:pPr>
              <w:jc w:val="center"/>
            </w:pPr>
          </w:p>
        </w:tc>
      </w:tr>
      <w:tr w14:paraId="6F499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697" w:type="dxa"/>
            <w:vMerge w:val="continue"/>
            <w:vAlign w:val="center"/>
          </w:tcPr>
          <w:p w14:paraId="085B40C0">
            <w:pPr>
              <w:jc w:val="center"/>
            </w:pPr>
          </w:p>
        </w:tc>
        <w:tc>
          <w:tcPr>
            <w:tcW w:w="752" w:type="dxa"/>
            <w:tcBorders>
              <w:top w:val="single" w:color="auto" w:sz="4" w:space="0"/>
              <w:bottom w:val="nil"/>
            </w:tcBorders>
            <w:vAlign w:val="center"/>
          </w:tcPr>
          <w:p w14:paraId="148B2EEA">
            <w:pPr>
              <w:spacing w:before="146" w:line="180" w:lineRule="exact"/>
              <w:ind w:left="187" w:right="125" w:hanging="68"/>
              <w:jc w:val="center"/>
              <w:rPr>
                <w:rFonts w:ascii="宋体" w:hAnsi="宋体" w:cs="宋体"/>
                <w:sz w:val="17"/>
                <w:szCs w:val="17"/>
              </w:rPr>
            </w:pPr>
            <w:r>
              <w:rPr>
                <w:rFonts w:ascii="宋体" w:hAnsi="宋体" w:cs="宋体"/>
                <w:spacing w:val="-3"/>
                <w:sz w:val="17"/>
                <w:szCs w:val="17"/>
              </w:rPr>
              <w:t>满意度</w:t>
            </w:r>
            <w:r>
              <w:rPr>
                <w:rFonts w:ascii="宋体" w:hAnsi="宋体" w:cs="宋体"/>
                <w:spacing w:val="1"/>
                <w:sz w:val="17"/>
                <w:szCs w:val="17"/>
              </w:rPr>
              <w:t xml:space="preserve"> </w:t>
            </w:r>
            <w:r>
              <w:rPr>
                <w:rFonts w:ascii="宋体" w:hAnsi="宋体" w:cs="宋体"/>
                <w:spacing w:val="-3"/>
                <w:sz w:val="17"/>
                <w:szCs w:val="17"/>
              </w:rPr>
              <w:t>指标</w:t>
            </w:r>
          </w:p>
        </w:tc>
        <w:tc>
          <w:tcPr>
            <w:tcW w:w="999" w:type="dxa"/>
            <w:tcBorders>
              <w:bottom w:val="nil"/>
            </w:tcBorders>
            <w:vAlign w:val="center"/>
          </w:tcPr>
          <w:p w14:paraId="355F17EA">
            <w:pPr>
              <w:spacing w:before="67" w:line="209" w:lineRule="auto"/>
              <w:ind w:left="23"/>
              <w:jc w:val="center"/>
              <w:rPr>
                <w:rFonts w:ascii="宋体" w:hAnsi="宋体" w:cs="宋体"/>
                <w:sz w:val="17"/>
                <w:szCs w:val="17"/>
              </w:rPr>
            </w:pPr>
            <w:r>
              <w:rPr>
                <w:rFonts w:hint="eastAsia" w:ascii="宋体" w:hAnsi="宋体" w:cs="宋体"/>
                <w:sz w:val="17"/>
                <w:szCs w:val="17"/>
              </w:rPr>
              <w:t>满意度指标</w:t>
            </w:r>
          </w:p>
        </w:tc>
        <w:tc>
          <w:tcPr>
            <w:tcW w:w="2086" w:type="dxa"/>
            <w:gridSpan w:val="2"/>
            <w:vAlign w:val="center"/>
          </w:tcPr>
          <w:p w14:paraId="190D6EC2">
            <w:pPr>
              <w:spacing w:before="67" w:line="209" w:lineRule="auto"/>
              <w:ind w:left="23"/>
              <w:jc w:val="center"/>
              <w:rPr>
                <w:rFonts w:ascii="宋体" w:hAnsi="宋体" w:cs="宋体"/>
                <w:sz w:val="17"/>
                <w:szCs w:val="17"/>
              </w:rPr>
            </w:pPr>
            <w:r>
              <w:rPr>
                <w:rFonts w:hint="eastAsia" w:ascii="宋体" w:hAnsi="宋体" w:cs="宋体"/>
                <w:sz w:val="17"/>
                <w:szCs w:val="17"/>
              </w:rPr>
              <w:t>烟农满意度</w:t>
            </w:r>
          </w:p>
        </w:tc>
        <w:tc>
          <w:tcPr>
            <w:tcW w:w="1145" w:type="dxa"/>
            <w:vAlign w:val="center"/>
          </w:tcPr>
          <w:p w14:paraId="400107FF">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98%</w:t>
            </w:r>
          </w:p>
        </w:tc>
        <w:tc>
          <w:tcPr>
            <w:tcW w:w="951" w:type="dxa"/>
            <w:vAlign w:val="center"/>
          </w:tcPr>
          <w:p w14:paraId="477CE74B">
            <w:pPr>
              <w:spacing w:before="67" w:line="209" w:lineRule="auto"/>
              <w:ind w:left="23"/>
              <w:jc w:val="center"/>
              <w:rPr>
                <w:rFonts w:ascii="宋体" w:hAnsi="宋体" w:cs="宋体"/>
                <w:sz w:val="17"/>
                <w:szCs w:val="17"/>
              </w:rPr>
            </w:pPr>
            <w:r>
              <w:rPr>
                <w:rFonts w:hint="eastAsia" w:ascii="宋体" w:hAnsi="宋体" w:cs="宋体"/>
                <w:sz w:val="17"/>
                <w:szCs w:val="17"/>
              </w:rPr>
              <w:t>99%</w:t>
            </w:r>
          </w:p>
        </w:tc>
        <w:tc>
          <w:tcPr>
            <w:tcW w:w="2469" w:type="dxa"/>
          </w:tcPr>
          <w:p w14:paraId="4716E6F1">
            <w:pPr>
              <w:jc w:val="center"/>
            </w:pPr>
          </w:p>
        </w:tc>
      </w:tr>
      <w:tr w14:paraId="5A20E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1BEF36D1">
            <w:pPr>
              <w:spacing w:before="48" w:line="220" w:lineRule="auto"/>
              <w:ind w:left="3664"/>
              <w:jc w:val="center"/>
              <w:rPr>
                <w:rFonts w:ascii="宋体" w:hAnsi="宋体" w:cs="宋体"/>
                <w:sz w:val="17"/>
                <w:szCs w:val="17"/>
              </w:rPr>
            </w:pPr>
            <w:r>
              <w:rPr>
                <w:rFonts w:ascii="宋体" w:hAnsi="宋体" w:cs="宋体"/>
                <w:spacing w:val="-3"/>
                <w:sz w:val="17"/>
                <w:szCs w:val="17"/>
              </w:rPr>
              <w:t>总分</w:t>
            </w:r>
          </w:p>
        </w:tc>
        <w:tc>
          <w:tcPr>
            <w:tcW w:w="2469" w:type="dxa"/>
            <w:vAlign w:val="center"/>
          </w:tcPr>
          <w:p w14:paraId="54C2425C">
            <w:pPr>
              <w:jc w:val="center"/>
            </w:pPr>
            <w:r>
              <w:rPr>
                <w:rFonts w:hint="eastAsia" w:ascii="宋体" w:hAnsi="宋体" w:cs="宋体"/>
                <w:sz w:val="17"/>
                <w:szCs w:val="17"/>
              </w:rPr>
              <w:t>99.5</w:t>
            </w:r>
          </w:p>
        </w:tc>
      </w:tr>
    </w:tbl>
    <w:p w14:paraId="6EBF0C40">
      <w:pPr>
        <w:snapToGrid w:val="0"/>
        <w:spacing w:line="536" w:lineRule="exact"/>
        <w:jc w:val="center"/>
        <w:outlineLvl w:val="1"/>
        <w:rPr>
          <w:rFonts w:eastAsia="方正小标宋简体"/>
          <w:sz w:val="44"/>
          <w:szCs w:val="44"/>
        </w:rPr>
      </w:pPr>
      <w:bookmarkStart w:id="305" w:name="_Toc30295"/>
      <w:bookmarkStart w:id="306" w:name="_Toc16741"/>
      <w:bookmarkStart w:id="307" w:name="_Toc2027"/>
      <w:r>
        <w:rPr>
          <w:rFonts w:hint="eastAsia" w:eastAsia="方正小标宋简体"/>
          <w:sz w:val="44"/>
          <w:szCs w:val="44"/>
        </w:rPr>
        <w:t>广元市昭化区王家镇人民政府</w:t>
      </w:r>
      <w:bookmarkEnd w:id="305"/>
      <w:bookmarkEnd w:id="306"/>
      <w:bookmarkEnd w:id="307"/>
    </w:p>
    <w:p w14:paraId="5AB21B7B">
      <w:pPr>
        <w:spacing w:line="536" w:lineRule="exact"/>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关于2022年</w:t>
      </w:r>
      <w:r>
        <w:rPr>
          <w:rFonts w:eastAsia="方正小标宋简体"/>
          <w:sz w:val="44"/>
          <w:szCs w:val="44"/>
        </w:rPr>
        <w:t>抗旱应急财政补助资金</w:t>
      </w:r>
      <w:r>
        <w:rPr>
          <w:rFonts w:hint="eastAsia" w:eastAsia="方正小标宋简体"/>
          <w:sz w:val="44"/>
          <w:szCs w:val="44"/>
        </w:rPr>
        <w:t>支</w:t>
      </w:r>
      <w:r>
        <w:rPr>
          <w:rFonts w:hint="eastAsia" w:ascii="方正小标宋简体" w:hAnsi="黑体" w:eastAsia="方正小标宋简体" w:cs="黑体"/>
          <w:sz w:val="44"/>
          <w:szCs w:val="44"/>
        </w:rPr>
        <w:t>出的绩效自评报告</w:t>
      </w:r>
    </w:p>
    <w:p w14:paraId="70D6B40E">
      <w:pPr>
        <w:spacing w:line="536" w:lineRule="exact"/>
        <w:ind w:firstLine="640" w:firstLineChars="200"/>
        <w:jc w:val="left"/>
        <w:rPr>
          <w:rFonts w:ascii="仿宋_GB2312" w:hAnsi="楷体_GB2312" w:eastAsia="仿宋_GB2312" w:cs="楷体_GB2312"/>
          <w:sz w:val="32"/>
          <w:szCs w:val="32"/>
        </w:rPr>
      </w:pPr>
    </w:p>
    <w:p w14:paraId="140FE727">
      <w:pPr>
        <w:spacing w:line="536" w:lineRule="exact"/>
        <w:ind w:firstLine="640" w:firstLineChars="200"/>
        <w:outlineLvl w:val="1"/>
        <w:rPr>
          <w:rFonts w:ascii="黑体" w:hAnsi="黑体" w:eastAsia="黑体" w:cs="黑体"/>
          <w:sz w:val="32"/>
          <w:szCs w:val="32"/>
        </w:rPr>
      </w:pPr>
      <w:bookmarkStart w:id="308" w:name="_Toc25337"/>
      <w:bookmarkStart w:id="309" w:name="_Toc18838"/>
      <w:bookmarkStart w:id="310" w:name="_Toc12404"/>
      <w:r>
        <w:rPr>
          <w:rFonts w:hint="eastAsia" w:ascii="黑体" w:hAnsi="黑体" w:eastAsia="黑体" w:cs="黑体"/>
          <w:sz w:val="32"/>
          <w:szCs w:val="32"/>
        </w:rPr>
        <w:t>一、项目概况</w:t>
      </w:r>
      <w:bookmarkEnd w:id="308"/>
      <w:bookmarkEnd w:id="309"/>
      <w:bookmarkEnd w:id="310"/>
    </w:p>
    <w:p w14:paraId="61F55700">
      <w:pPr>
        <w:spacing w:line="536" w:lineRule="exact"/>
        <w:ind w:firstLine="640" w:firstLineChars="200"/>
        <w:outlineLvl w:val="2"/>
        <w:rPr>
          <w:rFonts w:ascii="楷体_GB2312" w:hAnsi="楷体_GB2312" w:eastAsia="楷体_GB2312" w:cs="楷体_GB2312"/>
          <w:sz w:val="32"/>
          <w:szCs w:val="32"/>
        </w:rPr>
      </w:pPr>
      <w:bookmarkStart w:id="311" w:name="_Toc4666"/>
      <w:bookmarkStart w:id="312" w:name="_Toc22429"/>
      <w:r>
        <w:rPr>
          <w:rFonts w:hint="eastAsia" w:ascii="楷体_GB2312" w:hAnsi="楷体_GB2312" w:eastAsia="楷体_GB2312" w:cs="楷体_GB2312"/>
          <w:sz w:val="32"/>
          <w:szCs w:val="32"/>
        </w:rPr>
        <w:t>（一）项目资金申报及批复情况</w:t>
      </w:r>
      <w:bookmarkEnd w:id="311"/>
      <w:bookmarkEnd w:id="312"/>
    </w:p>
    <w:p w14:paraId="2A4B2D80">
      <w:pPr>
        <w:spacing w:line="53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该项目申报资金性质为一般公共预算，总申报金额为</w:t>
      </w:r>
      <w:r>
        <w:rPr>
          <w:rFonts w:hint="eastAsia" w:eastAsia="仿宋_GB2312"/>
          <w:sz w:val="32"/>
          <w:szCs w:val="32"/>
        </w:rPr>
        <w:t>10</w:t>
      </w:r>
      <w:r>
        <w:rPr>
          <w:rFonts w:hint="eastAsia" w:ascii="仿宋_GB2312" w:hAnsi="仿宋_GB2312" w:eastAsia="仿宋_GB2312" w:cs="仿宋_GB2312"/>
          <w:sz w:val="32"/>
          <w:szCs w:val="32"/>
        </w:rPr>
        <w:t>万元，申报项目涉及全镇</w:t>
      </w:r>
      <w:r>
        <w:rPr>
          <w:rFonts w:hint="eastAsia" w:eastAsia="仿宋_GB2312"/>
          <w:sz w:val="32"/>
          <w:szCs w:val="32"/>
        </w:rPr>
        <w:t>11</w:t>
      </w:r>
      <w:r>
        <w:rPr>
          <w:rFonts w:hint="eastAsia" w:ascii="仿宋_GB2312" w:hAnsi="仿宋_GB2312" w:eastAsia="仿宋_GB2312" w:cs="仿宋_GB2312"/>
          <w:sz w:val="32"/>
          <w:szCs w:val="32"/>
        </w:rPr>
        <w:t>村。上级实际批复和安排预算资金为</w:t>
      </w:r>
      <w:r>
        <w:rPr>
          <w:rFonts w:hint="eastAsia" w:eastAsia="仿宋_GB2312"/>
          <w:sz w:val="32"/>
          <w:szCs w:val="32"/>
        </w:rPr>
        <w:t>10</w:t>
      </w:r>
      <w:r>
        <w:rPr>
          <w:rFonts w:hint="eastAsia" w:ascii="仿宋_GB2312" w:hAnsi="仿宋_GB2312" w:eastAsia="仿宋_GB2312" w:cs="仿宋_GB2312"/>
          <w:sz w:val="32"/>
          <w:szCs w:val="32"/>
        </w:rPr>
        <w:t>万元。</w:t>
      </w:r>
    </w:p>
    <w:p w14:paraId="5C1A868C">
      <w:pPr>
        <w:spacing w:line="536" w:lineRule="exact"/>
        <w:ind w:firstLine="640" w:firstLineChars="200"/>
        <w:outlineLvl w:val="2"/>
        <w:rPr>
          <w:rFonts w:ascii="楷体_GB2312" w:hAnsi="楷体_GB2312" w:eastAsia="楷体_GB2312" w:cs="楷体_GB2312"/>
          <w:sz w:val="32"/>
          <w:szCs w:val="32"/>
        </w:rPr>
      </w:pPr>
      <w:bookmarkStart w:id="313" w:name="_Toc15404"/>
      <w:bookmarkStart w:id="314" w:name="_Toc14935"/>
      <w:r>
        <w:rPr>
          <w:rFonts w:hint="eastAsia" w:ascii="楷体_GB2312" w:hAnsi="楷体_GB2312" w:eastAsia="楷体_GB2312" w:cs="楷体_GB2312"/>
          <w:sz w:val="32"/>
          <w:szCs w:val="32"/>
        </w:rPr>
        <w:t>（二）项目绩效目标</w:t>
      </w:r>
      <w:bookmarkEnd w:id="313"/>
      <w:bookmarkEnd w:id="314"/>
    </w:p>
    <w:p w14:paraId="0F47EF9B">
      <w:pPr>
        <w:spacing w:line="53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项目年初申报绩效目标为：</w:t>
      </w:r>
      <w:r>
        <w:rPr>
          <w:rFonts w:hint="eastAsia" w:ascii="仿宋_GB2312" w:hAnsi="仿宋_GB2312" w:eastAsia="仿宋_GB2312" w:cs="仿宋_GB2312"/>
          <w:sz w:val="32"/>
          <w:szCs w:val="32"/>
          <w:lang w:val="zh-CN"/>
        </w:rPr>
        <w:t>用于送水燃油、抽水电价的补助及人饮及渠系维护，解决受灾人畜饮水困难问题，</w:t>
      </w:r>
      <w:r>
        <w:rPr>
          <w:rFonts w:ascii="仿宋_GB2312" w:hAnsi="仿宋_GB2312" w:eastAsia="仿宋_GB2312" w:cs="仿宋_GB2312"/>
          <w:sz w:val="32"/>
          <w:szCs w:val="32"/>
          <w:lang w:val="zh-CN"/>
        </w:rPr>
        <w:t>确保受灾群众生活生产秩序正常，提高群众抗旱意识和自救能力</w:t>
      </w:r>
      <w:r>
        <w:rPr>
          <w:rFonts w:hint="eastAsia" w:ascii="仿宋_GB2312" w:hAnsi="仿宋_GB2312" w:eastAsia="仿宋_GB2312" w:cs="仿宋_GB2312"/>
          <w:sz w:val="32"/>
          <w:szCs w:val="32"/>
          <w:lang w:val="zh-CN"/>
        </w:rPr>
        <w:t>，使</w:t>
      </w:r>
      <w:r>
        <w:rPr>
          <w:rFonts w:ascii="仿宋_GB2312" w:hAnsi="仿宋_GB2312" w:eastAsia="仿宋_GB2312" w:cs="仿宋_GB2312"/>
          <w:sz w:val="32"/>
          <w:szCs w:val="32"/>
          <w:lang w:val="zh-CN"/>
        </w:rPr>
        <w:t>受灾群众对解决生活饮水、抗旱满意度</w:t>
      </w:r>
      <w:r>
        <w:rPr>
          <w:rFonts w:hint="eastAsia" w:ascii="仿宋_GB2312" w:hAnsi="仿宋_GB2312" w:eastAsia="仿宋_GB2312" w:cs="仿宋_GB2312"/>
          <w:sz w:val="32"/>
          <w:szCs w:val="32"/>
          <w:lang w:val="zh-CN"/>
        </w:rPr>
        <w:t>达98%。</w:t>
      </w:r>
      <w:r>
        <w:rPr>
          <w:rFonts w:hint="eastAsia" w:eastAsia="仿宋_GB2312"/>
          <w:sz w:val="32"/>
          <w:szCs w:val="32"/>
        </w:rPr>
        <w:t>。</w:t>
      </w:r>
    </w:p>
    <w:p w14:paraId="5DA3989F">
      <w:pPr>
        <w:spacing w:line="536" w:lineRule="exact"/>
        <w:ind w:firstLine="640" w:firstLineChars="200"/>
        <w:outlineLvl w:val="2"/>
        <w:rPr>
          <w:rFonts w:ascii="楷体_GB2312" w:hAnsi="楷体_GB2312" w:eastAsia="楷体_GB2312" w:cs="楷体_GB2312"/>
          <w:sz w:val="32"/>
          <w:szCs w:val="32"/>
        </w:rPr>
      </w:pPr>
      <w:bookmarkStart w:id="315" w:name="_Toc27754"/>
      <w:bookmarkStart w:id="316" w:name="_Toc16249"/>
      <w:r>
        <w:rPr>
          <w:rFonts w:hint="eastAsia" w:ascii="楷体_GB2312" w:hAnsi="楷体_GB2312" w:eastAsia="楷体_GB2312" w:cs="楷体_GB2312"/>
          <w:sz w:val="32"/>
          <w:szCs w:val="32"/>
        </w:rPr>
        <w:t>（三）项目资金申报相符性</w:t>
      </w:r>
      <w:bookmarkEnd w:id="315"/>
      <w:bookmarkEnd w:id="316"/>
    </w:p>
    <w:p w14:paraId="322B43C3">
      <w:pPr>
        <w:spacing w:line="53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该项目申报内容是结合我镇多年实施该项目的实际情况编报，</w:t>
      </w:r>
      <w:r>
        <w:rPr>
          <w:rFonts w:hint="eastAsia" w:ascii="仿宋_GB2312" w:hAnsi="仿宋_GB2312" w:eastAsia="仿宋_GB2312" w:cs="仿宋_GB2312"/>
          <w:sz w:val="32"/>
          <w:szCs w:val="32"/>
          <w:lang w:val="zh-CN"/>
        </w:rPr>
        <w:t>申报目标合理，实施项目均与项目绩效实施范围、申报相符，</w:t>
      </w:r>
      <w:r>
        <w:rPr>
          <w:rFonts w:hint="eastAsia" w:ascii="仿宋_GB2312" w:hAnsi="仿宋_GB2312" w:eastAsia="仿宋_GB2312" w:cs="仿宋_GB2312"/>
          <w:sz w:val="32"/>
          <w:szCs w:val="32"/>
        </w:rPr>
        <w:t>申报目标合理可行。</w:t>
      </w:r>
    </w:p>
    <w:p w14:paraId="5A155CEA">
      <w:pPr>
        <w:spacing w:line="536" w:lineRule="exact"/>
        <w:ind w:firstLine="640" w:firstLineChars="200"/>
        <w:outlineLvl w:val="2"/>
        <w:rPr>
          <w:rFonts w:ascii="楷体_GB2312" w:hAnsi="楷体_GB2312" w:eastAsia="楷体_GB2312" w:cs="楷体_GB2312"/>
          <w:sz w:val="32"/>
          <w:szCs w:val="32"/>
          <w:lang w:val="zh-CN"/>
        </w:rPr>
      </w:pPr>
      <w:bookmarkStart w:id="317" w:name="_Toc17999"/>
      <w:bookmarkStart w:id="318" w:name="_Toc4576"/>
      <w:r>
        <w:rPr>
          <w:rFonts w:hint="eastAsia" w:ascii="楷体_GB2312" w:hAnsi="楷体_GB2312" w:eastAsia="楷体_GB2312" w:cs="楷体_GB2312"/>
          <w:sz w:val="32"/>
          <w:szCs w:val="32"/>
          <w:lang w:val="zh-CN"/>
        </w:rPr>
        <w:t>（四）自评步骤及方法</w:t>
      </w:r>
      <w:bookmarkEnd w:id="317"/>
      <w:bookmarkEnd w:id="318"/>
    </w:p>
    <w:p w14:paraId="27EA804C">
      <w:pPr>
        <w:adjustRightInd w:val="0"/>
        <w:snapToGrid w:val="0"/>
        <w:spacing w:line="53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按区财政部门绩效管理相关规定，认真开展项目绩效评价工作，</w:t>
      </w:r>
      <w:r>
        <w:rPr>
          <w:rFonts w:hint="eastAsia" w:eastAsia="仿宋_GB2312" w:cs="仿宋_GB2312"/>
          <w:sz w:val="32"/>
          <w:szCs w:val="32"/>
        </w:rPr>
        <w:t>本项目采取自评与他评相结合方式，成立项目自评小组，结合评价内容，做到有计划，有安排，扎实开展本次自评工作。按照上级下达的项目支出绩效评价指标体系，自评小组针对申报内容、实施情况、资金兑现、财务管理、社会效益等做出自我评价，认真听取村、社区群众建议意见，做好自评工作</w:t>
      </w:r>
      <w:r>
        <w:rPr>
          <w:rFonts w:hint="eastAsia" w:ascii="仿宋_GB2312" w:hAnsi="仿宋_GB2312" w:eastAsia="仿宋_GB2312" w:cs="仿宋_GB2312"/>
          <w:sz w:val="32"/>
          <w:szCs w:val="32"/>
          <w:lang w:val="zh-CN"/>
        </w:rPr>
        <w:t>。</w:t>
      </w:r>
    </w:p>
    <w:p w14:paraId="754AF6A9">
      <w:pPr>
        <w:spacing w:line="536" w:lineRule="exact"/>
        <w:ind w:firstLine="640" w:firstLineChars="200"/>
        <w:outlineLvl w:val="1"/>
        <w:rPr>
          <w:rFonts w:ascii="黑体" w:hAnsi="黑体" w:eastAsia="黑体" w:cs="黑体"/>
          <w:sz w:val="32"/>
          <w:szCs w:val="32"/>
        </w:rPr>
      </w:pPr>
      <w:bookmarkStart w:id="319" w:name="_Toc32159"/>
      <w:bookmarkStart w:id="320" w:name="_Toc21646"/>
      <w:bookmarkStart w:id="321" w:name="_Toc17740"/>
      <w:r>
        <w:rPr>
          <w:rFonts w:hint="eastAsia" w:ascii="黑体" w:hAnsi="黑体" w:eastAsia="黑体" w:cs="黑体"/>
          <w:sz w:val="32"/>
          <w:szCs w:val="32"/>
        </w:rPr>
        <w:t>二、项目实施及管理情况</w:t>
      </w:r>
      <w:bookmarkEnd w:id="319"/>
      <w:bookmarkEnd w:id="320"/>
      <w:bookmarkEnd w:id="321"/>
    </w:p>
    <w:p w14:paraId="29E49989">
      <w:pPr>
        <w:spacing w:line="536" w:lineRule="exact"/>
        <w:ind w:firstLine="640" w:firstLineChars="200"/>
        <w:outlineLvl w:val="2"/>
        <w:rPr>
          <w:rFonts w:ascii="楷体_GB2312" w:hAnsi="楷体_GB2312" w:eastAsia="楷体_GB2312" w:cs="楷体_GB2312"/>
          <w:sz w:val="32"/>
          <w:szCs w:val="32"/>
        </w:rPr>
      </w:pPr>
      <w:bookmarkStart w:id="322" w:name="_Toc20799"/>
      <w:bookmarkStart w:id="323" w:name="_Toc27121"/>
      <w:r>
        <w:rPr>
          <w:rFonts w:hint="eastAsia" w:ascii="楷体_GB2312" w:hAnsi="楷体_GB2312" w:eastAsia="楷体_GB2312" w:cs="楷体_GB2312"/>
          <w:sz w:val="32"/>
          <w:szCs w:val="32"/>
        </w:rPr>
        <w:t>（一）资金计划、到位及使用情况</w:t>
      </w:r>
      <w:bookmarkEnd w:id="322"/>
      <w:bookmarkEnd w:id="323"/>
    </w:p>
    <w:p w14:paraId="380B31F7">
      <w:pPr>
        <w:spacing w:line="53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1.资金预算及时到位。该项目资金预算</w:t>
      </w:r>
      <w:r>
        <w:rPr>
          <w:rFonts w:hint="eastAsia" w:eastAsia="仿宋_GB2312"/>
          <w:sz w:val="32"/>
          <w:szCs w:val="32"/>
        </w:rPr>
        <w:t>10</w:t>
      </w:r>
      <w:r>
        <w:rPr>
          <w:rFonts w:hint="eastAsia" w:ascii="仿宋_GB2312" w:hAnsi="仿宋_GB2312" w:eastAsia="仿宋_GB2312" w:cs="仿宋_GB2312"/>
          <w:sz w:val="32"/>
          <w:szCs w:val="32"/>
        </w:rPr>
        <w:t>万元，实际到位资金</w:t>
      </w:r>
      <w:r>
        <w:rPr>
          <w:rFonts w:hint="eastAsia" w:eastAsia="仿宋_GB2312"/>
          <w:sz w:val="32"/>
          <w:szCs w:val="32"/>
        </w:rPr>
        <w:t>10</w:t>
      </w:r>
      <w:r>
        <w:rPr>
          <w:rFonts w:hint="eastAsia" w:ascii="仿宋_GB2312" w:hAnsi="仿宋_GB2312" w:eastAsia="仿宋_GB2312" w:cs="仿宋_GB2312"/>
          <w:sz w:val="32"/>
          <w:szCs w:val="32"/>
        </w:rPr>
        <w:t>万元。由村申报、镇审核，报区财政部门审批直接拨付到各村。</w:t>
      </w:r>
    </w:p>
    <w:p w14:paraId="3023C491">
      <w:pPr>
        <w:spacing w:line="53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2.资金使用。该项目实际应支</w:t>
      </w:r>
      <w:r>
        <w:rPr>
          <w:rFonts w:hint="eastAsia" w:eastAsia="仿宋_GB2312"/>
          <w:sz w:val="32"/>
          <w:szCs w:val="32"/>
        </w:rPr>
        <w:t>出10</w:t>
      </w:r>
      <w:r>
        <w:rPr>
          <w:rFonts w:hint="eastAsia" w:ascii="仿宋_GB2312" w:hAnsi="仿宋_GB2312" w:eastAsia="仿宋_GB2312" w:cs="仿宋_GB2312"/>
          <w:sz w:val="32"/>
          <w:szCs w:val="32"/>
        </w:rPr>
        <w:t>万元,实际支付约</w:t>
      </w:r>
      <w:r>
        <w:rPr>
          <w:rFonts w:hint="eastAsia" w:eastAsia="仿宋_GB2312"/>
          <w:sz w:val="32"/>
          <w:szCs w:val="32"/>
        </w:rPr>
        <w:t>10</w:t>
      </w:r>
      <w:r>
        <w:rPr>
          <w:rFonts w:hint="eastAsia" w:ascii="仿宋_GB2312" w:hAnsi="仿宋_GB2312" w:eastAsia="仿宋_GB2312" w:cs="仿宋_GB2312"/>
          <w:sz w:val="32"/>
          <w:szCs w:val="32"/>
        </w:rPr>
        <w:t>万元，均按规定支付抗旱资金。</w:t>
      </w:r>
    </w:p>
    <w:p w14:paraId="716DE228">
      <w:pPr>
        <w:spacing w:line="536" w:lineRule="exact"/>
        <w:ind w:firstLine="640" w:firstLineChars="200"/>
        <w:outlineLvl w:val="2"/>
        <w:rPr>
          <w:rFonts w:ascii="楷体_GB2312" w:hAnsi="楷体_GB2312" w:eastAsia="楷体_GB2312" w:cs="楷体_GB2312"/>
          <w:sz w:val="32"/>
          <w:szCs w:val="32"/>
        </w:rPr>
      </w:pPr>
      <w:bookmarkStart w:id="324" w:name="_Toc2685"/>
      <w:bookmarkStart w:id="325" w:name="_Toc30159"/>
      <w:r>
        <w:rPr>
          <w:rFonts w:hint="eastAsia" w:ascii="楷体_GB2312" w:hAnsi="楷体_GB2312" w:eastAsia="楷体_GB2312" w:cs="楷体_GB2312"/>
          <w:sz w:val="32"/>
          <w:szCs w:val="32"/>
        </w:rPr>
        <w:t>（二）项目财务管理情况</w:t>
      </w:r>
      <w:bookmarkEnd w:id="324"/>
      <w:bookmarkEnd w:id="325"/>
    </w:p>
    <w:p w14:paraId="1BFE6369">
      <w:pPr>
        <w:spacing w:line="53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该项资金实务中严格按照财经制度进行结算支付，财务制度健全、管理规范。一是严控资金使用范围。各村均做到了资金“专款专用”，对不符合项目绩效设施范围的项目，坚决不予使用该项资金报销；</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zh-CN"/>
        </w:rPr>
        <w:t>二是严格管理报销流程，</w:t>
      </w:r>
      <w:r>
        <w:rPr>
          <w:rFonts w:hint="eastAsia" w:ascii="仿宋_GB2312" w:hAnsi="仿宋_GB2312" w:eastAsia="仿宋_GB2312" w:cs="仿宋_GB2312"/>
          <w:sz w:val="32"/>
          <w:szCs w:val="32"/>
        </w:rPr>
        <w:t>由镇相关部门完善相关报账资料，并经财务负责人、分管领导以及镇长签字后，上报区财政相关股室审核和领导审批后，直接打卡到各村。</w:t>
      </w:r>
    </w:p>
    <w:p w14:paraId="57A4AD20">
      <w:pPr>
        <w:numPr>
          <w:ilvl w:val="0"/>
          <w:numId w:val="5"/>
        </w:numPr>
        <w:spacing w:line="536" w:lineRule="exact"/>
        <w:ind w:firstLine="640" w:firstLineChars="200"/>
        <w:outlineLvl w:val="2"/>
        <w:rPr>
          <w:rFonts w:ascii="仿宋_GB2312" w:hAnsi="仿宋_GB2312" w:eastAsia="仿宋_GB2312" w:cs="仿宋_GB2312"/>
          <w:sz w:val="32"/>
          <w:szCs w:val="32"/>
        </w:rPr>
      </w:pPr>
      <w:bookmarkStart w:id="326" w:name="_Toc17768"/>
      <w:bookmarkStart w:id="327" w:name="_Toc23489"/>
      <w:r>
        <w:rPr>
          <w:rFonts w:hint="eastAsia" w:ascii="楷体_GB2312" w:hAnsi="楷体_GB2312" w:eastAsia="楷体_GB2312" w:cs="楷体_GB2312"/>
          <w:sz w:val="32"/>
          <w:szCs w:val="32"/>
        </w:rPr>
        <w:t>项目组织实施及管理情况</w:t>
      </w:r>
      <w:bookmarkEnd w:id="326"/>
      <w:bookmarkEnd w:id="327"/>
    </w:p>
    <w:p w14:paraId="225ABB25">
      <w:pPr>
        <w:pStyle w:val="13"/>
        <w:widowControl/>
        <w:spacing w:beforeAutospacing="0" w:afterAutospacing="0" w:line="536" w:lineRule="exact"/>
        <w:ind w:firstLine="640" w:firstLineChars="200"/>
        <w:jc w:val="both"/>
        <w:rPr>
          <w:rFonts w:ascii="仿宋_GB2312" w:hAnsi="仿宋_GB2312" w:cs="仿宋_GB2312"/>
          <w:sz w:val="32"/>
        </w:rPr>
      </w:pPr>
      <w:r>
        <w:rPr>
          <w:rFonts w:hint="eastAsia" w:ascii="仿宋_GB2312" w:hAnsi="仿宋_GB2312" w:cs="仿宋_GB2312"/>
          <w:sz w:val="32"/>
          <w:shd w:val="clear" w:color="auto" w:fill="FFFFFF"/>
        </w:rPr>
        <w:t>财政批复烤烟生产发展资金预算项目，主要包括送水燃油、抽水电价的补助及人饮及渠系维护，解决受灾人畜饮水困难。按照年初预算安排，认真论证项目实施的可行性和效益性，并在项目实施过程中认真完善项目建设中的相关手续办理和基础资料的收集整理、组织呈报等，加强与相关部门之间工作的及时沟通协调，确保项目顺利开展。在项目实施中，工作职责明确，许多情况都能跟踪跟进，有效地推进项目建设进度和保证项目质量。</w:t>
      </w:r>
      <w:r>
        <w:rPr>
          <w:rFonts w:hint="eastAsia" w:ascii="仿宋_GB2312" w:hAnsi="仿宋_GB2312" w:cs="仿宋_GB2312"/>
          <w:sz w:val="32"/>
        </w:rPr>
        <w:t>资金开支的范围、标准及支付进度完全按照预算要求进行，项目实施村按镇批准方案。</w:t>
      </w:r>
    </w:p>
    <w:p w14:paraId="4F46714D">
      <w:pPr>
        <w:numPr>
          <w:ilvl w:val="0"/>
          <w:numId w:val="6"/>
        </w:numPr>
        <w:spacing w:line="536" w:lineRule="exact"/>
        <w:ind w:firstLine="640" w:firstLineChars="200"/>
        <w:outlineLvl w:val="1"/>
        <w:rPr>
          <w:rFonts w:ascii="黑体" w:hAnsi="黑体" w:eastAsia="黑体" w:cs="黑体"/>
          <w:sz w:val="32"/>
          <w:szCs w:val="32"/>
        </w:rPr>
      </w:pPr>
      <w:bookmarkStart w:id="328" w:name="_Toc14123"/>
      <w:bookmarkStart w:id="329" w:name="_Toc25832"/>
      <w:bookmarkStart w:id="330" w:name="_Toc3645"/>
      <w:r>
        <w:rPr>
          <w:rFonts w:hint="eastAsia" w:ascii="黑体" w:hAnsi="黑体" w:eastAsia="黑体" w:cs="黑体"/>
          <w:sz w:val="32"/>
          <w:szCs w:val="32"/>
        </w:rPr>
        <w:t>项目绩效情况</w:t>
      </w:r>
      <w:bookmarkEnd w:id="328"/>
      <w:bookmarkEnd w:id="329"/>
      <w:bookmarkEnd w:id="330"/>
    </w:p>
    <w:p w14:paraId="7B60745D">
      <w:pPr>
        <w:adjustRightInd w:val="0"/>
        <w:snapToGrid w:val="0"/>
        <w:spacing w:line="536" w:lineRule="exact"/>
        <w:ind w:firstLine="640" w:firstLineChars="200"/>
        <w:outlineLvl w:val="2"/>
        <w:rPr>
          <w:rFonts w:ascii="楷体_GB2312" w:hAnsi="楷体_GB2312" w:eastAsia="楷体_GB2312" w:cs="楷体_GB2312"/>
          <w:sz w:val="32"/>
          <w:szCs w:val="32"/>
          <w:lang w:val="zh-CN"/>
        </w:rPr>
      </w:pPr>
      <w:bookmarkStart w:id="331" w:name="_Toc20876"/>
      <w:bookmarkStart w:id="332" w:name="_Toc14057"/>
      <w:r>
        <w:rPr>
          <w:rFonts w:hint="eastAsia" w:ascii="楷体_GB2312" w:hAnsi="楷体_GB2312" w:eastAsia="楷体_GB2312" w:cs="楷体_GB2312"/>
          <w:sz w:val="32"/>
          <w:szCs w:val="32"/>
        </w:rPr>
        <w:t>（一）目标完成情况</w:t>
      </w:r>
      <w:bookmarkEnd w:id="331"/>
      <w:bookmarkEnd w:id="332"/>
      <w:r>
        <w:rPr>
          <w:rFonts w:hint="eastAsia" w:ascii="楷体_GB2312" w:hAnsi="楷体_GB2312" w:eastAsia="楷体_GB2312" w:cs="楷体_GB2312"/>
          <w:sz w:val="32"/>
          <w:szCs w:val="32"/>
          <w:lang w:val="zh-CN"/>
        </w:rPr>
        <w:tab/>
      </w:r>
    </w:p>
    <w:p w14:paraId="64D735E7">
      <w:pPr>
        <w:pStyle w:val="13"/>
        <w:widowControl/>
        <w:spacing w:beforeAutospacing="0" w:afterAutospacing="0" w:line="536" w:lineRule="exact"/>
        <w:ind w:firstLine="640" w:firstLineChars="200"/>
        <w:jc w:val="both"/>
      </w:pPr>
      <w:r>
        <w:rPr>
          <w:rFonts w:hint="eastAsia" w:ascii="仿宋_GB2312" w:hAnsi="仿宋_GB2312" w:cs="仿宋_GB2312"/>
          <w:sz w:val="32"/>
          <w:shd w:val="clear" w:color="auto" w:fill="FFFFFF"/>
        </w:rPr>
        <w:t>全年完成修复渠系长度260米，保障临时饮水困难人员560人，</w:t>
      </w:r>
      <w:r>
        <w:rPr>
          <w:rFonts w:ascii="仿宋_GB2312" w:hAnsi="仿宋_GB2312" w:cs="仿宋_GB2312"/>
          <w:sz w:val="32"/>
          <w:shd w:val="clear" w:color="auto" w:fill="FFFFFF"/>
        </w:rPr>
        <w:t>修复渠系耗材及租赁抽水设施质量合格率</w:t>
      </w:r>
      <w:r>
        <w:rPr>
          <w:rFonts w:hint="eastAsia" w:ascii="仿宋_GB2312" w:hAnsi="仿宋_GB2312" w:cs="仿宋_GB2312"/>
          <w:sz w:val="32"/>
          <w:shd w:val="clear" w:color="auto" w:fill="FFFFFF"/>
        </w:rPr>
        <w:t>达100%，</w:t>
      </w:r>
      <w:r>
        <w:rPr>
          <w:rFonts w:ascii="仿宋_GB2312" w:hAnsi="仿宋_GB2312" w:cs="仿宋_GB2312"/>
          <w:sz w:val="32"/>
          <w:shd w:val="clear" w:color="auto" w:fill="FFFFFF"/>
        </w:rPr>
        <w:t>抗旱资金兑付及时率</w:t>
      </w:r>
      <w:r>
        <w:rPr>
          <w:rFonts w:hint="eastAsia" w:ascii="仿宋_GB2312" w:hAnsi="仿宋_GB2312" w:cs="仿宋_GB2312"/>
          <w:sz w:val="32"/>
          <w:shd w:val="clear" w:color="auto" w:fill="FFFFFF"/>
        </w:rPr>
        <w:t>100%，</w:t>
      </w:r>
      <w:r>
        <w:rPr>
          <w:rFonts w:ascii="仿宋_GB2312" w:hAnsi="仿宋_GB2312" w:cs="仿宋_GB2312"/>
          <w:sz w:val="32"/>
          <w:shd w:val="clear" w:color="auto" w:fill="FFFFFF"/>
        </w:rPr>
        <w:t>抗旱期间每户人均送水量</w:t>
      </w:r>
      <w:r>
        <w:rPr>
          <w:rFonts w:hint="eastAsia" w:ascii="仿宋_GB2312" w:hAnsi="仿宋_GB2312" w:cs="仿宋_GB2312"/>
          <w:sz w:val="32"/>
          <w:shd w:val="clear" w:color="auto" w:fill="FFFFFF"/>
        </w:rPr>
        <w:t>2.75吨，</w:t>
      </w:r>
      <w:r>
        <w:rPr>
          <w:rFonts w:ascii="仿宋_GB2312" w:hAnsi="仿宋_GB2312" w:cs="仿宋_GB2312"/>
          <w:sz w:val="32"/>
          <w:shd w:val="clear" w:color="auto" w:fill="FFFFFF"/>
        </w:rPr>
        <w:t>受灾群众人饮及生活困难解决率</w:t>
      </w:r>
      <w:r>
        <w:rPr>
          <w:rFonts w:hint="eastAsia" w:ascii="仿宋_GB2312" w:hAnsi="仿宋_GB2312" w:cs="仿宋_GB2312"/>
          <w:sz w:val="32"/>
          <w:shd w:val="clear" w:color="auto" w:fill="FFFFFF"/>
        </w:rPr>
        <w:t>99%，有效维护</w:t>
      </w:r>
      <w:r>
        <w:rPr>
          <w:rFonts w:ascii="仿宋_GB2312" w:hAnsi="仿宋_GB2312" w:cs="仿宋_GB2312"/>
          <w:sz w:val="32"/>
          <w:shd w:val="clear" w:color="auto" w:fill="FFFFFF"/>
        </w:rPr>
        <w:t>受灾群众生活生产秩序正常，提高群众抗旱意识和自救能力受灾群众对解决生活饮水、抗旱满意度</w:t>
      </w:r>
      <w:r>
        <w:rPr>
          <w:rFonts w:hint="eastAsia" w:ascii="仿宋_GB2312" w:hAnsi="仿宋_GB2312" w:cs="仿宋_GB2312"/>
          <w:sz w:val="32"/>
          <w:shd w:val="clear" w:color="auto" w:fill="FFFFFF"/>
        </w:rPr>
        <w:t>达99%。</w:t>
      </w:r>
    </w:p>
    <w:p w14:paraId="4460BC86">
      <w:pPr>
        <w:pStyle w:val="13"/>
        <w:widowControl/>
        <w:spacing w:beforeAutospacing="0" w:afterAutospacing="0" w:line="536" w:lineRule="exact"/>
        <w:ind w:firstLine="640" w:firstLineChars="200"/>
        <w:jc w:val="both"/>
        <w:outlineLvl w:val="2"/>
        <w:rPr>
          <w:rFonts w:ascii="楷体_GB2312" w:hAnsi="楷体_GB2312" w:eastAsia="楷体_GB2312" w:cs="楷体_GB2312"/>
          <w:sz w:val="32"/>
        </w:rPr>
      </w:pPr>
      <w:bookmarkStart w:id="333" w:name="_Toc13961"/>
      <w:bookmarkStart w:id="334" w:name="_Toc5260"/>
      <w:r>
        <w:rPr>
          <w:rFonts w:hint="eastAsia" w:ascii="楷体_GB2312" w:hAnsi="楷体_GB2312" w:eastAsia="楷体_GB2312" w:cs="楷体_GB2312"/>
          <w:sz w:val="32"/>
        </w:rPr>
        <w:t>（二）项目效益情况</w:t>
      </w:r>
      <w:bookmarkEnd w:id="333"/>
      <w:bookmarkEnd w:id="334"/>
    </w:p>
    <w:p w14:paraId="547D5D0A">
      <w:pPr>
        <w:pStyle w:val="13"/>
        <w:widowControl/>
        <w:spacing w:beforeAutospacing="0" w:afterAutospacing="0" w:line="536" w:lineRule="exact"/>
        <w:ind w:firstLine="640" w:firstLineChars="200"/>
        <w:jc w:val="both"/>
        <w:rPr>
          <w:rFonts w:ascii="仿宋_GB2312" w:hAnsi="仿宋_GB2312" w:cs="仿宋_GB2312"/>
          <w:sz w:val="32"/>
        </w:rPr>
      </w:pPr>
      <w:r>
        <w:rPr>
          <w:rFonts w:hint="eastAsia" w:ascii="仿宋_GB2312" w:hAnsi="仿宋_GB2312" w:cs="仿宋_GB2312"/>
          <w:sz w:val="32"/>
          <w:shd w:val="clear" w:color="auto" w:fill="FFFFFF"/>
        </w:rPr>
        <w:t>确保安全，最大限度地减轻干旱灾害的影响和损失，保障人民生命财产的安全和社会的稳定。</w:t>
      </w:r>
    </w:p>
    <w:p w14:paraId="3A070FAF">
      <w:pPr>
        <w:adjustRightInd w:val="0"/>
        <w:snapToGrid w:val="0"/>
        <w:spacing w:line="536" w:lineRule="exact"/>
        <w:ind w:firstLine="640" w:firstLineChars="200"/>
        <w:outlineLvl w:val="1"/>
        <w:rPr>
          <w:rFonts w:ascii="黑体" w:hAnsi="黑体" w:eastAsia="黑体" w:cs="黑体"/>
          <w:sz w:val="32"/>
          <w:szCs w:val="32"/>
        </w:rPr>
      </w:pPr>
      <w:bookmarkStart w:id="335" w:name="_Toc32066"/>
      <w:bookmarkStart w:id="336" w:name="_Toc4411"/>
      <w:bookmarkStart w:id="337" w:name="_Toc21598"/>
      <w:r>
        <w:rPr>
          <w:rFonts w:hint="eastAsia" w:ascii="黑体" w:hAnsi="黑体" w:eastAsia="黑体" w:cs="黑体"/>
          <w:sz w:val="32"/>
          <w:szCs w:val="32"/>
        </w:rPr>
        <w:t>四、评价结论及问题建议</w:t>
      </w:r>
      <w:bookmarkEnd w:id="335"/>
      <w:bookmarkEnd w:id="336"/>
      <w:bookmarkEnd w:id="337"/>
    </w:p>
    <w:p w14:paraId="610E03E0">
      <w:pPr>
        <w:adjustRightInd w:val="0"/>
        <w:snapToGrid w:val="0"/>
        <w:spacing w:line="536" w:lineRule="exact"/>
        <w:ind w:firstLine="640" w:firstLineChars="200"/>
        <w:outlineLvl w:val="2"/>
        <w:rPr>
          <w:rFonts w:ascii="楷体_GB2312" w:hAnsi="楷体_GB2312" w:eastAsia="楷体_GB2312" w:cs="楷体_GB2312"/>
          <w:sz w:val="32"/>
          <w:szCs w:val="32"/>
        </w:rPr>
      </w:pPr>
      <w:bookmarkStart w:id="338" w:name="_Toc9402"/>
      <w:bookmarkStart w:id="339" w:name="_Toc5589"/>
      <w:r>
        <w:rPr>
          <w:rFonts w:hint="eastAsia" w:ascii="楷体_GB2312" w:hAnsi="楷体_GB2312" w:eastAsia="楷体_GB2312" w:cs="楷体_GB2312"/>
          <w:sz w:val="32"/>
          <w:szCs w:val="32"/>
        </w:rPr>
        <w:t>（一）评价结论</w:t>
      </w:r>
      <w:bookmarkEnd w:id="338"/>
      <w:bookmarkEnd w:id="339"/>
    </w:p>
    <w:p w14:paraId="3396DEB6">
      <w:pPr>
        <w:adjustRightInd w:val="0"/>
        <w:snapToGrid w:val="0"/>
        <w:spacing w:line="536" w:lineRule="exact"/>
        <w:ind w:firstLine="640" w:firstLineChars="200"/>
        <w:rPr>
          <w:rFonts w:ascii="仿宋_GB2312" w:hAnsi="仿宋_GB2312" w:eastAsia="仿宋_GB2312" w:cs="仿宋_GB2312"/>
          <w:color w:val="333333"/>
          <w:sz w:val="32"/>
          <w:szCs w:val="32"/>
          <w:shd w:val="clear" w:color="auto" w:fill="FFFFFF"/>
        </w:rPr>
      </w:pPr>
      <w:r>
        <w:rPr>
          <w:rFonts w:hint="eastAsia" w:ascii="仿宋_GB2312" w:hAnsi="仿宋_GB2312" w:eastAsia="仿宋_GB2312" w:cs="仿宋_GB2312"/>
          <w:sz w:val="32"/>
          <w:szCs w:val="32"/>
          <w:shd w:val="clear" w:color="auto" w:fill="FFFFFF"/>
        </w:rPr>
        <w:t>综合评价情况及评价结论：该项目以维护</w:t>
      </w:r>
      <w:r>
        <w:rPr>
          <w:rFonts w:ascii="仿宋_GB2312" w:hAnsi="仿宋_GB2312" w:eastAsia="仿宋_GB2312" w:cs="仿宋_GB2312"/>
          <w:sz w:val="32"/>
          <w:szCs w:val="32"/>
          <w:shd w:val="clear" w:color="auto" w:fill="FFFFFF"/>
        </w:rPr>
        <w:t>受灾群众生活生产秩序，提高群众抗旱意识和自救能力</w:t>
      </w:r>
      <w:r>
        <w:rPr>
          <w:rFonts w:hint="eastAsia" w:ascii="仿宋_GB2312" w:hAnsi="仿宋_GB2312" w:eastAsia="仿宋_GB2312" w:cs="仿宋_GB2312"/>
          <w:sz w:val="32"/>
          <w:szCs w:val="32"/>
          <w:shd w:val="clear" w:color="auto" w:fill="FFFFFF"/>
        </w:rPr>
        <w:t>为出发点；以完善基础设施为保障点；真正使财政资金实现令人民满意和取得最大绩效。我镇</w:t>
      </w:r>
      <w:r>
        <w:rPr>
          <w:rFonts w:ascii="仿宋_GB2312" w:hAnsi="仿宋_GB2312" w:eastAsia="仿宋_GB2312" w:cs="仿宋_GB2312"/>
          <w:sz w:val="32"/>
          <w:szCs w:val="32"/>
          <w:shd w:val="clear" w:color="auto" w:fill="FFFFFF"/>
        </w:rPr>
        <w:t>按照《广元市昭化区财政支出事后绩效评价管理办法》</w:t>
      </w:r>
      <w:r>
        <w:rPr>
          <w:rFonts w:eastAsia="仿宋_GB2312"/>
          <w:sz w:val="32"/>
          <w:szCs w:val="32"/>
        </w:rPr>
        <w:t>（昭府办函〔2022〕37号）</w:t>
      </w:r>
      <w:r>
        <w:rPr>
          <w:rFonts w:hint="eastAsia" w:ascii="仿宋_GB2312" w:hAnsi="仿宋_GB2312" w:eastAsia="仿宋_GB2312" w:cs="仿宋_GB2312"/>
          <w:sz w:val="32"/>
          <w:szCs w:val="32"/>
          <w:shd w:val="clear" w:color="auto" w:fill="FFFFFF"/>
        </w:rPr>
        <w:t>开展绩效评价，自评得分为</w:t>
      </w:r>
      <w:r>
        <w:rPr>
          <w:rFonts w:hint="eastAsia" w:eastAsia="仿宋_GB2312"/>
          <w:sz w:val="32"/>
          <w:szCs w:val="32"/>
        </w:rPr>
        <w:t>98.5</w:t>
      </w:r>
      <w:r>
        <w:rPr>
          <w:rFonts w:hint="eastAsia" w:ascii="仿宋_GB2312" w:hAnsi="仿宋_GB2312" w:eastAsia="仿宋_GB2312" w:cs="仿宋_GB2312"/>
          <w:sz w:val="32"/>
          <w:szCs w:val="32"/>
          <w:shd w:val="clear" w:color="auto" w:fill="FFFFFF"/>
        </w:rPr>
        <w:t>分</w:t>
      </w:r>
      <w:r>
        <w:rPr>
          <w:rFonts w:hint="eastAsia" w:ascii="仿宋_GB2312" w:hAnsi="仿宋_GB2312" w:eastAsia="仿宋_GB2312" w:cs="仿宋_GB2312"/>
          <w:color w:val="333333"/>
          <w:sz w:val="32"/>
          <w:szCs w:val="32"/>
          <w:shd w:val="clear" w:color="auto" w:fill="FFFFFF"/>
        </w:rPr>
        <w:t>。</w:t>
      </w:r>
    </w:p>
    <w:p w14:paraId="5585A39A">
      <w:pPr>
        <w:adjustRightInd w:val="0"/>
        <w:snapToGrid w:val="0"/>
        <w:spacing w:line="536" w:lineRule="exact"/>
        <w:ind w:firstLine="640" w:firstLineChars="200"/>
        <w:outlineLvl w:val="2"/>
        <w:rPr>
          <w:rFonts w:ascii="楷体_GB2312" w:hAnsi="楷体_GB2312" w:eastAsia="楷体_GB2312" w:cs="楷体_GB2312"/>
          <w:sz w:val="32"/>
          <w:szCs w:val="32"/>
        </w:rPr>
      </w:pPr>
      <w:bookmarkStart w:id="340" w:name="_Toc25949"/>
      <w:bookmarkStart w:id="341" w:name="_Toc9665"/>
      <w:r>
        <w:rPr>
          <w:rFonts w:hint="eastAsia" w:ascii="楷体_GB2312" w:hAnsi="楷体_GB2312" w:eastAsia="楷体_GB2312" w:cs="楷体_GB2312"/>
          <w:sz w:val="32"/>
          <w:szCs w:val="32"/>
        </w:rPr>
        <w:t>（二）存在的问题</w:t>
      </w:r>
      <w:bookmarkEnd w:id="340"/>
      <w:bookmarkEnd w:id="341"/>
    </w:p>
    <w:p w14:paraId="726F3221">
      <w:pPr>
        <w:pStyle w:val="13"/>
        <w:widowControl/>
        <w:spacing w:beforeAutospacing="0" w:afterAutospacing="0" w:line="536" w:lineRule="exact"/>
        <w:ind w:firstLine="640" w:firstLineChars="200"/>
        <w:jc w:val="both"/>
        <w:rPr>
          <w:rFonts w:ascii="仿宋_GB2312" w:hAnsi="仿宋_GB2312" w:cs="仿宋_GB2312"/>
          <w:sz w:val="32"/>
          <w:shd w:val="clear" w:color="auto" w:fill="FFFFFF"/>
        </w:rPr>
      </w:pPr>
      <w:r>
        <w:rPr>
          <w:rFonts w:hint="eastAsia" w:ascii="仿宋_GB2312" w:hAnsi="仿宋_GB2312" w:cs="仿宋_GB2312"/>
          <w:sz w:val="32"/>
          <w:shd w:val="clear" w:color="auto" w:fill="FFFFFF"/>
        </w:rPr>
        <w:t>各村抗旱预案未细化，底数不清。受灾群众覆盖面还有待不断扩充。</w:t>
      </w:r>
    </w:p>
    <w:p w14:paraId="2A6F198D">
      <w:pPr>
        <w:adjustRightInd w:val="0"/>
        <w:snapToGrid w:val="0"/>
        <w:spacing w:line="536" w:lineRule="exact"/>
        <w:ind w:firstLine="640" w:firstLineChars="200"/>
        <w:outlineLvl w:val="2"/>
        <w:rPr>
          <w:rFonts w:ascii="楷体_GB2312" w:hAnsi="楷体_GB2312" w:eastAsia="楷体_GB2312" w:cs="楷体_GB2312"/>
          <w:sz w:val="32"/>
          <w:szCs w:val="32"/>
        </w:rPr>
      </w:pPr>
      <w:bookmarkStart w:id="342" w:name="_Toc16514"/>
      <w:bookmarkStart w:id="343" w:name="_Toc13251"/>
      <w:r>
        <w:rPr>
          <w:rFonts w:hint="eastAsia" w:ascii="楷体_GB2312" w:hAnsi="楷体_GB2312" w:eastAsia="楷体_GB2312" w:cs="楷体_GB2312"/>
          <w:sz w:val="32"/>
          <w:szCs w:val="32"/>
        </w:rPr>
        <w:t>（三）相关措施建议</w:t>
      </w:r>
      <w:bookmarkEnd w:id="342"/>
      <w:bookmarkEnd w:id="343"/>
    </w:p>
    <w:p w14:paraId="34414580">
      <w:pPr>
        <w:spacing w:line="53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完善应急调水预案，做好水源调度，合理利用雨洪资源，提高水资源利用效率；动员农民群众消除等靠思想，自觉投入抗旱工作中去。</w:t>
      </w:r>
    </w:p>
    <w:p w14:paraId="1753717F">
      <w:pPr>
        <w:spacing w:before="103" w:line="219" w:lineRule="auto"/>
        <w:jc w:val="center"/>
        <w:rPr>
          <w:rFonts w:ascii="宋体" w:hAnsi="宋体" w:cs="宋体"/>
          <w:sz w:val="34"/>
          <w:szCs w:val="34"/>
        </w:rPr>
      </w:pPr>
      <w:r>
        <w:rPr>
          <w:rFonts w:ascii="宋体" w:hAnsi="宋体" w:cs="宋体"/>
          <w:spacing w:val="28"/>
          <w:sz w:val="34"/>
          <w:szCs w:val="34"/>
        </w:rPr>
        <w:t>广元市昭化区财政项目(政策)支出绩效自评表</w:t>
      </w:r>
    </w:p>
    <w:p w14:paraId="42E5512E">
      <w:pPr>
        <w:spacing w:before="86" w:line="219" w:lineRule="auto"/>
        <w:ind w:left="3894"/>
        <w:rPr>
          <w:rFonts w:ascii="宋体" w:hAnsi="宋体" w:cs="宋体"/>
          <w:sz w:val="22"/>
          <w:szCs w:val="22"/>
        </w:rPr>
      </w:pPr>
      <w:r>
        <w:rPr>
          <w:rFonts w:ascii="宋体" w:hAnsi="宋体" w:cs="宋体"/>
          <w:spacing w:val="-14"/>
          <w:sz w:val="22"/>
          <w:szCs w:val="22"/>
        </w:rPr>
        <w:t>(</w:t>
      </w:r>
      <w:r>
        <w:rPr>
          <w:rFonts w:ascii="宋体" w:hAnsi="宋体" w:cs="宋体"/>
          <w:spacing w:val="32"/>
          <w:sz w:val="22"/>
          <w:szCs w:val="22"/>
        </w:rPr>
        <w:t xml:space="preserve"> </w:t>
      </w:r>
      <w:r>
        <w:rPr>
          <w:rFonts w:hint="eastAsia" w:ascii="宋体" w:hAnsi="宋体" w:cs="宋体"/>
          <w:spacing w:val="32"/>
          <w:sz w:val="22"/>
          <w:szCs w:val="22"/>
        </w:rPr>
        <w:t>2022</w:t>
      </w:r>
      <w:r>
        <w:rPr>
          <w:rFonts w:ascii="宋体" w:hAnsi="宋体" w:cs="宋体"/>
          <w:spacing w:val="32"/>
          <w:sz w:val="22"/>
          <w:szCs w:val="22"/>
        </w:rPr>
        <w:t xml:space="preserve"> </w:t>
      </w:r>
      <w:r>
        <w:rPr>
          <w:rFonts w:ascii="宋体" w:hAnsi="宋体" w:cs="宋体"/>
          <w:spacing w:val="-14"/>
          <w:sz w:val="22"/>
          <w:szCs w:val="22"/>
        </w:rPr>
        <w:t>年度)</w:t>
      </w:r>
    </w:p>
    <w:p w14:paraId="1B798C36">
      <w:pPr>
        <w:spacing w:line="134" w:lineRule="exact"/>
      </w:pPr>
    </w:p>
    <w:tbl>
      <w:tblPr>
        <w:tblStyle w:val="35"/>
        <w:tblW w:w="90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52"/>
        <w:gridCol w:w="999"/>
        <w:gridCol w:w="778"/>
        <w:gridCol w:w="1308"/>
        <w:gridCol w:w="1145"/>
        <w:gridCol w:w="951"/>
        <w:gridCol w:w="2469"/>
      </w:tblGrid>
      <w:tr w14:paraId="6ED8B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49" w:type="dxa"/>
            <w:gridSpan w:val="2"/>
          </w:tcPr>
          <w:p w14:paraId="6CEBFA2B">
            <w:pPr>
              <w:spacing w:before="82" w:line="220" w:lineRule="auto"/>
              <w:ind w:left="75"/>
              <w:rPr>
                <w:rFonts w:ascii="宋体" w:hAnsi="宋体" w:cs="宋体"/>
                <w:sz w:val="17"/>
                <w:szCs w:val="17"/>
              </w:rPr>
            </w:pPr>
            <w:r>
              <w:rPr>
                <w:rFonts w:ascii="宋体" w:hAnsi="宋体" w:cs="宋体"/>
                <w:spacing w:val="-2"/>
                <w:sz w:val="17"/>
                <w:szCs w:val="17"/>
              </w:rPr>
              <w:t>项目(政策)名称</w:t>
            </w:r>
          </w:p>
        </w:tc>
        <w:tc>
          <w:tcPr>
            <w:tcW w:w="7650" w:type="dxa"/>
            <w:gridSpan w:val="6"/>
          </w:tcPr>
          <w:p w14:paraId="5FFC6EFA">
            <w:r>
              <w:rPr>
                <w:rFonts w:hint="eastAsia" w:eastAsia="仿宋_GB2312" w:cs="仿宋_GB2312"/>
                <w:color w:val="000000" w:themeColor="text1"/>
                <w:sz w:val="22"/>
                <w:szCs w:val="22"/>
              </w:rPr>
              <w:t>抗旱应急财政补助资金</w:t>
            </w:r>
          </w:p>
        </w:tc>
      </w:tr>
      <w:tr w14:paraId="1ED9C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tcPr>
          <w:p w14:paraId="1339D82C">
            <w:pPr>
              <w:spacing w:before="78" w:line="219" w:lineRule="auto"/>
              <w:ind w:left="404"/>
              <w:jc w:val="center"/>
              <w:rPr>
                <w:rFonts w:ascii="宋体" w:hAnsi="宋体" w:cs="宋体"/>
                <w:sz w:val="17"/>
                <w:szCs w:val="17"/>
              </w:rPr>
            </w:pPr>
            <w:r>
              <w:rPr>
                <w:rFonts w:ascii="宋体" w:hAnsi="宋体" w:cs="宋体"/>
                <w:spacing w:val="4"/>
                <w:sz w:val="17"/>
                <w:szCs w:val="17"/>
              </w:rPr>
              <w:t>主管部门</w:t>
            </w:r>
          </w:p>
        </w:tc>
        <w:tc>
          <w:tcPr>
            <w:tcW w:w="4230" w:type="dxa"/>
            <w:gridSpan w:val="4"/>
          </w:tcPr>
          <w:p w14:paraId="38D74208">
            <w:r>
              <w:rPr>
                <w:rFonts w:hint="eastAsia" w:eastAsia="仿宋_GB2312" w:cs="仿宋_GB2312"/>
                <w:color w:val="000000" w:themeColor="text1"/>
                <w:sz w:val="22"/>
                <w:szCs w:val="22"/>
              </w:rPr>
              <w:t>广元市昭化区人民政府</w:t>
            </w:r>
          </w:p>
        </w:tc>
        <w:tc>
          <w:tcPr>
            <w:tcW w:w="951" w:type="dxa"/>
          </w:tcPr>
          <w:p w14:paraId="20C08600">
            <w:pPr>
              <w:spacing w:before="78" w:line="219" w:lineRule="auto"/>
              <w:jc w:val="center"/>
              <w:rPr>
                <w:rFonts w:ascii="宋体" w:hAnsi="宋体" w:cs="宋体"/>
                <w:spacing w:val="4"/>
                <w:sz w:val="17"/>
                <w:szCs w:val="17"/>
              </w:rPr>
            </w:pPr>
            <w:r>
              <w:rPr>
                <w:rFonts w:ascii="宋体" w:hAnsi="宋体" w:cs="宋体"/>
                <w:spacing w:val="4"/>
                <w:sz w:val="17"/>
                <w:szCs w:val="17"/>
              </w:rPr>
              <w:t>实施单位</w:t>
            </w:r>
          </w:p>
        </w:tc>
        <w:tc>
          <w:tcPr>
            <w:tcW w:w="2469" w:type="dxa"/>
          </w:tcPr>
          <w:p w14:paraId="1397B254">
            <w:pPr>
              <w:spacing w:before="78" w:line="219" w:lineRule="auto"/>
              <w:jc w:val="center"/>
              <w:rPr>
                <w:rFonts w:ascii="宋体" w:hAnsi="宋体" w:cs="宋体"/>
                <w:spacing w:val="4"/>
                <w:sz w:val="17"/>
                <w:szCs w:val="17"/>
              </w:rPr>
            </w:pPr>
            <w:r>
              <w:rPr>
                <w:rFonts w:hint="eastAsia" w:ascii="宋体" w:hAnsi="宋体" w:cs="宋体"/>
                <w:spacing w:val="4"/>
                <w:sz w:val="17"/>
                <w:szCs w:val="17"/>
              </w:rPr>
              <w:t>王家镇人民政府</w:t>
            </w:r>
          </w:p>
        </w:tc>
      </w:tr>
      <w:tr w14:paraId="0F47F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restart"/>
            <w:tcBorders>
              <w:bottom w:val="nil"/>
            </w:tcBorders>
          </w:tcPr>
          <w:p w14:paraId="15C1F735">
            <w:pPr>
              <w:spacing w:line="279" w:lineRule="auto"/>
            </w:pPr>
          </w:p>
          <w:p w14:paraId="286F90E1">
            <w:pPr>
              <w:spacing w:line="279" w:lineRule="auto"/>
            </w:pPr>
          </w:p>
          <w:p w14:paraId="34318E45">
            <w:pPr>
              <w:spacing w:line="279" w:lineRule="auto"/>
            </w:pPr>
          </w:p>
          <w:p w14:paraId="185628DF">
            <w:pPr>
              <w:spacing w:line="279" w:lineRule="auto"/>
            </w:pPr>
          </w:p>
          <w:p w14:paraId="6CBE06AF">
            <w:pPr>
              <w:spacing w:before="55" w:line="235" w:lineRule="auto"/>
              <w:ind w:left="464" w:right="197" w:hanging="389"/>
              <w:rPr>
                <w:rFonts w:ascii="宋体" w:hAnsi="宋体" w:cs="宋体"/>
                <w:sz w:val="17"/>
                <w:szCs w:val="17"/>
              </w:rPr>
            </w:pPr>
            <w:r>
              <w:rPr>
                <w:rFonts w:ascii="宋体" w:hAnsi="宋体" w:cs="宋体"/>
                <w:spacing w:val="-2"/>
                <w:sz w:val="17"/>
                <w:szCs w:val="17"/>
              </w:rPr>
              <w:t>项目(政策)资金</w:t>
            </w:r>
            <w:r>
              <w:rPr>
                <w:rFonts w:ascii="宋体" w:hAnsi="宋体" w:cs="宋体"/>
                <w:spacing w:val="5"/>
                <w:sz w:val="17"/>
                <w:szCs w:val="17"/>
              </w:rPr>
              <w:t xml:space="preserve"> </w:t>
            </w:r>
            <w:r>
              <w:rPr>
                <w:rFonts w:ascii="宋体" w:hAnsi="宋体" w:cs="宋体"/>
                <w:spacing w:val="9"/>
                <w:sz w:val="17"/>
                <w:szCs w:val="17"/>
              </w:rPr>
              <w:t>(万元)</w:t>
            </w:r>
          </w:p>
        </w:tc>
        <w:tc>
          <w:tcPr>
            <w:tcW w:w="1777" w:type="dxa"/>
            <w:gridSpan w:val="2"/>
          </w:tcPr>
          <w:p w14:paraId="3B0B04D4"/>
        </w:tc>
        <w:tc>
          <w:tcPr>
            <w:tcW w:w="1308" w:type="dxa"/>
          </w:tcPr>
          <w:p w14:paraId="0ADCE5F4">
            <w:pPr>
              <w:spacing w:before="77" w:line="219" w:lineRule="auto"/>
              <w:jc w:val="center"/>
              <w:rPr>
                <w:rFonts w:ascii="宋体" w:hAnsi="宋体" w:cs="宋体"/>
                <w:sz w:val="17"/>
                <w:szCs w:val="17"/>
              </w:rPr>
            </w:pPr>
            <w:r>
              <w:rPr>
                <w:rFonts w:ascii="宋体" w:hAnsi="宋体" w:cs="宋体"/>
                <w:spacing w:val="-2"/>
                <w:sz w:val="17"/>
                <w:szCs w:val="17"/>
              </w:rPr>
              <w:t>年初预算数</w:t>
            </w:r>
          </w:p>
        </w:tc>
        <w:tc>
          <w:tcPr>
            <w:tcW w:w="1145" w:type="dxa"/>
          </w:tcPr>
          <w:p w14:paraId="6E4BE666">
            <w:pPr>
              <w:spacing w:before="98" w:line="219" w:lineRule="auto"/>
              <w:jc w:val="center"/>
              <w:rPr>
                <w:rFonts w:ascii="宋体" w:hAnsi="宋体" w:cs="宋体"/>
                <w:sz w:val="17"/>
                <w:szCs w:val="17"/>
              </w:rPr>
            </w:pPr>
            <w:r>
              <w:rPr>
                <w:rFonts w:ascii="宋体" w:hAnsi="宋体" w:cs="宋体"/>
                <w:spacing w:val="-2"/>
                <w:sz w:val="17"/>
                <w:szCs w:val="17"/>
              </w:rPr>
              <w:t>全年预算数</w:t>
            </w:r>
          </w:p>
        </w:tc>
        <w:tc>
          <w:tcPr>
            <w:tcW w:w="951" w:type="dxa"/>
          </w:tcPr>
          <w:p w14:paraId="4EDCBDF7">
            <w:pPr>
              <w:spacing w:before="77" w:line="219" w:lineRule="auto"/>
              <w:jc w:val="center"/>
              <w:rPr>
                <w:rFonts w:ascii="宋体" w:hAnsi="宋体" w:cs="宋体"/>
                <w:sz w:val="17"/>
                <w:szCs w:val="17"/>
              </w:rPr>
            </w:pPr>
            <w:r>
              <w:rPr>
                <w:rFonts w:ascii="宋体" w:hAnsi="宋体" w:cs="宋体"/>
                <w:spacing w:val="-2"/>
                <w:sz w:val="17"/>
                <w:szCs w:val="17"/>
              </w:rPr>
              <w:t>全年执行数</w:t>
            </w:r>
          </w:p>
        </w:tc>
        <w:tc>
          <w:tcPr>
            <w:tcW w:w="2469" w:type="dxa"/>
          </w:tcPr>
          <w:p w14:paraId="7660307A">
            <w:pPr>
              <w:spacing w:before="77" w:line="219" w:lineRule="auto"/>
              <w:jc w:val="center"/>
              <w:rPr>
                <w:rFonts w:ascii="宋体" w:hAnsi="宋体" w:cs="宋体"/>
                <w:sz w:val="17"/>
                <w:szCs w:val="17"/>
              </w:rPr>
            </w:pPr>
            <w:r>
              <w:rPr>
                <w:rFonts w:ascii="宋体" w:hAnsi="宋体" w:cs="宋体"/>
                <w:spacing w:val="-2"/>
                <w:sz w:val="17"/>
                <w:szCs w:val="17"/>
              </w:rPr>
              <w:t>执行率</w:t>
            </w:r>
          </w:p>
        </w:tc>
      </w:tr>
      <w:tr w14:paraId="70428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0B6ABAB"/>
        </w:tc>
        <w:tc>
          <w:tcPr>
            <w:tcW w:w="1777" w:type="dxa"/>
            <w:gridSpan w:val="2"/>
          </w:tcPr>
          <w:p w14:paraId="5F009A6F">
            <w:pPr>
              <w:spacing w:before="79" w:line="219" w:lineRule="auto"/>
              <w:ind w:left="151"/>
              <w:rPr>
                <w:rFonts w:ascii="宋体" w:hAnsi="宋体" w:cs="宋体"/>
                <w:sz w:val="17"/>
                <w:szCs w:val="17"/>
              </w:rPr>
            </w:pPr>
            <w:r>
              <w:rPr>
                <w:rFonts w:ascii="宋体" w:hAnsi="宋体" w:cs="宋体"/>
                <w:spacing w:val="-2"/>
                <w:sz w:val="17"/>
                <w:szCs w:val="17"/>
              </w:rPr>
              <w:t>年度资金总额</w:t>
            </w:r>
          </w:p>
        </w:tc>
        <w:tc>
          <w:tcPr>
            <w:tcW w:w="1308" w:type="dxa"/>
          </w:tcPr>
          <w:p w14:paraId="3CAAA762">
            <w:pPr>
              <w:spacing w:before="77" w:line="219" w:lineRule="auto"/>
              <w:jc w:val="center"/>
              <w:rPr>
                <w:rFonts w:ascii="宋体" w:hAnsi="宋体" w:cs="宋体"/>
                <w:spacing w:val="-2"/>
                <w:sz w:val="17"/>
                <w:szCs w:val="17"/>
              </w:rPr>
            </w:pPr>
            <w:r>
              <w:rPr>
                <w:rFonts w:hint="eastAsia" w:ascii="宋体" w:hAnsi="宋体" w:cs="宋体"/>
                <w:spacing w:val="-2"/>
                <w:sz w:val="17"/>
                <w:szCs w:val="17"/>
              </w:rPr>
              <w:t>10</w:t>
            </w:r>
          </w:p>
        </w:tc>
        <w:tc>
          <w:tcPr>
            <w:tcW w:w="1145" w:type="dxa"/>
          </w:tcPr>
          <w:p w14:paraId="70B57555">
            <w:pPr>
              <w:spacing w:before="77" w:line="219" w:lineRule="auto"/>
              <w:jc w:val="center"/>
              <w:rPr>
                <w:rFonts w:ascii="宋体" w:hAnsi="宋体" w:cs="宋体"/>
                <w:spacing w:val="-2"/>
                <w:sz w:val="17"/>
                <w:szCs w:val="17"/>
              </w:rPr>
            </w:pPr>
            <w:r>
              <w:rPr>
                <w:rFonts w:hint="eastAsia" w:ascii="宋体" w:hAnsi="宋体" w:cs="宋体"/>
                <w:spacing w:val="-2"/>
                <w:sz w:val="17"/>
                <w:szCs w:val="17"/>
              </w:rPr>
              <w:t>10</w:t>
            </w:r>
          </w:p>
        </w:tc>
        <w:tc>
          <w:tcPr>
            <w:tcW w:w="951" w:type="dxa"/>
          </w:tcPr>
          <w:p w14:paraId="00607DB1">
            <w:pPr>
              <w:spacing w:before="77" w:line="219" w:lineRule="auto"/>
              <w:jc w:val="center"/>
              <w:rPr>
                <w:rFonts w:ascii="宋体" w:hAnsi="宋体" w:cs="宋体"/>
                <w:spacing w:val="-2"/>
                <w:sz w:val="17"/>
                <w:szCs w:val="17"/>
              </w:rPr>
            </w:pPr>
            <w:r>
              <w:rPr>
                <w:rFonts w:hint="eastAsia" w:ascii="宋体" w:hAnsi="宋体" w:cs="宋体"/>
                <w:spacing w:val="-2"/>
                <w:sz w:val="17"/>
                <w:szCs w:val="17"/>
              </w:rPr>
              <w:t>10</w:t>
            </w:r>
          </w:p>
        </w:tc>
        <w:tc>
          <w:tcPr>
            <w:tcW w:w="2469" w:type="dxa"/>
            <w:vAlign w:val="center"/>
          </w:tcPr>
          <w:p w14:paraId="1227C30C">
            <w:pPr>
              <w:spacing w:before="77" w:line="219" w:lineRule="auto"/>
              <w:jc w:val="center"/>
              <w:rPr>
                <w:rFonts w:ascii="宋体" w:hAnsi="宋体" w:cs="宋体"/>
                <w:spacing w:val="-2"/>
                <w:sz w:val="17"/>
                <w:szCs w:val="17"/>
              </w:rPr>
            </w:pPr>
            <w:r>
              <w:rPr>
                <w:rFonts w:hint="eastAsia" w:ascii="宋体" w:hAnsi="宋体" w:cs="宋体"/>
                <w:spacing w:val="-2"/>
                <w:sz w:val="17"/>
                <w:szCs w:val="17"/>
              </w:rPr>
              <w:t>100%</w:t>
            </w:r>
          </w:p>
        </w:tc>
      </w:tr>
      <w:tr w14:paraId="166D9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bottom w:val="nil"/>
            </w:tcBorders>
          </w:tcPr>
          <w:p w14:paraId="1529C082"/>
        </w:tc>
        <w:tc>
          <w:tcPr>
            <w:tcW w:w="1777" w:type="dxa"/>
            <w:gridSpan w:val="2"/>
          </w:tcPr>
          <w:p w14:paraId="3BF7446C">
            <w:pPr>
              <w:spacing w:before="109" w:line="219" w:lineRule="auto"/>
              <w:ind w:left="151"/>
              <w:rPr>
                <w:rFonts w:ascii="宋体" w:hAnsi="宋体" w:cs="宋体"/>
                <w:sz w:val="17"/>
                <w:szCs w:val="17"/>
              </w:rPr>
            </w:pPr>
            <w:r>
              <w:rPr>
                <w:rFonts w:ascii="宋体" w:hAnsi="宋体" w:cs="宋体"/>
                <w:sz w:val="17"/>
                <w:szCs w:val="17"/>
              </w:rPr>
              <w:t>(一)财政拨款小计</w:t>
            </w:r>
          </w:p>
        </w:tc>
        <w:tc>
          <w:tcPr>
            <w:tcW w:w="1308" w:type="dxa"/>
          </w:tcPr>
          <w:p w14:paraId="768CA63D">
            <w:pPr>
              <w:jc w:val="center"/>
            </w:pPr>
            <w:r>
              <w:rPr>
                <w:rFonts w:hint="eastAsia" w:ascii="宋体" w:hAnsi="宋体" w:cs="宋体"/>
                <w:spacing w:val="-2"/>
                <w:sz w:val="17"/>
                <w:szCs w:val="17"/>
              </w:rPr>
              <w:t>10</w:t>
            </w:r>
          </w:p>
        </w:tc>
        <w:tc>
          <w:tcPr>
            <w:tcW w:w="1145" w:type="dxa"/>
          </w:tcPr>
          <w:p w14:paraId="44699E48">
            <w:pPr>
              <w:jc w:val="center"/>
            </w:pPr>
            <w:r>
              <w:rPr>
                <w:rFonts w:hint="eastAsia" w:ascii="宋体" w:hAnsi="宋体" w:cs="宋体"/>
                <w:spacing w:val="-2"/>
                <w:sz w:val="17"/>
                <w:szCs w:val="17"/>
              </w:rPr>
              <w:t>10</w:t>
            </w:r>
          </w:p>
        </w:tc>
        <w:tc>
          <w:tcPr>
            <w:tcW w:w="951" w:type="dxa"/>
          </w:tcPr>
          <w:p w14:paraId="236BEBEF">
            <w:pPr>
              <w:jc w:val="center"/>
            </w:pPr>
            <w:r>
              <w:rPr>
                <w:rFonts w:hint="eastAsia" w:ascii="宋体" w:hAnsi="宋体" w:cs="宋体"/>
                <w:spacing w:val="-2"/>
                <w:sz w:val="17"/>
                <w:szCs w:val="17"/>
              </w:rPr>
              <w:t>10</w:t>
            </w:r>
          </w:p>
        </w:tc>
        <w:tc>
          <w:tcPr>
            <w:tcW w:w="2469" w:type="dxa"/>
            <w:vAlign w:val="center"/>
          </w:tcPr>
          <w:p w14:paraId="08450F49">
            <w:pPr>
              <w:jc w:val="center"/>
            </w:pPr>
            <w:r>
              <w:rPr>
                <w:rFonts w:hint="eastAsia" w:ascii="宋体" w:hAnsi="宋体" w:cs="宋体"/>
                <w:spacing w:val="-2"/>
                <w:sz w:val="17"/>
                <w:szCs w:val="17"/>
              </w:rPr>
              <w:t>100%</w:t>
            </w:r>
          </w:p>
        </w:tc>
      </w:tr>
      <w:tr w14:paraId="65116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0741A5CF"/>
        </w:tc>
        <w:tc>
          <w:tcPr>
            <w:tcW w:w="1777" w:type="dxa"/>
            <w:gridSpan w:val="2"/>
          </w:tcPr>
          <w:p w14:paraId="3B9EBEC4">
            <w:pPr>
              <w:spacing w:before="80" w:line="219" w:lineRule="auto"/>
              <w:ind w:left="151"/>
              <w:rPr>
                <w:rFonts w:ascii="宋体" w:hAnsi="宋体" w:cs="宋体"/>
                <w:sz w:val="17"/>
                <w:szCs w:val="17"/>
              </w:rPr>
            </w:pPr>
            <w:r>
              <w:rPr>
                <w:rFonts w:ascii="宋体" w:hAnsi="宋体" w:cs="宋体"/>
                <w:sz w:val="17"/>
                <w:szCs w:val="17"/>
              </w:rPr>
              <w:t>1.一般公共预算</w:t>
            </w:r>
          </w:p>
        </w:tc>
        <w:tc>
          <w:tcPr>
            <w:tcW w:w="1308" w:type="dxa"/>
          </w:tcPr>
          <w:p w14:paraId="0FE94771">
            <w:pPr>
              <w:jc w:val="center"/>
            </w:pPr>
            <w:r>
              <w:rPr>
                <w:rFonts w:hint="eastAsia" w:ascii="宋体" w:hAnsi="宋体" w:cs="宋体"/>
                <w:spacing w:val="-2"/>
                <w:sz w:val="17"/>
                <w:szCs w:val="17"/>
              </w:rPr>
              <w:t>10</w:t>
            </w:r>
          </w:p>
        </w:tc>
        <w:tc>
          <w:tcPr>
            <w:tcW w:w="1145" w:type="dxa"/>
          </w:tcPr>
          <w:p w14:paraId="0D3358A9">
            <w:pPr>
              <w:jc w:val="center"/>
            </w:pPr>
            <w:r>
              <w:rPr>
                <w:rFonts w:hint="eastAsia" w:ascii="宋体" w:hAnsi="宋体" w:cs="宋体"/>
                <w:spacing w:val="-2"/>
                <w:sz w:val="17"/>
                <w:szCs w:val="17"/>
              </w:rPr>
              <w:t>10</w:t>
            </w:r>
          </w:p>
        </w:tc>
        <w:tc>
          <w:tcPr>
            <w:tcW w:w="951" w:type="dxa"/>
          </w:tcPr>
          <w:p w14:paraId="74056542">
            <w:pPr>
              <w:jc w:val="center"/>
            </w:pPr>
            <w:r>
              <w:rPr>
                <w:rFonts w:hint="eastAsia" w:ascii="宋体" w:hAnsi="宋体" w:cs="宋体"/>
                <w:spacing w:val="-2"/>
                <w:sz w:val="17"/>
                <w:szCs w:val="17"/>
              </w:rPr>
              <w:t>10</w:t>
            </w:r>
          </w:p>
        </w:tc>
        <w:tc>
          <w:tcPr>
            <w:tcW w:w="2469" w:type="dxa"/>
            <w:vAlign w:val="center"/>
          </w:tcPr>
          <w:p w14:paraId="6F90E944">
            <w:pPr>
              <w:jc w:val="center"/>
            </w:pPr>
            <w:r>
              <w:rPr>
                <w:rFonts w:hint="eastAsia" w:ascii="宋体" w:hAnsi="宋体" w:cs="宋体"/>
                <w:spacing w:val="-2"/>
                <w:sz w:val="17"/>
                <w:szCs w:val="17"/>
              </w:rPr>
              <w:t>100%</w:t>
            </w:r>
          </w:p>
        </w:tc>
      </w:tr>
      <w:tr w14:paraId="6C8EB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1449" w:type="dxa"/>
            <w:gridSpan w:val="2"/>
            <w:vMerge w:val="continue"/>
            <w:tcBorders>
              <w:top w:val="nil"/>
              <w:bottom w:val="nil"/>
            </w:tcBorders>
          </w:tcPr>
          <w:p w14:paraId="40852B2E"/>
        </w:tc>
        <w:tc>
          <w:tcPr>
            <w:tcW w:w="1777" w:type="dxa"/>
            <w:gridSpan w:val="2"/>
          </w:tcPr>
          <w:p w14:paraId="51D2A9B0">
            <w:pPr>
              <w:spacing w:before="78" w:line="219" w:lineRule="auto"/>
              <w:ind w:left="151"/>
              <w:rPr>
                <w:rFonts w:ascii="宋体" w:hAnsi="宋体" w:cs="宋体"/>
                <w:sz w:val="17"/>
                <w:szCs w:val="17"/>
              </w:rPr>
            </w:pPr>
            <w:r>
              <w:rPr>
                <w:rFonts w:ascii="宋体" w:hAnsi="宋体" w:cs="宋体"/>
                <w:spacing w:val="-2"/>
                <w:sz w:val="17"/>
                <w:szCs w:val="17"/>
              </w:rPr>
              <w:t>2.政府性基金</w:t>
            </w:r>
          </w:p>
        </w:tc>
        <w:tc>
          <w:tcPr>
            <w:tcW w:w="1308" w:type="dxa"/>
          </w:tcPr>
          <w:p w14:paraId="0171AA14"/>
        </w:tc>
        <w:tc>
          <w:tcPr>
            <w:tcW w:w="1145" w:type="dxa"/>
          </w:tcPr>
          <w:p w14:paraId="155E021D"/>
        </w:tc>
        <w:tc>
          <w:tcPr>
            <w:tcW w:w="951" w:type="dxa"/>
          </w:tcPr>
          <w:p w14:paraId="64DFEEE5"/>
        </w:tc>
        <w:tc>
          <w:tcPr>
            <w:tcW w:w="2469" w:type="dxa"/>
          </w:tcPr>
          <w:p w14:paraId="31D19481"/>
        </w:tc>
      </w:tr>
      <w:tr w14:paraId="2ECBE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449" w:type="dxa"/>
            <w:gridSpan w:val="2"/>
            <w:vMerge w:val="continue"/>
            <w:tcBorders>
              <w:top w:val="nil"/>
              <w:bottom w:val="nil"/>
            </w:tcBorders>
          </w:tcPr>
          <w:p w14:paraId="19D13BA6"/>
        </w:tc>
        <w:tc>
          <w:tcPr>
            <w:tcW w:w="1777" w:type="dxa"/>
            <w:gridSpan w:val="2"/>
          </w:tcPr>
          <w:p w14:paraId="67A75995">
            <w:pPr>
              <w:spacing w:before="119" w:line="219" w:lineRule="auto"/>
              <w:ind w:left="151"/>
              <w:rPr>
                <w:rFonts w:ascii="宋体" w:hAnsi="宋体" w:cs="宋体"/>
                <w:sz w:val="17"/>
                <w:szCs w:val="17"/>
              </w:rPr>
            </w:pPr>
            <w:r>
              <w:rPr>
                <w:rFonts w:ascii="宋体" w:hAnsi="宋体" w:cs="宋体"/>
                <w:spacing w:val="-1"/>
                <w:sz w:val="17"/>
                <w:szCs w:val="17"/>
              </w:rPr>
              <w:t>3.国有资本经营预算</w:t>
            </w:r>
          </w:p>
        </w:tc>
        <w:tc>
          <w:tcPr>
            <w:tcW w:w="1308" w:type="dxa"/>
          </w:tcPr>
          <w:p w14:paraId="120C35F8"/>
        </w:tc>
        <w:tc>
          <w:tcPr>
            <w:tcW w:w="1145" w:type="dxa"/>
          </w:tcPr>
          <w:p w14:paraId="6DD4B3AE"/>
        </w:tc>
        <w:tc>
          <w:tcPr>
            <w:tcW w:w="951" w:type="dxa"/>
          </w:tcPr>
          <w:p w14:paraId="3536907A"/>
        </w:tc>
        <w:tc>
          <w:tcPr>
            <w:tcW w:w="2469" w:type="dxa"/>
          </w:tcPr>
          <w:p w14:paraId="13727F81"/>
        </w:tc>
      </w:tr>
      <w:tr w14:paraId="01F15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49" w:type="dxa"/>
            <w:gridSpan w:val="2"/>
            <w:vMerge w:val="continue"/>
            <w:tcBorders>
              <w:top w:val="nil"/>
              <w:bottom w:val="nil"/>
            </w:tcBorders>
          </w:tcPr>
          <w:p w14:paraId="629EDBFB"/>
        </w:tc>
        <w:tc>
          <w:tcPr>
            <w:tcW w:w="1777" w:type="dxa"/>
            <w:gridSpan w:val="2"/>
          </w:tcPr>
          <w:p w14:paraId="42CC2147">
            <w:pPr>
              <w:spacing w:before="82" w:line="219" w:lineRule="auto"/>
              <w:ind w:left="151"/>
              <w:rPr>
                <w:rFonts w:ascii="宋体" w:hAnsi="宋体" w:cs="宋体"/>
                <w:sz w:val="17"/>
                <w:szCs w:val="17"/>
              </w:rPr>
            </w:pPr>
            <w:r>
              <w:rPr>
                <w:rFonts w:ascii="宋体" w:hAnsi="宋体" w:cs="宋体"/>
                <w:spacing w:val="-1"/>
                <w:sz w:val="17"/>
                <w:szCs w:val="17"/>
              </w:rPr>
              <w:t>4.社保基金</w:t>
            </w:r>
          </w:p>
        </w:tc>
        <w:tc>
          <w:tcPr>
            <w:tcW w:w="1308" w:type="dxa"/>
          </w:tcPr>
          <w:p w14:paraId="4B1E2847"/>
        </w:tc>
        <w:tc>
          <w:tcPr>
            <w:tcW w:w="1145" w:type="dxa"/>
          </w:tcPr>
          <w:p w14:paraId="7D906BB9"/>
        </w:tc>
        <w:tc>
          <w:tcPr>
            <w:tcW w:w="951" w:type="dxa"/>
          </w:tcPr>
          <w:p w14:paraId="69781924"/>
        </w:tc>
        <w:tc>
          <w:tcPr>
            <w:tcW w:w="2469" w:type="dxa"/>
          </w:tcPr>
          <w:p w14:paraId="5E414C53"/>
        </w:tc>
      </w:tr>
      <w:tr w14:paraId="2990F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49" w:type="dxa"/>
            <w:gridSpan w:val="2"/>
            <w:vMerge w:val="continue"/>
            <w:tcBorders>
              <w:top w:val="nil"/>
            </w:tcBorders>
          </w:tcPr>
          <w:p w14:paraId="7B4909D9"/>
        </w:tc>
        <w:tc>
          <w:tcPr>
            <w:tcW w:w="1777" w:type="dxa"/>
            <w:gridSpan w:val="2"/>
          </w:tcPr>
          <w:p w14:paraId="01D70DD4">
            <w:pPr>
              <w:spacing w:before="112" w:line="220" w:lineRule="auto"/>
              <w:ind w:left="151"/>
              <w:rPr>
                <w:rFonts w:ascii="宋体" w:hAnsi="宋体" w:cs="宋体"/>
                <w:sz w:val="17"/>
                <w:szCs w:val="17"/>
              </w:rPr>
            </w:pPr>
            <w:r>
              <w:rPr>
                <w:rFonts w:ascii="宋体" w:hAnsi="宋体" w:cs="宋体"/>
                <w:spacing w:val="1"/>
                <w:sz w:val="17"/>
                <w:szCs w:val="17"/>
              </w:rPr>
              <w:t>(二)其他资金</w:t>
            </w:r>
          </w:p>
        </w:tc>
        <w:tc>
          <w:tcPr>
            <w:tcW w:w="1308" w:type="dxa"/>
          </w:tcPr>
          <w:p w14:paraId="4BE7429B"/>
        </w:tc>
        <w:tc>
          <w:tcPr>
            <w:tcW w:w="1145" w:type="dxa"/>
          </w:tcPr>
          <w:p w14:paraId="5B013971"/>
        </w:tc>
        <w:tc>
          <w:tcPr>
            <w:tcW w:w="951" w:type="dxa"/>
          </w:tcPr>
          <w:p w14:paraId="46757D63"/>
        </w:tc>
        <w:tc>
          <w:tcPr>
            <w:tcW w:w="2469" w:type="dxa"/>
          </w:tcPr>
          <w:p w14:paraId="45466DF6"/>
        </w:tc>
      </w:tr>
      <w:tr w14:paraId="0C648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97" w:type="dxa"/>
            <w:vMerge w:val="restart"/>
            <w:tcBorders>
              <w:bottom w:val="nil"/>
            </w:tcBorders>
          </w:tcPr>
          <w:p w14:paraId="781C0D78">
            <w:pPr>
              <w:spacing w:line="385" w:lineRule="auto"/>
            </w:pPr>
          </w:p>
          <w:p w14:paraId="073E96C5">
            <w:pPr>
              <w:spacing w:before="55" w:line="219" w:lineRule="auto"/>
              <w:ind w:left="194" w:right="2" w:hanging="139"/>
              <w:rPr>
                <w:rFonts w:ascii="宋体" w:hAnsi="宋体" w:cs="宋体"/>
                <w:sz w:val="17"/>
                <w:szCs w:val="17"/>
              </w:rPr>
            </w:pPr>
            <w:r>
              <w:rPr>
                <w:rFonts w:ascii="宋体" w:hAnsi="宋体" w:cs="宋体"/>
                <w:spacing w:val="-11"/>
                <w:sz w:val="17"/>
                <w:szCs w:val="17"/>
              </w:rPr>
              <w:t>年度总体</w:t>
            </w:r>
            <w:r>
              <w:rPr>
                <w:rFonts w:ascii="宋体" w:hAnsi="宋体" w:cs="宋体"/>
                <w:sz w:val="17"/>
                <w:szCs w:val="17"/>
              </w:rPr>
              <w:t xml:space="preserve"> </w:t>
            </w:r>
            <w:r>
              <w:rPr>
                <w:rFonts w:ascii="宋体" w:hAnsi="宋体" w:cs="宋体"/>
                <w:spacing w:val="6"/>
                <w:sz w:val="17"/>
                <w:szCs w:val="17"/>
              </w:rPr>
              <w:t>目标</w:t>
            </w:r>
          </w:p>
        </w:tc>
        <w:tc>
          <w:tcPr>
            <w:tcW w:w="5933" w:type="dxa"/>
            <w:gridSpan w:val="6"/>
          </w:tcPr>
          <w:p w14:paraId="3BE5A3D2">
            <w:pPr>
              <w:spacing w:before="183" w:line="220" w:lineRule="auto"/>
              <w:jc w:val="center"/>
              <w:rPr>
                <w:rFonts w:ascii="宋体" w:hAnsi="宋体" w:cs="宋体"/>
                <w:sz w:val="17"/>
                <w:szCs w:val="17"/>
              </w:rPr>
            </w:pPr>
            <w:r>
              <w:rPr>
                <w:rFonts w:ascii="宋体" w:hAnsi="宋体" w:cs="宋体"/>
                <w:spacing w:val="-2"/>
                <w:sz w:val="17"/>
                <w:szCs w:val="17"/>
              </w:rPr>
              <w:t>预期目标</w:t>
            </w:r>
          </w:p>
        </w:tc>
        <w:tc>
          <w:tcPr>
            <w:tcW w:w="2469" w:type="dxa"/>
          </w:tcPr>
          <w:p w14:paraId="297DC37E">
            <w:pPr>
              <w:spacing w:before="183" w:line="220" w:lineRule="auto"/>
              <w:jc w:val="center"/>
              <w:rPr>
                <w:rFonts w:ascii="宋体" w:hAnsi="宋体" w:cs="宋体"/>
                <w:spacing w:val="-2"/>
                <w:sz w:val="17"/>
                <w:szCs w:val="17"/>
              </w:rPr>
            </w:pPr>
            <w:r>
              <w:rPr>
                <w:rFonts w:hint="eastAsia" w:ascii="宋体" w:hAnsi="宋体" w:cs="宋体"/>
                <w:spacing w:val="-2"/>
                <w:sz w:val="17"/>
                <w:szCs w:val="17"/>
              </w:rPr>
              <w:t>完成情况</w:t>
            </w:r>
          </w:p>
        </w:tc>
      </w:tr>
      <w:tr w14:paraId="32E2D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4" w:hRule="atLeast"/>
        </w:trPr>
        <w:tc>
          <w:tcPr>
            <w:tcW w:w="697" w:type="dxa"/>
            <w:vMerge w:val="continue"/>
            <w:tcBorders>
              <w:top w:val="nil"/>
            </w:tcBorders>
          </w:tcPr>
          <w:p w14:paraId="6690E1F4"/>
        </w:tc>
        <w:tc>
          <w:tcPr>
            <w:tcW w:w="5933" w:type="dxa"/>
            <w:gridSpan w:val="6"/>
            <w:vAlign w:val="center"/>
          </w:tcPr>
          <w:p w14:paraId="6A504AC4">
            <w:pPr>
              <w:rPr>
                <w:rFonts w:ascii="宋体" w:hAnsi="宋体" w:cs="宋体"/>
                <w:spacing w:val="-2"/>
                <w:sz w:val="17"/>
                <w:szCs w:val="17"/>
              </w:rPr>
            </w:pPr>
            <w:r>
              <w:rPr>
                <w:rFonts w:hint="eastAsia" w:ascii="宋体" w:hAnsi="宋体" w:cs="宋体"/>
                <w:spacing w:val="-2"/>
                <w:sz w:val="17"/>
                <w:szCs w:val="17"/>
                <w:lang w:val="zh-CN"/>
              </w:rPr>
              <w:t xml:space="preserve">    用于送水燃油、抽水电价的补助及人饮及渠系维护，解决受灾人畜饮水困难问题，</w:t>
            </w:r>
            <w:r>
              <w:rPr>
                <w:rFonts w:ascii="宋体" w:hAnsi="宋体" w:cs="宋体"/>
                <w:spacing w:val="-2"/>
                <w:sz w:val="17"/>
                <w:szCs w:val="17"/>
                <w:lang w:val="zh-CN"/>
              </w:rPr>
              <w:t>确保受灾群众生活生产秩序正常，提高群众抗旱意识和自救能力</w:t>
            </w:r>
            <w:r>
              <w:rPr>
                <w:rFonts w:hint="eastAsia" w:ascii="宋体" w:hAnsi="宋体" w:cs="宋体"/>
                <w:spacing w:val="-2"/>
                <w:sz w:val="17"/>
                <w:szCs w:val="17"/>
                <w:lang w:val="zh-CN"/>
              </w:rPr>
              <w:t>，使</w:t>
            </w:r>
            <w:r>
              <w:rPr>
                <w:rFonts w:ascii="宋体" w:hAnsi="宋体" w:cs="宋体"/>
                <w:spacing w:val="-2"/>
                <w:sz w:val="17"/>
                <w:szCs w:val="17"/>
                <w:lang w:val="zh-CN"/>
              </w:rPr>
              <w:t>受灾群众对解决生活饮水、抗旱满意度</w:t>
            </w:r>
            <w:r>
              <w:rPr>
                <w:rFonts w:hint="eastAsia" w:ascii="宋体" w:hAnsi="宋体" w:cs="宋体"/>
                <w:spacing w:val="-2"/>
                <w:sz w:val="17"/>
                <w:szCs w:val="17"/>
                <w:lang w:val="zh-CN"/>
              </w:rPr>
              <w:t>达98%。</w:t>
            </w:r>
          </w:p>
          <w:p w14:paraId="446B25A0"/>
        </w:tc>
        <w:tc>
          <w:tcPr>
            <w:tcW w:w="2469" w:type="dxa"/>
            <w:vAlign w:val="center"/>
          </w:tcPr>
          <w:p w14:paraId="29E8495B">
            <w:pPr>
              <w:rPr>
                <w:rFonts w:ascii="宋体" w:hAnsi="宋体" w:cs="宋体"/>
                <w:spacing w:val="-2"/>
                <w:sz w:val="17"/>
                <w:szCs w:val="17"/>
              </w:rPr>
            </w:pPr>
            <w:r>
              <w:rPr>
                <w:rFonts w:hint="eastAsia" w:ascii="宋体" w:hAnsi="宋体" w:cs="宋体"/>
                <w:spacing w:val="-2"/>
                <w:sz w:val="17"/>
                <w:szCs w:val="17"/>
                <w:lang w:val="zh-CN"/>
              </w:rPr>
              <w:t xml:space="preserve">    用于送水燃油、抽水电价的补助及人饮及渠系维护，解决受灾人畜饮水困难问题，</w:t>
            </w:r>
            <w:r>
              <w:rPr>
                <w:rFonts w:ascii="宋体" w:hAnsi="宋体" w:cs="宋体"/>
                <w:spacing w:val="-2"/>
                <w:sz w:val="17"/>
                <w:szCs w:val="17"/>
                <w:lang w:val="zh-CN"/>
              </w:rPr>
              <w:t>确保受灾群众生活生产秩序正常，提高群众抗旱意识和自救能力</w:t>
            </w:r>
            <w:r>
              <w:rPr>
                <w:rFonts w:hint="eastAsia" w:ascii="宋体" w:hAnsi="宋体" w:cs="宋体"/>
                <w:spacing w:val="-2"/>
                <w:sz w:val="17"/>
                <w:szCs w:val="17"/>
                <w:lang w:val="zh-CN"/>
              </w:rPr>
              <w:t>，使</w:t>
            </w:r>
            <w:r>
              <w:rPr>
                <w:rFonts w:ascii="宋体" w:hAnsi="宋体" w:cs="宋体"/>
                <w:spacing w:val="-2"/>
                <w:sz w:val="17"/>
                <w:szCs w:val="17"/>
                <w:lang w:val="zh-CN"/>
              </w:rPr>
              <w:t>受灾群众对解决生活饮水、抗旱满意度</w:t>
            </w:r>
            <w:r>
              <w:rPr>
                <w:rFonts w:hint="eastAsia" w:ascii="宋体" w:hAnsi="宋体" w:cs="宋体"/>
                <w:spacing w:val="-2"/>
                <w:sz w:val="17"/>
                <w:szCs w:val="17"/>
                <w:lang w:val="zh-CN"/>
              </w:rPr>
              <w:t>达98%。</w:t>
            </w:r>
          </w:p>
          <w:p w14:paraId="0312AD88">
            <w:pPr>
              <w:spacing w:before="183" w:line="220" w:lineRule="auto"/>
              <w:rPr>
                <w:rFonts w:ascii="宋体" w:hAnsi="宋体" w:cs="宋体"/>
                <w:spacing w:val="-2"/>
                <w:sz w:val="17"/>
                <w:szCs w:val="17"/>
              </w:rPr>
            </w:pPr>
          </w:p>
        </w:tc>
      </w:tr>
      <w:tr w14:paraId="1A230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97" w:type="dxa"/>
            <w:vMerge w:val="restart"/>
          </w:tcPr>
          <w:p w14:paraId="17EB2508">
            <w:pPr>
              <w:spacing w:line="253" w:lineRule="auto"/>
              <w:jc w:val="center"/>
            </w:pPr>
          </w:p>
          <w:p w14:paraId="06927F8B">
            <w:pPr>
              <w:spacing w:line="253" w:lineRule="auto"/>
              <w:jc w:val="center"/>
            </w:pPr>
          </w:p>
          <w:p w14:paraId="58364B8E">
            <w:pPr>
              <w:spacing w:line="253" w:lineRule="auto"/>
              <w:jc w:val="center"/>
            </w:pPr>
          </w:p>
          <w:p w14:paraId="53C5158D">
            <w:pPr>
              <w:spacing w:line="254" w:lineRule="auto"/>
              <w:jc w:val="center"/>
            </w:pPr>
          </w:p>
          <w:p w14:paraId="5FB42D62">
            <w:pPr>
              <w:spacing w:line="254" w:lineRule="auto"/>
              <w:jc w:val="center"/>
            </w:pPr>
          </w:p>
          <w:p w14:paraId="47412CAC">
            <w:pPr>
              <w:spacing w:line="254" w:lineRule="auto"/>
              <w:jc w:val="center"/>
            </w:pPr>
          </w:p>
          <w:p w14:paraId="0D634FDA">
            <w:pPr>
              <w:spacing w:line="254" w:lineRule="auto"/>
              <w:jc w:val="center"/>
            </w:pPr>
          </w:p>
          <w:p w14:paraId="48D0D8AC">
            <w:pPr>
              <w:spacing w:line="254" w:lineRule="auto"/>
              <w:jc w:val="center"/>
            </w:pPr>
          </w:p>
          <w:p w14:paraId="694A41C1">
            <w:pPr>
              <w:spacing w:line="254" w:lineRule="auto"/>
              <w:jc w:val="center"/>
            </w:pPr>
          </w:p>
          <w:p w14:paraId="74F27550">
            <w:pPr>
              <w:spacing w:line="254" w:lineRule="auto"/>
              <w:jc w:val="center"/>
            </w:pPr>
          </w:p>
          <w:p w14:paraId="428ABD2E">
            <w:pPr>
              <w:spacing w:line="254" w:lineRule="auto"/>
              <w:jc w:val="center"/>
            </w:pPr>
          </w:p>
          <w:p w14:paraId="63F7F699">
            <w:pPr>
              <w:spacing w:line="254" w:lineRule="auto"/>
              <w:jc w:val="center"/>
            </w:pPr>
          </w:p>
          <w:p w14:paraId="5A4BBE3A">
            <w:pPr>
              <w:spacing w:line="254" w:lineRule="auto"/>
              <w:jc w:val="center"/>
            </w:pPr>
          </w:p>
          <w:p w14:paraId="4432F6D1">
            <w:pPr>
              <w:spacing w:before="56" w:line="220" w:lineRule="auto"/>
              <w:ind w:left="55"/>
              <w:jc w:val="center"/>
              <w:rPr>
                <w:rFonts w:ascii="宋体" w:hAnsi="宋体" w:cs="宋体"/>
                <w:sz w:val="17"/>
                <w:szCs w:val="17"/>
              </w:rPr>
            </w:pPr>
            <w:r>
              <w:rPr>
                <w:rFonts w:ascii="宋体" w:hAnsi="宋体" w:cs="宋体"/>
                <w:spacing w:val="-11"/>
                <w:sz w:val="17"/>
                <w:szCs w:val="17"/>
              </w:rPr>
              <w:t>绩效指标</w:t>
            </w:r>
          </w:p>
        </w:tc>
        <w:tc>
          <w:tcPr>
            <w:tcW w:w="752" w:type="dxa"/>
            <w:tcBorders>
              <w:bottom w:val="single" w:color="auto" w:sz="4" w:space="0"/>
            </w:tcBorders>
          </w:tcPr>
          <w:p w14:paraId="0F345E55">
            <w:pPr>
              <w:spacing w:before="155" w:line="220" w:lineRule="auto"/>
              <w:ind w:left="40"/>
              <w:jc w:val="center"/>
              <w:rPr>
                <w:rFonts w:ascii="宋体" w:hAnsi="宋体" w:cs="宋体"/>
                <w:sz w:val="17"/>
                <w:szCs w:val="17"/>
              </w:rPr>
            </w:pPr>
            <w:r>
              <w:rPr>
                <w:rFonts w:ascii="宋体" w:hAnsi="宋体" w:cs="宋体"/>
                <w:spacing w:val="-2"/>
                <w:sz w:val="17"/>
                <w:szCs w:val="17"/>
              </w:rPr>
              <w:t>一级指标</w:t>
            </w:r>
          </w:p>
        </w:tc>
        <w:tc>
          <w:tcPr>
            <w:tcW w:w="999" w:type="dxa"/>
          </w:tcPr>
          <w:p w14:paraId="1CC4BD33">
            <w:pPr>
              <w:spacing w:before="155" w:line="220" w:lineRule="auto"/>
              <w:jc w:val="center"/>
              <w:rPr>
                <w:rFonts w:ascii="宋体" w:hAnsi="宋体" w:cs="宋体"/>
                <w:sz w:val="17"/>
                <w:szCs w:val="17"/>
              </w:rPr>
            </w:pPr>
            <w:r>
              <w:rPr>
                <w:rFonts w:ascii="宋体" w:hAnsi="宋体" w:cs="宋体"/>
                <w:spacing w:val="-2"/>
                <w:sz w:val="17"/>
                <w:szCs w:val="17"/>
              </w:rPr>
              <w:t>二级指标</w:t>
            </w:r>
          </w:p>
        </w:tc>
        <w:tc>
          <w:tcPr>
            <w:tcW w:w="2086" w:type="dxa"/>
            <w:gridSpan w:val="2"/>
          </w:tcPr>
          <w:p w14:paraId="503BD115">
            <w:pPr>
              <w:spacing w:before="155" w:line="220" w:lineRule="auto"/>
              <w:jc w:val="center"/>
              <w:rPr>
                <w:rFonts w:ascii="宋体" w:hAnsi="宋体" w:cs="宋体"/>
                <w:sz w:val="17"/>
                <w:szCs w:val="17"/>
              </w:rPr>
            </w:pPr>
            <w:r>
              <w:rPr>
                <w:rFonts w:ascii="宋体" w:hAnsi="宋体" w:cs="宋体"/>
                <w:spacing w:val="-2"/>
                <w:sz w:val="17"/>
                <w:szCs w:val="17"/>
              </w:rPr>
              <w:t>三级指标</w:t>
            </w:r>
          </w:p>
        </w:tc>
        <w:tc>
          <w:tcPr>
            <w:tcW w:w="1145" w:type="dxa"/>
          </w:tcPr>
          <w:p w14:paraId="7E46F93C">
            <w:pPr>
              <w:spacing w:before="155" w:line="219" w:lineRule="auto"/>
              <w:jc w:val="center"/>
              <w:rPr>
                <w:rFonts w:ascii="宋体" w:hAnsi="宋体" w:cs="宋体"/>
                <w:sz w:val="17"/>
                <w:szCs w:val="17"/>
              </w:rPr>
            </w:pPr>
            <w:r>
              <w:rPr>
                <w:rFonts w:ascii="宋体" w:hAnsi="宋体" w:cs="宋体"/>
                <w:spacing w:val="-2"/>
                <w:sz w:val="17"/>
                <w:szCs w:val="17"/>
              </w:rPr>
              <w:t>年度指标值</w:t>
            </w:r>
          </w:p>
        </w:tc>
        <w:tc>
          <w:tcPr>
            <w:tcW w:w="951" w:type="dxa"/>
          </w:tcPr>
          <w:p w14:paraId="7089F8A1">
            <w:pPr>
              <w:spacing w:before="155" w:line="219" w:lineRule="auto"/>
              <w:jc w:val="center"/>
              <w:rPr>
                <w:rFonts w:ascii="宋体" w:hAnsi="宋体" w:cs="宋体"/>
                <w:sz w:val="17"/>
                <w:szCs w:val="17"/>
              </w:rPr>
            </w:pPr>
            <w:r>
              <w:rPr>
                <w:rFonts w:ascii="宋体" w:hAnsi="宋体" w:cs="宋体"/>
                <w:spacing w:val="-2"/>
                <w:sz w:val="17"/>
                <w:szCs w:val="17"/>
              </w:rPr>
              <w:t>实际完成值</w:t>
            </w:r>
          </w:p>
        </w:tc>
        <w:tc>
          <w:tcPr>
            <w:tcW w:w="2469" w:type="dxa"/>
          </w:tcPr>
          <w:p w14:paraId="489327EF">
            <w:pPr>
              <w:spacing w:before="75" w:line="227" w:lineRule="auto"/>
              <w:jc w:val="center"/>
              <w:rPr>
                <w:rFonts w:ascii="宋体" w:hAnsi="宋体" w:cs="宋体"/>
                <w:sz w:val="16"/>
                <w:szCs w:val="16"/>
              </w:rPr>
            </w:pPr>
            <w:r>
              <w:rPr>
                <w:rFonts w:ascii="宋体" w:hAnsi="宋体" w:cs="宋体"/>
                <w:sz w:val="16"/>
                <w:szCs w:val="16"/>
              </w:rPr>
              <w:t>偏差原因分析及</w:t>
            </w:r>
            <w:r>
              <w:rPr>
                <w:rFonts w:ascii="宋体" w:hAnsi="宋体" w:cs="宋体"/>
                <w:spacing w:val="11"/>
                <w:sz w:val="16"/>
                <w:szCs w:val="16"/>
              </w:rPr>
              <w:t>改进措施</w:t>
            </w:r>
          </w:p>
        </w:tc>
      </w:tr>
      <w:tr w14:paraId="00629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697" w:type="dxa"/>
            <w:vMerge w:val="continue"/>
            <w:vAlign w:val="center"/>
          </w:tcPr>
          <w:p w14:paraId="5D0FEAEF">
            <w:pPr>
              <w:jc w:val="center"/>
            </w:pPr>
          </w:p>
        </w:tc>
        <w:tc>
          <w:tcPr>
            <w:tcW w:w="752" w:type="dxa"/>
            <w:vMerge w:val="restart"/>
            <w:tcBorders>
              <w:top w:val="single" w:color="auto" w:sz="4" w:space="0"/>
              <w:left w:val="single" w:color="auto" w:sz="4" w:space="0"/>
              <w:bottom w:val="single" w:color="auto" w:sz="4" w:space="0"/>
              <w:right w:val="single" w:color="auto" w:sz="4" w:space="0"/>
            </w:tcBorders>
            <w:vAlign w:val="center"/>
          </w:tcPr>
          <w:p w14:paraId="3DA68C1D">
            <w:pPr>
              <w:spacing w:line="286" w:lineRule="auto"/>
              <w:jc w:val="center"/>
            </w:pPr>
          </w:p>
          <w:p w14:paraId="662D9F1F">
            <w:pPr>
              <w:spacing w:line="286" w:lineRule="auto"/>
              <w:jc w:val="center"/>
            </w:pPr>
          </w:p>
          <w:p w14:paraId="5F0B0C97">
            <w:pPr>
              <w:spacing w:line="286" w:lineRule="auto"/>
              <w:jc w:val="center"/>
            </w:pPr>
          </w:p>
          <w:p w14:paraId="667D47D6">
            <w:pPr>
              <w:spacing w:line="286" w:lineRule="auto"/>
              <w:jc w:val="center"/>
            </w:pPr>
          </w:p>
          <w:p w14:paraId="0F6A24FF">
            <w:pPr>
              <w:spacing w:line="287" w:lineRule="auto"/>
              <w:jc w:val="center"/>
            </w:pPr>
          </w:p>
          <w:p w14:paraId="6E21D4B4">
            <w:pPr>
              <w:spacing w:before="56" w:line="219" w:lineRule="auto"/>
              <w:ind w:left="40"/>
              <w:jc w:val="center"/>
              <w:rPr>
                <w:rFonts w:ascii="宋体" w:hAnsi="宋体" w:cs="宋体"/>
                <w:sz w:val="17"/>
                <w:szCs w:val="17"/>
              </w:rPr>
            </w:pPr>
            <w:r>
              <w:rPr>
                <w:rFonts w:ascii="宋体" w:hAnsi="宋体" w:cs="宋体"/>
                <w:spacing w:val="-2"/>
                <w:sz w:val="17"/>
                <w:szCs w:val="17"/>
              </w:rPr>
              <w:t>产出指标</w:t>
            </w:r>
          </w:p>
        </w:tc>
        <w:tc>
          <w:tcPr>
            <w:tcW w:w="999" w:type="dxa"/>
            <w:tcBorders>
              <w:left w:val="single" w:color="auto" w:sz="4" w:space="0"/>
              <w:bottom w:val="nil"/>
            </w:tcBorders>
            <w:vAlign w:val="center"/>
          </w:tcPr>
          <w:p w14:paraId="65AD0926">
            <w:pPr>
              <w:spacing w:before="67" w:line="209" w:lineRule="auto"/>
              <w:ind w:left="23"/>
              <w:jc w:val="center"/>
              <w:rPr>
                <w:rFonts w:ascii="宋体" w:hAnsi="宋体" w:cs="宋体"/>
                <w:sz w:val="17"/>
                <w:szCs w:val="17"/>
              </w:rPr>
            </w:pPr>
            <w:r>
              <w:rPr>
                <w:rFonts w:ascii="宋体" w:hAnsi="宋体" w:cs="宋体"/>
                <w:sz w:val="17"/>
                <w:szCs w:val="17"/>
              </w:rPr>
              <w:t>时效指标</w:t>
            </w:r>
          </w:p>
        </w:tc>
        <w:tc>
          <w:tcPr>
            <w:tcW w:w="2086" w:type="dxa"/>
            <w:gridSpan w:val="2"/>
            <w:vAlign w:val="center"/>
          </w:tcPr>
          <w:p w14:paraId="2E38646A">
            <w:pPr>
              <w:spacing w:before="67" w:line="209" w:lineRule="auto"/>
              <w:ind w:left="23"/>
              <w:jc w:val="center"/>
              <w:rPr>
                <w:rFonts w:ascii="宋体" w:hAnsi="宋体" w:cs="宋体"/>
                <w:sz w:val="17"/>
                <w:szCs w:val="17"/>
              </w:rPr>
            </w:pPr>
            <w:r>
              <w:rPr>
                <w:rFonts w:ascii="宋体" w:hAnsi="宋体" w:cs="宋体"/>
                <w:sz w:val="17"/>
                <w:szCs w:val="17"/>
              </w:rPr>
              <w:t>抗旱资金兑付及时率</w:t>
            </w:r>
          </w:p>
        </w:tc>
        <w:tc>
          <w:tcPr>
            <w:tcW w:w="1145" w:type="dxa"/>
            <w:vAlign w:val="center"/>
          </w:tcPr>
          <w:p w14:paraId="4F4C5F34">
            <w:pPr>
              <w:spacing w:before="67" w:line="209" w:lineRule="auto"/>
              <w:ind w:left="23"/>
              <w:jc w:val="center"/>
              <w:rPr>
                <w:rFonts w:ascii="宋体" w:hAnsi="宋体" w:cs="宋体"/>
                <w:sz w:val="17"/>
                <w:szCs w:val="17"/>
              </w:rPr>
            </w:pPr>
            <w:r>
              <w:rPr>
                <w:rFonts w:hint="eastAsia" w:ascii="宋体" w:hAnsi="宋体" w:cs="宋体"/>
                <w:sz w:val="17"/>
                <w:szCs w:val="17"/>
              </w:rPr>
              <w:t>≥95%</w:t>
            </w:r>
          </w:p>
        </w:tc>
        <w:tc>
          <w:tcPr>
            <w:tcW w:w="951" w:type="dxa"/>
            <w:vAlign w:val="center"/>
          </w:tcPr>
          <w:p w14:paraId="3E8DD203">
            <w:pPr>
              <w:spacing w:before="67" w:line="209" w:lineRule="auto"/>
              <w:ind w:left="23"/>
              <w:jc w:val="center"/>
              <w:rPr>
                <w:rFonts w:ascii="宋体" w:hAnsi="宋体" w:cs="宋体"/>
                <w:sz w:val="17"/>
                <w:szCs w:val="17"/>
              </w:rPr>
            </w:pPr>
            <w:r>
              <w:rPr>
                <w:rFonts w:hint="eastAsia" w:ascii="宋体" w:hAnsi="宋体" w:cs="宋体"/>
                <w:sz w:val="17"/>
                <w:szCs w:val="17"/>
              </w:rPr>
              <w:t>98%</w:t>
            </w:r>
          </w:p>
        </w:tc>
        <w:tc>
          <w:tcPr>
            <w:tcW w:w="2469" w:type="dxa"/>
          </w:tcPr>
          <w:p w14:paraId="0B6AA1D7">
            <w:pPr>
              <w:jc w:val="center"/>
            </w:pPr>
          </w:p>
        </w:tc>
      </w:tr>
      <w:tr w14:paraId="25B95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207F1EED">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7A4A147E">
            <w:pPr>
              <w:jc w:val="center"/>
            </w:pPr>
          </w:p>
        </w:tc>
        <w:tc>
          <w:tcPr>
            <w:tcW w:w="999" w:type="dxa"/>
            <w:tcBorders>
              <w:left w:val="single" w:color="auto" w:sz="4" w:space="0"/>
            </w:tcBorders>
            <w:vAlign w:val="center"/>
          </w:tcPr>
          <w:p w14:paraId="01D66C65">
            <w:pPr>
              <w:spacing w:before="67" w:line="209" w:lineRule="auto"/>
              <w:ind w:left="23"/>
              <w:jc w:val="center"/>
              <w:rPr>
                <w:rFonts w:ascii="宋体" w:hAnsi="宋体" w:cs="宋体"/>
                <w:sz w:val="17"/>
                <w:szCs w:val="17"/>
              </w:rPr>
            </w:pPr>
            <w:r>
              <w:rPr>
                <w:rFonts w:ascii="宋体" w:hAnsi="宋体" w:cs="宋体"/>
                <w:sz w:val="17"/>
                <w:szCs w:val="17"/>
              </w:rPr>
              <w:t>质量指标</w:t>
            </w:r>
          </w:p>
        </w:tc>
        <w:tc>
          <w:tcPr>
            <w:tcW w:w="2086" w:type="dxa"/>
            <w:gridSpan w:val="2"/>
            <w:vAlign w:val="center"/>
          </w:tcPr>
          <w:p w14:paraId="446AF19E">
            <w:pPr>
              <w:spacing w:before="67" w:line="209" w:lineRule="auto"/>
              <w:ind w:left="23"/>
              <w:jc w:val="center"/>
              <w:rPr>
                <w:rFonts w:ascii="宋体" w:hAnsi="宋体" w:cs="宋体"/>
                <w:sz w:val="17"/>
                <w:szCs w:val="17"/>
              </w:rPr>
            </w:pPr>
            <w:r>
              <w:rPr>
                <w:rFonts w:ascii="宋体" w:hAnsi="宋体" w:cs="宋体"/>
                <w:sz w:val="17"/>
                <w:szCs w:val="17"/>
              </w:rPr>
              <w:t>修复渠系耗材及租赁抽水设施质量合格率</w:t>
            </w:r>
          </w:p>
        </w:tc>
        <w:tc>
          <w:tcPr>
            <w:tcW w:w="1145" w:type="dxa"/>
            <w:vAlign w:val="center"/>
          </w:tcPr>
          <w:p w14:paraId="525B54E4">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951" w:type="dxa"/>
            <w:vAlign w:val="center"/>
          </w:tcPr>
          <w:p w14:paraId="73EC284F">
            <w:pPr>
              <w:spacing w:before="67" w:line="209" w:lineRule="auto"/>
              <w:ind w:left="23"/>
              <w:jc w:val="center"/>
              <w:rPr>
                <w:rFonts w:ascii="宋体" w:hAnsi="宋体" w:cs="宋体"/>
                <w:sz w:val="17"/>
                <w:szCs w:val="17"/>
              </w:rPr>
            </w:pPr>
            <w:r>
              <w:rPr>
                <w:rFonts w:hint="eastAsia" w:ascii="宋体" w:hAnsi="宋体" w:cs="宋体"/>
                <w:sz w:val="17"/>
                <w:szCs w:val="17"/>
              </w:rPr>
              <w:t>=100%</w:t>
            </w:r>
          </w:p>
        </w:tc>
        <w:tc>
          <w:tcPr>
            <w:tcW w:w="2469" w:type="dxa"/>
          </w:tcPr>
          <w:p w14:paraId="298F71F2">
            <w:pPr>
              <w:jc w:val="center"/>
            </w:pPr>
          </w:p>
        </w:tc>
      </w:tr>
      <w:tr w14:paraId="55094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697" w:type="dxa"/>
            <w:vMerge w:val="continue"/>
            <w:vAlign w:val="center"/>
          </w:tcPr>
          <w:p w14:paraId="66B90F8E">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7211133E">
            <w:pPr>
              <w:jc w:val="center"/>
            </w:pPr>
          </w:p>
        </w:tc>
        <w:tc>
          <w:tcPr>
            <w:tcW w:w="999" w:type="dxa"/>
            <w:tcBorders>
              <w:left w:val="single" w:color="auto" w:sz="4" w:space="0"/>
              <w:bottom w:val="nil"/>
            </w:tcBorders>
            <w:vAlign w:val="center"/>
          </w:tcPr>
          <w:p w14:paraId="44532DE3">
            <w:pPr>
              <w:spacing w:before="67" w:line="209" w:lineRule="auto"/>
              <w:ind w:left="23"/>
              <w:jc w:val="center"/>
              <w:rPr>
                <w:rFonts w:ascii="宋体" w:hAnsi="宋体" w:cs="宋体"/>
                <w:sz w:val="17"/>
                <w:szCs w:val="17"/>
              </w:rPr>
            </w:pPr>
            <w:r>
              <w:rPr>
                <w:rFonts w:ascii="宋体" w:hAnsi="宋体" w:cs="宋体"/>
                <w:sz w:val="17"/>
                <w:szCs w:val="17"/>
              </w:rPr>
              <w:t>数量指标</w:t>
            </w:r>
          </w:p>
        </w:tc>
        <w:tc>
          <w:tcPr>
            <w:tcW w:w="2086" w:type="dxa"/>
            <w:gridSpan w:val="2"/>
            <w:vAlign w:val="center"/>
          </w:tcPr>
          <w:p w14:paraId="509FD8B7">
            <w:pPr>
              <w:spacing w:before="67" w:line="209" w:lineRule="auto"/>
              <w:ind w:left="23"/>
              <w:jc w:val="center"/>
              <w:rPr>
                <w:rFonts w:ascii="宋体" w:hAnsi="宋体" w:cs="宋体"/>
                <w:sz w:val="17"/>
                <w:szCs w:val="17"/>
              </w:rPr>
            </w:pPr>
            <w:r>
              <w:rPr>
                <w:rFonts w:ascii="宋体" w:hAnsi="宋体" w:cs="宋体"/>
                <w:sz w:val="17"/>
                <w:szCs w:val="17"/>
              </w:rPr>
              <w:t>保障临时饮水困难人员</w:t>
            </w:r>
          </w:p>
        </w:tc>
        <w:tc>
          <w:tcPr>
            <w:tcW w:w="1145" w:type="dxa"/>
            <w:vAlign w:val="center"/>
          </w:tcPr>
          <w:p w14:paraId="2830CECD">
            <w:pPr>
              <w:spacing w:before="67" w:line="209" w:lineRule="auto"/>
              <w:ind w:left="23"/>
              <w:jc w:val="center"/>
              <w:rPr>
                <w:rFonts w:ascii="宋体" w:hAnsi="宋体" w:cs="宋体"/>
                <w:sz w:val="17"/>
                <w:szCs w:val="17"/>
              </w:rPr>
            </w:pPr>
            <w:r>
              <w:rPr>
                <w:rFonts w:hint="eastAsia" w:ascii="宋体" w:hAnsi="宋体" w:cs="宋体"/>
                <w:sz w:val="17"/>
                <w:szCs w:val="17"/>
              </w:rPr>
              <w:t>≥560人</w:t>
            </w:r>
          </w:p>
        </w:tc>
        <w:tc>
          <w:tcPr>
            <w:tcW w:w="951" w:type="dxa"/>
            <w:vAlign w:val="center"/>
          </w:tcPr>
          <w:p w14:paraId="73FCEA85">
            <w:pPr>
              <w:spacing w:before="67" w:line="209" w:lineRule="auto"/>
              <w:ind w:left="23"/>
              <w:jc w:val="center"/>
              <w:rPr>
                <w:rFonts w:ascii="宋体" w:hAnsi="宋体" w:cs="宋体"/>
                <w:sz w:val="17"/>
                <w:szCs w:val="17"/>
              </w:rPr>
            </w:pPr>
            <w:r>
              <w:rPr>
                <w:rFonts w:hint="eastAsia" w:ascii="宋体" w:hAnsi="宋体" w:cs="宋体"/>
                <w:sz w:val="17"/>
                <w:szCs w:val="17"/>
              </w:rPr>
              <w:t>560人</w:t>
            </w:r>
          </w:p>
        </w:tc>
        <w:tc>
          <w:tcPr>
            <w:tcW w:w="2469" w:type="dxa"/>
          </w:tcPr>
          <w:p w14:paraId="04B047AA">
            <w:pPr>
              <w:jc w:val="center"/>
            </w:pPr>
          </w:p>
        </w:tc>
      </w:tr>
      <w:tr w14:paraId="03A39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697" w:type="dxa"/>
            <w:vMerge w:val="continue"/>
            <w:vAlign w:val="center"/>
          </w:tcPr>
          <w:p w14:paraId="10F5C8D3">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3765E4A">
            <w:pPr>
              <w:jc w:val="center"/>
            </w:pPr>
          </w:p>
        </w:tc>
        <w:tc>
          <w:tcPr>
            <w:tcW w:w="999" w:type="dxa"/>
            <w:tcBorders>
              <w:left w:val="single" w:color="auto" w:sz="4" w:space="0"/>
              <w:bottom w:val="nil"/>
            </w:tcBorders>
            <w:vAlign w:val="center"/>
          </w:tcPr>
          <w:p w14:paraId="77F6856D">
            <w:pPr>
              <w:spacing w:before="67" w:line="209" w:lineRule="auto"/>
              <w:ind w:left="23"/>
              <w:jc w:val="center"/>
              <w:rPr>
                <w:rFonts w:ascii="宋体" w:hAnsi="宋体" w:cs="宋体"/>
                <w:sz w:val="17"/>
                <w:szCs w:val="17"/>
              </w:rPr>
            </w:pPr>
            <w:r>
              <w:rPr>
                <w:rFonts w:hint="eastAsia" w:ascii="宋体" w:hAnsi="宋体" w:cs="宋体"/>
                <w:sz w:val="17"/>
                <w:szCs w:val="17"/>
              </w:rPr>
              <w:t>数量指标</w:t>
            </w:r>
          </w:p>
        </w:tc>
        <w:tc>
          <w:tcPr>
            <w:tcW w:w="2086" w:type="dxa"/>
            <w:gridSpan w:val="2"/>
            <w:vAlign w:val="center"/>
          </w:tcPr>
          <w:p w14:paraId="4DADA641">
            <w:pPr>
              <w:spacing w:before="67" w:line="209" w:lineRule="auto"/>
              <w:ind w:left="23"/>
              <w:jc w:val="center"/>
              <w:rPr>
                <w:rFonts w:ascii="宋体" w:hAnsi="宋体" w:cs="宋体"/>
                <w:sz w:val="17"/>
                <w:szCs w:val="17"/>
              </w:rPr>
            </w:pPr>
            <w:r>
              <w:rPr>
                <w:rFonts w:ascii="宋体" w:hAnsi="宋体" w:cs="宋体"/>
                <w:sz w:val="17"/>
                <w:szCs w:val="17"/>
              </w:rPr>
              <w:t>修复渠系长度</w:t>
            </w:r>
          </w:p>
        </w:tc>
        <w:tc>
          <w:tcPr>
            <w:tcW w:w="1145" w:type="dxa"/>
            <w:vAlign w:val="center"/>
          </w:tcPr>
          <w:p w14:paraId="3C475E0A">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260米</w:t>
            </w:r>
          </w:p>
        </w:tc>
        <w:tc>
          <w:tcPr>
            <w:tcW w:w="951" w:type="dxa"/>
            <w:vAlign w:val="center"/>
          </w:tcPr>
          <w:p w14:paraId="3D6EF16C">
            <w:pPr>
              <w:spacing w:before="67" w:line="209" w:lineRule="auto"/>
              <w:ind w:left="23"/>
              <w:jc w:val="center"/>
              <w:rPr>
                <w:rFonts w:ascii="宋体" w:hAnsi="宋体" w:cs="宋体"/>
                <w:sz w:val="17"/>
                <w:szCs w:val="17"/>
              </w:rPr>
            </w:pPr>
            <w:r>
              <w:rPr>
                <w:rFonts w:hint="eastAsia" w:ascii="宋体" w:hAnsi="宋体" w:cs="宋体"/>
                <w:sz w:val="17"/>
                <w:szCs w:val="17"/>
              </w:rPr>
              <w:t>260米</w:t>
            </w:r>
          </w:p>
        </w:tc>
        <w:tc>
          <w:tcPr>
            <w:tcW w:w="2469" w:type="dxa"/>
          </w:tcPr>
          <w:p w14:paraId="2214B2BE">
            <w:pPr>
              <w:jc w:val="center"/>
            </w:pPr>
          </w:p>
        </w:tc>
      </w:tr>
      <w:tr w14:paraId="44B29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697" w:type="dxa"/>
            <w:vMerge w:val="continue"/>
            <w:vAlign w:val="center"/>
          </w:tcPr>
          <w:p w14:paraId="5F074608">
            <w:pPr>
              <w:jc w:val="center"/>
            </w:pP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5105618">
            <w:pPr>
              <w:jc w:val="center"/>
            </w:pPr>
          </w:p>
        </w:tc>
        <w:tc>
          <w:tcPr>
            <w:tcW w:w="999" w:type="dxa"/>
            <w:tcBorders>
              <w:left w:val="single" w:color="auto" w:sz="4" w:space="0"/>
              <w:bottom w:val="nil"/>
            </w:tcBorders>
            <w:vAlign w:val="center"/>
          </w:tcPr>
          <w:p w14:paraId="49D3B46A">
            <w:pPr>
              <w:spacing w:before="67" w:line="209" w:lineRule="auto"/>
              <w:ind w:left="23"/>
              <w:jc w:val="center"/>
              <w:rPr>
                <w:rFonts w:ascii="宋体" w:hAnsi="宋体" w:cs="宋体"/>
                <w:sz w:val="17"/>
                <w:szCs w:val="17"/>
              </w:rPr>
            </w:pPr>
            <w:r>
              <w:rPr>
                <w:rFonts w:hint="eastAsia" w:ascii="宋体" w:hAnsi="宋体" w:cs="宋体"/>
                <w:sz w:val="17"/>
                <w:szCs w:val="17"/>
              </w:rPr>
              <w:t>数量指标</w:t>
            </w:r>
          </w:p>
        </w:tc>
        <w:tc>
          <w:tcPr>
            <w:tcW w:w="2086" w:type="dxa"/>
            <w:gridSpan w:val="2"/>
            <w:vAlign w:val="center"/>
          </w:tcPr>
          <w:p w14:paraId="717C85F2">
            <w:pPr>
              <w:spacing w:before="67" w:line="209" w:lineRule="auto"/>
              <w:ind w:left="23"/>
              <w:jc w:val="center"/>
              <w:rPr>
                <w:rFonts w:ascii="宋体" w:hAnsi="宋体" w:cs="宋体"/>
                <w:sz w:val="17"/>
                <w:szCs w:val="17"/>
              </w:rPr>
            </w:pPr>
            <w:r>
              <w:rPr>
                <w:rFonts w:ascii="宋体" w:hAnsi="宋体" w:cs="宋体"/>
                <w:sz w:val="17"/>
                <w:szCs w:val="17"/>
              </w:rPr>
              <w:t>抗旱期间每户人均送水量</w:t>
            </w:r>
          </w:p>
        </w:tc>
        <w:tc>
          <w:tcPr>
            <w:tcW w:w="1145" w:type="dxa"/>
            <w:vAlign w:val="center"/>
          </w:tcPr>
          <w:p w14:paraId="4482D8F2">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2.75吨</w:t>
            </w:r>
          </w:p>
        </w:tc>
        <w:tc>
          <w:tcPr>
            <w:tcW w:w="951" w:type="dxa"/>
            <w:vAlign w:val="center"/>
          </w:tcPr>
          <w:p w14:paraId="07236A03">
            <w:pPr>
              <w:spacing w:before="67" w:line="209" w:lineRule="auto"/>
              <w:ind w:left="23"/>
              <w:jc w:val="center"/>
              <w:rPr>
                <w:rFonts w:ascii="宋体" w:hAnsi="宋体" w:cs="宋体"/>
                <w:sz w:val="17"/>
                <w:szCs w:val="17"/>
              </w:rPr>
            </w:pPr>
            <w:r>
              <w:rPr>
                <w:rFonts w:hint="eastAsia" w:ascii="宋体" w:hAnsi="宋体" w:cs="宋体"/>
                <w:sz w:val="17"/>
                <w:szCs w:val="17"/>
              </w:rPr>
              <w:t>2.75吨</w:t>
            </w:r>
          </w:p>
        </w:tc>
        <w:tc>
          <w:tcPr>
            <w:tcW w:w="2469" w:type="dxa"/>
          </w:tcPr>
          <w:p w14:paraId="2ADEE886">
            <w:pPr>
              <w:jc w:val="center"/>
            </w:pPr>
          </w:p>
        </w:tc>
      </w:tr>
      <w:tr w14:paraId="40C47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7" w:type="dxa"/>
            <w:vMerge w:val="continue"/>
            <w:vAlign w:val="center"/>
          </w:tcPr>
          <w:p w14:paraId="2C89844B">
            <w:pPr>
              <w:jc w:val="center"/>
            </w:pPr>
          </w:p>
        </w:tc>
        <w:tc>
          <w:tcPr>
            <w:tcW w:w="752" w:type="dxa"/>
            <w:vMerge w:val="restart"/>
            <w:tcBorders>
              <w:top w:val="single" w:color="auto" w:sz="4" w:space="0"/>
              <w:left w:val="single" w:color="auto" w:sz="4" w:space="0"/>
              <w:right w:val="single" w:color="auto" w:sz="4" w:space="0"/>
            </w:tcBorders>
            <w:vAlign w:val="center"/>
          </w:tcPr>
          <w:p w14:paraId="5FB05319">
            <w:pPr>
              <w:jc w:val="center"/>
            </w:pPr>
            <w:r>
              <w:rPr>
                <w:rFonts w:hint="eastAsia" w:ascii="宋体" w:hAnsi="宋体" w:cs="宋体"/>
                <w:spacing w:val="-2"/>
                <w:sz w:val="17"/>
                <w:szCs w:val="17"/>
              </w:rPr>
              <w:t>效益指标</w:t>
            </w:r>
          </w:p>
        </w:tc>
        <w:tc>
          <w:tcPr>
            <w:tcW w:w="999" w:type="dxa"/>
            <w:tcBorders>
              <w:left w:val="single" w:color="auto" w:sz="4" w:space="0"/>
              <w:bottom w:val="nil"/>
            </w:tcBorders>
            <w:vAlign w:val="center"/>
          </w:tcPr>
          <w:p w14:paraId="2DB3089E">
            <w:pPr>
              <w:spacing w:before="67" w:line="180" w:lineRule="exact"/>
              <w:ind w:left="23"/>
              <w:jc w:val="center"/>
              <w:rPr>
                <w:rFonts w:ascii="宋体" w:hAnsi="宋体" w:cs="宋体"/>
                <w:sz w:val="17"/>
                <w:szCs w:val="17"/>
              </w:rPr>
            </w:pPr>
            <w:r>
              <w:rPr>
                <w:rFonts w:hint="eastAsia" w:ascii="宋体" w:hAnsi="宋体" w:cs="宋体"/>
                <w:sz w:val="17"/>
                <w:szCs w:val="17"/>
              </w:rPr>
              <w:t>可持续影响指标</w:t>
            </w:r>
          </w:p>
        </w:tc>
        <w:tc>
          <w:tcPr>
            <w:tcW w:w="2086" w:type="dxa"/>
            <w:gridSpan w:val="2"/>
            <w:vAlign w:val="center"/>
          </w:tcPr>
          <w:p w14:paraId="1FDD3E2F">
            <w:pPr>
              <w:spacing w:before="67" w:line="180" w:lineRule="exact"/>
              <w:ind w:left="23"/>
              <w:jc w:val="center"/>
              <w:rPr>
                <w:rFonts w:ascii="宋体" w:hAnsi="宋体" w:cs="宋体"/>
                <w:sz w:val="17"/>
                <w:szCs w:val="17"/>
              </w:rPr>
            </w:pPr>
            <w:r>
              <w:rPr>
                <w:rFonts w:ascii="宋体" w:hAnsi="宋体" w:cs="宋体"/>
                <w:sz w:val="17"/>
                <w:szCs w:val="17"/>
              </w:rPr>
              <w:t>确保受灾群众生活生产秩序正常，提高群众抗旱意识和自救能力</w:t>
            </w:r>
          </w:p>
        </w:tc>
        <w:tc>
          <w:tcPr>
            <w:tcW w:w="1145" w:type="dxa"/>
            <w:vAlign w:val="center"/>
          </w:tcPr>
          <w:p w14:paraId="6A8D9B4A">
            <w:pPr>
              <w:spacing w:before="67" w:line="209" w:lineRule="auto"/>
              <w:ind w:left="23"/>
              <w:jc w:val="center"/>
              <w:rPr>
                <w:rFonts w:ascii="宋体" w:hAnsi="宋体" w:cs="宋体"/>
                <w:sz w:val="17"/>
                <w:szCs w:val="17"/>
              </w:rPr>
            </w:pPr>
            <w:r>
              <w:rPr>
                <w:rFonts w:hint="eastAsia" w:ascii="宋体" w:hAnsi="宋体" w:cs="宋体"/>
                <w:sz w:val="17"/>
                <w:szCs w:val="17"/>
              </w:rPr>
              <w:t>定性</w:t>
            </w:r>
          </w:p>
        </w:tc>
        <w:tc>
          <w:tcPr>
            <w:tcW w:w="951" w:type="dxa"/>
            <w:vAlign w:val="center"/>
          </w:tcPr>
          <w:p w14:paraId="2B2FD816">
            <w:pPr>
              <w:spacing w:before="67" w:line="209" w:lineRule="auto"/>
              <w:ind w:left="23"/>
              <w:jc w:val="center"/>
              <w:rPr>
                <w:rFonts w:ascii="宋体" w:hAnsi="宋体" w:cs="宋体"/>
                <w:sz w:val="17"/>
                <w:szCs w:val="17"/>
              </w:rPr>
            </w:pPr>
            <w:r>
              <w:rPr>
                <w:rFonts w:hint="eastAsia" w:ascii="宋体" w:hAnsi="宋体" w:cs="宋体"/>
                <w:sz w:val="17"/>
                <w:szCs w:val="17"/>
              </w:rPr>
              <w:t>有效</w:t>
            </w:r>
          </w:p>
        </w:tc>
        <w:tc>
          <w:tcPr>
            <w:tcW w:w="2469" w:type="dxa"/>
          </w:tcPr>
          <w:p w14:paraId="5D7CD905">
            <w:pPr>
              <w:jc w:val="center"/>
            </w:pPr>
          </w:p>
        </w:tc>
      </w:tr>
      <w:tr w14:paraId="5D27A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697" w:type="dxa"/>
            <w:vMerge w:val="continue"/>
            <w:vAlign w:val="center"/>
          </w:tcPr>
          <w:p w14:paraId="2E018853">
            <w:pPr>
              <w:jc w:val="center"/>
            </w:pPr>
          </w:p>
        </w:tc>
        <w:tc>
          <w:tcPr>
            <w:tcW w:w="752" w:type="dxa"/>
            <w:vMerge w:val="continue"/>
            <w:tcBorders>
              <w:left w:val="single" w:color="auto" w:sz="4" w:space="0"/>
              <w:bottom w:val="single" w:color="auto" w:sz="4" w:space="0"/>
              <w:right w:val="single" w:color="auto" w:sz="4" w:space="0"/>
            </w:tcBorders>
            <w:vAlign w:val="center"/>
          </w:tcPr>
          <w:p w14:paraId="11BB4A2D">
            <w:pPr>
              <w:jc w:val="center"/>
            </w:pPr>
          </w:p>
        </w:tc>
        <w:tc>
          <w:tcPr>
            <w:tcW w:w="999" w:type="dxa"/>
            <w:tcBorders>
              <w:bottom w:val="nil"/>
            </w:tcBorders>
            <w:vAlign w:val="center"/>
          </w:tcPr>
          <w:p w14:paraId="27B9B08A">
            <w:pPr>
              <w:spacing w:before="67" w:line="180" w:lineRule="exact"/>
              <w:ind w:left="23"/>
              <w:jc w:val="center"/>
              <w:rPr>
                <w:rFonts w:ascii="宋体" w:hAnsi="宋体" w:cs="宋体"/>
                <w:sz w:val="17"/>
                <w:szCs w:val="17"/>
              </w:rPr>
            </w:pPr>
            <w:r>
              <w:rPr>
                <w:rFonts w:hint="eastAsia" w:ascii="宋体" w:hAnsi="宋体" w:cs="宋体"/>
                <w:sz w:val="17"/>
                <w:szCs w:val="17"/>
              </w:rPr>
              <w:t>社会效益指标</w:t>
            </w:r>
          </w:p>
        </w:tc>
        <w:tc>
          <w:tcPr>
            <w:tcW w:w="2086" w:type="dxa"/>
            <w:gridSpan w:val="2"/>
            <w:vAlign w:val="center"/>
          </w:tcPr>
          <w:p w14:paraId="76B54CED">
            <w:pPr>
              <w:spacing w:before="67" w:line="180" w:lineRule="exact"/>
              <w:ind w:left="23"/>
              <w:jc w:val="center"/>
              <w:rPr>
                <w:rFonts w:ascii="宋体" w:hAnsi="宋体" w:cs="宋体"/>
                <w:sz w:val="17"/>
                <w:szCs w:val="17"/>
              </w:rPr>
            </w:pPr>
            <w:r>
              <w:rPr>
                <w:rFonts w:ascii="宋体" w:hAnsi="宋体" w:cs="宋体"/>
                <w:sz w:val="17"/>
                <w:szCs w:val="17"/>
              </w:rPr>
              <w:t>受灾群众人饮及生活困难解决率</w:t>
            </w:r>
          </w:p>
        </w:tc>
        <w:tc>
          <w:tcPr>
            <w:tcW w:w="1145" w:type="dxa"/>
            <w:vAlign w:val="center"/>
          </w:tcPr>
          <w:p w14:paraId="299C19CD">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95%</w:t>
            </w:r>
          </w:p>
        </w:tc>
        <w:tc>
          <w:tcPr>
            <w:tcW w:w="951" w:type="dxa"/>
            <w:vAlign w:val="center"/>
          </w:tcPr>
          <w:p w14:paraId="33B3B419">
            <w:pPr>
              <w:spacing w:before="67" w:line="209" w:lineRule="auto"/>
              <w:ind w:left="23"/>
              <w:jc w:val="center"/>
              <w:rPr>
                <w:rFonts w:ascii="宋体" w:hAnsi="宋体" w:cs="宋体"/>
                <w:sz w:val="17"/>
                <w:szCs w:val="17"/>
              </w:rPr>
            </w:pPr>
            <w:r>
              <w:rPr>
                <w:rFonts w:hint="eastAsia" w:ascii="宋体" w:hAnsi="宋体" w:cs="宋体"/>
                <w:sz w:val="17"/>
                <w:szCs w:val="17"/>
              </w:rPr>
              <w:t>99%</w:t>
            </w:r>
          </w:p>
        </w:tc>
        <w:tc>
          <w:tcPr>
            <w:tcW w:w="2469" w:type="dxa"/>
          </w:tcPr>
          <w:p w14:paraId="2A3FADC9">
            <w:pPr>
              <w:jc w:val="center"/>
            </w:pPr>
          </w:p>
        </w:tc>
      </w:tr>
      <w:tr w14:paraId="6AB0A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97" w:type="dxa"/>
            <w:vMerge w:val="continue"/>
            <w:vAlign w:val="center"/>
          </w:tcPr>
          <w:p w14:paraId="62D029EC">
            <w:pPr>
              <w:jc w:val="center"/>
            </w:pPr>
          </w:p>
        </w:tc>
        <w:tc>
          <w:tcPr>
            <w:tcW w:w="752" w:type="dxa"/>
            <w:tcBorders>
              <w:top w:val="single" w:color="auto" w:sz="4" w:space="0"/>
              <w:bottom w:val="nil"/>
            </w:tcBorders>
            <w:vAlign w:val="center"/>
          </w:tcPr>
          <w:p w14:paraId="2F26D217">
            <w:pPr>
              <w:spacing w:before="146" w:line="180" w:lineRule="exact"/>
              <w:ind w:left="187" w:right="125" w:hanging="68"/>
              <w:jc w:val="center"/>
              <w:rPr>
                <w:rFonts w:ascii="宋体" w:hAnsi="宋体" w:cs="宋体"/>
                <w:sz w:val="17"/>
                <w:szCs w:val="17"/>
              </w:rPr>
            </w:pPr>
            <w:r>
              <w:rPr>
                <w:rFonts w:ascii="宋体" w:hAnsi="宋体" w:cs="宋体"/>
                <w:spacing w:val="-3"/>
                <w:sz w:val="17"/>
                <w:szCs w:val="17"/>
              </w:rPr>
              <w:t>满意度</w:t>
            </w:r>
            <w:r>
              <w:rPr>
                <w:rFonts w:ascii="宋体" w:hAnsi="宋体" w:cs="宋体"/>
                <w:spacing w:val="1"/>
                <w:sz w:val="17"/>
                <w:szCs w:val="17"/>
              </w:rPr>
              <w:t xml:space="preserve"> </w:t>
            </w:r>
            <w:r>
              <w:rPr>
                <w:rFonts w:ascii="宋体" w:hAnsi="宋体" w:cs="宋体"/>
                <w:spacing w:val="-3"/>
                <w:sz w:val="17"/>
                <w:szCs w:val="17"/>
              </w:rPr>
              <w:t>指标</w:t>
            </w:r>
          </w:p>
        </w:tc>
        <w:tc>
          <w:tcPr>
            <w:tcW w:w="999" w:type="dxa"/>
            <w:tcBorders>
              <w:bottom w:val="nil"/>
            </w:tcBorders>
            <w:vAlign w:val="center"/>
          </w:tcPr>
          <w:p w14:paraId="2C631BC0">
            <w:pPr>
              <w:spacing w:before="67" w:line="180" w:lineRule="exact"/>
              <w:ind w:left="23"/>
              <w:jc w:val="center"/>
              <w:rPr>
                <w:rFonts w:ascii="宋体" w:hAnsi="宋体" w:cs="宋体"/>
                <w:sz w:val="17"/>
                <w:szCs w:val="17"/>
              </w:rPr>
            </w:pPr>
            <w:r>
              <w:rPr>
                <w:rFonts w:ascii="宋体" w:hAnsi="宋体" w:cs="宋体"/>
                <w:sz w:val="17"/>
                <w:szCs w:val="17"/>
              </w:rPr>
              <w:t>帮扶对象满意度指标</w:t>
            </w:r>
          </w:p>
        </w:tc>
        <w:tc>
          <w:tcPr>
            <w:tcW w:w="2086" w:type="dxa"/>
            <w:gridSpan w:val="2"/>
            <w:vAlign w:val="center"/>
          </w:tcPr>
          <w:p w14:paraId="79BD7693">
            <w:pPr>
              <w:spacing w:before="67" w:line="180" w:lineRule="exact"/>
              <w:ind w:left="23"/>
              <w:jc w:val="center"/>
              <w:rPr>
                <w:rFonts w:ascii="宋体" w:hAnsi="宋体" w:cs="宋体"/>
                <w:sz w:val="17"/>
                <w:szCs w:val="17"/>
              </w:rPr>
            </w:pPr>
            <w:r>
              <w:rPr>
                <w:rFonts w:ascii="宋体" w:hAnsi="宋体" w:cs="宋体"/>
                <w:sz w:val="17"/>
                <w:szCs w:val="17"/>
              </w:rPr>
              <w:t>受灾群众对解决生活饮水、抗旱满意度</w:t>
            </w:r>
          </w:p>
        </w:tc>
        <w:tc>
          <w:tcPr>
            <w:tcW w:w="1145" w:type="dxa"/>
            <w:vAlign w:val="center"/>
          </w:tcPr>
          <w:p w14:paraId="29AE97EF">
            <w:pPr>
              <w:spacing w:before="67" w:line="209" w:lineRule="auto"/>
              <w:ind w:left="23"/>
              <w:jc w:val="center"/>
              <w:rPr>
                <w:rFonts w:ascii="宋体" w:hAnsi="宋体" w:cs="宋体"/>
                <w:sz w:val="17"/>
                <w:szCs w:val="17"/>
              </w:rPr>
            </w:pPr>
            <w:r>
              <w:rPr>
                <w:rFonts w:ascii="宋体" w:hAnsi="宋体" w:cs="宋体"/>
                <w:sz w:val="17"/>
                <w:szCs w:val="17"/>
              </w:rPr>
              <w:t>≥</w:t>
            </w:r>
            <w:r>
              <w:rPr>
                <w:rFonts w:hint="eastAsia" w:ascii="宋体" w:hAnsi="宋体" w:cs="宋体"/>
                <w:sz w:val="17"/>
                <w:szCs w:val="17"/>
              </w:rPr>
              <w:t>98%</w:t>
            </w:r>
          </w:p>
        </w:tc>
        <w:tc>
          <w:tcPr>
            <w:tcW w:w="951" w:type="dxa"/>
            <w:vAlign w:val="center"/>
          </w:tcPr>
          <w:p w14:paraId="2F8ED1A1">
            <w:pPr>
              <w:spacing w:before="67" w:line="209" w:lineRule="auto"/>
              <w:ind w:left="23"/>
              <w:jc w:val="center"/>
              <w:rPr>
                <w:rFonts w:ascii="宋体" w:hAnsi="宋体" w:cs="宋体"/>
                <w:sz w:val="17"/>
                <w:szCs w:val="17"/>
              </w:rPr>
            </w:pPr>
            <w:r>
              <w:rPr>
                <w:rFonts w:hint="eastAsia" w:ascii="宋体" w:hAnsi="宋体" w:cs="宋体"/>
                <w:sz w:val="17"/>
                <w:szCs w:val="17"/>
              </w:rPr>
              <w:t>99%</w:t>
            </w:r>
          </w:p>
        </w:tc>
        <w:tc>
          <w:tcPr>
            <w:tcW w:w="2469" w:type="dxa"/>
          </w:tcPr>
          <w:p w14:paraId="57BA8EB7">
            <w:pPr>
              <w:jc w:val="center"/>
            </w:pPr>
          </w:p>
        </w:tc>
      </w:tr>
      <w:tr w14:paraId="24CD9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6630" w:type="dxa"/>
            <w:gridSpan w:val="7"/>
            <w:vAlign w:val="center"/>
          </w:tcPr>
          <w:p w14:paraId="5E4A20E1">
            <w:pPr>
              <w:spacing w:before="48" w:line="220" w:lineRule="auto"/>
              <w:ind w:left="3664"/>
              <w:jc w:val="center"/>
              <w:rPr>
                <w:rFonts w:ascii="宋体" w:hAnsi="宋体" w:cs="宋体"/>
                <w:sz w:val="17"/>
                <w:szCs w:val="17"/>
              </w:rPr>
            </w:pPr>
            <w:r>
              <w:rPr>
                <w:rFonts w:ascii="宋体" w:hAnsi="宋体" w:cs="宋体"/>
                <w:spacing w:val="-3"/>
                <w:sz w:val="17"/>
                <w:szCs w:val="17"/>
              </w:rPr>
              <w:t>总分</w:t>
            </w:r>
          </w:p>
        </w:tc>
        <w:tc>
          <w:tcPr>
            <w:tcW w:w="2469" w:type="dxa"/>
            <w:vAlign w:val="center"/>
          </w:tcPr>
          <w:p w14:paraId="5B1F8F14">
            <w:pPr>
              <w:jc w:val="center"/>
            </w:pPr>
            <w:r>
              <w:rPr>
                <w:rFonts w:hint="eastAsia"/>
              </w:rPr>
              <w:t>98.5</w:t>
            </w:r>
          </w:p>
        </w:tc>
      </w:tr>
      <w:bookmarkEnd w:id="149"/>
      <w:bookmarkEnd w:id="187"/>
    </w:tbl>
    <w:p w14:paraId="20155214">
      <w:pPr>
        <w:spacing w:line="600" w:lineRule="exact"/>
        <w:jc w:val="center"/>
        <w:outlineLvl w:val="0"/>
        <w:rPr>
          <w:rFonts w:ascii="仿宋" w:hAnsi="仿宋" w:eastAsia="仿宋"/>
        </w:rPr>
      </w:pPr>
      <w:bookmarkStart w:id="344" w:name="_Toc20819"/>
      <w:bookmarkStart w:id="345" w:name="_Toc19358"/>
      <w:bookmarkStart w:id="346" w:name="_Toc24460"/>
      <w:r>
        <w:rPr>
          <w:rFonts w:hint="eastAsia" w:ascii="黑体" w:hAnsi="黑体" w:eastAsia="黑体"/>
          <w:sz w:val="44"/>
          <w:szCs w:val="44"/>
        </w:rPr>
        <w:t>第</w:t>
      </w:r>
      <w:r>
        <w:rPr>
          <w:rStyle w:val="28"/>
          <w:rFonts w:hint="eastAsia" w:ascii="黑体" w:hAnsi="黑体" w:eastAsia="黑体"/>
          <w:b w:val="0"/>
          <w:bCs w:val="0"/>
        </w:rPr>
        <w:t>五部分 附表</w:t>
      </w:r>
      <w:bookmarkEnd w:id="344"/>
      <w:bookmarkEnd w:id="345"/>
      <w:bookmarkEnd w:id="346"/>
      <w:bookmarkStart w:id="347" w:name="_Toc15396619"/>
    </w:p>
    <w:p w14:paraId="0287C63F">
      <w:pPr>
        <w:pStyle w:val="4"/>
        <w:rPr>
          <w:rFonts w:ascii="仿宋" w:hAnsi="仿宋" w:eastAsia="仿宋"/>
          <w:b w:val="0"/>
          <w:bCs w:val="0"/>
        </w:rPr>
      </w:pPr>
      <w:bookmarkStart w:id="348" w:name="_Toc9217"/>
      <w:bookmarkStart w:id="349" w:name="_Toc3290"/>
      <w:bookmarkStart w:id="350" w:name="_Toc3021"/>
      <w:r>
        <w:rPr>
          <w:rFonts w:hint="eastAsia" w:ascii="仿宋" w:hAnsi="仿宋" w:eastAsia="仿宋"/>
          <w:b w:val="0"/>
          <w:bCs w:val="0"/>
        </w:rPr>
        <w:t>一、收</w:t>
      </w:r>
      <w:r>
        <w:rPr>
          <w:rStyle w:val="29"/>
          <w:rFonts w:hint="eastAsia" w:ascii="仿宋" w:hAnsi="仿宋" w:eastAsia="仿宋"/>
          <w:b w:val="0"/>
          <w:bCs w:val="0"/>
        </w:rPr>
        <w:t>入支出决算总表</w:t>
      </w:r>
      <w:bookmarkEnd w:id="347"/>
      <w:bookmarkEnd w:id="348"/>
      <w:bookmarkEnd w:id="349"/>
      <w:bookmarkEnd w:id="350"/>
    </w:p>
    <w:p w14:paraId="40B1B8C7">
      <w:pPr>
        <w:pStyle w:val="4"/>
        <w:rPr>
          <w:rFonts w:ascii="仿宋" w:hAnsi="仿宋" w:eastAsia="仿宋"/>
          <w:b w:val="0"/>
          <w:bCs w:val="0"/>
        </w:rPr>
      </w:pPr>
      <w:bookmarkStart w:id="351" w:name="_Toc23179"/>
      <w:bookmarkStart w:id="352" w:name="_Toc26771"/>
      <w:bookmarkStart w:id="353" w:name="_Toc15396620"/>
      <w:bookmarkStart w:id="354" w:name="_Toc878"/>
      <w:r>
        <w:rPr>
          <w:rFonts w:hint="eastAsia" w:ascii="仿宋" w:hAnsi="仿宋" w:eastAsia="仿宋"/>
          <w:b w:val="0"/>
          <w:bCs w:val="0"/>
        </w:rPr>
        <w:t>二、收</w:t>
      </w:r>
      <w:r>
        <w:rPr>
          <w:rStyle w:val="29"/>
          <w:rFonts w:hint="eastAsia" w:ascii="仿宋" w:hAnsi="仿宋" w:eastAsia="仿宋"/>
          <w:b w:val="0"/>
          <w:bCs w:val="0"/>
        </w:rPr>
        <w:t>入决算表</w:t>
      </w:r>
      <w:bookmarkEnd w:id="351"/>
      <w:bookmarkEnd w:id="352"/>
      <w:bookmarkEnd w:id="353"/>
      <w:bookmarkEnd w:id="354"/>
    </w:p>
    <w:p w14:paraId="4F0CD0F8">
      <w:pPr>
        <w:pStyle w:val="4"/>
        <w:rPr>
          <w:rFonts w:ascii="仿宋" w:hAnsi="仿宋" w:eastAsia="仿宋"/>
          <w:b w:val="0"/>
          <w:bCs w:val="0"/>
        </w:rPr>
      </w:pPr>
      <w:bookmarkStart w:id="355" w:name="_Toc15396621"/>
      <w:bookmarkStart w:id="356" w:name="_Toc22846"/>
      <w:bookmarkStart w:id="357" w:name="_Toc13004"/>
      <w:bookmarkStart w:id="358" w:name="_Toc25858"/>
      <w:r>
        <w:rPr>
          <w:rStyle w:val="29"/>
          <w:rFonts w:hint="eastAsia" w:ascii="仿宋" w:hAnsi="仿宋" w:eastAsia="仿宋"/>
          <w:b w:val="0"/>
          <w:bCs w:val="0"/>
        </w:rPr>
        <w:t>三、</w:t>
      </w:r>
      <w:r>
        <w:rPr>
          <w:rFonts w:hint="eastAsia" w:ascii="仿宋" w:hAnsi="仿宋" w:eastAsia="仿宋"/>
          <w:b w:val="0"/>
          <w:bCs w:val="0"/>
        </w:rPr>
        <w:t>支</w:t>
      </w:r>
      <w:r>
        <w:rPr>
          <w:rStyle w:val="29"/>
          <w:rFonts w:hint="eastAsia" w:ascii="仿宋" w:hAnsi="仿宋" w:eastAsia="仿宋"/>
          <w:b w:val="0"/>
          <w:bCs w:val="0"/>
        </w:rPr>
        <w:t>出决算表</w:t>
      </w:r>
      <w:bookmarkEnd w:id="355"/>
      <w:bookmarkEnd w:id="356"/>
      <w:bookmarkEnd w:id="357"/>
      <w:bookmarkEnd w:id="358"/>
    </w:p>
    <w:p w14:paraId="138F8E75">
      <w:pPr>
        <w:pStyle w:val="4"/>
        <w:rPr>
          <w:rFonts w:ascii="仿宋" w:hAnsi="仿宋" w:eastAsia="仿宋"/>
          <w:b w:val="0"/>
          <w:bCs w:val="0"/>
        </w:rPr>
      </w:pPr>
      <w:bookmarkStart w:id="359" w:name="_Toc19964"/>
      <w:bookmarkStart w:id="360" w:name="_Toc12168"/>
      <w:bookmarkStart w:id="361" w:name="_Toc15396622"/>
      <w:bookmarkStart w:id="362" w:name="_Toc26006"/>
      <w:r>
        <w:rPr>
          <w:rStyle w:val="29"/>
          <w:rFonts w:hint="eastAsia" w:ascii="仿宋" w:hAnsi="仿宋" w:eastAsia="仿宋"/>
          <w:b w:val="0"/>
          <w:bCs w:val="0"/>
        </w:rPr>
        <w:t>四、</w:t>
      </w:r>
      <w:r>
        <w:rPr>
          <w:rFonts w:hint="eastAsia" w:ascii="仿宋" w:hAnsi="仿宋" w:eastAsia="仿宋"/>
          <w:b w:val="0"/>
          <w:bCs w:val="0"/>
        </w:rPr>
        <w:t>财</w:t>
      </w:r>
      <w:r>
        <w:rPr>
          <w:rStyle w:val="29"/>
          <w:rFonts w:hint="eastAsia" w:ascii="仿宋" w:hAnsi="仿宋" w:eastAsia="仿宋"/>
          <w:b w:val="0"/>
          <w:bCs w:val="0"/>
        </w:rPr>
        <w:t>政拨款收入支出决算总表</w:t>
      </w:r>
      <w:bookmarkEnd w:id="359"/>
      <w:bookmarkEnd w:id="360"/>
      <w:bookmarkEnd w:id="361"/>
      <w:bookmarkEnd w:id="362"/>
    </w:p>
    <w:p w14:paraId="6D7252FF">
      <w:pPr>
        <w:pStyle w:val="4"/>
        <w:rPr>
          <w:rStyle w:val="29"/>
          <w:rFonts w:ascii="仿宋" w:hAnsi="仿宋" w:eastAsia="仿宋"/>
          <w:b w:val="0"/>
          <w:bCs w:val="0"/>
        </w:rPr>
      </w:pPr>
      <w:bookmarkStart w:id="363" w:name="_Toc15396623"/>
      <w:bookmarkStart w:id="364" w:name="_Toc29856"/>
      <w:bookmarkStart w:id="365" w:name="_Toc18811"/>
      <w:bookmarkStart w:id="366" w:name="_Toc23542"/>
      <w:r>
        <w:rPr>
          <w:rStyle w:val="29"/>
          <w:rFonts w:hint="eastAsia" w:ascii="仿宋" w:hAnsi="仿宋" w:eastAsia="仿宋"/>
          <w:b w:val="0"/>
          <w:bCs w:val="0"/>
        </w:rPr>
        <w:t>五、</w:t>
      </w:r>
      <w:r>
        <w:rPr>
          <w:rFonts w:hint="eastAsia" w:ascii="仿宋" w:hAnsi="仿宋" w:eastAsia="仿宋"/>
          <w:b w:val="0"/>
          <w:bCs w:val="0"/>
        </w:rPr>
        <w:t>财</w:t>
      </w:r>
      <w:r>
        <w:rPr>
          <w:rStyle w:val="29"/>
          <w:rFonts w:hint="eastAsia" w:ascii="仿宋" w:hAnsi="仿宋" w:eastAsia="仿宋"/>
          <w:b w:val="0"/>
          <w:bCs w:val="0"/>
        </w:rPr>
        <w:t>政拨款支出决算明细表</w:t>
      </w:r>
      <w:bookmarkEnd w:id="363"/>
      <w:bookmarkEnd w:id="364"/>
      <w:bookmarkEnd w:id="365"/>
      <w:bookmarkEnd w:id="366"/>
      <w:bookmarkStart w:id="367" w:name="_Toc15396624"/>
    </w:p>
    <w:p w14:paraId="76889BD3">
      <w:pPr>
        <w:pStyle w:val="4"/>
        <w:rPr>
          <w:rFonts w:ascii="仿宋" w:hAnsi="仿宋" w:eastAsia="仿宋"/>
          <w:b w:val="0"/>
          <w:bCs w:val="0"/>
        </w:rPr>
      </w:pPr>
      <w:bookmarkStart w:id="368" w:name="_Toc6217"/>
      <w:bookmarkStart w:id="369" w:name="_Toc11243"/>
      <w:bookmarkStart w:id="370" w:name="_Toc9242"/>
      <w:r>
        <w:rPr>
          <w:rStyle w:val="29"/>
          <w:rFonts w:hint="eastAsia" w:ascii="仿宋" w:hAnsi="仿宋" w:eastAsia="仿宋"/>
          <w:b w:val="0"/>
          <w:bCs w:val="0"/>
        </w:rPr>
        <w:t>六、</w:t>
      </w:r>
      <w:r>
        <w:rPr>
          <w:rFonts w:hint="eastAsia" w:ascii="仿宋" w:hAnsi="仿宋" w:eastAsia="仿宋"/>
          <w:b w:val="0"/>
          <w:bCs w:val="0"/>
        </w:rPr>
        <w:t>一</w:t>
      </w:r>
      <w:r>
        <w:rPr>
          <w:rStyle w:val="29"/>
          <w:rFonts w:hint="eastAsia" w:ascii="仿宋" w:hAnsi="仿宋" w:eastAsia="仿宋"/>
          <w:b w:val="0"/>
          <w:bCs w:val="0"/>
        </w:rPr>
        <w:t>般公共预算财政拨款支出决算表</w:t>
      </w:r>
      <w:bookmarkEnd w:id="367"/>
      <w:bookmarkEnd w:id="368"/>
      <w:bookmarkEnd w:id="369"/>
      <w:bookmarkEnd w:id="370"/>
    </w:p>
    <w:p w14:paraId="15AB987D">
      <w:pPr>
        <w:pStyle w:val="4"/>
        <w:rPr>
          <w:rFonts w:ascii="仿宋" w:hAnsi="仿宋" w:eastAsia="仿宋"/>
          <w:b w:val="0"/>
          <w:bCs w:val="0"/>
        </w:rPr>
      </w:pPr>
      <w:bookmarkStart w:id="371" w:name="_Toc15396625"/>
      <w:bookmarkStart w:id="372" w:name="_Toc25065"/>
      <w:bookmarkStart w:id="373" w:name="_Toc21656"/>
      <w:bookmarkStart w:id="374" w:name="_Toc24072"/>
      <w:r>
        <w:rPr>
          <w:rStyle w:val="29"/>
          <w:rFonts w:hint="eastAsia" w:ascii="仿宋" w:hAnsi="仿宋" w:eastAsia="仿宋"/>
          <w:b w:val="0"/>
          <w:bCs w:val="0"/>
        </w:rPr>
        <w:t>七、</w:t>
      </w:r>
      <w:r>
        <w:rPr>
          <w:rFonts w:hint="eastAsia" w:ascii="仿宋" w:hAnsi="仿宋" w:eastAsia="仿宋"/>
          <w:b w:val="0"/>
          <w:bCs w:val="0"/>
        </w:rPr>
        <w:t>一</w:t>
      </w:r>
      <w:r>
        <w:rPr>
          <w:rStyle w:val="29"/>
          <w:rFonts w:hint="eastAsia" w:ascii="仿宋" w:hAnsi="仿宋" w:eastAsia="仿宋"/>
          <w:b w:val="0"/>
          <w:bCs w:val="0"/>
        </w:rPr>
        <w:t>般公共预算财政拨款支出决算明细表</w:t>
      </w:r>
      <w:bookmarkEnd w:id="371"/>
      <w:bookmarkEnd w:id="372"/>
      <w:bookmarkEnd w:id="373"/>
      <w:bookmarkEnd w:id="374"/>
    </w:p>
    <w:p w14:paraId="34F84073">
      <w:pPr>
        <w:pStyle w:val="4"/>
        <w:rPr>
          <w:rFonts w:ascii="仿宋" w:hAnsi="仿宋" w:eastAsia="仿宋"/>
          <w:b w:val="0"/>
          <w:bCs w:val="0"/>
        </w:rPr>
      </w:pPr>
      <w:bookmarkStart w:id="375" w:name="_Toc15961"/>
      <w:bookmarkStart w:id="376" w:name="_Toc18765"/>
      <w:bookmarkStart w:id="377" w:name="_Toc12911"/>
      <w:bookmarkStart w:id="378" w:name="_Toc15396626"/>
      <w:r>
        <w:rPr>
          <w:rStyle w:val="29"/>
          <w:rFonts w:hint="eastAsia" w:ascii="仿宋" w:hAnsi="仿宋" w:eastAsia="仿宋"/>
          <w:b w:val="0"/>
          <w:bCs w:val="0"/>
        </w:rPr>
        <w:t>八、</w:t>
      </w:r>
      <w:r>
        <w:rPr>
          <w:rFonts w:hint="eastAsia" w:ascii="仿宋" w:hAnsi="仿宋" w:eastAsia="仿宋"/>
          <w:b w:val="0"/>
          <w:bCs w:val="0"/>
        </w:rPr>
        <w:t>一</w:t>
      </w:r>
      <w:r>
        <w:rPr>
          <w:rStyle w:val="29"/>
          <w:rFonts w:hint="eastAsia" w:ascii="仿宋" w:hAnsi="仿宋" w:eastAsia="仿宋"/>
          <w:b w:val="0"/>
          <w:bCs w:val="0"/>
        </w:rPr>
        <w:t>般公共预算财政拨款基本支出决算表</w:t>
      </w:r>
      <w:bookmarkEnd w:id="375"/>
      <w:bookmarkEnd w:id="376"/>
      <w:bookmarkEnd w:id="377"/>
      <w:bookmarkEnd w:id="378"/>
    </w:p>
    <w:p w14:paraId="6B205FAF">
      <w:pPr>
        <w:pStyle w:val="4"/>
        <w:rPr>
          <w:rFonts w:ascii="仿宋" w:hAnsi="仿宋" w:eastAsia="仿宋"/>
          <w:b w:val="0"/>
          <w:bCs w:val="0"/>
        </w:rPr>
      </w:pPr>
      <w:bookmarkStart w:id="379" w:name="_Toc32026"/>
      <w:bookmarkStart w:id="380" w:name="_Toc6401"/>
      <w:bookmarkStart w:id="381" w:name="_Toc10091"/>
      <w:bookmarkStart w:id="382" w:name="_Toc15396627"/>
      <w:r>
        <w:rPr>
          <w:rStyle w:val="29"/>
          <w:rFonts w:hint="eastAsia" w:ascii="仿宋" w:hAnsi="仿宋" w:eastAsia="仿宋"/>
          <w:b w:val="0"/>
          <w:bCs w:val="0"/>
        </w:rPr>
        <w:t>九、</w:t>
      </w:r>
      <w:r>
        <w:rPr>
          <w:rFonts w:hint="eastAsia" w:ascii="仿宋" w:hAnsi="仿宋" w:eastAsia="仿宋"/>
          <w:b w:val="0"/>
          <w:bCs w:val="0"/>
        </w:rPr>
        <w:t>一</w:t>
      </w:r>
      <w:r>
        <w:rPr>
          <w:rStyle w:val="29"/>
          <w:rFonts w:hint="eastAsia" w:ascii="仿宋" w:hAnsi="仿宋" w:eastAsia="仿宋"/>
          <w:b w:val="0"/>
          <w:bCs w:val="0"/>
        </w:rPr>
        <w:t>般公共预算财政拨款项目支出决算表</w:t>
      </w:r>
      <w:bookmarkEnd w:id="379"/>
      <w:bookmarkEnd w:id="380"/>
      <w:bookmarkEnd w:id="381"/>
      <w:bookmarkEnd w:id="382"/>
    </w:p>
    <w:p w14:paraId="10F82B17">
      <w:pPr>
        <w:pStyle w:val="4"/>
        <w:rPr>
          <w:rFonts w:ascii="仿宋" w:hAnsi="仿宋" w:eastAsia="仿宋"/>
          <w:b w:val="0"/>
          <w:bCs w:val="0"/>
        </w:rPr>
      </w:pPr>
      <w:bookmarkStart w:id="383" w:name="_Toc15396628"/>
      <w:bookmarkStart w:id="384" w:name="_Toc23316"/>
      <w:bookmarkStart w:id="385" w:name="_Toc8016"/>
      <w:bookmarkStart w:id="386" w:name="_Toc17443"/>
      <w:r>
        <w:rPr>
          <w:rStyle w:val="29"/>
          <w:rFonts w:hint="eastAsia" w:ascii="仿宋" w:hAnsi="仿宋" w:eastAsia="仿宋"/>
          <w:b w:val="0"/>
          <w:bCs w:val="0"/>
        </w:rPr>
        <w:t>十、</w:t>
      </w:r>
      <w:bookmarkEnd w:id="383"/>
      <w:r>
        <w:rPr>
          <w:rFonts w:hint="eastAsia" w:ascii="仿宋" w:hAnsi="仿宋" w:eastAsia="仿宋"/>
          <w:b w:val="0"/>
          <w:bCs w:val="0"/>
        </w:rPr>
        <w:t>政</w:t>
      </w:r>
      <w:r>
        <w:rPr>
          <w:rStyle w:val="29"/>
          <w:rFonts w:hint="eastAsia" w:ascii="仿宋" w:hAnsi="仿宋" w:eastAsia="仿宋"/>
          <w:b w:val="0"/>
          <w:bCs w:val="0"/>
        </w:rPr>
        <w:t>府性基金预算财政拨款收入支出决算表</w:t>
      </w:r>
      <w:bookmarkEnd w:id="384"/>
      <w:bookmarkEnd w:id="385"/>
      <w:bookmarkEnd w:id="386"/>
    </w:p>
    <w:p w14:paraId="64148EF3">
      <w:pPr>
        <w:pStyle w:val="4"/>
        <w:rPr>
          <w:rFonts w:ascii="仿宋" w:hAnsi="仿宋" w:eastAsia="仿宋"/>
          <w:b w:val="0"/>
          <w:bCs w:val="0"/>
        </w:rPr>
      </w:pPr>
      <w:bookmarkStart w:id="387" w:name="_Toc15396629"/>
      <w:bookmarkStart w:id="388" w:name="_Toc28242"/>
      <w:bookmarkStart w:id="389" w:name="_Toc17762"/>
      <w:bookmarkStart w:id="390" w:name="_Toc28457"/>
      <w:r>
        <w:rPr>
          <w:rStyle w:val="29"/>
          <w:rFonts w:hint="eastAsia" w:ascii="仿宋" w:hAnsi="仿宋" w:eastAsia="仿宋"/>
          <w:b w:val="0"/>
          <w:bCs w:val="0"/>
        </w:rPr>
        <w:t>十一、</w:t>
      </w:r>
      <w:bookmarkEnd w:id="387"/>
      <w:r>
        <w:rPr>
          <w:rFonts w:hint="eastAsia" w:ascii="仿宋" w:hAnsi="仿宋" w:eastAsia="仿宋"/>
          <w:b w:val="0"/>
          <w:bCs w:val="0"/>
        </w:rPr>
        <w:t>国</w:t>
      </w:r>
      <w:r>
        <w:rPr>
          <w:rStyle w:val="29"/>
          <w:rFonts w:hint="eastAsia" w:ascii="仿宋" w:hAnsi="仿宋" w:eastAsia="仿宋"/>
          <w:b w:val="0"/>
          <w:bCs w:val="0"/>
        </w:rPr>
        <w:t>有资本经营预算财政拨款收入支出决算表</w:t>
      </w:r>
      <w:bookmarkEnd w:id="388"/>
      <w:bookmarkEnd w:id="389"/>
      <w:bookmarkEnd w:id="390"/>
    </w:p>
    <w:p w14:paraId="099C8B76">
      <w:pPr>
        <w:pStyle w:val="4"/>
        <w:rPr>
          <w:rFonts w:ascii="仿宋" w:hAnsi="仿宋" w:eastAsia="仿宋"/>
          <w:b w:val="0"/>
          <w:bCs w:val="0"/>
        </w:rPr>
      </w:pPr>
      <w:bookmarkStart w:id="391" w:name="_Toc15396630"/>
      <w:bookmarkStart w:id="392" w:name="_Toc12556"/>
      <w:bookmarkStart w:id="393" w:name="_Toc21741"/>
      <w:bookmarkStart w:id="394" w:name="_Toc24035"/>
      <w:r>
        <w:rPr>
          <w:rStyle w:val="29"/>
          <w:rFonts w:hint="eastAsia" w:ascii="仿宋" w:hAnsi="仿宋" w:eastAsia="仿宋"/>
          <w:b w:val="0"/>
          <w:bCs w:val="0"/>
        </w:rPr>
        <w:t>十二、</w:t>
      </w:r>
      <w:bookmarkEnd w:id="391"/>
      <w:r>
        <w:rPr>
          <w:rStyle w:val="29"/>
          <w:rFonts w:hint="eastAsia" w:ascii="仿宋" w:hAnsi="仿宋" w:eastAsia="仿宋"/>
          <w:b w:val="0"/>
          <w:bCs w:val="0"/>
        </w:rPr>
        <w:t>国有资本经营预算财政拨款支出决算表</w:t>
      </w:r>
      <w:bookmarkEnd w:id="392"/>
      <w:bookmarkEnd w:id="393"/>
      <w:bookmarkEnd w:id="394"/>
    </w:p>
    <w:p w14:paraId="7CAAFB54">
      <w:pPr>
        <w:pStyle w:val="4"/>
        <w:rPr>
          <w:rFonts w:eastAsia="仿宋"/>
          <w:b w:val="0"/>
          <w:bCs w:val="0"/>
        </w:rPr>
      </w:pPr>
      <w:bookmarkStart w:id="395" w:name="_Toc15396631"/>
      <w:bookmarkStart w:id="396" w:name="_Toc6230"/>
      <w:bookmarkStart w:id="397" w:name="_Toc6251"/>
      <w:bookmarkStart w:id="398" w:name="_Toc31210"/>
      <w:r>
        <w:rPr>
          <w:rStyle w:val="29"/>
          <w:rFonts w:hint="eastAsia" w:ascii="仿宋" w:hAnsi="仿宋" w:eastAsia="仿宋"/>
          <w:b w:val="0"/>
          <w:bCs w:val="0"/>
        </w:rPr>
        <w:t>十三、</w:t>
      </w:r>
      <w:bookmarkEnd w:id="395"/>
      <w:r>
        <w:rPr>
          <w:rStyle w:val="29"/>
          <w:rFonts w:hint="eastAsia" w:ascii="仿宋" w:hAnsi="仿宋" w:eastAsia="仿宋"/>
          <w:b w:val="0"/>
          <w:bCs w:val="0"/>
        </w:rPr>
        <w:t>财政拨款“三公”经费支出决算表</w:t>
      </w:r>
      <w:bookmarkEnd w:id="396"/>
      <w:bookmarkEnd w:id="397"/>
      <w:bookmarkEnd w:id="398"/>
    </w:p>
    <w:p w14:paraId="731F6445">
      <w:pPr>
        <w:spacing w:line="576" w:lineRule="exact"/>
        <w:jc w:val="center"/>
        <w:rPr>
          <w:rFonts w:eastAsia="仿宋"/>
          <w:color w:val="000000" w:themeColor="text1"/>
        </w:rPr>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4B42097-278A-46EB-8FA6-995AC16DF7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EEF3F98-B3E2-4A5C-AC06-D565CB66EE3E}"/>
  </w:font>
  <w:font w:name="Cambria">
    <w:panose1 w:val="02040503050406030204"/>
    <w:charset w:val="00"/>
    <w:family w:val="roman"/>
    <w:pitch w:val="default"/>
    <w:sig w:usb0="E00006FF" w:usb1="420024FF" w:usb2="02000000" w:usb3="00000000" w:csb0="2000019F" w:csb1="00000000"/>
    <w:embedRegular r:id="rId3" w:fontKey="{F078B7D8-B888-4313-B099-CC98D6577595}"/>
  </w:font>
  <w:font w:name="仿宋_GB2312">
    <w:altName w:val="仿宋"/>
    <w:panose1 w:val="00000000000000000000"/>
    <w:charset w:val="86"/>
    <w:family w:val="modern"/>
    <w:pitch w:val="default"/>
    <w:sig w:usb0="00000000" w:usb1="00000000" w:usb2="00000000" w:usb3="00000000" w:csb0="00040000" w:csb1="00000000"/>
    <w:embedRegular r:id="rId4" w:fontKey="{80D5DABC-B560-4188-8E30-F9B57CBC25C6}"/>
  </w:font>
  <w:font w:name="仿宋">
    <w:panose1 w:val="02010609060101010101"/>
    <w:charset w:val="86"/>
    <w:family w:val="modern"/>
    <w:pitch w:val="default"/>
    <w:sig w:usb0="800002BF" w:usb1="38CF7CFA" w:usb2="00000016" w:usb3="00000000" w:csb0="00040001" w:csb1="00000000"/>
    <w:embedRegular r:id="rId5" w:fontKey="{E4736501-D52A-401C-A2CD-A00AD65A36FA}"/>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6" w:fontKey="{2ECB419F-B4A5-4A3D-BE76-F0279439806D}"/>
  </w:font>
  <w:font w:name="楷体_GB2312">
    <w:panose1 w:val="02010609030101010101"/>
    <w:charset w:val="86"/>
    <w:family w:val="modern"/>
    <w:pitch w:val="default"/>
    <w:sig w:usb0="00000001" w:usb1="080E0000" w:usb2="00000000" w:usb3="00000000" w:csb0="00040000" w:csb1="00000000"/>
    <w:embedRegular r:id="rId7" w:fontKey="{810DE7AD-6CBB-4F1C-B283-0BED6A88B9DC}"/>
  </w:font>
  <w:font w:name="Helvetica">
    <w:altName w:val="Arial"/>
    <w:panose1 w:val="020B0504020202020204"/>
    <w:charset w:val="00"/>
    <w:family w:val="swiss"/>
    <w:pitch w:val="default"/>
    <w:sig w:usb0="00000000" w:usb1="00000000" w:usb2="00000000" w:usb3="00000000" w:csb0="00000001" w:csb1="00000000"/>
    <w:embedRegular r:id="rId8" w:fontKey="{8A381C29-9884-47F6-BC9A-F2FB6206F1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3B43B">
    <w:pPr>
      <w:pStyle w:val="9"/>
      <w:jc w:val="center"/>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sdt>
                <w:sdtPr>
                  <w:rPr>
                    <w:rFonts w:hint="eastAsia" w:ascii="仿宋" w:hAnsi="仿宋" w:eastAsia="仿宋" w:cs="仿宋"/>
                    <w:sz w:val="28"/>
                    <w:szCs w:val="28"/>
                  </w:rPr>
                  <w:id w:val="-1994781956"/>
                </w:sdtPr>
                <w:sdtEndPr>
                  <w:rPr>
                    <w:rFonts w:hint="eastAsia" w:ascii="仿宋" w:hAnsi="仿宋" w:eastAsia="仿宋" w:cs="仿宋"/>
                    <w:sz w:val="28"/>
                    <w:szCs w:val="28"/>
                  </w:rPr>
                </w:sdtEndPr>
                <w:sdtContent>
                  <w:p w14:paraId="1975D7A4">
                    <w:pPr>
                      <w:pStyle w:val="9"/>
                      <w:jc w:val="center"/>
                    </w:pPr>
                    <w:r>
                      <w:rPr>
                        <w:rFonts w:hint="eastAsia" w:ascii="仿宋" w:hAnsi="仿宋" w:eastAsia="仿宋" w:cs="仿宋"/>
                        <w:sz w:val="28"/>
                        <w:szCs w:val="28"/>
                        <w:lang w:val="zh-CN"/>
                      </w:rPr>
                      <w:fldChar w:fldCharType="begin"/>
                    </w:r>
                    <w:r>
                      <w:rPr>
                        <w:rFonts w:hint="eastAsia" w:ascii="仿宋" w:hAnsi="仿宋" w:eastAsia="仿宋" w:cs="仿宋"/>
                        <w:sz w:val="28"/>
                        <w:szCs w:val="28"/>
                        <w:lang w:val="zh-CN"/>
                      </w:rPr>
                      <w:instrText xml:space="preserve">PAGE   \* MERGEFORMAT</w:instrText>
                    </w:r>
                    <w:r>
                      <w:rPr>
                        <w:rFonts w:hint="eastAsia" w:ascii="仿宋" w:hAnsi="仿宋" w:eastAsia="仿宋" w:cs="仿宋"/>
                        <w:sz w:val="28"/>
                        <w:szCs w:val="28"/>
                        <w:lang w:val="zh-CN"/>
                      </w:rPr>
                      <w:fldChar w:fldCharType="separate"/>
                    </w:r>
                    <w:r>
                      <w:rPr>
                        <w:rFonts w:ascii="仿宋" w:hAnsi="仿宋" w:eastAsia="仿宋" w:cs="仿宋"/>
                        <w:sz w:val="28"/>
                        <w:szCs w:val="28"/>
                        <w:lang w:val="zh-CN"/>
                      </w:rPr>
                      <w:t>2</w:t>
                    </w:r>
                    <w:r>
                      <w:rPr>
                        <w:rFonts w:hint="eastAsia" w:ascii="仿宋" w:hAnsi="仿宋" w:eastAsia="仿宋" w:cs="仿宋"/>
                        <w:sz w:val="28"/>
                        <w:szCs w:val="28"/>
                        <w:lang w:val="zh-CN"/>
                      </w:rPr>
                      <w:fldChar w:fldCharType="end"/>
                    </w:r>
                  </w:p>
                </w:sdtContent>
              </w:sdt>
              <w:p w14:paraId="5439FB2E">
                <w:pPr>
                  <w:pStyle w:val="2"/>
                  <w:spacing w:before="72"/>
                </w:pPr>
              </w:p>
            </w:txbxContent>
          </v:textbox>
        </v:shape>
      </w:pict>
    </w:r>
  </w:p>
  <w:p w14:paraId="37860547">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3D23D">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E52A2731"/>
    <w:multiLevelType w:val="singleLevel"/>
    <w:tmpl w:val="E52A2731"/>
    <w:lvl w:ilvl="0" w:tentative="0">
      <w:start w:val="3"/>
      <w:numFmt w:val="chineseCounting"/>
      <w:suff w:val="nothing"/>
      <w:lvlText w:val="%1、"/>
      <w:lvlJc w:val="left"/>
      <w:rPr>
        <w:rFonts w:hint="eastAsia"/>
      </w:rPr>
    </w:lvl>
  </w:abstractNum>
  <w:abstractNum w:abstractNumId="3">
    <w:nsid w:val="FFF674BC"/>
    <w:multiLevelType w:val="singleLevel"/>
    <w:tmpl w:val="FFF674BC"/>
    <w:lvl w:ilvl="0" w:tentative="0">
      <w:start w:val="1"/>
      <w:numFmt w:val="chineseCounting"/>
      <w:suff w:val="nothing"/>
      <w:lvlText w:val="%1、"/>
      <w:lvlJc w:val="left"/>
      <w:rPr>
        <w:rFonts w:hint="eastAsia"/>
      </w:rPr>
    </w:lvl>
  </w:abstractNum>
  <w:abstractNum w:abstractNumId="4">
    <w:nsid w:val="2916CC7C"/>
    <w:multiLevelType w:val="singleLevel"/>
    <w:tmpl w:val="2916CC7C"/>
    <w:lvl w:ilvl="0" w:tentative="0">
      <w:start w:val="3"/>
      <w:numFmt w:val="chineseCounting"/>
      <w:suff w:val="nothing"/>
      <w:lvlText w:val="（%1）"/>
      <w:lvlJc w:val="left"/>
      <w:rPr>
        <w:rFonts w:hint="eastAsia"/>
      </w:rPr>
    </w:lvl>
  </w:abstractNum>
  <w:abstractNum w:abstractNumId="5">
    <w:nsid w:val="63F481D1"/>
    <w:multiLevelType w:val="singleLevel"/>
    <w:tmpl w:val="63F481D1"/>
    <w:lvl w:ilvl="0" w:tentative="0">
      <w:start w:val="1"/>
      <w:numFmt w:val="chineseCounting"/>
      <w:suff w:val="nothing"/>
      <w:lvlText w:val="%1、"/>
      <w:lvlJc w:val="left"/>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VhYTg4NGNkZWJkODFjNzcyZDRjM2M4Y2UzNjI5ZmUifQ=="/>
  </w:docVars>
  <w:rsids>
    <w:rsidRoot w:val="00F1361C"/>
    <w:rsid w:val="000079F1"/>
    <w:rsid w:val="000222C6"/>
    <w:rsid w:val="000222D1"/>
    <w:rsid w:val="0002549F"/>
    <w:rsid w:val="00033F0C"/>
    <w:rsid w:val="00034B3C"/>
    <w:rsid w:val="000468DB"/>
    <w:rsid w:val="00051E8E"/>
    <w:rsid w:val="0006487A"/>
    <w:rsid w:val="00065F8F"/>
    <w:rsid w:val="00070A43"/>
    <w:rsid w:val="000768F2"/>
    <w:rsid w:val="0009104C"/>
    <w:rsid w:val="00091442"/>
    <w:rsid w:val="0009184B"/>
    <w:rsid w:val="00094236"/>
    <w:rsid w:val="0009593C"/>
    <w:rsid w:val="00097322"/>
    <w:rsid w:val="000A5041"/>
    <w:rsid w:val="000A6A92"/>
    <w:rsid w:val="000B047F"/>
    <w:rsid w:val="000B5923"/>
    <w:rsid w:val="000B5A48"/>
    <w:rsid w:val="000B6FF3"/>
    <w:rsid w:val="000C3467"/>
    <w:rsid w:val="000C3CA6"/>
    <w:rsid w:val="000D1267"/>
    <w:rsid w:val="000D1D50"/>
    <w:rsid w:val="000D5782"/>
    <w:rsid w:val="000E2576"/>
    <w:rsid w:val="000E6613"/>
    <w:rsid w:val="000E7119"/>
    <w:rsid w:val="001127B3"/>
    <w:rsid w:val="00114E9B"/>
    <w:rsid w:val="00116224"/>
    <w:rsid w:val="001258D7"/>
    <w:rsid w:val="00142216"/>
    <w:rsid w:val="00144D6A"/>
    <w:rsid w:val="0014729F"/>
    <w:rsid w:val="00157BAB"/>
    <w:rsid w:val="001654D1"/>
    <w:rsid w:val="00166015"/>
    <w:rsid w:val="00174518"/>
    <w:rsid w:val="0018106D"/>
    <w:rsid w:val="00186855"/>
    <w:rsid w:val="001877A7"/>
    <w:rsid w:val="00191536"/>
    <w:rsid w:val="00196687"/>
    <w:rsid w:val="001C0962"/>
    <w:rsid w:val="001D7531"/>
    <w:rsid w:val="001E737D"/>
    <w:rsid w:val="001F0592"/>
    <w:rsid w:val="001F7506"/>
    <w:rsid w:val="002006CD"/>
    <w:rsid w:val="00202B36"/>
    <w:rsid w:val="00204B7A"/>
    <w:rsid w:val="00204CDE"/>
    <w:rsid w:val="0021101A"/>
    <w:rsid w:val="002151A2"/>
    <w:rsid w:val="00220536"/>
    <w:rsid w:val="002316BA"/>
    <w:rsid w:val="00235629"/>
    <w:rsid w:val="00247847"/>
    <w:rsid w:val="00253F94"/>
    <w:rsid w:val="00260C38"/>
    <w:rsid w:val="002616C0"/>
    <w:rsid w:val="00265372"/>
    <w:rsid w:val="002662AA"/>
    <w:rsid w:val="00280496"/>
    <w:rsid w:val="002822D5"/>
    <w:rsid w:val="0029025C"/>
    <w:rsid w:val="00294DC9"/>
    <w:rsid w:val="00295495"/>
    <w:rsid w:val="002A31DE"/>
    <w:rsid w:val="002A3E55"/>
    <w:rsid w:val="002B2613"/>
    <w:rsid w:val="002C2569"/>
    <w:rsid w:val="002D6D05"/>
    <w:rsid w:val="002F1818"/>
    <w:rsid w:val="002F4430"/>
    <w:rsid w:val="002F567B"/>
    <w:rsid w:val="00313468"/>
    <w:rsid w:val="003216A9"/>
    <w:rsid w:val="0032774E"/>
    <w:rsid w:val="00335A74"/>
    <w:rsid w:val="00336CB4"/>
    <w:rsid w:val="00353721"/>
    <w:rsid w:val="003563AC"/>
    <w:rsid w:val="00356F87"/>
    <w:rsid w:val="0036561B"/>
    <w:rsid w:val="0037013F"/>
    <w:rsid w:val="00376769"/>
    <w:rsid w:val="00380C92"/>
    <w:rsid w:val="003853EC"/>
    <w:rsid w:val="003963B6"/>
    <w:rsid w:val="003A484F"/>
    <w:rsid w:val="003A4883"/>
    <w:rsid w:val="003B0BE0"/>
    <w:rsid w:val="003B0C1B"/>
    <w:rsid w:val="003B688C"/>
    <w:rsid w:val="003C0291"/>
    <w:rsid w:val="003C39AE"/>
    <w:rsid w:val="003C7B60"/>
    <w:rsid w:val="003D0C0F"/>
    <w:rsid w:val="003D1FB2"/>
    <w:rsid w:val="003D66DA"/>
    <w:rsid w:val="003E1310"/>
    <w:rsid w:val="003E6F55"/>
    <w:rsid w:val="00405871"/>
    <w:rsid w:val="00406254"/>
    <w:rsid w:val="004223DE"/>
    <w:rsid w:val="004226B3"/>
    <w:rsid w:val="00431F6C"/>
    <w:rsid w:val="00434489"/>
    <w:rsid w:val="00437085"/>
    <w:rsid w:val="00443880"/>
    <w:rsid w:val="004464F4"/>
    <w:rsid w:val="00463C8C"/>
    <w:rsid w:val="00471401"/>
    <w:rsid w:val="00473F31"/>
    <w:rsid w:val="0048263A"/>
    <w:rsid w:val="00487E5D"/>
    <w:rsid w:val="00496262"/>
    <w:rsid w:val="00496D0A"/>
    <w:rsid w:val="004A32A7"/>
    <w:rsid w:val="004A711F"/>
    <w:rsid w:val="004B199D"/>
    <w:rsid w:val="004B2A77"/>
    <w:rsid w:val="004B4690"/>
    <w:rsid w:val="004E0A2D"/>
    <w:rsid w:val="004E206B"/>
    <w:rsid w:val="004E6DF7"/>
    <w:rsid w:val="004F0FBD"/>
    <w:rsid w:val="004F3DB0"/>
    <w:rsid w:val="004F7727"/>
    <w:rsid w:val="00505A47"/>
    <w:rsid w:val="00507AAA"/>
    <w:rsid w:val="00512FDA"/>
    <w:rsid w:val="00520DA0"/>
    <w:rsid w:val="00543521"/>
    <w:rsid w:val="00552609"/>
    <w:rsid w:val="00557B29"/>
    <w:rsid w:val="005664BB"/>
    <w:rsid w:val="00566FFA"/>
    <w:rsid w:val="0057481D"/>
    <w:rsid w:val="0058486E"/>
    <w:rsid w:val="00585B33"/>
    <w:rsid w:val="0059014D"/>
    <w:rsid w:val="00592AD1"/>
    <w:rsid w:val="005B0C2D"/>
    <w:rsid w:val="005B5C64"/>
    <w:rsid w:val="005C5337"/>
    <w:rsid w:val="005C6BD0"/>
    <w:rsid w:val="005C6EBE"/>
    <w:rsid w:val="005D1C8B"/>
    <w:rsid w:val="005D468D"/>
    <w:rsid w:val="005D5CED"/>
    <w:rsid w:val="005F1A4C"/>
    <w:rsid w:val="006050B7"/>
    <w:rsid w:val="00605688"/>
    <w:rsid w:val="006070AF"/>
    <w:rsid w:val="00607881"/>
    <w:rsid w:val="00607E6C"/>
    <w:rsid w:val="006101B1"/>
    <w:rsid w:val="00614E44"/>
    <w:rsid w:val="00617C00"/>
    <w:rsid w:val="0062270A"/>
    <w:rsid w:val="00622830"/>
    <w:rsid w:val="00623DA0"/>
    <w:rsid w:val="00630AEF"/>
    <w:rsid w:val="006325F8"/>
    <w:rsid w:val="00633463"/>
    <w:rsid w:val="00634C9A"/>
    <w:rsid w:val="00636917"/>
    <w:rsid w:val="006377CD"/>
    <w:rsid w:val="006440E4"/>
    <w:rsid w:val="0066343B"/>
    <w:rsid w:val="00664777"/>
    <w:rsid w:val="0066760C"/>
    <w:rsid w:val="006748A4"/>
    <w:rsid w:val="00681A31"/>
    <w:rsid w:val="00683E73"/>
    <w:rsid w:val="00684D55"/>
    <w:rsid w:val="006A3141"/>
    <w:rsid w:val="006A5E34"/>
    <w:rsid w:val="006B2422"/>
    <w:rsid w:val="006B2B9A"/>
    <w:rsid w:val="006B31D3"/>
    <w:rsid w:val="006C1937"/>
    <w:rsid w:val="006C3A57"/>
    <w:rsid w:val="006F020C"/>
    <w:rsid w:val="00700580"/>
    <w:rsid w:val="0070523E"/>
    <w:rsid w:val="007127B7"/>
    <w:rsid w:val="00715CBB"/>
    <w:rsid w:val="00717974"/>
    <w:rsid w:val="0071798E"/>
    <w:rsid w:val="0072125A"/>
    <w:rsid w:val="007416B6"/>
    <w:rsid w:val="00746F48"/>
    <w:rsid w:val="00750778"/>
    <w:rsid w:val="0075404D"/>
    <w:rsid w:val="007554F9"/>
    <w:rsid w:val="00755C41"/>
    <w:rsid w:val="0076182A"/>
    <w:rsid w:val="00763A5E"/>
    <w:rsid w:val="00767B7E"/>
    <w:rsid w:val="007770C3"/>
    <w:rsid w:val="00784D24"/>
    <w:rsid w:val="00785FBA"/>
    <w:rsid w:val="00786E4A"/>
    <w:rsid w:val="00787530"/>
    <w:rsid w:val="007875EB"/>
    <w:rsid w:val="0079426B"/>
    <w:rsid w:val="00795F1C"/>
    <w:rsid w:val="007D1682"/>
    <w:rsid w:val="007D312A"/>
    <w:rsid w:val="007D3F19"/>
    <w:rsid w:val="007D6EE9"/>
    <w:rsid w:val="007E23B0"/>
    <w:rsid w:val="007E23E5"/>
    <w:rsid w:val="007F1991"/>
    <w:rsid w:val="007F2C2F"/>
    <w:rsid w:val="007F55FC"/>
    <w:rsid w:val="007F5665"/>
    <w:rsid w:val="00800112"/>
    <w:rsid w:val="00813348"/>
    <w:rsid w:val="00816845"/>
    <w:rsid w:val="00824911"/>
    <w:rsid w:val="008253BB"/>
    <w:rsid w:val="008272B1"/>
    <w:rsid w:val="0083706E"/>
    <w:rsid w:val="008408F6"/>
    <w:rsid w:val="008423A5"/>
    <w:rsid w:val="00850625"/>
    <w:rsid w:val="00853718"/>
    <w:rsid w:val="00855221"/>
    <w:rsid w:val="00860645"/>
    <w:rsid w:val="00862893"/>
    <w:rsid w:val="008670C1"/>
    <w:rsid w:val="00871781"/>
    <w:rsid w:val="00871F71"/>
    <w:rsid w:val="00872FD8"/>
    <w:rsid w:val="00876ED3"/>
    <w:rsid w:val="00885AF4"/>
    <w:rsid w:val="008939CD"/>
    <w:rsid w:val="008B768C"/>
    <w:rsid w:val="008C4DB1"/>
    <w:rsid w:val="008C4EAF"/>
    <w:rsid w:val="008C5176"/>
    <w:rsid w:val="008C7FD0"/>
    <w:rsid w:val="008D1635"/>
    <w:rsid w:val="008E1DE7"/>
    <w:rsid w:val="008E707C"/>
    <w:rsid w:val="00900B08"/>
    <w:rsid w:val="00902155"/>
    <w:rsid w:val="00902FA3"/>
    <w:rsid w:val="00907032"/>
    <w:rsid w:val="00916401"/>
    <w:rsid w:val="009210A5"/>
    <w:rsid w:val="00923564"/>
    <w:rsid w:val="009235A1"/>
    <w:rsid w:val="0092392E"/>
    <w:rsid w:val="00927D01"/>
    <w:rsid w:val="009315F9"/>
    <w:rsid w:val="00933499"/>
    <w:rsid w:val="00935C98"/>
    <w:rsid w:val="009379AC"/>
    <w:rsid w:val="00940B5E"/>
    <w:rsid w:val="00946945"/>
    <w:rsid w:val="00951248"/>
    <w:rsid w:val="0095152F"/>
    <w:rsid w:val="00954C49"/>
    <w:rsid w:val="00955E37"/>
    <w:rsid w:val="0097089B"/>
    <w:rsid w:val="0097099F"/>
    <w:rsid w:val="00971997"/>
    <w:rsid w:val="00971FFC"/>
    <w:rsid w:val="009801A4"/>
    <w:rsid w:val="0098660A"/>
    <w:rsid w:val="009931C3"/>
    <w:rsid w:val="009A537C"/>
    <w:rsid w:val="009B2C43"/>
    <w:rsid w:val="009B2DEF"/>
    <w:rsid w:val="009B4EAE"/>
    <w:rsid w:val="009B7573"/>
    <w:rsid w:val="009C22F4"/>
    <w:rsid w:val="009C2A4B"/>
    <w:rsid w:val="009C2E98"/>
    <w:rsid w:val="009C3E22"/>
    <w:rsid w:val="009D3447"/>
    <w:rsid w:val="009D4711"/>
    <w:rsid w:val="009D6504"/>
    <w:rsid w:val="009E610D"/>
    <w:rsid w:val="009F1185"/>
    <w:rsid w:val="009F18CD"/>
    <w:rsid w:val="009F2A13"/>
    <w:rsid w:val="009F7527"/>
    <w:rsid w:val="00A005FD"/>
    <w:rsid w:val="00A04EB0"/>
    <w:rsid w:val="00A13CC1"/>
    <w:rsid w:val="00A14D86"/>
    <w:rsid w:val="00A16847"/>
    <w:rsid w:val="00A237D8"/>
    <w:rsid w:val="00A268C4"/>
    <w:rsid w:val="00A307CD"/>
    <w:rsid w:val="00A3199C"/>
    <w:rsid w:val="00A331C8"/>
    <w:rsid w:val="00A3597C"/>
    <w:rsid w:val="00A40A00"/>
    <w:rsid w:val="00A4142F"/>
    <w:rsid w:val="00A422EB"/>
    <w:rsid w:val="00A45BB7"/>
    <w:rsid w:val="00A56DF2"/>
    <w:rsid w:val="00A56E6E"/>
    <w:rsid w:val="00A57723"/>
    <w:rsid w:val="00A601AE"/>
    <w:rsid w:val="00A67AB5"/>
    <w:rsid w:val="00A733B2"/>
    <w:rsid w:val="00A741C2"/>
    <w:rsid w:val="00A83313"/>
    <w:rsid w:val="00A91760"/>
    <w:rsid w:val="00A93B00"/>
    <w:rsid w:val="00A93C21"/>
    <w:rsid w:val="00A9762A"/>
    <w:rsid w:val="00AA3E06"/>
    <w:rsid w:val="00AB3F1D"/>
    <w:rsid w:val="00AB64C9"/>
    <w:rsid w:val="00AC3C6A"/>
    <w:rsid w:val="00AD5620"/>
    <w:rsid w:val="00AD656B"/>
    <w:rsid w:val="00AD7C1B"/>
    <w:rsid w:val="00AE16BA"/>
    <w:rsid w:val="00AE1EBE"/>
    <w:rsid w:val="00AF537D"/>
    <w:rsid w:val="00B01873"/>
    <w:rsid w:val="00B03C9D"/>
    <w:rsid w:val="00B060AE"/>
    <w:rsid w:val="00B10517"/>
    <w:rsid w:val="00B14E76"/>
    <w:rsid w:val="00B161B8"/>
    <w:rsid w:val="00B2048C"/>
    <w:rsid w:val="00B22004"/>
    <w:rsid w:val="00B25073"/>
    <w:rsid w:val="00B310B9"/>
    <w:rsid w:val="00B35F3F"/>
    <w:rsid w:val="00B36CBB"/>
    <w:rsid w:val="00B425E0"/>
    <w:rsid w:val="00B440AA"/>
    <w:rsid w:val="00B44B70"/>
    <w:rsid w:val="00B53C56"/>
    <w:rsid w:val="00B57DAF"/>
    <w:rsid w:val="00B62193"/>
    <w:rsid w:val="00B71135"/>
    <w:rsid w:val="00B77EA6"/>
    <w:rsid w:val="00B81598"/>
    <w:rsid w:val="00B841F1"/>
    <w:rsid w:val="00B944D6"/>
    <w:rsid w:val="00BB4DF0"/>
    <w:rsid w:val="00BC289F"/>
    <w:rsid w:val="00BC2D50"/>
    <w:rsid w:val="00BC5361"/>
    <w:rsid w:val="00BC5460"/>
    <w:rsid w:val="00BC6B50"/>
    <w:rsid w:val="00BD0E25"/>
    <w:rsid w:val="00BD6798"/>
    <w:rsid w:val="00BE405C"/>
    <w:rsid w:val="00BE4198"/>
    <w:rsid w:val="00BF3711"/>
    <w:rsid w:val="00BF5BD6"/>
    <w:rsid w:val="00C03E31"/>
    <w:rsid w:val="00C05943"/>
    <w:rsid w:val="00C31A27"/>
    <w:rsid w:val="00C33E72"/>
    <w:rsid w:val="00C354B2"/>
    <w:rsid w:val="00C35554"/>
    <w:rsid w:val="00C414CE"/>
    <w:rsid w:val="00C42709"/>
    <w:rsid w:val="00C46A9B"/>
    <w:rsid w:val="00C533CC"/>
    <w:rsid w:val="00C5751C"/>
    <w:rsid w:val="00C61BFC"/>
    <w:rsid w:val="00C62B85"/>
    <w:rsid w:val="00C65438"/>
    <w:rsid w:val="00C67687"/>
    <w:rsid w:val="00C773EA"/>
    <w:rsid w:val="00C85C0A"/>
    <w:rsid w:val="00C87FD8"/>
    <w:rsid w:val="00C91381"/>
    <w:rsid w:val="00C91CBB"/>
    <w:rsid w:val="00CB4E70"/>
    <w:rsid w:val="00CC09B6"/>
    <w:rsid w:val="00CC33F6"/>
    <w:rsid w:val="00CC55F7"/>
    <w:rsid w:val="00CC666F"/>
    <w:rsid w:val="00CC6D8E"/>
    <w:rsid w:val="00CD1E3F"/>
    <w:rsid w:val="00CE44F6"/>
    <w:rsid w:val="00CE49DA"/>
    <w:rsid w:val="00CE7B61"/>
    <w:rsid w:val="00D00095"/>
    <w:rsid w:val="00D114F0"/>
    <w:rsid w:val="00D1400C"/>
    <w:rsid w:val="00D16F94"/>
    <w:rsid w:val="00D20620"/>
    <w:rsid w:val="00D254F7"/>
    <w:rsid w:val="00D26091"/>
    <w:rsid w:val="00D2685C"/>
    <w:rsid w:val="00D31BD3"/>
    <w:rsid w:val="00D34E7C"/>
    <w:rsid w:val="00D34FFC"/>
    <w:rsid w:val="00D35489"/>
    <w:rsid w:val="00D36AFE"/>
    <w:rsid w:val="00D36EF2"/>
    <w:rsid w:val="00D42FCC"/>
    <w:rsid w:val="00D51276"/>
    <w:rsid w:val="00D519A5"/>
    <w:rsid w:val="00D651BA"/>
    <w:rsid w:val="00D7035F"/>
    <w:rsid w:val="00DA634F"/>
    <w:rsid w:val="00DA65AC"/>
    <w:rsid w:val="00DB1913"/>
    <w:rsid w:val="00DC410D"/>
    <w:rsid w:val="00DC5A81"/>
    <w:rsid w:val="00DC68CA"/>
    <w:rsid w:val="00DC7CBA"/>
    <w:rsid w:val="00DD73B7"/>
    <w:rsid w:val="00DE43F8"/>
    <w:rsid w:val="00DE4A26"/>
    <w:rsid w:val="00DF28BC"/>
    <w:rsid w:val="00DF34B9"/>
    <w:rsid w:val="00E01053"/>
    <w:rsid w:val="00E07ACF"/>
    <w:rsid w:val="00E179E9"/>
    <w:rsid w:val="00E331A1"/>
    <w:rsid w:val="00E33202"/>
    <w:rsid w:val="00E336A9"/>
    <w:rsid w:val="00E472B1"/>
    <w:rsid w:val="00E50624"/>
    <w:rsid w:val="00E568DF"/>
    <w:rsid w:val="00E63043"/>
    <w:rsid w:val="00E64269"/>
    <w:rsid w:val="00E67261"/>
    <w:rsid w:val="00E82267"/>
    <w:rsid w:val="00E853CE"/>
    <w:rsid w:val="00E867B6"/>
    <w:rsid w:val="00EA010F"/>
    <w:rsid w:val="00ED1B63"/>
    <w:rsid w:val="00ED3C1F"/>
    <w:rsid w:val="00ED4085"/>
    <w:rsid w:val="00ED420E"/>
    <w:rsid w:val="00ED6FBE"/>
    <w:rsid w:val="00EE2F57"/>
    <w:rsid w:val="00EF0B96"/>
    <w:rsid w:val="00EF4C34"/>
    <w:rsid w:val="00EF6AD8"/>
    <w:rsid w:val="00EF77C6"/>
    <w:rsid w:val="00F05438"/>
    <w:rsid w:val="00F12926"/>
    <w:rsid w:val="00F1361C"/>
    <w:rsid w:val="00F13A4C"/>
    <w:rsid w:val="00F156F0"/>
    <w:rsid w:val="00F160C7"/>
    <w:rsid w:val="00F23B2F"/>
    <w:rsid w:val="00F2408F"/>
    <w:rsid w:val="00F240E9"/>
    <w:rsid w:val="00F273B2"/>
    <w:rsid w:val="00F36D8F"/>
    <w:rsid w:val="00F417B1"/>
    <w:rsid w:val="00F420FA"/>
    <w:rsid w:val="00F43352"/>
    <w:rsid w:val="00F45853"/>
    <w:rsid w:val="00F602DF"/>
    <w:rsid w:val="00F70FFF"/>
    <w:rsid w:val="00F73C8D"/>
    <w:rsid w:val="00F73CEC"/>
    <w:rsid w:val="00F754A1"/>
    <w:rsid w:val="00F81FD9"/>
    <w:rsid w:val="00F83C76"/>
    <w:rsid w:val="00F841AA"/>
    <w:rsid w:val="00F84A94"/>
    <w:rsid w:val="00F87188"/>
    <w:rsid w:val="00F87E96"/>
    <w:rsid w:val="00FA23E8"/>
    <w:rsid w:val="00FC6C3A"/>
    <w:rsid w:val="00FD3CC1"/>
    <w:rsid w:val="00FE2241"/>
    <w:rsid w:val="00FE2B3A"/>
    <w:rsid w:val="00FF1E02"/>
    <w:rsid w:val="00FF30B4"/>
    <w:rsid w:val="015975B8"/>
    <w:rsid w:val="02143E91"/>
    <w:rsid w:val="02D852DD"/>
    <w:rsid w:val="066E0107"/>
    <w:rsid w:val="07996F6E"/>
    <w:rsid w:val="099E673E"/>
    <w:rsid w:val="0A2032A3"/>
    <w:rsid w:val="0F98263C"/>
    <w:rsid w:val="101860EC"/>
    <w:rsid w:val="10C055FF"/>
    <w:rsid w:val="118107EC"/>
    <w:rsid w:val="13D50BC4"/>
    <w:rsid w:val="16BB723D"/>
    <w:rsid w:val="177734C4"/>
    <w:rsid w:val="1BE8440E"/>
    <w:rsid w:val="1D155CEE"/>
    <w:rsid w:val="1FF35744"/>
    <w:rsid w:val="21813B67"/>
    <w:rsid w:val="23860B96"/>
    <w:rsid w:val="240371BF"/>
    <w:rsid w:val="276B1AD3"/>
    <w:rsid w:val="29FD04D3"/>
    <w:rsid w:val="2C8A61B5"/>
    <w:rsid w:val="2DF04E50"/>
    <w:rsid w:val="2F040D46"/>
    <w:rsid w:val="319F7F4E"/>
    <w:rsid w:val="31E02AE4"/>
    <w:rsid w:val="3304709D"/>
    <w:rsid w:val="36AA5135"/>
    <w:rsid w:val="376D39B2"/>
    <w:rsid w:val="37E16F03"/>
    <w:rsid w:val="38D469F0"/>
    <w:rsid w:val="3D98207C"/>
    <w:rsid w:val="3E78745D"/>
    <w:rsid w:val="44E268DA"/>
    <w:rsid w:val="4A627F82"/>
    <w:rsid w:val="4B0E749A"/>
    <w:rsid w:val="4B4F25DA"/>
    <w:rsid w:val="4BE068DB"/>
    <w:rsid w:val="4C6471AD"/>
    <w:rsid w:val="4D577224"/>
    <w:rsid w:val="4EAB630A"/>
    <w:rsid w:val="4ECE2238"/>
    <w:rsid w:val="537E6D0A"/>
    <w:rsid w:val="53E36D11"/>
    <w:rsid w:val="5AF92295"/>
    <w:rsid w:val="5CD71FC4"/>
    <w:rsid w:val="5E722DF1"/>
    <w:rsid w:val="637A43B3"/>
    <w:rsid w:val="6C4A05C8"/>
    <w:rsid w:val="6E7E3605"/>
    <w:rsid w:val="6FF5CC65"/>
    <w:rsid w:val="715C0E4B"/>
    <w:rsid w:val="72734D90"/>
    <w:rsid w:val="73AD73D5"/>
    <w:rsid w:val="73B6EB34"/>
    <w:rsid w:val="744731E5"/>
    <w:rsid w:val="76E3355F"/>
    <w:rsid w:val="778769C8"/>
    <w:rsid w:val="79EE5BA4"/>
    <w:rsid w:val="7A894339"/>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5"/>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1"/>
    <w:semiHidden/>
    <w:unhideWhenUsed/>
    <w:qFormat/>
    <w:uiPriority w:val="99"/>
    <w:rPr>
      <w:sz w:val="18"/>
      <w:szCs w:val="18"/>
    </w:rPr>
  </w:style>
  <w:style w:type="paragraph" w:styleId="9">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qFormat/>
    <w:uiPriority w:val="0"/>
    <w:pPr>
      <w:spacing w:beforeAutospacing="1" w:afterAutospacing="1"/>
      <w:jc w:val="left"/>
    </w:pPr>
    <w:rPr>
      <w:rFonts w:eastAsia="仿宋_GB2312"/>
      <w:kern w:val="0"/>
      <w:sz w:val="24"/>
      <w:szCs w:val="32"/>
    </w:rPr>
  </w:style>
  <w:style w:type="paragraph" w:styleId="14">
    <w:name w:val="Body Text First Indent 2"/>
    <w:basedOn w:val="6"/>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0"/>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9"/>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2"/>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3"/>
    <w:qFormat/>
    <w:uiPriority w:val="9"/>
    <w:rPr>
      <w:rFonts w:ascii="Times New Roman" w:hAnsi="Times New Roman"/>
      <w:b/>
      <w:bCs/>
      <w:kern w:val="44"/>
      <w:sz w:val="44"/>
      <w:szCs w:val="44"/>
    </w:rPr>
  </w:style>
  <w:style w:type="character" w:customStyle="1" w:styleId="29">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1">
    <w:name w:val="批注框文本 Char"/>
    <w:basedOn w:val="16"/>
    <w:link w:val="8"/>
    <w:semiHidden/>
    <w:qFormat/>
    <w:uiPriority w:val="99"/>
    <w:rPr>
      <w:rFonts w:ascii="Times New Roman" w:hAnsi="Times New Roman"/>
      <w:kern w:val="2"/>
      <w:sz w:val="18"/>
      <w:szCs w:val="18"/>
    </w:rPr>
  </w:style>
  <w:style w:type="character" w:customStyle="1" w:styleId="32">
    <w:name w:val="标题 3 Char"/>
    <w:basedOn w:val="16"/>
    <w:link w:val="5"/>
    <w:qFormat/>
    <w:uiPriority w:val="9"/>
    <w:rPr>
      <w:rFonts w:ascii="Times New Roman" w:hAnsi="Times New Roman"/>
      <w:b/>
      <w:bCs/>
      <w:kern w:val="2"/>
      <w:sz w:val="32"/>
      <w:szCs w:val="32"/>
    </w:rPr>
  </w:style>
  <w:style w:type="paragraph" w:customStyle="1" w:styleId="33">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4">
    <w:name w:val="四号正文"/>
    <w:basedOn w:val="1"/>
    <w:qFormat/>
    <w:uiPriority w:val="0"/>
    <w:pPr>
      <w:spacing w:line="360" w:lineRule="auto"/>
    </w:pPr>
    <w:rPr>
      <w:rFonts w:ascii="??" w:hAnsi="??"/>
      <w:color w:val="000000"/>
      <w:kern w:val="0"/>
      <w:sz w:val="28"/>
      <w:szCs w:val="21"/>
      <w:lang w:val="zh-CN"/>
    </w:rPr>
  </w:style>
  <w:style w:type="table" w:customStyle="1" w:styleId="35">
    <w:name w:val="Table Normal"/>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36">
    <w:name w:val="TOC 标题3"/>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7">
    <w:name w:val="WPSOffice手动目录 1"/>
    <w:qFormat/>
    <w:uiPriority w:val="0"/>
    <w:rPr>
      <w:rFonts w:asciiTheme="minorHAnsi" w:hAnsiTheme="minorHAnsi" w:eastAsiaTheme="minorEastAsia" w:cstheme="minorBidi"/>
      <w:lang w:val="en-US" w:eastAsia="zh-CN" w:bidi="ar-SA"/>
    </w:rPr>
  </w:style>
  <w:style w:type="paragraph" w:customStyle="1" w:styleId="3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9">
    <w:name w:val="WPSOffice手动目录 3"/>
    <w:uiPriority w:val="0"/>
    <w:pPr>
      <w:ind w:left="400" w:leftChars="4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0915;&#31639;&#20844;&#24320;&#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收、支决算总计变动情况图</a:t>
            </a:r>
            <a:endParaRPr 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2022年</c:v>
                </c:pt>
              </c:strCache>
            </c:strRef>
          </c:cat>
          <c:val>
            <c:numRef>
              <c:f>Sheet1!$B$2:$B$3</c:f>
              <c:numCache>
                <c:formatCode>General</c:formatCode>
                <c:ptCount val="2"/>
                <c:pt idx="0">
                  <c:v>1393.93</c:v>
                </c:pt>
                <c:pt idx="1">
                  <c:v>1669.08</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2022年</c:v>
                </c:pt>
              </c:strCache>
            </c:strRef>
          </c:cat>
          <c:val>
            <c:numRef>
              <c:f>Sheet1!$C$2:$C$3</c:f>
              <c:numCache>
                <c:formatCode>General</c:formatCode>
                <c:ptCount val="2"/>
                <c:pt idx="0">
                  <c:v>1393.93</c:v>
                </c:pt>
                <c:pt idx="1">
                  <c:v>1669.08</c:v>
                </c:pt>
              </c:numCache>
            </c:numRef>
          </c:val>
        </c:ser>
        <c:dLbls>
          <c:showLegendKey val="0"/>
          <c:showVal val="1"/>
          <c:showCatName val="0"/>
          <c:showSerName val="0"/>
          <c:showPercent val="0"/>
          <c:showBubbleSize val="0"/>
        </c:dLbls>
        <c:gapWidth val="219"/>
        <c:overlap val="-27"/>
        <c:axId val="135734016"/>
        <c:axId val="135747840"/>
      </c:barChart>
      <c:catAx>
        <c:axId val="13573401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t>年度</a:t>
                </a:r>
                <a:endParaRPr lang="zh-CN"/>
              </a:p>
            </c:rich>
          </c:tx>
          <c:layout>
            <c:manualLayout>
              <c:xMode val="edge"/>
              <c:yMode val="edge"/>
              <c:x val="0.907042058582073"/>
              <c:y val="0.77696529419891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5747840"/>
        <c:crosses val="autoZero"/>
        <c:auto val="1"/>
        <c:lblAlgn val="ctr"/>
        <c:lblOffset val="100"/>
        <c:noMultiLvlLbl val="0"/>
      </c:catAx>
      <c:valAx>
        <c:axId val="13574784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t>万元</a:t>
                </a:r>
                <a:endParaRPr lang="zh-CN"/>
              </a:p>
            </c:rich>
          </c:tx>
          <c:layout>
            <c:manualLayout>
              <c:xMode val="edge"/>
              <c:yMode val="edge"/>
              <c:x val="0.0192631832410308"/>
              <c:y val="0.143625622648562"/>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5734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en-US">
                <a:solidFill>
                  <a:sysClr val="windowText" lastClr="000000"/>
                </a:solidFill>
              </a:rPr>
              <a:t>2022</a:t>
            </a:r>
            <a:r>
              <a:rPr lang="zh-CN">
                <a:solidFill>
                  <a:sysClr val="windowText" lastClr="000000"/>
                </a:solidFill>
              </a:rPr>
              <a:t>年收入决算结构图</a:t>
            </a:r>
            <a:endParaRPr lang="zh-CN">
              <a:solidFill>
                <a:sysClr val="windowText" lastClr="000000"/>
              </a:solidFill>
            </a:endParaRPr>
          </a:p>
        </c:rich>
      </c:tx>
      <c:layout/>
      <c:overlay val="0"/>
      <c:spPr>
        <a:noFill/>
        <a:ln>
          <a:noFill/>
        </a:ln>
        <a:effectLst/>
      </c:spPr>
    </c:title>
    <c:autoTitleDeleted val="0"/>
    <c:plotArea>
      <c:layout/>
      <c:pieChart>
        <c:varyColors val="1"/>
        <c:ser>
          <c:idx val="0"/>
          <c:order val="0"/>
          <c:tx>
            <c:strRef>
              <c:f>Sheet1!$B$1</c:f>
              <c:strCache>
                <c:ptCount val="1"/>
                <c:pt idx="0">
                  <c:v>2022年收入决算结构图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0624100593252959"/>
                  <c:y val="-0.236950528697839"/>
                </c:manualLayout>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a:t>
                    </a:r>
                    <a:r>
                      <a:rPr lang="en-US" altLang="zh-CN"/>
                      <a:t>393.93</a:t>
                    </a:r>
                    <a:r>
                      <a:rPr lang="zh-CN" altLang="en-US"/>
                      <a:t>万元，</a:t>
                    </a:r>
                    <a:endParaRPr lang="zh-CN" altLang="en-US"/>
                  </a:p>
                  <a:p>
                    <a:pPr>
                      <a:defRPr lang="zh-CN" sz="900" b="0" i="0" u="none" strike="noStrike" kern="1200" baseline="0">
                        <a:solidFill>
                          <a:sysClr val="windowText" lastClr="000000"/>
                        </a:solidFill>
                        <a:latin typeface="+mn-lt"/>
                        <a:ea typeface="+mn-ea"/>
                        <a:cs typeface="+mn-cs"/>
                      </a:defRPr>
                    </a:pPr>
                    <a:r>
                      <a:rPr lang="en-US" altLang="zh-CN"/>
                      <a:t>100%</a:t>
                    </a:r>
                    <a:endParaRPr lang="zh-CN" altLang="en-US"/>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一般公共预算财政拨款收入</c:v>
                </c:pt>
                <c:pt idx="1">
                  <c:v>其他收入</c:v>
                </c:pt>
              </c:strCache>
            </c:strRef>
          </c:cat>
          <c:val>
            <c:numRef>
              <c:f>Sheet1!$B$2:$B$3</c:f>
              <c:numCache>
                <c:formatCode>0%</c:formatCode>
                <c:ptCount val="2"/>
                <c:pt idx="0">
                  <c:v>1</c:v>
                </c:pt>
                <c:pt idx="1">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pieChart>
        <c:varyColors val="1"/>
        <c:ser>
          <c:idx val="0"/>
          <c:order val="0"/>
          <c:tx>
            <c:strRef>
              <c:f>Sheet1!$B$1</c:f>
              <c:strCache>
                <c:ptCount val="1"/>
                <c:pt idx="0">
                  <c:v>2022年支出决算结构图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1193.93</a:t>
                    </a:r>
                    <a:r>
                      <a:rPr lang="zh-CN" altLang="en-US" sz="800" b="0" i="0" u="none" strike="noStrike" kern="1200" baseline="0">
                        <a:solidFill>
                          <a:sysClr val="windowText" lastClr="000000"/>
                        </a:solidFill>
                      </a:rPr>
                      <a:t>万元，</a:t>
                    </a:r>
                    <a:r>
                      <a:rPr lang="en-US" altLang="zh-CN" sz="800" b="0" i="0" u="none" strike="noStrike" kern="1200" baseline="0">
                        <a:solidFill>
                          <a:sysClr val="windowText" lastClr="000000"/>
                        </a:solidFill>
                      </a:rPr>
                      <a:t>85.65%</a:t>
                    </a:r>
                    <a:endParaRPr lang="en-US" altLang="zh-CN" sz="800" b="0" i="0" u="none" strike="noStrike" kern="1200" baseline="0">
                      <a:solidFill>
                        <a:sysClr val="windowText" lastClr="000000"/>
                      </a:solidFill>
                    </a:endParaRP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200</a:t>
                    </a:r>
                    <a:r>
                      <a:rPr lang="zh-CN" altLang="en-US">
                        <a:solidFill>
                          <a:sysClr val="windowText" lastClr="000000"/>
                        </a:solidFill>
                      </a:rPr>
                      <a:t>万元</a:t>
                    </a:r>
                    <a:endParaRPr lang="zh-CN" altLang="en-US">
                      <a:solidFill>
                        <a:sysClr val="windowText" lastClr="000000"/>
                      </a:solidFill>
                    </a:endParaRPr>
                  </a:p>
                  <a:p>
                    <a:pPr>
                      <a:defRPr lang="zh-CN" sz="900" b="0" i="0" u="none" strike="noStrike" kern="1200" baseline="0">
                        <a:solidFill>
                          <a:sysClr val="windowText" lastClr="000000"/>
                        </a:solidFill>
                        <a:latin typeface="+mn-lt"/>
                        <a:ea typeface="+mn-ea"/>
                        <a:cs typeface="+mn-cs"/>
                      </a:defRPr>
                    </a:pPr>
                    <a:r>
                      <a:rPr lang="en-US" altLang="zh-CN" baseline="0">
                        <a:solidFill>
                          <a:sysClr val="windowText" lastClr="000000"/>
                        </a:solidFill>
                      </a:rPr>
                      <a:t>, 14.35%</a:t>
                    </a:r>
                    <a:endParaRPr lang="en-US" altLang="zh-CN" baseline="0">
                      <a:solidFill>
                        <a:sysClr val="windowText" lastClr="000000"/>
                      </a:solidFill>
                    </a:endParaRPr>
                  </a:p>
                </c:rich>
              </c:tx>
              <c:dLblPos val="ctr"/>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1193.93</c:v>
                </c:pt>
                <c:pt idx="1">
                  <c:v>200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zh-CN" altLang="en-US">
                <a:solidFill>
                  <a:sysClr val="windowText" lastClr="000000"/>
                </a:solidFill>
              </a:rPr>
              <a:t>财政拨款收、支决算总计变动情况</a:t>
            </a:r>
            <a:endParaRPr lang="zh-CN">
              <a:solidFill>
                <a:sysClr val="windowText" lastClr="000000"/>
              </a:solidFill>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1393.93</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1669.08</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2021年</c:v>
                </c:pt>
              </c:strCache>
            </c:strRef>
          </c:cat>
          <c:val>
            <c:numRef>
              <c:f>Sheet1!$B$2:$B$3</c:f>
              <c:numCache>
                <c:formatCode>General</c:formatCode>
                <c:ptCount val="2"/>
                <c:pt idx="0">
                  <c:v>1393.93</c:v>
                </c:pt>
                <c:pt idx="1">
                  <c:v>1669.08</c:v>
                </c:pt>
              </c:numCache>
            </c:numRef>
          </c:val>
        </c:ser>
        <c:ser>
          <c:idx val="1"/>
          <c:order val="1"/>
          <c:tx>
            <c:strRef>
              <c:f>Sheet1!$C$1</c:f>
              <c:strCache>
                <c:ptCount val="1"/>
                <c:pt idx="0">
                  <c:v>支出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2021年</c:v>
                </c:pt>
              </c:strCache>
            </c:strRef>
          </c:cat>
          <c:val>
            <c:numRef>
              <c:f>Sheet1!$C$2:$C$3</c:f>
              <c:numCache>
                <c:formatCode>General</c:formatCode>
                <c:ptCount val="2"/>
                <c:pt idx="0">
                  <c:v>1393.93</c:v>
                </c:pt>
                <c:pt idx="1">
                  <c:v>1669.08</c:v>
                </c:pt>
              </c:numCache>
            </c:numRef>
          </c:val>
        </c:ser>
        <c:dLbls>
          <c:showLegendKey val="0"/>
          <c:showVal val="1"/>
          <c:showCatName val="0"/>
          <c:showSerName val="0"/>
          <c:showPercent val="0"/>
          <c:showBubbleSize val="0"/>
        </c:dLbls>
        <c:gapWidth val="219"/>
        <c:overlap val="-27"/>
        <c:axId val="136451968"/>
        <c:axId val="136466816"/>
      </c:barChart>
      <c:catAx>
        <c:axId val="13645196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年度</a:t>
                </a:r>
                <a:endParaRPr lang="en-US" altLang="zh-CN"/>
              </a:p>
            </c:rich>
          </c:tx>
          <c:layout>
            <c:manualLayout>
              <c:xMode val="edge"/>
              <c:yMode val="edge"/>
              <c:x val="0.907042058582073"/>
              <c:y val="0.7817332585748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466816"/>
        <c:crosses val="autoZero"/>
        <c:auto val="1"/>
        <c:lblAlgn val="ctr"/>
        <c:lblOffset val="100"/>
        <c:noMultiLvlLbl val="0"/>
      </c:catAx>
      <c:valAx>
        <c:axId val="136466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manualLayout>
              <c:xMode val="edge"/>
              <c:yMode val="edge"/>
              <c:x val="0.0240789790512882"/>
              <c:y val="0.14378034015098"/>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451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r>
              <a:rPr lang="zh-CN" altLang="zh-CN" sz="1400" b="0" i="0" u="none" strike="noStrike" baseline="0">
                <a:solidFill>
                  <a:sysClr val="windowText" lastClr="000000"/>
                </a:solidFill>
                <a:effectLst/>
              </a:rPr>
              <a:t>一般公共预算财政拨款支出决算变动情况</a:t>
            </a:r>
            <a:endParaRPr lang="zh-CN">
              <a:solidFill>
                <a:sysClr val="windowText" lastClr="000000"/>
              </a:solidFill>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支出</c:v>
                </c:pt>
              </c:strCache>
            </c:strRef>
          </c:tx>
          <c:spPr>
            <a:solidFill>
              <a:schemeClr val="accent1"/>
            </a:solidFill>
            <a:ln>
              <a:noFill/>
            </a:ln>
            <a:effectLst/>
          </c:spPr>
          <c:invertIfNegative val="0"/>
          <c:dLbls>
            <c:dLbl>
              <c:idx val="0"/>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1393.93</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1669.08</a:t>
                    </a:r>
                    <a:endParaRPr lang="zh-CN" alt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2021年</c:v>
                </c:pt>
              </c:strCache>
            </c:strRef>
          </c:cat>
          <c:val>
            <c:numRef>
              <c:f>Sheet1!$B$2:$B$3</c:f>
              <c:numCache>
                <c:formatCode>General</c:formatCode>
                <c:ptCount val="2"/>
                <c:pt idx="0">
                  <c:v>1393.93</c:v>
                </c:pt>
                <c:pt idx="1">
                  <c:v>1669.08</c:v>
                </c:pt>
              </c:numCache>
            </c:numRef>
          </c:val>
        </c:ser>
        <c:dLbls>
          <c:showLegendKey val="0"/>
          <c:showVal val="1"/>
          <c:showCatName val="0"/>
          <c:showSerName val="0"/>
          <c:showPercent val="0"/>
          <c:showBubbleSize val="0"/>
        </c:dLbls>
        <c:gapWidth val="219"/>
        <c:overlap val="-27"/>
        <c:axId val="136512256"/>
        <c:axId val="136514176"/>
      </c:barChart>
      <c:catAx>
        <c:axId val="13651225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年度</a:t>
                </a:r>
                <a:endParaRPr lang="en-US" altLang="zh-CN"/>
              </a:p>
            </c:rich>
          </c:tx>
          <c:layout>
            <c:manualLayout>
              <c:xMode val="edge"/>
              <c:yMode val="edge"/>
              <c:x val="0.907042058582073"/>
              <c:y val="0.7817332585748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514176"/>
        <c:crosses val="autoZero"/>
        <c:auto val="1"/>
        <c:lblAlgn val="ctr"/>
        <c:lblOffset val="100"/>
        <c:noMultiLvlLbl val="0"/>
      </c:catAx>
      <c:valAx>
        <c:axId val="13651417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万元</a:t>
                </a:r>
                <a:endParaRPr lang="zh-CN" altLang="en-US"/>
              </a:p>
            </c:rich>
          </c:tx>
          <c:layout>
            <c:manualLayout>
              <c:xMode val="edge"/>
              <c:yMode val="edge"/>
              <c:x val="0.0240789790512882"/>
              <c:y val="0.14378034015098"/>
            </c:manualLayout>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512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3091740910185"/>
          <c:y val="0.0288957688338493"/>
        </c:manualLayout>
      </c:layout>
      <c:overlay val="0"/>
      <c:spPr>
        <a:noFill/>
        <a:ln>
          <a:noFill/>
        </a:ln>
        <a:effectLst/>
      </c:spPr>
      <c:txPr>
        <a:bodyPr rot="0" spcFirstLastPara="1" vertOverflow="ellipsis" vert="horz" wrap="square" anchor="ctr" anchorCtr="1"/>
        <a:lstStyle/>
        <a:p>
          <a:pPr>
            <a:defRPr lang="zh-CN" sz="1400" b="0" i="0" u="none" strike="noStrike" kern="1200" spc="0" baseline="0">
              <a:solidFill>
                <a:sysClr val="windowText" lastClr="000000"/>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一般公共预算财政拨款支出决算支出</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6</a:t>
                    </a:r>
                    <a:r>
                      <a:rPr lang="en-US" altLang="zh-CN"/>
                      <a:t>63.34</a:t>
                    </a:r>
                    <a:r>
                      <a:rPr lang="zh-CN" altLang="en-US"/>
                      <a:t>万元</a:t>
                    </a:r>
                    <a:r>
                      <a:rPr lang="en-US" altLang="zh-CN" baseline="0"/>
                      <a:t>, 47.59%</a:t>
                    </a:r>
                    <a:endParaRPr lang="en-US" altLang="zh-CN" baseline="0"/>
                  </a:p>
                </c:rich>
              </c:tx>
              <c:dLblPos val="outEnd"/>
              <c:showLegendKey val="0"/>
              <c:showVal val="1"/>
              <c:showCatName val="0"/>
              <c:showSerName val="0"/>
              <c:showPercent val="1"/>
              <c:showBubbleSize val="0"/>
              <c:extLst>
                <c:ext xmlns:c15="http://schemas.microsoft.com/office/drawing/2012/chart" uri="{CE6537A1-D6FC-4f65-9D91-7224C49458BB}"/>
              </c:extLst>
            </c:dLbl>
            <c:dLbl>
              <c:idx val="1"/>
              <c:layout>
                <c:manualLayout>
                  <c:x val="0.0626053455333494"/>
                  <c:y val="0.00825593395252846"/>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2</a:t>
                    </a:r>
                    <a:r>
                      <a:rPr lang="zh-CN" altLang="en-US"/>
                      <a:t>万元</a:t>
                    </a:r>
                    <a:r>
                      <a:rPr lang="en-US" altLang="zh-CN" baseline="0"/>
                      <a:t>, 0.14%</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125210691066699"/>
                  <c:y val="-0.111455108359133"/>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3</a:t>
                    </a:r>
                    <a:r>
                      <a:rPr lang="en-US" altLang="zh-CN"/>
                      <a:t>.53</a:t>
                    </a:r>
                    <a:r>
                      <a:rPr lang="zh-CN" altLang="en-US"/>
                      <a:t>万元</a:t>
                    </a:r>
                    <a:r>
                      <a:rPr lang="en-US" altLang="zh-CN" baseline="0"/>
                      <a:t>, 0.25%</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a:t>
                    </a:r>
                    <a:r>
                      <a:rPr lang="en-US" altLang="zh-CN"/>
                      <a:t>21.48</a:t>
                    </a:r>
                    <a:r>
                      <a:rPr lang="zh-CN" altLang="en-US"/>
                      <a:t>万元</a:t>
                    </a:r>
                    <a:r>
                      <a:rPr lang="en-US" altLang="zh-CN" baseline="0"/>
                      <a:t>, 8.71%</a:t>
                    </a:r>
                    <a:endParaRPr lang="en-US" altLang="zh-CN" baseline="0"/>
                  </a:p>
                </c:rich>
              </c:tx>
              <c:dLblPos val="outEnd"/>
              <c:showLegendKey val="0"/>
              <c:showVal val="1"/>
              <c:showCatName val="0"/>
              <c:showSerName val="0"/>
              <c:showPercent val="1"/>
              <c:showBubbleSize val="0"/>
              <c:extLst>
                <c:ext xmlns:c15="http://schemas.microsoft.com/office/drawing/2012/chart" uri="{CE6537A1-D6FC-4f65-9D91-7224C49458BB}"/>
              </c:extLst>
            </c:dLbl>
            <c:dLbl>
              <c:idx val="4"/>
              <c:layout>
                <c:manualLayout>
                  <c:x val="-0.0698290392487363"/>
                  <c:y val="-0.0206398348813211"/>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3</a:t>
                    </a:r>
                    <a:r>
                      <a:rPr lang="en-US" altLang="zh-CN"/>
                      <a:t>2.54</a:t>
                    </a:r>
                    <a:r>
                      <a:rPr lang="zh-CN" altLang="en-US"/>
                      <a:t>万元</a:t>
                    </a:r>
                    <a:r>
                      <a:rPr lang="en-US" altLang="zh-CN" baseline="0"/>
                      <a:t>, 2.33%</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5"/>
              <c:layout>
                <c:manualLayout>
                  <c:x val="-0.0746448350589935"/>
                  <c:y val="-0.111455108359133"/>
                </c:manualLayout>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1</a:t>
                    </a:r>
                    <a:r>
                      <a:rPr lang="en-US" altLang="zh-CN"/>
                      <a:t>1</a:t>
                    </a:r>
                    <a:r>
                      <a:rPr lang="zh-CN" altLang="en-US"/>
                      <a:t>万元</a:t>
                    </a:r>
                    <a:r>
                      <a:rPr lang="en-US" altLang="zh-CN" baseline="0"/>
                      <a:t>, 0.79%</a:t>
                    </a:r>
                    <a:endParaRPr lang="en-US" altLang="zh-CN" baseline="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6"/>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a:solidFill>
                          <a:sysClr val="windowText" lastClr="000000"/>
                        </a:solidFill>
                      </a:rPr>
                      <a:t>4</a:t>
                    </a:r>
                    <a:r>
                      <a:rPr lang="en-US" altLang="zh-CN"/>
                      <a:t>00.79</a:t>
                    </a:r>
                    <a:r>
                      <a:rPr lang="zh-CN" altLang="en-US"/>
                      <a:t>万元</a:t>
                    </a:r>
                    <a:r>
                      <a:rPr lang="en-US" altLang="zh-CN" baseline="0"/>
                      <a:t>, 28.75%</a:t>
                    </a:r>
                    <a:endParaRPr lang="en-US" altLang="zh-CN" baseline="0"/>
                  </a:p>
                </c:rich>
              </c:tx>
              <c:dLblPos val="outEnd"/>
              <c:showLegendKey val="0"/>
              <c:showVal val="1"/>
              <c:showCatName val="0"/>
              <c:showSerName val="0"/>
              <c:showPercent val="1"/>
              <c:showBubbleSize val="0"/>
              <c:extLst>
                <c:ext xmlns:c15="http://schemas.microsoft.com/office/drawing/2012/chart" uri="{CE6537A1-D6FC-4f65-9D91-7224C49458BB}"/>
              </c:extLst>
            </c:dLbl>
            <c:dLbl>
              <c:idx val="7"/>
              <c:layout/>
              <c:tx>
                <c:rich>
                  <a:bodyPr rot="0" spcFirstLastPara="1" vertOverflow="clip"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r>
                      <a:rPr lang="en-US" altLang="zh-CN" baseline="0">
                        <a:solidFill>
                          <a:sysClr val="windowText" lastClr="000000"/>
                        </a:solidFill>
                      </a:rPr>
                      <a:t>1</a:t>
                    </a:r>
                    <a:r>
                      <a:rPr lang="en-US" altLang="zh-CN" baseline="0"/>
                      <a:t>59.25</a:t>
                    </a:r>
                    <a:r>
                      <a:rPr lang="zh-CN" altLang="en-US" baseline="0"/>
                      <a:t>万元</a:t>
                    </a:r>
                    <a:r>
                      <a:rPr lang="en-US" altLang="zh-CN" baseline="0"/>
                      <a:t>, 11.42%</a:t>
                    </a:r>
                    <a:endParaRPr lang="en-US" altLang="zh-CN" baseline="0"/>
                  </a:p>
                </c:rich>
              </c:tx>
              <c:dLblPos val="outEnd"/>
              <c:showLegendKey val="0"/>
              <c:showVal val="1"/>
              <c:showCatName val="0"/>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1"/>
            <c:showBubbleSize val="0"/>
            <c:showLeaderLines val="1"/>
            <c:extLst>
              <c:ext xmlns:c15="http://schemas.microsoft.com/office/drawing/2012/chart" uri="{CE6537A1-D6FC-4f65-9D91-7224C49458BB}">
                <c15:spPr xmlns:c15="http://schemas.microsoft.com/office/drawing/2012/chart">
                  <a:prstGeom prst="wedgeRectCallout">
                    <a:avLst/>
                  </a:prstGeom>
                  <a:noFill/>
                  <a:ln>
                    <a:noFill/>
                  </a:ln>
                </c15:spPr>
                <c15:layout/>
                <c15:showLeaderLines val="1"/>
                <c15:leaderLines/>
              </c:ext>
            </c:extLst>
          </c:dLbls>
          <c:cat>
            <c:strRef>
              <c:f>Sheet1!$A$2:$A$9</c:f>
              <c:strCache>
                <c:ptCount val="8"/>
                <c:pt idx="0">
                  <c:v>一般公共服务支出</c:v>
                </c:pt>
                <c:pt idx="1">
                  <c:v>国防支出</c:v>
                </c:pt>
                <c:pt idx="2">
                  <c:v>文化旅游体育与传媒支出</c:v>
                </c:pt>
                <c:pt idx="3">
                  <c:v>社会保障和就业支出</c:v>
                </c:pt>
                <c:pt idx="4">
                  <c:v>卫生监控支出</c:v>
                </c:pt>
                <c:pt idx="5">
                  <c:v>城乡社区支出</c:v>
                </c:pt>
                <c:pt idx="6">
                  <c:v>农林水支出</c:v>
                </c:pt>
                <c:pt idx="7">
                  <c:v>住房保障支出</c:v>
                </c:pt>
              </c:strCache>
            </c:strRef>
          </c:cat>
          <c:val>
            <c:numRef>
              <c:f>Sheet1!$B$2:$B$9</c:f>
              <c:numCache>
                <c:formatCode>General</c:formatCode>
                <c:ptCount val="8"/>
                <c:pt idx="0">
                  <c:v>663.339999999998</c:v>
                </c:pt>
                <c:pt idx="1">
                  <c:v>2</c:v>
                </c:pt>
                <c:pt idx="2">
                  <c:v>3.53</c:v>
                </c:pt>
                <c:pt idx="3">
                  <c:v>121.48</c:v>
                </c:pt>
                <c:pt idx="4">
                  <c:v>32.54</c:v>
                </c:pt>
                <c:pt idx="5">
                  <c:v>11</c:v>
                </c:pt>
                <c:pt idx="6">
                  <c:v>400.789999999999</c:v>
                </c:pt>
                <c:pt idx="7">
                  <c:v>159.25</c:v>
                </c:pt>
              </c:numCache>
            </c:numRef>
          </c:val>
        </c:ser>
        <c:dLbls>
          <c:showLegendKey val="0"/>
          <c:showVal val="1"/>
          <c:showCatName val="0"/>
          <c:showSerName val="0"/>
          <c:showPercent val="1"/>
          <c:showBubbleSize val="0"/>
          <c:showLeaderLines val="1"/>
        </c:dLbls>
        <c:firstSliceAng val="0"/>
      </c:pieChart>
      <c:spPr>
        <a:noFill/>
        <a:ln>
          <a:noFill/>
        </a:ln>
        <a:effectLst/>
      </c:spPr>
    </c:plotArea>
    <c:legend>
      <c:legendPos val="b"/>
      <c:layout>
        <c:manualLayout>
          <c:xMode val="edge"/>
          <c:yMode val="edge"/>
          <c:x val="0.10671841435183"/>
          <c:y val="0.780700291720501"/>
          <c:w val="0.78656298169808"/>
          <c:h val="0.20278784037444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rot="0" spcFirstLastPara="0" vertOverflow="ellipsis" vert="horz" wrap="square" anchor="ctr" anchorCtr="1"/>
          <a:lstStyle/>
          <a:p>
            <a:pPr>
              <a:defRPr lang="zh-CN" sz="1800" b="1" i="0" u="none" strike="noStrike" kern="1200" baseline="0">
                <a:solidFill>
                  <a:schemeClr val="dk1"/>
                </a:solidFill>
                <a:latin typeface="+mn-lt"/>
                <a:ea typeface="+mn-ea"/>
                <a:cs typeface="+mn-cs"/>
              </a:defRPr>
            </a:pPr>
            <a:r>
              <a:rPr lang="zh-CN"/>
              <a:t>三公”经费财政拨款支出结构图</a:t>
            </a:r>
            <a:endParaRPr lang="zh-CN"/>
          </a:p>
        </c:rich>
      </c:tx>
      <c:layout/>
      <c:overlay val="0"/>
    </c:title>
    <c:autoTitleDeleted val="0"/>
    <c:plotArea>
      <c:layout/>
      <c:pieChart>
        <c:varyColors val="1"/>
        <c:ser>
          <c:idx val="0"/>
          <c:order val="0"/>
          <c:explosion val="0"/>
          <c:dPt>
            <c:idx val="0"/>
            <c:bubble3D val="0"/>
          </c:dPt>
          <c:dPt>
            <c:idx val="1"/>
            <c:bubble3D val="0"/>
          </c:dPt>
          <c:dPt>
            <c:idx val="2"/>
            <c:bubble3D val="0"/>
          </c:dPt>
          <c:dLbls>
            <c:dLbl>
              <c:idx val="0"/>
              <c:layout>
                <c:manualLayout>
                  <c:x val="-0.358334018726281"/>
                  <c:y val="0.40472916666592"/>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因公出国（境）费</a:t>
                    </a:r>
                    <a:r>
                      <a:rPr lang="en-US" altLang="zh-CN">
                        <a:solidFill>
                          <a:sysClr val="windowText" lastClr="000000"/>
                        </a:solidFill>
                      </a:rPr>
                      <a:t>, 0</a:t>
                    </a:r>
                    <a:r>
                      <a:rPr lang="zh-CN" altLang="en-US">
                        <a:solidFill>
                          <a:sysClr val="windowText" lastClr="000000"/>
                        </a:solidFill>
                      </a:rPr>
                      <a:t>万元</a:t>
                    </a:r>
                    <a:r>
                      <a:rPr lang="en-US" altLang="zh-CN">
                        <a:solidFill>
                          <a:sysClr val="windowText" lastClr="000000"/>
                        </a:solidFill>
                      </a:rPr>
                      <a:t>, 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0277777777778"/>
                      <c:h val="0.128009259259259"/>
                    </c:manualLayout>
                  </c15:layout>
                </c:ext>
              </c:extLst>
            </c:dLbl>
            <c:dLbl>
              <c:idx val="1"/>
              <c:layout>
                <c:manualLayout>
                  <c:x val="-0.316667352059614"/>
                  <c:y val="0.19034259259400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公务用车购置及运行维护费</a:t>
                    </a:r>
                    <a:r>
                      <a:rPr lang="en-US" altLang="zh-CN">
                        <a:solidFill>
                          <a:sysClr val="windowText" lastClr="000000"/>
                        </a:solidFill>
                      </a:rPr>
                      <a:t>, 0</a:t>
                    </a:r>
                    <a:r>
                      <a:rPr lang="zh-CN" altLang="en-US">
                        <a:solidFill>
                          <a:sysClr val="windowText" lastClr="000000"/>
                        </a:solidFill>
                      </a:rPr>
                      <a:t>万元</a:t>
                    </a:r>
                    <a:r>
                      <a:rPr lang="en-US" altLang="zh-CN">
                        <a:solidFill>
                          <a:sysClr val="windowText" lastClr="000000"/>
                        </a:solidFill>
                      </a:rPr>
                      <a:t>, 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42222222222222"/>
                      <c:h val="0.163888888888889"/>
                    </c:manualLayout>
                  </c15:layout>
                </c:ext>
              </c:extLst>
            </c:dLbl>
            <c:dLbl>
              <c:idx val="2"/>
              <c:layout>
                <c:manualLayout>
                  <c:x val="-0.35208385221006"/>
                  <c:y val="-0.11835185185324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r>
                      <a:rPr lang="zh-CN" altLang="en-US">
                        <a:solidFill>
                          <a:sysClr val="windowText" lastClr="000000"/>
                        </a:solidFill>
                      </a:rPr>
                      <a:t>公务接待费</a:t>
                    </a:r>
                    <a:r>
                      <a:rPr lang="en-US" altLang="zh-CN">
                        <a:solidFill>
                          <a:sysClr val="windowText" lastClr="000000"/>
                        </a:solidFill>
                      </a:rPr>
                      <a:t>, </a:t>
                    </a:r>
                    <a:endParaRPr lang="en-US" altLang="zh-CN">
                      <a:solidFill>
                        <a:sysClr val="windowText" lastClr="000000"/>
                      </a:solidFill>
                    </a:endParaRPr>
                  </a:p>
                  <a:p>
                    <a:pPr>
                      <a:defRPr lang="zh-CN" sz="1000" b="0" i="0" u="none" strike="noStrike" kern="1200" baseline="0">
                        <a:solidFill>
                          <a:schemeClr val="dk1"/>
                        </a:solidFill>
                        <a:latin typeface="+mn-lt"/>
                        <a:ea typeface="+mn-ea"/>
                        <a:cs typeface="+mn-cs"/>
                      </a:defRPr>
                    </a:pPr>
                    <a:r>
                      <a:rPr lang="en-US" altLang="zh-CN">
                        <a:solidFill>
                          <a:sysClr val="windowText" lastClr="000000"/>
                        </a:solidFill>
                      </a:rPr>
                      <a:t>11.78</a:t>
                    </a:r>
                    <a:r>
                      <a:rPr lang="zh-CN" altLang="en-US">
                        <a:solidFill>
                          <a:sysClr val="windowText" lastClr="000000"/>
                        </a:solidFill>
                      </a:rPr>
                      <a:t>万元</a:t>
                    </a:r>
                    <a:r>
                      <a:rPr lang="en-US" altLang="zh-CN">
                        <a:solidFill>
                          <a:sysClr val="windowText" lastClr="000000"/>
                        </a:solidFill>
                      </a:rPr>
                      <a:t>, 100%</a:t>
                    </a:r>
                    <a:endParaRPr lang="en-US" altLang="zh-CN">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1944444444444"/>
                      <c:h val="0.162037037037037"/>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inEnd"/>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[决算公开图表.xlsx]Sheet1!$D$94:$F$94</c:f>
              <c:strCache>
                <c:ptCount val="3"/>
                <c:pt idx="0">
                  <c:v>因公出国（境）费</c:v>
                </c:pt>
                <c:pt idx="1">
                  <c:v>公务用车购置及运行维护费</c:v>
                </c:pt>
                <c:pt idx="2">
                  <c:v>公务接待费</c:v>
                </c:pt>
              </c:strCache>
            </c:strRef>
          </c:cat>
          <c:val>
            <c:numRef>
              <c:f>[决算公开图表.xlsx]Sheet1!$D$95:$F$95</c:f>
              <c:numCache>
                <c:formatCode>General</c:formatCode>
                <c:ptCount val="3"/>
                <c:pt idx="0">
                  <c:v>0</c:v>
                </c:pt>
                <c:pt idx="1">
                  <c:v>0</c:v>
                </c:pt>
                <c:pt idx="2">
                  <c:v>1.01</c:v>
                </c:pt>
              </c:numCache>
            </c:numRef>
          </c:val>
        </c:ser>
        <c:ser>
          <c:idx val="1"/>
          <c:order val="1"/>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[决算公开图表.xlsx]Sheet1!$D$94:$F$94</c:f>
              <c:strCache>
                <c:ptCount val="3"/>
                <c:pt idx="0">
                  <c:v>因公出国（境）费</c:v>
                </c:pt>
                <c:pt idx="1">
                  <c:v>公务用车购置及运行维护费</c:v>
                </c:pt>
                <c:pt idx="2">
                  <c:v>公务接待费</c:v>
                </c:pt>
              </c:strCache>
            </c:strRef>
          </c:cat>
          <c:val>
            <c:numRef>
              <c:f>[决算公开图表.xlsx]Sheet1!$D$96:$F$96</c:f>
              <c:numCache>
                <c:formatCode>0%</c:formatCode>
                <c:ptCount val="3"/>
                <c:pt idx="0">
                  <c:v>0</c:v>
                </c:pt>
                <c:pt idx="1">
                  <c:v>0</c:v>
                </c:pt>
                <c:pt idx="2">
                  <c:v>1</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E1C53C-3EAF-4B1B-A839-A783BCF86668}">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64</Pages>
  <Words>28819</Words>
  <Characters>30940</Characters>
  <Lines>243</Lines>
  <Paragraphs>68</Paragraphs>
  <TotalTime>76</TotalTime>
  <ScaleCrop>false</ScaleCrop>
  <LinksUpToDate>false</LinksUpToDate>
  <CharactersWithSpaces>31173</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2023-09-27T08:22:00Z</cp:lastPrinted>
  <dcterms:modified xsi:type="dcterms:W3CDTF">2024-12-03T06:57:07Z</dcterms:modified>
  <dc:title>四川省***</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F64C02907EBE428D9D50DE296DB55DBD_12</vt:lpwstr>
  </property>
</Properties>
</file>