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005BE">
      <w:pPr>
        <w:pStyle w:val="2"/>
        <w:rPr>
          <w:rFonts w:hint="eastAsia"/>
          <w:lang w:val="en-US" w:eastAsia="zh-CN"/>
        </w:rPr>
      </w:pPr>
    </w:p>
    <w:p w14:paraId="48C4383E">
      <w:pPr>
        <w:pStyle w:val="2"/>
        <w:rPr>
          <w:rFonts w:hint="eastAsia"/>
          <w:lang w:val="en-US" w:eastAsia="zh-CN"/>
        </w:rPr>
      </w:pPr>
    </w:p>
    <w:p w14:paraId="21047D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广元市区发展和改革局</w:t>
      </w:r>
    </w:p>
    <w:p w14:paraId="2B6EA3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2025年部门预算公开说明</w:t>
      </w:r>
    </w:p>
    <w:p w14:paraId="49F412BE">
      <w:pPr>
        <w:pStyle w:val="2"/>
        <w:rPr>
          <w:rFonts w:hint="eastAsia"/>
          <w:lang w:val="en-US" w:eastAsia="zh-CN"/>
        </w:rPr>
      </w:pPr>
    </w:p>
    <w:p w14:paraId="0BCB5191">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p w14:paraId="0CE567C8">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一、基本职能及主要工作..............................(3)</w:t>
      </w:r>
    </w:p>
    <w:p w14:paraId="765986A5">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（一）单位职能简介..................................(3)</w:t>
      </w:r>
    </w:p>
    <w:p w14:paraId="27C2AFC4">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（二）单位2025年重点工作...........................(7)</w:t>
      </w:r>
    </w:p>
    <w:p w14:paraId="67A0453A">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二、部门预算单位构成................................(9)</w:t>
      </w:r>
    </w:p>
    <w:p w14:paraId="26CE0F04">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三、收支预算情况说明................................(9)</w:t>
      </w:r>
    </w:p>
    <w:p w14:paraId="38F67536">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（一）收入预算情况..................................(10)</w:t>
      </w:r>
    </w:p>
    <w:p w14:paraId="5613508D">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（二）支出预算情况..................................(10)</w:t>
      </w:r>
    </w:p>
    <w:p w14:paraId="1CA826E8">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四、财政拨款收支预算情况说明...................... .(10)</w:t>
      </w:r>
    </w:p>
    <w:p w14:paraId="05166D69">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五、一般公共预算当年拨款情况说明....................(10)</w:t>
      </w:r>
    </w:p>
    <w:p w14:paraId="4F3DDA05">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（一）一般公共预算当年拨款规模变化情况..............(10)</w:t>
      </w:r>
    </w:p>
    <w:p w14:paraId="753D986F">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（二）一般公共预算当年拨款结构情况..................(10)</w:t>
      </w:r>
    </w:p>
    <w:p w14:paraId="20B70300">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（三）一般公共预算当年拨款具体使用情况..............(11)</w:t>
      </w:r>
    </w:p>
    <w:p w14:paraId="5E7AB840">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六、一般公共预算基本支出情况说明....................(13)</w:t>
      </w:r>
    </w:p>
    <w:p w14:paraId="282B0855">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七、“三公”经费财政拨款预算安排情况说明............(13)</w:t>
      </w:r>
    </w:p>
    <w:p w14:paraId="43166E41">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八、政府性基金预算支出情况说明......................(14)</w:t>
      </w:r>
    </w:p>
    <w:p w14:paraId="3C552338">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九、国有资本经营预算支出情况说明....................(14)</w:t>
      </w:r>
    </w:p>
    <w:p w14:paraId="0E154FB8">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十、其他重要事项的情况说明........................(14)</w:t>
      </w:r>
    </w:p>
    <w:p w14:paraId="122FAE23">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十一、名词解释....................................(15)</w:t>
      </w:r>
    </w:p>
    <w:p w14:paraId="61F828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143713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C84C6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C70F3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2D433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214A5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6CB052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70BFB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10EB6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3014C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08BE43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BF843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62A8CD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CB07D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6F69F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313ACD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B197D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A1AA7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02BC65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6C86B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一、基本职能及主要工作</w:t>
      </w:r>
    </w:p>
    <w:p w14:paraId="7A41F6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（一）区发改局职能简介</w:t>
      </w:r>
    </w:p>
    <w:p w14:paraId="3C95D2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1.贯彻实施国家有关国民经济和社会发展、经济体制改革的方针、政策和法律、法规。拟订全区有关国民经济和社会发展、经济体制改革的政策措施，负责本</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系统、本部门依法行政工作，落实行政执法责任制。</w:t>
      </w:r>
    </w:p>
    <w:p w14:paraId="351CC0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拟订并组织实施全区国民经济和社会发展战略、中长期规划和年度计划，统筹协调全区经济社会发展，研究分析宏观经济形势，提出全区经济社会发展、经济结构优化、价格总水平调控目标和政策建议。受区政府委托向区人大提交国民经济和社会发展计划报告。</w:t>
      </w:r>
    </w:p>
    <w:p w14:paraId="04444A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3.负责监测宏观经济和社会发展态势，承担预测预警和信息引导的责任，研究宏观调控重大问题并提出政策建议，搞好总量平衡，综合协调经济社会发展中的重大问题。</w:t>
      </w:r>
    </w:p>
    <w:p w14:paraId="167CF9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汇总和分析全区财政、金融等方面的情况，参与制定财政、金融、土地政策，综合分析政策执行效果，负责全区全口径外债的总量控制、结构优化和监测工作，提出多渠道融资的政策建议，综合协调财政、金融、价格和产业政策等经济杠杆，保证全区国民经济和发展规划的实施。</w:t>
      </w:r>
    </w:p>
    <w:p w14:paraId="49CDA0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承担指导推进和综合协调全区经济体制改革的责任。研究经济体制改革和对外开放的重大问题，组织拟订综合性经济体制改革方案，协调有关专项经济体制改革方案，会同有关部门搞好重要专项经济体制改革之间的衔接，指导经济体制改革试点和改革试验区工作。</w:t>
      </w:r>
    </w:p>
    <w:p w14:paraId="7DCED4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贯彻实施国家和省价格法律、法规和方针、政策，编制和执行价格调整改革规划，提出年度价格总水平调控目标及价格调控措施并组织实施，管理国家、省、市列名管理的商品和服务价格，监管实行市场调节价的商品和服务价格，承担行政事业性收费管理工作，负责全区价格监督检查、价格成本调查监审、价格监测、价格认证等工作。</w:t>
      </w:r>
    </w:p>
    <w:p w14:paraId="63DD51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2"/>
          <w:szCs w:val="32"/>
          <w:lang w:val="en-US" w:eastAsia="zh-CN"/>
        </w:rPr>
        <w:t>7.贯彻执行国家以工代赈的方针、政策，制定全区以工代赈的实施意见和管理办法；综合协调全区以工代赈工作，负责管理全区以工代赈建设；负责编制以工代赈中长期计划及年度计划；会同区财政、审计、监察等部门做好全区以工代赈资金使用的监督管理工作；</w:t>
      </w:r>
      <w:r>
        <w:rPr>
          <w:rFonts w:hint="eastAsia" w:ascii="仿宋_GB2312" w:hAnsi="仿宋_GB2312" w:eastAsia="仿宋_GB2312" w:cs="仿宋_GB2312"/>
          <w:sz w:val="30"/>
          <w:szCs w:val="30"/>
          <w:lang w:val="en-US" w:eastAsia="zh-CN"/>
        </w:rPr>
        <w:t>组织有关部门搞好以工代赈项目的规划、论证和可行性研究；组织工程主管部门对全区以工代赈项目工程进行检查、验收和管理。</w:t>
      </w:r>
    </w:p>
    <w:p w14:paraId="3BAF6E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负责全区投资宏观管理和协调推进重大项目建设。拟订全社会固定资产投资总规模和投资结构的调控目标、政策及措施，安排区级预算内基本建设资金，按规定权限审批、核准、备案或转报固定资产投资项目（企业技术改造项目除外）和资源开发利用、外资、境</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外投资项目。引导民间投资方向，研究提出利用外资和境外投资的规划、总量平衡和结构优化的目标和政策，指导和协调国外贷款项目实施。组织开展重大建设项目稽察。指</w:t>
      </w:r>
      <w:r>
        <w:rPr>
          <w:rFonts w:hint="eastAsia" w:ascii="仿宋_GB2312" w:hAnsi="仿宋_GB2312" w:eastAsia="仿宋_GB2312" w:cs="仿宋_GB2312"/>
          <w:sz w:val="32"/>
          <w:szCs w:val="32"/>
          <w:lang w:val="en-US" w:eastAsia="zh-CN"/>
        </w:rPr>
        <w:t>导工程咨询业发展。</w:t>
      </w:r>
    </w:p>
    <w:p w14:paraId="71352D4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推进经济结构战略性调整。组织拟订全区综合性产业政策，负责协调第一、二、三产业发展的重大问题，衔接平衡相关发展规划和重大政策，协调农业农村经济社会发展的重大问题，衔接农村专项规划和政策。拟订重大产业发展规划，引导全区重大生产力合理布局，协调推进全区重大技术装备推广应用和重大产业基地建设，会同有关部门拟订服务业、现代物流业发展战略、规划和重大政策。组织拟订高技术产业发展、产业技术进步的战略、规划和重大政策，指导全区自主创新体系建设发展。</w:t>
      </w:r>
    </w:p>
    <w:p w14:paraId="1FD02F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促进城乡区域协调发展。组织编制全区主体功能区规划并协调规划实施和进行监测评估，组织拟订区域协调发展战略、规划和重大政策，研究提出城镇发展战略和统筹城乡发展的重大政策，负责地区经济协作的统筹协调。</w:t>
      </w:r>
    </w:p>
    <w:p w14:paraId="6F950D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负责重要商品的总量平衡和宏观调控。研究分析区内外市场和对外贸易运行情况，编制重要农产品、工业品和原材料进出口总量计划并监督计划执行；会同有关部门管理粮食、棉花等重要物资和商品的区级储备工作，提出重要商品市场、生产要素市场的总体布局和发展规划。</w:t>
      </w:r>
    </w:p>
    <w:p w14:paraId="512B04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负责全区社会发展与国民经济发展的政策衔接。组织拟订社会发展战略、总体规划和年度计划，参与拟订人口和计划生育、科学技术、教育、文化、卫生、民政等发展政策，推进社会事业建设。研究提出促进就业、调整收入分配、完善社会保障与经济协调发展的政策建议，协调社会事业发展和政策中的重大问题及政策。</w:t>
      </w:r>
    </w:p>
    <w:p w14:paraId="41DC7B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推进可持续发展。负责全区节能减排的综合协调工作，组织拟订并协调实施全区发展循环经济、能源资源节约和综合利用规划及政策措施，参与编制生态环境建设、国土开发整治和保护规划，协调生态建设、能源资源节约和综合利用的重大问题，综合协调环保产业和清洁生产促进有关工作。组织实施国家和区应对气候变化重大战略规划和政策，组织拟订全区应对气候变化的规划和政策措施。贯彻执行国家和省、市有关低碳发展战略、方针和政策。</w:t>
      </w:r>
    </w:p>
    <w:p w14:paraId="05ECAC6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14.会同有关部门拟定革命老区、贫困地区经济发展规划，会同有关部门制定加快革命老区、贫困地区经济发展的重大政策，协调推进重大项目建设，促进经济社会持续、稳定、协调发展。</w:t>
      </w:r>
    </w:p>
    <w:p w14:paraId="0FE6C7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15.指导、协调并综合管理全区招标投标工作，按照职责权限对国家、省和市重大建设项目建设过程中的工程招标投标活动实施监督检查。</w:t>
      </w:r>
    </w:p>
    <w:p w14:paraId="433A82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负责与市发展改革委、市交通运输局等市级单位的工作衔接，按要求负责组织协调和处理全区铁路和高速公路建设等国家、省、市重大项目前期工作、征地拆迁、建设过程中涉及的重大问题，协同做好全区铁路和高速公路建设规划及年度计划编制的相关工作。</w:t>
      </w:r>
    </w:p>
    <w:p w14:paraId="0C2683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17.负责组织编制全区国民经济动员与装备动员规划、计划，研究国民经济动员与装备动员和国民经济、国防建设的关系，协调相关重大问题，组织实施国民经济动员与装备动员有关工作。</w:t>
      </w:r>
    </w:p>
    <w:p w14:paraId="513839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拟订全区能源发展战略、总体规划、行业规划和产业政策并组织实施，研究提出促进能源发展、提高能源保障、优化能源结构、推进能源节约的措施方法，拟订全区能源相关体制改革的实施方案。负责全区能源行业管理，协调全区能源建设的重大问题，指导能源行业节能、资源综合利用和能源科技进步工作，推广应用新产品、新技术、新设备。负责电动汽车充电设施发展的相关工作，根据电动汽车的发展规划和产业政策，牵头拟订电动汽车充电设施的发展规划和扶持政策。</w:t>
      </w:r>
    </w:p>
    <w:p w14:paraId="31D5BF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19.承担区创新政府投融资体制和项目融资工作领导小组、区实施西部大开发领导小组、区低碳发展领导小组、区经济动员领导小组的具体工作。</w:t>
      </w:r>
    </w:p>
    <w:p w14:paraId="3E425E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20.承办区政府公布的有关行政审批事项。</w:t>
      </w:r>
    </w:p>
    <w:p w14:paraId="1E30AB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21.承办区政府交办的其他事项。</w:t>
      </w:r>
    </w:p>
    <w:p w14:paraId="6D907780">
      <w:pPr>
        <w:pStyle w:val="9"/>
        <w:keepNext w:val="0"/>
        <w:keepLines w:val="0"/>
        <w:pageBreakBefore w:val="0"/>
        <w:widowControl w:val="0"/>
        <w:kinsoku/>
        <w:wordWrap/>
        <w:overflowPunct w:val="0"/>
        <w:topLinePunct w:val="0"/>
        <w:bidi w:val="0"/>
        <w:adjustRightInd w:val="0"/>
        <w:snapToGrid w:val="0"/>
        <w:spacing w:before="0" w:beforeAutospacing="0" w:after="0" w:afterAutospacing="0" w:line="576"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区发改局</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p>
    <w:p w14:paraId="2844648B">
      <w:pPr>
        <w:pStyle w:val="9"/>
        <w:keepNext w:val="0"/>
        <w:keepLines w:val="0"/>
        <w:pageBreakBefore w:val="0"/>
        <w:widowControl w:val="0"/>
        <w:kinsoku/>
        <w:wordWrap/>
        <w:overflowPunct w:val="0"/>
        <w:topLinePunct w:val="0"/>
        <w:bidi w:val="0"/>
        <w:adjustRightInd w:val="0"/>
        <w:snapToGrid w:val="0"/>
        <w:spacing w:before="0" w:beforeAutospacing="0" w:after="0" w:afterAutospacing="0" w:line="576" w:lineRule="exact"/>
        <w:ind w:firstLine="640" w:firstLineChars="200"/>
        <w:jc w:val="both"/>
        <w:rPr>
          <w:rFonts w:hint="default" w:ascii="Times New Roman" w:hAnsi="Times New Roman" w:eastAsia="仿宋_GB2312" w:cs="Times New Roman"/>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t>1.凝心聚力抓指标。</w:t>
      </w:r>
      <w:r>
        <w:rPr>
          <w:rFonts w:hint="eastAsia" w:ascii="Times New Roman" w:hAnsi="Times New Roman" w:eastAsia="仿宋_GB2312" w:cs="Times New Roman"/>
          <w:b w:val="0"/>
          <w:bCs w:val="0"/>
          <w:kern w:val="2"/>
          <w:sz w:val="32"/>
          <w:szCs w:val="32"/>
          <w:highlight w:val="none"/>
          <w:lang w:val="en-US" w:eastAsia="zh-CN" w:bidi="ar-SA"/>
        </w:rPr>
        <w:t>持续深入贯彻落实党中央、国务院关于“推动经济运行整体好转、实现质的有效提升和量的合理增长”和省委省政府、市委市政府重大部署要求。</w:t>
      </w:r>
      <w:r>
        <w:rPr>
          <w:rFonts w:hint="default" w:ascii="Times New Roman" w:hAnsi="Times New Roman" w:eastAsia="仿宋_GB2312" w:cs="Times New Roman"/>
          <w:b w:val="0"/>
          <w:bCs w:val="0"/>
          <w:kern w:val="2"/>
          <w:sz w:val="32"/>
          <w:szCs w:val="32"/>
          <w:highlight w:val="none"/>
          <w:lang w:val="en-US" w:eastAsia="zh-CN" w:bidi="ar-SA"/>
        </w:rPr>
        <w:t>透过指标深入分析当前工作推进过程中</w:t>
      </w:r>
      <w:r>
        <w:rPr>
          <w:rFonts w:hint="eastAsia" w:ascii="Times New Roman" w:hAnsi="Times New Roman" w:eastAsia="仿宋_GB2312" w:cs="Times New Roman"/>
          <w:b w:val="0"/>
          <w:bCs w:val="0"/>
          <w:kern w:val="2"/>
          <w:sz w:val="32"/>
          <w:szCs w:val="32"/>
          <w:highlight w:val="none"/>
          <w:lang w:val="en-US" w:eastAsia="zh-CN" w:bidi="ar-SA"/>
        </w:rPr>
        <w:t>的</w:t>
      </w:r>
      <w:r>
        <w:rPr>
          <w:rFonts w:hint="default" w:ascii="Times New Roman" w:hAnsi="Times New Roman" w:eastAsia="仿宋_GB2312" w:cs="Times New Roman"/>
          <w:b w:val="0"/>
          <w:bCs w:val="0"/>
          <w:kern w:val="2"/>
          <w:sz w:val="32"/>
          <w:szCs w:val="32"/>
          <w:highlight w:val="none"/>
          <w:lang w:val="en-US" w:eastAsia="zh-CN" w:bidi="ar-SA"/>
        </w:rPr>
        <w:t>短板弱项，有针对性的把任务细化分解到月、到旬、到周，做好指标风险监测预警，确保目标任务落实有重点可推、有进度可查。</w:t>
      </w:r>
    </w:p>
    <w:p w14:paraId="0356EF8D">
      <w:pPr>
        <w:keepNext w:val="0"/>
        <w:keepLines w:val="0"/>
        <w:pageBreakBefore w:val="0"/>
        <w:kinsoku/>
        <w:wordWrap/>
        <w:topLinePunct w:val="0"/>
        <w:bidi w:val="0"/>
        <w:spacing w:beforeAutospacing="0" w:afterAutospacing="0" w:line="576" w:lineRule="exact"/>
        <w:ind w:firstLine="640" w:firstLineChars="200"/>
        <w:jc w:val="left"/>
        <w:rPr>
          <w:rFonts w:hint="default" w:ascii="Times New Roman" w:hAnsi="Times New Roman" w:eastAsia="仿宋_GB2312" w:cs="Times New Roman"/>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t>2.凝心聚力抓项目。</w:t>
      </w:r>
      <w:r>
        <w:rPr>
          <w:rFonts w:hint="eastAsia" w:ascii="Times New Roman" w:hAnsi="Times New Roman" w:eastAsia="仿宋_GB2312" w:cs="Times New Roman"/>
          <w:b/>
          <w:bCs/>
          <w:kern w:val="2"/>
          <w:sz w:val="32"/>
          <w:szCs w:val="32"/>
          <w:highlight w:val="none"/>
          <w:lang w:val="en-US" w:eastAsia="zh-CN" w:bidi="ar-SA"/>
        </w:rPr>
        <w:t>一是</w:t>
      </w:r>
      <w:r>
        <w:rPr>
          <w:rFonts w:hint="eastAsia" w:ascii="Times New Roman" w:hAnsi="Times New Roman" w:eastAsia="仿宋_GB2312" w:cs="Times New Roman"/>
          <w:b w:val="0"/>
          <w:bCs w:val="0"/>
          <w:kern w:val="2"/>
          <w:sz w:val="32"/>
          <w:szCs w:val="32"/>
          <w:highlight w:val="none"/>
          <w:lang w:val="en-US" w:eastAsia="zh-CN" w:bidi="ar-SA"/>
        </w:rPr>
        <w:t>聚焦国省投向强储备。</w:t>
      </w:r>
      <w:r>
        <w:rPr>
          <w:rFonts w:hint="default" w:ascii="Times New Roman" w:hAnsi="Times New Roman" w:eastAsia="仿宋_GB2312" w:cs="Times New Roman"/>
          <w:b w:val="0"/>
          <w:bCs w:val="0"/>
          <w:kern w:val="2"/>
          <w:sz w:val="32"/>
          <w:szCs w:val="32"/>
          <w:highlight w:val="none"/>
          <w:lang w:val="en-US" w:eastAsia="zh-CN" w:bidi="ar-SA"/>
        </w:rPr>
        <w:t>国省市推出了一系列稳增长的政策，始终秉持机遇意识，紧扣政策投向和投资导向，全力包装一批城市更新改造、清洁能源、交通水利、产业发展、民生改善等项目，加快把上级政策转化为具体项目。形成项目清单，明确前期推进计划表，按时序进度梯次推进，形成一批具备向上申报、落地开工条件的高质量成熟项目，力争到位中省预算内资金、政府专项债、超长期特别国债额度全市靠前。</w:t>
      </w:r>
      <w:r>
        <w:rPr>
          <w:rFonts w:hint="eastAsia" w:ascii="Times New Roman" w:hAnsi="Times New Roman" w:eastAsia="仿宋_GB2312" w:cs="Times New Roman"/>
          <w:b/>
          <w:bCs/>
          <w:kern w:val="2"/>
          <w:sz w:val="32"/>
          <w:szCs w:val="32"/>
          <w:highlight w:val="none"/>
          <w:lang w:val="en-US" w:eastAsia="zh-CN" w:bidi="ar-SA"/>
        </w:rPr>
        <w:t>二是</w:t>
      </w:r>
      <w:r>
        <w:rPr>
          <w:rFonts w:hint="eastAsia" w:ascii="Times New Roman" w:hAnsi="Times New Roman" w:eastAsia="仿宋_GB2312" w:cs="Times New Roman"/>
          <w:b w:val="0"/>
          <w:bCs w:val="0"/>
          <w:kern w:val="2"/>
          <w:sz w:val="32"/>
          <w:szCs w:val="32"/>
          <w:highlight w:val="none"/>
          <w:lang w:val="en-US" w:eastAsia="zh-CN" w:bidi="ar-SA"/>
        </w:rPr>
        <w:t>聚焦重点项目抓建设。</w:t>
      </w:r>
      <w:r>
        <w:rPr>
          <w:rFonts w:hint="default" w:ascii="Times New Roman" w:hAnsi="Times New Roman" w:eastAsia="仿宋_GB2312" w:cs="Times New Roman"/>
          <w:b w:val="0"/>
          <w:bCs w:val="0"/>
          <w:kern w:val="2"/>
          <w:sz w:val="32"/>
          <w:szCs w:val="32"/>
          <w:highlight w:val="none"/>
          <w:lang w:val="en-US" w:eastAsia="zh-CN" w:bidi="ar-SA"/>
        </w:rPr>
        <w:t>区本级预算2000万元作为项目前期工作经费，为全区项目前期有序推进提供强有力的资金保障。持续加大项目推进力度，做到前期项目抓对接、保开工，在建项目抓进度、保节点，竣工项目抓配套、保投用。</w:t>
      </w:r>
      <w:r>
        <w:rPr>
          <w:rFonts w:hint="eastAsia" w:ascii="Times New Roman" w:hAnsi="Times New Roman" w:eastAsia="仿宋_GB2312" w:cs="Times New Roman"/>
          <w:b/>
          <w:bCs/>
          <w:kern w:val="2"/>
          <w:sz w:val="32"/>
          <w:szCs w:val="32"/>
          <w:highlight w:val="none"/>
          <w:lang w:val="en-US" w:eastAsia="zh-CN" w:bidi="ar-SA"/>
        </w:rPr>
        <w:t>三是</w:t>
      </w:r>
      <w:r>
        <w:rPr>
          <w:rFonts w:hint="eastAsia" w:ascii="Times New Roman" w:hAnsi="Times New Roman" w:eastAsia="仿宋_GB2312" w:cs="Times New Roman"/>
          <w:b w:val="0"/>
          <w:bCs w:val="0"/>
          <w:kern w:val="2"/>
          <w:sz w:val="32"/>
          <w:szCs w:val="32"/>
          <w:highlight w:val="none"/>
          <w:lang w:val="en-US" w:eastAsia="zh-CN" w:bidi="ar-SA"/>
        </w:rPr>
        <w:t>聚焦项目提质优服务。</w:t>
      </w:r>
      <w:r>
        <w:rPr>
          <w:rFonts w:hint="default" w:ascii="Times New Roman" w:hAnsi="Times New Roman" w:eastAsia="仿宋_GB2312" w:cs="Times New Roman"/>
          <w:b w:val="0"/>
          <w:bCs w:val="0"/>
          <w:kern w:val="2"/>
          <w:sz w:val="32"/>
          <w:szCs w:val="32"/>
          <w:highlight w:val="none"/>
          <w:lang w:val="en-US" w:eastAsia="zh-CN" w:bidi="ar-SA"/>
        </w:rPr>
        <w:t>坚持问题导向和目标导向，坚持重大项目困难问题“动态收集、及时会商、逐一破解”工作机制，下好服务先手棋，加强重点项目用地、用能、用工等要素保障服务，全力为项目建设“全生命周期”保驾护航。</w:t>
      </w:r>
    </w:p>
    <w:p w14:paraId="7AF09610">
      <w:pPr>
        <w:keepNext w:val="0"/>
        <w:keepLines w:val="0"/>
        <w:pageBreakBefore w:val="0"/>
        <w:kinsoku/>
        <w:wordWrap/>
        <w:topLinePunct w:val="0"/>
        <w:bidi w:val="0"/>
        <w:spacing w:beforeAutospacing="0" w:afterAutospacing="0" w:line="576"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eastAsia" w:ascii="楷体" w:hAnsi="楷体" w:eastAsia="楷体" w:cs="楷体"/>
          <w:b w:val="0"/>
          <w:bCs w:val="0"/>
          <w:kern w:val="2"/>
          <w:sz w:val="32"/>
          <w:szCs w:val="32"/>
          <w:highlight w:val="none"/>
          <w:lang w:val="en-US" w:eastAsia="zh-CN" w:bidi="ar-SA"/>
        </w:rPr>
        <w:t>3.凝心聚力抓服务。</w:t>
      </w:r>
      <w:r>
        <w:rPr>
          <w:rFonts w:hint="eastAsia" w:ascii="Times New Roman" w:hAnsi="Times New Roman" w:eastAsia="仿宋_GB2312" w:cs="Times New Roman"/>
          <w:b/>
          <w:bCs/>
          <w:kern w:val="2"/>
          <w:sz w:val="32"/>
          <w:szCs w:val="32"/>
          <w:highlight w:val="none"/>
          <w:lang w:val="en-US" w:eastAsia="zh-CN" w:bidi="ar-SA"/>
        </w:rPr>
        <w:t>一是</w:t>
      </w:r>
      <w:r>
        <w:rPr>
          <w:rFonts w:hint="eastAsia" w:ascii="Times New Roman" w:hAnsi="Times New Roman" w:eastAsia="仿宋_GB2312" w:cs="Times New Roman"/>
          <w:b w:val="0"/>
          <w:bCs w:val="0"/>
          <w:kern w:val="2"/>
          <w:sz w:val="32"/>
          <w:szCs w:val="32"/>
          <w:highlight w:val="none"/>
          <w:lang w:val="en-US" w:eastAsia="zh-CN" w:bidi="ar-SA"/>
        </w:rPr>
        <w:t>维护良好的招投标秩序。</w:t>
      </w:r>
      <w:r>
        <w:rPr>
          <w:rFonts w:hint="default" w:ascii="Times New Roman" w:hAnsi="Times New Roman" w:eastAsia="仿宋_GB2312" w:cs="Times New Roman"/>
          <w:b w:val="0"/>
          <w:bCs w:val="0"/>
          <w:kern w:val="2"/>
          <w:sz w:val="32"/>
          <w:szCs w:val="32"/>
          <w:highlight w:val="none"/>
          <w:lang w:val="en-US" w:eastAsia="zh-CN" w:bidi="ar-SA"/>
        </w:rPr>
        <w:t>加</w:t>
      </w:r>
      <w:r>
        <w:rPr>
          <w:rFonts w:hint="default" w:ascii="Times New Roman" w:hAnsi="Times New Roman" w:eastAsia="仿宋_GB2312" w:cs="Times New Roman"/>
          <w:b w:val="0"/>
          <w:bCs w:val="0"/>
          <w:sz w:val="32"/>
          <w:szCs w:val="32"/>
          <w:lang w:val="en-US" w:eastAsia="zh-CN"/>
        </w:rPr>
        <w:t>快推进智慧交易行动，加大公平竞争审查监管力度，提高投诉处理效率，健全“互联网+监管”机制，充分依托电子监管平台在线获取交易信息、履行监管职责，及时预警、发现和查证违法行为</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持续开展事中事后监管。进一步加大违法打击力度，以零容忍态度打击规避招标、违规设置条件、围标串标、弄虚作假、转包和违法分包等违法行为</w:t>
      </w:r>
      <w:r>
        <w:rPr>
          <w:rFonts w:hint="eastAsia"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bCs/>
          <w:kern w:val="2"/>
          <w:sz w:val="32"/>
          <w:szCs w:val="32"/>
          <w:highlight w:val="none"/>
          <w:lang w:val="en-US" w:eastAsia="zh-CN" w:bidi="ar-SA"/>
        </w:rPr>
        <w:t>二是</w:t>
      </w:r>
      <w:r>
        <w:rPr>
          <w:rFonts w:hint="eastAsia" w:ascii="Times New Roman" w:hAnsi="Times New Roman" w:eastAsia="仿宋_GB2312" w:cs="Times New Roman"/>
          <w:b w:val="0"/>
          <w:bCs w:val="0"/>
          <w:kern w:val="2"/>
          <w:sz w:val="32"/>
          <w:szCs w:val="32"/>
          <w:highlight w:val="none"/>
          <w:lang w:val="en-US" w:eastAsia="zh-CN" w:bidi="ar-SA"/>
        </w:rPr>
        <w:t>切实做好民生保障服务。始</w:t>
      </w:r>
      <w:r>
        <w:rPr>
          <w:rFonts w:hint="eastAsia" w:ascii="Times New Roman" w:hAnsi="Times New Roman" w:eastAsia="仿宋_GB2312" w:cs="Times New Roman"/>
          <w:b w:val="0"/>
          <w:bCs w:val="0"/>
          <w:sz w:val="32"/>
          <w:szCs w:val="32"/>
          <w:lang w:val="en-US" w:eastAsia="zh-CN"/>
        </w:rPr>
        <w:t>终坚持把做好</w:t>
      </w:r>
      <w:r>
        <w:rPr>
          <w:rFonts w:hint="default" w:ascii="Times New Roman" w:hAnsi="Times New Roman" w:eastAsia="仿宋_GB2312" w:cs="Times New Roman"/>
          <w:b w:val="0"/>
          <w:bCs w:val="0"/>
          <w:sz w:val="32"/>
          <w:szCs w:val="32"/>
          <w:lang w:val="en-US" w:eastAsia="zh-CN"/>
        </w:rPr>
        <w:t>民生工</w:t>
      </w:r>
      <w:r>
        <w:rPr>
          <w:rFonts w:hint="eastAsia" w:ascii="Times New Roman" w:hAnsi="Times New Roman" w:eastAsia="仿宋_GB2312" w:cs="Times New Roman"/>
          <w:b w:val="0"/>
          <w:bCs w:val="0"/>
          <w:sz w:val="32"/>
          <w:szCs w:val="32"/>
          <w:lang w:val="en-US" w:eastAsia="zh-CN"/>
        </w:rPr>
        <w:t>作作为</w:t>
      </w:r>
      <w:r>
        <w:rPr>
          <w:rFonts w:hint="default" w:ascii="Times New Roman" w:hAnsi="Times New Roman" w:eastAsia="仿宋_GB2312" w:cs="Times New Roman"/>
          <w:b w:val="0"/>
          <w:bCs w:val="0"/>
          <w:sz w:val="32"/>
          <w:szCs w:val="32"/>
          <w:lang w:val="en-US" w:eastAsia="zh-CN"/>
        </w:rPr>
        <w:t>推动经济社会持续健康发展的内在动力</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定期研究解决</w:t>
      </w:r>
      <w:r>
        <w:rPr>
          <w:rFonts w:hint="eastAsia" w:ascii="Times New Roman" w:hAnsi="Times New Roman" w:eastAsia="仿宋_GB2312" w:cs="Times New Roman"/>
          <w:b w:val="0"/>
          <w:bCs w:val="0"/>
          <w:sz w:val="32"/>
          <w:szCs w:val="32"/>
          <w:lang w:val="en-US" w:eastAsia="zh-CN"/>
        </w:rPr>
        <w:t>教育、医疗、养老、用水、用电等</w:t>
      </w:r>
      <w:r>
        <w:rPr>
          <w:rFonts w:hint="default" w:ascii="Times New Roman" w:hAnsi="Times New Roman" w:eastAsia="仿宋_GB2312" w:cs="Times New Roman"/>
          <w:b w:val="0"/>
          <w:bCs w:val="0"/>
          <w:sz w:val="32"/>
          <w:szCs w:val="32"/>
          <w:lang w:val="en-US" w:eastAsia="zh-CN"/>
        </w:rPr>
        <w:t>民生工作中的重大问题，确保各项民生政策落到实处。</w:t>
      </w:r>
      <w:r>
        <w:rPr>
          <w:rFonts w:hint="eastAsia" w:ascii="Times New Roman" w:hAnsi="Times New Roman" w:eastAsia="仿宋_GB2312" w:cs="Times New Roman"/>
          <w:b/>
          <w:bCs/>
          <w:kern w:val="2"/>
          <w:sz w:val="32"/>
          <w:szCs w:val="32"/>
          <w:highlight w:val="none"/>
          <w:lang w:val="en-US" w:eastAsia="zh-CN" w:bidi="ar-SA"/>
        </w:rPr>
        <w:t>三是</w:t>
      </w:r>
      <w:r>
        <w:rPr>
          <w:rFonts w:hint="eastAsia" w:ascii="Times New Roman" w:hAnsi="Times New Roman" w:eastAsia="仿宋_GB2312" w:cs="Times New Roman"/>
          <w:b w:val="0"/>
          <w:bCs w:val="0"/>
          <w:kern w:val="2"/>
          <w:sz w:val="32"/>
          <w:szCs w:val="32"/>
          <w:highlight w:val="none"/>
          <w:lang w:val="en-US" w:eastAsia="zh-CN" w:bidi="ar-SA"/>
        </w:rPr>
        <w:t>守好</w:t>
      </w:r>
      <w:r>
        <w:rPr>
          <w:rFonts w:hint="default" w:ascii="Times New Roman" w:hAnsi="Times New Roman" w:eastAsia="仿宋_GB2312" w:cs="Times New Roman"/>
          <w:b w:val="0"/>
          <w:bCs w:val="0"/>
          <w:kern w:val="2"/>
          <w:sz w:val="32"/>
          <w:szCs w:val="32"/>
          <w:highlight w:val="none"/>
          <w:lang w:val="en-US" w:eastAsia="zh-CN" w:bidi="ar-SA"/>
        </w:rPr>
        <w:t>粮食安全</w:t>
      </w:r>
      <w:r>
        <w:rPr>
          <w:rFonts w:hint="eastAsia" w:ascii="Times New Roman" w:hAnsi="Times New Roman" w:eastAsia="仿宋_GB2312" w:cs="Times New Roman"/>
          <w:b w:val="0"/>
          <w:bCs w:val="0"/>
          <w:kern w:val="2"/>
          <w:sz w:val="32"/>
          <w:szCs w:val="32"/>
          <w:highlight w:val="none"/>
          <w:lang w:val="en-US" w:eastAsia="zh-CN" w:bidi="ar-SA"/>
        </w:rPr>
        <w:t>底线。</w:t>
      </w:r>
      <w:r>
        <w:rPr>
          <w:rFonts w:hint="default" w:ascii="Times New Roman" w:hAnsi="Times New Roman" w:eastAsia="仿宋_GB2312" w:cs="Times New Roman"/>
          <w:b w:val="0"/>
          <w:bCs w:val="0"/>
          <w:kern w:val="2"/>
          <w:sz w:val="32"/>
          <w:szCs w:val="32"/>
          <w:highlight w:val="none"/>
          <w:lang w:val="en-US" w:eastAsia="zh-CN" w:bidi="ar-SA"/>
        </w:rPr>
        <w:t>千方</w:t>
      </w:r>
      <w:r>
        <w:rPr>
          <w:rFonts w:hint="default" w:ascii="Times New Roman" w:hAnsi="Times New Roman" w:eastAsia="仿宋_GB2312" w:cs="Times New Roman"/>
          <w:sz w:val="32"/>
          <w:szCs w:val="32"/>
          <w:lang w:val="en-US" w:eastAsia="zh-CN"/>
        </w:rPr>
        <w:t>百计推进川北红岩港粮食现代物流中心建设，全力保障该项目在</w:t>
      </w:r>
      <w:r>
        <w:rPr>
          <w:rFonts w:hint="eastAsia" w:ascii="Times New Roman" w:hAnsi="Times New Roman" w:eastAsia="仿宋_GB2312" w:cs="Times New Roman"/>
          <w:sz w:val="32"/>
          <w:szCs w:val="32"/>
          <w:lang w:val="en-US" w:eastAsia="zh-CN"/>
        </w:rPr>
        <w:t>今年年底</w:t>
      </w:r>
      <w:r>
        <w:rPr>
          <w:rFonts w:hint="default" w:ascii="Times New Roman" w:hAnsi="Times New Roman" w:eastAsia="仿宋_GB2312" w:cs="Times New Roman"/>
          <w:sz w:val="32"/>
          <w:szCs w:val="32"/>
          <w:lang w:val="en-US" w:eastAsia="zh-CN"/>
        </w:rPr>
        <w:t>完成建设任务。</w:t>
      </w:r>
      <w:r>
        <w:rPr>
          <w:rFonts w:hint="default" w:ascii="Times New Roman" w:hAnsi="Times New Roman" w:eastAsia="仿宋_GB2312" w:cs="Times New Roman"/>
          <w:b w:val="0"/>
          <w:bCs w:val="0"/>
          <w:color w:val="auto"/>
          <w:sz w:val="32"/>
          <w:szCs w:val="32"/>
          <w:highlight w:val="none"/>
          <w:lang w:val="en-US" w:eastAsia="zh-CN"/>
        </w:rPr>
        <w:t>加强粮食流通市场监督检查工作，确保市场流通有序，</w:t>
      </w:r>
      <w:r>
        <w:rPr>
          <w:rFonts w:hint="eastAsia" w:ascii="Times New Roman" w:hAnsi="Times New Roman" w:eastAsia="仿宋_GB2312" w:cs="Times New Roman"/>
          <w:b w:val="0"/>
          <w:bCs w:val="0"/>
          <w:color w:val="auto"/>
          <w:sz w:val="32"/>
          <w:szCs w:val="32"/>
          <w:highlight w:val="none"/>
          <w:lang w:val="en-US" w:eastAsia="zh-CN"/>
        </w:rPr>
        <w:t>完成</w:t>
      </w:r>
      <w:r>
        <w:rPr>
          <w:rFonts w:hint="default" w:ascii="Times New Roman" w:hAnsi="Times New Roman" w:eastAsia="仿宋_GB2312" w:cs="Times New Roman"/>
          <w:b w:val="0"/>
          <w:bCs w:val="0"/>
          <w:color w:val="auto"/>
          <w:sz w:val="32"/>
          <w:szCs w:val="32"/>
          <w:highlight w:val="none"/>
          <w:lang w:val="en-US" w:eastAsia="zh-CN"/>
        </w:rPr>
        <w:t>区级政策性粮食轮换工作，加强粮食仓储管理，持续提升仓储管理能力，强化安全生产工作。</w:t>
      </w:r>
    </w:p>
    <w:p w14:paraId="65C89B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auto"/>
          <w:sz w:val="32"/>
          <w:szCs w:val="32"/>
          <w:highlight w:val="none"/>
          <w:lang w:val="en-US" w:eastAsia="zh-CN"/>
        </w:rPr>
        <w:t>4.</w:t>
      </w:r>
      <w:r>
        <w:rPr>
          <w:rFonts w:hint="eastAsia" w:ascii="楷体" w:hAnsi="楷体" w:eastAsia="楷体" w:cs="楷体"/>
          <w:b w:val="0"/>
          <w:bCs w:val="0"/>
          <w:kern w:val="2"/>
          <w:sz w:val="32"/>
          <w:szCs w:val="32"/>
          <w:highlight w:val="none"/>
          <w:lang w:val="en-US" w:eastAsia="zh-CN" w:bidi="ar-SA"/>
        </w:rPr>
        <w:t>凝心聚力</w:t>
      </w:r>
      <w:r>
        <w:rPr>
          <w:rFonts w:hint="default" w:ascii="楷体_GB2312" w:hAnsi="楷体_GB2312" w:eastAsia="楷体_GB2312" w:cs="楷体_GB2312"/>
          <w:color w:val="auto"/>
          <w:sz w:val="32"/>
          <w:szCs w:val="32"/>
          <w:highlight w:val="none"/>
        </w:rPr>
        <w:t>抓队伍</w:t>
      </w:r>
      <w:r>
        <w:rPr>
          <w:rFonts w:hint="default" w:ascii="楷体_GB2312" w:hAnsi="楷体_GB2312" w:eastAsia="楷体_GB2312" w:cs="楷体_GB2312"/>
          <w:i w:val="0"/>
          <w:caps w:val="0"/>
          <w:color w:val="auto"/>
          <w:spacing w:val="0"/>
          <w:sz w:val="32"/>
          <w:szCs w:val="32"/>
          <w:highlight w:val="none"/>
          <w:shd w:val="clear" w:color="auto" w:fill="auto"/>
        </w:rPr>
        <w:t>。</w:t>
      </w:r>
      <w:r>
        <w:rPr>
          <w:rFonts w:hint="default" w:ascii="Times New Roman" w:hAnsi="Times New Roman" w:eastAsia="仿宋_GB2312" w:cs="Times New Roman"/>
          <w:color w:val="auto"/>
          <w:sz w:val="32"/>
          <w:szCs w:val="32"/>
          <w:highlight w:val="none"/>
          <w:shd w:val="clear" w:color="auto" w:fill="auto"/>
        </w:rPr>
        <w:t>加强学习和研究，</w:t>
      </w:r>
      <w:r>
        <w:rPr>
          <w:rFonts w:hint="default" w:ascii="Times New Roman" w:hAnsi="Times New Roman" w:eastAsia="仿宋_GB2312" w:cs="Times New Roman"/>
          <w:i w:val="0"/>
          <w:caps w:val="0"/>
          <w:color w:val="auto"/>
          <w:spacing w:val="0"/>
          <w:sz w:val="32"/>
          <w:szCs w:val="32"/>
          <w:highlight w:val="none"/>
          <w:shd w:val="clear" w:color="auto" w:fill="auto"/>
        </w:rPr>
        <w:t>强化基层党组织的政治属性</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加强党风廉政建设，全面落实党风廉政</w:t>
      </w:r>
      <w:r>
        <w:rPr>
          <w:rFonts w:hint="eastAsia" w:ascii="Times New Roman" w:hAnsi="Times New Roman" w:eastAsia="仿宋_GB2312" w:cs="Times New Roman"/>
          <w:color w:val="auto"/>
          <w:sz w:val="32"/>
          <w:szCs w:val="32"/>
          <w:highlight w:val="none"/>
          <w:shd w:val="clear" w:color="auto" w:fill="auto"/>
          <w:lang w:val="en-US" w:eastAsia="zh-CN"/>
        </w:rPr>
        <w:t>建设</w:t>
      </w:r>
      <w:r>
        <w:rPr>
          <w:rFonts w:hint="default" w:ascii="Times New Roman" w:hAnsi="Times New Roman" w:eastAsia="仿宋_GB2312" w:cs="Times New Roman"/>
          <w:color w:val="auto"/>
          <w:sz w:val="32"/>
          <w:szCs w:val="32"/>
          <w:highlight w:val="none"/>
          <w:shd w:val="clear" w:color="auto" w:fill="auto"/>
        </w:rPr>
        <w:t>责任制</w:t>
      </w:r>
      <w:r>
        <w:rPr>
          <w:rFonts w:hint="default" w:ascii="Times New Roman" w:hAnsi="Times New Roman" w:eastAsia="仿宋_GB2312" w:cs="Times New Roman"/>
          <w:color w:val="auto"/>
          <w:sz w:val="32"/>
          <w:szCs w:val="32"/>
          <w:highlight w:val="none"/>
          <w:shd w:val="clear" w:color="auto" w:fill="auto"/>
          <w:lang w:eastAsia="zh-CN"/>
        </w:rPr>
        <w:t>，</w:t>
      </w:r>
      <w:r>
        <w:rPr>
          <w:rFonts w:hint="eastAsia" w:ascii="Times New Roman" w:hAnsi="Times New Roman" w:eastAsia="仿宋_GB2312" w:cs="Times New Roman"/>
          <w:i w:val="0"/>
          <w:caps w:val="0"/>
          <w:color w:val="auto"/>
          <w:spacing w:val="0"/>
          <w:sz w:val="32"/>
          <w:szCs w:val="32"/>
          <w:highlight w:val="none"/>
          <w:shd w:val="clear" w:color="auto" w:fill="auto"/>
          <w:lang w:eastAsia="zh-CN"/>
        </w:rPr>
        <w:t>积极</w:t>
      </w:r>
      <w:r>
        <w:rPr>
          <w:rFonts w:hint="default" w:ascii="Times New Roman" w:hAnsi="Times New Roman" w:eastAsia="仿宋_GB2312" w:cs="Times New Roman"/>
          <w:i w:val="0"/>
          <w:caps w:val="0"/>
          <w:color w:val="auto"/>
          <w:spacing w:val="0"/>
          <w:sz w:val="32"/>
          <w:szCs w:val="32"/>
          <w:highlight w:val="none"/>
          <w:shd w:val="clear" w:color="auto" w:fill="auto"/>
        </w:rPr>
        <w:t>履行“一岗双责”。</w:t>
      </w:r>
      <w:r>
        <w:rPr>
          <w:rFonts w:hint="default" w:ascii="Times New Roman" w:hAnsi="Times New Roman" w:eastAsia="仿宋_GB2312" w:cs="Times New Roman"/>
          <w:color w:val="auto"/>
          <w:sz w:val="32"/>
          <w:szCs w:val="32"/>
          <w:highlight w:val="none"/>
          <w:shd w:val="clear" w:color="auto" w:fill="auto"/>
        </w:rPr>
        <w:t>加强内部制度建设</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积极探索制度管理与情感管理相结合的新型机关管理模式</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努力提高抓机遇上项目的能力、抓投入保增长的能力、解难题促发展的能力</w:t>
      </w:r>
      <w:r>
        <w:rPr>
          <w:rFonts w:hint="default" w:ascii="Times New Roman" w:hAnsi="Times New Roman" w:eastAsia="仿宋_GB2312" w:cs="Times New Roman"/>
          <w:color w:val="auto"/>
          <w:sz w:val="32"/>
          <w:szCs w:val="32"/>
          <w:highlight w:val="none"/>
          <w:shd w:val="clear" w:color="auto" w:fill="auto"/>
          <w:lang w:eastAsia="zh-CN"/>
        </w:rPr>
        <w:t>，</w:t>
      </w:r>
      <w:r>
        <w:rPr>
          <w:rFonts w:hint="eastAsia" w:ascii="Times New Roman" w:hAnsi="Times New Roman" w:eastAsia="仿宋_GB2312" w:cs="Times New Roman"/>
          <w:b w:val="0"/>
          <w:bCs/>
          <w:color w:val="000000"/>
          <w:sz w:val="32"/>
          <w:szCs w:val="32"/>
          <w:lang w:val="en-US" w:eastAsia="zh-CN"/>
        </w:rPr>
        <w:t>在昭化发展大局中展现发改担当与作为。</w:t>
      </w:r>
    </w:p>
    <w:p w14:paraId="1B9554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693F6D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区发改部门下属二级预算单位0个，其中行政单位0个，参照公务员法管理的事业单位0个，其他事业单位0个。</w:t>
      </w:r>
    </w:p>
    <w:p w14:paraId="0485EE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区发改局无下属机构。</w:t>
      </w:r>
    </w:p>
    <w:p w14:paraId="62F3F7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14:paraId="1F9154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综合预算的原则，区发改局所有收入和支出均纳入部门预算管理。收入包括：一般公共预算拨款收入；支出包括：一般公共服务支出、社会保障和就业支出、卫生健康支出、节能环保支出、住房保障支出、粮油物资储备支出。区发改局2025年收支预算总数2130.66万元,比2024年收支预算总数减少1014.18万元，主要原因是项目前期工作经费减少。</w:t>
      </w:r>
    </w:p>
    <w:p w14:paraId="79F04C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14:paraId="143CE22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区发改局2025年收入预算2130.66万元，其中：一般公共预算拨款收入2130.66万元，占100%。</w:t>
      </w:r>
    </w:p>
    <w:p w14:paraId="2E5B10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14:paraId="1EEC85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区发改局2025年支出预算2130.66万元，其中：基本支出696.33万元，占32.68%；项目支出1434.33万元，占67.32%</w:t>
      </w:r>
      <w:r>
        <w:rPr>
          <w:rFonts w:hint="eastAsia" w:ascii="仿宋_GB2312" w:hAnsi="仿宋_GB2312" w:eastAsia="仿宋_GB2312" w:cs="仿宋_GB2312"/>
          <w:b w:val="0"/>
          <w:bCs w:val="0"/>
          <w:sz w:val="32"/>
          <w:szCs w:val="32"/>
          <w:lang w:val="en-US" w:eastAsia="zh-CN"/>
        </w:rPr>
        <w:t>。</w:t>
      </w:r>
    </w:p>
    <w:p w14:paraId="607020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14:paraId="3FEA0E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区发改局2025年财政拨款收支预算总数2130.66万元,比2024年财政拨款收支预算总数减少1014.18万元，主要原因是项目前期工作经费减少。</w:t>
      </w:r>
    </w:p>
    <w:p w14:paraId="5C17B5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2130.66万元；支出包括：一般公共服务支出1776.17万元、社会保障和就业支出89.13万元、卫生健康支出24.43万元、节能环保支出40万元、住房保障支出50.93万元、粮油物资储备支出150万元。</w:t>
      </w:r>
    </w:p>
    <w:p w14:paraId="073BF6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14:paraId="45B252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6F5DAF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区发改局2025年一般公共预算当年拨款2130.66万元，比2024年预算数减少1014.18万元，主要原因是项目前期工作经费减少。</w:t>
      </w:r>
    </w:p>
    <w:p w14:paraId="39115565">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一般公共预算当年拨款结构情况</w:t>
      </w:r>
    </w:p>
    <w:p w14:paraId="393519DE">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textAlignment w:val="auto"/>
        <w:rPr>
          <w:rFonts w:hint="default" w:ascii="楷体_GB2312" w:hAnsi="楷体_GB2312" w:eastAsia="楷体_GB2312" w:cs="楷体_GB2312"/>
          <w:color w:val="auto"/>
          <w:sz w:val="32"/>
          <w:szCs w:val="32"/>
          <w:highlight w:val="none"/>
          <w:lang w:val="en-US" w:eastAsia="zh-CN"/>
        </w:rPr>
      </w:pPr>
      <w:r>
        <w:rPr>
          <w:rFonts w:hint="eastAsia" w:ascii="仿宋_GB2312" w:hAnsi="仿宋_GB2312" w:eastAsia="仿宋_GB2312" w:cs="仿宋_GB2312"/>
          <w:sz w:val="32"/>
          <w:szCs w:val="32"/>
          <w:lang w:val="en-US" w:eastAsia="zh-CN"/>
        </w:rPr>
        <w:t>一般公共服务支出1776.17万元，占83.36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lang w:val="en-US" w:eastAsia="zh-CN"/>
        </w:rPr>
        <w:t>社会保障和就业支出89.13万元，占4.24%；卫生健康支出24.43万元，占1.2%；节能环保支出40万元，占1.8%；住房保障支出50.93万元，占2.4%；</w:t>
      </w:r>
      <w:bookmarkStart w:id="0" w:name="_GoBack"/>
      <w:bookmarkEnd w:id="0"/>
      <w:r>
        <w:rPr>
          <w:rFonts w:hint="eastAsia" w:ascii="仿宋_GB2312" w:hAnsi="仿宋_GB2312" w:eastAsia="仿宋_GB2312" w:cs="仿宋_GB2312"/>
          <w:sz w:val="32"/>
          <w:szCs w:val="32"/>
          <w:lang w:val="en-US" w:eastAsia="zh-CN"/>
        </w:rPr>
        <w:t>粮油物资储备支出150万元，占7%。</w:t>
      </w:r>
    </w:p>
    <w:p w14:paraId="733EB4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14:paraId="14FD8A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一般公共服务（类）发展与改革事务（款）行政运行（项）2025年预算数为620.61万元，主要用于：发展和改革运行经费等方面的办公经费、培训费、委托业务费等支出。</w:t>
      </w:r>
    </w:p>
    <w:p w14:paraId="63DEF9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一般公共服务（类）发展与改革事务（款）日常经济运行调节（项）2025年预算数为15.4万元，主要用于：项目保障及投资管理经费、发展和改革运行经费等方面的办公经费、培训费、印刷费等支出。</w:t>
      </w:r>
    </w:p>
    <w:p w14:paraId="10820E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一般公共服务（类）发展与改革事务（款）物价管理（项）2025年预算数为19.6万元，主要用于：发展和改革运行经费等方面的办公经费等支出。</w:t>
      </w:r>
    </w:p>
    <w:p w14:paraId="614D84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4.一般公共服务（类）发展与改革事务（款）事业运行（项）2025年预算数为72.77万元，主要用于：机关事业人员的基本工资、绩效工资、其他规定的地方津补贴等支出。</w:t>
      </w:r>
    </w:p>
    <w:p w14:paraId="672F52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5.一般公共服务（类）发展与改革事务（款）其他发展与改革事务支出（项）2025年预算数为1047.8万元，主要用于：单位部门项目如项目前期经费、招商引资工作经费等其他发展与改革事务支出。</w:t>
      </w:r>
    </w:p>
    <w:p w14:paraId="652A94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6.社会保障和就业（类）行政事业单位养老支出（款）机关事业单位基本养老保险缴费支出（项）2025年预算数为67.91万元，主要用于：实施养老保险制度由单位缴纳的基本养老保险支出。</w:t>
      </w:r>
    </w:p>
    <w:p w14:paraId="4BE5DE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7.社会保障和就业（类）行政事业单位养老支出（款）机关事业单位职业年金缴费支出（项）2025年预算数为19.33万元，主要用于：实施养老保险制度由单位缴纳的职业年金支出。</w:t>
      </w:r>
    </w:p>
    <w:p w14:paraId="49B033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8.社会保障和就业（类）其他社会保障和就业支出（款）其他社会保障和就业支出（项）2025年预算数为1.89万元；主要用于：实施养老保险制度由单位缴纳的基本养老保险支出。</w:t>
      </w:r>
    </w:p>
    <w:p w14:paraId="5C8D8F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9.卫生健康（类）行政事业单位医疗（款）行政单位医疗（项）2025年预算数为9.62万元，主要用于：机关及参公管理事业单位按规定由单位缴纳的基本医疗保险支出。</w:t>
      </w:r>
    </w:p>
    <w:p w14:paraId="036A6C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10.卫生健康（类）行政事业单位医疗（款）事业单位医疗（项）2025年预算数为14.81万元，主要用于：事业单位按规定由单位缴纳的基本医疗保险支出。</w:t>
      </w:r>
    </w:p>
    <w:p w14:paraId="215B6E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11.节能环保支出（类）能源管理事务（款）能源行业管理（项）2025年预算数为20万元，主要用于：可再生能源、其他能源行业的管理及能源节约等方面的支出。</w:t>
      </w:r>
    </w:p>
    <w:p w14:paraId="7C5FFD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12.节能环保支出（类）能源管理事务（款）其他能源管理事务支出（项）2025年预算数为20万元，主要用于：其他能源管理的支出。</w:t>
      </w:r>
    </w:p>
    <w:p w14:paraId="3E4F18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13.住房保障（类）住房改革支出（款）住房公积金（项）2025年预算数为50.93万元，主要用于：部门按规定为职工缴纳的住房公积金支出。</w:t>
      </w:r>
    </w:p>
    <w:p w14:paraId="38CCE2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14.粮油物资储备支出（类）粮油储备（款）储备粮油补贴（项）2025年预算数为150万元，主要用于：储备粮油和临时储存粮油的补贴支出。</w:t>
      </w:r>
    </w:p>
    <w:p w14:paraId="3F963E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14:paraId="3E1D75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区发改局2025年一般公共预算基本支出696.33万元，其中：</w:t>
      </w:r>
    </w:p>
    <w:p w14:paraId="0CBD0E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人员经费623.62万元，主要包括：基本工资、津贴补贴、奖金、绩效工资、机关事业单位基本养老保险缴费、职工基本医疗保险缴费、其他社会保险缴费、对个人和家庭的补助等支出。</w:t>
      </w:r>
    </w:p>
    <w:p w14:paraId="131965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公用经费72.72万元，主要包括：办公费、印刷费、手续费、水费、电费、邮电费、物业管理费、差旅费、维修（护）费、会租赁费、公务接待费、劳务费、委托业务费、工会经费、其他交通费用等支出。</w:t>
      </w:r>
    </w:p>
    <w:p w14:paraId="309646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14:paraId="7735BF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区发改局2025年“三公”经费财政拨款预算数10.6万元，其中：公务接待费10.6万元，公务用车购置及运行维护费0万元，因公出国（境）经费0万元。</w:t>
      </w:r>
    </w:p>
    <w:p w14:paraId="244426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14:paraId="6C5DE6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公务接待费与2024年预算相比持平。</w:t>
      </w:r>
    </w:p>
    <w:p w14:paraId="6D5F30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14:paraId="472E83BF">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14:paraId="01893B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公务用车购置及运行维护费与2024年预算相比持平。预算为0万元。</w:t>
      </w:r>
    </w:p>
    <w:p w14:paraId="65B56F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w:t>
      </w:r>
    </w:p>
    <w:p w14:paraId="0061F3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2025年安排公务用车购置费0万元，拟购置公务用车0辆。</w:t>
      </w:r>
    </w:p>
    <w:p w14:paraId="6B2F17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2025年安排公务用车运行维护费0万元。</w:t>
      </w:r>
    </w:p>
    <w:p w14:paraId="27796619">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14:paraId="640C7D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因公出国（境）经费与2024年预算相比持平，预算为0万元。</w:t>
      </w:r>
    </w:p>
    <w:p w14:paraId="47622D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14:paraId="494A11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区发改局2025年无政府性基金预算拨款安排的支出。</w:t>
      </w:r>
    </w:p>
    <w:p w14:paraId="0AEF74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14:paraId="2BE3AC6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区发改局2025年无国有资本经营预算拨款安排的支出。</w:t>
      </w:r>
    </w:p>
    <w:p w14:paraId="367B88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14:paraId="61E206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14:paraId="67035D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2024年，区发改局机关运行经费财政拨款预算为72.72万元，比2024年预算减少2.96万元，减少3.9%。主要原因一</w:t>
      </w:r>
      <w:r>
        <w:rPr>
          <w:rFonts w:hint="default" w:ascii="仿宋_GB2312" w:hAnsi="仿宋_GB2312" w:eastAsia="仿宋_GB2312" w:cs="仿宋_GB2312"/>
          <w:sz w:val="32"/>
          <w:szCs w:val="32"/>
          <w:lang w:val="en-US" w:eastAsia="zh-CN"/>
        </w:rPr>
        <w:t>是202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年初预算人员</w:t>
      </w:r>
      <w:r>
        <w:rPr>
          <w:rFonts w:hint="eastAsia" w:ascii="仿宋_GB2312" w:hAnsi="仿宋_GB2312" w:eastAsia="仿宋_GB2312" w:cs="仿宋_GB2312"/>
          <w:sz w:val="32"/>
          <w:szCs w:val="32"/>
          <w:lang w:val="en-US" w:eastAsia="zh-CN"/>
        </w:rPr>
        <w:t>减少</w:t>
      </w:r>
      <w:r>
        <w:rPr>
          <w:rFonts w:hint="default" w:ascii="仿宋_GB2312" w:hAnsi="仿宋_GB2312" w:eastAsia="仿宋_GB2312" w:cs="仿宋_GB2312"/>
          <w:sz w:val="32"/>
          <w:szCs w:val="32"/>
          <w:lang w:val="en-US" w:eastAsia="zh-CN"/>
        </w:rPr>
        <w:t>，相应</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人员经费及定额公用经费</w:t>
      </w:r>
      <w:r>
        <w:rPr>
          <w:rFonts w:hint="eastAsia" w:ascii="仿宋_GB2312" w:hAnsi="仿宋_GB2312" w:eastAsia="仿宋_GB2312" w:cs="仿宋_GB2312"/>
          <w:sz w:val="32"/>
          <w:szCs w:val="32"/>
          <w:lang w:val="en-US" w:eastAsia="zh-CN"/>
        </w:rPr>
        <w:t>减少</w:t>
      </w:r>
      <w:r>
        <w:rPr>
          <w:rFonts w:hint="default" w:ascii="仿宋_GB2312" w:hAnsi="仿宋_GB2312" w:eastAsia="仿宋_GB2312" w:cs="仿宋_GB2312"/>
          <w:sz w:val="32"/>
          <w:szCs w:val="32"/>
          <w:lang w:val="en-US" w:eastAsia="zh-CN"/>
        </w:rPr>
        <w:t>；</w:t>
      </w:r>
    </w:p>
    <w:p w14:paraId="3E9A50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7329AD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2025年，区发改局安排政府采购预算0万元。</w:t>
      </w:r>
    </w:p>
    <w:p w14:paraId="66D21A6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16BE24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截至2024年底，发改局共有车辆0辆，其中，领导干部用车0辆、定向保障用车0辆、执法执勤用车0辆。</w:t>
      </w:r>
    </w:p>
    <w:p w14:paraId="1B58B3C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2025年部门预算未安排购置车辆及单位价值200万元以上大型设备）。</w:t>
      </w:r>
    </w:p>
    <w:p w14:paraId="6CFCD4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14:paraId="260E4F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2025年区发改局开展绩效目标管理的项目11个，涉及预算1507.05万元。其中：人员类项目3个，涉及预算 72.72万元；运转类项目3个，涉及预算230万元；特定目标类项目5个，涉及预算1204.33万元。</w:t>
      </w:r>
    </w:p>
    <w:p w14:paraId="3151852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14:paraId="2B4EE2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指区财政当年安排的财政预算收入。按现行管理制度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14:paraId="12A616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（二）一般公共服务（类）发展与改革事务（款）行政运行（项）：</w:t>
      </w:r>
      <w:r>
        <w:rPr>
          <w:rFonts w:hint="eastAsia" w:ascii="仿宋_GB2312" w:hAnsi="仿宋_GB2312" w:eastAsia="仿宋_GB2312" w:cs="仿宋_GB2312"/>
          <w:sz w:val="32"/>
          <w:szCs w:val="32"/>
          <w:lang w:val="en-US" w:eastAsia="zh-CN"/>
        </w:rPr>
        <w:t>指机关单位用于保障机构正常运行、开展日常工作的基本支出。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（三）一般公共服务（类）发展与改革事务（款）日常经济运行调节（项）：</w:t>
      </w:r>
      <w:r>
        <w:rPr>
          <w:rFonts w:hint="eastAsia" w:ascii="仿宋_GB2312" w:hAnsi="仿宋_GB2312" w:eastAsia="仿宋_GB2312" w:cs="仿宋_GB2312"/>
          <w:sz w:val="32"/>
          <w:szCs w:val="32"/>
          <w:lang w:val="en-US" w:eastAsia="zh-CN"/>
        </w:rPr>
        <w:t>指机关单位开展日常经济运行调节管理工作的项目支出。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（四）一般公共服务（类）发展与改革事务（款）物价管理（项）：</w:t>
      </w:r>
      <w:r>
        <w:rPr>
          <w:rFonts w:hint="eastAsia" w:ascii="仿宋_GB2312" w:hAnsi="仿宋_GB2312" w:eastAsia="仿宋_GB2312" w:cs="仿宋_GB2312"/>
          <w:sz w:val="32"/>
          <w:szCs w:val="32"/>
          <w:lang w:val="en-US" w:eastAsia="zh-CN"/>
        </w:rPr>
        <w:t>指机关单位开展物价管理工作的项目支出。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（五）一般公共服务（类）发展与改革事务（款）事业运行（项）：</w:t>
      </w:r>
      <w:r>
        <w:rPr>
          <w:rFonts w:hint="eastAsia" w:ascii="仿宋_GB2312" w:hAnsi="仿宋_GB2312" w:eastAsia="仿宋_GB2312" w:cs="仿宋_GB2312"/>
          <w:sz w:val="32"/>
          <w:szCs w:val="32"/>
          <w:lang w:val="en-US" w:eastAsia="zh-CN"/>
        </w:rPr>
        <w:t>指机关下属单位事业人员的工资类支出。</w:t>
      </w:r>
    </w:p>
    <w:p w14:paraId="3544AE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（六）一般公共服务（类）发展与改革事务（款）其他发展与改革事务支出（项）：</w:t>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指机关</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开展其他发展与改革事务方面的支出。</w:t>
      </w:r>
      <w:r>
        <w:rPr>
          <w:rFonts w:hint="eastAsia" w:ascii="仿宋_GB2312" w:hAnsi="仿宋_GB2312" w:eastAsia="仿宋_GB2312" w:cs="仿宋_GB2312"/>
          <w:sz w:val="32"/>
          <w:szCs w:val="32"/>
          <w:lang w:val="en-US" w:eastAsia="zh-CN"/>
        </w:rPr>
        <w:t>　</w:t>
      </w:r>
    </w:p>
    <w:p w14:paraId="196A96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（七）社会保障和就业（类）行政事业单位养老支出（款）机关事业单位基本养老保险缴费支出（项）：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p>
    <w:p w14:paraId="2AAAB24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（八）社会保障和就业支出（类）其他社会保障和就业支出（款）其他社会保障和就业支出（项）:</w:t>
      </w:r>
      <w:r>
        <w:rPr>
          <w:rFonts w:hint="eastAsia" w:ascii="仿宋_GB2312" w:hAnsi="仿宋_GB2312" w:eastAsia="仿宋_GB2312" w:cs="仿宋_GB2312"/>
          <w:sz w:val="32"/>
          <w:szCs w:val="32"/>
          <w:lang w:val="en-US" w:eastAsia="zh-CN"/>
        </w:rPr>
        <w:t>指部门实施其他社会保障和就业的支出。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（九）卫生健康（类）行政事业单位医疗（款）行政单位医疗（项）：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p>
    <w:p w14:paraId="69C4DC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（十一）住房保障（类）住房改革支出（款）住房公积金（项）：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（十二）基本支出：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（十三）项目支出：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3C8154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（十四）“三公”经费：</w:t>
      </w:r>
      <w:r>
        <w:rPr>
          <w:rFonts w:hint="eastAsia" w:ascii="仿宋_GB2312" w:hAnsi="仿宋_GB2312" w:eastAsia="仿宋_GB2312" w:cs="仿宋_GB2312"/>
          <w:sz w:val="32"/>
          <w:szCs w:val="32"/>
          <w:lang w:val="en-US" w:eastAsia="zh-CN"/>
        </w:rPr>
        <w:t>纳入区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（十五）机关运行经费：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201D52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7D2997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6F4E6F6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2.项目支出绩效目标表</w:t>
      </w:r>
    </w:p>
    <w:p w14:paraId="53444C3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3.部门整体支出绩效目标表</w:t>
      </w:r>
    </w:p>
    <w:p w14:paraId="4E360F4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highlight w:val="none"/>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Liberation Sans">
    <w:altName w:val="Segoe Print"/>
    <w:panose1 w:val="020B0604020202020204"/>
    <w:charset w:val="00"/>
    <w:family w:val="auto"/>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8A0C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66F9891">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5dblS0AAAAAUBAAAPAAAAAAAAAAEAIAAAACIAAABkcnMvZG93bnJldi54bWxQSwEC&#10;FAAUAAAACACHTuJAP+vcefwBAAD/AwAADgAAAAAAAAABACAAAAAfAQAAZHJzL2Uyb0RvYy54bWxQ&#10;SwUGAAAAAAYABgBZAQAAjQUAAAAA&#10;">
              <v:fill on="f" focussize="0,0"/>
              <v:stroke on="f"/>
              <v:imagedata o:title=""/>
              <o:lock v:ext="edit" aspectratio="f"/>
              <v:textbox inset="0mm,0mm,0mm,0mm" style="mso-fit-shape-to-text:t;">
                <w:txbxContent>
                  <w:p w14:paraId="666F9891">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FC6F8E"/>
    <w:multiLevelType w:val="singleLevel"/>
    <w:tmpl w:val="73FC6F8E"/>
    <w:lvl w:ilvl="0" w:tentative="0">
      <w:start w:val="2"/>
      <w:numFmt w:val="chineseCounting"/>
      <w:suff w:val="nothing"/>
      <w:lvlText w:val="（%1）"/>
      <w:lvlJc w:val="left"/>
      <w:rPr>
        <w:rFonts w:hint="eastAsia"/>
      </w:rPr>
    </w:lvl>
  </w:abstractNum>
  <w:abstractNum w:abstractNumId="1">
    <w:nsid w:val="772A52A0"/>
    <w:multiLevelType w:val="singleLevel"/>
    <w:tmpl w:val="772A52A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00C40084"/>
    <w:rsid w:val="00E52F76"/>
    <w:rsid w:val="117714D4"/>
    <w:rsid w:val="13743CE5"/>
    <w:rsid w:val="18A40A0A"/>
    <w:rsid w:val="19F31E08"/>
    <w:rsid w:val="1CE617B0"/>
    <w:rsid w:val="1E761259"/>
    <w:rsid w:val="1FA45952"/>
    <w:rsid w:val="21D840F5"/>
    <w:rsid w:val="22F664C5"/>
    <w:rsid w:val="36BE50F4"/>
    <w:rsid w:val="3748283C"/>
    <w:rsid w:val="44CF7C4D"/>
    <w:rsid w:val="44DF5367"/>
    <w:rsid w:val="45992FAC"/>
    <w:rsid w:val="463211F6"/>
    <w:rsid w:val="493C25D4"/>
    <w:rsid w:val="4B661B8A"/>
    <w:rsid w:val="4E4C150B"/>
    <w:rsid w:val="558A2919"/>
    <w:rsid w:val="5ACC0473"/>
    <w:rsid w:val="5E744166"/>
    <w:rsid w:val="68D31039"/>
    <w:rsid w:val="69F543AD"/>
    <w:rsid w:val="6D8F2D6B"/>
    <w:rsid w:val="6F4F630E"/>
    <w:rsid w:val="719C15B2"/>
    <w:rsid w:val="75BB74F0"/>
    <w:rsid w:val="77BC6EEB"/>
    <w:rsid w:val="7CFE6DE4"/>
    <w:rsid w:val="7D4D542D"/>
    <w:rsid w:val="7DFC3B04"/>
    <w:rsid w:val="7FD718A9"/>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2">
    <w:name w:val="Default Paragraph Font"/>
    <w:autoRedefine/>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sz w:val="21"/>
      <w:szCs w:val="21"/>
    </w:r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annotation text"/>
    <w:basedOn w:val="1"/>
    <w:qFormat/>
    <w:uiPriority w:val="0"/>
    <w:pPr>
      <w:jc w:val="left"/>
    </w:pPr>
  </w:style>
  <w:style w:type="paragraph" w:styleId="5">
    <w:name w:val="Body Text"/>
    <w:basedOn w:val="1"/>
    <w:autoRedefine/>
    <w:qFormat/>
    <w:uiPriority w:val="0"/>
    <w:pPr>
      <w:spacing w:before="0" w:after="140" w:line="276" w:lineRule="auto"/>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5"/>
    <w:autoRedefine/>
    <w:qFormat/>
    <w:uiPriority w:val="0"/>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rPr>
  </w:style>
  <w:style w:type="table" w:styleId="11">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默认段落字体1"/>
    <w:autoRedefine/>
    <w:qFormat/>
    <w:uiPriority w:val="0"/>
  </w:style>
  <w:style w:type="paragraph" w:customStyle="1" w:styleId="14">
    <w:name w:val="Heading"/>
    <w:basedOn w:val="1"/>
    <w:next w:val="5"/>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autoRedefine/>
    <w:qFormat/>
    <w:uiPriority w:val="0"/>
    <w:pPr>
      <w:widowControl w:val="0"/>
      <w:suppressLineNumbers/>
      <w:suppressAutoHyphens/>
    </w:pPr>
  </w:style>
  <w:style w:type="paragraph" w:customStyle="1" w:styleId="16">
    <w:name w:val="图表目录1"/>
    <w:basedOn w:val="1"/>
    <w:next w:val="1"/>
    <w:autoRedefine/>
    <w:qFormat/>
    <w:uiPriority w:val="0"/>
    <w:pPr>
      <w:ind w:left="200" w:leftChars="200" w:hanging="200" w:hanging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7665</Words>
  <Characters>8638</Characters>
  <TotalTime>7</TotalTime>
  <ScaleCrop>false</ScaleCrop>
  <LinksUpToDate>false</LinksUpToDate>
  <CharactersWithSpaces>8667</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2018-11-29T17:47:00Z</dcterms:created>
  <dc:creator>admin</dc:creator>
  <cp:lastModifiedBy>Administrator</cp:lastModifiedBy>
  <dcterms:modified xsi:type="dcterms:W3CDTF">2025-02-13T03:25:01Z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9A6585A3603F49C08A125FDB5EAD3405_13</vt:lpwstr>
  </property>
  <property fmtid="{D5CDD505-2E9C-101B-9397-08002B2CF9AE}" pid="4" name="KSOTemplateDocerSaveRecord">
    <vt:lpwstr>eyJoZGlkIjoiYjFjZmMzZDY2Njc3ZWQ1ZTMzMjc1ODU2ZGM5MWZjNDQifQ==</vt:lpwstr>
  </property>
</Properties>
</file>