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915582">
      <w:pPr>
        <w:spacing w:beforeLines="0" w:afterLines="0" w:line="360" w:lineRule="auto"/>
        <w:jc w:val="both"/>
        <w:rPr>
          <w:rFonts w:hint="eastAsia" w:ascii="黑体" w:hAnsi="黑体" w:eastAsia="黑体"/>
          <w:color w:val="000000"/>
          <w:kern w:val="2"/>
          <w:sz w:val="72"/>
          <w:szCs w:val="24"/>
        </w:rPr>
      </w:pPr>
    </w:p>
    <w:p w14:paraId="10C34E41">
      <w:pPr>
        <w:spacing w:beforeLines="0" w:afterLines="0" w:line="360" w:lineRule="auto"/>
        <w:jc w:val="center"/>
        <w:rPr>
          <w:rFonts w:hint="eastAsia" w:ascii="黑体" w:hAnsi="黑体" w:eastAsia="黑体"/>
          <w:color w:val="000000"/>
          <w:kern w:val="2"/>
          <w:sz w:val="72"/>
          <w:szCs w:val="24"/>
        </w:rPr>
      </w:pPr>
    </w:p>
    <w:p w14:paraId="6080F563">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14:paraId="73350C1A">
      <w:pPr>
        <w:spacing w:beforeLines="0" w:afterLines="0"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rPr>
        <w:t>广元市昭化区发展和改革局</w:t>
      </w:r>
      <w:bookmarkStart w:id="1" w:name="_GoBack"/>
      <w:bookmarkEnd w:id="1"/>
      <w:r>
        <w:rPr>
          <w:rFonts w:hint="eastAsia" w:ascii="方正小标宋简体" w:hAnsi="黑体" w:eastAsia="方正小标宋简体"/>
          <w:color w:val="000000"/>
          <w:kern w:val="2"/>
          <w:sz w:val="72"/>
          <w:szCs w:val="24"/>
        </w:rPr>
        <w:t>单位决算</w:t>
      </w:r>
    </w:p>
    <w:p w14:paraId="5B7C8E9A">
      <w:pPr>
        <w:keepNext/>
        <w:keepLines/>
        <w:spacing w:beforeLines="0" w:afterLines="0" w:line="576" w:lineRule="exact"/>
        <w:jc w:val="center"/>
        <w:rPr>
          <w:rFonts w:hint="eastAsia" w:ascii="黑体" w:hAnsi="黑体" w:eastAsia="黑体"/>
          <w:kern w:val="2"/>
          <w:sz w:val="48"/>
          <w:szCs w:val="24"/>
        </w:rPr>
      </w:pPr>
      <w:r>
        <w:rPr>
          <w:rFonts w:hint="eastAsia" w:ascii="方正小标宋简体" w:hAnsi="方正小标宋简体" w:eastAsia="方正小标宋简体"/>
          <w:color w:val="000000"/>
          <w:kern w:val="2"/>
          <w:sz w:val="32"/>
          <w:szCs w:val="24"/>
        </w:rPr>
        <w:br w:type="page"/>
      </w:r>
      <w:r>
        <w:rPr>
          <w:rFonts w:hint="eastAsia" w:ascii="黑体" w:hAnsi="黑体" w:eastAsia="黑体"/>
          <w:kern w:val="2"/>
          <w:sz w:val="48"/>
          <w:szCs w:val="24"/>
        </w:rPr>
        <w:t>目    录</w:t>
      </w:r>
    </w:p>
    <w:p w14:paraId="6B765C5B">
      <w:pPr>
        <w:keepNext/>
        <w:keepLines/>
        <w:spacing w:before="120" w:beforeLines="50" w:after="480" w:afterLines="200"/>
        <w:jc w:val="center"/>
        <w:rPr>
          <w:rFonts w:hint="eastAsia" w:ascii="楷体_GB2312" w:eastAsia="楷体_GB2312"/>
          <w:b/>
          <w:kern w:val="2"/>
          <w:sz w:val="32"/>
          <w:szCs w:val="32"/>
        </w:rPr>
      </w:pPr>
      <w:r>
        <w:rPr>
          <w:rFonts w:hint="eastAsia" w:ascii="楷体_GB2312" w:hAnsi="仿宋" w:eastAsia="楷体_GB2312"/>
          <w:kern w:val="2"/>
          <w:sz w:val="32"/>
          <w:szCs w:val="32"/>
        </w:rPr>
        <w:t>公开时间：2024年9月26日</w:t>
      </w:r>
    </w:p>
    <w:p w14:paraId="545DECB3">
      <w:pPr>
        <w:keepNext/>
        <w:keepLines/>
        <w:tabs>
          <w:tab w:val="right" w:leader="dot" w:pos="8845"/>
        </w:tabs>
        <w:spacing w:beforeLines="0" w:afterLines="0" w:line="440" w:lineRule="exact"/>
        <w:jc w:val="center"/>
        <w:rPr>
          <w:rFonts w:hint="default" w:ascii="Times New Roman" w:eastAsia="Times New Roman"/>
          <w:b/>
          <w:sz w:val="24"/>
          <w:szCs w:val="24"/>
          <w:lang w:val="zh-CN"/>
        </w:rPr>
      </w:pPr>
      <w:r>
        <w:rPr>
          <w:rFonts w:hint="eastAsia" w:ascii="仿宋" w:hAnsi="仿宋" w:eastAsia="仿宋"/>
          <w:sz w:val="24"/>
          <w:szCs w:val="24"/>
          <w:lang w:val="zh-CN"/>
        </w:rPr>
        <w:t>第一部分 单位概况</w:t>
      </w:r>
      <w:r>
        <w:rPr>
          <w:rFonts w:hint="eastAsia" w:ascii="仿宋" w:hAnsi="仿宋" w:eastAsia="仿宋"/>
          <w:sz w:val="24"/>
          <w:szCs w:val="24"/>
          <w:lang w:val="zh-CN"/>
        </w:rPr>
        <w:tab/>
      </w:r>
      <w:r>
        <w:rPr>
          <w:rFonts w:hint="eastAsia" w:ascii="仿宋" w:hAnsi="仿宋" w:eastAsia="仿宋"/>
          <w:sz w:val="24"/>
          <w:szCs w:val="24"/>
          <w:lang w:val="zh-CN"/>
        </w:rPr>
        <w:t>1</w:t>
      </w:r>
    </w:p>
    <w:p w14:paraId="767A4A38">
      <w:pPr>
        <w:keepNext/>
        <w:keepLines/>
        <w:tabs>
          <w:tab w:val="right" w:leader="dot" w:pos="8845"/>
        </w:tabs>
        <w:spacing w:beforeLines="0" w:afterLines="0" w:line="440" w:lineRule="exact"/>
        <w:jc w:val="center"/>
        <w:rPr>
          <w:rFonts w:hint="eastAsia" w:hAnsi="宋体" w:cs="宋体"/>
          <w:sz w:val="24"/>
          <w:szCs w:val="24"/>
          <w:lang w:val="zh-CN"/>
        </w:rPr>
      </w:pPr>
      <w:r>
        <w:rPr>
          <w:rFonts w:hint="eastAsia" w:hAnsi="宋体" w:cs="宋体"/>
          <w:sz w:val="24"/>
          <w:szCs w:val="24"/>
          <w:lang w:val="zh-CN"/>
        </w:rPr>
        <w:t>一、主要职责</w:t>
      </w:r>
      <w:r>
        <w:rPr>
          <w:rFonts w:hint="eastAsia" w:cs="宋体"/>
          <w:sz w:val="24"/>
          <w:szCs w:val="24"/>
          <w:lang w:val="zh-CN"/>
        </w:rPr>
        <w:tab/>
      </w:r>
      <w:r>
        <w:rPr>
          <w:rFonts w:hint="eastAsia" w:hAnsi="宋体" w:cs="宋体"/>
          <w:sz w:val="24"/>
          <w:szCs w:val="24"/>
        </w:rPr>
        <w:t>4</w:t>
      </w:r>
    </w:p>
    <w:p w14:paraId="4800971C">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二、机构设置</w:t>
      </w:r>
      <w:r>
        <w:rPr>
          <w:rFonts w:hint="eastAsia" w:cs="宋体"/>
          <w:sz w:val="24"/>
          <w:szCs w:val="24"/>
          <w:lang w:val="zh-CN"/>
        </w:rPr>
        <w:tab/>
      </w:r>
      <w:r>
        <w:rPr>
          <w:rFonts w:hint="eastAsia" w:hAnsi="宋体" w:cs="宋体"/>
          <w:sz w:val="24"/>
          <w:szCs w:val="24"/>
        </w:rPr>
        <w:t>11</w:t>
      </w:r>
    </w:p>
    <w:p w14:paraId="526A23E6">
      <w:pPr>
        <w:keepNext/>
        <w:keepLines/>
        <w:tabs>
          <w:tab w:val="right" w:leader="dot" w:pos="8845"/>
        </w:tabs>
        <w:spacing w:beforeLines="0" w:afterLines="0" w:line="440" w:lineRule="exact"/>
        <w:jc w:val="center"/>
        <w:rPr>
          <w:rFonts w:hint="default" w:ascii="Times New Roman" w:eastAsia="仿宋"/>
          <w:sz w:val="24"/>
          <w:szCs w:val="24"/>
        </w:rPr>
      </w:pPr>
      <w:r>
        <w:rPr>
          <w:rFonts w:hint="eastAsia" w:ascii="仿宋" w:hAnsi="仿宋" w:eastAsia="仿宋"/>
          <w:sz w:val="24"/>
          <w:szCs w:val="24"/>
          <w:lang w:val="zh-CN"/>
        </w:rPr>
        <w:t>第二部分 202</w:t>
      </w:r>
      <w:r>
        <w:rPr>
          <w:rFonts w:hint="eastAsia" w:ascii="仿宋" w:hAnsi="仿宋" w:eastAsia="仿宋"/>
          <w:sz w:val="24"/>
          <w:szCs w:val="24"/>
        </w:rPr>
        <w:t>3</w:t>
      </w:r>
      <w:r>
        <w:rPr>
          <w:rFonts w:hint="eastAsia" w:ascii="仿宋" w:hAnsi="仿宋" w:eastAsia="仿宋"/>
          <w:sz w:val="24"/>
          <w:szCs w:val="24"/>
          <w:lang w:val="zh-CN"/>
        </w:rPr>
        <w:t>年度单位决算情况说明</w:t>
      </w:r>
      <w:r>
        <w:rPr>
          <w:rFonts w:hint="eastAsia" w:ascii="仿宋" w:hAnsi="仿宋" w:eastAsia="仿宋"/>
          <w:sz w:val="24"/>
          <w:szCs w:val="24"/>
          <w:lang w:val="zh-CN"/>
        </w:rPr>
        <w:tab/>
      </w:r>
      <w:r>
        <w:rPr>
          <w:rFonts w:hint="eastAsia" w:ascii="仿宋" w:hAnsi="仿宋" w:eastAsia="仿宋"/>
          <w:sz w:val="24"/>
          <w:szCs w:val="24"/>
        </w:rPr>
        <w:t>11</w:t>
      </w:r>
    </w:p>
    <w:p w14:paraId="4C5A7B89">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一、收入支出决算总体情况说明</w:t>
      </w:r>
      <w:r>
        <w:rPr>
          <w:rFonts w:hint="eastAsia" w:cs="宋体"/>
          <w:sz w:val="24"/>
          <w:szCs w:val="24"/>
          <w:lang w:val="zh-CN"/>
        </w:rPr>
        <w:tab/>
      </w:r>
      <w:r>
        <w:rPr>
          <w:rFonts w:hint="eastAsia" w:hAnsi="宋体" w:cs="宋体"/>
          <w:sz w:val="24"/>
          <w:szCs w:val="24"/>
        </w:rPr>
        <w:t>11</w:t>
      </w:r>
    </w:p>
    <w:p w14:paraId="295D2897">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二、收入决算情况说明</w:t>
      </w:r>
      <w:r>
        <w:rPr>
          <w:rFonts w:hint="eastAsia" w:cs="宋体"/>
          <w:sz w:val="24"/>
          <w:szCs w:val="24"/>
          <w:lang w:val="zh-CN"/>
        </w:rPr>
        <w:tab/>
      </w:r>
      <w:r>
        <w:rPr>
          <w:rFonts w:hint="eastAsia" w:hAnsi="宋体" w:cs="宋体"/>
          <w:sz w:val="24"/>
          <w:szCs w:val="24"/>
        </w:rPr>
        <w:t>12</w:t>
      </w:r>
    </w:p>
    <w:p w14:paraId="383C5B54">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三、支出决算情况说明</w:t>
      </w:r>
      <w:r>
        <w:rPr>
          <w:rFonts w:hint="eastAsia" w:cs="宋体"/>
          <w:sz w:val="24"/>
          <w:szCs w:val="24"/>
          <w:lang w:val="zh-CN"/>
        </w:rPr>
        <w:tab/>
      </w:r>
      <w:r>
        <w:rPr>
          <w:rFonts w:hint="eastAsia" w:hAnsi="宋体" w:cs="宋体"/>
          <w:sz w:val="24"/>
          <w:szCs w:val="24"/>
        </w:rPr>
        <w:t>12</w:t>
      </w:r>
    </w:p>
    <w:p w14:paraId="31F86A3F">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四、财政拨款收入支出决算总体情况说明</w:t>
      </w:r>
      <w:r>
        <w:rPr>
          <w:rFonts w:hint="eastAsia" w:cs="宋体"/>
          <w:sz w:val="24"/>
          <w:szCs w:val="24"/>
          <w:lang w:val="zh-CN"/>
        </w:rPr>
        <w:tab/>
      </w:r>
      <w:r>
        <w:rPr>
          <w:rFonts w:hint="eastAsia" w:cs="宋体"/>
          <w:sz w:val="24"/>
          <w:szCs w:val="24"/>
        </w:rPr>
        <w:t>13</w:t>
      </w:r>
    </w:p>
    <w:p w14:paraId="431D2CC2">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五、一般公共预算财政拨款支出决算情况说明</w:t>
      </w:r>
      <w:r>
        <w:rPr>
          <w:rFonts w:hint="eastAsia" w:cs="宋体"/>
          <w:sz w:val="24"/>
          <w:szCs w:val="24"/>
          <w:lang w:val="zh-CN"/>
        </w:rPr>
        <w:tab/>
      </w:r>
      <w:r>
        <w:rPr>
          <w:rFonts w:hint="eastAsia" w:cs="宋体"/>
          <w:sz w:val="24"/>
          <w:szCs w:val="24"/>
        </w:rPr>
        <w:t>14</w:t>
      </w:r>
    </w:p>
    <w:p w14:paraId="062097CC">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六、一般公共预算财政拨款基本支出决算情况说明</w:t>
      </w:r>
      <w:r>
        <w:rPr>
          <w:rFonts w:hint="eastAsia" w:cs="宋体"/>
          <w:sz w:val="24"/>
          <w:szCs w:val="24"/>
          <w:lang w:val="zh-CN"/>
        </w:rPr>
        <w:tab/>
      </w:r>
      <w:r>
        <w:rPr>
          <w:rFonts w:hint="eastAsia" w:cs="宋体"/>
          <w:sz w:val="24"/>
          <w:szCs w:val="24"/>
        </w:rPr>
        <w:t>17</w:t>
      </w:r>
    </w:p>
    <w:p w14:paraId="2E3A0922">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七、财政拨款“三公”经费支出决算情况说明</w:t>
      </w:r>
      <w:r>
        <w:rPr>
          <w:rFonts w:hint="eastAsia" w:cs="宋体"/>
          <w:sz w:val="24"/>
          <w:szCs w:val="24"/>
          <w:lang w:val="zh-CN"/>
        </w:rPr>
        <w:tab/>
      </w:r>
      <w:r>
        <w:rPr>
          <w:rFonts w:hint="eastAsia" w:cs="宋体"/>
          <w:sz w:val="24"/>
          <w:szCs w:val="24"/>
        </w:rPr>
        <w:t>18</w:t>
      </w:r>
    </w:p>
    <w:p w14:paraId="1FA28D2F">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八、政府性基金预算支出决算情况说明</w:t>
      </w:r>
      <w:r>
        <w:rPr>
          <w:rFonts w:hint="eastAsia" w:cs="宋体"/>
          <w:sz w:val="24"/>
          <w:szCs w:val="24"/>
          <w:lang w:val="zh-CN"/>
        </w:rPr>
        <w:tab/>
      </w:r>
      <w:r>
        <w:rPr>
          <w:rFonts w:hint="eastAsia" w:cs="宋体"/>
          <w:sz w:val="24"/>
          <w:szCs w:val="24"/>
        </w:rPr>
        <w:t>19</w:t>
      </w:r>
    </w:p>
    <w:p w14:paraId="6D67E9B2">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九、国有资本经营预算支出决算情况说明</w:t>
      </w:r>
      <w:r>
        <w:rPr>
          <w:rFonts w:hint="eastAsia" w:cs="宋体"/>
          <w:sz w:val="24"/>
          <w:szCs w:val="24"/>
          <w:lang w:val="zh-CN"/>
        </w:rPr>
        <w:tab/>
      </w:r>
      <w:r>
        <w:rPr>
          <w:rFonts w:hint="eastAsia" w:cs="宋体"/>
          <w:sz w:val="24"/>
          <w:szCs w:val="24"/>
        </w:rPr>
        <w:t>20</w:t>
      </w:r>
    </w:p>
    <w:p w14:paraId="2764DF5B">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十、其他重要事项的情况说明</w:t>
      </w:r>
      <w:r>
        <w:rPr>
          <w:rFonts w:hint="eastAsia" w:cs="宋体"/>
          <w:sz w:val="24"/>
          <w:szCs w:val="24"/>
          <w:lang w:val="zh-CN"/>
        </w:rPr>
        <w:tab/>
      </w:r>
      <w:r>
        <w:rPr>
          <w:rFonts w:hint="eastAsia" w:cs="宋体"/>
          <w:sz w:val="24"/>
          <w:szCs w:val="24"/>
        </w:rPr>
        <w:t>20</w:t>
      </w:r>
    </w:p>
    <w:p w14:paraId="4EFBAF3B">
      <w:pPr>
        <w:keepNext/>
        <w:keepLines/>
        <w:tabs>
          <w:tab w:val="right" w:leader="dot" w:pos="8845"/>
        </w:tabs>
        <w:spacing w:beforeLines="0" w:afterLines="0" w:line="440" w:lineRule="exact"/>
        <w:jc w:val="center"/>
        <w:rPr>
          <w:rFonts w:hint="eastAsia" w:ascii="仿宋" w:hAnsi="仿宋" w:eastAsia="仿宋"/>
          <w:sz w:val="24"/>
          <w:szCs w:val="24"/>
        </w:rPr>
      </w:pPr>
      <w:r>
        <w:rPr>
          <w:rFonts w:hint="eastAsia" w:ascii="仿宋" w:hAnsi="仿宋" w:eastAsia="仿宋"/>
          <w:sz w:val="24"/>
          <w:szCs w:val="24"/>
          <w:lang w:val="zh-CN"/>
        </w:rPr>
        <w:t>第三部分</w:t>
      </w:r>
      <w:r>
        <w:rPr>
          <w:rFonts w:hint="eastAsia" w:ascii="仿宋" w:hAnsi="仿宋" w:eastAsia="仿宋"/>
          <w:sz w:val="24"/>
          <w:szCs w:val="24"/>
        </w:rPr>
        <w:t xml:space="preserve"> </w:t>
      </w:r>
      <w:r>
        <w:rPr>
          <w:rFonts w:hint="eastAsia" w:ascii="仿宋" w:hAnsi="仿宋" w:eastAsia="仿宋"/>
          <w:sz w:val="24"/>
          <w:szCs w:val="24"/>
          <w:lang w:val="zh-CN"/>
        </w:rPr>
        <w:t>名词解释</w:t>
      </w:r>
      <w:r>
        <w:rPr>
          <w:rFonts w:hint="eastAsia" w:ascii="仿宋" w:hAnsi="仿宋" w:eastAsia="仿宋"/>
          <w:sz w:val="24"/>
          <w:szCs w:val="24"/>
          <w:lang w:val="zh-CN"/>
        </w:rPr>
        <w:tab/>
      </w:r>
      <w:r>
        <w:rPr>
          <w:rFonts w:hint="eastAsia" w:ascii="仿宋" w:hAnsi="仿宋" w:eastAsia="仿宋"/>
          <w:sz w:val="24"/>
          <w:szCs w:val="24"/>
        </w:rPr>
        <w:t>21</w:t>
      </w:r>
    </w:p>
    <w:p w14:paraId="13F8E459">
      <w:pPr>
        <w:keepNext/>
        <w:keepLines/>
        <w:tabs>
          <w:tab w:val="right" w:leader="dot" w:pos="8845"/>
        </w:tabs>
        <w:spacing w:beforeLines="0" w:afterLines="0" w:line="440" w:lineRule="exact"/>
        <w:jc w:val="center"/>
        <w:rPr>
          <w:rFonts w:hint="eastAsia" w:ascii="仿宋" w:hAnsi="仿宋" w:eastAsia="仿宋"/>
          <w:b/>
          <w:sz w:val="24"/>
          <w:szCs w:val="24"/>
        </w:rPr>
      </w:pPr>
      <w:r>
        <w:rPr>
          <w:rFonts w:hint="eastAsia" w:ascii="仿宋" w:hAnsi="仿宋" w:eastAsia="仿宋"/>
          <w:sz w:val="24"/>
          <w:szCs w:val="24"/>
          <w:lang w:val="zh-CN"/>
        </w:rPr>
        <w:t>第四部分 附件</w:t>
      </w:r>
      <w:r>
        <w:rPr>
          <w:rFonts w:hint="eastAsia" w:ascii="仿宋" w:hAnsi="仿宋" w:eastAsia="仿宋"/>
          <w:sz w:val="24"/>
          <w:szCs w:val="24"/>
          <w:lang w:val="zh-CN"/>
        </w:rPr>
        <w:tab/>
      </w:r>
      <w:r>
        <w:rPr>
          <w:rFonts w:hint="eastAsia" w:ascii="仿宋" w:hAnsi="仿宋" w:eastAsia="仿宋"/>
          <w:sz w:val="24"/>
          <w:szCs w:val="24"/>
        </w:rPr>
        <w:t>26</w:t>
      </w:r>
    </w:p>
    <w:p w14:paraId="0FA72E2E">
      <w:pPr>
        <w:keepNext/>
        <w:keepLines/>
        <w:tabs>
          <w:tab w:val="right" w:leader="dot" w:pos="8845"/>
        </w:tabs>
        <w:spacing w:beforeLines="0" w:afterLines="0" w:line="440" w:lineRule="exact"/>
        <w:jc w:val="center"/>
        <w:rPr>
          <w:rFonts w:hint="eastAsia" w:ascii="仿宋" w:hAnsi="仿宋" w:eastAsia="仿宋"/>
          <w:b/>
          <w:sz w:val="24"/>
          <w:szCs w:val="24"/>
          <w:lang w:val="zh-CN"/>
        </w:rPr>
      </w:pPr>
      <w:r>
        <w:rPr>
          <w:rFonts w:hint="eastAsia" w:ascii="仿宋" w:hAnsi="仿宋" w:eastAsia="仿宋"/>
          <w:sz w:val="24"/>
          <w:szCs w:val="24"/>
          <w:lang w:val="zh-CN"/>
        </w:rPr>
        <w:t>第五部分 附表</w:t>
      </w:r>
      <w:r>
        <w:rPr>
          <w:rFonts w:hint="eastAsia" w:ascii="仿宋" w:hAnsi="仿宋" w:eastAsia="仿宋"/>
          <w:sz w:val="24"/>
          <w:szCs w:val="24"/>
          <w:lang w:val="zh-CN"/>
        </w:rPr>
        <w:tab/>
      </w:r>
      <w:r>
        <w:rPr>
          <w:rFonts w:hint="eastAsia" w:ascii="仿宋" w:hAnsi="仿宋" w:eastAsia="仿宋"/>
          <w:sz w:val="24"/>
          <w:szCs w:val="24"/>
          <w:lang w:val="zh-CN"/>
        </w:rPr>
        <w:t>20</w:t>
      </w:r>
    </w:p>
    <w:p w14:paraId="771E5C29">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一、收入支出决算总表</w:t>
      </w:r>
      <w:r>
        <w:rPr>
          <w:rFonts w:hint="eastAsia" w:cs="宋体"/>
          <w:sz w:val="24"/>
          <w:szCs w:val="24"/>
          <w:lang w:val="zh-CN"/>
        </w:rPr>
        <w:tab/>
      </w:r>
      <w:r>
        <w:rPr>
          <w:rFonts w:hint="eastAsia" w:cs="宋体"/>
          <w:sz w:val="24"/>
          <w:szCs w:val="24"/>
        </w:rPr>
        <w:t>35</w:t>
      </w:r>
    </w:p>
    <w:p w14:paraId="59B90E99">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二、收入决算表</w:t>
      </w:r>
      <w:r>
        <w:rPr>
          <w:rFonts w:hint="eastAsia" w:cs="宋体"/>
          <w:sz w:val="24"/>
          <w:szCs w:val="24"/>
          <w:lang w:val="zh-CN"/>
        </w:rPr>
        <w:tab/>
      </w:r>
      <w:r>
        <w:rPr>
          <w:rFonts w:hint="eastAsia" w:cs="宋体"/>
          <w:sz w:val="24"/>
          <w:szCs w:val="24"/>
        </w:rPr>
        <w:t>35</w:t>
      </w:r>
    </w:p>
    <w:p w14:paraId="2FB8069D">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三、支出决算表</w:t>
      </w:r>
      <w:r>
        <w:rPr>
          <w:rFonts w:hint="eastAsia" w:cs="宋体"/>
          <w:sz w:val="24"/>
          <w:szCs w:val="24"/>
          <w:lang w:val="zh-CN"/>
        </w:rPr>
        <w:tab/>
      </w:r>
      <w:r>
        <w:rPr>
          <w:rFonts w:hint="eastAsia" w:cs="宋体"/>
          <w:sz w:val="24"/>
          <w:szCs w:val="24"/>
        </w:rPr>
        <w:t>35</w:t>
      </w:r>
    </w:p>
    <w:p w14:paraId="3284FCBA">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四、财政拨款收入支出决算总表</w:t>
      </w:r>
      <w:r>
        <w:rPr>
          <w:rFonts w:hint="eastAsia" w:cs="宋体"/>
          <w:sz w:val="24"/>
          <w:szCs w:val="24"/>
          <w:lang w:val="zh-CN"/>
        </w:rPr>
        <w:tab/>
      </w:r>
      <w:r>
        <w:rPr>
          <w:rFonts w:hint="eastAsia" w:cs="宋体"/>
          <w:sz w:val="24"/>
          <w:szCs w:val="24"/>
        </w:rPr>
        <w:t>35</w:t>
      </w:r>
    </w:p>
    <w:p w14:paraId="7BE208CF">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五、财政拨款支出决算明细表</w:t>
      </w:r>
      <w:r>
        <w:rPr>
          <w:rFonts w:hint="eastAsia" w:cs="宋体"/>
          <w:sz w:val="24"/>
          <w:szCs w:val="24"/>
          <w:lang w:val="zh-CN"/>
        </w:rPr>
        <w:tab/>
      </w:r>
      <w:r>
        <w:rPr>
          <w:rFonts w:hint="eastAsia" w:cs="宋体"/>
          <w:sz w:val="24"/>
          <w:szCs w:val="24"/>
        </w:rPr>
        <w:t>35</w:t>
      </w:r>
    </w:p>
    <w:p w14:paraId="66543C85">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六、一般公共预算财政拨款支出决算表</w:t>
      </w:r>
      <w:r>
        <w:rPr>
          <w:rFonts w:hint="eastAsia" w:cs="宋体"/>
          <w:sz w:val="24"/>
          <w:szCs w:val="24"/>
          <w:lang w:val="zh-CN"/>
        </w:rPr>
        <w:tab/>
      </w:r>
      <w:r>
        <w:rPr>
          <w:rFonts w:hint="eastAsia" w:cs="宋体"/>
          <w:sz w:val="24"/>
          <w:szCs w:val="24"/>
        </w:rPr>
        <w:t>35</w:t>
      </w:r>
    </w:p>
    <w:p w14:paraId="06AF9D17">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七、一般公共预算财政拨款支出决算明细表</w:t>
      </w:r>
      <w:r>
        <w:rPr>
          <w:rFonts w:hint="eastAsia" w:cs="宋体"/>
          <w:sz w:val="24"/>
          <w:szCs w:val="24"/>
          <w:lang w:val="zh-CN"/>
        </w:rPr>
        <w:tab/>
      </w:r>
      <w:r>
        <w:rPr>
          <w:rFonts w:hint="eastAsia" w:cs="宋体"/>
          <w:sz w:val="24"/>
          <w:szCs w:val="24"/>
        </w:rPr>
        <w:t>35</w:t>
      </w:r>
    </w:p>
    <w:p w14:paraId="26B17936">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八、一般公共预算财政拨款基本支出决算表</w:t>
      </w:r>
      <w:r>
        <w:rPr>
          <w:rFonts w:hint="eastAsia" w:cs="宋体"/>
          <w:sz w:val="24"/>
          <w:szCs w:val="24"/>
          <w:lang w:val="zh-CN"/>
        </w:rPr>
        <w:tab/>
      </w:r>
      <w:r>
        <w:rPr>
          <w:rFonts w:hint="eastAsia" w:cs="宋体"/>
          <w:sz w:val="24"/>
          <w:szCs w:val="24"/>
        </w:rPr>
        <w:t>35</w:t>
      </w:r>
    </w:p>
    <w:p w14:paraId="31125590">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九、一般公共预算财政拨款项目支出决算表</w:t>
      </w:r>
      <w:r>
        <w:rPr>
          <w:rFonts w:hint="eastAsia" w:cs="宋体"/>
          <w:sz w:val="24"/>
          <w:szCs w:val="24"/>
          <w:lang w:val="zh-CN"/>
        </w:rPr>
        <w:tab/>
      </w:r>
      <w:r>
        <w:rPr>
          <w:rFonts w:hint="eastAsia" w:cs="宋体"/>
          <w:sz w:val="24"/>
          <w:szCs w:val="24"/>
        </w:rPr>
        <w:t>35</w:t>
      </w:r>
    </w:p>
    <w:p w14:paraId="16C863C2">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十、政府性基金预算财政拨款收入支出决算表</w:t>
      </w:r>
      <w:r>
        <w:rPr>
          <w:rFonts w:hint="eastAsia" w:cs="宋体"/>
          <w:sz w:val="24"/>
          <w:szCs w:val="24"/>
          <w:lang w:val="zh-CN"/>
        </w:rPr>
        <w:tab/>
      </w:r>
      <w:r>
        <w:rPr>
          <w:rFonts w:hint="eastAsia" w:cs="宋体"/>
          <w:sz w:val="24"/>
          <w:szCs w:val="24"/>
        </w:rPr>
        <w:t>35</w:t>
      </w:r>
    </w:p>
    <w:p w14:paraId="5FE3E57D">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十一、国有资本经营预算财政拨款收入支出决算表</w:t>
      </w:r>
      <w:r>
        <w:rPr>
          <w:rFonts w:hint="eastAsia" w:cs="宋体"/>
          <w:sz w:val="24"/>
          <w:szCs w:val="24"/>
          <w:lang w:val="zh-CN"/>
        </w:rPr>
        <w:tab/>
      </w:r>
      <w:r>
        <w:rPr>
          <w:rFonts w:hint="eastAsia" w:cs="宋体"/>
          <w:sz w:val="24"/>
          <w:szCs w:val="24"/>
        </w:rPr>
        <w:t>35</w:t>
      </w:r>
    </w:p>
    <w:p w14:paraId="23F2A0B4">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十二、国有资本经营预算财政拨款支出决算表</w:t>
      </w:r>
      <w:r>
        <w:rPr>
          <w:rFonts w:hint="eastAsia" w:cs="宋体"/>
          <w:sz w:val="24"/>
          <w:szCs w:val="24"/>
          <w:lang w:val="zh-CN"/>
        </w:rPr>
        <w:tab/>
      </w:r>
      <w:r>
        <w:rPr>
          <w:rFonts w:hint="eastAsia" w:cs="宋体"/>
          <w:sz w:val="24"/>
          <w:szCs w:val="24"/>
        </w:rPr>
        <w:t>35</w:t>
      </w:r>
    </w:p>
    <w:p w14:paraId="35C9906D">
      <w:pPr>
        <w:keepNext/>
        <w:keepLines/>
        <w:tabs>
          <w:tab w:val="right" w:leader="dot" w:pos="8845"/>
        </w:tabs>
        <w:spacing w:beforeLines="0" w:afterLines="0" w:line="440" w:lineRule="exact"/>
        <w:jc w:val="center"/>
        <w:rPr>
          <w:rFonts w:hint="eastAsia" w:hAnsi="宋体" w:cs="宋体"/>
          <w:sz w:val="24"/>
          <w:szCs w:val="24"/>
        </w:rPr>
      </w:pPr>
      <w:r>
        <w:rPr>
          <w:rFonts w:hint="eastAsia" w:hAnsi="宋体" w:cs="宋体"/>
          <w:sz w:val="24"/>
          <w:szCs w:val="24"/>
          <w:lang w:val="zh-CN"/>
        </w:rPr>
        <w:t>十三、财政拨款“三公”经费支出决算表</w:t>
      </w:r>
      <w:r>
        <w:rPr>
          <w:rFonts w:hint="eastAsia" w:cs="宋体"/>
          <w:sz w:val="24"/>
          <w:szCs w:val="24"/>
          <w:lang w:val="zh-CN"/>
        </w:rPr>
        <w:tab/>
      </w:r>
      <w:r>
        <w:rPr>
          <w:rFonts w:hint="eastAsia" w:cs="宋体"/>
          <w:sz w:val="24"/>
          <w:szCs w:val="24"/>
        </w:rPr>
        <w:t>35</w:t>
      </w:r>
    </w:p>
    <w:p w14:paraId="60DFDDF2">
      <w:pPr>
        <w:overflowPunct w:val="0"/>
        <w:topLinePunct/>
        <w:spacing w:beforeLines="0" w:afterLines="0"/>
        <w:jc w:val="center"/>
        <w:rPr>
          <w:rFonts w:hint="eastAsia" w:ascii="方正小标宋简体" w:eastAsia="方正小标宋简体"/>
          <w:sz w:val="44"/>
          <w:szCs w:val="44"/>
        </w:rPr>
      </w:pPr>
    </w:p>
    <w:p w14:paraId="0FCE9F10">
      <w:pPr>
        <w:overflowPunct w:val="0"/>
        <w:topLinePunct/>
        <w:spacing w:beforeLines="0" w:afterLines="0"/>
        <w:jc w:val="center"/>
        <w:rPr>
          <w:rFonts w:hint="eastAsia" w:ascii="方正小标宋简体" w:eastAsia="方正小标宋简体"/>
          <w:sz w:val="44"/>
          <w:szCs w:val="44"/>
        </w:rPr>
      </w:pPr>
    </w:p>
    <w:p w14:paraId="362F6CB4">
      <w:pPr>
        <w:overflowPunct w:val="0"/>
        <w:topLinePunct/>
        <w:spacing w:beforeLines="0" w:afterLines="0"/>
        <w:jc w:val="center"/>
        <w:rPr>
          <w:rFonts w:hint="eastAsia" w:ascii="方正小标宋简体" w:eastAsia="方正小标宋简体"/>
          <w:sz w:val="44"/>
          <w:szCs w:val="44"/>
        </w:rPr>
      </w:pPr>
    </w:p>
    <w:p w14:paraId="08002853">
      <w:pPr>
        <w:overflowPunct w:val="0"/>
        <w:topLinePunct/>
        <w:spacing w:beforeLines="0" w:afterLines="0"/>
        <w:jc w:val="center"/>
        <w:rPr>
          <w:rFonts w:hint="eastAsia" w:ascii="方正小标宋简体" w:eastAsia="方正小标宋简体"/>
          <w:sz w:val="44"/>
          <w:szCs w:val="44"/>
        </w:rPr>
      </w:pPr>
    </w:p>
    <w:p w14:paraId="6EF59A11">
      <w:pPr>
        <w:overflowPunct w:val="0"/>
        <w:topLinePunct/>
        <w:spacing w:beforeLines="0" w:afterLines="0"/>
        <w:jc w:val="center"/>
        <w:rPr>
          <w:rFonts w:hint="eastAsia" w:ascii="方正小标宋简体" w:eastAsia="方正小标宋简体"/>
          <w:sz w:val="44"/>
          <w:szCs w:val="44"/>
        </w:rPr>
      </w:pPr>
    </w:p>
    <w:p w14:paraId="21AA33D1">
      <w:pPr>
        <w:overflowPunct w:val="0"/>
        <w:topLinePunct/>
        <w:spacing w:beforeLines="0" w:afterLines="0"/>
        <w:jc w:val="center"/>
        <w:rPr>
          <w:rFonts w:hint="eastAsia" w:ascii="方正小标宋简体" w:eastAsia="方正小标宋简体"/>
          <w:sz w:val="44"/>
          <w:szCs w:val="44"/>
        </w:rPr>
      </w:pPr>
    </w:p>
    <w:p w14:paraId="38F5213A">
      <w:pPr>
        <w:overflowPunct w:val="0"/>
        <w:topLinePunct/>
        <w:spacing w:beforeLines="0" w:afterLines="0"/>
        <w:jc w:val="center"/>
        <w:rPr>
          <w:rFonts w:hint="eastAsia" w:ascii="方正小标宋简体" w:eastAsia="方正小标宋简体"/>
          <w:sz w:val="44"/>
          <w:szCs w:val="44"/>
        </w:rPr>
      </w:pPr>
    </w:p>
    <w:p w14:paraId="312C67F0">
      <w:pPr>
        <w:overflowPunct w:val="0"/>
        <w:topLinePunct/>
        <w:spacing w:beforeLines="0" w:afterLines="0"/>
        <w:jc w:val="center"/>
        <w:rPr>
          <w:rFonts w:hint="eastAsia" w:ascii="方正小标宋简体" w:eastAsia="方正小标宋简体"/>
          <w:sz w:val="44"/>
          <w:szCs w:val="44"/>
        </w:rPr>
      </w:pPr>
    </w:p>
    <w:p w14:paraId="5B594229">
      <w:pPr>
        <w:overflowPunct w:val="0"/>
        <w:topLinePunct/>
        <w:spacing w:beforeLines="0" w:afterLines="0"/>
        <w:jc w:val="center"/>
        <w:rPr>
          <w:rFonts w:hint="eastAsia" w:ascii="方正小标宋简体" w:eastAsia="方正小标宋简体"/>
          <w:sz w:val="44"/>
          <w:szCs w:val="44"/>
        </w:rPr>
      </w:pPr>
    </w:p>
    <w:p w14:paraId="6FF4793C">
      <w:pPr>
        <w:overflowPunct w:val="0"/>
        <w:topLinePunct/>
        <w:spacing w:beforeLines="0" w:afterLines="0"/>
        <w:jc w:val="center"/>
        <w:rPr>
          <w:rFonts w:hint="eastAsia" w:ascii="方正小标宋简体" w:eastAsia="方正小标宋简体"/>
          <w:sz w:val="44"/>
          <w:szCs w:val="44"/>
        </w:rPr>
      </w:pPr>
    </w:p>
    <w:p w14:paraId="2E3EB54E">
      <w:pPr>
        <w:overflowPunct w:val="0"/>
        <w:topLinePunct/>
        <w:spacing w:beforeLines="0" w:afterLines="0"/>
        <w:jc w:val="center"/>
        <w:rPr>
          <w:rFonts w:hint="eastAsia" w:ascii="方正小标宋简体" w:eastAsia="方正小标宋简体"/>
          <w:sz w:val="44"/>
          <w:szCs w:val="44"/>
        </w:rPr>
      </w:pPr>
    </w:p>
    <w:p w14:paraId="1F3360ED">
      <w:pPr>
        <w:overflowPunct w:val="0"/>
        <w:topLinePunct/>
        <w:spacing w:beforeLines="0" w:afterLines="0"/>
        <w:jc w:val="center"/>
        <w:rPr>
          <w:rFonts w:hint="eastAsia" w:ascii="方正小标宋简体" w:eastAsia="方正小标宋简体"/>
          <w:sz w:val="44"/>
          <w:szCs w:val="44"/>
        </w:rPr>
      </w:pPr>
    </w:p>
    <w:p w14:paraId="6134A220">
      <w:pPr>
        <w:overflowPunct w:val="0"/>
        <w:topLinePunct/>
        <w:spacing w:beforeLines="0" w:afterLines="0"/>
        <w:jc w:val="center"/>
        <w:rPr>
          <w:rFonts w:hint="eastAsia" w:ascii="方正小标宋简体" w:eastAsia="方正小标宋简体"/>
          <w:sz w:val="44"/>
          <w:szCs w:val="44"/>
        </w:rPr>
      </w:pPr>
      <w:r>
        <w:rPr>
          <w:rFonts w:hint="eastAsia" w:ascii="方正小标宋简体" w:eastAsia="方正小标宋简体"/>
          <w:sz w:val="44"/>
          <w:szCs w:val="44"/>
        </w:rPr>
        <w:t>第一部分 单位概况</w:t>
      </w:r>
    </w:p>
    <w:p w14:paraId="1D5104F0">
      <w:pPr>
        <w:pStyle w:val="6"/>
        <w:overflowPunct w:val="0"/>
        <w:topLinePunct/>
        <w:spacing w:before="72" w:afterLines="0"/>
        <w:rPr>
          <w:rFonts w:hint="eastAsia"/>
          <w:sz w:val="30"/>
          <w:szCs w:val="24"/>
        </w:rPr>
      </w:pPr>
    </w:p>
    <w:p w14:paraId="0474D69D">
      <w:pPr>
        <w:pStyle w:val="4"/>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一、主要职责</w:t>
      </w:r>
    </w:p>
    <w:p w14:paraId="0DD0C7C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4D87BD99">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1.</w:t>
      </w:r>
      <w:r>
        <w:rPr>
          <w:rFonts w:hint="eastAsia" w:ascii="仿宋_GB2312" w:eastAsia="仿宋_GB2312"/>
          <w:sz w:val="32"/>
          <w:szCs w:val="32"/>
        </w:rPr>
        <w:t>贯彻实施国家有关国民经济和社会发展、经济体制改革的方针、政策和法律、法规。拟订全区有关国民经济和社会发展、经济体制改革的政策措施，负责本系统、本部门依法行政工作，落实行政执法责任制。</w:t>
      </w:r>
    </w:p>
    <w:p w14:paraId="676A02E2">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2.</w:t>
      </w:r>
      <w:r>
        <w:rPr>
          <w:rFonts w:hint="eastAsia" w:ascii="仿宋_GB2312" w:eastAsia="仿宋_GB2312"/>
          <w:sz w:val="32"/>
          <w:szCs w:val="32"/>
        </w:rPr>
        <w:t>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14:paraId="57833A26">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3.</w:t>
      </w:r>
      <w:r>
        <w:rPr>
          <w:rFonts w:hint="eastAsia" w:ascii="仿宋_GB2312" w:eastAsia="仿宋_GB2312"/>
          <w:sz w:val="32"/>
          <w:szCs w:val="32"/>
        </w:rPr>
        <w:t>负责监测宏观经济和社会发展态势，承担预测预警和信息引导的责任，研究宏观调控重大问题并提出政策建议，搞好总量平衡，综合协调经济社会发展中的重大问题。</w:t>
      </w:r>
    </w:p>
    <w:p w14:paraId="33529ACD">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4.</w:t>
      </w:r>
      <w:r>
        <w:rPr>
          <w:rFonts w:hint="eastAsia" w:ascii="仿宋_GB2312" w:eastAsia="仿宋_GB2312"/>
          <w:sz w:val="32"/>
          <w:szCs w:val="32"/>
        </w:rPr>
        <w:t>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14:paraId="00C8E959">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5.</w:t>
      </w:r>
      <w:r>
        <w:rPr>
          <w:rFonts w:hint="eastAsia" w:ascii="仿宋_GB2312" w:eastAsia="仿宋_GB2312"/>
          <w:sz w:val="32"/>
          <w:szCs w:val="32"/>
        </w:rPr>
        <w:t>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14:paraId="4F64D7CD">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6.</w:t>
      </w:r>
      <w:r>
        <w:rPr>
          <w:rFonts w:hint="eastAsia" w:ascii="仿宋_GB2312" w:eastAsia="仿宋_GB2312"/>
          <w:sz w:val="32"/>
          <w:szCs w:val="32"/>
        </w:rPr>
        <w:t>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14:paraId="764197A7">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7.</w:t>
      </w:r>
      <w:r>
        <w:rPr>
          <w:rFonts w:hint="eastAsia" w:ascii="仿宋_GB2312" w:eastAsia="仿宋_GB2312"/>
          <w:sz w:val="32"/>
          <w:szCs w:val="32"/>
        </w:rPr>
        <w:t>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组织有关部门搞好以工代赈项目的规划、论证和可行性研究；组织工程主管部门对全区以工代赈项目工程进行检查、验收和管理。</w:t>
      </w:r>
    </w:p>
    <w:p w14:paraId="70F38509">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8.</w:t>
      </w:r>
      <w:r>
        <w:rPr>
          <w:rFonts w:hint="eastAsia" w:ascii="仿宋_GB2312" w:eastAsia="仿宋_GB2312"/>
          <w:sz w:val="32"/>
          <w:szCs w:val="32"/>
        </w:rPr>
        <w:t>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14:paraId="663A5586">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9.</w:t>
      </w:r>
      <w:r>
        <w:rPr>
          <w:rFonts w:hint="eastAsia" w:ascii="仿宋_GB2312" w:eastAsia="仿宋_GB2312"/>
          <w:sz w:val="32"/>
          <w:szCs w:val="32"/>
        </w:rPr>
        <w:t>推进经济结构战略性调整。组织拟订全区综合性产业政策，负责协调第一、二、三产业发展的重大问题，衔接平衡相关发展规划和重大政策，协调农业和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14:paraId="07A3100B">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10.</w:t>
      </w:r>
      <w:r>
        <w:rPr>
          <w:rFonts w:hint="eastAsia" w:ascii="仿宋_GB2312" w:eastAsia="仿宋_GB2312"/>
          <w:sz w:val="32"/>
          <w:szCs w:val="32"/>
        </w:rPr>
        <w:t>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14:paraId="07B2F6B7">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11.</w:t>
      </w:r>
      <w:r>
        <w:rPr>
          <w:rFonts w:hint="eastAsia" w:ascii="仿宋_GB2312" w:eastAsia="仿宋_GB2312"/>
          <w:sz w:val="32"/>
          <w:szCs w:val="32"/>
        </w:rPr>
        <w:t>负责重要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14:paraId="6E332D04">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12.</w:t>
      </w:r>
      <w:r>
        <w:rPr>
          <w:rFonts w:hint="eastAsia" w:ascii="仿宋_GB2312" w:eastAsia="仿宋_GB2312"/>
          <w:sz w:val="32"/>
          <w:szCs w:val="32"/>
        </w:rPr>
        <w:t>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14:paraId="3A7EC546">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13.</w:t>
      </w:r>
      <w:r>
        <w:rPr>
          <w:rFonts w:hint="eastAsia" w:ascii="仿宋_GB2312" w:eastAsia="仿宋_GB2312"/>
          <w:sz w:val="32"/>
          <w:szCs w:val="32"/>
        </w:rPr>
        <w:t>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组织实施国家和区应对气候变化重大战略规划和政策，组织拟订全区应对气候变化的规划和政策措施。贯彻执行国家和省、市有关低碳发展战略、方针和政策。</w:t>
      </w:r>
    </w:p>
    <w:p w14:paraId="4AB5AE82">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14.</w:t>
      </w:r>
      <w:r>
        <w:rPr>
          <w:rFonts w:hint="eastAsia" w:ascii="仿宋_GB2312" w:eastAsia="仿宋_GB2312"/>
          <w:sz w:val="32"/>
          <w:szCs w:val="32"/>
        </w:rPr>
        <w:t>会同有关部门拟定革命老区、贫困地区经济发展规划，会同有关部门制定加快革命老区、贫困地区经济发展的重大政策，协调推进重大项目建设，促进经济社会持续、稳定、协调发展。</w:t>
      </w:r>
    </w:p>
    <w:p w14:paraId="4A76D133">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15.</w:t>
      </w:r>
      <w:r>
        <w:rPr>
          <w:rFonts w:hint="eastAsia" w:ascii="仿宋_GB2312" w:eastAsia="仿宋_GB2312"/>
          <w:sz w:val="32"/>
          <w:szCs w:val="32"/>
        </w:rPr>
        <w:t>指导、协调并综合管理全区招标投标工作，按照职责权限对国家、省和市重大建设项目建设过程中的工程招标投标活动实施监督检查。</w:t>
      </w:r>
    </w:p>
    <w:p w14:paraId="665E5A05">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16.</w:t>
      </w:r>
      <w:r>
        <w:rPr>
          <w:rFonts w:hint="eastAsia" w:ascii="仿宋_GB2312" w:eastAsia="仿宋_GB2312"/>
          <w:sz w:val="32"/>
          <w:szCs w:val="32"/>
        </w:rPr>
        <w:t>负责与市发展改革委、市交通运输局等市级单位的工作衔接，按要求负责组织协调和处理全区铁路和高速公路建设等国家、省、市重大项目前期工作、征地拆迁、建设过程中涉及的重大问题，协同做好全区铁路和高速公路建设规划及年度计划编制的相关工作。</w:t>
      </w:r>
    </w:p>
    <w:p w14:paraId="1CBE37B0">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17.</w:t>
      </w:r>
      <w:r>
        <w:rPr>
          <w:rFonts w:hint="eastAsia" w:ascii="仿宋_GB2312" w:eastAsia="仿宋_GB2312"/>
          <w:sz w:val="32"/>
          <w:szCs w:val="32"/>
        </w:rPr>
        <w:t>负责组织编制全区国民经济动员与装备动员规划、计划，研究国民经济动员与装备动员和国民经济、国防建设的关系，协调相关重大问题，组织实施国民经济动员与装备动员有关工作。</w:t>
      </w:r>
    </w:p>
    <w:p w14:paraId="2A76FE0F">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18.</w:t>
      </w:r>
      <w:r>
        <w:rPr>
          <w:rFonts w:hint="eastAsia" w:ascii="仿宋_GB2312" w:eastAsia="仿宋_GB2312"/>
          <w:sz w:val="32"/>
          <w:szCs w:val="32"/>
        </w:rPr>
        <w:t>拟订全区能源发展战略、总体规划、行业规划和产业政策并组织实施，研究提出促进能源发展、提高能源保障、优化能源结构、推进能源节约的措施方法，拟订全区能源相关体制改革的实施方案。负责全区能源行业管理，协调全区能源建设的重大问题，指导能源行业节能、资源综合利用和能源科技进步工作，推广应用新产品、新技术、新设备。负责电动汽车充电设施发展的相关工作，根据电动汽车的发展规划和产业政策，牵头拟订电动汽车充电设施的发展规划和扶持政策。</w:t>
      </w:r>
    </w:p>
    <w:p w14:paraId="55FF81B4">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19.</w:t>
      </w:r>
      <w:r>
        <w:rPr>
          <w:rFonts w:hint="eastAsia" w:ascii="仿宋_GB2312" w:eastAsia="仿宋_GB2312"/>
          <w:sz w:val="32"/>
          <w:szCs w:val="32"/>
        </w:rPr>
        <w:t>承担区创新政府投融资体制和项目融资工作领导小组、区实施西部大开发领导小组、区低碳发展领导小组、区经济动员领导小组的具体工作。</w:t>
      </w:r>
    </w:p>
    <w:p w14:paraId="3B744B9E">
      <w:pPr>
        <w:spacing w:beforeLines="0" w:afterLines="0" w:line="576" w:lineRule="exact"/>
        <w:ind w:firstLine="640" w:firstLineChars="200"/>
        <w:rPr>
          <w:rFonts w:hint="default" w:ascii="Times New Roman" w:eastAsia="仿宋_GB2312"/>
          <w:sz w:val="32"/>
          <w:szCs w:val="32"/>
        </w:rPr>
      </w:pPr>
      <w:r>
        <w:rPr>
          <w:rFonts w:hint="default" w:ascii="Times New Roman" w:eastAsia="仿宋_GB2312"/>
          <w:sz w:val="32"/>
          <w:szCs w:val="32"/>
        </w:rPr>
        <w:t>2</w:t>
      </w:r>
      <w:r>
        <w:rPr>
          <w:rFonts w:hint="eastAsia" w:ascii="Times New Roman" w:eastAsia="仿宋_GB2312"/>
          <w:sz w:val="32"/>
          <w:szCs w:val="32"/>
        </w:rPr>
        <w:t>0</w:t>
      </w:r>
      <w:r>
        <w:rPr>
          <w:rFonts w:hint="default" w:ascii="Times New Roman" w:eastAsia="仿宋_GB2312"/>
          <w:sz w:val="32"/>
          <w:szCs w:val="32"/>
        </w:rPr>
        <w:t>.</w:t>
      </w:r>
      <w:r>
        <w:rPr>
          <w:rFonts w:hint="eastAsia" w:ascii="仿宋_GB2312" w:eastAsia="仿宋_GB2312"/>
          <w:sz w:val="32"/>
          <w:szCs w:val="32"/>
        </w:rPr>
        <w:t>承办区政府公布的有关行政审批事项。</w:t>
      </w:r>
    </w:p>
    <w:p w14:paraId="24324BC8">
      <w:pPr>
        <w:overflowPunct w:val="0"/>
        <w:topLinePunct/>
        <w:spacing w:beforeLines="0" w:afterLines="0" w:line="576" w:lineRule="exact"/>
        <w:ind w:firstLine="640" w:firstLineChars="200"/>
        <w:jc w:val="both"/>
        <w:rPr>
          <w:rFonts w:hint="default" w:ascii="Times New Roman" w:eastAsia="仿宋_GB2312"/>
          <w:sz w:val="32"/>
          <w:szCs w:val="32"/>
        </w:rPr>
      </w:pPr>
      <w:r>
        <w:rPr>
          <w:rFonts w:hint="default" w:ascii="Times New Roman" w:eastAsia="仿宋_GB2312"/>
          <w:sz w:val="32"/>
          <w:szCs w:val="32"/>
        </w:rPr>
        <w:t>2</w:t>
      </w:r>
      <w:r>
        <w:rPr>
          <w:rFonts w:hint="eastAsia" w:ascii="Times New Roman" w:eastAsia="仿宋_GB2312"/>
          <w:sz w:val="32"/>
          <w:szCs w:val="32"/>
        </w:rPr>
        <w:t>1</w:t>
      </w:r>
      <w:r>
        <w:rPr>
          <w:rFonts w:hint="default" w:ascii="Times New Roman" w:eastAsia="仿宋_GB2312"/>
          <w:sz w:val="32"/>
          <w:szCs w:val="32"/>
        </w:rPr>
        <w:t>.</w:t>
      </w:r>
      <w:r>
        <w:rPr>
          <w:rFonts w:hint="eastAsia" w:ascii="仿宋_GB2312" w:eastAsia="仿宋_GB2312"/>
          <w:sz w:val="32"/>
          <w:szCs w:val="32"/>
        </w:rPr>
        <w:t>承办区政府交办的其他事项。</w:t>
      </w:r>
    </w:p>
    <w:p w14:paraId="6957DD1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（二）2023年重点工作完成情况。</w:t>
      </w:r>
    </w:p>
    <w:p w14:paraId="5D194B09">
      <w:pPr>
        <w:overflowPunct w:val="0"/>
        <w:topLinePunct/>
        <w:spacing w:beforeLines="0" w:afterLines="0"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一是承担全省生态产品价值实现机制现场会小寺山、物流园两个参观点筹备。创新生态产品价值实现三大阶段目标、一张区域蓝图、三大工作机制、四大叠加效益的“3134”发展模式，经验获得国家发改委、省发改委好评。启动全域生态产品价值总值（GEP）核算工作，柏林沟镇成功申报广元市生态产品价值实现机制试点示范乡镇。二是中省预算内、政府专项债、新增国债项目资金争取实现重大突破。争取采煤沉陷区避险搬迁、太公红军山烈士陵园建设等中省预算内项目16个、到位资金1.98亿元，其中昭化区重点采煤沉陷区综合治理项目连续三年获得中央预算内产业项目资金支持。发行债券项目4个，发行资金4.47亿元，较去年增加0.4亿元。上报2024年第一批专债需求项目9个、总投资65.09亿元、资金需求12.92亿元。增发国债项目28个，总投资12.84亿元、拟争取国债资金8.32亿元。三是项目投资实现稳中有进。预计全年完成区本级投资36.9亿元，完成市下目标36.15亿元的102%。按月调度"四个一批"项目推进情况，定期收集项目存在的困难问题，组织召开要素保障专班调度会协调解决问题，成功举办广元市2023年第三、四季度重大项目现场推进活动、全市三季度项目投资“拉练评比”现场总结会。四是</w:t>
      </w:r>
      <w:r>
        <w:rPr>
          <w:rFonts w:hint="default" w:ascii="Times New Roman" w:eastAsia="仿宋_GB2312"/>
          <w:sz w:val="32"/>
          <w:szCs w:val="32"/>
        </w:rPr>
        <w:t>“</w:t>
      </w:r>
      <w:r>
        <w:rPr>
          <w:rFonts w:hint="eastAsia" w:ascii="仿宋_GB2312" w:eastAsia="仿宋_GB2312"/>
          <w:sz w:val="32"/>
          <w:szCs w:val="32"/>
        </w:rPr>
        <w:t>十四五”中期评估有序推进。起草“十四五”规划中期评估报告，已先后三次征求区级部门意见建议并按程序送审，编制完成《国省“十四五”规划重大事项昭化机遇清单》《广元市昭化区“十四五”规划〈纲要〉重大项目中期评估情况清单》</w:t>
      </w:r>
      <w:r>
        <w:rPr>
          <w:rFonts w:hint="default" w:ascii="Times New Roman" w:eastAsia="仿宋_GB2312"/>
          <w:sz w:val="32"/>
          <w:szCs w:val="32"/>
        </w:rPr>
        <w:t>“</w:t>
      </w:r>
      <w:r>
        <w:rPr>
          <w:rFonts w:hint="eastAsia" w:ascii="仿宋_GB2312" w:eastAsia="仿宋_GB2312"/>
          <w:sz w:val="32"/>
          <w:szCs w:val="32"/>
        </w:rPr>
        <w:t>两张清单”，汇总拟争取国省机遇事项61项，拟新增重大项目59个、总投资超150亿元。五是重点产业专班服务“全链条”。优化“1+13”个重点产业专班，对重点产业项目谋划、储备、招引、签约、建设等全产业链条的推进提供服务保障，成功签约千川门窗西部智造基地项目、昭化区葭萌不夜城项目等项目59个，总投资173.97亿元；开工项目49个，总投资61.91亿元；竣工项目74个；盘活问题项目（企业）3个。荣获全市</w:t>
      </w:r>
      <w:r>
        <w:rPr>
          <w:rFonts w:hint="default" w:ascii="Times New Roman" w:eastAsia="仿宋_GB2312"/>
          <w:sz w:val="32"/>
          <w:szCs w:val="32"/>
        </w:rPr>
        <w:t>10</w:t>
      </w:r>
      <w:r>
        <w:rPr>
          <w:rFonts w:hint="eastAsia" w:ascii="仿宋_GB2312" w:eastAsia="仿宋_GB2312"/>
          <w:sz w:val="32"/>
          <w:szCs w:val="32"/>
        </w:rPr>
        <w:t>月重点产业发展月度“流动红旗”。六是扎实写好两项改革“后半篇”文章。统筹推进清水镇、太公镇、虎跳镇、青牛镇4个镇的干部周转房项目建设，充分发挥部门牵头和统筹职能。七是粮食安全再上新台阶。山清米业参加第五届中国粮食交易大会优质粮油产品展览会及第三届全国脱贫地区优质特色粮油产品展销会和</w:t>
      </w:r>
      <w:r>
        <w:rPr>
          <w:rFonts w:hint="eastAsia" w:ascii="仿宋_GB2312" w:eastAsia="仿宋_GB2312"/>
          <w:sz w:val="32"/>
          <w:szCs w:val="32"/>
          <w:lang w:val="en"/>
        </w:rPr>
        <w:t>“天府菜油”“齐鲁粮油”乌鲁木齐联合推介会暨2023“鲁川新”粮食产业发展合作洽谈会</w:t>
      </w:r>
      <w:r>
        <w:rPr>
          <w:rFonts w:hint="eastAsia" w:ascii="仿宋_GB2312" w:eastAsia="仿宋_GB2312"/>
          <w:sz w:val="32"/>
          <w:szCs w:val="32"/>
        </w:rPr>
        <w:t>，“王家贡米”区域公用品牌推介及品牌发布会成功在成都召开，“王家贡米”入选全国优质粮食区域公用品牌传播案例展示交流。</w:t>
      </w:r>
    </w:p>
    <w:p w14:paraId="43BB7C8D">
      <w:pPr>
        <w:pStyle w:val="4"/>
        <w:overflowPunct w:val="0"/>
        <w:topLinePunct/>
        <w:spacing w:beforeLines="0" w:afterLines="0"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1071F2AF">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广元市昭化区发展和改革局属于一级预算单位，无下属二级预算单位，下设独立编制机构0个，其中行政机构0个，参照公务员法管理的事业机构0个，其他事业机构0个。</w:t>
      </w:r>
    </w:p>
    <w:p w14:paraId="57A300E6">
      <w:pPr>
        <w:pStyle w:val="15"/>
        <w:spacing w:beforeLines="0" w:afterLines="0"/>
        <w:rPr>
          <w:rFonts w:hint="eastAsia"/>
          <w:sz w:val="24"/>
          <w:szCs w:val="24"/>
        </w:rPr>
      </w:pPr>
    </w:p>
    <w:p w14:paraId="237F5940">
      <w:pPr>
        <w:overflowPunct w:val="0"/>
        <w:topLinePunct/>
        <w:spacing w:beforeLines="0" w:afterLines="0"/>
        <w:jc w:val="center"/>
        <w:rPr>
          <w:rFonts w:hint="eastAsia" w:ascii="方正小标宋简体" w:eastAsia="方正小标宋简体"/>
          <w:sz w:val="44"/>
          <w:szCs w:val="44"/>
        </w:rPr>
      </w:pPr>
      <w:r>
        <w:rPr>
          <w:rFonts w:hint="eastAsia" w:ascii="方正小标宋简体" w:eastAsia="方正小标宋简体"/>
          <w:sz w:val="44"/>
          <w:szCs w:val="44"/>
        </w:rPr>
        <w:t>第二部分 2023年度单位决算情况说明</w:t>
      </w:r>
    </w:p>
    <w:p w14:paraId="28EB810E">
      <w:pPr>
        <w:pStyle w:val="6"/>
        <w:spacing w:before="72" w:afterLines="0"/>
        <w:rPr>
          <w:rFonts w:hint="eastAsia"/>
          <w:sz w:val="30"/>
          <w:szCs w:val="24"/>
        </w:rPr>
      </w:pPr>
    </w:p>
    <w:p w14:paraId="41F5E82A">
      <w:pPr>
        <w:pStyle w:val="4"/>
        <w:overflowPunct w:val="0"/>
        <w:topLinePunct/>
        <w:spacing w:beforeLines="0" w:afterLines="0" w:line="576" w:lineRule="exact"/>
        <w:ind w:firstLine="640" w:firstLineChars="200"/>
        <w:jc w:val="both"/>
        <w:rPr>
          <w:rFonts w:hint="eastAsia" w:ascii="黑体" w:hAnsi="黑体" w:eastAsia="黑体"/>
          <w:color w:val="0000FF"/>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 xml:space="preserve">入支出决算总体情况说明    </w:t>
      </w:r>
    </w:p>
    <w:p w14:paraId="4CFC519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2023年度收、支总计均为6468.61万元。与2022年度相比，收、支总计各减少9794.48万元，下降60.2%。主要变动原因是转移性项目减少。</w:t>
      </w:r>
    </w:p>
    <w:p w14:paraId="1DC71CD7">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59264" behindDoc="1" locked="0" layoutInCell="1" allowOverlap="1">
            <wp:simplePos x="0" y="0"/>
            <wp:positionH relativeFrom="column">
              <wp:posOffset>327025</wp:posOffset>
            </wp:positionH>
            <wp:positionV relativeFrom="paragraph">
              <wp:posOffset>6985</wp:posOffset>
            </wp:positionV>
            <wp:extent cx="4838700" cy="2762250"/>
            <wp:effectExtent l="9525" t="9525" r="9525" b="9525"/>
            <wp:wrapTight wrapText="bothSides">
              <wp:wrapPolygon>
                <wp:start x="21592" y="-2"/>
                <wp:lineTo x="0" y="0"/>
                <wp:lineTo x="0" y="21600"/>
                <wp:lineTo x="21592" y="21602"/>
                <wp:lineTo x="8" y="21602"/>
                <wp:lineTo x="21600" y="21600"/>
                <wp:lineTo x="21600" y="0"/>
                <wp:lineTo x="8" y="-2"/>
                <wp:lineTo x="21592" y="-2"/>
              </wp:wrapPolygon>
            </wp:wrapTight>
            <wp:docPr id="1" name="鍥剧墖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鍥剧墖 3"/>
                    <pic:cNvPicPr>
                      <a:picLocks noChangeAspect="1"/>
                    </pic:cNvPicPr>
                  </pic:nvPicPr>
                  <pic:blipFill>
                    <a:blip r:embed="rId5"/>
                    <a:stretch>
                      <a:fillRect/>
                    </a:stretch>
                  </pic:blipFill>
                  <pic:spPr>
                    <a:xfrm>
                      <a:off x="0" y="0"/>
                      <a:ext cx="4838700" cy="2762250"/>
                    </a:xfrm>
                    <a:prstGeom prst="rect">
                      <a:avLst/>
                    </a:prstGeom>
                    <a:solidFill>
                      <a:srgbClr val="9BBB59"/>
                    </a:solidFill>
                    <a:ln w="9525" cap="flat" cmpd="sng">
                      <a:solidFill>
                        <a:srgbClr val="4F81BD"/>
                      </a:solidFill>
                      <a:prstDash val="solid"/>
                      <a:miter/>
                      <a:headEnd type="none" w="med" len="med"/>
                      <a:tailEnd type="none" w="med" len="med"/>
                    </a:ln>
                  </pic:spPr>
                </pic:pic>
              </a:graphicData>
            </a:graphic>
          </wp:anchor>
        </w:drawing>
      </w:r>
    </w:p>
    <w:p w14:paraId="4FCDCB3C">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20E7596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2023年本年收入合计6468.61万元，其中：一般公共预算财政拨款收入6368.61万元，占98.5%；政府性基金预算财政拨款收入100万元，占1.5%。</w:t>
      </w:r>
    </w:p>
    <w:p w14:paraId="0D184A52">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60288" behindDoc="0" locked="0" layoutInCell="1" allowOverlap="1">
            <wp:simplePos x="0" y="0"/>
            <wp:positionH relativeFrom="column">
              <wp:posOffset>85090</wp:posOffset>
            </wp:positionH>
            <wp:positionV relativeFrom="paragraph">
              <wp:posOffset>198755</wp:posOffset>
            </wp:positionV>
            <wp:extent cx="4838700" cy="2590800"/>
            <wp:effectExtent l="0" t="0" r="0" b="0"/>
            <wp:wrapTopAndBottom/>
            <wp:docPr id="2" name="鍥捐〃 11"/>
            <wp:cNvGraphicFramePr/>
            <a:graphic xmlns:a="http://schemas.openxmlformats.org/drawingml/2006/main">
              <a:graphicData uri="http://schemas.openxmlformats.org/drawingml/2006/picture">
                <pic:pic xmlns:pic="http://schemas.openxmlformats.org/drawingml/2006/picture">
                  <pic:nvPicPr>
                    <pic:cNvPr id="2" name="鍥捐〃 11"/>
                    <pic:cNvPicPr/>
                  </pic:nvPicPr>
                  <pic:blipFill>
                    <a:blip r:embed="rId6"/>
                    <a:stretch>
                      <a:fillRect/>
                    </a:stretch>
                  </pic:blipFill>
                  <pic:spPr>
                    <a:xfrm>
                      <a:off x="0" y="0"/>
                      <a:ext cx="4838700" cy="2590800"/>
                    </a:xfrm>
                    <a:prstGeom prst="rect">
                      <a:avLst/>
                    </a:prstGeom>
                    <a:noFill/>
                    <a:ln>
                      <a:noFill/>
                    </a:ln>
                  </pic:spPr>
                </pic:pic>
              </a:graphicData>
            </a:graphic>
          </wp:anchor>
        </w:drawing>
      </w:r>
    </w:p>
    <w:p w14:paraId="52617128">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39E39FAC">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61312" behindDoc="0" locked="0" layoutInCell="1" allowOverlap="1">
            <wp:simplePos x="0" y="0"/>
            <wp:positionH relativeFrom="column">
              <wp:posOffset>26670</wp:posOffset>
            </wp:positionH>
            <wp:positionV relativeFrom="paragraph">
              <wp:posOffset>866140</wp:posOffset>
            </wp:positionV>
            <wp:extent cx="4838700" cy="2762250"/>
            <wp:effectExtent l="0" t="0" r="0" b="0"/>
            <wp:wrapTopAndBottom/>
            <wp:docPr id="3" name="鍥捐〃 12"/>
            <wp:cNvGraphicFramePr/>
            <a:graphic xmlns:a="http://schemas.openxmlformats.org/drawingml/2006/main">
              <a:graphicData uri="http://schemas.openxmlformats.org/drawingml/2006/picture">
                <pic:pic xmlns:pic="http://schemas.openxmlformats.org/drawingml/2006/picture">
                  <pic:nvPicPr>
                    <pic:cNvPr id="3" name="鍥捐〃 12"/>
                    <pic:cNvPicPr/>
                  </pic:nvPicPr>
                  <pic:blipFill>
                    <a:blip r:embed="rId7"/>
                    <a:stretch>
                      <a:fillRect/>
                    </a:stretch>
                  </pic:blipFill>
                  <pic:spPr>
                    <a:xfrm>
                      <a:off x="0" y="0"/>
                      <a:ext cx="4838700" cy="276225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2023年本年支出合计6468.61万元，其中：基本支出887.07万元，占13.7%；项目支出5581.54万元，占86.3%。</w:t>
      </w:r>
    </w:p>
    <w:p w14:paraId="05CA1871">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75F9140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2023年度财政拨款收、支总计均为6468.61万元。与2022年度相比，财政拨款收、支总计各减少9794.48万元，下降60.2%。主要变动原因是转移性项目减少。</w:t>
      </w:r>
    </w:p>
    <w:p w14:paraId="41E1D127">
      <w:pPr>
        <w:overflowPunct w:val="0"/>
        <w:topLinePunct/>
        <w:spacing w:beforeLines="0" w:afterLines="0" w:line="576" w:lineRule="exact"/>
        <w:ind w:firstLine="480" w:firstLineChars="200"/>
        <w:jc w:val="both"/>
        <w:rPr>
          <w:rFonts w:hint="eastAsia" w:ascii="黑体" w:hAnsi="黑体" w:eastAsia="黑体"/>
          <w:kern w:val="2"/>
          <w:sz w:val="32"/>
          <w:szCs w:val="24"/>
        </w:rPr>
      </w:pPr>
      <w:r>
        <w:rPr>
          <w:rFonts w:hint="default"/>
          <w:sz w:val="24"/>
          <w:szCs w:val="24"/>
        </w:rPr>
        <w:drawing>
          <wp:anchor distT="0" distB="0" distL="114300" distR="114300" simplePos="0" relativeHeight="251662336" behindDoc="0" locked="0" layoutInCell="1" allowOverlap="1">
            <wp:simplePos x="0" y="0"/>
            <wp:positionH relativeFrom="column">
              <wp:posOffset>326390</wp:posOffset>
            </wp:positionH>
            <wp:positionV relativeFrom="paragraph">
              <wp:posOffset>93980</wp:posOffset>
            </wp:positionV>
            <wp:extent cx="4838700" cy="2762250"/>
            <wp:effectExtent l="0" t="0" r="0" b="0"/>
            <wp:wrapTopAndBottom/>
            <wp:docPr id="4" name="鍥捐〃 13"/>
            <wp:cNvGraphicFramePr/>
            <a:graphic xmlns:a="http://schemas.openxmlformats.org/drawingml/2006/main">
              <a:graphicData uri="http://schemas.openxmlformats.org/drawingml/2006/picture">
                <pic:pic xmlns:pic="http://schemas.openxmlformats.org/drawingml/2006/picture">
                  <pic:nvPicPr>
                    <pic:cNvPr id="4" name="鍥捐〃 13"/>
                    <pic:cNvPicPr/>
                  </pic:nvPicPr>
                  <pic:blipFill>
                    <a:blip r:embed="rId8"/>
                    <a:stretch>
                      <a:fillRect/>
                    </a:stretch>
                  </pic:blipFill>
                  <pic:spPr>
                    <a:xfrm>
                      <a:off x="0" y="0"/>
                      <a:ext cx="4838700" cy="2762250"/>
                    </a:xfrm>
                    <a:prstGeom prst="rect">
                      <a:avLst/>
                    </a:prstGeom>
                    <a:noFill/>
                    <a:ln>
                      <a:noFill/>
                    </a:ln>
                  </pic:spPr>
                </pic:pic>
              </a:graphicData>
            </a:graphic>
          </wp:anchor>
        </w:drawing>
      </w: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6D1B1A9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61663B9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2023年度一般公共预算财政拨款支出6368.61万元，占本年支出合计的98.5%。与2022年度相比，一般公共预算财政拨款支出减少</w:t>
      </w:r>
    </w:p>
    <w:p w14:paraId="58DA57FA">
      <w:pPr>
        <w:overflowPunct w:val="0"/>
        <w:topLinePunct/>
        <w:spacing w:beforeLines="0" w:afterLines="0" w:line="576" w:lineRule="exact"/>
        <w:ind w:firstLine="480" w:firstLineChars="200"/>
        <w:jc w:val="both"/>
        <w:rPr>
          <w:rFonts w:hint="eastAsia" w:ascii="仿宋_GB2312" w:hAnsi="仿宋_GB2312" w:eastAsia="仿宋_GB2312"/>
          <w:b/>
          <w:color w:val="000000"/>
          <w:kern w:val="2"/>
          <w:sz w:val="32"/>
          <w:szCs w:val="24"/>
        </w:rPr>
      </w:pPr>
      <w:r>
        <w:rPr>
          <w:rFonts w:hint="default"/>
          <w:sz w:val="24"/>
          <w:szCs w:val="24"/>
        </w:rPr>
        <w:drawing>
          <wp:anchor distT="0" distB="0" distL="114300" distR="114300" simplePos="0" relativeHeight="251663360" behindDoc="0" locked="0" layoutInCell="1" allowOverlap="1">
            <wp:simplePos x="0" y="0"/>
            <wp:positionH relativeFrom="column">
              <wp:posOffset>392430</wp:posOffset>
            </wp:positionH>
            <wp:positionV relativeFrom="paragraph">
              <wp:posOffset>-243840</wp:posOffset>
            </wp:positionV>
            <wp:extent cx="4838700" cy="2762250"/>
            <wp:effectExtent l="0" t="0" r="0" b="0"/>
            <wp:wrapSquare wrapText="bothSides"/>
            <wp:docPr id="5" name="鍥捐〃 14"/>
            <wp:cNvGraphicFramePr/>
            <a:graphic xmlns:a="http://schemas.openxmlformats.org/drawingml/2006/main">
              <a:graphicData uri="http://schemas.openxmlformats.org/drawingml/2006/picture">
                <pic:pic xmlns:pic="http://schemas.openxmlformats.org/drawingml/2006/picture">
                  <pic:nvPicPr>
                    <pic:cNvPr id="5" name="鍥捐〃 14"/>
                    <pic:cNvPicPr/>
                  </pic:nvPicPr>
                  <pic:blipFill>
                    <a:blip r:embed="rId9"/>
                    <a:stretch>
                      <a:fillRect/>
                    </a:stretch>
                  </pic:blipFill>
                  <pic:spPr>
                    <a:xfrm>
                      <a:off x="0" y="0"/>
                      <a:ext cx="4838700" cy="2762250"/>
                    </a:xfrm>
                    <a:prstGeom prst="rect">
                      <a:avLst/>
                    </a:prstGeom>
                    <a:noFill/>
                    <a:ln>
                      <a:noFill/>
                    </a:ln>
                  </pic:spPr>
                </pic:pic>
              </a:graphicData>
            </a:graphic>
          </wp:anchor>
        </w:drawing>
      </w:r>
    </w:p>
    <w:p w14:paraId="306733CC">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p>
    <w:p w14:paraId="23F51B3A">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p>
    <w:p w14:paraId="1FA9CF1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263129C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2023年度一般公共预算财政拨款支出6368.61万元，主要用于以下方面: 一般公共服务支出1587.39万元，占25%；教育支出120万元，占1.9%；社会保障和就业支出127.88万元，占2%；卫生健康支出23.59万元，占0.4%；节能环保支出111万元，占1.7%；农林水支出2693万元，占42.3%；资源勘探工业信息等支出213万元，占3.3%；住房保障支出54.7万元，占0.8%；粮油物资储备支出1438.05万元，占22.6%。</w:t>
      </w:r>
    </w:p>
    <w:p w14:paraId="1B1F957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3C255FC1">
      <w:pPr>
        <w:overflowPunct w:val="0"/>
        <w:topLinePunct/>
        <w:spacing w:beforeLines="0" w:afterLines="0" w:line="576" w:lineRule="exact"/>
        <w:ind w:firstLine="480" w:firstLineChars="200"/>
        <w:jc w:val="both"/>
        <w:rPr>
          <w:rFonts w:hint="eastAsia" w:ascii="仿宋_GB2312" w:hAnsi="仿宋_GB2312" w:eastAsia="仿宋_GB2312"/>
          <w:b/>
          <w:color w:val="000000"/>
          <w:kern w:val="2"/>
          <w:sz w:val="32"/>
          <w:szCs w:val="24"/>
        </w:rPr>
      </w:pPr>
      <w:r>
        <w:rPr>
          <w:rFonts w:hint="default"/>
          <w:sz w:val="24"/>
          <w:szCs w:val="24"/>
        </w:rPr>
        <w:drawing>
          <wp:anchor distT="0" distB="0" distL="114300" distR="114300" simplePos="0" relativeHeight="251664384" behindDoc="1" locked="0" layoutInCell="1" allowOverlap="1">
            <wp:simplePos x="0" y="0"/>
            <wp:positionH relativeFrom="column">
              <wp:posOffset>480060</wp:posOffset>
            </wp:positionH>
            <wp:positionV relativeFrom="paragraph">
              <wp:posOffset>121285</wp:posOffset>
            </wp:positionV>
            <wp:extent cx="4876800" cy="3314700"/>
            <wp:effectExtent l="0" t="0" r="0" b="0"/>
            <wp:wrapTight wrapText="bothSides">
              <wp:wrapPolygon>
                <wp:start x="21592" y="-2"/>
                <wp:lineTo x="0" y="0"/>
                <wp:lineTo x="0" y="21600"/>
                <wp:lineTo x="21592" y="21602"/>
                <wp:lineTo x="8" y="21602"/>
                <wp:lineTo x="21600" y="21600"/>
                <wp:lineTo x="21600" y="0"/>
                <wp:lineTo x="8" y="-2"/>
                <wp:lineTo x="21592" y="-2"/>
              </wp:wrapPolygon>
            </wp:wrapTight>
            <wp:docPr id="6" name="鍥捐〃 1"/>
            <wp:cNvGraphicFramePr/>
            <a:graphic xmlns:a="http://schemas.openxmlformats.org/drawingml/2006/main">
              <a:graphicData uri="http://schemas.openxmlformats.org/drawingml/2006/picture">
                <pic:pic xmlns:pic="http://schemas.openxmlformats.org/drawingml/2006/picture">
                  <pic:nvPicPr>
                    <pic:cNvPr id="6" name="鍥捐〃 1"/>
                    <pic:cNvPicPr/>
                  </pic:nvPicPr>
                  <pic:blipFill>
                    <a:blip r:embed="rId10"/>
                    <a:stretch>
                      <a:fillRect/>
                    </a:stretch>
                  </pic:blipFill>
                  <pic:spPr>
                    <a:xfrm>
                      <a:off x="0" y="0"/>
                      <a:ext cx="4876800" cy="3314700"/>
                    </a:xfrm>
                    <a:prstGeom prst="rect">
                      <a:avLst/>
                    </a:prstGeom>
                    <a:noFill/>
                    <a:ln>
                      <a:noFill/>
                    </a:ln>
                  </pic:spPr>
                </pic:pic>
              </a:graphicData>
            </a:graphic>
          </wp:anchor>
        </w:drawing>
      </w:r>
      <w:r>
        <w:rPr>
          <w:rFonts w:hint="eastAsia" w:ascii="仿宋_GB2312" w:hAnsi="仿宋_GB2312" w:eastAsia="仿宋_GB2312"/>
          <w:b/>
          <w:color w:val="000000"/>
          <w:kern w:val="2"/>
          <w:sz w:val="32"/>
          <w:szCs w:val="24"/>
        </w:rPr>
        <w:t>（三）一般公共预算财政拨款支出决算具体情况</w:t>
      </w:r>
    </w:p>
    <w:p w14:paraId="3734E88B">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2023年度一般公共预算支出全年预算数为6368.61万元，支出决算数为6368.61万元，完成全年预算数的100%。其中：</w:t>
      </w:r>
    </w:p>
    <w:p w14:paraId="2209D214">
      <w:pPr>
        <w:numPr>
          <w:ilvl w:val="0"/>
          <w:numId w:val="0"/>
        </w:num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1.一般公共服务支出（类）发展与改革事务（款）行政运行（项）:</w:t>
      </w:r>
      <w:r>
        <w:rPr>
          <w:rFonts w:hint="eastAsia" w:ascii="仿宋_GB2312" w:hAnsi="仿宋_GB2312" w:eastAsia="仿宋_GB2312"/>
          <w:color w:val="000000"/>
          <w:kern w:val="2"/>
          <w:sz w:val="32"/>
          <w:szCs w:val="24"/>
        </w:rPr>
        <w:t>全年预算为525.44万元，支出决算为525.44万元，完成全年预算的100%。</w:t>
      </w:r>
    </w:p>
    <w:p w14:paraId="10FCED80">
      <w:pPr>
        <w:numPr>
          <w:ilvl w:val="0"/>
          <w:numId w:val="0"/>
        </w:num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2.一般公共服务支出（类）发展与改革事务（款）事业运行（项）:</w:t>
      </w:r>
      <w:r>
        <w:rPr>
          <w:rFonts w:hint="eastAsia" w:ascii="仿宋_GB2312" w:hAnsi="仿宋_GB2312" w:eastAsia="仿宋_GB2312"/>
          <w:color w:val="000000"/>
          <w:kern w:val="2"/>
          <w:sz w:val="32"/>
          <w:szCs w:val="24"/>
        </w:rPr>
        <w:t>全年预算为155.45万元，支出决算为155.45万元，完成全年预算的100%。</w:t>
      </w:r>
    </w:p>
    <w:p w14:paraId="48212744">
      <w:pPr>
        <w:numPr>
          <w:ilvl w:val="0"/>
          <w:numId w:val="0"/>
        </w:num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3.一般公共服务支出（类）发展与改革事务（款）其他发展与改革事务支出（项）:</w:t>
      </w:r>
      <w:r>
        <w:rPr>
          <w:rFonts w:hint="eastAsia" w:ascii="仿宋_GB2312" w:hAnsi="仿宋_GB2312" w:eastAsia="仿宋_GB2312"/>
          <w:color w:val="000000"/>
          <w:kern w:val="2"/>
          <w:sz w:val="32"/>
          <w:szCs w:val="24"/>
        </w:rPr>
        <w:t>全年预算为906.5万元，支出决算为906.5万元，完成全年预算的100%。</w:t>
      </w:r>
    </w:p>
    <w:p w14:paraId="2A96B7AB">
      <w:pPr>
        <w:numPr>
          <w:ilvl w:val="0"/>
          <w:numId w:val="0"/>
        </w:num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4.教育支出（类）其他教育支出（款）其他教育支出（项）:</w:t>
      </w:r>
      <w:r>
        <w:rPr>
          <w:rFonts w:hint="eastAsia" w:ascii="仿宋_GB2312" w:hAnsi="仿宋_GB2312" w:eastAsia="仿宋_GB2312"/>
          <w:color w:val="000000"/>
          <w:kern w:val="2"/>
          <w:sz w:val="32"/>
          <w:szCs w:val="24"/>
        </w:rPr>
        <w:t>全年预算为120万元，支出决算为120万元，完成全年预算的100%。</w:t>
      </w:r>
    </w:p>
    <w:p w14:paraId="5C744395">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5.社会保障和就业支出（类）行政事业单位养老支出（款）行政单位离退休（项）:</w:t>
      </w:r>
      <w:r>
        <w:rPr>
          <w:rFonts w:hint="eastAsia" w:ascii="仿宋_GB2312" w:hAnsi="仿宋_GB2312" w:eastAsia="仿宋_GB2312"/>
          <w:color w:val="000000"/>
          <w:kern w:val="2"/>
          <w:sz w:val="32"/>
          <w:szCs w:val="24"/>
        </w:rPr>
        <w:t>全年预算为52.19万元，支出决算为52.19万元，完成全年预算的100%。</w:t>
      </w:r>
    </w:p>
    <w:p w14:paraId="55D9D69C">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6.社会保障和就业支出（类）行政事业单位养老支出（款）机关事业单位基本养老保险缴费支出（项）: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全年预算为67.61万元，支出决算为67.61万元，完成全年预算的100%。</w:t>
      </w:r>
    </w:p>
    <w:p w14:paraId="4A612608">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7.社会保障和就业支出（类）行政事业单位养老支出（款）机关事业单位职业年金缴费支出（项）:</w:t>
      </w:r>
      <w:r>
        <w:rPr>
          <w:rFonts w:hint="eastAsia" w:ascii="仿宋_GB2312" w:hAnsi="仿宋_GB2312" w:eastAsia="仿宋_GB2312"/>
          <w:color w:val="000000"/>
          <w:kern w:val="2"/>
          <w:sz w:val="32"/>
          <w:szCs w:val="24"/>
        </w:rPr>
        <w:t>全年预算为2.42万元，支出决算为2.42万元，完成全年预算的100%。</w:t>
      </w:r>
    </w:p>
    <w:p w14:paraId="6F07368E">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8.社会保障和就业支出（类）抚恤（款）死亡抚恤（项）:</w:t>
      </w:r>
      <w:r>
        <w:rPr>
          <w:rFonts w:hint="eastAsia" w:ascii="仿宋_GB2312" w:hAnsi="仿宋_GB2312" w:eastAsia="仿宋_GB2312"/>
          <w:color w:val="000000"/>
          <w:kern w:val="2"/>
          <w:sz w:val="32"/>
          <w:szCs w:val="24"/>
        </w:rPr>
        <w:t>全年预算为5.67万元，支出决算为5.67万元，完成全年预算的100%。</w:t>
      </w:r>
    </w:p>
    <w:p w14:paraId="141ADC37">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9.卫生健康支出（类）行政事业单位医疗（款）行政单位医疗（项）:</w:t>
      </w:r>
      <w:r>
        <w:rPr>
          <w:rFonts w:hint="eastAsia" w:ascii="仿宋_GB2312" w:hAnsi="仿宋_GB2312" w:eastAsia="仿宋_GB2312"/>
          <w:color w:val="000000"/>
          <w:kern w:val="2"/>
          <w:sz w:val="32"/>
          <w:szCs w:val="24"/>
        </w:rPr>
        <w:t>全年预算为23.59万元，支出决算为23.59万元，完成全年预算的100%。</w:t>
      </w:r>
    </w:p>
    <w:p w14:paraId="4DB1C67B">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10.节能环保支出（类）其他节能环保支出（款）其他节能环保支出（项）:</w:t>
      </w:r>
      <w:r>
        <w:rPr>
          <w:rFonts w:hint="eastAsia" w:ascii="仿宋_GB2312" w:hAnsi="仿宋_GB2312" w:eastAsia="仿宋_GB2312"/>
          <w:color w:val="000000"/>
          <w:kern w:val="2"/>
          <w:sz w:val="32"/>
          <w:szCs w:val="24"/>
        </w:rPr>
        <w:t>全年预算为111万元，支出决算为111万元，完成全年预算的100%。</w:t>
      </w:r>
    </w:p>
    <w:p w14:paraId="5F2DB461">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11.农林水支出（类）巩固脱贫攻坚成果衔接乡村振兴（款）其他巩固脱贫攻坚成果衔接乡村振兴支出（项）:</w:t>
      </w:r>
      <w:r>
        <w:rPr>
          <w:rFonts w:hint="eastAsia" w:ascii="仿宋_GB2312" w:hAnsi="仿宋_GB2312" w:eastAsia="仿宋_GB2312"/>
          <w:color w:val="000000"/>
          <w:kern w:val="2"/>
          <w:sz w:val="32"/>
          <w:szCs w:val="24"/>
        </w:rPr>
        <w:t>全年预算为1793万元，支出决算为1793万元，完成全年预算的100%。</w:t>
      </w:r>
    </w:p>
    <w:p w14:paraId="78D1BE1D">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12.农林水支出（类）其他农林水支出（款）其他农林水支出（项）:</w:t>
      </w:r>
      <w:r>
        <w:rPr>
          <w:rFonts w:hint="eastAsia" w:ascii="仿宋_GB2312" w:hAnsi="仿宋_GB2312" w:eastAsia="仿宋_GB2312"/>
          <w:color w:val="000000"/>
          <w:kern w:val="2"/>
          <w:sz w:val="32"/>
          <w:szCs w:val="24"/>
        </w:rPr>
        <w:t>全年预算为900万元，支出决算为900万元，完成全年预算的100%。</w:t>
      </w:r>
    </w:p>
    <w:p w14:paraId="14C2ABC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13.资源勘探工业信息等支出（类）其他资源勘探工业信息等支出（款）其他资源勘探工业信息等支出（项）:</w:t>
      </w:r>
      <w:r>
        <w:rPr>
          <w:rFonts w:hint="eastAsia" w:ascii="仿宋_GB2312" w:hAnsi="仿宋_GB2312" w:eastAsia="仿宋_GB2312"/>
          <w:color w:val="000000"/>
          <w:kern w:val="2"/>
          <w:sz w:val="32"/>
          <w:szCs w:val="24"/>
        </w:rPr>
        <w:t>全年预算为213万元，支出决算为213万元，完成全年预算的100%。</w:t>
      </w:r>
    </w:p>
    <w:p w14:paraId="09BB8E62">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14.住房保障支出（类）住房改革支出（款）住房公积金（项）:</w:t>
      </w:r>
      <w:r>
        <w:rPr>
          <w:rFonts w:hint="eastAsia" w:ascii="仿宋_GB2312" w:hAnsi="仿宋_GB2312" w:eastAsia="仿宋_GB2312"/>
          <w:color w:val="000000"/>
          <w:kern w:val="2"/>
          <w:sz w:val="32"/>
          <w:szCs w:val="24"/>
        </w:rPr>
        <w:t>全年预算为54.7万元，支出决算为54.7万元，完成全年预算的100%。</w:t>
      </w:r>
    </w:p>
    <w:p w14:paraId="286FC3E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15.粮油物质储备支出（类）粮油物质事务（款）其他粮油物质事务支出（项）:</w:t>
      </w:r>
      <w:r>
        <w:rPr>
          <w:rFonts w:hint="eastAsia" w:ascii="仿宋_GB2312" w:hAnsi="仿宋_GB2312" w:eastAsia="仿宋_GB2312"/>
          <w:color w:val="000000"/>
          <w:kern w:val="2"/>
          <w:sz w:val="32"/>
          <w:szCs w:val="24"/>
        </w:rPr>
        <w:t>全年预算为1329.45万元，支出决算为1329.45万元，完成全年预算的100%。</w:t>
      </w:r>
    </w:p>
    <w:p w14:paraId="4C9CD072">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16.粮油物质储备支出（类）粮油储备（款）储备粮油补贴（项）:</w:t>
      </w:r>
      <w:r>
        <w:rPr>
          <w:rFonts w:hint="eastAsia" w:ascii="仿宋_GB2312" w:hAnsi="仿宋_GB2312" w:eastAsia="仿宋_GB2312"/>
          <w:color w:val="000000"/>
          <w:kern w:val="2"/>
          <w:sz w:val="32"/>
          <w:szCs w:val="24"/>
        </w:rPr>
        <w:t>全年预算为108.6万元，支出决算为108.6万元，完成全年预算的100%。</w:t>
      </w:r>
    </w:p>
    <w:p w14:paraId="11BE04B5">
      <w:pPr>
        <w:tabs>
          <w:tab w:val="right" w:pos="8306"/>
        </w:tabs>
        <w:overflowPunct w:val="0"/>
        <w:topLinePunct/>
        <w:spacing w:beforeLines="0" w:afterLines="0"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1EA3E96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2023年度一般公共预算财政拨款基本支出887.07万元，其中：</w:t>
      </w:r>
    </w:p>
    <w:p w14:paraId="3359B34F">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686.79万元，主要包括：基本工资189.35万元、津贴补贴57.22万元、奖金159.64万元、绩效工资58.34万元、机关事业单位基本养老保险缴费67.61万元、职业年金缴费2.42万元、职工基本医疗保险缴费23.59万元、住房公积金54.7万元、其他工资福利支出3.62万元、抚恤金5.67万元、生活补助56.76万元、奖励金0.01万元、其他对个人和家庭的补助支出7.86万元。</w:t>
      </w:r>
    </w:p>
    <w:p w14:paraId="3331A822">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200.28万元，主要包括：办公费22.17万元、印刷费10.8万元、咨询费1万元、手续费0.1万元、水费0.2万元、电费4.5万元、邮电费0.6万元、差旅费7.5万元、维修（护）费0.4万元、租赁费1万元、会议费1.5万元、培训费0.1万元、公务接待费6万元、劳务费1万元、委托业务费80万元、工会经费3.5万元、其他交通费1.85万元、其他商品和服务支出58.06万元。</w:t>
      </w:r>
    </w:p>
    <w:p w14:paraId="7267DFD4">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2F504EB0">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25EE134B">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2023年度“三公”经费财政拨款支出预算为11.5万元，支出决算为6万元，完成预算的52.2%；较上年减少5.77万元，下降49.1%。决算数小于预算数的主要原因是</w:t>
      </w:r>
      <w:r>
        <w:rPr>
          <w:rFonts w:hint="eastAsia" w:ascii="仿宋_GB2312" w:eastAsia="仿宋_GB2312"/>
          <w:color w:val="auto"/>
          <w:sz w:val="32"/>
          <w:szCs w:val="32"/>
        </w:rPr>
        <w:t>严格执行</w:t>
      </w:r>
      <w:r>
        <w:rPr>
          <w:rFonts w:hint="eastAsia" w:ascii="仿宋_GB2312" w:eastAsia="仿宋_GB2312"/>
          <w:color w:val="auto"/>
          <w:sz w:val="32"/>
          <w:szCs w:val="32"/>
          <w:lang w:eastAsia="zh-CN"/>
        </w:rPr>
        <w:t>中央八项规定</w:t>
      </w:r>
      <w:r>
        <w:rPr>
          <w:rFonts w:hint="eastAsia" w:ascii="仿宋_GB2312" w:eastAsia="仿宋_GB2312"/>
          <w:color w:val="auto"/>
          <w:sz w:val="32"/>
          <w:szCs w:val="32"/>
        </w:rPr>
        <w:t>，厉行节约，同时接待检查、督查工作减少</w:t>
      </w:r>
      <w:r>
        <w:rPr>
          <w:rFonts w:hint="eastAsia" w:ascii="仿宋_GB2312" w:hAnsi="仿宋_GB2312" w:eastAsia="仿宋_GB2312"/>
          <w:color w:val="000000"/>
          <w:kern w:val="2"/>
          <w:sz w:val="32"/>
          <w:szCs w:val="24"/>
        </w:rPr>
        <w:t>。</w:t>
      </w:r>
    </w:p>
    <w:p w14:paraId="53E5301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2EB7D73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2023年度“三公”经费财政拨款支出决算中，因公出国（境）费支出决算0万元，占0%；公务用车购置及运行维护费支出决算0万元，占0%；公务接待费支出决算6万元，占52.2%。具体情况如下：</w:t>
      </w:r>
    </w:p>
    <w:p w14:paraId="76148267">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65408" behindDoc="1" locked="0" layoutInCell="1" allowOverlap="1">
            <wp:simplePos x="0" y="0"/>
            <wp:positionH relativeFrom="column">
              <wp:posOffset>106680</wp:posOffset>
            </wp:positionH>
            <wp:positionV relativeFrom="paragraph">
              <wp:posOffset>76835</wp:posOffset>
            </wp:positionV>
            <wp:extent cx="4876800" cy="2762250"/>
            <wp:effectExtent l="0" t="0" r="0" b="0"/>
            <wp:wrapTight wrapText="bothSides">
              <wp:wrapPolygon>
                <wp:start x="21592" y="-2"/>
                <wp:lineTo x="0" y="0"/>
                <wp:lineTo x="0" y="21600"/>
                <wp:lineTo x="21592" y="21602"/>
                <wp:lineTo x="8" y="21602"/>
                <wp:lineTo x="21600" y="21600"/>
                <wp:lineTo x="21600" y="0"/>
                <wp:lineTo x="8" y="-2"/>
                <wp:lineTo x="21592" y="-2"/>
              </wp:wrapPolygon>
            </wp:wrapTight>
            <wp:docPr id="7" name="鍥捐〃 2"/>
            <wp:cNvGraphicFramePr/>
            <a:graphic xmlns:a="http://schemas.openxmlformats.org/drawingml/2006/main">
              <a:graphicData uri="http://schemas.openxmlformats.org/drawingml/2006/picture">
                <pic:pic xmlns:pic="http://schemas.openxmlformats.org/drawingml/2006/picture">
                  <pic:nvPicPr>
                    <pic:cNvPr id="7" name="鍥捐〃 2"/>
                    <pic:cNvPicPr/>
                  </pic:nvPicPr>
                  <pic:blipFill>
                    <a:blip r:embed="rId11"/>
                    <a:stretch>
                      <a:fillRect/>
                    </a:stretch>
                  </pic:blipFill>
                  <pic:spPr>
                    <a:xfrm>
                      <a:off x="0" y="0"/>
                      <a:ext cx="4876800" cy="2762250"/>
                    </a:xfrm>
                    <a:prstGeom prst="rect">
                      <a:avLst/>
                    </a:prstGeom>
                    <a:noFill/>
                    <a:ln>
                      <a:noFill/>
                    </a:ln>
                  </pic:spPr>
                </pic:pic>
              </a:graphicData>
            </a:graphic>
          </wp:anchor>
        </w:drawing>
      </w:r>
    </w:p>
    <w:p w14:paraId="5AADE7C5">
      <w:pPr>
        <w:spacing w:beforeLines="0" w:afterLines="0" w:line="576" w:lineRule="exact"/>
        <w:ind w:firstLine="645"/>
        <w:rPr>
          <w:rFonts w:hint="eastAsia" w:ascii="仿宋_GB2312" w:hAnsi="仿宋_GB2312" w:eastAsia="仿宋_GB2312"/>
          <w:b/>
          <w:color w:val="000000"/>
          <w:kern w:val="2"/>
          <w:sz w:val="32"/>
          <w:szCs w:val="24"/>
        </w:rPr>
      </w:pPr>
    </w:p>
    <w:p w14:paraId="409CCA19">
      <w:pPr>
        <w:spacing w:beforeLines="0" w:afterLines="0" w:line="576" w:lineRule="exact"/>
        <w:ind w:firstLine="645"/>
        <w:rPr>
          <w:rFonts w:hint="eastAsia" w:ascii="仿宋_GB2312" w:hAnsi="仿宋_GB2312" w:eastAsia="仿宋_GB2312"/>
          <w:b/>
          <w:color w:val="000000"/>
          <w:kern w:val="2"/>
          <w:sz w:val="32"/>
          <w:szCs w:val="24"/>
        </w:rPr>
      </w:pPr>
    </w:p>
    <w:p w14:paraId="709CDA10">
      <w:pPr>
        <w:spacing w:beforeLines="0" w:afterLines="0" w:line="576" w:lineRule="exact"/>
        <w:ind w:firstLine="645"/>
        <w:rPr>
          <w:rFonts w:hint="eastAsia" w:ascii="仿宋_GB2312" w:hAnsi="仿宋_GB2312" w:eastAsia="仿宋_GB2312"/>
          <w:b/>
          <w:color w:val="000000"/>
          <w:kern w:val="2"/>
          <w:sz w:val="32"/>
          <w:szCs w:val="24"/>
        </w:rPr>
      </w:pPr>
    </w:p>
    <w:p w14:paraId="0E998577">
      <w:pPr>
        <w:spacing w:beforeLines="0" w:afterLines="0" w:line="576" w:lineRule="exact"/>
        <w:ind w:firstLine="645"/>
        <w:rPr>
          <w:rFonts w:hint="eastAsia" w:ascii="仿宋_GB2312" w:hAnsi="仿宋_GB2312" w:eastAsia="仿宋_GB2312"/>
          <w:b/>
          <w:color w:val="000000"/>
          <w:kern w:val="2"/>
          <w:sz w:val="32"/>
          <w:szCs w:val="24"/>
        </w:rPr>
      </w:pPr>
    </w:p>
    <w:p w14:paraId="043E36F1">
      <w:pPr>
        <w:spacing w:beforeLines="0" w:afterLines="0" w:line="576" w:lineRule="exact"/>
        <w:ind w:firstLine="645"/>
        <w:rPr>
          <w:rFonts w:hint="eastAsia" w:ascii="仿宋_GB2312" w:hAnsi="仿宋_GB2312" w:eastAsia="仿宋_GB2312"/>
          <w:b/>
          <w:color w:val="000000"/>
          <w:kern w:val="2"/>
          <w:sz w:val="32"/>
          <w:szCs w:val="24"/>
        </w:rPr>
      </w:pPr>
    </w:p>
    <w:p w14:paraId="394A7E06">
      <w:pPr>
        <w:spacing w:beforeLines="0" w:afterLines="0" w:line="576" w:lineRule="exact"/>
        <w:ind w:firstLine="645"/>
        <w:rPr>
          <w:rFonts w:hint="eastAsia" w:ascii="仿宋_GB2312" w:hAnsi="仿宋_GB2312" w:eastAsia="仿宋_GB2312"/>
          <w:b/>
          <w:color w:val="000000"/>
          <w:kern w:val="2"/>
          <w:sz w:val="32"/>
          <w:szCs w:val="24"/>
        </w:rPr>
      </w:pPr>
    </w:p>
    <w:p w14:paraId="4CB9D638">
      <w:pPr>
        <w:spacing w:beforeLines="0" w:afterLines="0" w:line="576" w:lineRule="exact"/>
        <w:ind w:firstLine="645"/>
        <w:rPr>
          <w:rFonts w:hint="eastAsia" w:ascii="仿宋_GB2312" w:hAnsi="仿宋_GB2312" w:eastAsia="仿宋_GB2312"/>
          <w:b/>
          <w:color w:val="000000"/>
          <w:kern w:val="2"/>
          <w:sz w:val="32"/>
          <w:szCs w:val="24"/>
        </w:rPr>
      </w:pPr>
    </w:p>
    <w:p w14:paraId="1AFC62D9">
      <w:pPr>
        <w:spacing w:beforeLines="0" w:afterLines="0" w:line="576" w:lineRule="exact"/>
        <w:ind w:firstLine="645"/>
        <w:rPr>
          <w:rFonts w:hint="default" w:ascii="Times New Roman" w:eastAsia="仿宋_GB2312"/>
          <w:sz w:val="32"/>
          <w:szCs w:val="32"/>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支出0万元，年初未安排预算。</w:t>
      </w:r>
      <w:r>
        <w:rPr>
          <w:rFonts w:hint="eastAsia" w:ascii="仿宋_GB2312" w:eastAsia="仿宋_GB2312"/>
          <w:color w:val="auto"/>
          <w:sz w:val="32"/>
          <w:szCs w:val="32"/>
        </w:rPr>
        <w:t>因公出国（境）支出决算较2022年无变化。</w:t>
      </w:r>
    </w:p>
    <w:p w14:paraId="7E548FEA">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支出0万元，年初未安排预算。公务用车购置及运行维护费支出决算较2022年无变化。</w:t>
      </w:r>
    </w:p>
    <w:p w14:paraId="7A6A40D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支出0万元。全年按规定更新购置公务用车0辆。截至2023年12月31日，本部门共有公务用车0辆.</w:t>
      </w:r>
    </w:p>
    <w:p w14:paraId="4CA75413">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14:paraId="5697FB91">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预算为11.5万元，支出决算为6万元，完成预算的52.2%。公务接待费支出决算比2022年度减少5.77万元，下降49.1%。主要原因是</w:t>
      </w:r>
      <w:r>
        <w:rPr>
          <w:rFonts w:hint="eastAsia" w:ascii="仿宋_GB2312" w:eastAsia="仿宋_GB2312"/>
          <w:color w:val="auto"/>
          <w:sz w:val="32"/>
          <w:szCs w:val="32"/>
        </w:rPr>
        <w:t>严格执行</w:t>
      </w:r>
      <w:r>
        <w:rPr>
          <w:rFonts w:hint="eastAsia" w:ascii="仿宋_GB2312" w:eastAsia="仿宋_GB2312"/>
          <w:color w:val="auto"/>
          <w:sz w:val="32"/>
          <w:szCs w:val="32"/>
          <w:lang w:eastAsia="zh-CN"/>
        </w:rPr>
        <w:t>中央八项规定</w:t>
      </w:r>
      <w:r>
        <w:rPr>
          <w:rFonts w:hint="eastAsia" w:ascii="仿宋_GB2312" w:eastAsia="仿宋_GB2312"/>
          <w:color w:val="auto"/>
          <w:sz w:val="32"/>
          <w:szCs w:val="32"/>
        </w:rPr>
        <w:t>，厉行节约，同时接待检查、督查工作减少</w:t>
      </w:r>
      <w:r>
        <w:rPr>
          <w:rFonts w:hint="eastAsia" w:ascii="仿宋_GB2312" w:hAnsi="仿宋_GB2312" w:eastAsia="仿宋_GB2312"/>
          <w:color w:val="000000"/>
          <w:kern w:val="2"/>
          <w:sz w:val="32"/>
          <w:szCs w:val="24"/>
        </w:rPr>
        <w:t>。其中：</w:t>
      </w:r>
    </w:p>
    <w:p w14:paraId="052D7843">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支出6万元。</w:t>
      </w:r>
      <w:r>
        <w:rPr>
          <w:rFonts w:hint="eastAsia" w:ascii="仿宋_GB2312" w:eastAsia="仿宋_GB2312"/>
          <w:color w:val="auto"/>
          <w:sz w:val="32"/>
          <w:szCs w:val="32"/>
        </w:rPr>
        <w:t>主要用于接待省市、兄弟县（区）发改委及经济部门等来蓉执行公务、开展业务活动开支的餐费等</w:t>
      </w:r>
      <w:r>
        <w:rPr>
          <w:rFonts w:hint="eastAsia" w:ascii="仿宋_GB2312" w:hAnsi="仿宋_GB2312" w:eastAsia="仿宋_GB2312"/>
          <w:color w:val="000000"/>
          <w:kern w:val="2"/>
          <w:sz w:val="32"/>
          <w:szCs w:val="24"/>
        </w:rPr>
        <w:t>。国内公务接待86批次，1320人次，共计支出5.99万元，具体内容包括：省、市发改委督导检查工作</w:t>
      </w:r>
      <w:r>
        <w:rPr>
          <w:rFonts w:hint="eastAsia" w:ascii="仿宋_GB2312" w:eastAsia="仿宋_GB2312"/>
          <w:color w:val="auto"/>
          <w:sz w:val="32"/>
          <w:szCs w:val="32"/>
        </w:rPr>
        <w:t>1万元、到省发改委对接项目工作1万元以及各市（州）、兄弟县（区）到我区检查学习交流等服务保障3.99万元等</w:t>
      </w:r>
      <w:r>
        <w:rPr>
          <w:rFonts w:hint="eastAsia" w:ascii="仿宋_GB2312" w:hAnsi="仿宋_GB2312" w:eastAsia="仿宋_GB2312"/>
          <w:color w:val="000000"/>
          <w:kern w:val="2"/>
          <w:sz w:val="32"/>
          <w:szCs w:val="24"/>
        </w:rPr>
        <w:t>。</w:t>
      </w:r>
    </w:p>
    <w:p w14:paraId="24C6E3A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w:t>
      </w:r>
    </w:p>
    <w:p w14:paraId="78C14335">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4FDC0A3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2023年政府性基金预算拨款支出100万元。</w:t>
      </w:r>
    </w:p>
    <w:p w14:paraId="179A8865">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1527D3F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452F5362">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643CDCC2">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0BB96F2F">
      <w:pPr>
        <w:spacing w:beforeLines="0" w:afterLines="0"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2023年度，广元市昭化区发展和改革局机关运行经费支出200.28万元，比2022年度减少22.37万元，下降10.6%。主要原因是较2022年人员减少。</w:t>
      </w:r>
    </w:p>
    <w:p w14:paraId="03EA788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456EC31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2023年，广元市昭化区发展和改革局政府采购支出总额0万元。</w:t>
      </w:r>
    </w:p>
    <w:p w14:paraId="1CB1EB6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4AA7D56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广元市昭化区发展和改革局无公务用车辆。其中：副部（省）级及以上领导用车0辆、主要负责人用车0辆、机要通信用车0辆、应急保障用车0辆、执法执勤用车0辆、特种专业技术用车0辆、离退休干部服务用车0辆、其他用车0辆。</w:t>
      </w:r>
    </w:p>
    <w:p w14:paraId="36170C2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单价100万元（含）以上设备0台（套）。</w:t>
      </w:r>
    </w:p>
    <w:p w14:paraId="25D432B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06FB55AE">
      <w:pPr>
        <w:overflowPunct w:val="0"/>
        <w:topLinePunct/>
        <w:spacing w:beforeLines="0" w:afterLines="0" w:line="576" w:lineRule="exact"/>
        <w:ind w:firstLine="640" w:firstLineChars="200"/>
        <w:jc w:val="both"/>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2023年度预算编制阶段，组织对项目前期工作经费1个项目开展了预算事前绩效评估，对6个项目编制了绩效目标，预算执行过程中，选取24个项目开展绩效监控，组织对11个项目开展绩效评价，绩效自评报表见第四部分附件。</w:t>
      </w:r>
    </w:p>
    <w:p w14:paraId="35494949">
      <w:pPr>
        <w:overflowPunct w:val="0"/>
        <w:topLinePunct/>
        <w:spacing w:beforeLines="0"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0F9B9B2A">
      <w:pPr>
        <w:pStyle w:val="6"/>
        <w:spacing w:before="72" w:afterLines="0"/>
        <w:rPr>
          <w:rFonts w:hint="eastAsia"/>
          <w:sz w:val="30"/>
          <w:szCs w:val="24"/>
        </w:rPr>
      </w:pPr>
    </w:p>
    <w:p w14:paraId="793D57C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4A708D1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611CF5C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4B61407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41DF222F">
      <w:pPr>
        <w:pStyle w:val="16"/>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339CA55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7A21084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602A279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0273487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九、一般公共服务支出（类）发展与改革事务（款）行政运行（项）：指</w:t>
      </w:r>
      <w:r>
        <w:rPr>
          <w:rFonts w:hint="eastAsia" w:ascii="仿宋_GB2312" w:eastAsia="仿宋_GB2312"/>
          <w:color w:val="auto"/>
          <w:sz w:val="32"/>
          <w:szCs w:val="32"/>
        </w:rPr>
        <w:t>反映行政单位（包括实行公务员管理的事业单位）的基本支出</w:t>
      </w:r>
      <w:r>
        <w:rPr>
          <w:rFonts w:hint="eastAsia" w:ascii="仿宋_GB2312" w:hAnsi="仿宋_GB2312" w:eastAsia="仿宋_GB2312"/>
          <w:color w:val="000000"/>
          <w:kern w:val="2"/>
          <w:sz w:val="32"/>
          <w:szCs w:val="24"/>
        </w:rPr>
        <w:t>。</w:t>
      </w:r>
    </w:p>
    <w:p w14:paraId="5F87F70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十、一般公共服务支出（类）发展与改革事务（款）事业运行（项）：指指</w:t>
      </w:r>
      <w:r>
        <w:rPr>
          <w:rFonts w:hint="eastAsia" w:ascii="仿宋_GB2312" w:eastAsia="仿宋_GB2312"/>
          <w:color w:val="auto"/>
          <w:sz w:val="32"/>
          <w:szCs w:val="32"/>
        </w:rPr>
        <w:t>反映事业人员的基本支出</w:t>
      </w:r>
      <w:r>
        <w:rPr>
          <w:rFonts w:hint="eastAsia" w:ascii="仿宋_GB2312" w:hAnsi="仿宋_GB2312" w:eastAsia="仿宋_GB2312"/>
          <w:color w:val="000000"/>
          <w:kern w:val="2"/>
          <w:sz w:val="32"/>
          <w:szCs w:val="24"/>
        </w:rPr>
        <w:t>。</w:t>
      </w:r>
    </w:p>
    <w:p w14:paraId="1D8D798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十一、一般公共服务支出（类）发展与改革事务（款）其他发展与改革事务支出（项）：指</w:t>
      </w:r>
      <w:r>
        <w:rPr>
          <w:rFonts w:hint="eastAsia" w:ascii="仿宋_GB2312" w:eastAsia="仿宋_GB2312"/>
          <w:color w:val="auto"/>
          <w:sz w:val="32"/>
          <w:szCs w:val="32"/>
        </w:rPr>
        <w:t>反映其他发展与改革事务支出</w:t>
      </w:r>
      <w:r>
        <w:rPr>
          <w:rFonts w:hint="eastAsia" w:ascii="仿宋_GB2312" w:hAnsi="仿宋_GB2312" w:eastAsia="仿宋_GB2312"/>
          <w:color w:val="000000"/>
          <w:kern w:val="2"/>
          <w:sz w:val="32"/>
          <w:szCs w:val="24"/>
        </w:rPr>
        <w:t>。</w:t>
      </w:r>
    </w:p>
    <w:p w14:paraId="4705FEE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十二、教育支出（类）其他教育支出（款）其他教育支出（项）：指反应其他教育事务支出。</w:t>
      </w:r>
    </w:p>
    <w:p w14:paraId="518F9FB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十三、社会保障和就业支出（类）行政事业单位养老支出（款）行政单位离退休（项）：</w:t>
      </w:r>
      <w:r>
        <w:rPr>
          <w:rFonts w:hint="eastAsia" w:ascii="仿宋_GB2312" w:eastAsia="仿宋_GB2312"/>
          <w:color w:val="auto"/>
          <w:sz w:val="32"/>
          <w:szCs w:val="32"/>
        </w:rPr>
        <w:t>指反映其他发展与改革事务支出</w:t>
      </w:r>
      <w:r>
        <w:rPr>
          <w:rFonts w:hint="eastAsia" w:ascii="仿宋_GB2312" w:hAnsi="仿宋_GB2312" w:eastAsia="仿宋_GB2312"/>
          <w:color w:val="000000"/>
          <w:kern w:val="2"/>
          <w:sz w:val="32"/>
          <w:szCs w:val="24"/>
        </w:rPr>
        <w:t>。</w:t>
      </w:r>
    </w:p>
    <w:p w14:paraId="683527A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十四、社会保障和就业支出（类）行政事业单位养老支出（款）机关事业单位基本养老保险缴费支出（项）：指</w:t>
      </w:r>
      <w:r>
        <w:rPr>
          <w:rStyle w:val="14"/>
          <w:rFonts w:hint="eastAsia" w:ascii="仿宋_GB2312" w:eastAsia="仿宋_GB2312"/>
          <w:b w:val="0"/>
          <w:color w:val="auto"/>
          <w:sz w:val="32"/>
          <w:szCs w:val="24"/>
        </w:rPr>
        <w:t>反映机关事业单位实施养老保险制度由单位缴纳的基本养老保险费支出</w:t>
      </w:r>
      <w:r>
        <w:rPr>
          <w:rFonts w:hint="eastAsia" w:ascii="仿宋_GB2312" w:hAnsi="仿宋_GB2312" w:eastAsia="仿宋_GB2312"/>
          <w:color w:val="000000"/>
          <w:kern w:val="2"/>
          <w:sz w:val="32"/>
          <w:szCs w:val="24"/>
        </w:rPr>
        <w:t>。</w:t>
      </w:r>
    </w:p>
    <w:p w14:paraId="09F217D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十五、社会保障和就业支出（类）行政事业单位养老支出（款）机关事业单位职业年金缴费支出（项）：指反应机关事业单位实施职业年金制度由单位缴纳的职业年金费用支出。</w:t>
      </w:r>
    </w:p>
    <w:p w14:paraId="7D18CD02">
      <w:pPr>
        <w:autoSpaceDE/>
        <w:autoSpaceDN/>
        <w:adjustRightInd/>
        <w:spacing w:beforeLines="0" w:afterLines="0" w:line="576" w:lineRule="exact"/>
        <w:ind w:firstLine="640" w:firstLineChars="200"/>
        <w:rPr>
          <w:rFonts w:hint="default" w:ascii="Times New Roman"/>
          <w:sz w:val="24"/>
          <w:szCs w:val="24"/>
        </w:rPr>
      </w:pPr>
      <w:r>
        <w:rPr>
          <w:rFonts w:hint="eastAsia" w:ascii="仿宋_GB2312" w:hAnsi="仿宋_GB2312" w:eastAsia="仿宋_GB2312"/>
          <w:color w:val="000000"/>
          <w:kern w:val="2"/>
          <w:sz w:val="32"/>
          <w:szCs w:val="24"/>
        </w:rPr>
        <w:t>十六、社会保障和就业支出（类）抚恤（款）死亡抚恤（项）：指</w:t>
      </w:r>
      <w:r>
        <w:rPr>
          <w:rStyle w:val="14"/>
          <w:rFonts w:hint="default" w:ascii="Times New Roman" w:eastAsia="仿宋_GB2312"/>
          <w:b w:val="0"/>
          <w:color w:val="auto"/>
          <w:sz w:val="32"/>
          <w:szCs w:val="24"/>
        </w:rPr>
        <w:t xml:space="preserve"> </w:t>
      </w:r>
      <w:r>
        <w:rPr>
          <w:rStyle w:val="14"/>
          <w:rFonts w:hint="eastAsia" w:ascii="仿宋_GB2312" w:eastAsia="仿宋_GB2312"/>
          <w:b w:val="0"/>
          <w:color w:val="auto"/>
          <w:sz w:val="32"/>
          <w:szCs w:val="24"/>
        </w:rPr>
        <w:t>反映按规定用于烈士和牺牲、病故人员家属的一次性和定期抚恤金、丧葬补助费及烈士褒扬金。</w:t>
      </w:r>
    </w:p>
    <w:p w14:paraId="4058B0EC">
      <w:pPr>
        <w:overflowPunct w:val="0"/>
        <w:topLinePunct/>
        <w:spacing w:beforeLines="0" w:afterLines="0" w:line="576" w:lineRule="exact"/>
        <w:ind w:firstLine="640" w:firstLineChars="200"/>
        <w:jc w:val="both"/>
        <w:rPr>
          <w:rStyle w:val="14"/>
          <w:rFonts w:hint="default" w:ascii="Times New Roman" w:eastAsia="仿宋_GB2312"/>
          <w:b w:val="0"/>
          <w:color w:val="auto"/>
          <w:sz w:val="32"/>
          <w:szCs w:val="24"/>
        </w:rPr>
      </w:pPr>
      <w:r>
        <w:rPr>
          <w:rFonts w:hint="eastAsia" w:ascii="仿宋_GB2312" w:hAnsi="仿宋_GB2312" w:eastAsia="仿宋_GB2312"/>
          <w:color w:val="000000"/>
          <w:kern w:val="2"/>
          <w:sz w:val="32"/>
          <w:szCs w:val="24"/>
        </w:rPr>
        <w:t>十七、卫生健康支出（类）行政事业单位医疗（款）行政单位医疗（项）：指</w:t>
      </w:r>
      <w:r>
        <w:rPr>
          <w:rStyle w:val="14"/>
          <w:rFonts w:hint="eastAsia" w:ascii="仿宋_GB2312" w:eastAsia="仿宋_GB2312"/>
          <w:b w:val="0"/>
          <w:color w:val="auto"/>
          <w:sz w:val="32"/>
          <w:szCs w:val="24"/>
        </w:rPr>
        <w:t>反映财政部门安排的行政单位(包括实行公务员管理的事业单位，下同</w:t>
      </w:r>
      <w:r>
        <w:rPr>
          <w:rStyle w:val="14"/>
          <w:rFonts w:hint="default" w:ascii="Times New Roman" w:eastAsia="仿宋_GB2312"/>
          <w:b w:val="0"/>
          <w:color w:val="auto"/>
          <w:sz w:val="32"/>
          <w:szCs w:val="24"/>
        </w:rPr>
        <w:t>)</w:t>
      </w:r>
      <w:r>
        <w:rPr>
          <w:rStyle w:val="14"/>
          <w:rFonts w:hint="eastAsia" w:ascii="仿宋_GB2312" w:eastAsia="仿宋_GB2312"/>
          <w:b w:val="0"/>
          <w:color w:val="auto"/>
          <w:sz w:val="32"/>
          <w:szCs w:val="24"/>
        </w:rPr>
        <w:t>基本医疗保险缴费经费。未参加医疗保险的行政单位的公费医疗经费，按国家规定享受离休人员、红军老战士待遇人员的医疗经费。</w:t>
      </w:r>
    </w:p>
    <w:p w14:paraId="675D0C4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十八、节能环保支出（类）其他节能环保支出（款）其他节能环保支出（项）：指</w:t>
      </w:r>
      <w:r>
        <w:rPr>
          <w:rStyle w:val="14"/>
          <w:rFonts w:hint="eastAsia" w:ascii="仿宋_GB2312" w:eastAsia="仿宋_GB2312"/>
          <w:b w:val="0"/>
          <w:color w:val="auto"/>
          <w:sz w:val="32"/>
          <w:szCs w:val="24"/>
        </w:rPr>
        <w:t>反映其他用于节能环保方面的支出。</w:t>
      </w:r>
    </w:p>
    <w:p w14:paraId="116F493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十九、农林水支出（类）巩固脱贫攻坚成果衔接乡村振兴（款）其他巩固脱贫攻坚成果衔接乡村振兴支出（项）：指</w:t>
      </w:r>
      <w:r>
        <w:rPr>
          <w:rStyle w:val="14"/>
          <w:rFonts w:hint="eastAsia" w:ascii="仿宋_GB2312" w:eastAsia="仿宋_GB2312"/>
          <w:b w:val="0"/>
          <w:color w:val="auto"/>
          <w:sz w:val="32"/>
          <w:szCs w:val="24"/>
        </w:rPr>
        <w:t>反映其他用于巩固拓展脱贫攻坚成果同乡村振兴有效衔接方面的支出。</w:t>
      </w:r>
    </w:p>
    <w:p w14:paraId="09BDE21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二十、农林水支出（类）其他农林水支出（款）其他农林水支出（项）：指反应其他用于农林水方面的支出。</w:t>
      </w:r>
    </w:p>
    <w:p w14:paraId="1FC0809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二十一、资源勘探工业信息等支出（类）其他资源勘探工业信息等支出（款）其他资源勘探工业信息等支出（项）：指反应其他资源勘探工业信息方面的支出。</w:t>
      </w:r>
    </w:p>
    <w:p w14:paraId="5F5F4D90">
      <w:pPr>
        <w:autoSpaceDE/>
        <w:autoSpaceDN/>
        <w:adjustRightInd/>
        <w:spacing w:beforeLines="0" w:afterLines="0" w:line="576" w:lineRule="exact"/>
        <w:ind w:firstLine="640" w:firstLineChars="200"/>
        <w:rPr>
          <w:rStyle w:val="14"/>
          <w:rFonts w:hint="default" w:ascii="Times New Roman" w:eastAsia="仿宋_GB2312"/>
          <w:b w:val="0"/>
          <w:color w:val="auto"/>
          <w:sz w:val="32"/>
          <w:szCs w:val="24"/>
        </w:rPr>
      </w:pPr>
      <w:r>
        <w:rPr>
          <w:rFonts w:hint="eastAsia" w:ascii="仿宋_GB2312" w:hAnsi="仿宋_GB2312" w:eastAsia="仿宋_GB2312"/>
          <w:color w:val="000000"/>
          <w:kern w:val="2"/>
          <w:sz w:val="32"/>
          <w:szCs w:val="24"/>
        </w:rPr>
        <w:t>二十二、住房保障支出（类）住房改革支出（款）住房公积金（项）：指</w:t>
      </w:r>
      <w:r>
        <w:rPr>
          <w:rStyle w:val="14"/>
          <w:rFonts w:hint="eastAsia" w:ascii="仿宋_GB2312" w:eastAsia="仿宋_GB2312"/>
          <w:b w:val="0"/>
          <w:color w:val="auto"/>
          <w:sz w:val="32"/>
          <w:szCs w:val="24"/>
        </w:rPr>
        <w:t>反映经财政部门批准用于住房公积金管理机构的管理费用支出。</w:t>
      </w:r>
    </w:p>
    <w:p w14:paraId="2C649F6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二十三、粮油物质储备支出（类）粮油物质事务（款）其他粮油物质事务支出（项）：指反应其他粮油物质事务方面的支出。</w:t>
      </w:r>
    </w:p>
    <w:p w14:paraId="1C20F51E">
      <w:pPr>
        <w:autoSpaceDE/>
        <w:autoSpaceDN/>
        <w:adjustRightInd/>
        <w:spacing w:beforeLines="0" w:afterLines="0" w:line="576" w:lineRule="exact"/>
        <w:ind w:firstLine="640" w:firstLineChars="200"/>
        <w:rPr>
          <w:rStyle w:val="14"/>
          <w:rFonts w:hint="default" w:ascii="Times New Roman" w:eastAsia="仿宋_GB2312"/>
          <w:b w:val="0"/>
          <w:color w:val="000000"/>
          <w:sz w:val="32"/>
          <w:szCs w:val="24"/>
        </w:rPr>
      </w:pPr>
      <w:r>
        <w:rPr>
          <w:rFonts w:hint="eastAsia" w:ascii="仿宋_GB2312" w:hAnsi="仿宋_GB2312" w:eastAsia="仿宋_GB2312"/>
          <w:color w:val="000000"/>
          <w:kern w:val="2"/>
          <w:sz w:val="32"/>
          <w:szCs w:val="24"/>
        </w:rPr>
        <w:t>二十四、粮油物质储备支出（类）粮油储备（款）储备粮油补贴（项）：指</w:t>
      </w:r>
      <w:r>
        <w:rPr>
          <w:rStyle w:val="14"/>
          <w:rFonts w:hint="eastAsia" w:ascii="仿宋_GB2312" w:eastAsia="仿宋_GB2312"/>
          <w:b w:val="0"/>
          <w:color w:val="000000"/>
          <w:sz w:val="32"/>
          <w:szCs w:val="24"/>
        </w:rPr>
        <w:t>反映用于储备粮油和临时储存粮油的补贴支出。</w:t>
      </w:r>
    </w:p>
    <w:p w14:paraId="00702A2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二十五、基本支出：指为保障机构正常运转、完成日常工作任务而发生的人员支出和公用支出。</w:t>
      </w:r>
    </w:p>
    <w:p w14:paraId="09B1F7F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二十六、项目支出：指在基本支出之外为完成特定行政任务和事业发展目标所发生的支出。 </w:t>
      </w:r>
    </w:p>
    <w:p w14:paraId="041C0A9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二十七、经营支出：指事业单位在专业业务活动及其辅助活动之外开展非独立核算经营活动发生的支出。</w:t>
      </w:r>
    </w:p>
    <w:p w14:paraId="2C09ED2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A688E2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83D6CE">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4B0E31E8">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50625719">
      <w:pPr>
        <w:overflowPunct w:val="0"/>
        <w:topLinePunct/>
        <w:spacing w:beforeLines="0" w:afterLines="0" w:line="576" w:lineRule="exact"/>
        <w:jc w:val="both"/>
        <w:rPr>
          <w:rFonts w:hint="eastAsia" w:ascii="黑体" w:hAnsi="黑体" w:eastAsia="黑体"/>
          <w:color w:val="000000"/>
          <w:kern w:val="2"/>
          <w:sz w:val="44"/>
          <w:szCs w:val="24"/>
        </w:rPr>
      </w:pPr>
    </w:p>
    <w:p w14:paraId="60AFB4C5">
      <w:pPr>
        <w:numPr>
          <w:ilvl w:val="0"/>
          <w:numId w:val="0"/>
        </w:numPr>
        <w:spacing w:beforeLines="0" w:afterLines="0"/>
        <w:ind w:firstLine="660" w:firstLineChars="150"/>
        <w:jc w:val="center"/>
        <w:outlineLvl w:val="0"/>
        <w:rPr>
          <w:rStyle w:val="21"/>
          <w:rFonts w:hint="default" w:ascii="Times New Roman" w:eastAsia="方正小标宋简体"/>
          <w:b w:val="0"/>
          <w:color w:val="auto"/>
          <w:sz w:val="44"/>
          <w:szCs w:val="44"/>
        </w:rPr>
      </w:pPr>
      <w:bookmarkStart w:id="0" w:name="_Toc8570"/>
      <w:r>
        <w:rPr>
          <w:rFonts w:hint="eastAsia" w:ascii="方正小标宋简体" w:eastAsia="方正小标宋简体"/>
          <w:color w:val="auto"/>
          <w:kern w:val="44"/>
          <w:sz w:val="44"/>
          <w:szCs w:val="44"/>
        </w:rPr>
        <w:t>第四部分</w:t>
      </w:r>
      <w:r>
        <w:rPr>
          <w:rStyle w:val="21"/>
          <w:rFonts w:hint="eastAsia" w:ascii="方正小标宋简体" w:eastAsia="方正小标宋简体"/>
          <w:b w:val="0"/>
          <w:color w:val="auto"/>
          <w:sz w:val="44"/>
          <w:szCs w:val="44"/>
        </w:rPr>
        <w:t>附件</w:t>
      </w:r>
      <w:bookmarkEnd w:id="0"/>
    </w:p>
    <w:tbl>
      <w:tblPr>
        <w:tblStyle w:val="12"/>
        <w:tblW w:w="58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4"/>
        <w:gridCol w:w="1151"/>
        <w:gridCol w:w="1591"/>
        <w:gridCol w:w="1306"/>
        <w:gridCol w:w="1790"/>
        <w:gridCol w:w="1086"/>
        <w:gridCol w:w="1040"/>
        <w:gridCol w:w="2372"/>
      </w:tblGrid>
      <w:tr w14:paraId="59FD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00" w:type="pct"/>
            <w:gridSpan w:val="8"/>
            <w:tcBorders>
              <w:top w:val="nil"/>
              <w:left w:val="nil"/>
              <w:bottom w:val="nil"/>
              <w:right w:val="nil"/>
              <w:tl2br w:val="nil"/>
              <w:tr2bl w:val="nil"/>
            </w:tcBorders>
            <w:noWrap w:val="0"/>
            <w:vAlign w:val="center"/>
          </w:tcPr>
          <w:p w14:paraId="25583D36">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项目协调及投资管理经费支出绩效自评表</w:t>
            </w:r>
          </w:p>
        </w:tc>
      </w:tr>
      <w:tr w14:paraId="7DC2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5000" w:type="pct"/>
            <w:gridSpan w:val="8"/>
            <w:tcBorders>
              <w:top w:val="nil"/>
              <w:left w:val="nil"/>
              <w:bottom w:val="nil"/>
              <w:right w:val="nil"/>
              <w:tl2br w:val="nil"/>
              <w:tr2bl w:val="nil"/>
            </w:tcBorders>
            <w:noWrap w:val="0"/>
            <w:vAlign w:val="top"/>
          </w:tcPr>
          <w:p w14:paraId="0207A3B5">
            <w:pPr>
              <w:widowControl/>
              <w:spacing w:beforeLines="0" w:afterLines="0"/>
              <w:jc w:val="center"/>
              <w:textAlignment w:val="top"/>
              <w:rPr>
                <w:rFonts w:hint="eastAsia" w:hAnsi="宋体" w:cs="宋体"/>
                <w:b/>
                <w:color w:val="000000"/>
                <w:sz w:val="24"/>
                <w:szCs w:val="24"/>
              </w:rPr>
            </w:pPr>
            <w:r>
              <w:rPr>
                <w:rFonts w:hint="eastAsia" w:hAnsi="宋体" w:cs="宋体"/>
                <w:b/>
                <w:color w:val="000000"/>
                <w:sz w:val="24"/>
                <w:szCs w:val="24"/>
                <w:lang w:bidi="ar"/>
              </w:rPr>
              <w:t>（ 2023年度）</w:t>
            </w:r>
          </w:p>
        </w:tc>
      </w:tr>
      <w:tr w14:paraId="0535A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3C86C">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项目（政策）</w:t>
            </w:r>
          </w:p>
          <w:p w14:paraId="3F3A2D9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名称</w:t>
            </w:r>
          </w:p>
        </w:tc>
        <w:tc>
          <w:tcPr>
            <w:tcW w:w="421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DCF4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项目协调及投资管理经费</w:t>
            </w:r>
          </w:p>
        </w:tc>
      </w:tr>
      <w:tr w14:paraId="3362C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7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DA37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215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FD41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广元市昭化区发展和改革局</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D8BC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实施单位</w:t>
            </w:r>
          </w:p>
        </w:tc>
        <w:tc>
          <w:tcPr>
            <w:tcW w:w="156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EFBA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广元市昭化区发展和改革局</w:t>
            </w:r>
          </w:p>
        </w:tc>
      </w:tr>
      <w:tr w14:paraId="7930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7"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C3CD62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329" w:type="pct"/>
            <w:gridSpan w:val="2"/>
            <w:tcBorders>
              <w:top w:val="nil"/>
              <w:left w:val="single" w:color="000000" w:sz="4" w:space="0"/>
              <w:bottom w:val="single" w:color="000000" w:sz="4" w:space="0"/>
              <w:right w:val="single" w:color="000000" w:sz="4" w:space="0"/>
              <w:tl2br w:val="nil"/>
              <w:tr2bl w:val="nil"/>
            </w:tcBorders>
            <w:noWrap w:val="0"/>
            <w:vAlign w:val="center"/>
          </w:tcPr>
          <w:p w14:paraId="39F4B1D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年度预算数（万元）</w:t>
            </w:r>
          </w:p>
        </w:tc>
        <w:tc>
          <w:tcPr>
            <w:tcW w:w="820" w:type="pct"/>
            <w:tcBorders>
              <w:top w:val="nil"/>
              <w:left w:val="single" w:color="000000" w:sz="4" w:space="0"/>
              <w:bottom w:val="single" w:color="000000" w:sz="4" w:space="0"/>
              <w:right w:val="single" w:color="000000" w:sz="4" w:space="0"/>
              <w:tl2br w:val="nil"/>
              <w:tr2bl w:val="nil"/>
            </w:tcBorders>
            <w:noWrap w:val="0"/>
            <w:vAlign w:val="center"/>
          </w:tcPr>
          <w:p w14:paraId="042EA7E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498" w:type="pct"/>
            <w:tcBorders>
              <w:top w:val="nil"/>
              <w:left w:val="single" w:color="000000" w:sz="4" w:space="0"/>
              <w:bottom w:val="single" w:color="000000" w:sz="4" w:space="0"/>
              <w:right w:val="single" w:color="000000" w:sz="4" w:space="0"/>
              <w:tl2br w:val="nil"/>
              <w:tr2bl w:val="nil"/>
            </w:tcBorders>
            <w:noWrap w:val="0"/>
            <w:vAlign w:val="center"/>
          </w:tcPr>
          <w:p w14:paraId="5178AF2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31E3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AC57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14:paraId="6125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FBCDBD6">
            <w:pPr>
              <w:spacing w:beforeLines="0" w:afterLines="0"/>
              <w:jc w:val="center"/>
              <w:rPr>
                <w:rFonts w:hint="eastAsia" w:hAnsi="宋体"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CFC6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100A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60</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8CC5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60</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A437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60</w:t>
            </w:r>
          </w:p>
        </w:tc>
        <w:tc>
          <w:tcPr>
            <w:tcW w:w="1085" w:type="pct"/>
            <w:tcBorders>
              <w:top w:val="nil"/>
              <w:left w:val="single" w:color="000000" w:sz="4" w:space="0"/>
              <w:bottom w:val="single" w:color="000000" w:sz="4" w:space="0"/>
              <w:right w:val="single" w:color="000000" w:sz="4" w:space="0"/>
              <w:tl2br w:val="nil"/>
              <w:tr2bl w:val="nil"/>
            </w:tcBorders>
            <w:noWrap w:val="0"/>
            <w:vAlign w:val="center"/>
          </w:tcPr>
          <w:p w14:paraId="0F16B38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r>
      <w:tr w14:paraId="24FB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BFD8D98">
            <w:pPr>
              <w:spacing w:beforeLines="0" w:afterLines="0"/>
              <w:jc w:val="center"/>
              <w:rPr>
                <w:rFonts w:hint="eastAsia" w:hAnsi="宋体"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FE361">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3309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60</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52A0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60</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9C5C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60</w:t>
            </w:r>
          </w:p>
        </w:tc>
        <w:tc>
          <w:tcPr>
            <w:tcW w:w="1085" w:type="pct"/>
            <w:tcBorders>
              <w:top w:val="nil"/>
              <w:left w:val="single" w:color="000000" w:sz="4" w:space="0"/>
              <w:bottom w:val="single" w:color="000000" w:sz="4" w:space="0"/>
              <w:right w:val="single" w:color="000000" w:sz="4" w:space="0"/>
              <w:tl2br w:val="nil"/>
              <w:tr2bl w:val="nil"/>
            </w:tcBorders>
            <w:noWrap w:val="0"/>
            <w:vAlign w:val="center"/>
          </w:tcPr>
          <w:p w14:paraId="061DBAE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r>
      <w:tr w14:paraId="4739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46C59D3">
            <w:pPr>
              <w:spacing w:beforeLines="0" w:afterLines="0"/>
              <w:jc w:val="center"/>
              <w:rPr>
                <w:rFonts w:hint="eastAsia" w:hAnsi="宋体"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378DE">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1.一般公共预算</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9192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60</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5E21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60</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04D0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60</w:t>
            </w:r>
          </w:p>
        </w:tc>
        <w:tc>
          <w:tcPr>
            <w:tcW w:w="1085" w:type="pct"/>
            <w:tcBorders>
              <w:top w:val="nil"/>
              <w:left w:val="single" w:color="000000" w:sz="4" w:space="0"/>
              <w:bottom w:val="single" w:color="000000" w:sz="4" w:space="0"/>
              <w:right w:val="single" w:color="000000" w:sz="4" w:space="0"/>
              <w:tl2br w:val="nil"/>
              <w:tr2bl w:val="nil"/>
            </w:tcBorders>
            <w:noWrap w:val="0"/>
            <w:vAlign w:val="center"/>
          </w:tcPr>
          <w:p w14:paraId="75190E2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r>
      <w:tr w14:paraId="259E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584134">
            <w:pPr>
              <w:spacing w:beforeLines="0" w:afterLines="0"/>
              <w:jc w:val="center"/>
              <w:rPr>
                <w:rFonts w:hint="eastAsia" w:hAnsi="宋体"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E2CFEF">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2.政府性基金</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40FAA">
            <w:pPr>
              <w:spacing w:beforeLines="0" w:afterLines="0"/>
              <w:rPr>
                <w:rFonts w:hint="eastAsia"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3B3A8">
            <w:pPr>
              <w:spacing w:beforeLines="0" w:afterLines="0"/>
              <w:jc w:val="center"/>
              <w:rPr>
                <w:rFonts w:hint="eastAsia" w:hAnsi="宋体" w:cs="宋体"/>
                <w:color w:val="000000"/>
                <w:sz w:val="18"/>
                <w:szCs w:val="18"/>
              </w:rPr>
            </w:pP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9A93F">
            <w:pPr>
              <w:spacing w:beforeLines="0" w:afterLines="0"/>
              <w:jc w:val="center"/>
              <w:rPr>
                <w:rFonts w:hint="eastAsia" w:hAnsi="宋体" w:cs="宋体"/>
                <w:color w:val="000000"/>
                <w:sz w:val="18"/>
                <w:szCs w:val="18"/>
              </w:rPr>
            </w:pP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2715E">
            <w:pPr>
              <w:spacing w:beforeLines="0" w:afterLines="0"/>
              <w:jc w:val="center"/>
              <w:rPr>
                <w:rFonts w:hint="eastAsia" w:hAnsi="宋体" w:cs="宋体"/>
                <w:color w:val="000000"/>
                <w:sz w:val="18"/>
                <w:szCs w:val="18"/>
              </w:rPr>
            </w:pPr>
          </w:p>
        </w:tc>
      </w:tr>
      <w:tr w14:paraId="635F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862BFCA">
            <w:pPr>
              <w:spacing w:beforeLines="0" w:afterLines="0"/>
              <w:jc w:val="center"/>
              <w:rPr>
                <w:rFonts w:hint="eastAsia" w:hAnsi="宋体"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67AD5">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3.国有资本经营预算</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DE997">
            <w:pPr>
              <w:spacing w:beforeLines="0" w:afterLines="0"/>
              <w:rPr>
                <w:rFonts w:hint="eastAsia"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F867D">
            <w:pPr>
              <w:spacing w:beforeLines="0" w:afterLines="0"/>
              <w:jc w:val="center"/>
              <w:rPr>
                <w:rFonts w:hint="eastAsia" w:hAnsi="宋体" w:cs="宋体"/>
                <w:color w:val="000000"/>
                <w:sz w:val="18"/>
                <w:szCs w:val="18"/>
              </w:rPr>
            </w:pP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6CEE9">
            <w:pPr>
              <w:spacing w:beforeLines="0" w:afterLines="0"/>
              <w:jc w:val="center"/>
              <w:rPr>
                <w:rFonts w:hint="eastAsia" w:hAnsi="宋体" w:cs="宋体"/>
                <w:color w:val="000000"/>
                <w:sz w:val="18"/>
                <w:szCs w:val="18"/>
              </w:rPr>
            </w:pP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072F5">
            <w:pPr>
              <w:spacing w:beforeLines="0" w:afterLines="0"/>
              <w:jc w:val="center"/>
              <w:rPr>
                <w:rFonts w:hint="eastAsia" w:hAnsi="宋体" w:cs="宋体"/>
                <w:color w:val="000000"/>
                <w:sz w:val="18"/>
                <w:szCs w:val="18"/>
              </w:rPr>
            </w:pPr>
          </w:p>
        </w:tc>
      </w:tr>
      <w:tr w14:paraId="7234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1870816">
            <w:pPr>
              <w:spacing w:beforeLines="0" w:afterLines="0"/>
              <w:jc w:val="center"/>
              <w:rPr>
                <w:rFonts w:hint="eastAsia" w:hAnsi="宋体" w:cs="宋体"/>
                <w:color w:val="000000"/>
                <w:sz w:val="18"/>
                <w:szCs w:val="18"/>
              </w:rPr>
            </w:pPr>
          </w:p>
        </w:tc>
        <w:tc>
          <w:tcPr>
            <w:tcW w:w="13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C6D08">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8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ADB8C">
            <w:pPr>
              <w:spacing w:beforeLines="0" w:afterLines="0"/>
              <w:rPr>
                <w:rFonts w:hint="eastAsia"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3A004">
            <w:pPr>
              <w:spacing w:beforeLines="0" w:afterLines="0"/>
              <w:jc w:val="center"/>
              <w:rPr>
                <w:rFonts w:hint="eastAsia" w:hAnsi="宋体" w:cs="宋体"/>
                <w:color w:val="000000"/>
                <w:sz w:val="18"/>
                <w:szCs w:val="18"/>
              </w:rPr>
            </w:pP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BB589">
            <w:pPr>
              <w:spacing w:beforeLines="0" w:afterLines="0"/>
              <w:jc w:val="center"/>
              <w:rPr>
                <w:rFonts w:hint="eastAsia" w:hAnsi="宋体" w:cs="宋体"/>
                <w:color w:val="000000"/>
                <w:sz w:val="18"/>
                <w:szCs w:val="18"/>
              </w:rPr>
            </w:pP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B178B">
            <w:pPr>
              <w:spacing w:beforeLines="0" w:afterLines="0"/>
              <w:jc w:val="center"/>
              <w:rPr>
                <w:rFonts w:hint="eastAsia" w:hAnsi="宋体" w:cs="宋体"/>
                <w:color w:val="000000"/>
                <w:sz w:val="18"/>
                <w:szCs w:val="18"/>
              </w:rPr>
            </w:pPr>
          </w:p>
        </w:tc>
      </w:tr>
      <w:tr w14:paraId="51D6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25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AE5A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267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0277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206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D860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14:paraId="5AC9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3BF0B">
            <w:pPr>
              <w:spacing w:beforeLines="0" w:afterLines="0"/>
              <w:jc w:val="center"/>
              <w:rPr>
                <w:rFonts w:hint="eastAsia" w:hAnsi="宋体" w:cs="宋体"/>
                <w:color w:val="000000"/>
                <w:sz w:val="18"/>
                <w:szCs w:val="18"/>
              </w:rPr>
            </w:pPr>
          </w:p>
        </w:tc>
        <w:tc>
          <w:tcPr>
            <w:tcW w:w="267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D9FE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加快全区投资项目工作推进，2023年度重点推进昭化区葭萌大厦、2022年燃气管道更新改造等50个竣工项目顺利完工，昭化区采煤沉陷区综合治理避险搬迁等25个项目开工，昭化区水晶饰品生产等15个续建项目加快推进，确保固定资产投资增长5%以上。完成协调工作所需办公费、差旅费、邮电费、会议费、培训费等经费控制在财政预算范围内不少于80万元，项目建成新增就业岗位不少于500个，带动周边农民工每月每人增收不少于200元，丰富居民文化生活，解决周边居民具体困难，缓和社会矛盾，无植被破坏和建筑垃圾丢弃，提高群众生活环境质量，项目实施单位满意度及项目受益群众不低于95%。</w:t>
            </w:r>
          </w:p>
        </w:tc>
        <w:tc>
          <w:tcPr>
            <w:tcW w:w="206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CF824">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推动葭萌大厦等55个个项目顺利完工，2022年高标准农田等26个项目开工建设，绿色家居产业城等16个徐建项目加快推进，区本级固定资产投资完成36.61亿元、超市下目标4600万元，对促进增加就业岗位、提高农村居民收入、加快全区经济社会发展，起到了较大的积极推动作用。</w:t>
            </w:r>
          </w:p>
        </w:tc>
      </w:tr>
      <w:tr w14:paraId="59AC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5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B581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绩效</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5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293B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7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5BE1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BB3E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06F2F">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年度指标值</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B0B34">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实际完成值</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D302A">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偏差原因分析及改进措施</w:t>
            </w:r>
          </w:p>
        </w:tc>
      </w:tr>
      <w:tr w14:paraId="7D79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DB60C">
            <w:pPr>
              <w:spacing w:beforeLines="0" w:afterLines="0"/>
              <w:jc w:val="center"/>
              <w:rPr>
                <w:rFonts w:hint="eastAsia" w:hAnsi="宋体" w:cs="宋体"/>
                <w:color w:val="000000"/>
                <w:sz w:val="18"/>
                <w:szCs w:val="18"/>
              </w:rPr>
            </w:pPr>
          </w:p>
        </w:tc>
        <w:tc>
          <w:tcPr>
            <w:tcW w:w="527" w:type="pct"/>
            <w:vMerge w:val="restart"/>
            <w:tcBorders>
              <w:top w:val="single" w:color="000000" w:sz="4" w:space="0"/>
              <w:left w:val="single" w:color="000000" w:sz="4" w:space="0"/>
              <w:bottom w:val="nil"/>
              <w:right w:val="single" w:color="000000" w:sz="4" w:space="0"/>
              <w:tl2br w:val="nil"/>
              <w:tr2bl w:val="nil"/>
            </w:tcBorders>
            <w:noWrap w:val="0"/>
            <w:vAlign w:val="center"/>
          </w:tcPr>
          <w:p w14:paraId="4CEE965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A8168E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712D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推进项目竣工完成个数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BB395">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≥50个</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97AFD">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55个</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37D62">
            <w:pPr>
              <w:spacing w:beforeLines="0" w:afterLines="0"/>
              <w:jc w:val="center"/>
              <w:rPr>
                <w:rFonts w:hint="eastAsia" w:hAnsi="宋体" w:cs="宋体"/>
                <w:color w:val="auto"/>
                <w:sz w:val="18"/>
                <w:szCs w:val="18"/>
              </w:rPr>
            </w:pPr>
          </w:p>
        </w:tc>
      </w:tr>
      <w:tr w14:paraId="42A0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D2E10">
            <w:pPr>
              <w:spacing w:beforeLines="0" w:afterLines="0"/>
              <w:jc w:val="center"/>
              <w:rPr>
                <w:rFonts w:hint="eastAsia" w:hAnsi="宋体"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7210373A">
            <w:pPr>
              <w:spacing w:beforeLines="0" w:afterLines="0"/>
              <w:jc w:val="center"/>
              <w:rPr>
                <w:rFonts w:hint="eastAsia" w:hAnsi="宋体"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9852EB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D5E4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推进项目新开工个数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50358">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≥25个</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CE9D8">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26个</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143B8">
            <w:pPr>
              <w:spacing w:beforeLines="0" w:afterLines="0"/>
              <w:jc w:val="center"/>
              <w:rPr>
                <w:rFonts w:hint="eastAsia" w:hAnsi="宋体" w:cs="宋体"/>
                <w:color w:val="auto"/>
                <w:sz w:val="18"/>
                <w:szCs w:val="18"/>
              </w:rPr>
            </w:pPr>
          </w:p>
        </w:tc>
      </w:tr>
      <w:tr w14:paraId="478D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125FF">
            <w:pPr>
              <w:spacing w:beforeLines="0" w:afterLines="0"/>
              <w:jc w:val="center"/>
              <w:rPr>
                <w:rFonts w:hint="eastAsia" w:hAnsi="宋体"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3B571C64">
            <w:pPr>
              <w:spacing w:beforeLines="0" w:afterLines="0"/>
              <w:jc w:val="center"/>
              <w:rPr>
                <w:rFonts w:hint="eastAsia" w:hAnsi="宋体"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727B1A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B4A2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加快推进续建项目个数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E809A">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≥15个</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5DACD">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16个</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2C574">
            <w:pPr>
              <w:spacing w:beforeLines="0" w:afterLines="0"/>
              <w:jc w:val="center"/>
              <w:rPr>
                <w:rFonts w:hint="eastAsia" w:hAnsi="宋体" w:cs="宋体"/>
                <w:color w:val="auto"/>
                <w:sz w:val="18"/>
                <w:szCs w:val="18"/>
              </w:rPr>
            </w:pPr>
          </w:p>
        </w:tc>
      </w:tr>
      <w:tr w14:paraId="2678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A7991">
            <w:pPr>
              <w:spacing w:beforeLines="0" w:afterLines="0"/>
              <w:jc w:val="center"/>
              <w:rPr>
                <w:rFonts w:hint="eastAsia" w:hAnsi="宋体"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059BFABA">
            <w:pPr>
              <w:spacing w:beforeLines="0" w:afterLines="0"/>
              <w:jc w:val="center"/>
              <w:rPr>
                <w:rFonts w:hint="eastAsia" w:hAnsi="宋体"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E8B300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C116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组织召开项目推进专题会议</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FA28D">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≥3次</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E21D3">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5次</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1DE00">
            <w:pPr>
              <w:spacing w:beforeLines="0" w:afterLines="0"/>
              <w:jc w:val="center"/>
              <w:rPr>
                <w:rFonts w:hint="eastAsia" w:hAnsi="宋体" w:cs="宋体"/>
                <w:color w:val="auto"/>
                <w:sz w:val="18"/>
                <w:szCs w:val="18"/>
              </w:rPr>
            </w:pPr>
          </w:p>
        </w:tc>
      </w:tr>
      <w:tr w14:paraId="4F26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D502D">
            <w:pPr>
              <w:spacing w:beforeLines="0" w:afterLines="0"/>
              <w:jc w:val="center"/>
              <w:rPr>
                <w:rFonts w:hint="eastAsia" w:hAnsi="宋体"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1648E958">
            <w:pPr>
              <w:spacing w:beforeLines="0" w:afterLines="0"/>
              <w:jc w:val="center"/>
              <w:rPr>
                <w:rFonts w:hint="eastAsia" w:hAnsi="宋体"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9ED594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0333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完成市固定资产投资增长</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B29B2">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≥5%</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5E1C9">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-36.40%</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EEF98">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统计挤水分，投资基数调整</w:t>
            </w:r>
          </w:p>
        </w:tc>
      </w:tr>
      <w:tr w14:paraId="21BB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74E31">
            <w:pPr>
              <w:spacing w:beforeLines="0" w:afterLines="0"/>
              <w:jc w:val="center"/>
              <w:rPr>
                <w:rFonts w:hint="eastAsia" w:hAnsi="宋体"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4599139C">
            <w:pPr>
              <w:spacing w:beforeLines="0" w:afterLines="0"/>
              <w:jc w:val="center"/>
              <w:rPr>
                <w:rFonts w:hint="eastAsia" w:hAnsi="宋体"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82BC48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5A15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项目按期完工率</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FC625">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≥95%</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6977C">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98%</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340FA">
            <w:pPr>
              <w:spacing w:beforeLines="0" w:afterLines="0"/>
              <w:jc w:val="center"/>
              <w:rPr>
                <w:rFonts w:hint="eastAsia" w:hAnsi="宋体" w:cs="宋体"/>
                <w:color w:val="auto"/>
                <w:sz w:val="18"/>
                <w:szCs w:val="18"/>
              </w:rPr>
            </w:pPr>
          </w:p>
        </w:tc>
      </w:tr>
      <w:tr w14:paraId="3595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B6337">
            <w:pPr>
              <w:spacing w:beforeLines="0" w:afterLines="0"/>
              <w:jc w:val="center"/>
              <w:rPr>
                <w:rFonts w:hint="eastAsia" w:hAnsi="宋体" w:cs="宋体"/>
                <w:color w:val="000000"/>
                <w:sz w:val="18"/>
                <w:szCs w:val="18"/>
              </w:rPr>
            </w:pPr>
          </w:p>
        </w:tc>
        <w:tc>
          <w:tcPr>
            <w:tcW w:w="527" w:type="pct"/>
            <w:vMerge w:val="continue"/>
            <w:tcBorders>
              <w:top w:val="single" w:color="000000" w:sz="4" w:space="0"/>
              <w:left w:val="single" w:color="000000" w:sz="4" w:space="0"/>
              <w:bottom w:val="nil"/>
              <w:right w:val="single" w:color="000000" w:sz="4" w:space="0"/>
              <w:tl2br w:val="nil"/>
              <w:tr2bl w:val="nil"/>
            </w:tcBorders>
            <w:noWrap w:val="0"/>
            <w:vAlign w:val="center"/>
          </w:tcPr>
          <w:p w14:paraId="77DDE0DB">
            <w:pPr>
              <w:spacing w:beforeLines="0" w:afterLines="0"/>
              <w:jc w:val="center"/>
              <w:rPr>
                <w:rFonts w:hint="eastAsia" w:hAnsi="宋体"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7D3E35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经济成本指标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C753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完成协调工作所需办公费、差旅费、会议费、培训费等经费控制在财政预算范围内</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2CD15">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≤60万元</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6430A">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60万元</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147AA">
            <w:pPr>
              <w:spacing w:beforeLines="0" w:afterLines="0"/>
              <w:jc w:val="center"/>
              <w:rPr>
                <w:rFonts w:hint="eastAsia" w:hAnsi="宋体" w:cs="宋体"/>
                <w:color w:val="auto"/>
                <w:sz w:val="18"/>
                <w:szCs w:val="18"/>
              </w:rPr>
            </w:pPr>
          </w:p>
        </w:tc>
      </w:tr>
      <w:tr w14:paraId="2D14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14F76">
            <w:pPr>
              <w:spacing w:beforeLines="0" w:afterLines="0"/>
              <w:jc w:val="center"/>
              <w:rPr>
                <w:rFonts w:hint="eastAsia" w:hAnsi="宋体" w:cs="宋体"/>
                <w:color w:val="000000"/>
                <w:sz w:val="18"/>
                <w:szCs w:val="18"/>
              </w:rPr>
            </w:pPr>
          </w:p>
        </w:tc>
        <w:tc>
          <w:tcPr>
            <w:tcW w:w="527"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6CB598B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7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FE0D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经济效益指标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DD97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实现务工群众人均收入增加</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33FE5">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≥200元</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035F1">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200元</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E3051">
            <w:pPr>
              <w:spacing w:beforeLines="0" w:afterLines="0"/>
              <w:jc w:val="center"/>
              <w:rPr>
                <w:rFonts w:hint="eastAsia" w:hAnsi="宋体" w:cs="宋体"/>
                <w:color w:val="auto"/>
                <w:sz w:val="18"/>
                <w:szCs w:val="18"/>
              </w:rPr>
            </w:pPr>
          </w:p>
        </w:tc>
      </w:tr>
      <w:tr w14:paraId="15AD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7C41E">
            <w:pPr>
              <w:spacing w:beforeLines="0" w:afterLines="0"/>
              <w:jc w:val="center"/>
              <w:rPr>
                <w:rFonts w:hint="eastAsia" w:hAnsi="宋体" w:cs="宋体"/>
                <w:color w:val="000000"/>
                <w:sz w:val="18"/>
                <w:szCs w:val="18"/>
              </w:rPr>
            </w:pPr>
          </w:p>
        </w:tc>
        <w:tc>
          <w:tcPr>
            <w:tcW w:w="527"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F7C7C7A">
            <w:pPr>
              <w:spacing w:beforeLines="0" w:afterLines="0"/>
              <w:jc w:val="center"/>
              <w:rPr>
                <w:rFonts w:hint="eastAsia" w:hAnsi="宋体" w:cs="宋体"/>
                <w:color w:val="000000"/>
                <w:sz w:val="18"/>
                <w:szCs w:val="18"/>
              </w:rPr>
            </w:pPr>
          </w:p>
        </w:tc>
        <w:tc>
          <w:tcPr>
            <w:tcW w:w="7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43B7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社会效益指标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47F6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项目建成新增就业岗位个数</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41F3A">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≥500个</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8A858">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500个</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0D2DA">
            <w:pPr>
              <w:spacing w:beforeLines="0" w:afterLines="0"/>
              <w:jc w:val="center"/>
              <w:rPr>
                <w:rFonts w:hint="eastAsia" w:hAnsi="宋体" w:cs="宋体"/>
                <w:color w:val="auto"/>
                <w:sz w:val="18"/>
                <w:szCs w:val="18"/>
              </w:rPr>
            </w:pPr>
          </w:p>
        </w:tc>
      </w:tr>
      <w:tr w14:paraId="4C21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F2B0A">
            <w:pPr>
              <w:spacing w:beforeLines="0" w:afterLines="0"/>
              <w:jc w:val="center"/>
              <w:rPr>
                <w:rFonts w:hint="eastAsia" w:hAnsi="宋体" w:cs="宋体"/>
                <w:color w:val="000000"/>
                <w:sz w:val="18"/>
                <w:szCs w:val="18"/>
              </w:rPr>
            </w:pPr>
          </w:p>
        </w:tc>
        <w:tc>
          <w:tcPr>
            <w:tcW w:w="5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D4B0D">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满意度指标</w:t>
            </w:r>
          </w:p>
        </w:tc>
        <w:tc>
          <w:tcPr>
            <w:tcW w:w="7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5EBB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4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A3E0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实施单位及收益群众满意度</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4B148">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≥95%</w:t>
            </w:r>
          </w:p>
        </w:tc>
        <w:tc>
          <w:tcPr>
            <w:tcW w:w="4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D8110">
            <w:pPr>
              <w:widowControl/>
              <w:spacing w:beforeLines="0" w:afterLines="0"/>
              <w:jc w:val="center"/>
              <w:textAlignment w:val="center"/>
              <w:rPr>
                <w:rFonts w:hint="eastAsia" w:hAnsi="宋体" w:cs="宋体"/>
                <w:color w:val="auto"/>
                <w:sz w:val="18"/>
                <w:szCs w:val="18"/>
              </w:rPr>
            </w:pPr>
            <w:r>
              <w:rPr>
                <w:rFonts w:hint="eastAsia" w:hAnsi="宋体" w:cs="宋体"/>
                <w:color w:val="auto"/>
                <w:sz w:val="18"/>
                <w:szCs w:val="18"/>
                <w:lang w:bidi="ar"/>
              </w:rPr>
              <w:t>97%</w:t>
            </w:r>
          </w:p>
        </w:tc>
        <w:tc>
          <w:tcPr>
            <w:tcW w:w="10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67B25">
            <w:pPr>
              <w:spacing w:beforeLines="0" w:afterLines="0"/>
              <w:jc w:val="center"/>
              <w:rPr>
                <w:rFonts w:hint="eastAsia" w:hAnsi="宋体" w:cs="宋体"/>
                <w:color w:val="auto"/>
                <w:sz w:val="18"/>
                <w:szCs w:val="18"/>
              </w:rPr>
            </w:pPr>
          </w:p>
        </w:tc>
      </w:tr>
    </w:tbl>
    <w:tbl>
      <w:tblPr>
        <w:tblStyle w:val="12"/>
        <w:tblpPr w:leftFromText="180" w:rightFromText="180" w:vertAnchor="text" w:horzAnchor="page" w:tblpXSpec="center" w:tblpY="394"/>
        <w:tblOverlap w:val="never"/>
        <w:tblW w:w="10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1"/>
        <w:gridCol w:w="1128"/>
        <w:gridCol w:w="1138"/>
        <w:gridCol w:w="2035"/>
        <w:gridCol w:w="1378"/>
        <w:gridCol w:w="1319"/>
        <w:gridCol w:w="1558"/>
      </w:tblGrid>
      <w:tr w14:paraId="0248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170" w:type="dxa"/>
            <w:gridSpan w:val="8"/>
            <w:tcBorders>
              <w:top w:val="nil"/>
              <w:left w:val="nil"/>
              <w:bottom w:val="nil"/>
              <w:right w:val="nil"/>
              <w:tl2br w:val="nil"/>
              <w:tr2bl w:val="nil"/>
            </w:tcBorders>
            <w:noWrap w:val="0"/>
            <w:vAlign w:val="center"/>
          </w:tcPr>
          <w:p w14:paraId="21FA0CE6">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招商引资工作经费支出绩效自评表</w:t>
            </w:r>
          </w:p>
        </w:tc>
      </w:tr>
      <w:tr w14:paraId="64D4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170" w:type="dxa"/>
            <w:gridSpan w:val="8"/>
            <w:tcBorders>
              <w:top w:val="nil"/>
              <w:left w:val="nil"/>
              <w:bottom w:val="nil"/>
              <w:right w:val="nil"/>
              <w:tl2br w:val="nil"/>
              <w:tr2bl w:val="nil"/>
            </w:tcBorders>
            <w:noWrap w:val="0"/>
            <w:vAlign w:val="top"/>
          </w:tcPr>
          <w:p w14:paraId="05B2557F">
            <w:pPr>
              <w:widowControl/>
              <w:spacing w:beforeLines="0" w:afterLines="0"/>
              <w:jc w:val="center"/>
              <w:textAlignment w:val="top"/>
              <w:rPr>
                <w:rFonts w:hint="eastAsia" w:hAnsi="宋体" w:cs="宋体"/>
                <w:b/>
                <w:color w:val="000000"/>
                <w:sz w:val="24"/>
                <w:szCs w:val="24"/>
              </w:rPr>
            </w:pPr>
            <w:r>
              <w:rPr>
                <w:rFonts w:hint="eastAsia" w:hAnsi="宋体" w:cs="宋体"/>
                <w:b/>
                <w:color w:val="000000"/>
                <w:sz w:val="24"/>
                <w:szCs w:val="24"/>
                <w:lang w:bidi="ar"/>
              </w:rPr>
              <w:t>（ 2023年度）</w:t>
            </w:r>
          </w:p>
        </w:tc>
      </w:tr>
      <w:tr w14:paraId="6AF2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1D01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项目（政策）名称</w:t>
            </w:r>
          </w:p>
        </w:tc>
        <w:tc>
          <w:tcPr>
            <w:tcW w:w="855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6E27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2023年招商引资工作经费</w:t>
            </w:r>
          </w:p>
        </w:tc>
      </w:tr>
      <w:tr w14:paraId="7189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CAC2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43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D743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广元市昭化区发展和改革局</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E3B5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实施单位</w:t>
            </w:r>
          </w:p>
        </w:tc>
        <w:tc>
          <w:tcPr>
            <w:tcW w:w="287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DCC5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广元市昭化区发展和改革局</w:t>
            </w:r>
          </w:p>
        </w:tc>
      </w:tr>
      <w:tr w14:paraId="38F4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442175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849D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年度预算数（万元）</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0793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8359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0EB8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CDFB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14:paraId="2246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B1607B7">
            <w:pPr>
              <w:spacing w:beforeLines="0" w:afterLines="0"/>
              <w:jc w:val="center"/>
              <w:rPr>
                <w:rFonts w:hint="eastAsia" w:hAnsi="宋体"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14A0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C692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C985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B0DF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0</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80FC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0%</w:t>
            </w:r>
          </w:p>
        </w:tc>
      </w:tr>
      <w:tr w14:paraId="3D14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39BB618">
            <w:pPr>
              <w:spacing w:beforeLines="0" w:afterLines="0"/>
              <w:jc w:val="center"/>
              <w:rPr>
                <w:rFonts w:hint="eastAsia" w:hAnsi="宋体"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303A8">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B384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46C1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9712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0</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AC8D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0%</w:t>
            </w:r>
          </w:p>
        </w:tc>
      </w:tr>
      <w:tr w14:paraId="6D86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0D8997C">
            <w:pPr>
              <w:spacing w:beforeLines="0" w:afterLines="0"/>
              <w:jc w:val="center"/>
              <w:rPr>
                <w:rFonts w:hint="eastAsia" w:hAnsi="宋体"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4D2C1">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1.一般公共预算</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90FB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1316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DFFF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0</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4D7E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0%</w:t>
            </w:r>
          </w:p>
        </w:tc>
      </w:tr>
      <w:tr w14:paraId="3A93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8DCDA6C">
            <w:pPr>
              <w:spacing w:beforeLines="0" w:afterLines="0"/>
              <w:jc w:val="center"/>
              <w:rPr>
                <w:rFonts w:hint="eastAsia" w:hAnsi="宋体"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DCC50">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2.政府性基金</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16C91">
            <w:pPr>
              <w:spacing w:beforeLines="0" w:afterLines="0"/>
              <w:rPr>
                <w:rFonts w:hint="eastAsia" w:hAnsi="宋体" w:cs="宋体"/>
                <w:color w:val="000000"/>
                <w:sz w:val="18"/>
                <w:szCs w:val="18"/>
              </w:rPr>
            </w:pP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198F1">
            <w:pPr>
              <w:spacing w:beforeLines="0" w:afterLines="0"/>
              <w:jc w:val="center"/>
              <w:rPr>
                <w:rFonts w:hint="eastAsia" w:hAnsi="宋体" w:cs="宋体"/>
                <w:color w:val="000000"/>
                <w:sz w:val="18"/>
                <w:szCs w:val="18"/>
              </w:rPr>
            </w:pP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A183A">
            <w:pPr>
              <w:spacing w:beforeLines="0" w:afterLines="0"/>
              <w:jc w:val="center"/>
              <w:rPr>
                <w:rFonts w:hint="eastAsia" w:hAnsi="宋体" w:cs="宋体"/>
                <w:color w:val="000000"/>
                <w:sz w:val="18"/>
                <w:szCs w:val="18"/>
              </w:rPr>
            </w:pP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35FD0">
            <w:pPr>
              <w:spacing w:beforeLines="0" w:afterLines="0"/>
              <w:jc w:val="center"/>
              <w:rPr>
                <w:rFonts w:hint="eastAsia" w:hAnsi="宋体" w:cs="宋体"/>
                <w:color w:val="000000"/>
                <w:sz w:val="18"/>
                <w:szCs w:val="18"/>
              </w:rPr>
            </w:pPr>
          </w:p>
        </w:tc>
      </w:tr>
      <w:tr w14:paraId="6E2D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292D89">
            <w:pPr>
              <w:spacing w:beforeLines="0" w:afterLines="0"/>
              <w:jc w:val="center"/>
              <w:rPr>
                <w:rFonts w:hint="eastAsia" w:hAnsi="宋体"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95EDA">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3.国有资本经营预算</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CFEBE">
            <w:pPr>
              <w:spacing w:beforeLines="0" w:afterLines="0"/>
              <w:rPr>
                <w:rFonts w:hint="eastAsia" w:hAnsi="宋体" w:cs="宋体"/>
                <w:color w:val="000000"/>
                <w:sz w:val="18"/>
                <w:szCs w:val="18"/>
              </w:rPr>
            </w:pP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189BD">
            <w:pPr>
              <w:spacing w:beforeLines="0" w:afterLines="0"/>
              <w:jc w:val="center"/>
              <w:rPr>
                <w:rFonts w:hint="eastAsia" w:hAnsi="宋体" w:cs="宋体"/>
                <w:color w:val="000000"/>
                <w:sz w:val="18"/>
                <w:szCs w:val="18"/>
              </w:rPr>
            </w:pP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58A3B">
            <w:pPr>
              <w:spacing w:beforeLines="0" w:afterLines="0"/>
              <w:jc w:val="center"/>
              <w:rPr>
                <w:rFonts w:hint="eastAsia" w:hAnsi="宋体" w:cs="宋体"/>
                <w:color w:val="000000"/>
                <w:sz w:val="18"/>
                <w:szCs w:val="18"/>
              </w:rPr>
            </w:pP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AA27D">
            <w:pPr>
              <w:spacing w:beforeLines="0" w:afterLines="0"/>
              <w:jc w:val="center"/>
              <w:rPr>
                <w:rFonts w:hint="eastAsia" w:hAnsi="宋体" w:cs="宋体"/>
                <w:color w:val="000000"/>
                <w:sz w:val="18"/>
                <w:szCs w:val="18"/>
              </w:rPr>
            </w:pPr>
          </w:p>
        </w:tc>
      </w:tr>
      <w:tr w14:paraId="4F76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C1E69E">
            <w:pPr>
              <w:spacing w:beforeLines="0" w:afterLines="0"/>
              <w:jc w:val="center"/>
              <w:rPr>
                <w:rFonts w:hint="eastAsia" w:hAnsi="宋体" w:cs="宋体"/>
                <w:color w:val="000000"/>
                <w:sz w:val="18"/>
                <w:szCs w:val="18"/>
              </w:rPr>
            </w:pPr>
          </w:p>
        </w:tc>
        <w:tc>
          <w:tcPr>
            <w:tcW w:w="2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3BC0D">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2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753F8">
            <w:pPr>
              <w:spacing w:beforeLines="0" w:afterLines="0"/>
              <w:rPr>
                <w:rFonts w:hint="eastAsia" w:hAnsi="宋体" w:cs="宋体"/>
                <w:color w:val="000000"/>
                <w:sz w:val="18"/>
                <w:szCs w:val="18"/>
              </w:rPr>
            </w:pP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4FC6D">
            <w:pPr>
              <w:spacing w:beforeLines="0" w:afterLines="0"/>
              <w:jc w:val="center"/>
              <w:rPr>
                <w:rFonts w:hint="eastAsia" w:hAnsi="宋体" w:cs="宋体"/>
                <w:color w:val="000000"/>
                <w:sz w:val="18"/>
                <w:szCs w:val="18"/>
              </w:rPr>
            </w:pP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7EF1C">
            <w:pPr>
              <w:spacing w:beforeLines="0" w:afterLines="0"/>
              <w:jc w:val="center"/>
              <w:rPr>
                <w:rFonts w:hint="eastAsia" w:hAnsi="宋体" w:cs="宋体"/>
                <w:color w:val="000000"/>
                <w:sz w:val="18"/>
                <w:szCs w:val="18"/>
              </w:rPr>
            </w:pP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DCA33">
            <w:pPr>
              <w:spacing w:beforeLines="0" w:afterLines="0"/>
              <w:jc w:val="center"/>
              <w:rPr>
                <w:rFonts w:hint="eastAsia" w:hAnsi="宋体" w:cs="宋体"/>
                <w:color w:val="000000"/>
                <w:sz w:val="18"/>
                <w:szCs w:val="18"/>
              </w:rPr>
            </w:pPr>
          </w:p>
        </w:tc>
      </w:tr>
      <w:tr w14:paraId="0293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D7EA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515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EA84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42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5C57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14:paraId="55DA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F6347">
            <w:pPr>
              <w:spacing w:beforeLines="0" w:afterLines="0"/>
              <w:jc w:val="center"/>
              <w:rPr>
                <w:rFonts w:hint="eastAsia" w:hAnsi="宋体" w:cs="宋体"/>
                <w:color w:val="000000"/>
                <w:sz w:val="18"/>
                <w:szCs w:val="18"/>
              </w:rPr>
            </w:pPr>
          </w:p>
        </w:tc>
        <w:tc>
          <w:tcPr>
            <w:tcW w:w="515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896E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加快推进2023年全区政府性投资项目工作，全年完成招商引资项目不少于2个，完成招商引资资金任务不低于6000万元，引进优质企业投资，招商引资所需差旅费、办公费等费用成本控制在5万元内，企业年利润增长率不低于10%，社会公众满意度达到95%，为全面建设社会主义现代化昭化提供优质投资环境支撑。</w:t>
            </w:r>
          </w:p>
        </w:tc>
        <w:tc>
          <w:tcPr>
            <w:tcW w:w="425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DA53D">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2023年度全区52个省、市、区重点项目全年预计可完成投资64亿元、投资完成比102.9%；完成招商引资项目2个，到位资金6000万元；引进鑫邦克包装公司投资建成食品用复合塑料包装建设项目，招商引资所需差旅费、办公费等费用成本控制在5万元内，企业年利润增长率12%，社会公众满意度达到95%，为全面建设社会主义现代化昭化提供优质投资环境支撑。</w:t>
            </w:r>
          </w:p>
        </w:tc>
      </w:tr>
      <w:tr w14:paraId="0ED5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EE99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绩效</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9C29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3D7D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352D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F642B">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年度指标值</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7F82D">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实际完成值</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76FDC">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偏差原因分析及改进措施</w:t>
            </w:r>
          </w:p>
        </w:tc>
      </w:tr>
      <w:tr w14:paraId="2518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31E88">
            <w:pPr>
              <w:spacing w:beforeLines="0" w:afterLines="0"/>
              <w:jc w:val="center"/>
              <w:rPr>
                <w:rFonts w:hint="eastAsia" w:hAnsi="宋体" w:cs="宋体"/>
                <w:color w:val="00000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120F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11CF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A131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全年完成招商引资资金任务</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E1F50">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≥6000万元</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773E3">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6000万元</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B4DA6">
            <w:pPr>
              <w:widowControl/>
              <w:spacing w:beforeLines="0" w:afterLines="0"/>
              <w:jc w:val="center"/>
              <w:textAlignment w:val="center"/>
              <w:rPr>
                <w:rFonts w:hint="eastAsia" w:hAnsi="宋体" w:cs="宋体"/>
                <w:color w:val="000000"/>
                <w:sz w:val="18"/>
                <w:szCs w:val="18"/>
                <w:lang w:bidi="ar"/>
              </w:rPr>
            </w:pPr>
          </w:p>
        </w:tc>
      </w:tr>
      <w:tr w14:paraId="7BC4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BFC26">
            <w:pPr>
              <w:spacing w:beforeLines="0" w:afterLines="0"/>
              <w:jc w:val="center"/>
              <w:rPr>
                <w:rFonts w:hint="eastAsia" w:hAnsi="宋体" w:cs="宋体"/>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62631">
            <w:pPr>
              <w:spacing w:beforeLines="0" w:afterLines="0"/>
              <w:jc w:val="center"/>
              <w:rPr>
                <w:rFonts w:hint="eastAsia"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70E3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3381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全年完成招商引资项目</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A74AC">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≥2个</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03887">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2个</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612C5">
            <w:pPr>
              <w:widowControl/>
              <w:spacing w:beforeLines="0" w:afterLines="0"/>
              <w:jc w:val="center"/>
              <w:textAlignment w:val="center"/>
              <w:rPr>
                <w:rFonts w:hint="eastAsia" w:hAnsi="宋体" w:cs="宋体"/>
                <w:color w:val="000000"/>
                <w:sz w:val="18"/>
                <w:szCs w:val="18"/>
                <w:lang w:bidi="ar"/>
              </w:rPr>
            </w:pPr>
          </w:p>
        </w:tc>
      </w:tr>
      <w:tr w14:paraId="78AD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798E4">
            <w:pPr>
              <w:spacing w:beforeLines="0" w:afterLines="0"/>
              <w:jc w:val="center"/>
              <w:rPr>
                <w:rFonts w:hint="eastAsia" w:hAnsi="宋体" w:cs="宋体"/>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70DF1">
            <w:pPr>
              <w:spacing w:beforeLines="0" w:afterLines="0"/>
              <w:jc w:val="center"/>
              <w:rPr>
                <w:rFonts w:hint="eastAsia"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83E7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21CB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招商引资工作完成率</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CAE4F">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≥85%</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C3551">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100%</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6A6B8">
            <w:pPr>
              <w:widowControl/>
              <w:spacing w:beforeLines="0" w:afterLines="0"/>
              <w:jc w:val="center"/>
              <w:textAlignment w:val="center"/>
              <w:rPr>
                <w:rFonts w:hint="eastAsia" w:hAnsi="宋体" w:cs="宋体"/>
                <w:color w:val="000000"/>
                <w:sz w:val="18"/>
                <w:szCs w:val="18"/>
                <w:lang w:bidi="ar"/>
              </w:rPr>
            </w:pPr>
          </w:p>
        </w:tc>
      </w:tr>
      <w:tr w14:paraId="6598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ABA31">
            <w:pPr>
              <w:spacing w:beforeLines="0" w:afterLines="0"/>
              <w:jc w:val="center"/>
              <w:rPr>
                <w:rFonts w:hint="eastAsia" w:hAnsi="宋体" w:cs="宋体"/>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50133">
            <w:pPr>
              <w:spacing w:beforeLines="0" w:afterLines="0"/>
              <w:jc w:val="center"/>
              <w:rPr>
                <w:rFonts w:hint="eastAsia"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DD02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8304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招商引资任务完成时限</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69D06D">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≤12个月</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E9B26">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12个月</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EE01F">
            <w:pPr>
              <w:widowControl/>
              <w:spacing w:beforeLines="0" w:afterLines="0"/>
              <w:jc w:val="center"/>
              <w:textAlignment w:val="center"/>
              <w:rPr>
                <w:rFonts w:hint="eastAsia" w:hAnsi="宋体" w:cs="宋体"/>
                <w:color w:val="000000"/>
                <w:sz w:val="18"/>
                <w:szCs w:val="18"/>
                <w:lang w:bidi="ar"/>
              </w:rPr>
            </w:pPr>
          </w:p>
        </w:tc>
      </w:tr>
      <w:tr w14:paraId="4ABD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EDEAF">
            <w:pPr>
              <w:spacing w:beforeLines="0" w:afterLines="0"/>
              <w:jc w:val="center"/>
              <w:rPr>
                <w:rFonts w:hint="eastAsia" w:hAnsi="宋体" w:cs="宋体"/>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7D69C">
            <w:pPr>
              <w:spacing w:beforeLines="0" w:afterLines="0"/>
              <w:jc w:val="center"/>
              <w:rPr>
                <w:rFonts w:hint="eastAsia"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DD51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3802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完成项目争取目标所需差旅费、印刷费等费用严格控制在财政预算额度内</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46353">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≤5万元</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F081E">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0万元</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05E6C">
            <w:pPr>
              <w:widowControl/>
              <w:spacing w:beforeLines="0" w:afterLines="0"/>
              <w:jc w:val="center"/>
              <w:textAlignment w:val="center"/>
              <w:rPr>
                <w:rFonts w:hint="eastAsia" w:hAnsi="宋体" w:cs="宋体"/>
                <w:color w:val="000000"/>
                <w:sz w:val="18"/>
                <w:szCs w:val="18"/>
                <w:lang w:bidi="ar"/>
              </w:rPr>
            </w:pPr>
          </w:p>
        </w:tc>
      </w:tr>
      <w:tr w14:paraId="5FE2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D6711">
            <w:pPr>
              <w:spacing w:beforeLines="0" w:afterLines="0"/>
              <w:jc w:val="center"/>
              <w:rPr>
                <w:rFonts w:hint="eastAsia" w:hAnsi="宋体" w:cs="宋体"/>
                <w:color w:val="00000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8B9B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DE73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可持续影响指标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B410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可持续效果</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714CA">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≥2年</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70A34">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≥2年</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0FED7">
            <w:pPr>
              <w:widowControl/>
              <w:spacing w:beforeLines="0" w:afterLines="0"/>
              <w:jc w:val="center"/>
              <w:textAlignment w:val="center"/>
              <w:rPr>
                <w:rFonts w:hint="eastAsia" w:hAnsi="宋体" w:cs="宋体"/>
                <w:color w:val="000000"/>
                <w:sz w:val="18"/>
                <w:szCs w:val="18"/>
                <w:lang w:bidi="ar"/>
              </w:rPr>
            </w:pPr>
          </w:p>
        </w:tc>
      </w:tr>
      <w:tr w14:paraId="7C8F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30C07">
            <w:pPr>
              <w:spacing w:beforeLines="0" w:afterLines="0"/>
              <w:jc w:val="center"/>
              <w:rPr>
                <w:rFonts w:hint="eastAsia" w:hAnsi="宋体" w:cs="宋体"/>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CF90D">
            <w:pPr>
              <w:spacing w:beforeLines="0" w:afterLines="0"/>
              <w:jc w:val="center"/>
              <w:rPr>
                <w:rFonts w:hint="eastAsia"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C5F2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经济效益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B641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企业年利润增长率</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C7946">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≥10%</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3345F">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11%</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5254A">
            <w:pPr>
              <w:widowControl/>
              <w:spacing w:beforeLines="0" w:afterLines="0"/>
              <w:jc w:val="center"/>
              <w:textAlignment w:val="center"/>
              <w:rPr>
                <w:rFonts w:hint="eastAsia" w:hAnsi="宋体" w:cs="宋体"/>
                <w:color w:val="000000"/>
                <w:sz w:val="18"/>
                <w:szCs w:val="18"/>
                <w:lang w:bidi="ar"/>
              </w:rPr>
            </w:pPr>
          </w:p>
        </w:tc>
      </w:tr>
      <w:tr w14:paraId="46B0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3D047">
            <w:pPr>
              <w:spacing w:beforeLines="0" w:afterLines="0"/>
              <w:jc w:val="center"/>
              <w:rPr>
                <w:rFonts w:hint="eastAsia" w:hAnsi="宋体" w:cs="宋体"/>
                <w:color w:val="000000"/>
                <w:sz w:val="18"/>
                <w:szCs w:val="18"/>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9E9C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0F6F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满意度指标</w:t>
            </w:r>
          </w:p>
        </w:tc>
        <w:tc>
          <w:tcPr>
            <w:tcW w:w="31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C488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项目区群众满意度</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73426">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≥96%</w:t>
            </w:r>
          </w:p>
        </w:tc>
        <w:tc>
          <w:tcPr>
            <w:tcW w:w="1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B9795">
            <w:pPr>
              <w:widowControl/>
              <w:spacing w:beforeLines="0" w:afterLines="0"/>
              <w:jc w:val="center"/>
              <w:textAlignment w:val="center"/>
              <w:rPr>
                <w:rFonts w:hint="eastAsia" w:hAnsi="宋体" w:cs="宋体"/>
                <w:color w:val="000000"/>
                <w:sz w:val="18"/>
                <w:szCs w:val="18"/>
                <w:lang w:bidi="ar"/>
              </w:rPr>
            </w:pPr>
            <w:r>
              <w:rPr>
                <w:rFonts w:hint="eastAsia" w:hAnsi="宋体" w:cs="宋体"/>
                <w:color w:val="000000"/>
                <w:sz w:val="18"/>
                <w:szCs w:val="18"/>
                <w:lang w:bidi="ar"/>
              </w:rPr>
              <w:t>98%</w:t>
            </w:r>
          </w:p>
        </w:tc>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C57A1">
            <w:pPr>
              <w:widowControl/>
              <w:spacing w:beforeLines="0" w:afterLines="0"/>
              <w:jc w:val="center"/>
              <w:textAlignment w:val="center"/>
              <w:rPr>
                <w:rFonts w:hint="eastAsia" w:hAnsi="宋体" w:cs="宋体"/>
                <w:color w:val="000000"/>
                <w:sz w:val="18"/>
                <w:szCs w:val="18"/>
                <w:lang w:bidi="ar"/>
              </w:rPr>
            </w:pPr>
          </w:p>
        </w:tc>
      </w:tr>
    </w:tbl>
    <w:tbl>
      <w:tblPr>
        <w:tblStyle w:val="12"/>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6590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l2br w:val="nil"/>
              <w:tr2bl w:val="nil"/>
            </w:tcBorders>
            <w:noWrap w:val="0"/>
            <w:vAlign w:val="center"/>
          </w:tcPr>
          <w:p w14:paraId="6EB07C76">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2023年争取项目资金工作经费支出绩效自评表</w:t>
            </w:r>
          </w:p>
        </w:tc>
      </w:tr>
      <w:tr w14:paraId="7A81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l2br w:val="nil"/>
              <w:tr2bl w:val="nil"/>
            </w:tcBorders>
            <w:noWrap w:val="0"/>
            <w:vAlign w:val="top"/>
          </w:tcPr>
          <w:p w14:paraId="008AB9CD">
            <w:pPr>
              <w:widowControl/>
              <w:spacing w:beforeLines="0" w:afterLines="0"/>
              <w:jc w:val="center"/>
              <w:textAlignment w:val="top"/>
              <w:rPr>
                <w:rFonts w:hint="eastAsia" w:hAnsi="宋体" w:cs="宋体"/>
                <w:b/>
                <w:color w:val="000000"/>
                <w:sz w:val="24"/>
                <w:szCs w:val="24"/>
              </w:rPr>
            </w:pPr>
            <w:r>
              <w:rPr>
                <w:rFonts w:hint="eastAsia" w:hAnsi="宋体" w:cs="宋体"/>
                <w:b/>
                <w:color w:val="000000"/>
                <w:sz w:val="24"/>
                <w:szCs w:val="24"/>
                <w:lang w:bidi="ar"/>
              </w:rPr>
              <w:t>（ 2023年度）</w:t>
            </w:r>
          </w:p>
        </w:tc>
      </w:tr>
      <w:tr w14:paraId="0448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E2F1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5FD1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2023年争取项目资金工作经费</w:t>
            </w:r>
          </w:p>
        </w:tc>
      </w:tr>
      <w:tr w14:paraId="0779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CAA8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E8BD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广元市昭化区发展和改革局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8967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实施单位</w:t>
            </w:r>
          </w:p>
        </w:tc>
        <w:tc>
          <w:tcPr>
            <w:tcW w:w="255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1151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广元市昭化区发展和改革局</w:t>
            </w:r>
          </w:p>
        </w:tc>
      </w:tr>
      <w:tr w14:paraId="151D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34A948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759F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年度预算数（万元）</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2456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2E7A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4D73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966D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14:paraId="6948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B3CC376">
            <w:pPr>
              <w:spacing w:beforeLines="0" w:afterLines="0"/>
              <w:jc w:val="center"/>
              <w:rPr>
                <w:rFonts w:hint="eastAsia"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DDEB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4E4F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FC40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15EE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16.34</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B99B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82%</w:t>
            </w:r>
          </w:p>
        </w:tc>
      </w:tr>
      <w:tr w14:paraId="5E79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8FC12C6">
            <w:pPr>
              <w:spacing w:beforeLines="0" w:afterLines="0"/>
              <w:jc w:val="center"/>
              <w:rPr>
                <w:rFonts w:hint="eastAsia"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50832">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CE6C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3CC4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FA54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16.34</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C61A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82%</w:t>
            </w:r>
          </w:p>
        </w:tc>
      </w:tr>
      <w:tr w14:paraId="1C36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B963473">
            <w:pPr>
              <w:spacing w:beforeLines="0" w:afterLines="0"/>
              <w:jc w:val="center"/>
              <w:rPr>
                <w:rFonts w:hint="eastAsia"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6F6FA">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9183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6D56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E145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16.34</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C763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82%</w:t>
            </w:r>
          </w:p>
        </w:tc>
      </w:tr>
      <w:tr w14:paraId="0128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B73173B">
            <w:pPr>
              <w:spacing w:beforeLines="0" w:afterLines="0"/>
              <w:jc w:val="center"/>
              <w:rPr>
                <w:rFonts w:hint="eastAsia"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DC1FE">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D1670">
            <w:pPr>
              <w:spacing w:beforeLines="0" w:afterLines="0"/>
              <w:rPr>
                <w:rFonts w:hint="eastAsia"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F9719">
            <w:pPr>
              <w:spacing w:beforeLines="0" w:afterLines="0"/>
              <w:jc w:val="center"/>
              <w:rPr>
                <w:rFonts w:hint="eastAsia"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8B43B">
            <w:pPr>
              <w:spacing w:beforeLines="0" w:afterLines="0"/>
              <w:jc w:val="center"/>
              <w:rPr>
                <w:rFonts w:hint="eastAsia"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484BF">
            <w:pPr>
              <w:spacing w:beforeLines="0" w:afterLines="0"/>
              <w:jc w:val="center"/>
              <w:rPr>
                <w:rFonts w:hint="eastAsia" w:hAnsi="宋体" w:cs="宋体"/>
                <w:color w:val="000000"/>
                <w:sz w:val="18"/>
                <w:szCs w:val="18"/>
              </w:rPr>
            </w:pPr>
          </w:p>
        </w:tc>
      </w:tr>
      <w:tr w14:paraId="2951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55279C4">
            <w:pPr>
              <w:spacing w:beforeLines="0" w:afterLines="0"/>
              <w:jc w:val="center"/>
              <w:rPr>
                <w:rFonts w:hint="eastAsia"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31369">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11801">
            <w:pPr>
              <w:spacing w:beforeLines="0" w:afterLines="0"/>
              <w:rPr>
                <w:rFonts w:hint="eastAsia"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DAF2A">
            <w:pPr>
              <w:spacing w:beforeLines="0" w:afterLines="0"/>
              <w:jc w:val="center"/>
              <w:rPr>
                <w:rFonts w:hint="eastAsia"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F29AC">
            <w:pPr>
              <w:spacing w:beforeLines="0" w:afterLines="0"/>
              <w:jc w:val="center"/>
              <w:rPr>
                <w:rFonts w:hint="eastAsia"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D38A4">
            <w:pPr>
              <w:spacing w:beforeLines="0" w:afterLines="0"/>
              <w:jc w:val="center"/>
              <w:rPr>
                <w:rFonts w:hint="eastAsia" w:hAnsi="宋体" w:cs="宋体"/>
                <w:color w:val="000000"/>
                <w:sz w:val="18"/>
                <w:szCs w:val="18"/>
              </w:rPr>
            </w:pPr>
          </w:p>
        </w:tc>
      </w:tr>
      <w:tr w14:paraId="368A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B5D9226">
            <w:pPr>
              <w:spacing w:beforeLines="0" w:afterLines="0"/>
              <w:jc w:val="center"/>
              <w:rPr>
                <w:rFonts w:hint="eastAsia"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1632B">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9EF2C">
            <w:pPr>
              <w:spacing w:beforeLines="0" w:afterLines="0"/>
              <w:rPr>
                <w:rFonts w:hint="eastAsia"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03B54">
            <w:pPr>
              <w:spacing w:beforeLines="0" w:afterLines="0"/>
              <w:jc w:val="center"/>
              <w:rPr>
                <w:rFonts w:hint="eastAsia"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4DF77">
            <w:pPr>
              <w:spacing w:beforeLines="0" w:afterLines="0"/>
              <w:jc w:val="center"/>
              <w:rPr>
                <w:rFonts w:hint="eastAsia"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62BC2">
            <w:pPr>
              <w:spacing w:beforeLines="0" w:afterLines="0"/>
              <w:jc w:val="center"/>
              <w:rPr>
                <w:rFonts w:hint="eastAsia" w:hAnsi="宋体" w:cs="宋体"/>
                <w:color w:val="000000"/>
                <w:sz w:val="18"/>
                <w:szCs w:val="18"/>
              </w:rPr>
            </w:pPr>
          </w:p>
        </w:tc>
      </w:tr>
      <w:tr w14:paraId="30F1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2036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694D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4832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14:paraId="7AE1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9B29E">
            <w:pPr>
              <w:spacing w:beforeLines="0" w:afterLines="0"/>
              <w:jc w:val="center"/>
              <w:rPr>
                <w:rFonts w:hint="eastAsia"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946B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争取以工代赈、粮油产业发展、采煤沉陷区治理等中央、省预算内及发改行业资金不少于5000万元，按程序争取资金效率达到98%，确保所争取资金能够按时足额到位。完成项目资金争取所需差旅费、办公费等经费严格控制在20万元的财政预算内，努力争取一批生态环境保护和人居环境整治项目并加快实施，优化我区生态环境，带动周边群众增收不低于200元/人，使得人民群众满意度不低于95%。</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1CC3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争取发改行业资金1.96元，按程序高效完成资金争取，确保所争取的资金按时足额到位，项目的争取加快了我区生态环境保护和人居环境整治项目的实施进度，带动了项目区周边群众家门口就业，确保每人务工月增收300元以上，实现项目区群众满意度达99%。</w:t>
            </w:r>
          </w:p>
        </w:tc>
      </w:tr>
      <w:tr w14:paraId="58F6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ECB5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绩效</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339C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FCF5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7B70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98D1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285C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6392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14:paraId="14DF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A6D5C">
            <w:pPr>
              <w:spacing w:beforeLines="0" w:afterLines="0"/>
              <w:jc w:val="center"/>
              <w:rPr>
                <w:rFonts w:hint="eastAsia"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5FBE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29B0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5977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全年争取以工代赈、粮油产业发展、采煤沉陷区治理等中央、省预算内及发改行业资金</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15E91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≥5000万元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D3DB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1.96亿元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81425">
            <w:pPr>
              <w:spacing w:beforeLines="0" w:afterLines="0"/>
              <w:jc w:val="center"/>
              <w:rPr>
                <w:rFonts w:hint="eastAsia" w:hAnsi="宋体" w:cs="宋体"/>
                <w:color w:val="000000"/>
                <w:sz w:val="18"/>
                <w:szCs w:val="18"/>
              </w:rPr>
            </w:pPr>
          </w:p>
        </w:tc>
      </w:tr>
      <w:tr w14:paraId="66B2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BFA70">
            <w:pPr>
              <w:spacing w:beforeLines="0" w:afterLines="0"/>
              <w:jc w:val="center"/>
              <w:rPr>
                <w:rFonts w:hint="eastAsia"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C673A">
            <w:pPr>
              <w:spacing w:beforeLines="0" w:afterLines="0"/>
              <w:jc w:val="center"/>
              <w:rPr>
                <w:rFonts w:hint="eastAsia"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CAA0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3989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完成资金争取任务并通过考核</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7B4E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定性优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7819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E25A6">
            <w:pPr>
              <w:spacing w:beforeLines="0" w:afterLines="0"/>
              <w:jc w:val="center"/>
              <w:rPr>
                <w:rFonts w:hint="eastAsia" w:hAnsi="宋体" w:cs="宋体"/>
                <w:color w:val="000000"/>
                <w:sz w:val="18"/>
                <w:szCs w:val="18"/>
              </w:rPr>
            </w:pPr>
          </w:p>
        </w:tc>
      </w:tr>
      <w:tr w14:paraId="4624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4C551">
            <w:pPr>
              <w:spacing w:beforeLines="0" w:afterLines="0"/>
              <w:jc w:val="center"/>
              <w:rPr>
                <w:rFonts w:hint="eastAsia"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8DF6E">
            <w:pPr>
              <w:spacing w:beforeLines="0" w:afterLines="0"/>
              <w:jc w:val="center"/>
              <w:rPr>
                <w:rFonts w:hint="eastAsia"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7239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A994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项目争取资金到位及时率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0879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0D2A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96%</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B43A0">
            <w:pPr>
              <w:spacing w:beforeLines="0" w:afterLines="0"/>
              <w:jc w:val="center"/>
              <w:rPr>
                <w:rFonts w:hint="eastAsia" w:hAnsi="宋体" w:cs="宋体"/>
                <w:color w:val="000000"/>
                <w:sz w:val="18"/>
                <w:szCs w:val="18"/>
              </w:rPr>
            </w:pPr>
          </w:p>
        </w:tc>
      </w:tr>
      <w:tr w14:paraId="3286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D05C3">
            <w:pPr>
              <w:spacing w:beforeLines="0" w:afterLines="0"/>
              <w:jc w:val="center"/>
              <w:rPr>
                <w:rFonts w:hint="eastAsia"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E8286">
            <w:pPr>
              <w:spacing w:beforeLines="0" w:afterLines="0"/>
              <w:jc w:val="center"/>
              <w:rPr>
                <w:rFonts w:hint="eastAsia"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F319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87798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完成项目争取目标所需差旅费、办公费、印刷费等费用严格控制在财政预算额度内</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41EF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0E8B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16.34万元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2E843">
            <w:pPr>
              <w:spacing w:beforeLines="0" w:afterLines="0"/>
              <w:jc w:val="center"/>
              <w:rPr>
                <w:rFonts w:hint="eastAsia" w:hAnsi="宋体" w:cs="宋体"/>
                <w:color w:val="000000"/>
                <w:sz w:val="18"/>
                <w:szCs w:val="18"/>
              </w:rPr>
            </w:pPr>
          </w:p>
        </w:tc>
      </w:tr>
      <w:tr w14:paraId="74FD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7B71C">
            <w:pPr>
              <w:spacing w:beforeLines="0" w:afterLines="0"/>
              <w:jc w:val="center"/>
              <w:rPr>
                <w:rFonts w:hint="eastAsia"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2C96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D12D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社会效益指标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18F2FBB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项目建设新增就业岗位个数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1ADC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≥30个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0D4E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300个</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DD090">
            <w:pPr>
              <w:spacing w:beforeLines="0" w:afterLines="0"/>
              <w:jc w:val="center"/>
              <w:rPr>
                <w:rFonts w:hint="eastAsia" w:hAnsi="宋体" w:cs="宋体"/>
                <w:color w:val="000000"/>
                <w:sz w:val="18"/>
                <w:szCs w:val="18"/>
              </w:rPr>
            </w:pPr>
          </w:p>
        </w:tc>
      </w:tr>
      <w:tr w14:paraId="3938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CEC46">
            <w:pPr>
              <w:spacing w:beforeLines="0" w:afterLines="0"/>
              <w:jc w:val="center"/>
              <w:rPr>
                <w:rFonts w:hint="eastAsia"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E7EB9">
            <w:pPr>
              <w:spacing w:beforeLines="0" w:afterLines="0"/>
              <w:jc w:val="center"/>
              <w:rPr>
                <w:rFonts w:hint="eastAsia"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5CA7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经济效益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8F715E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带动项目区周边群众月增收</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C303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≥200元/人</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AF99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300元/人</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EDF62">
            <w:pPr>
              <w:spacing w:beforeLines="0" w:afterLines="0"/>
              <w:jc w:val="center"/>
              <w:rPr>
                <w:rFonts w:hint="eastAsia" w:hAnsi="宋体" w:cs="宋体"/>
                <w:color w:val="000000"/>
                <w:sz w:val="18"/>
                <w:szCs w:val="18"/>
              </w:rPr>
            </w:pPr>
          </w:p>
        </w:tc>
      </w:tr>
      <w:tr w14:paraId="42E8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DD836">
            <w:pPr>
              <w:spacing w:beforeLines="0" w:afterLines="0"/>
              <w:jc w:val="center"/>
              <w:rPr>
                <w:rFonts w:hint="eastAsia"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0029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D576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满意度指标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AA7041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项目区群众满意度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FED6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≥96%</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50AF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98%</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0650C">
            <w:pPr>
              <w:spacing w:beforeLines="0" w:afterLines="0"/>
              <w:jc w:val="center"/>
              <w:rPr>
                <w:rFonts w:hint="eastAsia" w:hAnsi="宋体" w:cs="宋体"/>
                <w:color w:val="000000"/>
                <w:sz w:val="18"/>
                <w:szCs w:val="18"/>
              </w:rPr>
            </w:pPr>
          </w:p>
        </w:tc>
      </w:tr>
    </w:tbl>
    <w:p w14:paraId="43A9B5F3">
      <w:pPr>
        <w:pStyle w:val="2"/>
        <w:spacing w:beforeLines="0" w:afterLines="0"/>
        <w:rPr>
          <w:rFonts w:hint="eastAsia" w:ascii="仿宋_GB2312" w:hAnsi="仿宋_GB2312" w:eastAsia="仿宋_GB2312"/>
          <w:kern w:val="2"/>
          <w:sz w:val="32"/>
          <w:szCs w:val="24"/>
          <w:highlight w:val="yellow"/>
        </w:rPr>
      </w:pPr>
    </w:p>
    <w:tbl>
      <w:tblPr>
        <w:tblStyle w:val="12"/>
        <w:tblW w:w="105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
        <w:gridCol w:w="219"/>
        <w:gridCol w:w="575"/>
        <w:gridCol w:w="188"/>
        <w:gridCol w:w="489"/>
        <w:gridCol w:w="363"/>
        <w:gridCol w:w="477"/>
        <w:gridCol w:w="652"/>
        <w:gridCol w:w="9"/>
        <w:gridCol w:w="439"/>
        <w:gridCol w:w="692"/>
        <w:gridCol w:w="224"/>
        <w:gridCol w:w="748"/>
        <w:gridCol w:w="388"/>
        <w:gridCol w:w="678"/>
        <w:gridCol w:w="281"/>
        <w:gridCol w:w="381"/>
        <w:gridCol w:w="718"/>
        <w:gridCol w:w="135"/>
        <w:gridCol w:w="387"/>
        <w:gridCol w:w="798"/>
        <w:gridCol w:w="39"/>
        <w:gridCol w:w="443"/>
        <w:gridCol w:w="751"/>
        <w:gridCol w:w="362"/>
      </w:tblGrid>
      <w:tr w14:paraId="2092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600" w:hRule="atLeast"/>
          <w:jc w:val="center"/>
        </w:trPr>
        <w:tc>
          <w:tcPr>
            <w:tcW w:w="9855" w:type="dxa"/>
            <w:gridSpan w:val="22"/>
            <w:tcBorders>
              <w:top w:val="nil"/>
              <w:left w:val="nil"/>
              <w:bottom w:val="nil"/>
              <w:right w:val="nil"/>
              <w:tl2br w:val="nil"/>
              <w:tr2bl w:val="nil"/>
            </w:tcBorders>
            <w:noWrap w:val="0"/>
            <w:vAlign w:val="center"/>
          </w:tcPr>
          <w:p w14:paraId="39FB4B8C">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2023年区级粮油储备费用及利息支出绩效自评表</w:t>
            </w:r>
          </w:p>
        </w:tc>
      </w:tr>
      <w:tr w14:paraId="308D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460" w:hRule="atLeast"/>
          <w:jc w:val="center"/>
        </w:trPr>
        <w:tc>
          <w:tcPr>
            <w:tcW w:w="9855" w:type="dxa"/>
            <w:gridSpan w:val="22"/>
            <w:tcBorders>
              <w:top w:val="nil"/>
              <w:left w:val="nil"/>
              <w:bottom w:val="nil"/>
              <w:right w:val="nil"/>
              <w:tl2br w:val="nil"/>
              <w:tr2bl w:val="nil"/>
            </w:tcBorders>
            <w:noWrap w:val="0"/>
            <w:vAlign w:val="top"/>
          </w:tcPr>
          <w:p w14:paraId="64C34CD2">
            <w:pPr>
              <w:widowControl/>
              <w:spacing w:beforeLines="0" w:afterLines="0"/>
              <w:jc w:val="center"/>
              <w:textAlignment w:val="top"/>
              <w:rPr>
                <w:rFonts w:hint="eastAsia" w:hAnsi="宋体" w:cs="宋体"/>
                <w:b/>
                <w:color w:val="000000"/>
                <w:sz w:val="24"/>
                <w:szCs w:val="24"/>
              </w:rPr>
            </w:pPr>
            <w:r>
              <w:rPr>
                <w:rFonts w:hint="eastAsia" w:hAnsi="宋体" w:cs="宋体"/>
                <w:b/>
                <w:color w:val="000000"/>
                <w:sz w:val="24"/>
                <w:szCs w:val="24"/>
                <w:lang w:bidi="ar"/>
              </w:rPr>
              <w:t>（ 2023年度）</w:t>
            </w:r>
          </w:p>
        </w:tc>
      </w:tr>
      <w:tr w14:paraId="10E2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440" w:hRule="atLeast"/>
          <w:jc w:val="center"/>
        </w:trPr>
        <w:tc>
          <w:tcPr>
            <w:tcW w:w="16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3DEF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项目（政策）名称</w:t>
            </w:r>
          </w:p>
        </w:tc>
        <w:tc>
          <w:tcPr>
            <w:tcW w:w="8240"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AE81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2023年区级粮油储备费用及利息</w:t>
            </w:r>
          </w:p>
        </w:tc>
      </w:tr>
      <w:tr w14:paraId="6FBA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360" w:hRule="atLeast"/>
          <w:jc w:val="center"/>
        </w:trPr>
        <w:tc>
          <w:tcPr>
            <w:tcW w:w="16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FED4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430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9DEE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广元市昭化区发展和改革局</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857B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实施单位</w:t>
            </w:r>
          </w:p>
        </w:tc>
        <w:tc>
          <w:tcPr>
            <w:tcW w:w="255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0302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广元市昭化区发展和改革局</w:t>
            </w:r>
          </w:p>
        </w:tc>
      </w:tr>
      <w:tr w14:paraId="1230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360" w:hRule="atLeast"/>
          <w:jc w:val="center"/>
        </w:trPr>
        <w:tc>
          <w:tcPr>
            <w:tcW w:w="1615"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0CDF623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22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FC38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年度预算数（万元）</w:t>
            </w:r>
          </w:p>
        </w:tc>
        <w:tc>
          <w:tcPr>
            <w:tcW w:w="20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C950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A603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0151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F4BF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14:paraId="41B5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360" w:hRule="atLeast"/>
          <w:jc w:val="center"/>
        </w:trPr>
        <w:tc>
          <w:tcPr>
            <w:tcW w:w="161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1E8AB4EA">
            <w:pPr>
              <w:spacing w:beforeLines="0" w:afterLines="0"/>
              <w:jc w:val="center"/>
              <w:rPr>
                <w:rFonts w:hint="eastAsia" w:hAnsi="宋体" w:cs="宋体"/>
                <w:color w:val="000000"/>
                <w:sz w:val="18"/>
                <w:szCs w:val="18"/>
              </w:rPr>
            </w:pPr>
          </w:p>
        </w:tc>
        <w:tc>
          <w:tcPr>
            <w:tcW w:w="22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087D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20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6808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108.6</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AA45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108.6</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0F28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108.6</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30D2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r>
      <w:tr w14:paraId="3136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360" w:hRule="atLeast"/>
          <w:jc w:val="center"/>
        </w:trPr>
        <w:tc>
          <w:tcPr>
            <w:tcW w:w="161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62EE9644">
            <w:pPr>
              <w:spacing w:beforeLines="0" w:afterLines="0"/>
              <w:jc w:val="center"/>
              <w:rPr>
                <w:rFonts w:hint="eastAsia" w:hAnsi="宋体" w:cs="宋体"/>
                <w:color w:val="000000"/>
                <w:sz w:val="18"/>
                <w:szCs w:val="18"/>
              </w:rPr>
            </w:pPr>
          </w:p>
        </w:tc>
        <w:tc>
          <w:tcPr>
            <w:tcW w:w="22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C5F63">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20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8B3E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108.6</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7E89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108.6</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80BB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108.6</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B9BE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r>
      <w:tr w14:paraId="5843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360" w:hRule="atLeast"/>
          <w:jc w:val="center"/>
        </w:trPr>
        <w:tc>
          <w:tcPr>
            <w:tcW w:w="161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149FF738">
            <w:pPr>
              <w:spacing w:beforeLines="0" w:afterLines="0"/>
              <w:jc w:val="center"/>
              <w:rPr>
                <w:rFonts w:hint="eastAsia" w:hAnsi="宋体" w:cs="宋体"/>
                <w:color w:val="000000"/>
                <w:sz w:val="18"/>
                <w:szCs w:val="18"/>
              </w:rPr>
            </w:pPr>
          </w:p>
        </w:tc>
        <w:tc>
          <w:tcPr>
            <w:tcW w:w="22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03C66">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1.一般公共预算</w:t>
            </w:r>
          </w:p>
        </w:tc>
        <w:tc>
          <w:tcPr>
            <w:tcW w:w="20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1C8D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108.6</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05BA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108.6</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CE6B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108.6</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35F8C">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r>
      <w:tr w14:paraId="0A13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360" w:hRule="atLeast"/>
          <w:jc w:val="center"/>
        </w:trPr>
        <w:tc>
          <w:tcPr>
            <w:tcW w:w="161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7A1FB07">
            <w:pPr>
              <w:spacing w:beforeLines="0" w:afterLines="0"/>
              <w:jc w:val="center"/>
              <w:rPr>
                <w:rFonts w:hint="eastAsia" w:hAnsi="宋体" w:cs="宋体"/>
                <w:color w:val="000000"/>
                <w:sz w:val="18"/>
                <w:szCs w:val="18"/>
              </w:rPr>
            </w:pPr>
          </w:p>
        </w:tc>
        <w:tc>
          <w:tcPr>
            <w:tcW w:w="22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B1AFC">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2.政府性基金</w:t>
            </w:r>
          </w:p>
        </w:tc>
        <w:tc>
          <w:tcPr>
            <w:tcW w:w="20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4F1AC">
            <w:pPr>
              <w:spacing w:beforeLines="0" w:afterLines="0"/>
              <w:rPr>
                <w:rFonts w:hint="eastAsia" w:hAnsi="宋体" w:cs="宋体"/>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2E165">
            <w:pPr>
              <w:spacing w:beforeLines="0" w:afterLines="0"/>
              <w:jc w:val="center"/>
              <w:rPr>
                <w:rFonts w:hint="eastAsia" w:hAnsi="宋体" w:cs="宋体"/>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45F1C">
            <w:pPr>
              <w:spacing w:beforeLines="0" w:afterLines="0"/>
              <w:jc w:val="center"/>
              <w:rPr>
                <w:rFonts w:hint="eastAsia" w:hAnsi="宋体" w:cs="宋体"/>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B5B98">
            <w:pPr>
              <w:spacing w:beforeLines="0" w:afterLines="0"/>
              <w:jc w:val="center"/>
              <w:rPr>
                <w:rFonts w:hint="eastAsia" w:hAnsi="宋体" w:cs="宋体"/>
                <w:color w:val="000000"/>
                <w:sz w:val="18"/>
                <w:szCs w:val="18"/>
              </w:rPr>
            </w:pPr>
          </w:p>
        </w:tc>
      </w:tr>
      <w:tr w14:paraId="5BDD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440" w:hRule="atLeast"/>
          <w:jc w:val="center"/>
        </w:trPr>
        <w:tc>
          <w:tcPr>
            <w:tcW w:w="161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1D898A34">
            <w:pPr>
              <w:spacing w:beforeLines="0" w:afterLines="0"/>
              <w:jc w:val="center"/>
              <w:rPr>
                <w:rFonts w:hint="eastAsia" w:hAnsi="宋体" w:cs="宋体"/>
                <w:color w:val="000000"/>
                <w:sz w:val="18"/>
                <w:szCs w:val="18"/>
              </w:rPr>
            </w:pPr>
          </w:p>
        </w:tc>
        <w:tc>
          <w:tcPr>
            <w:tcW w:w="22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73126">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3.国有资本经营预算</w:t>
            </w:r>
          </w:p>
        </w:tc>
        <w:tc>
          <w:tcPr>
            <w:tcW w:w="20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CCB60">
            <w:pPr>
              <w:spacing w:beforeLines="0" w:afterLines="0"/>
              <w:rPr>
                <w:rFonts w:hint="eastAsia" w:hAnsi="宋体" w:cs="宋体"/>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74E7E">
            <w:pPr>
              <w:spacing w:beforeLines="0" w:afterLines="0"/>
              <w:jc w:val="center"/>
              <w:rPr>
                <w:rFonts w:hint="eastAsia" w:hAnsi="宋体" w:cs="宋体"/>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93E31">
            <w:pPr>
              <w:spacing w:beforeLines="0" w:afterLines="0"/>
              <w:jc w:val="center"/>
              <w:rPr>
                <w:rFonts w:hint="eastAsia" w:hAnsi="宋体" w:cs="宋体"/>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13929">
            <w:pPr>
              <w:spacing w:beforeLines="0" w:afterLines="0"/>
              <w:jc w:val="center"/>
              <w:rPr>
                <w:rFonts w:hint="eastAsia" w:hAnsi="宋体" w:cs="宋体"/>
                <w:color w:val="000000"/>
                <w:sz w:val="18"/>
                <w:szCs w:val="18"/>
              </w:rPr>
            </w:pPr>
          </w:p>
        </w:tc>
      </w:tr>
      <w:tr w14:paraId="7BB0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360" w:hRule="atLeast"/>
          <w:jc w:val="center"/>
        </w:trPr>
        <w:tc>
          <w:tcPr>
            <w:tcW w:w="1615"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411DE33">
            <w:pPr>
              <w:spacing w:beforeLines="0" w:afterLines="0"/>
              <w:jc w:val="center"/>
              <w:rPr>
                <w:rFonts w:hint="eastAsia" w:hAnsi="宋体" w:cs="宋体"/>
                <w:color w:val="000000"/>
                <w:sz w:val="18"/>
                <w:szCs w:val="18"/>
              </w:rPr>
            </w:pPr>
          </w:p>
        </w:tc>
        <w:tc>
          <w:tcPr>
            <w:tcW w:w="22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B5E1D">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203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6458A">
            <w:pPr>
              <w:spacing w:beforeLines="0" w:afterLines="0"/>
              <w:rPr>
                <w:rFonts w:hint="eastAsia" w:hAnsi="宋体" w:cs="宋体"/>
                <w:color w:val="000000"/>
                <w:sz w:val="18"/>
                <w:szCs w:val="18"/>
              </w:rPr>
            </w:pP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84E27">
            <w:pPr>
              <w:spacing w:beforeLines="0" w:afterLines="0"/>
              <w:jc w:val="center"/>
              <w:rPr>
                <w:rFonts w:hint="eastAsia" w:hAnsi="宋体" w:cs="宋体"/>
                <w:color w:val="000000"/>
                <w:sz w:val="18"/>
                <w:szCs w:val="18"/>
              </w:rPr>
            </w:pP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CD5CB">
            <w:pPr>
              <w:spacing w:beforeLines="0" w:afterLines="0"/>
              <w:jc w:val="center"/>
              <w:rPr>
                <w:rFonts w:hint="eastAsia" w:hAnsi="宋体" w:cs="宋体"/>
                <w:color w:val="000000"/>
                <w:sz w:val="18"/>
                <w:szCs w:val="18"/>
              </w:rPr>
            </w:pP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B24EE">
            <w:pPr>
              <w:spacing w:beforeLines="0" w:afterLines="0"/>
              <w:jc w:val="center"/>
              <w:rPr>
                <w:rFonts w:hint="eastAsia" w:hAnsi="宋体" w:cs="宋体"/>
                <w:color w:val="000000"/>
                <w:sz w:val="18"/>
                <w:szCs w:val="18"/>
              </w:rPr>
            </w:pPr>
          </w:p>
        </w:tc>
      </w:tr>
      <w:tr w14:paraId="2E24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440" w:hRule="atLeast"/>
          <w:jc w:val="center"/>
        </w:trPr>
        <w:tc>
          <w:tcPr>
            <w:tcW w:w="76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AFBA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515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B1A6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393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5300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14:paraId="7B0B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1740"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0E0A2">
            <w:pPr>
              <w:spacing w:beforeLines="0" w:afterLines="0"/>
              <w:jc w:val="center"/>
              <w:rPr>
                <w:rFonts w:hint="eastAsia" w:hAnsi="宋体" w:cs="宋体"/>
                <w:color w:val="000000"/>
                <w:sz w:val="18"/>
                <w:szCs w:val="18"/>
              </w:rPr>
            </w:pPr>
          </w:p>
        </w:tc>
        <w:tc>
          <w:tcPr>
            <w:tcW w:w="515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0F31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按照区政府批准同意，我区建立区级储粮油4240吨，其中：原粮（稻谷）2500吨、原粮（小麦）1500吨，小包装成品大米200吨，小包装菜油40吨，依据《广元市昭化区区级储备粮管理办法》《广元市昭化区区级储备粮轮换管理暂行办法》规定。主要用于全区粮食应急保供，2023年财政局拨付全年粮食补贴及利息费用合计资金108.6万元。用于支付区级储备粮油保管费及贷款资金利息。</w:t>
            </w:r>
          </w:p>
        </w:tc>
        <w:tc>
          <w:tcPr>
            <w:tcW w:w="393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20C5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2023年度，完成区级粮油4240吨储备，其中：原粮（稻谷）2500吨、原粮（小麦）1500吨，小包装成品大米200吨，小包装菜油40吨，为全区粮食应急提供保障。</w:t>
            </w:r>
          </w:p>
        </w:tc>
      </w:tr>
      <w:tr w14:paraId="20D4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520" w:hRule="atLeast"/>
          <w:jc w:val="center"/>
        </w:trPr>
        <w:tc>
          <w:tcPr>
            <w:tcW w:w="76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1929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绩效</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3A8E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E05C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317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C0E9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3AF2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4471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16B9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14:paraId="55DC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567"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267D0">
            <w:pPr>
              <w:spacing w:beforeLines="0" w:afterLines="0"/>
              <w:jc w:val="center"/>
              <w:rPr>
                <w:rFonts w:hint="eastAsia" w:hAnsi="宋体" w:cs="宋体"/>
                <w:color w:val="000000"/>
                <w:sz w:val="18"/>
                <w:szCs w:val="18"/>
              </w:rPr>
            </w:pPr>
          </w:p>
        </w:tc>
        <w:tc>
          <w:tcPr>
            <w:tcW w:w="85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4045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E8B2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3178"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20EA680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全年完成库存数量</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02A9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=4240吨</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E995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4240吨</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E9A93">
            <w:pPr>
              <w:spacing w:beforeLines="0" w:afterLines="0"/>
              <w:jc w:val="center"/>
              <w:rPr>
                <w:rFonts w:hint="eastAsia" w:hAnsi="宋体" w:cs="宋体"/>
                <w:color w:val="000000"/>
                <w:sz w:val="18"/>
                <w:szCs w:val="18"/>
              </w:rPr>
            </w:pPr>
          </w:p>
        </w:tc>
      </w:tr>
      <w:tr w14:paraId="0EDC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567"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BFDD3">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7D580">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7861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317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26F1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完成粮食收购验收合格率</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B898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5BA6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100%</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0EA42">
            <w:pPr>
              <w:spacing w:beforeLines="0" w:afterLines="0"/>
              <w:jc w:val="center"/>
              <w:rPr>
                <w:rFonts w:hint="eastAsia" w:hAnsi="宋体" w:cs="宋体"/>
                <w:color w:val="000000"/>
                <w:sz w:val="18"/>
                <w:szCs w:val="18"/>
              </w:rPr>
            </w:pPr>
          </w:p>
        </w:tc>
      </w:tr>
      <w:tr w14:paraId="6B92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567"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DC726">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FB3B7">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0301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317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766D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库存完成时限</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DBBF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≤12个月</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E635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12个月</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43C07">
            <w:pPr>
              <w:spacing w:beforeLines="0" w:afterLines="0"/>
              <w:jc w:val="center"/>
              <w:rPr>
                <w:rFonts w:hint="eastAsia" w:hAnsi="宋体" w:cs="宋体"/>
                <w:color w:val="000000"/>
                <w:sz w:val="18"/>
                <w:szCs w:val="18"/>
              </w:rPr>
            </w:pPr>
          </w:p>
        </w:tc>
      </w:tr>
      <w:tr w14:paraId="7E4D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567"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9F4A4">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A235C">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E00B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3178"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6D248FD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储备费用由政府审批，费用严格</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9CFA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≤108.6万元</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E6EE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108.6万元</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F0EBE">
            <w:pPr>
              <w:spacing w:beforeLines="0" w:afterLines="0"/>
              <w:jc w:val="center"/>
              <w:rPr>
                <w:rFonts w:hint="eastAsia" w:hAnsi="宋体" w:cs="宋体"/>
                <w:color w:val="000000"/>
                <w:sz w:val="18"/>
                <w:szCs w:val="18"/>
              </w:rPr>
            </w:pPr>
          </w:p>
        </w:tc>
      </w:tr>
      <w:tr w14:paraId="6E76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567"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BA37D">
            <w:pPr>
              <w:spacing w:beforeLines="0" w:afterLines="0"/>
              <w:jc w:val="center"/>
              <w:rPr>
                <w:rFonts w:hint="eastAsia" w:hAnsi="宋体" w:cs="宋体"/>
                <w:color w:val="000000"/>
                <w:sz w:val="18"/>
                <w:szCs w:val="18"/>
              </w:rPr>
            </w:pPr>
          </w:p>
        </w:tc>
        <w:tc>
          <w:tcPr>
            <w:tcW w:w="85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71E1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09C9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社会效益指标</w:t>
            </w:r>
          </w:p>
        </w:tc>
        <w:tc>
          <w:tcPr>
            <w:tcW w:w="3178"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2C2FCBF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应急保供，保证全区粮油储备安</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087C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CE05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2BB7C">
            <w:pPr>
              <w:spacing w:beforeLines="0" w:afterLines="0"/>
              <w:jc w:val="center"/>
              <w:rPr>
                <w:rFonts w:hint="eastAsia" w:hAnsi="宋体" w:cs="宋体"/>
                <w:color w:val="000000"/>
                <w:sz w:val="18"/>
                <w:szCs w:val="18"/>
              </w:rPr>
            </w:pPr>
          </w:p>
        </w:tc>
      </w:tr>
      <w:tr w14:paraId="4E61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567"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6A429">
            <w:pPr>
              <w:spacing w:beforeLines="0" w:afterLines="0"/>
              <w:jc w:val="center"/>
              <w:rPr>
                <w:rFonts w:hint="eastAsia" w:hAnsi="宋体" w:cs="宋体"/>
                <w:color w:val="000000"/>
                <w:sz w:val="18"/>
                <w:szCs w:val="18"/>
              </w:rPr>
            </w:pPr>
          </w:p>
        </w:tc>
        <w:tc>
          <w:tcPr>
            <w:tcW w:w="85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BE753">
            <w:pPr>
              <w:spacing w:beforeLines="0" w:afterLines="0"/>
              <w:jc w:val="center"/>
              <w:rPr>
                <w:rFonts w:hint="eastAsia" w:hAnsi="宋体" w:cs="宋体"/>
                <w:color w:val="000000"/>
                <w:sz w:val="18"/>
                <w:szCs w:val="18"/>
              </w:rPr>
            </w:pP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53AD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生态效益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3178"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4F76551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完成粮食储备任务，环境做到零污染</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AB16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D80B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18891">
            <w:pPr>
              <w:spacing w:beforeLines="0" w:afterLines="0"/>
              <w:jc w:val="center"/>
              <w:rPr>
                <w:rFonts w:hint="eastAsia" w:hAnsi="宋体" w:cs="宋体"/>
                <w:color w:val="000000"/>
                <w:sz w:val="18"/>
                <w:szCs w:val="18"/>
              </w:rPr>
            </w:pPr>
          </w:p>
        </w:tc>
      </w:tr>
      <w:tr w14:paraId="4204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361" w:type="dxa"/>
          <w:wAfter w:w="362" w:type="dxa"/>
          <w:trHeight w:val="567" w:hRule="atLeast"/>
          <w:jc w:val="center"/>
        </w:trPr>
        <w:tc>
          <w:tcPr>
            <w:tcW w:w="76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DE5ED">
            <w:pPr>
              <w:spacing w:beforeLines="0" w:afterLines="0"/>
              <w:jc w:val="center"/>
              <w:rPr>
                <w:rFonts w:hint="eastAsia" w:hAnsi="宋体" w:cs="宋体"/>
                <w:color w:val="000000"/>
                <w:sz w:val="18"/>
                <w:szCs w:val="18"/>
              </w:rPr>
            </w:pPr>
          </w:p>
        </w:tc>
        <w:tc>
          <w:tcPr>
            <w:tcW w:w="8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BBC4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1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2DC3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3178"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105F089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粮食所供应居民满意度</w:t>
            </w:r>
          </w:p>
        </w:tc>
        <w:tc>
          <w:tcPr>
            <w:tcW w:w="1380"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4122898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≥98%</w:t>
            </w:r>
          </w:p>
        </w:tc>
        <w:tc>
          <w:tcPr>
            <w:tcW w:w="13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1A80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99%</w:t>
            </w:r>
          </w:p>
        </w:tc>
        <w:tc>
          <w:tcPr>
            <w:tcW w:w="12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21377">
            <w:pPr>
              <w:spacing w:beforeLines="0" w:afterLines="0"/>
              <w:jc w:val="center"/>
              <w:rPr>
                <w:rFonts w:hint="eastAsia" w:hAnsi="宋体" w:cs="宋体"/>
                <w:color w:val="000000"/>
                <w:sz w:val="18"/>
                <w:szCs w:val="18"/>
              </w:rPr>
            </w:pPr>
          </w:p>
        </w:tc>
      </w:tr>
      <w:tr w14:paraId="231A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465" w:type="dxa"/>
            <w:gridSpan w:val="23"/>
            <w:tcBorders>
              <w:top w:val="nil"/>
              <w:left w:val="nil"/>
              <w:bottom w:val="nil"/>
              <w:right w:val="nil"/>
              <w:tl2br w:val="nil"/>
              <w:tr2bl w:val="nil"/>
            </w:tcBorders>
            <w:noWrap w:val="0"/>
            <w:vAlign w:val="center"/>
          </w:tcPr>
          <w:p w14:paraId="7F65B1B5">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项目前期工作经费支出绩效自评表</w:t>
            </w:r>
          </w:p>
        </w:tc>
      </w:tr>
      <w:tr w14:paraId="0C7D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465" w:type="dxa"/>
            <w:gridSpan w:val="23"/>
            <w:tcBorders>
              <w:top w:val="nil"/>
              <w:left w:val="nil"/>
              <w:bottom w:val="nil"/>
              <w:right w:val="nil"/>
              <w:tl2br w:val="nil"/>
              <w:tr2bl w:val="nil"/>
            </w:tcBorders>
            <w:noWrap w:val="0"/>
            <w:vAlign w:val="top"/>
          </w:tcPr>
          <w:p w14:paraId="46094150">
            <w:pPr>
              <w:widowControl/>
              <w:spacing w:beforeLines="0" w:afterLines="0"/>
              <w:jc w:val="center"/>
              <w:textAlignment w:val="top"/>
              <w:rPr>
                <w:rFonts w:hint="eastAsia" w:hAnsi="宋体" w:cs="宋体"/>
                <w:color w:val="000000"/>
                <w:sz w:val="22"/>
                <w:szCs w:val="22"/>
              </w:rPr>
            </w:pPr>
            <w:r>
              <w:rPr>
                <w:rFonts w:hint="eastAsia" w:hAnsi="宋体" w:cs="宋体"/>
                <w:color w:val="000000"/>
                <w:sz w:val="22"/>
                <w:szCs w:val="22"/>
                <w:lang w:bidi="ar"/>
              </w:rPr>
              <w:t>（ 2023 年度）</w:t>
            </w:r>
          </w:p>
        </w:tc>
      </w:tr>
      <w:tr w14:paraId="432A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161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D109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项目（政策）名称</w:t>
            </w:r>
          </w:p>
        </w:tc>
        <w:tc>
          <w:tcPr>
            <w:tcW w:w="7852"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278D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2023年项目前期工作经费</w:t>
            </w:r>
          </w:p>
        </w:tc>
      </w:tr>
      <w:tr w14:paraId="4850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161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5164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49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8E52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广元市昭化区发展和改革局</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89BF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实施单位</w:t>
            </w:r>
          </w:p>
        </w:tc>
        <w:tc>
          <w:tcPr>
            <w:tcW w:w="1667" w:type="dxa"/>
            <w:gridSpan w:val="4"/>
            <w:tcBorders>
              <w:top w:val="single" w:color="000000" w:sz="4" w:space="0"/>
              <w:left w:val="single" w:color="000000" w:sz="4" w:space="0"/>
              <w:bottom w:val="nil"/>
              <w:right w:val="single" w:color="000000" w:sz="4" w:space="0"/>
              <w:tl2br w:val="nil"/>
              <w:tr2bl w:val="nil"/>
            </w:tcBorders>
            <w:noWrap w:val="0"/>
            <w:vAlign w:val="center"/>
          </w:tcPr>
          <w:p w14:paraId="1D9B086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广元市昭化区发展和改革局</w:t>
            </w:r>
          </w:p>
        </w:tc>
      </w:tr>
      <w:tr w14:paraId="09CE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1613" w:type="dxa"/>
            <w:gridSpan w:val="5"/>
            <w:vMerge w:val="restart"/>
            <w:tcBorders>
              <w:top w:val="single" w:color="000000" w:sz="4" w:space="0"/>
              <w:left w:val="single" w:color="000000" w:sz="4" w:space="0"/>
              <w:bottom w:val="nil"/>
              <w:right w:val="single" w:color="000000" w:sz="4" w:space="0"/>
              <w:tl2br w:val="nil"/>
              <w:tr2bl w:val="nil"/>
            </w:tcBorders>
            <w:noWrap w:val="0"/>
            <w:vAlign w:val="center"/>
          </w:tcPr>
          <w:p w14:paraId="217615A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940" w:type="dxa"/>
            <w:gridSpan w:val="5"/>
            <w:tcBorders>
              <w:top w:val="nil"/>
              <w:left w:val="single" w:color="000000" w:sz="4" w:space="0"/>
              <w:bottom w:val="single" w:color="000000" w:sz="4" w:space="0"/>
              <w:right w:val="single" w:color="000000" w:sz="4" w:space="0"/>
              <w:tl2br w:val="nil"/>
              <w:tr2bl w:val="nil"/>
            </w:tcBorders>
            <w:noWrap w:val="0"/>
            <w:vAlign w:val="center"/>
          </w:tcPr>
          <w:p w14:paraId="356CE4A2">
            <w:pPr>
              <w:spacing w:beforeLines="0" w:afterLines="0"/>
              <w:jc w:val="center"/>
              <w:rPr>
                <w:rFonts w:hint="eastAsia" w:hAnsi="宋体" w:cs="宋体"/>
                <w:color w:val="000000"/>
                <w:sz w:val="18"/>
                <w:szCs w:val="18"/>
              </w:rPr>
            </w:pPr>
          </w:p>
        </w:tc>
        <w:tc>
          <w:tcPr>
            <w:tcW w:w="1664" w:type="dxa"/>
            <w:gridSpan w:val="3"/>
            <w:tcBorders>
              <w:top w:val="nil"/>
              <w:left w:val="single" w:color="000000" w:sz="4" w:space="0"/>
              <w:bottom w:val="single" w:color="000000" w:sz="4" w:space="0"/>
              <w:right w:val="single" w:color="000000" w:sz="4" w:space="0"/>
              <w:tl2br w:val="nil"/>
              <w:tr2bl w:val="nil"/>
            </w:tcBorders>
            <w:noWrap w:val="0"/>
            <w:vAlign w:val="center"/>
          </w:tcPr>
          <w:p w14:paraId="123CB4B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1347" w:type="dxa"/>
            <w:gridSpan w:val="3"/>
            <w:tcBorders>
              <w:top w:val="nil"/>
              <w:left w:val="single" w:color="000000" w:sz="4" w:space="0"/>
              <w:bottom w:val="single" w:color="000000" w:sz="4" w:space="0"/>
              <w:right w:val="single" w:color="000000" w:sz="4" w:space="0"/>
              <w:tl2br w:val="nil"/>
              <w:tr2bl w:val="nil"/>
            </w:tcBorders>
            <w:noWrap w:val="0"/>
            <w:vAlign w:val="center"/>
          </w:tcPr>
          <w:p w14:paraId="660F92C1">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1234" w:type="dxa"/>
            <w:gridSpan w:val="3"/>
            <w:tcBorders>
              <w:top w:val="nil"/>
              <w:left w:val="single" w:color="000000" w:sz="4" w:space="0"/>
              <w:bottom w:val="single" w:color="000000" w:sz="4" w:space="0"/>
              <w:right w:val="single" w:color="000000" w:sz="4" w:space="0"/>
              <w:tl2br w:val="nil"/>
              <w:tr2bl w:val="nil"/>
            </w:tcBorders>
            <w:noWrap w:val="0"/>
            <w:vAlign w:val="center"/>
          </w:tcPr>
          <w:p w14:paraId="14915D7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9EFF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14:paraId="1AD6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1613"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656C2340">
            <w:pPr>
              <w:spacing w:beforeLines="0" w:afterLines="0"/>
              <w:jc w:val="center"/>
              <w:rPr>
                <w:rFonts w:hint="eastAsia" w:hAnsi="宋体" w:cs="宋体"/>
                <w:color w:val="000000"/>
                <w:sz w:val="18"/>
                <w:szCs w:val="18"/>
              </w:rPr>
            </w:pPr>
          </w:p>
        </w:tc>
        <w:tc>
          <w:tcPr>
            <w:tcW w:w="194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78722">
            <w:pPr>
              <w:widowControl/>
              <w:spacing w:beforeLines="0" w:afterLines="0"/>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16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562F5">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892</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16E8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892</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7AFE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627.56</w:t>
            </w:r>
          </w:p>
        </w:tc>
        <w:tc>
          <w:tcPr>
            <w:tcW w:w="1667" w:type="dxa"/>
            <w:gridSpan w:val="4"/>
            <w:tcBorders>
              <w:top w:val="nil"/>
              <w:left w:val="single" w:color="000000" w:sz="4" w:space="0"/>
              <w:bottom w:val="single" w:color="000000" w:sz="4" w:space="0"/>
              <w:right w:val="single" w:color="000000" w:sz="4" w:space="0"/>
              <w:tl2br w:val="nil"/>
              <w:tr2bl w:val="nil"/>
            </w:tcBorders>
            <w:noWrap w:val="0"/>
            <w:vAlign w:val="center"/>
          </w:tcPr>
          <w:p w14:paraId="488A31B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70.35%</w:t>
            </w:r>
          </w:p>
        </w:tc>
      </w:tr>
      <w:tr w14:paraId="3000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1613"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002442E7">
            <w:pPr>
              <w:spacing w:beforeLines="0" w:afterLines="0"/>
              <w:jc w:val="center"/>
              <w:rPr>
                <w:rFonts w:hint="eastAsia" w:hAnsi="宋体" w:cs="宋体"/>
                <w:color w:val="000000"/>
                <w:sz w:val="18"/>
                <w:szCs w:val="18"/>
              </w:rPr>
            </w:pPr>
          </w:p>
        </w:tc>
        <w:tc>
          <w:tcPr>
            <w:tcW w:w="194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8DCE7">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16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3D67E">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892</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BD33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892</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3E43A">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627.56</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FF044">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70.35%</w:t>
            </w:r>
          </w:p>
        </w:tc>
      </w:tr>
      <w:tr w14:paraId="5B71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1613"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0E640893">
            <w:pPr>
              <w:spacing w:beforeLines="0" w:afterLines="0"/>
              <w:jc w:val="center"/>
              <w:rPr>
                <w:rFonts w:hint="eastAsia" w:hAnsi="宋体" w:cs="宋体"/>
                <w:color w:val="000000"/>
                <w:sz w:val="18"/>
                <w:szCs w:val="18"/>
              </w:rPr>
            </w:pPr>
          </w:p>
        </w:tc>
        <w:tc>
          <w:tcPr>
            <w:tcW w:w="194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3D1E8">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1.一般公共预算</w:t>
            </w:r>
          </w:p>
        </w:tc>
        <w:tc>
          <w:tcPr>
            <w:tcW w:w="16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E2E5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892</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565E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892</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06513">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627.56</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F840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70.35%</w:t>
            </w:r>
          </w:p>
        </w:tc>
      </w:tr>
      <w:tr w14:paraId="1462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1613"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519FF9D6">
            <w:pPr>
              <w:spacing w:beforeLines="0" w:afterLines="0"/>
              <w:jc w:val="center"/>
              <w:rPr>
                <w:rFonts w:hint="eastAsia" w:hAnsi="宋体" w:cs="宋体"/>
                <w:color w:val="000000"/>
                <w:sz w:val="18"/>
                <w:szCs w:val="18"/>
              </w:rPr>
            </w:pPr>
          </w:p>
        </w:tc>
        <w:tc>
          <w:tcPr>
            <w:tcW w:w="194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AFCC8">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2.政府性基金</w:t>
            </w:r>
          </w:p>
        </w:tc>
        <w:tc>
          <w:tcPr>
            <w:tcW w:w="16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18958">
            <w:pPr>
              <w:spacing w:beforeLines="0" w:afterLines="0"/>
              <w:rPr>
                <w:rFonts w:hint="eastAsia" w:hAnsi="宋体" w:cs="宋体"/>
                <w:color w:val="000000"/>
                <w:sz w:val="18"/>
                <w:szCs w:val="18"/>
              </w:rPr>
            </w:pP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DEB61">
            <w:pPr>
              <w:spacing w:beforeLines="0" w:afterLines="0"/>
              <w:jc w:val="center"/>
              <w:rPr>
                <w:rFonts w:hint="eastAsia" w:hAnsi="宋体" w:cs="宋体"/>
                <w:color w:val="000000"/>
                <w:sz w:val="18"/>
                <w:szCs w:val="18"/>
              </w:rPr>
            </w:pP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F7EA7">
            <w:pPr>
              <w:spacing w:beforeLines="0" w:afterLines="0"/>
              <w:jc w:val="center"/>
              <w:rPr>
                <w:rFonts w:hint="eastAsia" w:hAnsi="宋体" w:cs="宋体"/>
                <w:color w:val="000000"/>
                <w:sz w:val="18"/>
                <w:szCs w:val="18"/>
              </w:rPr>
            </w:pP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808A4">
            <w:pPr>
              <w:spacing w:beforeLines="0" w:afterLines="0"/>
              <w:jc w:val="center"/>
              <w:rPr>
                <w:rFonts w:hint="eastAsia" w:hAnsi="宋体" w:cs="宋体"/>
                <w:color w:val="000000"/>
                <w:sz w:val="18"/>
                <w:szCs w:val="18"/>
              </w:rPr>
            </w:pPr>
          </w:p>
        </w:tc>
      </w:tr>
      <w:tr w14:paraId="0185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1613"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281A890E">
            <w:pPr>
              <w:spacing w:beforeLines="0" w:afterLines="0"/>
              <w:jc w:val="center"/>
              <w:rPr>
                <w:rFonts w:hint="eastAsia" w:hAnsi="宋体" w:cs="宋体"/>
                <w:color w:val="000000"/>
                <w:sz w:val="18"/>
                <w:szCs w:val="18"/>
              </w:rPr>
            </w:pPr>
          </w:p>
        </w:tc>
        <w:tc>
          <w:tcPr>
            <w:tcW w:w="194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5AA67">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3.国有资本经营预算</w:t>
            </w:r>
          </w:p>
        </w:tc>
        <w:tc>
          <w:tcPr>
            <w:tcW w:w="16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CA52C">
            <w:pPr>
              <w:spacing w:beforeLines="0" w:afterLines="0"/>
              <w:rPr>
                <w:rFonts w:hint="eastAsia" w:hAnsi="宋体" w:cs="宋体"/>
                <w:color w:val="000000"/>
                <w:sz w:val="18"/>
                <w:szCs w:val="18"/>
              </w:rPr>
            </w:pP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8C6A5">
            <w:pPr>
              <w:spacing w:beforeLines="0" w:afterLines="0"/>
              <w:jc w:val="center"/>
              <w:rPr>
                <w:rFonts w:hint="eastAsia" w:hAnsi="宋体" w:cs="宋体"/>
                <w:color w:val="000000"/>
                <w:sz w:val="18"/>
                <w:szCs w:val="18"/>
              </w:rPr>
            </w:pP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EDBD7">
            <w:pPr>
              <w:spacing w:beforeLines="0" w:afterLines="0"/>
              <w:jc w:val="center"/>
              <w:rPr>
                <w:rFonts w:hint="eastAsia" w:hAnsi="宋体" w:cs="宋体"/>
                <w:color w:val="000000"/>
                <w:sz w:val="18"/>
                <w:szCs w:val="18"/>
              </w:rPr>
            </w:pP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B77EC">
            <w:pPr>
              <w:spacing w:beforeLines="0" w:afterLines="0"/>
              <w:jc w:val="center"/>
              <w:rPr>
                <w:rFonts w:hint="eastAsia" w:hAnsi="宋体" w:cs="宋体"/>
                <w:color w:val="000000"/>
                <w:sz w:val="18"/>
                <w:szCs w:val="18"/>
              </w:rPr>
            </w:pPr>
          </w:p>
        </w:tc>
      </w:tr>
      <w:tr w14:paraId="619B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1613"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5B8DC4C8">
            <w:pPr>
              <w:spacing w:beforeLines="0" w:afterLines="0"/>
              <w:jc w:val="center"/>
              <w:rPr>
                <w:rFonts w:hint="eastAsia" w:hAnsi="宋体" w:cs="宋体"/>
                <w:color w:val="000000"/>
                <w:sz w:val="18"/>
                <w:szCs w:val="18"/>
              </w:rPr>
            </w:pPr>
          </w:p>
        </w:tc>
        <w:tc>
          <w:tcPr>
            <w:tcW w:w="194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D95E7">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 xml:space="preserve">  4.社保基金</w:t>
            </w:r>
          </w:p>
        </w:tc>
        <w:tc>
          <w:tcPr>
            <w:tcW w:w="16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0471D">
            <w:pPr>
              <w:spacing w:beforeLines="0" w:afterLines="0"/>
              <w:rPr>
                <w:rFonts w:hint="eastAsia" w:hAnsi="宋体" w:cs="宋体"/>
                <w:color w:val="000000"/>
                <w:sz w:val="18"/>
                <w:szCs w:val="18"/>
              </w:rPr>
            </w:pP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F3B5D">
            <w:pPr>
              <w:spacing w:beforeLines="0" w:afterLines="0"/>
              <w:jc w:val="center"/>
              <w:rPr>
                <w:rFonts w:hint="eastAsia" w:hAnsi="宋体" w:cs="宋体"/>
                <w:color w:val="000000"/>
                <w:sz w:val="18"/>
                <w:szCs w:val="18"/>
              </w:rPr>
            </w:pP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18BE9">
            <w:pPr>
              <w:spacing w:beforeLines="0" w:afterLines="0"/>
              <w:jc w:val="center"/>
              <w:rPr>
                <w:rFonts w:hint="eastAsia" w:hAnsi="宋体" w:cs="宋体"/>
                <w:color w:val="000000"/>
                <w:sz w:val="18"/>
                <w:szCs w:val="18"/>
              </w:rPr>
            </w:pP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B62A1">
            <w:pPr>
              <w:spacing w:beforeLines="0" w:afterLines="0"/>
              <w:jc w:val="center"/>
              <w:rPr>
                <w:rFonts w:hint="eastAsia" w:hAnsi="宋体" w:cs="宋体"/>
                <w:color w:val="000000"/>
                <w:sz w:val="18"/>
                <w:szCs w:val="18"/>
              </w:rPr>
            </w:pPr>
          </w:p>
        </w:tc>
      </w:tr>
      <w:tr w14:paraId="5772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1613" w:type="dxa"/>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7CF10662">
            <w:pPr>
              <w:spacing w:beforeLines="0" w:afterLines="0"/>
              <w:jc w:val="center"/>
              <w:rPr>
                <w:rFonts w:hint="eastAsia" w:hAnsi="宋体" w:cs="宋体"/>
                <w:color w:val="000000"/>
                <w:sz w:val="18"/>
                <w:szCs w:val="18"/>
              </w:rPr>
            </w:pPr>
          </w:p>
        </w:tc>
        <w:tc>
          <w:tcPr>
            <w:tcW w:w="194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11C3F">
            <w:pPr>
              <w:widowControl/>
              <w:spacing w:beforeLines="0" w:afterLines="0"/>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16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062DF">
            <w:pPr>
              <w:spacing w:beforeLines="0" w:afterLines="0"/>
              <w:rPr>
                <w:rFonts w:hint="eastAsia" w:hAnsi="宋体" w:cs="宋体"/>
                <w:color w:val="000000"/>
                <w:sz w:val="18"/>
                <w:szCs w:val="18"/>
              </w:rPr>
            </w:pPr>
          </w:p>
        </w:tc>
        <w:tc>
          <w:tcPr>
            <w:tcW w:w="1347" w:type="dxa"/>
            <w:gridSpan w:val="3"/>
            <w:tcBorders>
              <w:top w:val="single" w:color="000000" w:sz="4" w:space="0"/>
              <w:left w:val="single" w:color="000000" w:sz="4" w:space="0"/>
              <w:bottom w:val="nil"/>
              <w:right w:val="single" w:color="000000" w:sz="4" w:space="0"/>
              <w:tl2br w:val="nil"/>
              <w:tr2bl w:val="nil"/>
            </w:tcBorders>
            <w:noWrap w:val="0"/>
            <w:vAlign w:val="center"/>
          </w:tcPr>
          <w:p w14:paraId="57C13CDC">
            <w:pPr>
              <w:spacing w:beforeLines="0" w:afterLines="0"/>
              <w:jc w:val="center"/>
              <w:rPr>
                <w:rFonts w:hint="eastAsia" w:hAnsi="宋体" w:cs="宋体"/>
                <w:color w:val="000000"/>
                <w:sz w:val="18"/>
                <w:szCs w:val="18"/>
              </w:rPr>
            </w:pPr>
          </w:p>
        </w:tc>
        <w:tc>
          <w:tcPr>
            <w:tcW w:w="1234" w:type="dxa"/>
            <w:gridSpan w:val="3"/>
            <w:tcBorders>
              <w:top w:val="single" w:color="000000" w:sz="4" w:space="0"/>
              <w:left w:val="single" w:color="000000" w:sz="4" w:space="0"/>
              <w:bottom w:val="nil"/>
              <w:right w:val="single" w:color="000000" w:sz="4" w:space="0"/>
              <w:tl2br w:val="nil"/>
              <w:tr2bl w:val="nil"/>
            </w:tcBorders>
            <w:noWrap w:val="0"/>
            <w:vAlign w:val="center"/>
          </w:tcPr>
          <w:p w14:paraId="7AADC2FD">
            <w:pPr>
              <w:spacing w:beforeLines="0" w:afterLines="0"/>
              <w:jc w:val="center"/>
              <w:rPr>
                <w:rFonts w:hint="eastAsia" w:hAnsi="宋体" w:cs="宋体"/>
                <w:color w:val="000000"/>
                <w:sz w:val="18"/>
                <w:szCs w:val="18"/>
              </w:rPr>
            </w:pPr>
          </w:p>
        </w:tc>
        <w:tc>
          <w:tcPr>
            <w:tcW w:w="1667" w:type="dxa"/>
            <w:gridSpan w:val="4"/>
            <w:tcBorders>
              <w:top w:val="single" w:color="000000" w:sz="4" w:space="0"/>
              <w:left w:val="single" w:color="000000" w:sz="4" w:space="0"/>
              <w:bottom w:val="nil"/>
              <w:right w:val="single" w:color="000000" w:sz="4" w:space="0"/>
              <w:tl2br w:val="nil"/>
              <w:tr2bl w:val="nil"/>
            </w:tcBorders>
            <w:noWrap w:val="0"/>
            <w:vAlign w:val="center"/>
          </w:tcPr>
          <w:p w14:paraId="250C1E30">
            <w:pPr>
              <w:spacing w:beforeLines="0" w:afterLines="0"/>
              <w:jc w:val="center"/>
              <w:rPr>
                <w:rFonts w:hint="eastAsia" w:hAnsi="宋体" w:cs="宋体"/>
                <w:color w:val="000000"/>
                <w:sz w:val="18"/>
                <w:szCs w:val="18"/>
              </w:rPr>
            </w:pPr>
          </w:p>
        </w:tc>
      </w:tr>
      <w:tr w14:paraId="52CD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3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1618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428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7FF09">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42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A2628">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14:paraId="3BBD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BBA92">
            <w:pPr>
              <w:spacing w:beforeLines="0" w:afterLines="0"/>
              <w:jc w:val="center"/>
              <w:rPr>
                <w:rFonts w:hint="eastAsia" w:hAnsi="宋体" w:cs="宋体"/>
                <w:color w:val="000000"/>
                <w:sz w:val="18"/>
                <w:szCs w:val="18"/>
              </w:rPr>
            </w:pPr>
          </w:p>
        </w:tc>
        <w:tc>
          <w:tcPr>
            <w:tcW w:w="428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FE5A0">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为不断提高储备项目成熟度，为成功争取上级各类资金奠定坚实基础。支持昭化区人民医院传染病区及危急重症能力提升建设项目（二期危急重症能力提升）、G5京昆高速昭化收费站改扩建工程、东部新区新型城镇化建设项目（一期）、昭化区南洋电子厂片区棚户区改造等15个重点项目有序推进前期工作，储备前期项目300个以上，总投资1000亿元以上，前期项目开工转化率25%以上，实现全年重大项目集中开工不少于4次，积极争取上级补助资金，力争年度争取到位资金2亿元以上，全社会固定资产投资实现70亿元以上，入库项目前期科研编制、设计规划等费用控制在财政预算1000万元内，项目建成后新增就业岗位不少于500个，提高居民生活环境质量，农村居民人均可支配收入月增加300元以上。</w:t>
            </w:r>
          </w:p>
        </w:tc>
        <w:tc>
          <w:tcPr>
            <w:tcW w:w="424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2E41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一是已完成焦化二期（车家沟）棚户区改造配套基础设施、葭萌路片区老旧小区配套基础设施、龙王沟水库工程、三溪渡渡改公路桥改建工程等13个项目前期投资，有力保障了我区重点项目推进、投资等目标任务顺利完成。二是固定资产投资稳步增长。区本级固定资产投资累计完成36.61亿元、超市下投资目标4600万元。三是重点项目有序推进。全区26个省市重点项目全年完成投资54.8亿元，占完成计划投资目标任务110.5%，其中，2个省重点项目完成投资20.6亿元、投资完成128.8%。实现重大项目现场推进集中开工4批次128个项目，总投资114.8亿元。四是统筹超额完成项目储备任务。全区全年滚动谋划储备项目306个、总投资1312亿元，项目开工转化率达48%。</w:t>
            </w:r>
          </w:p>
        </w:tc>
      </w:tr>
      <w:tr w14:paraId="794F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3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219F8BF">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67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EAC3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15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1146B">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210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D16A7">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F126D">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E8D86">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344C2">
            <w:pPr>
              <w:widowControl/>
              <w:spacing w:beforeLines="0" w:afterLines="0"/>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14:paraId="07A9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1AD82C4">
            <w:pPr>
              <w:spacing w:beforeLines="0" w:afterLines="0"/>
              <w:jc w:val="center"/>
              <w:rPr>
                <w:rFonts w:hint="eastAsia" w:hAnsi="宋体" w:cs="宋体"/>
                <w:color w:val="000000"/>
                <w:sz w:val="18"/>
                <w:szCs w:val="18"/>
              </w:rPr>
            </w:pPr>
          </w:p>
        </w:tc>
        <w:tc>
          <w:tcPr>
            <w:tcW w:w="67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3381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产出指标</w:t>
            </w:r>
          </w:p>
        </w:tc>
        <w:tc>
          <w:tcPr>
            <w:tcW w:w="15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F9E84">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数量指标</w:t>
            </w:r>
          </w:p>
        </w:tc>
        <w:tc>
          <w:tcPr>
            <w:tcW w:w="210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1C27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前期投资建设项目个数</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3BD1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≥15个</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C344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128个</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8176C">
            <w:pPr>
              <w:spacing w:beforeLines="0" w:afterLines="0"/>
              <w:jc w:val="center"/>
              <w:rPr>
                <w:rFonts w:hint="eastAsia" w:hAnsi="宋体" w:cs="宋体"/>
                <w:color w:val="000000"/>
                <w:sz w:val="16"/>
                <w:szCs w:val="16"/>
              </w:rPr>
            </w:pPr>
          </w:p>
        </w:tc>
      </w:tr>
      <w:tr w14:paraId="4722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0D78F7">
            <w:pPr>
              <w:spacing w:beforeLines="0" w:afterLines="0"/>
              <w:jc w:val="center"/>
              <w:rPr>
                <w:rFonts w:hint="eastAsia" w:hAnsi="宋体" w:cs="宋体"/>
                <w:color w:val="000000"/>
                <w:sz w:val="18"/>
                <w:szCs w:val="18"/>
              </w:rPr>
            </w:pPr>
          </w:p>
        </w:tc>
        <w:tc>
          <w:tcPr>
            <w:tcW w:w="67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1954F">
            <w:pPr>
              <w:spacing w:beforeLines="0" w:afterLines="0"/>
              <w:jc w:val="center"/>
              <w:rPr>
                <w:rFonts w:hint="eastAsia" w:hAnsi="宋体" w:cs="宋体"/>
                <w:color w:val="000000"/>
                <w:sz w:val="16"/>
                <w:szCs w:val="16"/>
              </w:rPr>
            </w:pPr>
          </w:p>
        </w:tc>
        <w:tc>
          <w:tcPr>
            <w:tcW w:w="15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8F29D">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数量指标</w:t>
            </w:r>
          </w:p>
        </w:tc>
        <w:tc>
          <w:tcPr>
            <w:tcW w:w="210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BB4D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储备项目300个</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2ADFF">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≥300个</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FDFD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306个</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0D389">
            <w:pPr>
              <w:spacing w:beforeLines="0" w:afterLines="0"/>
              <w:jc w:val="center"/>
              <w:rPr>
                <w:rFonts w:hint="eastAsia" w:hAnsi="宋体" w:cs="宋体"/>
                <w:color w:val="000000"/>
                <w:sz w:val="16"/>
                <w:szCs w:val="16"/>
              </w:rPr>
            </w:pPr>
          </w:p>
        </w:tc>
      </w:tr>
      <w:tr w14:paraId="63E1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AA45FA0">
            <w:pPr>
              <w:spacing w:beforeLines="0" w:afterLines="0"/>
              <w:jc w:val="center"/>
              <w:rPr>
                <w:rFonts w:hint="eastAsia" w:hAnsi="宋体" w:cs="宋体"/>
                <w:color w:val="000000"/>
                <w:sz w:val="18"/>
                <w:szCs w:val="18"/>
              </w:rPr>
            </w:pPr>
          </w:p>
        </w:tc>
        <w:tc>
          <w:tcPr>
            <w:tcW w:w="67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A1B25">
            <w:pPr>
              <w:spacing w:beforeLines="0" w:afterLines="0"/>
              <w:jc w:val="center"/>
              <w:rPr>
                <w:rFonts w:hint="eastAsia" w:hAnsi="宋体" w:cs="宋体"/>
                <w:color w:val="000000"/>
                <w:sz w:val="16"/>
                <w:szCs w:val="16"/>
              </w:rPr>
            </w:pPr>
          </w:p>
        </w:tc>
        <w:tc>
          <w:tcPr>
            <w:tcW w:w="15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5583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数量指标</w:t>
            </w:r>
          </w:p>
        </w:tc>
        <w:tc>
          <w:tcPr>
            <w:tcW w:w="210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959A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储备项目总投资</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A521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≥10000000万元</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046A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1312亿元</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13FEC">
            <w:pPr>
              <w:spacing w:beforeLines="0" w:afterLines="0"/>
              <w:jc w:val="center"/>
              <w:rPr>
                <w:rFonts w:hint="eastAsia" w:hAnsi="宋体" w:cs="宋体"/>
                <w:color w:val="000000"/>
                <w:sz w:val="16"/>
                <w:szCs w:val="16"/>
              </w:rPr>
            </w:pPr>
          </w:p>
        </w:tc>
      </w:tr>
      <w:tr w14:paraId="3372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02AA410">
            <w:pPr>
              <w:spacing w:beforeLines="0" w:afterLines="0"/>
              <w:jc w:val="center"/>
              <w:rPr>
                <w:rFonts w:hint="eastAsia" w:hAnsi="宋体" w:cs="宋体"/>
                <w:color w:val="000000"/>
                <w:sz w:val="18"/>
                <w:szCs w:val="18"/>
              </w:rPr>
            </w:pPr>
          </w:p>
        </w:tc>
        <w:tc>
          <w:tcPr>
            <w:tcW w:w="67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4CA7B">
            <w:pPr>
              <w:spacing w:beforeLines="0" w:afterLines="0"/>
              <w:jc w:val="center"/>
              <w:rPr>
                <w:rFonts w:hint="eastAsia" w:hAnsi="宋体" w:cs="宋体"/>
                <w:color w:val="000000"/>
                <w:sz w:val="16"/>
                <w:szCs w:val="16"/>
              </w:rPr>
            </w:pPr>
          </w:p>
        </w:tc>
        <w:tc>
          <w:tcPr>
            <w:tcW w:w="15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448F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数量指标</w:t>
            </w:r>
          </w:p>
        </w:tc>
        <w:tc>
          <w:tcPr>
            <w:tcW w:w="210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CF81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全年重大项目集中开工次数</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4B25F">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≥4批次</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AC89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4批次</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60BC4">
            <w:pPr>
              <w:spacing w:beforeLines="0" w:afterLines="0"/>
              <w:jc w:val="center"/>
              <w:rPr>
                <w:rFonts w:hint="eastAsia" w:hAnsi="宋体" w:cs="宋体"/>
                <w:color w:val="000000"/>
                <w:sz w:val="16"/>
                <w:szCs w:val="16"/>
              </w:rPr>
            </w:pPr>
          </w:p>
        </w:tc>
      </w:tr>
      <w:tr w14:paraId="2721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845F56D">
            <w:pPr>
              <w:spacing w:beforeLines="0" w:afterLines="0"/>
              <w:jc w:val="center"/>
              <w:rPr>
                <w:rFonts w:hint="eastAsia" w:hAnsi="宋体" w:cs="宋体"/>
                <w:color w:val="000000"/>
                <w:sz w:val="18"/>
                <w:szCs w:val="18"/>
              </w:rPr>
            </w:pPr>
          </w:p>
        </w:tc>
        <w:tc>
          <w:tcPr>
            <w:tcW w:w="67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E8B3D">
            <w:pPr>
              <w:spacing w:beforeLines="0" w:afterLines="0"/>
              <w:jc w:val="center"/>
              <w:rPr>
                <w:rFonts w:hint="eastAsia" w:hAnsi="宋体" w:cs="宋体"/>
                <w:color w:val="000000"/>
                <w:sz w:val="16"/>
                <w:szCs w:val="16"/>
              </w:rPr>
            </w:pPr>
          </w:p>
        </w:tc>
        <w:tc>
          <w:tcPr>
            <w:tcW w:w="15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F1E8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质量指标</w:t>
            </w:r>
          </w:p>
        </w:tc>
        <w:tc>
          <w:tcPr>
            <w:tcW w:w="210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14DD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前期项目开工转化率</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942B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≥25%</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83D7A">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48%</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AF32E">
            <w:pPr>
              <w:spacing w:beforeLines="0" w:afterLines="0"/>
              <w:jc w:val="center"/>
              <w:rPr>
                <w:rFonts w:hint="eastAsia" w:hAnsi="宋体" w:cs="宋体"/>
                <w:color w:val="000000"/>
                <w:sz w:val="16"/>
                <w:szCs w:val="16"/>
              </w:rPr>
            </w:pPr>
          </w:p>
        </w:tc>
      </w:tr>
      <w:tr w14:paraId="66ED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5E1F395">
            <w:pPr>
              <w:spacing w:beforeLines="0" w:afterLines="0"/>
              <w:jc w:val="center"/>
              <w:rPr>
                <w:rFonts w:hint="eastAsia" w:hAnsi="宋体" w:cs="宋体"/>
                <w:color w:val="000000"/>
                <w:sz w:val="18"/>
                <w:szCs w:val="18"/>
              </w:rPr>
            </w:pPr>
          </w:p>
        </w:tc>
        <w:tc>
          <w:tcPr>
            <w:tcW w:w="67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20E1D">
            <w:pPr>
              <w:spacing w:beforeLines="0" w:afterLines="0"/>
              <w:jc w:val="center"/>
              <w:rPr>
                <w:rFonts w:hint="eastAsia" w:hAnsi="宋体" w:cs="宋体"/>
                <w:color w:val="000000"/>
                <w:sz w:val="16"/>
                <w:szCs w:val="16"/>
              </w:rPr>
            </w:pPr>
          </w:p>
        </w:tc>
        <w:tc>
          <w:tcPr>
            <w:tcW w:w="15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0A704">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时效指标</w:t>
            </w:r>
          </w:p>
        </w:tc>
        <w:tc>
          <w:tcPr>
            <w:tcW w:w="210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106F7">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按计划完成形象进度率</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3525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≥90%</w:t>
            </w:r>
          </w:p>
        </w:tc>
        <w:tc>
          <w:tcPr>
            <w:tcW w:w="1234" w:type="dxa"/>
            <w:gridSpan w:val="3"/>
            <w:tcBorders>
              <w:top w:val="single" w:color="000000" w:sz="4" w:space="0"/>
              <w:left w:val="single" w:color="000000" w:sz="4" w:space="0"/>
              <w:bottom w:val="nil"/>
              <w:right w:val="single" w:color="000000" w:sz="4" w:space="0"/>
              <w:tl2br w:val="nil"/>
              <w:tr2bl w:val="nil"/>
            </w:tcBorders>
            <w:noWrap w:val="0"/>
            <w:vAlign w:val="center"/>
          </w:tcPr>
          <w:p w14:paraId="24C4B18D">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96%</w:t>
            </w:r>
          </w:p>
        </w:tc>
        <w:tc>
          <w:tcPr>
            <w:tcW w:w="1667" w:type="dxa"/>
            <w:gridSpan w:val="4"/>
            <w:tcBorders>
              <w:top w:val="single" w:color="000000" w:sz="4" w:space="0"/>
              <w:left w:val="single" w:color="000000" w:sz="4" w:space="0"/>
              <w:bottom w:val="nil"/>
              <w:right w:val="single" w:color="000000" w:sz="4" w:space="0"/>
              <w:tl2br w:val="nil"/>
              <w:tr2bl w:val="nil"/>
            </w:tcBorders>
            <w:noWrap w:val="0"/>
            <w:vAlign w:val="center"/>
          </w:tcPr>
          <w:p w14:paraId="3A434E68">
            <w:pPr>
              <w:spacing w:beforeLines="0" w:afterLines="0"/>
              <w:jc w:val="center"/>
              <w:rPr>
                <w:rFonts w:hint="eastAsia" w:hAnsi="宋体" w:cs="宋体"/>
                <w:color w:val="000000"/>
                <w:sz w:val="16"/>
                <w:szCs w:val="16"/>
              </w:rPr>
            </w:pPr>
          </w:p>
        </w:tc>
      </w:tr>
      <w:tr w14:paraId="5E87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312"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B7157DC">
            <w:pPr>
              <w:spacing w:beforeLines="0" w:afterLines="0"/>
              <w:jc w:val="center"/>
              <w:rPr>
                <w:rFonts w:hint="eastAsia" w:hAnsi="宋体" w:cs="宋体"/>
                <w:color w:val="000000"/>
                <w:sz w:val="18"/>
                <w:szCs w:val="18"/>
              </w:rPr>
            </w:pPr>
          </w:p>
        </w:tc>
        <w:tc>
          <w:tcPr>
            <w:tcW w:w="67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1CC0F">
            <w:pPr>
              <w:spacing w:beforeLines="0" w:afterLines="0"/>
              <w:jc w:val="center"/>
              <w:rPr>
                <w:rFonts w:hint="eastAsia" w:hAnsi="宋体" w:cs="宋体"/>
                <w:color w:val="000000"/>
                <w:sz w:val="16"/>
                <w:szCs w:val="16"/>
              </w:rPr>
            </w:pPr>
          </w:p>
        </w:tc>
        <w:tc>
          <w:tcPr>
            <w:tcW w:w="1501"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8C780">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成本指标</w:t>
            </w:r>
          </w:p>
        </w:tc>
        <w:tc>
          <w:tcPr>
            <w:tcW w:w="2103"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396BB">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前期可研编制、规划等前期工作成本控制额</w:t>
            </w:r>
          </w:p>
        </w:tc>
        <w:tc>
          <w:tcPr>
            <w:tcW w:w="1347"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C2C99">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≤892万元</w:t>
            </w:r>
          </w:p>
        </w:tc>
        <w:tc>
          <w:tcPr>
            <w:tcW w:w="1234"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BB8FD">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627.56万元</w:t>
            </w:r>
          </w:p>
        </w:tc>
        <w:tc>
          <w:tcPr>
            <w:tcW w:w="1667"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ECCB7">
            <w:pPr>
              <w:spacing w:beforeLines="0" w:afterLines="0"/>
              <w:jc w:val="center"/>
              <w:rPr>
                <w:rFonts w:hint="eastAsia" w:hAnsi="宋体" w:cs="宋体"/>
                <w:color w:val="000000"/>
                <w:sz w:val="16"/>
                <w:szCs w:val="16"/>
              </w:rPr>
            </w:pPr>
          </w:p>
        </w:tc>
      </w:tr>
      <w:tr w14:paraId="73EC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312"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E52EDDF">
            <w:pPr>
              <w:spacing w:beforeLines="0" w:afterLines="0"/>
              <w:jc w:val="center"/>
              <w:rPr>
                <w:rFonts w:hint="eastAsia" w:hAnsi="宋体" w:cs="宋体"/>
                <w:color w:val="000000"/>
                <w:sz w:val="18"/>
                <w:szCs w:val="18"/>
              </w:rPr>
            </w:pPr>
          </w:p>
        </w:tc>
        <w:tc>
          <w:tcPr>
            <w:tcW w:w="67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B05CE">
            <w:pPr>
              <w:spacing w:beforeLines="0" w:afterLines="0"/>
              <w:jc w:val="center"/>
              <w:rPr>
                <w:rFonts w:hint="eastAsia" w:hAnsi="宋体" w:cs="宋体"/>
                <w:color w:val="000000"/>
                <w:sz w:val="16"/>
                <w:szCs w:val="16"/>
              </w:rPr>
            </w:pPr>
          </w:p>
        </w:tc>
        <w:tc>
          <w:tcPr>
            <w:tcW w:w="150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837D0">
            <w:pPr>
              <w:spacing w:beforeLines="0" w:afterLines="0"/>
              <w:jc w:val="center"/>
              <w:rPr>
                <w:rFonts w:hint="eastAsia" w:hAnsi="宋体" w:cs="宋体"/>
                <w:color w:val="000000"/>
                <w:sz w:val="16"/>
                <w:szCs w:val="16"/>
              </w:rPr>
            </w:pPr>
          </w:p>
        </w:tc>
        <w:tc>
          <w:tcPr>
            <w:tcW w:w="210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3546D">
            <w:pPr>
              <w:spacing w:beforeLines="0" w:afterLines="0"/>
              <w:jc w:val="center"/>
              <w:rPr>
                <w:rFonts w:hint="eastAsia" w:hAnsi="宋体" w:cs="宋体"/>
                <w:color w:val="000000"/>
                <w:sz w:val="16"/>
                <w:szCs w:val="16"/>
              </w:rPr>
            </w:pPr>
          </w:p>
        </w:tc>
        <w:tc>
          <w:tcPr>
            <w:tcW w:w="134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0C3A5">
            <w:pPr>
              <w:spacing w:beforeLines="0" w:afterLines="0"/>
              <w:jc w:val="center"/>
              <w:rPr>
                <w:rFonts w:hint="eastAsia" w:hAnsi="宋体" w:cs="宋体"/>
                <w:color w:val="000000"/>
                <w:sz w:val="16"/>
                <w:szCs w:val="16"/>
              </w:rPr>
            </w:pPr>
          </w:p>
        </w:tc>
        <w:tc>
          <w:tcPr>
            <w:tcW w:w="123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94962">
            <w:pPr>
              <w:spacing w:beforeLines="0" w:afterLines="0"/>
              <w:jc w:val="center"/>
              <w:rPr>
                <w:rFonts w:hint="eastAsia" w:hAnsi="宋体" w:cs="宋体"/>
                <w:color w:val="000000"/>
                <w:sz w:val="16"/>
                <w:szCs w:val="16"/>
              </w:rPr>
            </w:pPr>
          </w:p>
        </w:tc>
        <w:tc>
          <w:tcPr>
            <w:tcW w:w="1667"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76F8A">
            <w:pPr>
              <w:spacing w:beforeLines="0" w:afterLines="0"/>
              <w:jc w:val="center"/>
              <w:rPr>
                <w:rFonts w:hint="eastAsia" w:hAnsi="宋体" w:cs="宋体"/>
                <w:color w:val="000000"/>
                <w:sz w:val="16"/>
                <w:szCs w:val="16"/>
              </w:rPr>
            </w:pPr>
          </w:p>
        </w:tc>
      </w:tr>
      <w:tr w14:paraId="2C73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312"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51DCA6E">
            <w:pPr>
              <w:spacing w:beforeLines="0" w:afterLines="0"/>
              <w:jc w:val="center"/>
              <w:rPr>
                <w:rFonts w:hint="eastAsia" w:hAnsi="宋体" w:cs="宋体"/>
                <w:color w:val="000000"/>
                <w:sz w:val="18"/>
                <w:szCs w:val="18"/>
              </w:rPr>
            </w:pPr>
          </w:p>
        </w:tc>
        <w:tc>
          <w:tcPr>
            <w:tcW w:w="677"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B3F6FC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效益指标</w:t>
            </w:r>
          </w:p>
        </w:tc>
        <w:tc>
          <w:tcPr>
            <w:tcW w:w="1501" w:type="dxa"/>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3CC6F05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经济效益指标</w:t>
            </w:r>
          </w:p>
        </w:tc>
        <w:tc>
          <w:tcPr>
            <w:tcW w:w="2103"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ED41F">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争取上级项目补助资金</w:t>
            </w:r>
          </w:p>
        </w:tc>
        <w:tc>
          <w:tcPr>
            <w:tcW w:w="1347"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19EED">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≥20000万元</w:t>
            </w:r>
          </w:p>
        </w:tc>
        <w:tc>
          <w:tcPr>
            <w:tcW w:w="1234"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F7E79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28050万元</w:t>
            </w:r>
          </w:p>
        </w:tc>
        <w:tc>
          <w:tcPr>
            <w:tcW w:w="1667"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A3902">
            <w:pPr>
              <w:spacing w:beforeLines="0" w:afterLines="0"/>
              <w:jc w:val="center"/>
              <w:rPr>
                <w:rFonts w:hint="eastAsia" w:hAnsi="宋体" w:cs="宋体"/>
                <w:color w:val="000000"/>
                <w:sz w:val="16"/>
                <w:szCs w:val="16"/>
              </w:rPr>
            </w:pPr>
          </w:p>
        </w:tc>
      </w:tr>
      <w:tr w14:paraId="0A53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312"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F86F11B">
            <w:pPr>
              <w:spacing w:beforeLines="0" w:afterLines="0"/>
              <w:jc w:val="center"/>
              <w:rPr>
                <w:rFonts w:hint="eastAsia" w:hAnsi="宋体" w:cs="宋体"/>
                <w:color w:val="000000"/>
                <w:sz w:val="18"/>
                <w:szCs w:val="18"/>
              </w:rPr>
            </w:pPr>
          </w:p>
        </w:tc>
        <w:tc>
          <w:tcPr>
            <w:tcW w:w="67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EB4FB94">
            <w:pPr>
              <w:spacing w:beforeLines="0" w:afterLines="0"/>
              <w:jc w:val="center"/>
              <w:rPr>
                <w:rFonts w:hint="eastAsia" w:hAnsi="宋体" w:cs="宋体"/>
                <w:color w:val="000000"/>
                <w:sz w:val="16"/>
                <w:szCs w:val="16"/>
              </w:rPr>
            </w:pPr>
          </w:p>
        </w:tc>
        <w:tc>
          <w:tcPr>
            <w:tcW w:w="1501" w:type="dxa"/>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1E124E46">
            <w:pPr>
              <w:spacing w:beforeLines="0" w:afterLines="0"/>
              <w:jc w:val="center"/>
              <w:rPr>
                <w:rFonts w:hint="eastAsia" w:hAnsi="宋体" w:cs="宋体"/>
                <w:color w:val="000000"/>
                <w:sz w:val="16"/>
                <w:szCs w:val="16"/>
              </w:rPr>
            </w:pPr>
          </w:p>
        </w:tc>
        <w:tc>
          <w:tcPr>
            <w:tcW w:w="210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1C3C6">
            <w:pPr>
              <w:spacing w:beforeLines="0" w:afterLines="0"/>
              <w:jc w:val="center"/>
              <w:rPr>
                <w:rFonts w:hint="eastAsia" w:hAnsi="宋体" w:cs="宋体"/>
                <w:color w:val="000000"/>
                <w:sz w:val="16"/>
                <w:szCs w:val="16"/>
              </w:rPr>
            </w:pPr>
          </w:p>
        </w:tc>
        <w:tc>
          <w:tcPr>
            <w:tcW w:w="134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11F4B">
            <w:pPr>
              <w:spacing w:beforeLines="0" w:afterLines="0"/>
              <w:jc w:val="center"/>
              <w:rPr>
                <w:rFonts w:hint="eastAsia" w:hAnsi="宋体" w:cs="宋体"/>
                <w:color w:val="000000"/>
                <w:sz w:val="16"/>
                <w:szCs w:val="16"/>
              </w:rPr>
            </w:pPr>
          </w:p>
        </w:tc>
        <w:tc>
          <w:tcPr>
            <w:tcW w:w="123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DE5CA">
            <w:pPr>
              <w:spacing w:beforeLines="0" w:afterLines="0"/>
              <w:jc w:val="center"/>
              <w:rPr>
                <w:rFonts w:hint="eastAsia" w:hAnsi="宋体" w:cs="宋体"/>
                <w:color w:val="000000"/>
                <w:sz w:val="16"/>
                <w:szCs w:val="16"/>
              </w:rPr>
            </w:pPr>
          </w:p>
        </w:tc>
        <w:tc>
          <w:tcPr>
            <w:tcW w:w="1667"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FC521">
            <w:pPr>
              <w:spacing w:beforeLines="0" w:afterLines="0"/>
              <w:jc w:val="center"/>
              <w:rPr>
                <w:rFonts w:hint="eastAsia" w:hAnsi="宋体" w:cs="宋体"/>
                <w:color w:val="000000"/>
                <w:sz w:val="16"/>
                <w:szCs w:val="16"/>
              </w:rPr>
            </w:pPr>
          </w:p>
        </w:tc>
      </w:tr>
      <w:tr w14:paraId="2A6C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13EDEC9">
            <w:pPr>
              <w:spacing w:beforeLines="0" w:afterLines="0"/>
              <w:jc w:val="center"/>
              <w:rPr>
                <w:rFonts w:hint="eastAsia" w:hAnsi="宋体" w:cs="宋体"/>
                <w:color w:val="000000"/>
                <w:sz w:val="18"/>
                <w:szCs w:val="18"/>
              </w:rPr>
            </w:pPr>
          </w:p>
        </w:tc>
        <w:tc>
          <w:tcPr>
            <w:tcW w:w="67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80D953">
            <w:pPr>
              <w:spacing w:beforeLines="0" w:afterLines="0"/>
              <w:jc w:val="center"/>
              <w:rPr>
                <w:rFonts w:hint="eastAsia" w:hAnsi="宋体" w:cs="宋体"/>
                <w:color w:val="000000"/>
                <w:sz w:val="16"/>
                <w:szCs w:val="16"/>
              </w:rPr>
            </w:pPr>
          </w:p>
        </w:tc>
        <w:tc>
          <w:tcPr>
            <w:tcW w:w="1501" w:type="dxa"/>
            <w:gridSpan w:val="4"/>
            <w:tcBorders>
              <w:top w:val="single" w:color="000000" w:sz="4" w:space="0"/>
              <w:left w:val="single" w:color="000000" w:sz="4" w:space="0"/>
              <w:bottom w:val="nil"/>
              <w:right w:val="single" w:color="000000" w:sz="4" w:space="0"/>
              <w:tl2br w:val="nil"/>
              <w:tr2bl w:val="nil"/>
            </w:tcBorders>
            <w:noWrap w:val="0"/>
            <w:vAlign w:val="center"/>
          </w:tcPr>
          <w:p w14:paraId="75A3C83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经济指标</w:t>
            </w:r>
          </w:p>
        </w:tc>
        <w:tc>
          <w:tcPr>
            <w:tcW w:w="2103"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635BEB8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农村居民人均可支配收入月增加</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F19E0">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≥300元</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00713">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310元</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77962">
            <w:pPr>
              <w:spacing w:beforeLines="0" w:afterLines="0"/>
              <w:jc w:val="center"/>
              <w:rPr>
                <w:rFonts w:hint="eastAsia" w:hAnsi="宋体" w:cs="宋体"/>
                <w:color w:val="000000"/>
                <w:sz w:val="16"/>
                <w:szCs w:val="16"/>
              </w:rPr>
            </w:pPr>
          </w:p>
        </w:tc>
      </w:tr>
      <w:tr w14:paraId="44E3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57"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9EBB8A8">
            <w:pPr>
              <w:spacing w:beforeLines="0" w:afterLines="0"/>
              <w:jc w:val="center"/>
              <w:rPr>
                <w:rFonts w:hint="eastAsia" w:hAnsi="宋体" w:cs="宋体"/>
                <w:color w:val="000000"/>
                <w:sz w:val="18"/>
                <w:szCs w:val="18"/>
              </w:rPr>
            </w:pPr>
          </w:p>
        </w:tc>
        <w:tc>
          <w:tcPr>
            <w:tcW w:w="67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7E6D81D">
            <w:pPr>
              <w:spacing w:beforeLines="0" w:afterLines="0"/>
              <w:jc w:val="center"/>
              <w:rPr>
                <w:rFonts w:hint="eastAsia" w:hAnsi="宋体" w:cs="宋体"/>
                <w:color w:val="000000"/>
                <w:sz w:val="16"/>
                <w:szCs w:val="16"/>
              </w:rPr>
            </w:pPr>
          </w:p>
        </w:tc>
        <w:tc>
          <w:tcPr>
            <w:tcW w:w="1501" w:type="dxa"/>
            <w:gridSpan w:val="4"/>
            <w:tcBorders>
              <w:top w:val="single" w:color="000000" w:sz="4" w:space="0"/>
              <w:left w:val="single" w:color="000000" w:sz="4" w:space="0"/>
              <w:bottom w:val="nil"/>
              <w:right w:val="single" w:color="000000" w:sz="4" w:space="0"/>
              <w:tl2br w:val="nil"/>
              <w:tr2bl w:val="nil"/>
            </w:tcBorders>
            <w:noWrap w:val="0"/>
            <w:vAlign w:val="center"/>
          </w:tcPr>
          <w:p w14:paraId="737A3DB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生态效益指标</w:t>
            </w:r>
          </w:p>
        </w:tc>
        <w:tc>
          <w:tcPr>
            <w:tcW w:w="2103"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251D3925">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项目建成后，新增就业岗位</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2DD2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≥500个</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32971">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505个</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EC9D4">
            <w:pPr>
              <w:spacing w:beforeLines="0" w:afterLines="0"/>
              <w:jc w:val="center"/>
              <w:rPr>
                <w:rFonts w:hint="eastAsia" w:hAnsi="宋体" w:cs="宋体"/>
                <w:color w:val="000000"/>
                <w:sz w:val="16"/>
                <w:szCs w:val="16"/>
              </w:rPr>
            </w:pPr>
          </w:p>
        </w:tc>
      </w:tr>
      <w:tr w14:paraId="7B80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13" w:type="dxa"/>
          <w:trHeight w:val="23" w:hRule="atLeast"/>
          <w:jc w:val="center"/>
        </w:trPr>
        <w:tc>
          <w:tcPr>
            <w:tcW w:w="93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00D2C93">
            <w:pPr>
              <w:spacing w:beforeLines="0" w:afterLines="0"/>
              <w:jc w:val="center"/>
              <w:rPr>
                <w:rFonts w:hint="eastAsia" w:hAnsi="宋体" w:cs="宋体"/>
                <w:color w:val="000000"/>
                <w:sz w:val="18"/>
                <w:szCs w:val="18"/>
              </w:rPr>
            </w:pPr>
          </w:p>
        </w:tc>
        <w:tc>
          <w:tcPr>
            <w:tcW w:w="67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29222">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满意度指标</w:t>
            </w:r>
          </w:p>
        </w:tc>
        <w:tc>
          <w:tcPr>
            <w:tcW w:w="150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8AD8C">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服务对象满意度指标</w:t>
            </w:r>
          </w:p>
        </w:tc>
        <w:tc>
          <w:tcPr>
            <w:tcW w:w="2103"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D6F25D6">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项目区居民满意度</w:t>
            </w:r>
          </w:p>
        </w:tc>
        <w:tc>
          <w:tcPr>
            <w:tcW w:w="13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FA5F8">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≥95%</w:t>
            </w:r>
          </w:p>
        </w:tc>
        <w:tc>
          <w:tcPr>
            <w:tcW w:w="12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3FE94">
            <w:pPr>
              <w:widowControl/>
              <w:spacing w:beforeLines="0" w:afterLines="0"/>
              <w:jc w:val="center"/>
              <w:textAlignment w:val="center"/>
              <w:rPr>
                <w:rFonts w:hint="eastAsia" w:hAnsi="宋体" w:cs="宋体"/>
                <w:color w:val="000000"/>
                <w:sz w:val="16"/>
                <w:szCs w:val="16"/>
              </w:rPr>
            </w:pPr>
            <w:r>
              <w:rPr>
                <w:rFonts w:hint="eastAsia" w:hAnsi="宋体" w:cs="宋体"/>
                <w:color w:val="000000"/>
                <w:sz w:val="16"/>
                <w:szCs w:val="16"/>
                <w:lang w:bidi="ar"/>
              </w:rPr>
              <w:t>96%</w:t>
            </w:r>
          </w:p>
        </w:tc>
        <w:tc>
          <w:tcPr>
            <w:tcW w:w="16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9E9D5">
            <w:pPr>
              <w:spacing w:beforeLines="0" w:afterLines="0"/>
              <w:jc w:val="center"/>
              <w:rPr>
                <w:rFonts w:hint="eastAsia" w:hAnsi="宋体" w:cs="宋体"/>
                <w:color w:val="000000"/>
                <w:sz w:val="16"/>
                <w:szCs w:val="16"/>
              </w:rPr>
            </w:pPr>
          </w:p>
        </w:tc>
      </w:tr>
      <w:tr w14:paraId="05D4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57" w:hRule="atLeast"/>
          <w:jc w:val="center"/>
        </w:trPr>
        <w:tc>
          <w:tcPr>
            <w:tcW w:w="10436" w:type="dxa"/>
            <w:gridSpan w:val="24"/>
            <w:tcBorders>
              <w:top w:val="nil"/>
              <w:left w:val="nil"/>
              <w:bottom w:val="nil"/>
              <w:right w:val="nil"/>
              <w:tl2br w:val="nil"/>
              <w:tr2bl w:val="nil"/>
            </w:tcBorders>
            <w:noWrap w:val="0"/>
            <w:vAlign w:val="center"/>
          </w:tcPr>
          <w:p w14:paraId="6F8EB289">
            <w:pPr>
              <w:widowControl/>
              <w:spacing w:beforeLines="0" w:afterLines="0"/>
              <w:jc w:val="center"/>
              <w:textAlignment w:val="center"/>
              <w:rPr>
                <w:rFonts w:hint="eastAsia"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40"/>
                <w:szCs w:val="40"/>
                <w:lang w:bidi="ar"/>
              </w:rPr>
              <w:t>发展改革运行经费支出绩效自评表</w:t>
            </w:r>
          </w:p>
        </w:tc>
      </w:tr>
      <w:tr w14:paraId="01CA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57" w:hRule="atLeast"/>
          <w:jc w:val="center"/>
        </w:trPr>
        <w:tc>
          <w:tcPr>
            <w:tcW w:w="10436" w:type="dxa"/>
            <w:gridSpan w:val="24"/>
            <w:tcBorders>
              <w:top w:val="nil"/>
              <w:left w:val="nil"/>
              <w:bottom w:val="nil"/>
              <w:right w:val="nil"/>
              <w:tl2br w:val="nil"/>
              <w:tr2bl w:val="nil"/>
            </w:tcBorders>
            <w:noWrap w:val="0"/>
            <w:vAlign w:val="top"/>
          </w:tcPr>
          <w:p w14:paraId="77D9390F">
            <w:pPr>
              <w:widowControl/>
              <w:spacing w:beforeLines="0" w:afterLines="0"/>
              <w:jc w:val="center"/>
              <w:textAlignment w:val="top"/>
              <w:rPr>
                <w:rFonts w:hint="eastAsia" w:hAnsi="宋体" w:cs="宋体"/>
                <w:b/>
                <w:color w:val="000000"/>
                <w:sz w:val="21"/>
                <w:szCs w:val="21"/>
              </w:rPr>
            </w:pPr>
            <w:r>
              <w:rPr>
                <w:rFonts w:hint="eastAsia" w:hAnsi="宋体" w:cs="宋体"/>
                <w:b/>
                <w:color w:val="000000"/>
                <w:sz w:val="21"/>
                <w:szCs w:val="21"/>
                <w:lang w:bidi="ar"/>
              </w:rPr>
              <w:t>（ 2023年度）</w:t>
            </w:r>
          </w:p>
        </w:tc>
      </w:tr>
      <w:tr w14:paraId="6C55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397" w:hRule="atLeast"/>
          <w:jc w:val="center"/>
        </w:trPr>
        <w:tc>
          <w:tcPr>
            <w:tcW w:w="231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CA78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项目（政策）名称</w:t>
            </w:r>
          </w:p>
        </w:tc>
        <w:tc>
          <w:tcPr>
            <w:tcW w:w="8125"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D99D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发展改革运行经费</w:t>
            </w:r>
          </w:p>
        </w:tc>
      </w:tr>
      <w:tr w14:paraId="5313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340" w:hRule="atLeast"/>
          <w:jc w:val="center"/>
        </w:trPr>
        <w:tc>
          <w:tcPr>
            <w:tcW w:w="231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637C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主管部门</w:t>
            </w:r>
          </w:p>
        </w:tc>
        <w:tc>
          <w:tcPr>
            <w:tcW w:w="449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99C4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广元市昭化区发展和改革局</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B7D1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实施单位</w:t>
            </w:r>
          </w:p>
        </w:tc>
        <w:tc>
          <w:tcPr>
            <w:tcW w:w="239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EFF3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广元市昭化区发展和改革局</w:t>
            </w:r>
          </w:p>
        </w:tc>
      </w:tr>
      <w:tr w14:paraId="56A6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57" w:hRule="atLeast"/>
          <w:jc w:val="center"/>
        </w:trPr>
        <w:tc>
          <w:tcPr>
            <w:tcW w:w="2311" w:type="dxa"/>
            <w:gridSpan w:val="6"/>
            <w:vMerge w:val="restart"/>
            <w:tcBorders>
              <w:top w:val="single" w:color="000000" w:sz="4" w:space="0"/>
              <w:left w:val="single" w:color="000000" w:sz="4" w:space="0"/>
              <w:bottom w:val="nil"/>
              <w:right w:val="single" w:color="000000" w:sz="4" w:space="0"/>
              <w:tl2br w:val="nil"/>
              <w:tr2bl w:val="nil"/>
            </w:tcBorders>
            <w:noWrap w:val="0"/>
            <w:vAlign w:val="center"/>
          </w:tcPr>
          <w:p w14:paraId="5142BE7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项目（政策）资金（万元）</w:t>
            </w:r>
          </w:p>
        </w:tc>
        <w:tc>
          <w:tcPr>
            <w:tcW w:w="3152" w:type="dxa"/>
            <w:gridSpan w:val="7"/>
            <w:tcBorders>
              <w:top w:val="nil"/>
              <w:left w:val="single" w:color="000000" w:sz="4" w:space="0"/>
              <w:bottom w:val="single" w:color="000000" w:sz="4" w:space="0"/>
              <w:right w:val="single" w:color="000000" w:sz="4" w:space="0"/>
              <w:tl2br w:val="nil"/>
              <w:tr2bl w:val="nil"/>
            </w:tcBorders>
            <w:noWrap w:val="0"/>
            <w:vAlign w:val="center"/>
          </w:tcPr>
          <w:p w14:paraId="4A9AC31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年度预算数（万元）</w:t>
            </w:r>
          </w:p>
        </w:tc>
        <w:tc>
          <w:tcPr>
            <w:tcW w:w="1340" w:type="dxa"/>
            <w:gridSpan w:val="3"/>
            <w:tcBorders>
              <w:top w:val="nil"/>
              <w:left w:val="single" w:color="000000" w:sz="4" w:space="0"/>
              <w:bottom w:val="single" w:color="000000" w:sz="4" w:space="0"/>
              <w:right w:val="single" w:color="000000" w:sz="4" w:space="0"/>
              <w:tl2br w:val="nil"/>
              <w:tr2bl w:val="nil"/>
            </w:tcBorders>
            <w:noWrap w:val="0"/>
            <w:vAlign w:val="center"/>
          </w:tcPr>
          <w:p w14:paraId="7A47BF6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年初预算数</w:t>
            </w:r>
          </w:p>
        </w:tc>
        <w:tc>
          <w:tcPr>
            <w:tcW w:w="1240" w:type="dxa"/>
            <w:gridSpan w:val="3"/>
            <w:tcBorders>
              <w:top w:val="nil"/>
              <w:left w:val="single" w:color="000000" w:sz="4" w:space="0"/>
              <w:bottom w:val="single" w:color="000000" w:sz="4" w:space="0"/>
              <w:right w:val="single" w:color="000000" w:sz="4" w:space="0"/>
              <w:tl2br w:val="nil"/>
              <w:tr2bl w:val="nil"/>
            </w:tcBorders>
            <w:noWrap w:val="0"/>
            <w:vAlign w:val="center"/>
          </w:tcPr>
          <w:p w14:paraId="2CCCF4C1">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全年预算数</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9C16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全年执行数</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D0D5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执行率</w:t>
            </w:r>
          </w:p>
        </w:tc>
      </w:tr>
      <w:tr w14:paraId="0B1A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231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4378E3F6">
            <w:pPr>
              <w:spacing w:beforeLines="0" w:afterLines="0"/>
              <w:jc w:val="center"/>
              <w:rPr>
                <w:rFonts w:hint="eastAsia" w:hAnsi="宋体" w:cs="宋体"/>
                <w:color w:val="000000"/>
                <w:sz w:val="15"/>
                <w:szCs w:val="15"/>
              </w:rPr>
            </w:pPr>
          </w:p>
        </w:tc>
        <w:tc>
          <w:tcPr>
            <w:tcW w:w="31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959B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年度资金总额</w:t>
            </w:r>
          </w:p>
        </w:tc>
        <w:tc>
          <w:tcPr>
            <w:tcW w:w="13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8B96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83</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A704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83</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5E68D">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83</w:t>
            </w:r>
          </w:p>
        </w:tc>
        <w:tc>
          <w:tcPr>
            <w:tcW w:w="1556" w:type="dxa"/>
            <w:gridSpan w:val="3"/>
            <w:tcBorders>
              <w:top w:val="nil"/>
              <w:left w:val="single" w:color="000000" w:sz="4" w:space="0"/>
              <w:bottom w:val="single" w:color="000000" w:sz="4" w:space="0"/>
              <w:right w:val="single" w:color="000000" w:sz="4" w:space="0"/>
              <w:tl2br w:val="nil"/>
              <w:tr2bl w:val="nil"/>
            </w:tcBorders>
            <w:noWrap w:val="0"/>
            <w:vAlign w:val="center"/>
          </w:tcPr>
          <w:p w14:paraId="05C393B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r>
      <w:tr w14:paraId="5481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231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4F5B11F8">
            <w:pPr>
              <w:spacing w:beforeLines="0" w:afterLines="0"/>
              <w:jc w:val="center"/>
              <w:rPr>
                <w:rFonts w:hint="eastAsia" w:hAnsi="宋体" w:cs="宋体"/>
                <w:color w:val="000000"/>
                <w:sz w:val="15"/>
                <w:szCs w:val="15"/>
              </w:rPr>
            </w:pPr>
          </w:p>
        </w:tc>
        <w:tc>
          <w:tcPr>
            <w:tcW w:w="31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6588A">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（一）财政拨款小计</w:t>
            </w:r>
          </w:p>
        </w:tc>
        <w:tc>
          <w:tcPr>
            <w:tcW w:w="13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45EF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83</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4DC8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83</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9BC9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83</w:t>
            </w:r>
          </w:p>
        </w:tc>
        <w:tc>
          <w:tcPr>
            <w:tcW w:w="1556" w:type="dxa"/>
            <w:gridSpan w:val="3"/>
            <w:tcBorders>
              <w:top w:val="nil"/>
              <w:left w:val="single" w:color="000000" w:sz="4" w:space="0"/>
              <w:bottom w:val="single" w:color="000000" w:sz="4" w:space="0"/>
              <w:right w:val="single" w:color="000000" w:sz="4" w:space="0"/>
              <w:tl2br w:val="nil"/>
              <w:tr2bl w:val="nil"/>
            </w:tcBorders>
            <w:noWrap w:val="0"/>
            <w:vAlign w:val="center"/>
          </w:tcPr>
          <w:p w14:paraId="1022AE50">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r>
      <w:tr w14:paraId="0A45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231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2642CC12">
            <w:pPr>
              <w:spacing w:beforeLines="0" w:afterLines="0"/>
              <w:jc w:val="center"/>
              <w:rPr>
                <w:rFonts w:hint="eastAsia" w:hAnsi="宋体" w:cs="宋体"/>
                <w:color w:val="000000"/>
                <w:sz w:val="15"/>
                <w:szCs w:val="15"/>
              </w:rPr>
            </w:pPr>
          </w:p>
        </w:tc>
        <w:tc>
          <w:tcPr>
            <w:tcW w:w="31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3C6AA2">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 xml:space="preserve">   1.一般公共预算</w:t>
            </w:r>
          </w:p>
        </w:tc>
        <w:tc>
          <w:tcPr>
            <w:tcW w:w="13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33E3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83</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9A394">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83</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BBD6D">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83</w:t>
            </w:r>
          </w:p>
        </w:tc>
        <w:tc>
          <w:tcPr>
            <w:tcW w:w="1556" w:type="dxa"/>
            <w:gridSpan w:val="3"/>
            <w:tcBorders>
              <w:top w:val="nil"/>
              <w:left w:val="single" w:color="000000" w:sz="4" w:space="0"/>
              <w:bottom w:val="single" w:color="000000" w:sz="4" w:space="0"/>
              <w:right w:val="single" w:color="000000" w:sz="4" w:space="0"/>
              <w:tl2br w:val="nil"/>
              <w:tr2bl w:val="nil"/>
            </w:tcBorders>
            <w:noWrap w:val="0"/>
            <w:vAlign w:val="center"/>
          </w:tcPr>
          <w:p w14:paraId="1E87F7C1">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r>
      <w:tr w14:paraId="2CE3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231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450D75F4">
            <w:pPr>
              <w:spacing w:beforeLines="0" w:afterLines="0"/>
              <w:jc w:val="center"/>
              <w:rPr>
                <w:rFonts w:hint="eastAsia" w:hAnsi="宋体" w:cs="宋体"/>
                <w:color w:val="000000"/>
                <w:sz w:val="15"/>
                <w:szCs w:val="15"/>
              </w:rPr>
            </w:pPr>
          </w:p>
        </w:tc>
        <w:tc>
          <w:tcPr>
            <w:tcW w:w="31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27504">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 xml:space="preserve">   2.政府性基金</w:t>
            </w:r>
          </w:p>
        </w:tc>
        <w:tc>
          <w:tcPr>
            <w:tcW w:w="13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09716">
            <w:pPr>
              <w:spacing w:beforeLines="0" w:afterLines="0"/>
              <w:rPr>
                <w:rFonts w:hint="eastAsia" w:hAnsi="宋体" w:cs="宋体"/>
                <w:color w:val="000000"/>
                <w:sz w:val="15"/>
                <w:szCs w:val="15"/>
              </w:rPr>
            </w:pP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0B44D">
            <w:pPr>
              <w:spacing w:beforeLines="0" w:afterLines="0"/>
              <w:jc w:val="center"/>
              <w:rPr>
                <w:rFonts w:hint="eastAsia" w:hAnsi="宋体" w:cs="宋体"/>
                <w:color w:val="000000"/>
                <w:sz w:val="15"/>
                <w:szCs w:val="15"/>
              </w:rPr>
            </w:pP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BCA29">
            <w:pPr>
              <w:spacing w:beforeLines="0" w:afterLines="0"/>
              <w:jc w:val="center"/>
              <w:rPr>
                <w:rFonts w:hint="eastAsia" w:hAnsi="宋体" w:cs="宋体"/>
                <w:color w:val="000000"/>
                <w:sz w:val="15"/>
                <w:szCs w:val="15"/>
              </w:rPr>
            </w:pP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B1989">
            <w:pPr>
              <w:spacing w:beforeLines="0" w:afterLines="0"/>
              <w:jc w:val="center"/>
              <w:rPr>
                <w:rFonts w:hint="eastAsia" w:hAnsi="宋体" w:cs="宋体"/>
                <w:color w:val="000000"/>
                <w:sz w:val="15"/>
                <w:szCs w:val="15"/>
              </w:rPr>
            </w:pPr>
          </w:p>
        </w:tc>
      </w:tr>
      <w:tr w14:paraId="75CA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231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2BCE77A0">
            <w:pPr>
              <w:spacing w:beforeLines="0" w:afterLines="0"/>
              <w:jc w:val="center"/>
              <w:rPr>
                <w:rFonts w:hint="eastAsia" w:hAnsi="宋体" w:cs="宋体"/>
                <w:color w:val="000000"/>
                <w:sz w:val="15"/>
                <w:szCs w:val="15"/>
              </w:rPr>
            </w:pPr>
          </w:p>
        </w:tc>
        <w:tc>
          <w:tcPr>
            <w:tcW w:w="31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D0A5A">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 xml:space="preserve">   3.国有资本经营预算</w:t>
            </w:r>
          </w:p>
        </w:tc>
        <w:tc>
          <w:tcPr>
            <w:tcW w:w="13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97C4C">
            <w:pPr>
              <w:spacing w:beforeLines="0" w:afterLines="0"/>
              <w:rPr>
                <w:rFonts w:hint="eastAsia" w:hAnsi="宋体" w:cs="宋体"/>
                <w:color w:val="000000"/>
                <w:sz w:val="15"/>
                <w:szCs w:val="15"/>
              </w:rPr>
            </w:pP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96FCA">
            <w:pPr>
              <w:spacing w:beforeLines="0" w:afterLines="0"/>
              <w:jc w:val="center"/>
              <w:rPr>
                <w:rFonts w:hint="eastAsia" w:hAnsi="宋体" w:cs="宋体"/>
                <w:color w:val="000000"/>
                <w:sz w:val="15"/>
                <w:szCs w:val="15"/>
              </w:rPr>
            </w:pP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4A1E3">
            <w:pPr>
              <w:spacing w:beforeLines="0" w:afterLines="0"/>
              <w:jc w:val="center"/>
              <w:rPr>
                <w:rFonts w:hint="eastAsia" w:hAnsi="宋体" w:cs="宋体"/>
                <w:color w:val="000000"/>
                <w:sz w:val="15"/>
                <w:szCs w:val="15"/>
              </w:rPr>
            </w:pP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EB82D">
            <w:pPr>
              <w:spacing w:beforeLines="0" w:afterLines="0"/>
              <w:jc w:val="center"/>
              <w:rPr>
                <w:rFonts w:hint="eastAsia" w:hAnsi="宋体" w:cs="宋体"/>
                <w:color w:val="000000"/>
                <w:sz w:val="15"/>
                <w:szCs w:val="15"/>
              </w:rPr>
            </w:pPr>
          </w:p>
        </w:tc>
      </w:tr>
      <w:tr w14:paraId="30E9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27" w:hRule="atLeast"/>
          <w:jc w:val="center"/>
        </w:trPr>
        <w:tc>
          <w:tcPr>
            <w:tcW w:w="2311"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38A7E3CA">
            <w:pPr>
              <w:spacing w:beforeLines="0" w:afterLines="0"/>
              <w:jc w:val="center"/>
              <w:rPr>
                <w:rFonts w:hint="eastAsia" w:hAnsi="宋体" w:cs="宋体"/>
                <w:color w:val="000000"/>
                <w:sz w:val="15"/>
                <w:szCs w:val="15"/>
              </w:rPr>
            </w:pPr>
          </w:p>
        </w:tc>
        <w:tc>
          <w:tcPr>
            <w:tcW w:w="31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23CB3">
            <w:pPr>
              <w:widowControl/>
              <w:spacing w:beforeLines="0" w:afterLines="0"/>
              <w:textAlignment w:val="center"/>
              <w:rPr>
                <w:rFonts w:hint="eastAsia" w:hAnsi="宋体" w:cs="宋体"/>
                <w:color w:val="000000"/>
                <w:sz w:val="15"/>
                <w:szCs w:val="15"/>
              </w:rPr>
            </w:pPr>
            <w:r>
              <w:rPr>
                <w:rFonts w:hint="eastAsia" w:hAnsi="宋体" w:cs="宋体"/>
                <w:color w:val="000000"/>
                <w:sz w:val="15"/>
                <w:szCs w:val="15"/>
                <w:lang w:bidi="ar"/>
              </w:rPr>
              <w:t>（二）其他资金</w:t>
            </w:r>
          </w:p>
        </w:tc>
        <w:tc>
          <w:tcPr>
            <w:tcW w:w="13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7EB55">
            <w:pPr>
              <w:spacing w:beforeLines="0" w:afterLines="0"/>
              <w:rPr>
                <w:rFonts w:hint="eastAsia" w:hAnsi="宋体" w:cs="宋体"/>
                <w:color w:val="000000"/>
                <w:sz w:val="15"/>
                <w:szCs w:val="15"/>
              </w:rPr>
            </w:pP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3D7FC">
            <w:pPr>
              <w:spacing w:beforeLines="0" w:afterLines="0"/>
              <w:jc w:val="center"/>
              <w:rPr>
                <w:rFonts w:hint="eastAsia" w:hAnsi="宋体" w:cs="宋体"/>
                <w:color w:val="000000"/>
                <w:sz w:val="15"/>
                <w:szCs w:val="15"/>
              </w:rPr>
            </w:pP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E971D">
            <w:pPr>
              <w:spacing w:beforeLines="0" w:afterLines="0"/>
              <w:jc w:val="center"/>
              <w:rPr>
                <w:rFonts w:hint="eastAsia" w:hAnsi="宋体" w:cs="宋体"/>
                <w:color w:val="000000"/>
                <w:sz w:val="15"/>
                <w:szCs w:val="15"/>
              </w:rPr>
            </w:pP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8E182">
            <w:pPr>
              <w:spacing w:beforeLines="0" w:afterLines="0"/>
              <w:jc w:val="center"/>
              <w:rPr>
                <w:rFonts w:hint="eastAsia" w:hAnsi="宋体" w:cs="宋体"/>
                <w:color w:val="000000"/>
                <w:sz w:val="15"/>
                <w:szCs w:val="15"/>
              </w:rPr>
            </w:pPr>
          </w:p>
        </w:tc>
      </w:tr>
      <w:tr w14:paraId="4282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57" w:hRule="atLeast"/>
          <w:jc w:val="center"/>
        </w:trPr>
        <w:tc>
          <w:tcPr>
            <w:tcW w:w="1471"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42244">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年度总体目标</w:t>
            </w:r>
          </w:p>
        </w:tc>
        <w:tc>
          <w:tcPr>
            <w:tcW w:w="533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2E00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预期目标</w:t>
            </w:r>
          </w:p>
        </w:tc>
        <w:tc>
          <w:tcPr>
            <w:tcW w:w="363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C1E2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全年实际完成情况</w:t>
            </w:r>
          </w:p>
        </w:tc>
      </w:tr>
      <w:tr w14:paraId="230C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57"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6CFC5">
            <w:pPr>
              <w:spacing w:beforeLines="0" w:afterLines="0"/>
              <w:jc w:val="center"/>
              <w:rPr>
                <w:rFonts w:hint="eastAsia" w:hAnsi="宋体" w:cs="宋体"/>
                <w:color w:val="000000"/>
                <w:sz w:val="15"/>
                <w:szCs w:val="15"/>
              </w:rPr>
            </w:pPr>
          </w:p>
        </w:tc>
        <w:tc>
          <w:tcPr>
            <w:tcW w:w="533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324C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2023年，为全力保障发展和改革各项业务工作顺利开展，我局申请预算2023年业务推进工作经费83万元。按照发改各部门职能职责，全年争取以工代赈不少于3个，争取项目资金不少于800万元，建设农村道路、渠系、山坪塘、蓄水池、土地整理等基础设施，吸纳农村人口就近就地务工增收。全年完成固定资产投资任务不少于70亿元，监管检查指导全区固定资产入库项目，使得项目建成后能够持续服务群众生产生活，提高居民收入，解决居民具体问题。完成项目前期谋划包装入库不少于8个，把项目投资作为稳定经济增长的重要举措，加强重大项目储备，加快推进重大工程项目实施，全面完成市下项目投资目标任务。每月组织召开全区经济运行调度会议1次，研判分析经济运行情况，充分筹备会议资料，保障区委财经委员会顺利召开，推动重要政策、重大项目、重点工作落地见效。每月对全区居民水电气等生活必需品价格监督检查，完成价格监测上报，进一步完善价格管理，稳定市场环境，提升居民满意度。每月对能源企业进行安全检查，确保其安全合规卫生生产，有效助推生态环境保护，提高居民生活环境质量。并完成区级粮油储备4240吨，保障全区粮食及时供应，维护正常的社会秩序和社会稳定。全年处理招投标信访案件数不少于10件，持续巩固提升昭化区工程招投标领域突出问题系统治理成效，进一步推动形成制度规则更加明晰、市场秩序更加规范、竞争环境更加公平、人民群众更加满意的招投标领域营商环境。</w:t>
            </w:r>
          </w:p>
        </w:tc>
        <w:tc>
          <w:tcPr>
            <w:tcW w:w="363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1B21D">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按照发改各部门职能职责，全年完成各项工作任务，争取以工代赈项目3个，资金共计不少于1400万元，建设农村道路、渠系、山坪塘、蓄水池、土地整理等基础设施，吸纳农村人口就近就地务工增收；全年累计完成区本级固定资产投资36.61亿元、超市下投资目标4600万元，完成全年市下项目项目投资目标任务；统筹超额完成项目储备任务，全区全年滚动谋划储备项目306个、总投资1312亿元，项目开工转化率达48%；全面召开全区经济运行调度会12次，研判分析经济运行情况，保障区委财经委员会顺利召开，推动重要政策、重大项目、重点工作落地见效；按月对全区居民水电气等生活必需品价格监督检查，完成价格监测上报，进一步完善价格管理，稳定市场环境，提升居民满意度。每月对能源企业进行安全检查，确保其安全合规卫生生产，有效助推生态环境保护，提高居民生活环境质量。并完成区级粮油储备4240吨，保障全区粮食及时供应，维护正常的社会秩序和社会稳定。全年处理招投标信访案件数28件，持续巩固提升昭化区工程招投标领域突出问题系统治理成效，进一步推动形成制度规则更加明晰、市场秩序。</w:t>
            </w:r>
          </w:p>
        </w:tc>
      </w:tr>
      <w:tr w14:paraId="76E8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57" w:hRule="atLeast"/>
          <w:jc w:val="center"/>
        </w:trPr>
        <w:tc>
          <w:tcPr>
            <w:tcW w:w="1471"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D4FD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绩效</w:t>
            </w:r>
            <w:r>
              <w:rPr>
                <w:rFonts w:hint="eastAsia" w:hAnsi="宋体" w:cs="宋体"/>
                <w:color w:val="000000"/>
                <w:sz w:val="15"/>
                <w:szCs w:val="15"/>
                <w:lang w:bidi="ar"/>
              </w:rPr>
              <w:br w:type="textWrapping"/>
            </w:r>
            <w:r>
              <w:rPr>
                <w:rFonts w:hint="eastAsia" w:hAnsi="宋体" w:cs="宋体"/>
                <w:color w:val="000000"/>
                <w:sz w:val="15"/>
                <w:szCs w:val="15"/>
                <w:lang w:bidi="ar"/>
              </w:rPr>
              <w:t>指标</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1246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一级指标</w:t>
            </w:r>
          </w:p>
        </w:tc>
        <w:tc>
          <w:tcPr>
            <w:tcW w:w="201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620A1">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二级指标</w:t>
            </w: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8510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三级指标</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615A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年度指标值</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74050">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实际完成值</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2497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偏差原因分析及改进措施</w:t>
            </w:r>
          </w:p>
        </w:tc>
      </w:tr>
      <w:tr w14:paraId="41EB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447D3">
            <w:pPr>
              <w:spacing w:beforeLines="0" w:afterLines="0"/>
              <w:jc w:val="center"/>
              <w:rPr>
                <w:rFonts w:hint="eastAsia" w:hAnsi="宋体" w:cs="宋体"/>
                <w:color w:val="000000"/>
                <w:sz w:val="15"/>
                <w:szCs w:val="15"/>
              </w:rPr>
            </w:pPr>
          </w:p>
        </w:tc>
        <w:tc>
          <w:tcPr>
            <w:tcW w:w="840"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FC97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产出指标</w:t>
            </w:r>
          </w:p>
        </w:tc>
        <w:tc>
          <w:tcPr>
            <w:tcW w:w="2016"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52A0F4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数量指标</w:t>
            </w: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AD06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完成招投标案件处理数</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50465">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≥10件</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82DD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28件</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37086">
            <w:pPr>
              <w:spacing w:beforeLines="0" w:afterLines="0"/>
              <w:jc w:val="center"/>
              <w:rPr>
                <w:rFonts w:hint="eastAsia" w:hAnsi="宋体" w:cs="宋体"/>
                <w:color w:val="000000"/>
                <w:sz w:val="15"/>
                <w:szCs w:val="15"/>
              </w:rPr>
            </w:pPr>
          </w:p>
        </w:tc>
      </w:tr>
      <w:tr w14:paraId="122F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17A2A">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65453">
            <w:pPr>
              <w:spacing w:beforeLines="0" w:afterLines="0"/>
              <w:jc w:val="center"/>
              <w:rPr>
                <w:rFonts w:hint="eastAsia" w:hAnsi="宋体" w:cs="宋体"/>
                <w:color w:val="000000"/>
                <w:sz w:val="15"/>
                <w:szCs w:val="15"/>
              </w:rPr>
            </w:pPr>
          </w:p>
        </w:tc>
        <w:tc>
          <w:tcPr>
            <w:tcW w:w="201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7E7A8D">
            <w:pPr>
              <w:spacing w:beforeLines="0" w:afterLines="0"/>
              <w:jc w:val="center"/>
              <w:rPr>
                <w:rFonts w:hint="eastAsia" w:hAnsi="宋体" w:cs="宋体"/>
                <w:color w:val="000000"/>
                <w:sz w:val="15"/>
                <w:szCs w:val="15"/>
              </w:rPr>
            </w:pP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2A3D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年召开经济运行调度会议</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7F5F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=12次</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29D4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15次</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24BB7">
            <w:pPr>
              <w:spacing w:beforeLines="0" w:afterLines="0"/>
              <w:jc w:val="center"/>
              <w:rPr>
                <w:rFonts w:hint="eastAsia" w:hAnsi="宋体" w:cs="宋体"/>
                <w:color w:val="000000"/>
                <w:sz w:val="15"/>
                <w:szCs w:val="15"/>
              </w:rPr>
            </w:pPr>
          </w:p>
        </w:tc>
      </w:tr>
      <w:tr w14:paraId="767B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4C2CD">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B4EEF">
            <w:pPr>
              <w:spacing w:beforeLines="0" w:afterLines="0"/>
              <w:jc w:val="center"/>
              <w:rPr>
                <w:rFonts w:hint="eastAsia" w:hAnsi="宋体" w:cs="宋体"/>
                <w:color w:val="000000"/>
                <w:sz w:val="15"/>
                <w:szCs w:val="15"/>
              </w:rPr>
            </w:pPr>
          </w:p>
        </w:tc>
        <w:tc>
          <w:tcPr>
            <w:tcW w:w="201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BE8181C">
            <w:pPr>
              <w:spacing w:beforeLines="0" w:afterLines="0"/>
              <w:jc w:val="center"/>
              <w:rPr>
                <w:rFonts w:hint="eastAsia" w:hAnsi="宋体" w:cs="宋体"/>
                <w:color w:val="000000"/>
                <w:sz w:val="15"/>
                <w:szCs w:val="15"/>
              </w:rPr>
            </w:pP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DAAB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完成全区水、电、气价格的监督管理，各镇的生活必需品价格监测</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3EBE1">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≥12次</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F8054">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12次</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978C3">
            <w:pPr>
              <w:spacing w:beforeLines="0" w:afterLines="0"/>
              <w:jc w:val="center"/>
              <w:rPr>
                <w:rFonts w:hint="eastAsia" w:hAnsi="宋体" w:cs="宋体"/>
                <w:color w:val="000000"/>
                <w:sz w:val="15"/>
                <w:szCs w:val="15"/>
              </w:rPr>
            </w:pPr>
          </w:p>
        </w:tc>
      </w:tr>
      <w:tr w14:paraId="7F35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4E1B3">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A1764">
            <w:pPr>
              <w:spacing w:beforeLines="0" w:afterLines="0"/>
              <w:jc w:val="center"/>
              <w:rPr>
                <w:rFonts w:hint="eastAsia" w:hAnsi="宋体" w:cs="宋体"/>
                <w:color w:val="000000"/>
                <w:sz w:val="15"/>
                <w:szCs w:val="15"/>
              </w:rPr>
            </w:pPr>
          </w:p>
        </w:tc>
        <w:tc>
          <w:tcPr>
            <w:tcW w:w="201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0633660">
            <w:pPr>
              <w:spacing w:beforeLines="0" w:afterLines="0"/>
              <w:jc w:val="center"/>
              <w:rPr>
                <w:rFonts w:hint="eastAsia" w:hAnsi="宋体" w:cs="宋体"/>
                <w:color w:val="000000"/>
                <w:sz w:val="15"/>
                <w:szCs w:val="15"/>
              </w:rPr>
            </w:pP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E519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争取以工代赈项目个数</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11BC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≥3个</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3DB8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3个</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9308B">
            <w:pPr>
              <w:spacing w:beforeLines="0" w:afterLines="0"/>
              <w:jc w:val="center"/>
              <w:rPr>
                <w:rFonts w:hint="eastAsia" w:hAnsi="宋体" w:cs="宋体"/>
                <w:color w:val="000000"/>
                <w:sz w:val="15"/>
                <w:szCs w:val="15"/>
              </w:rPr>
            </w:pPr>
          </w:p>
        </w:tc>
      </w:tr>
      <w:tr w14:paraId="170E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67777">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8A3EB">
            <w:pPr>
              <w:spacing w:beforeLines="0" w:afterLines="0"/>
              <w:jc w:val="center"/>
              <w:rPr>
                <w:rFonts w:hint="eastAsia" w:hAnsi="宋体" w:cs="宋体"/>
                <w:color w:val="000000"/>
                <w:sz w:val="15"/>
                <w:szCs w:val="15"/>
              </w:rPr>
            </w:pPr>
          </w:p>
        </w:tc>
        <w:tc>
          <w:tcPr>
            <w:tcW w:w="201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987E414">
            <w:pPr>
              <w:spacing w:beforeLines="0" w:afterLines="0"/>
              <w:jc w:val="center"/>
              <w:rPr>
                <w:rFonts w:hint="eastAsia" w:hAnsi="宋体" w:cs="宋体"/>
                <w:color w:val="000000"/>
                <w:sz w:val="15"/>
                <w:szCs w:val="15"/>
              </w:rPr>
            </w:pP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50902">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项目前期谋划包装入库</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CCCB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≥8个</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4639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8个</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50612">
            <w:pPr>
              <w:spacing w:beforeLines="0" w:afterLines="0"/>
              <w:jc w:val="center"/>
              <w:rPr>
                <w:rFonts w:hint="eastAsia" w:hAnsi="宋体" w:cs="宋体"/>
                <w:color w:val="000000"/>
                <w:sz w:val="15"/>
                <w:szCs w:val="15"/>
              </w:rPr>
            </w:pPr>
          </w:p>
        </w:tc>
      </w:tr>
      <w:tr w14:paraId="246B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7A449">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5F27E">
            <w:pPr>
              <w:spacing w:beforeLines="0" w:afterLines="0"/>
              <w:jc w:val="center"/>
              <w:rPr>
                <w:rFonts w:hint="eastAsia" w:hAnsi="宋体" w:cs="宋体"/>
                <w:color w:val="000000"/>
                <w:sz w:val="15"/>
                <w:szCs w:val="15"/>
              </w:rPr>
            </w:pPr>
          </w:p>
        </w:tc>
        <w:tc>
          <w:tcPr>
            <w:tcW w:w="201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F31BDD9">
            <w:pPr>
              <w:spacing w:beforeLines="0" w:afterLines="0"/>
              <w:jc w:val="center"/>
              <w:rPr>
                <w:rFonts w:hint="eastAsia" w:hAnsi="宋体" w:cs="宋体"/>
                <w:color w:val="000000"/>
                <w:sz w:val="15"/>
                <w:szCs w:val="15"/>
              </w:rPr>
            </w:pP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7B8C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完成全区能源企业的监督检查及上报工作</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C3EE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≥12次</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EA97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12次</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C5395">
            <w:pPr>
              <w:spacing w:beforeLines="0" w:afterLines="0"/>
              <w:jc w:val="center"/>
              <w:rPr>
                <w:rFonts w:hint="eastAsia" w:hAnsi="宋体" w:cs="宋体"/>
                <w:color w:val="000000"/>
                <w:sz w:val="15"/>
                <w:szCs w:val="15"/>
              </w:rPr>
            </w:pPr>
          </w:p>
        </w:tc>
      </w:tr>
      <w:tr w14:paraId="2C29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A3C99">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CA4F6">
            <w:pPr>
              <w:spacing w:beforeLines="0" w:afterLines="0"/>
              <w:jc w:val="center"/>
              <w:rPr>
                <w:rFonts w:hint="eastAsia" w:hAnsi="宋体" w:cs="宋体"/>
                <w:color w:val="000000"/>
                <w:sz w:val="15"/>
                <w:szCs w:val="15"/>
              </w:rPr>
            </w:pPr>
          </w:p>
        </w:tc>
        <w:tc>
          <w:tcPr>
            <w:tcW w:w="201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A68D49C">
            <w:pPr>
              <w:spacing w:beforeLines="0" w:afterLines="0"/>
              <w:jc w:val="center"/>
              <w:rPr>
                <w:rFonts w:hint="eastAsia" w:hAnsi="宋体" w:cs="宋体"/>
                <w:color w:val="000000"/>
                <w:sz w:val="15"/>
                <w:szCs w:val="15"/>
              </w:rPr>
            </w:pP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1464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区级粮油储备</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E616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=4240吨</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DA81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4240吨</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CC305">
            <w:pPr>
              <w:spacing w:beforeLines="0" w:afterLines="0"/>
              <w:jc w:val="center"/>
              <w:rPr>
                <w:rFonts w:hint="eastAsia" w:hAnsi="宋体" w:cs="宋体"/>
                <w:color w:val="000000"/>
                <w:sz w:val="15"/>
                <w:szCs w:val="15"/>
              </w:rPr>
            </w:pPr>
          </w:p>
        </w:tc>
      </w:tr>
      <w:tr w14:paraId="2C9B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6E8BF">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685FC">
            <w:pPr>
              <w:spacing w:beforeLines="0" w:afterLines="0"/>
              <w:jc w:val="center"/>
              <w:rPr>
                <w:rFonts w:hint="eastAsia" w:hAnsi="宋体" w:cs="宋体"/>
                <w:color w:val="000000"/>
                <w:sz w:val="15"/>
                <w:szCs w:val="15"/>
              </w:rPr>
            </w:pPr>
          </w:p>
        </w:tc>
        <w:tc>
          <w:tcPr>
            <w:tcW w:w="2016"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C32684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质量指标</w:t>
            </w: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C6C0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各类监管工作达标率</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5C34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≥95%</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BBED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96%</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BA074">
            <w:pPr>
              <w:spacing w:beforeLines="0" w:afterLines="0"/>
              <w:jc w:val="center"/>
              <w:rPr>
                <w:rFonts w:hint="eastAsia" w:hAnsi="宋体" w:cs="宋体"/>
                <w:color w:val="000000"/>
                <w:sz w:val="15"/>
                <w:szCs w:val="15"/>
              </w:rPr>
            </w:pPr>
          </w:p>
        </w:tc>
      </w:tr>
      <w:tr w14:paraId="4B13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BFCC4">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EECF7">
            <w:pPr>
              <w:spacing w:beforeLines="0" w:afterLines="0"/>
              <w:jc w:val="center"/>
              <w:rPr>
                <w:rFonts w:hint="eastAsia" w:hAnsi="宋体" w:cs="宋体"/>
                <w:color w:val="000000"/>
                <w:sz w:val="15"/>
                <w:szCs w:val="15"/>
              </w:rPr>
            </w:pPr>
          </w:p>
        </w:tc>
        <w:tc>
          <w:tcPr>
            <w:tcW w:w="201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6A6B7E8">
            <w:pPr>
              <w:spacing w:beforeLines="0" w:afterLines="0"/>
              <w:jc w:val="center"/>
              <w:rPr>
                <w:rFonts w:hint="eastAsia" w:hAnsi="宋体" w:cs="宋体"/>
                <w:color w:val="000000"/>
                <w:sz w:val="15"/>
                <w:szCs w:val="15"/>
              </w:rPr>
            </w:pP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E725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粮油储备质量合格率</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1F982">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4D90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D0AF3">
            <w:pPr>
              <w:spacing w:beforeLines="0" w:afterLines="0"/>
              <w:jc w:val="center"/>
              <w:rPr>
                <w:rFonts w:hint="eastAsia" w:hAnsi="宋体" w:cs="宋体"/>
                <w:color w:val="000000"/>
                <w:sz w:val="15"/>
                <w:szCs w:val="15"/>
              </w:rPr>
            </w:pPr>
          </w:p>
        </w:tc>
      </w:tr>
      <w:tr w14:paraId="7EC4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F03C2">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26257">
            <w:pPr>
              <w:spacing w:beforeLines="0" w:afterLines="0"/>
              <w:jc w:val="center"/>
              <w:rPr>
                <w:rFonts w:hint="eastAsia" w:hAnsi="宋体" w:cs="宋体"/>
                <w:color w:val="000000"/>
                <w:sz w:val="15"/>
                <w:szCs w:val="15"/>
              </w:rPr>
            </w:pPr>
          </w:p>
        </w:tc>
        <w:tc>
          <w:tcPr>
            <w:tcW w:w="201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FA05BB7">
            <w:pPr>
              <w:spacing w:beforeLines="0" w:afterLines="0"/>
              <w:jc w:val="center"/>
              <w:rPr>
                <w:rFonts w:hint="eastAsia" w:hAnsi="宋体" w:cs="宋体"/>
                <w:color w:val="000000"/>
                <w:sz w:val="15"/>
                <w:szCs w:val="15"/>
              </w:rPr>
            </w:pP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559D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招投标案件办结率</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EDC3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B3FC4">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100%</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61BA1">
            <w:pPr>
              <w:spacing w:beforeLines="0" w:afterLines="0"/>
              <w:jc w:val="center"/>
              <w:rPr>
                <w:rFonts w:hint="eastAsia" w:hAnsi="宋体" w:cs="宋体"/>
                <w:color w:val="000000"/>
                <w:sz w:val="15"/>
                <w:szCs w:val="15"/>
              </w:rPr>
            </w:pPr>
          </w:p>
        </w:tc>
      </w:tr>
      <w:tr w14:paraId="4B92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1F7BF">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ECFCA">
            <w:pPr>
              <w:spacing w:beforeLines="0" w:afterLines="0"/>
              <w:jc w:val="center"/>
              <w:rPr>
                <w:rFonts w:hint="eastAsia" w:hAnsi="宋体" w:cs="宋体"/>
                <w:color w:val="000000"/>
                <w:sz w:val="15"/>
                <w:szCs w:val="15"/>
              </w:rPr>
            </w:pPr>
          </w:p>
        </w:tc>
        <w:tc>
          <w:tcPr>
            <w:tcW w:w="2016"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09F944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时效指标</w:t>
            </w: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0D5A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每月监管工作上报时间</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4E517">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≤28日</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72EA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28日</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75EFE">
            <w:pPr>
              <w:spacing w:beforeLines="0" w:afterLines="0"/>
              <w:jc w:val="center"/>
              <w:rPr>
                <w:rFonts w:hint="eastAsia" w:hAnsi="宋体" w:cs="宋体"/>
                <w:color w:val="000000"/>
                <w:sz w:val="15"/>
                <w:szCs w:val="15"/>
              </w:rPr>
            </w:pPr>
          </w:p>
        </w:tc>
      </w:tr>
      <w:tr w14:paraId="365F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227E2">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8A8E7">
            <w:pPr>
              <w:spacing w:beforeLines="0" w:afterLines="0"/>
              <w:jc w:val="center"/>
              <w:rPr>
                <w:rFonts w:hint="eastAsia" w:hAnsi="宋体" w:cs="宋体"/>
                <w:color w:val="000000"/>
                <w:sz w:val="15"/>
                <w:szCs w:val="15"/>
              </w:rPr>
            </w:pPr>
          </w:p>
        </w:tc>
        <w:tc>
          <w:tcPr>
            <w:tcW w:w="201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02D7725">
            <w:pPr>
              <w:spacing w:beforeLines="0" w:afterLines="0"/>
              <w:jc w:val="center"/>
              <w:rPr>
                <w:rFonts w:hint="eastAsia" w:hAnsi="宋体" w:cs="宋体"/>
                <w:color w:val="000000"/>
                <w:sz w:val="15"/>
                <w:szCs w:val="15"/>
              </w:rPr>
            </w:pP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6726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业务推进完成及时率</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9937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≥96%</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B811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98%</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52E7A">
            <w:pPr>
              <w:spacing w:beforeLines="0" w:afterLines="0"/>
              <w:jc w:val="center"/>
              <w:rPr>
                <w:rFonts w:hint="eastAsia" w:hAnsi="宋体" w:cs="宋体"/>
                <w:color w:val="000000"/>
                <w:sz w:val="15"/>
                <w:szCs w:val="15"/>
              </w:rPr>
            </w:pPr>
          </w:p>
        </w:tc>
      </w:tr>
      <w:tr w14:paraId="506D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FCAA6">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98A5F">
            <w:pPr>
              <w:spacing w:beforeLines="0" w:afterLines="0"/>
              <w:jc w:val="center"/>
              <w:rPr>
                <w:rFonts w:hint="eastAsia" w:hAnsi="宋体" w:cs="宋体"/>
                <w:color w:val="000000"/>
                <w:sz w:val="15"/>
                <w:szCs w:val="15"/>
              </w:rPr>
            </w:pPr>
          </w:p>
        </w:tc>
        <w:tc>
          <w:tcPr>
            <w:tcW w:w="2016"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02ED12F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经济成本指标</w:t>
            </w: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E185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业务推进所需差旅费、培训费、会议费等成本控制额</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0BD6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≤83万元</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14A4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83万元</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2C29B">
            <w:pPr>
              <w:spacing w:beforeLines="0" w:afterLines="0"/>
              <w:jc w:val="center"/>
              <w:rPr>
                <w:rFonts w:hint="eastAsia" w:hAnsi="宋体" w:cs="宋体"/>
                <w:color w:val="000000"/>
                <w:sz w:val="15"/>
                <w:szCs w:val="15"/>
              </w:rPr>
            </w:pPr>
          </w:p>
        </w:tc>
      </w:tr>
      <w:tr w14:paraId="68DD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9CD9E">
            <w:pPr>
              <w:spacing w:beforeLines="0" w:afterLines="0"/>
              <w:jc w:val="center"/>
              <w:rPr>
                <w:rFonts w:hint="eastAsia" w:hAnsi="宋体" w:cs="宋体"/>
                <w:color w:val="000000"/>
                <w:sz w:val="15"/>
                <w:szCs w:val="15"/>
              </w:rPr>
            </w:pPr>
          </w:p>
        </w:tc>
        <w:tc>
          <w:tcPr>
            <w:tcW w:w="840"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A3A80">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效益指标</w:t>
            </w:r>
          </w:p>
        </w:tc>
        <w:tc>
          <w:tcPr>
            <w:tcW w:w="2016" w:type="dxa"/>
            <w:gridSpan w:val="5"/>
            <w:tcBorders>
              <w:top w:val="single" w:color="000000" w:sz="4" w:space="0"/>
              <w:left w:val="single" w:color="000000" w:sz="4" w:space="0"/>
              <w:bottom w:val="nil"/>
              <w:right w:val="single" w:color="000000" w:sz="4" w:space="0"/>
              <w:tl2br w:val="nil"/>
              <w:tr2bl w:val="nil"/>
            </w:tcBorders>
            <w:noWrap w:val="0"/>
            <w:vAlign w:val="center"/>
          </w:tcPr>
          <w:p w14:paraId="52098CF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经济效益指标</w:t>
            </w: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7B56E">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以工代赈项目实现务工农民月增收</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6C3E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≥300元/人</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BED82">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350元/人</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3115F">
            <w:pPr>
              <w:spacing w:beforeLines="0" w:afterLines="0"/>
              <w:jc w:val="center"/>
              <w:rPr>
                <w:rFonts w:hint="eastAsia" w:hAnsi="宋体" w:cs="宋体"/>
                <w:color w:val="000000"/>
                <w:sz w:val="15"/>
                <w:szCs w:val="15"/>
              </w:rPr>
            </w:pPr>
          </w:p>
        </w:tc>
      </w:tr>
      <w:tr w14:paraId="34E1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85AF7">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54CFB">
            <w:pPr>
              <w:spacing w:beforeLines="0" w:afterLines="0"/>
              <w:jc w:val="center"/>
              <w:rPr>
                <w:rFonts w:hint="eastAsia" w:hAnsi="宋体" w:cs="宋体"/>
                <w:color w:val="000000"/>
                <w:sz w:val="15"/>
                <w:szCs w:val="15"/>
              </w:rPr>
            </w:pPr>
          </w:p>
        </w:tc>
        <w:tc>
          <w:tcPr>
            <w:tcW w:w="2016"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2F523AF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生态效益指标</w:t>
            </w: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94D18">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项目区生态环境质量提升率</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97EF0">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≥95%</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C773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98%</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3444D">
            <w:pPr>
              <w:spacing w:beforeLines="0" w:afterLines="0"/>
              <w:jc w:val="center"/>
              <w:rPr>
                <w:rFonts w:hint="eastAsia" w:hAnsi="宋体" w:cs="宋体"/>
                <w:color w:val="000000"/>
                <w:sz w:val="15"/>
                <w:szCs w:val="15"/>
              </w:rPr>
            </w:pPr>
          </w:p>
        </w:tc>
      </w:tr>
      <w:tr w14:paraId="22A7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D04B9">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49A8F">
            <w:pPr>
              <w:spacing w:beforeLines="0" w:afterLines="0"/>
              <w:jc w:val="center"/>
              <w:rPr>
                <w:rFonts w:hint="eastAsia" w:hAnsi="宋体" w:cs="宋体"/>
                <w:color w:val="000000"/>
                <w:sz w:val="15"/>
                <w:szCs w:val="15"/>
              </w:rPr>
            </w:pPr>
          </w:p>
        </w:tc>
        <w:tc>
          <w:tcPr>
            <w:tcW w:w="2016"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367AE9E2">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社会效益指标</w:t>
            </w: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79D9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生活必需品价格浮动率</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0994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≤5%</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6E6B1">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4%</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0FB86">
            <w:pPr>
              <w:spacing w:beforeLines="0" w:afterLines="0"/>
              <w:jc w:val="center"/>
              <w:rPr>
                <w:rFonts w:hint="eastAsia" w:hAnsi="宋体" w:cs="宋体"/>
                <w:color w:val="000000"/>
                <w:sz w:val="15"/>
                <w:szCs w:val="15"/>
              </w:rPr>
            </w:pPr>
          </w:p>
        </w:tc>
      </w:tr>
      <w:tr w14:paraId="0B07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2008F">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EFC3F">
            <w:pPr>
              <w:spacing w:beforeLines="0" w:afterLines="0"/>
              <w:jc w:val="center"/>
              <w:rPr>
                <w:rFonts w:hint="eastAsia" w:hAnsi="宋体" w:cs="宋体"/>
                <w:color w:val="000000"/>
                <w:sz w:val="15"/>
                <w:szCs w:val="15"/>
              </w:rPr>
            </w:pPr>
          </w:p>
        </w:tc>
        <w:tc>
          <w:tcPr>
            <w:tcW w:w="2016"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27A08C5B">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可持续影响指标</w:t>
            </w: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2E83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可持续效果</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B58D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≥1年</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84B89">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1年</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03CA8">
            <w:pPr>
              <w:spacing w:beforeLines="0" w:afterLines="0"/>
              <w:jc w:val="center"/>
              <w:rPr>
                <w:rFonts w:hint="eastAsia" w:hAnsi="宋体" w:cs="宋体"/>
                <w:color w:val="000000"/>
                <w:sz w:val="15"/>
                <w:szCs w:val="15"/>
              </w:rPr>
            </w:pPr>
          </w:p>
        </w:tc>
      </w:tr>
      <w:tr w14:paraId="74AA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31015">
            <w:pPr>
              <w:spacing w:beforeLines="0" w:afterLines="0"/>
              <w:jc w:val="center"/>
              <w:rPr>
                <w:rFonts w:hint="eastAsia" w:hAnsi="宋体" w:cs="宋体"/>
                <w:color w:val="000000"/>
                <w:sz w:val="15"/>
                <w:szCs w:val="15"/>
              </w:rPr>
            </w:pPr>
          </w:p>
        </w:tc>
        <w:tc>
          <w:tcPr>
            <w:tcW w:w="840"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F8FA3">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满意度</w:t>
            </w:r>
            <w:r>
              <w:rPr>
                <w:rFonts w:hint="eastAsia" w:hAnsi="宋体" w:cs="宋体"/>
                <w:color w:val="000000"/>
                <w:sz w:val="15"/>
                <w:szCs w:val="15"/>
                <w:lang w:bidi="ar"/>
              </w:rPr>
              <w:br w:type="textWrapping"/>
            </w:r>
            <w:r>
              <w:rPr>
                <w:rFonts w:hint="eastAsia" w:hAnsi="宋体" w:cs="宋体"/>
                <w:color w:val="000000"/>
                <w:sz w:val="15"/>
                <w:szCs w:val="15"/>
                <w:lang w:bidi="ar"/>
              </w:rPr>
              <w:t>指标</w:t>
            </w:r>
          </w:p>
        </w:tc>
        <w:tc>
          <w:tcPr>
            <w:tcW w:w="2016"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1B8CDEBF">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满意度指标</w:t>
            </w: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B8D74">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全区居民满意度</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80AA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≥95%</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ECA7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98%</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06C78">
            <w:pPr>
              <w:spacing w:beforeLines="0" w:afterLines="0"/>
              <w:jc w:val="center"/>
              <w:rPr>
                <w:rFonts w:hint="eastAsia" w:hAnsi="宋体" w:cs="宋体"/>
                <w:color w:val="000000"/>
                <w:sz w:val="15"/>
                <w:szCs w:val="15"/>
              </w:rPr>
            </w:pPr>
          </w:p>
        </w:tc>
      </w:tr>
      <w:tr w14:paraId="7DC3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70" w:hRule="atLeast"/>
          <w:jc w:val="center"/>
        </w:trPr>
        <w:tc>
          <w:tcPr>
            <w:tcW w:w="147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0518E">
            <w:pPr>
              <w:spacing w:beforeLines="0" w:afterLines="0"/>
              <w:jc w:val="center"/>
              <w:rPr>
                <w:rFonts w:hint="eastAsia" w:hAnsi="宋体" w:cs="宋体"/>
                <w:color w:val="000000"/>
                <w:sz w:val="15"/>
                <w:szCs w:val="15"/>
              </w:rPr>
            </w:pPr>
          </w:p>
        </w:tc>
        <w:tc>
          <w:tcPr>
            <w:tcW w:w="8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11C57">
            <w:pPr>
              <w:spacing w:beforeLines="0" w:afterLines="0"/>
              <w:jc w:val="center"/>
              <w:rPr>
                <w:rFonts w:hint="eastAsia" w:hAnsi="宋体" w:cs="宋体"/>
                <w:color w:val="000000"/>
                <w:sz w:val="15"/>
                <w:szCs w:val="15"/>
              </w:rPr>
            </w:pPr>
          </w:p>
        </w:tc>
        <w:tc>
          <w:tcPr>
            <w:tcW w:w="2016"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3F13D36D">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服务对象满意度指标</w:t>
            </w:r>
          </w:p>
        </w:tc>
        <w:tc>
          <w:tcPr>
            <w:tcW w:w="24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061DA">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服务企业满意度</w:t>
            </w:r>
          </w:p>
        </w:tc>
        <w:tc>
          <w:tcPr>
            <w:tcW w:w="12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7658C">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≥95%</w:t>
            </w:r>
          </w:p>
        </w:tc>
        <w:tc>
          <w:tcPr>
            <w:tcW w:w="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2E9B6">
            <w:pPr>
              <w:widowControl/>
              <w:spacing w:beforeLines="0" w:afterLines="0"/>
              <w:jc w:val="center"/>
              <w:textAlignment w:val="center"/>
              <w:rPr>
                <w:rFonts w:hint="eastAsia" w:hAnsi="宋体" w:cs="宋体"/>
                <w:color w:val="000000"/>
                <w:sz w:val="15"/>
                <w:szCs w:val="15"/>
              </w:rPr>
            </w:pPr>
            <w:r>
              <w:rPr>
                <w:rFonts w:hint="eastAsia" w:hAnsi="宋体" w:cs="宋体"/>
                <w:color w:val="000000"/>
                <w:sz w:val="15"/>
                <w:szCs w:val="15"/>
                <w:lang w:bidi="ar"/>
              </w:rPr>
              <w:t>98%</w:t>
            </w:r>
          </w:p>
        </w:tc>
        <w:tc>
          <w:tcPr>
            <w:tcW w:w="155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3B18C">
            <w:pPr>
              <w:spacing w:beforeLines="0" w:afterLines="0"/>
              <w:jc w:val="center"/>
              <w:rPr>
                <w:rFonts w:hint="eastAsia" w:hAnsi="宋体" w:cs="宋体"/>
                <w:color w:val="000000"/>
                <w:sz w:val="15"/>
                <w:szCs w:val="15"/>
              </w:rPr>
            </w:pPr>
          </w:p>
        </w:tc>
      </w:tr>
    </w:tbl>
    <w:p w14:paraId="1C4D3880">
      <w:pPr>
        <w:spacing w:beforeLines="0" w:afterLines="0"/>
        <w:rPr>
          <w:rFonts w:hint="eastAsia" w:ascii="仿宋_GB2312" w:hAnsi="仿宋_GB2312" w:eastAsia="仿宋_GB2312"/>
          <w:kern w:val="2"/>
          <w:sz w:val="32"/>
          <w:szCs w:val="24"/>
          <w:highlight w:val="yellow"/>
        </w:rPr>
      </w:pPr>
    </w:p>
    <w:p w14:paraId="59533DFD">
      <w:pPr>
        <w:pStyle w:val="2"/>
        <w:spacing w:beforeLines="0" w:afterLines="0"/>
        <w:rPr>
          <w:rFonts w:hint="eastAsia" w:ascii="仿宋_GB2312" w:hAnsi="仿宋_GB2312" w:eastAsia="仿宋_GB2312"/>
          <w:kern w:val="2"/>
          <w:sz w:val="32"/>
          <w:szCs w:val="24"/>
          <w:highlight w:val="yellow"/>
        </w:rPr>
      </w:pPr>
    </w:p>
    <w:p w14:paraId="274F1F74">
      <w:pPr>
        <w:spacing w:beforeLines="0" w:afterLines="0"/>
        <w:rPr>
          <w:rFonts w:hint="eastAsia" w:ascii="仿宋_GB2312" w:hAnsi="仿宋_GB2312" w:eastAsia="仿宋_GB2312"/>
          <w:kern w:val="2"/>
          <w:sz w:val="32"/>
          <w:szCs w:val="24"/>
          <w:highlight w:val="yellow"/>
        </w:rPr>
      </w:pPr>
    </w:p>
    <w:p w14:paraId="35297F8A">
      <w:pPr>
        <w:pStyle w:val="2"/>
        <w:spacing w:beforeLines="0" w:afterLines="0"/>
        <w:rPr>
          <w:rFonts w:hint="eastAsia" w:ascii="仿宋_GB2312" w:hAnsi="仿宋_GB2312" w:eastAsia="仿宋_GB2312"/>
          <w:kern w:val="2"/>
          <w:sz w:val="32"/>
          <w:szCs w:val="24"/>
          <w:highlight w:val="yellow"/>
        </w:rPr>
      </w:pPr>
    </w:p>
    <w:p w14:paraId="2B445231">
      <w:pPr>
        <w:spacing w:beforeLines="0" w:afterLines="0"/>
        <w:rPr>
          <w:rFonts w:hint="eastAsia" w:ascii="仿宋_GB2312" w:hAnsi="仿宋_GB2312" w:eastAsia="仿宋_GB2312"/>
          <w:kern w:val="2"/>
          <w:sz w:val="32"/>
          <w:szCs w:val="24"/>
          <w:highlight w:val="yellow"/>
        </w:rPr>
      </w:pPr>
    </w:p>
    <w:p w14:paraId="07AD0BCC">
      <w:pPr>
        <w:pStyle w:val="2"/>
        <w:spacing w:beforeLines="0" w:afterLines="0"/>
        <w:rPr>
          <w:rFonts w:hint="eastAsia" w:ascii="仿宋_GB2312" w:hAnsi="仿宋_GB2312" w:eastAsia="仿宋_GB2312"/>
          <w:kern w:val="2"/>
          <w:sz w:val="32"/>
          <w:szCs w:val="24"/>
          <w:highlight w:val="yellow"/>
        </w:rPr>
      </w:pPr>
    </w:p>
    <w:p w14:paraId="47A4D29D">
      <w:pPr>
        <w:spacing w:beforeLines="0" w:afterLines="0"/>
        <w:rPr>
          <w:rFonts w:hint="eastAsia" w:ascii="仿宋_GB2312" w:hAnsi="仿宋_GB2312" w:eastAsia="仿宋_GB2312"/>
          <w:kern w:val="2"/>
          <w:sz w:val="32"/>
          <w:szCs w:val="24"/>
          <w:highlight w:val="yellow"/>
        </w:rPr>
      </w:pPr>
    </w:p>
    <w:p w14:paraId="509E6D12">
      <w:pPr>
        <w:pStyle w:val="2"/>
        <w:spacing w:beforeLines="0" w:afterLines="0"/>
        <w:rPr>
          <w:rFonts w:hint="eastAsia" w:ascii="仿宋_GB2312" w:hAnsi="仿宋_GB2312" w:eastAsia="仿宋_GB2312"/>
          <w:kern w:val="2"/>
          <w:sz w:val="32"/>
          <w:szCs w:val="24"/>
          <w:highlight w:val="yellow"/>
        </w:rPr>
      </w:pPr>
    </w:p>
    <w:p w14:paraId="690880DD">
      <w:pPr>
        <w:spacing w:beforeLines="0" w:afterLines="0"/>
        <w:rPr>
          <w:rFonts w:hint="eastAsia" w:ascii="仿宋_GB2312" w:hAnsi="仿宋_GB2312" w:eastAsia="仿宋_GB2312"/>
          <w:kern w:val="2"/>
          <w:sz w:val="32"/>
          <w:szCs w:val="24"/>
          <w:highlight w:val="yellow"/>
        </w:rPr>
      </w:pPr>
    </w:p>
    <w:p w14:paraId="6574E8A3">
      <w:pPr>
        <w:pStyle w:val="2"/>
        <w:spacing w:beforeLines="0" w:afterLines="0"/>
        <w:rPr>
          <w:rFonts w:hint="eastAsia" w:ascii="仿宋_GB2312" w:hAnsi="仿宋_GB2312" w:eastAsia="仿宋_GB2312"/>
          <w:kern w:val="2"/>
          <w:sz w:val="32"/>
          <w:szCs w:val="24"/>
          <w:highlight w:val="yellow"/>
        </w:rPr>
      </w:pPr>
    </w:p>
    <w:p w14:paraId="137D8D02">
      <w:pPr>
        <w:spacing w:beforeLines="0" w:afterLines="0"/>
        <w:rPr>
          <w:rFonts w:hint="eastAsia" w:ascii="仿宋_GB2312" w:hAnsi="仿宋_GB2312" w:eastAsia="仿宋_GB2312"/>
          <w:kern w:val="2"/>
          <w:sz w:val="32"/>
          <w:szCs w:val="24"/>
          <w:highlight w:val="yellow"/>
        </w:rPr>
      </w:pPr>
    </w:p>
    <w:p w14:paraId="48717FA0">
      <w:pPr>
        <w:pStyle w:val="2"/>
        <w:spacing w:beforeLines="0" w:afterLines="0"/>
        <w:rPr>
          <w:rFonts w:hint="eastAsia" w:ascii="仿宋_GB2312" w:hAnsi="仿宋_GB2312" w:eastAsia="仿宋_GB2312"/>
          <w:kern w:val="2"/>
          <w:sz w:val="32"/>
          <w:szCs w:val="24"/>
          <w:highlight w:val="yellow"/>
        </w:rPr>
      </w:pPr>
    </w:p>
    <w:p w14:paraId="6E157C54">
      <w:pPr>
        <w:spacing w:beforeLines="0" w:afterLines="0"/>
        <w:rPr>
          <w:rFonts w:hint="eastAsia" w:ascii="仿宋_GB2312" w:hAnsi="仿宋_GB2312" w:eastAsia="仿宋_GB2312"/>
          <w:kern w:val="2"/>
          <w:sz w:val="32"/>
          <w:szCs w:val="24"/>
          <w:highlight w:val="yellow"/>
        </w:rPr>
      </w:pPr>
    </w:p>
    <w:p w14:paraId="72CA6423">
      <w:pPr>
        <w:pStyle w:val="2"/>
        <w:spacing w:beforeLines="0" w:afterLines="0"/>
        <w:rPr>
          <w:rFonts w:hint="eastAsia" w:ascii="仿宋_GB2312" w:hAnsi="仿宋_GB2312" w:eastAsia="仿宋_GB2312"/>
          <w:kern w:val="2"/>
          <w:sz w:val="32"/>
          <w:szCs w:val="24"/>
          <w:highlight w:val="yellow"/>
        </w:rPr>
      </w:pPr>
    </w:p>
    <w:p w14:paraId="0639BE54">
      <w:pPr>
        <w:spacing w:beforeLines="0" w:afterLines="0"/>
        <w:rPr>
          <w:rFonts w:hint="eastAsia" w:ascii="仿宋_GB2312" w:hAnsi="仿宋_GB2312" w:eastAsia="仿宋_GB2312"/>
          <w:kern w:val="2"/>
          <w:sz w:val="32"/>
          <w:szCs w:val="24"/>
          <w:highlight w:val="yellow"/>
        </w:rPr>
      </w:pPr>
    </w:p>
    <w:p w14:paraId="03F4B3B1">
      <w:pPr>
        <w:pStyle w:val="2"/>
        <w:spacing w:beforeLines="0" w:afterLines="0"/>
        <w:rPr>
          <w:rFonts w:hint="eastAsia" w:ascii="仿宋_GB2312" w:hAnsi="仿宋_GB2312" w:eastAsia="仿宋_GB2312"/>
          <w:kern w:val="2"/>
          <w:sz w:val="32"/>
          <w:szCs w:val="24"/>
          <w:highlight w:val="yellow"/>
        </w:rPr>
      </w:pPr>
    </w:p>
    <w:p w14:paraId="57B3E8D6">
      <w:pPr>
        <w:spacing w:beforeLines="0" w:afterLines="0"/>
        <w:rPr>
          <w:rFonts w:hint="eastAsia" w:ascii="仿宋_GB2312" w:hAnsi="仿宋_GB2312" w:eastAsia="仿宋_GB2312"/>
          <w:kern w:val="2"/>
          <w:sz w:val="32"/>
          <w:szCs w:val="24"/>
          <w:highlight w:val="yellow"/>
        </w:rPr>
      </w:pPr>
    </w:p>
    <w:p w14:paraId="0ADB7EEE">
      <w:pPr>
        <w:pStyle w:val="2"/>
        <w:spacing w:beforeLines="0" w:afterLines="0"/>
        <w:rPr>
          <w:rFonts w:hint="eastAsia" w:ascii="仿宋_GB2312" w:hAnsi="仿宋_GB2312" w:eastAsia="仿宋_GB2312"/>
          <w:kern w:val="2"/>
          <w:sz w:val="32"/>
          <w:szCs w:val="24"/>
          <w:highlight w:val="yellow"/>
        </w:rPr>
      </w:pPr>
    </w:p>
    <w:p w14:paraId="0BAE83FC">
      <w:pPr>
        <w:spacing w:beforeLines="0" w:afterLines="0"/>
        <w:rPr>
          <w:rFonts w:hint="eastAsia" w:ascii="仿宋_GB2312" w:hAnsi="仿宋_GB2312" w:eastAsia="仿宋_GB2312"/>
          <w:kern w:val="2"/>
          <w:sz w:val="32"/>
          <w:szCs w:val="24"/>
          <w:highlight w:val="yellow"/>
        </w:rPr>
      </w:pPr>
    </w:p>
    <w:p w14:paraId="005E39CA">
      <w:pPr>
        <w:pStyle w:val="2"/>
        <w:spacing w:beforeLines="0" w:afterLines="0"/>
        <w:rPr>
          <w:rFonts w:hint="eastAsia" w:ascii="仿宋_GB2312" w:hAnsi="仿宋_GB2312" w:eastAsia="仿宋_GB2312"/>
          <w:kern w:val="2"/>
          <w:sz w:val="32"/>
          <w:szCs w:val="24"/>
          <w:highlight w:val="yellow"/>
        </w:rPr>
      </w:pPr>
    </w:p>
    <w:p w14:paraId="0D92F1DF">
      <w:pPr>
        <w:spacing w:beforeLines="0" w:afterLines="0"/>
        <w:rPr>
          <w:rFonts w:hint="eastAsia" w:ascii="仿宋_GB2312" w:hAnsi="仿宋_GB2312" w:eastAsia="仿宋_GB2312"/>
          <w:kern w:val="2"/>
          <w:sz w:val="32"/>
          <w:szCs w:val="24"/>
          <w:highlight w:val="yellow"/>
        </w:rPr>
      </w:pPr>
    </w:p>
    <w:p w14:paraId="62DC59D4">
      <w:pPr>
        <w:pStyle w:val="2"/>
        <w:spacing w:beforeLines="0" w:afterLines="0"/>
        <w:rPr>
          <w:rFonts w:hint="eastAsia" w:ascii="仿宋_GB2312" w:hAnsi="仿宋_GB2312" w:eastAsia="仿宋_GB2312"/>
          <w:kern w:val="2"/>
          <w:sz w:val="32"/>
          <w:szCs w:val="24"/>
          <w:highlight w:val="yellow"/>
        </w:rPr>
      </w:pPr>
    </w:p>
    <w:p w14:paraId="22B84745">
      <w:pPr>
        <w:spacing w:beforeLines="0" w:afterLines="0"/>
        <w:rPr>
          <w:rFonts w:hint="eastAsia" w:ascii="仿宋_GB2312" w:hAnsi="仿宋_GB2312" w:eastAsia="仿宋_GB2312"/>
          <w:kern w:val="2"/>
          <w:sz w:val="32"/>
          <w:szCs w:val="24"/>
          <w:highlight w:val="yellow"/>
        </w:rPr>
      </w:pPr>
    </w:p>
    <w:p w14:paraId="4BB5A776">
      <w:pPr>
        <w:pStyle w:val="2"/>
        <w:spacing w:beforeLines="0" w:afterLines="0"/>
        <w:rPr>
          <w:rFonts w:hint="eastAsia" w:ascii="仿宋_GB2312" w:hAnsi="仿宋_GB2312" w:eastAsia="仿宋_GB2312"/>
          <w:kern w:val="2"/>
          <w:sz w:val="32"/>
          <w:szCs w:val="24"/>
          <w:highlight w:val="yellow"/>
        </w:rPr>
      </w:pPr>
    </w:p>
    <w:p w14:paraId="0A208EC5">
      <w:pPr>
        <w:spacing w:beforeLines="0" w:afterLines="0"/>
        <w:rPr>
          <w:rFonts w:hint="eastAsia" w:ascii="仿宋_GB2312" w:hAnsi="仿宋_GB2312" w:eastAsia="仿宋_GB2312"/>
          <w:kern w:val="2"/>
          <w:sz w:val="32"/>
          <w:szCs w:val="24"/>
          <w:highlight w:val="yellow"/>
        </w:rPr>
      </w:pPr>
    </w:p>
    <w:p w14:paraId="40A4D20B">
      <w:pPr>
        <w:pStyle w:val="2"/>
        <w:spacing w:beforeLines="0" w:afterLines="0"/>
        <w:rPr>
          <w:rFonts w:hint="eastAsia" w:ascii="仿宋_GB2312" w:hAnsi="仿宋_GB2312" w:eastAsia="仿宋_GB2312"/>
          <w:kern w:val="2"/>
          <w:sz w:val="32"/>
          <w:szCs w:val="24"/>
          <w:highlight w:val="yellow"/>
        </w:rPr>
      </w:pPr>
    </w:p>
    <w:p w14:paraId="7E255465">
      <w:pPr>
        <w:overflowPunct w:val="0"/>
        <w:topLinePunct/>
        <w:spacing w:beforeLines="0"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42A71466">
      <w:pPr>
        <w:pStyle w:val="6"/>
        <w:spacing w:before="72" w:afterLines="0"/>
        <w:rPr>
          <w:rFonts w:hint="eastAsia"/>
          <w:sz w:val="30"/>
          <w:szCs w:val="24"/>
        </w:rPr>
      </w:pPr>
    </w:p>
    <w:p w14:paraId="62F65CC2">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2809A270">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4D97250F">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63DD1AA1">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417AD3A0">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1132E99C">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3783F699">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2B610AF3">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72159493">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27E1ABF2">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45283D2E">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38F7F15F">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48FEC5D4">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7987517E">
      <w:pPr>
        <w:overflowPunct w:val="0"/>
        <w:topLinePunct/>
        <w:spacing w:beforeLines="0" w:afterLines="0" w:line="576" w:lineRule="exact"/>
        <w:ind w:firstLine="600" w:firstLineChars="200"/>
        <w:jc w:val="both"/>
        <w:rPr>
          <w:rFonts w:hint="eastAsia" w:ascii="方正小标宋简体" w:hAnsi="方正小标宋简体" w:eastAsia="方正小标宋简体"/>
          <w:color w:val="000000"/>
          <w:kern w:val="2"/>
          <w:sz w:val="30"/>
          <w:szCs w:val="24"/>
        </w:rPr>
      </w:pPr>
    </w:p>
    <w:sectPr>
      <w:pgSz w:w="12240" w:h="15840"/>
      <w:pgMar w:top="2098" w:right="1474" w:bottom="1984" w:left="1587"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33D548-D5E9-4936-9FD9-473F7E8749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68BBF00C-CB21-46C4-96B6-EFF45A79B32F}"/>
  </w:font>
  <w:font w:name="仿宋">
    <w:panose1 w:val="02010609060101010101"/>
    <w:charset w:val="86"/>
    <w:family w:val="modern"/>
    <w:pitch w:val="default"/>
    <w:sig w:usb0="800002BF" w:usb1="38CF7CFA" w:usb2="00000016" w:usb3="00000000" w:csb0="00040001" w:csb1="00000000"/>
    <w:embedRegular r:id="rId3" w:fontKey="{87492C29-D6FD-4352-993F-1A158DB02A8D}"/>
  </w:font>
  <w:font w:name="Cambria">
    <w:panose1 w:val="02040503050406030204"/>
    <w:charset w:val="00"/>
    <w:family w:val="roman"/>
    <w:pitch w:val="default"/>
    <w:sig w:usb0="E00006FF" w:usb1="420024FF" w:usb2="02000000" w:usb3="00000000" w:csb0="2000019F" w:csb1="00000000"/>
    <w:embedRegular r:id="rId4" w:fontKey="{66F3EC23-6DDF-40A0-9C5A-2E3F3A39251B}"/>
  </w:font>
  <w:font w:name="方正小标宋简体">
    <w:panose1 w:val="02000000000000000000"/>
    <w:charset w:val="86"/>
    <w:family w:val="auto"/>
    <w:pitch w:val="default"/>
    <w:sig w:usb0="00000001" w:usb1="08000000" w:usb2="00000000" w:usb3="00000000" w:csb0="00040000" w:csb1="00000000"/>
    <w:embedRegular r:id="rId5" w:fontKey="{42850280-3B32-484E-BC39-729284843DDE}"/>
  </w:font>
  <w:font w:name="楷体_GB2312">
    <w:panose1 w:val="02010609030101010101"/>
    <w:charset w:val="86"/>
    <w:family w:val="modern"/>
    <w:pitch w:val="default"/>
    <w:sig w:usb0="00000001" w:usb1="080E0000" w:usb2="00000000" w:usb3="00000000" w:csb0="00040000" w:csb1="00000000"/>
    <w:embedRegular r:id="rId6" w:fontKey="{70BA21D6-E0FB-4931-9E65-A7B58A4CDD5D}"/>
  </w:font>
  <w:font w:name="华文中宋">
    <w:panose1 w:val="02010600040101010101"/>
    <w:charset w:val="86"/>
    <w:family w:val="auto"/>
    <w:pitch w:val="default"/>
    <w:sig w:usb0="00000287" w:usb1="080F0000" w:usb2="00000000" w:usb3="00000000" w:csb0="0004009F" w:csb1="DFD70000"/>
    <w:embedRegular r:id="rId7" w:fontKey="{EF361948-9322-441E-BBE1-4169DAA16EE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MWRhZTVkZjIwNThiMTdkMzQ0OWRiNzZmOTVjZjYifQ=="/>
  </w:docVars>
  <w:rsids>
    <w:rsidRoot w:val="00172A27"/>
    <w:rsid w:val="0ECB27C0"/>
    <w:rsid w:val="4A3854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eastAsia" w:ascii="宋体" w:hAnsi="Times New Roman" w:eastAsia="宋体" w:cs="Times New Roman"/>
      <w:sz w:val="24"/>
      <w:szCs w:val="24"/>
      <w:lang w:val="en-US" w:eastAsia="zh-CN" w:bidi="ar-SA"/>
    </w:rPr>
  </w:style>
  <w:style w:type="paragraph" w:styleId="3">
    <w:name w:val="heading 1"/>
    <w:basedOn w:val="1"/>
    <w:next w:val="1"/>
    <w:link w:val="21"/>
    <w:unhideWhenUsed/>
    <w:qFormat/>
    <w:uiPriority w:val="99"/>
    <w:pPr>
      <w:spacing w:beforeLines="0" w:afterLines="0"/>
      <w:outlineLvl w:val="0"/>
    </w:pPr>
    <w:rPr>
      <w:rFonts w:hint="eastAsia"/>
      <w:sz w:val="24"/>
      <w:szCs w:val="24"/>
    </w:rPr>
  </w:style>
  <w:style w:type="paragraph" w:styleId="4">
    <w:name w:val="heading 2"/>
    <w:basedOn w:val="1"/>
    <w:link w:val="20"/>
    <w:unhideWhenUsed/>
    <w:qFormat/>
    <w:uiPriority w:val="99"/>
    <w:pPr>
      <w:spacing w:beforeLines="0" w:afterLines="0"/>
      <w:outlineLvl w:val="1"/>
    </w:pPr>
    <w:rPr>
      <w:rFonts w:hint="eastAsia"/>
      <w:sz w:val="24"/>
      <w:szCs w:val="24"/>
    </w:rPr>
  </w:style>
  <w:style w:type="character" w:default="1" w:styleId="13">
    <w:name w:val="Default Paragraph Font"/>
    <w:unhideWhenUsed/>
    <w:qFormat/>
    <w:uiPriority w:val="99"/>
    <w:rPr>
      <w:rFonts w:hint="default"/>
      <w:sz w:val="24"/>
      <w:szCs w:val="24"/>
    </w:rPr>
  </w:style>
  <w:style w:type="table" w:default="1" w:styleId="12">
    <w:name w:val="Normal Table"/>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pPr>
      <w:spacing w:beforeLines="0" w:afterLines="0"/>
    </w:pPr>
    <w:rPr>
      <w:rFonts w:hint="eastAsia"/>
      <w:sz w:val="24"/>
      <w:szCs w:val="24"/>
    </w:rPr>
  </w:style>
  <w:style w:type="paragraph" w:styleId="5">
    <w:name w:val="annotation text"/>
    <w:basedOn w:val="1"/>
    <w:unhideWhenUsed/>
    <w:qFormat/>
    <w:uiPriority w:val="99"/>
    <w:pPr>
      <w:spacing w:beforeLines="0" w:afterLines="0"/>
    </w:pPr>
    <w:rPr>
      <w:rFonts w:hint="eastAsia"/>
      <w:sz w:val="24"/>
      <w:szCs w:val="24"/>
    </w:rPr>
  </w:style>
  <w:style w:type="paragraph" w:styleId="6">
    <w:name w:val="Body Text"/>
    <w:basedOn w:val="1"/>
    <w:next w:val="1"/>
    <w:link w:val="18"/>
    <w:unhideWhenUsed/>
    <w:qFormat/>
    <w:uiPriority w:val="99"/>
    <w:pPr>
      <w:spacing w:beforeLines="30" w:afterLines="0"/>
    </w:pPr>
    <w:rPr>
      <w:rFonts w:hint="eastAsia" w:ascii="仿宋_GB2312" w:eastAsia="仿宋_GB2312"/>
      <w:sz w:val="30"/>
      <w:szCs w:val="24"/>
    </w:rPr>
  </w:style>
  <w:style w:type="paragraph" w:styleId="7">
    <w:name w:val="Body Text Indent"/>
    <w:basedOn w:val="1"/>
    <w:next w:val="8"/>
    <w:unhideWhenUsed/>
    <w:qFormat/>
    <w:uiPriority w:val="0"/>
    <w:pPr>
      <w:spacing w:beforeLines="0" w:after="120" w:afterLines="0"/>
      <w:ind w:leftChars="200"/>
    </w:pPr>
    <w:rPr>
      <w:rFonts w:hint="eastAsia"/>
      <w:sz w:val="24"/>
      <w:szCs w:val="32"/>
    </w:rPr>
  </w:style>
  <w:style w:type="paragraph" w:styleId="8">
    <w:name w:val="Body Text First Indent 2"/>
    <w:basedOn w:val="7"/>
    <w:unhideWhenUsed/>
    <w:qFormat/>
    <w:uiPriority w:val="99"/>
    <w:pPr>
      <w:spacing w:beforeLines="0" w:afterLines="0"/>
      <w:ind w:firstLine="420" w:firstLineChars="200"/>
    </w:pPr>
    <w:rPr>
      <w:rFonts w:hint="eastAsia"/>
      <w:sz w:val="24"/>
      <w:szCs w:val="32"/>
    </w:rPr>
  </w:style>
  <w:style w:type="paragraph" w:styleId="9">
    <w:name w:val="footer"/>
    <w:basedOn w:val="1"/>
    <w:link w:val="19"/>
    <w:unhideWhenUsed/>
    <w:qFormat/>
    <w:uiPriority w:val="99"/>
    <w:pPr>
      <w:tabs>
        <w:tab w:val="center" w:pos="4153"/>
        <w:tab w:val="right" w:pos="8306"/>
      </w:tabs>
      <w:snapToGrid w:val="0"/>
      <w:spacing w:beforeLines="0" w:afterLines="0"/>
    </w:pPr>
    <w:rPr>
      <w:rFonts w:hint="eastAsia"/>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1">
    <w:name w:val="footnote text"/>
    <w:basedOn w:val="1"/>
    <w:next w:val="8"/>
    <w:unhideWhenUsed/>
    <w:qFormat/>
    <w:uiPriority w:val="0"/>
    <w:pPr>
      <w:snapToGrid w:val="0"/>
      <w:spacing w:beforeLines="0" w:afterLines="0"/>
    </w:pPr>
    <w:rPr>
      <w:rFonts w:hint="eastAsia"/>
      <w:sz w:val="18"/>
      <w:szCs w:val="18"/>
    </w:rPr>
  </w:style>
  <w:style w:type="character" w:styleId="14">
    <w:name w:val="Strong"/>
    <w:basedOn w:val="13"/>
    <w:unhideWhenUsed/>
    <w:qFormat/>
    <w:uiPriority w:val="99"/>
    <w:rPr>
      <w:rFonts w:hint="default"/>
      <w:b/>
      <w:sz w:val="24"/>
      <w:szCs w:val="24"/>
    </w:rPr>
  </w:style>
  <w:style w:type="paragraph" w:customStyle="1" w:styleId="15">
    <w:name w:val="UserStyle_0"/>
    <w:unhideWhenUsed/>
    <w:qFormat/>
    <w:uiPriority w:val="99"/>
    <w:pPr>
      <w:spacing w:beforeLines="0" w:afterLines="0"/>
      <w:textAlignment w:val="baseline"/>
    </w:pPr>
    <w:rPr>
      <w:rFonts w:hint="eastAsia" w:ascii="宋体" w:hAnsi="Times New Roman" w:eastAsia="宋体" w:cs="Times New Roman"/>
      <w:color w:val="000000"/>
      <w:sz w:val="24"/>
      <w:szCs w:val="24"/>
      <w:lang w:val="en-US" w:eastAsia="zh-CN" w:bidi="ar-SA"/>
    </w:rPr>
  </w:style>
  <w:style w:type="paragraph" w:customStyle="1" w:styleId="16">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7">
    <w:name w:val="页眉 Char"/>
    <w:basedOn w:val="13"/>
    <w:link w:val="10"/>
    <w:unhideWhenUsed/>
    <w:qFormat/>
    <w:locked/>
    <w:uiPriority w:val="99"/>
    <w:rPr>
      <w:rFonts w:hint="default" w:cs="Times New Roman"/>
      <w:sz w:val="18"/>
      <w:szCs w:val="18"/>
    </w:rPr>
  </w:style>
  <w:style w:type="character" w:customStyle="1" w:styleId="18">
    <w:name w:val="正文文本 Char"/>
    <w:basedOn w:val="13"/>
    <w:link w:val="6"/>
    <w:unhideWhenUsed/>
    <w:qFormat/>
    <w:locked/>
    <w:uiPriority w:val="99"/>
    <w:rPr>
      <w:rFonts w:hint="default" w:cs="Times New Roman"/>
      <w:sz w:val="24"/>
      <w:szCs w:val="24"/>
    </w:rPr>
  </w:style>
  <w:style w:type="character" w:customStyle="1" w:styleId="19">
    <w:name w:val="页脚 Char"/>
    <w:basedOn w:val="13"/>
    <w:link w:val="9"/>
    <w:unhideWhenUsed/>
    <w:qFormat/>
    <w:locked/>
    <w:uiPriority w:val="99"/>
    <w:rPr>
      <w:rFonts w:hint="default" w:cs="Times New Roman"/>
      <w:sz w:val="18"/>
      <w:szCs w:val="18"/>
    </w:rPr>
  </w:style>
  <w:style w:type="character" w:customStyle="1" w:styleId="20">
    <w:name w:val="标题 2 Char"/>
    <w:basedOn w:val="13"/>
    <w:link w:val="4"/>
    <w:unhideWhenUsed/>
    <w:qFormat/>
    <w:locked/>
    <w:uiPriority w:val="9"/>
    <w:rPr>
      <w:rFonts w:hint="eastAsia" w:ascii="宋体" w:hAnsi="Cambria" w:eastAsia="宋体" w:cs="Times New Roman"/>
      <w:b/>
      <w:sz w:val="32"/>
      <w:szCs w:val="32"/>
    </w:rPr>
  </w:style>
  <w:style w:type="character" w:customStyle="1" w:styleId="21">
    <w:name w:val="标题 1 Char"/>
    <w:basedOn w:val="13"/>
    <w:link w:val="3"/>
    <w:unhideWhenUsed/>
    <w:qFormat/>
    <w:locked/>
    <w:uiPriority w:val="9"/>
    <w:rPr>
      <w:rFonts w:hint="default" w:cs="Times New Roman"/>
      <w:b/>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8965</Words>
  <Characters>9706</Characters>
  <TotalTime>2</TotalTime>
  <ScaleCrop>false</ScaleCrop>
  <LinksUpToDate>false</LinksUpToDate>
  <CharactersWithSpaces>9759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2024-09-26T02:03:00Z</dcterms:created>
  <dc:creator>Administrator</dc:creator>
  <cp:lastModifiedBy>昭化融媒体</cp:lastModifiedBy>
  <dcterms:modified xsi:type="dcterms:W3CDTF">2024-12-20T01:17:59Z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011F53B21CA54072891C673371F050B1_13</vt:lpwstr>
  </property>
  <property fmtid="{D5CDD505-2E9C-101B-9397-08002B2CF9AE}" pid="4" name="KSOTemplateDocerSaveRecord">
    <vt:lpwstr>eyJoZGlkIjoiMGVhYTg4NGNkZWJkODFjNzcyZDRjM2M4Y2UzNjI5ZmUiLCJ1c2VySWQiOiI2MTE2MzEwMDYifQ==</vt:lpwstr>
  </property>
</Properties>
</file>