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广元市</w:t>
      </w:r>
      <w:r>
        <w:rPr>
          <w:rFonts w:hint="eastAsia" w:ascii="方正小标宋简体" w:hAnsi="方正小标宋简体" w:eastAsia="方正小标宋简体" w:cs="方正小标宋简体"/>
          <w:sz w:val="44"/>
          <w:szCs w:val="44"/>
          <w:lang w:val="en-US" w:eastAsia="zh-CN"/>
        </w:rPr>
        <w:t>昭化区</w:t>
      </w:r>
      <w:r>
        <w:rPr>
          <w:rFonts w:hint="eastAsia" w:ascii="方正小标宋简体" w:hAnsi="方正小标宋简体" w:eastAsia="方正小标宋简体" w:cs="方正小标宋简体"/>
          <w:sz w:val="44"/>
          <w:szCs w:val="44"/>
        </w:rPr>
        <w:t>发展和改革</w:t>
      </w:r>
      <w:r>
        <w:rPr>
          <w:rFonts w:hint="eastAsia" w:ascii="方正小标宋简体" w:hAnsi="方正小标宋简体" w:eastAsia="方正小标宋简体" w:cs="方正小标宋简体"/>
          <w:sz w:val="44"/>
          <w:szCs w:val="44"/>
          <w:lang w:val="en-US" w:eastAsia="zh-CN"/>
        </w:rPr>
        <w:t>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w:t>
      </w:r>
      <w:r>
        <w:rPr>
          <w:rFonts w:hint="eastAsia" w:ascii="方正小标宋简体" w:hAnsi="方正小标宋简体" w:eastAsia="方正小标宋简体" w:cs="方正小标宋简体"/>
          <w:sz w:val="44"/>
          <w:szCs w:val="44"/>
          <w:lang w:val="en-US" w:eastAsia="zh-CN"/>
        </w:rPr>
        <w:t>昭化区</w:t>
      </w:r>
      <w:r>
        <w:rPr>
          <w:rFonts w:hint="eastAsia" w:ascii="方正小标宋简体" w:hAnsi="方正小标宋简体" w:eastAsia="方正小标宋简体" w:cs="方正小标宋简体"/>
          <w:sz w:val="44"/>
          <w:szCs w:val="44"/>
        </w:rPr>
        <w:t>民政局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关于进一步规范</w:t>
      </w:r>
      <w:r>
        <w:rPr>
          <w:rFonts w:hint="eastAsia" w:ascii="方正小标宋简体" w:hAnsi="方正小标宋简体" w:eastAsia="方正小标宋简体" w:cs="方正小标宋简体"/>
          <w:sz w:val="44"/>
          <w:szCs w:val="44"/>
          <w:lang w:eastAsia="zh-CN"/>
        </w:rPr>
        <w:t>昭化区</w:t>
      </w:r>
      <w:r>
        <w:rPr>
          <w:rFonts w:hint="eastAsia" w:ascii="方正小标宋简体" w:hAnsi="方正小标宋简体" w:eastAsia="方正小标宋简体" w:cs="方正小标宋简体"/>
          <w:sz w:val="44"/>
          <w:szCs w:val="44"/>
        </w:rPr>
        <w:t>殡</w:t>
      </w:r>
      <w:r>
        <w:rPr>
          <w:rFonts w:hint="eastAsia" w:ascii="方正小标宋简体" w:hAnsi="方正小标宋简体" w:eastAsia="方正小标宋简体" w:cs="方正小标宋简体"/>
          <w:sz w:val="44"/>
          <w:szCs w:val="44"/>
          <w:lang w:val="en-US" w:eastAsia="zh-CN"/>
        </w:rPr>
        <w:t>葬</w:t>
      </w:r>
      <w:r>
        <w:rPr>
          <w:rFonts w:hint="eastAsia" w:ascii="方正小标宋简体" w:hAnsi="方正小标宋简体" w:eastAsia="方正小标宋简体" w:cs="方正小标宋简体"/>
          <w:sz w:val="44"/>
          <w:szCs w:val="44"/>
        </w:rPr>
        <w:t>服务收费</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有关事项的通知</w:t>
      </w:r>
      <w:r>
        <w:rPr>
          <w:rFonts w:hint="eastAsia" w:ascii="方正小标宋简体" w:hAnsi="方正小标宋简体" w:eastAsia="方正小标宋简体" w:cs="方正小标宋简体"/>
          <w:sz w:val="44"/>
          <w:szCs w:val="44"/>
          <w:lang w:eastAsia="zh-CN"/>
        </w:rPr>
        <w:t>（征求意见稿）</w:t>
      </w:r>
    </w:p>
    <w:p>
      <w:pPr>
        <w:rPr>
          <w:rFonts w:hint="eastAsia"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广元市昭化区殡仪服务中心、</w:t>
      </w:r>
      <w:r>
        <w:rPr>
          <w:rFonts w:hint="default" w:ascii="Times New Roman" w:hAnsi="Times New Roman" w:eastAsia="仿宋_GB2312" w:cs="Times New Roman"/>
          <w:sz w:val="32"/>
          <w:szCs w:val="32"/>
        </w:rPr>
        <w:t>广元市</w:t>
      </w:r>
      <w:r>
        <w:rPr>
          <w:rFonts w:hint="eastAsia" w:ascii="Times New Roman" w:hAnsi="Times New Roman" w:eastAsia="仿宋_GB2312" w:cs="Times New Roman"/>
          <w:sz w:val="32"/>
          <w:szCs w:val="32"/>
          <w:lang w:eastAsia="zh-CN"/>
        </w:rPr>
        <w:t>昭化区元坝镇松鹤公益性</w:t>
      </w:r>
      <w:r>
        <w:rPr>
          <w:rFonts w:hint="default" w:ascii="Times New Roman" w:hAnsi="Times New Roman" w:eastAsia="仿宋_GB2312" w:cs="Times New Roman"/>
          <w:sz w:val="32"/>
          <w:szCs w:val="32"/>
        </w:rPr>
        <w:t>公墓</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昭化龙山公益性</w:t>
      </w:r>
      <w:r>
        <w:rPr>
          <w:rFonts w:hint="default" w:ascii="Times New Roman" w:hAnsi="Times New Roman" w:eastAsia="仿宋_GB2312" w:cs="Times New Roman"/>
          <w:sz w:val="32"/>
          <w:szCs w:val="32"/>
        </w:rPr>
        <w:t>公墓</w:t>
      </w:r>
      <w:r>
        <w:rPr>
          <w:rFonts w:hint="eastAsia" w:ascii="Times New Roman" w:hAnsi="Times New Roman" w:eastAsia="仿宋_GB2312" w:cs="Times New Roman"/>
          <w:sz w:val="32"/>
          <w:szCs w:val="32"/>
          <w:lang w:val="en-US" w:eastAsia="zh-CN"/>
        </w:rPr>
        <w:t>、广元市青龙山公墓：</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为加强殡葬服务收费管理，</w:t>
      </w:r>
      <w:r>
        <w:rPr>
          <w:rFonts w:hint="eastAsia" w:ascii="Times New Roman" w:hAnsi="Times New Roman" w:eastAsia="仿宋_GB2312" w:cs="Times New Roman"/>
          <w:sz w:val="32"/>
          <w:szCs w:val="32"/>
          <w:lang w:eastAsia="zh-CN"/>
        </w:rPr>
        <w:t>进一步规范</w:t>
      </w:r>
      <w:r>
        <w:rPr>
          <w:rFonts w:hint="eastAsia" w:ascii="Times New Roman" w:hAnsi="Times New Roman" w:eastAsia="仿宋_GB2312" w:cs="Times New Roman"/>
          <w:sz w:val="32"/>
          <w:szCs w:val="32"/>
        </w:rPr>
        <w:t>殡葬市场价格秩序，切实减轻群众丧葬负担。根据《四川省人民政府办公厅关于促进殡葬事业健康发展的实施意见》（川办发〔2020〕88号）、《四川省定价目录（2021年版）》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四川省民政厅关于</w:t>
      </w:r>
      <w:r>
        <w:rPr>
          <w:rFonts w:hint="eastAsia" w:ascii="Times New Roman" w:hAnsi="Times New Roman" w:eastAsia="仿宋_GB2312" w:cs="Times New Roman"/>
          <w:sz w:val="32"/>
          <w:szCs w:val="32"/>
          <w:lang w:val="en-US" w:eastAsia="zh-CN"/>
        </w:rPr>
        <w:t>进一步规范经营性公墓审批监管工作的通知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（川民发</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144</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《四川省发展和改革委员会 四川省民政厅关于加强殡葬服务收费管理有关问题的通知》（川发改价格〔2012〕989号）等要求，按照《政府制定价格行为规则》相关程序，结合成本</w:t>
      </w:r>
      <w:r>
        <w:rPr>
          <w:rFonts w:hint="eastAsia" w:ascii="Times New Roman" w:hAnsi="Times New Roman" w:eastAsia="仿宋_GB2312" w:cs="Times New Roman"/>
          <w:sz w:val="32"/>
          <w:szCs w:val="32"/>
          <w:lang w:val="en-US" w:eastAsia="zh-CN"/>
        </w:rPr>
        <w:t>测算、监</w:t>
      </w:r>
      <w:r>
        <w:rPr>
          <w:rFonts w:hint="eastAsia" w:ascii="Times New Roman" w:hAnsi="Times New Roman" w:eastAsia="仿宋_GB2312" w:cs="Times New Roman"/>
          <w:sz w:val="32"/>
          <w:szCs w:val="32"/>
        </w:rPr>
        <w:t>管中发现的问题以及我</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实际，参照</w:t>
      </w:r>
      <w:r>
        <w:rPr>
          <w:rFonts w:hint="eastAsia" w:ascii="Times New Roman" w:hAnsi="Times New Roman" w:eastAsia="仿宋_GB2312" w:cs="Times New Roman"/>
          <w:sz w:val="32"/>
          <w:szCs w:val="32"/>
          <w:lang w:val="en-US" w:eastAsia="zh-CN"/>
        </w:rPr>
        <w:t>毗邻县区公益性公墓墓穴、公墓维护管理、</w:t>
      </w:r>
      <w:r>
        <w:rPr>
          <w:rFonts w:hint="eastAsia" w:ascii="Times New Roman" w:hAnsi="Times New Roman" w:eastAsia="仿宋_GB2312" w:cs="Times New Roman"/>
          <w:sz w:val="32"/>
          <w:szCs w:val="32"/>
        </w:rPr>
        <w:t>殡仪服务价格水平</w:t>
      </w:r>
      <w:r>
        <w:rPr>
          <w:rFonts w:hint="eastAsia" w:ascii="Times New Roman" w:hAnsi="Times New Roman" w:eastAsia="仿宋_GB2312" w:cs="Times New Roman"/>
          <w:sz w:val="32"/>
          <w:szCs w:val="32"/>
          <w:lang w:val="en-US" w:eastAsia="zh-CN"/>
        </w:rPr>
        <w:t>及收费标准</w:t>
      </w:r>
      <w:r>
        <w:rPr>
          <w:rFonts w:hint="eastAsia" w:ascii="Times New Roman" w:hAnsi="Times New Roman" w:eastAsia="仿宋_GB2312" w:cs="Times New Roman"/>
          <w:sz w:val="32"/>
          <w:szCs w:val="32"/>
        </w:rPr>
        <w:t>，现就进一步规范</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殡</w:t>
      </w:r>
      <w:r>
        <w:rPr>
          <w:rFonts w:hint="eastAsia" w:ascii="Times New Roman" w:hAnsi="Times New Roman" w:eastAsia="仿宋_GB2312" w:cs="Times New Roman"/>
          <w:sz w:val="32"/>
          <w:szCs w:val="32"/>
          <w:lang w:val="en-US" w:eastAsia="zh-CN"/>
        </w:rPr>
        <w:t>葬</w:t>
      </w:r>
      <w:r>
        <w:rPr>
          <w:rFonts w:hint="eastAsia" w:ascii="Times New Roman" w:hAnsi="Times New Roman" w:eastAsia="仿宋_GB2312" w:cs="Times New Roman"/>
          <w:sz w:val="32"/>
          <w:szCs w:val="32"/>
        </w:rPr>
        <w:t>服务收费有关事项通知如下。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w:t>
      </w:r>
      <w:r>
        <w:rPr>
          <w:rFonts w:hint="eastAsia" w:ascii="黑体" w:hAnsi="黑体" w:eastAsia="黑体" w:cs="黑体"/>
          <w:sz w:val="32"/>
          <w:szCs w:val="32"/>
        </w:rPr>
        <w:t>进一步规范殡仪服务收费项目及标准</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殡仪服务分为基本服务和延伸服务（选择性服务）收费，不同服务项目实行不同价格管理方式。基本服务（包括遗体接送、遗体冷藏、遗体火化、骨灰寄存等）属于行政事业性收费，执行政府定价。延伸服务（选择性服务）是指与基本服务密切相关的供群众自主选择的服务项目（包括遗体收敛、</w:t>
      </w: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遗体整理、礼厅租用等）执行政府指导价，按最高限价进行管理，下浮不限。殡葬服务单位增加新的延伸服务项目，需重新向</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民政和发改部门申请，批复同意后方可开展。此次规范主要是对服务项目进行了归类合并、取消了不合理收费项目和备案项目，对部分偏高服务价格进行了下调，修订完善后的服务项目及收费标准更加明晰，具体收费标准（详见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、进一步规范</w:t>
      </w:r>
      <w:r>
        <w:rPr>
          <w:rFonts w:hint="eastAsia" w:ascii="黑体" w:hAnsi="黑体" w:eastAsia="黑体" w:cs="黑体"/>
          <w:sz w:val="32"/>
          <w:szCs w:val="32"/>
          <w:lang w:val="en-US" w:eastAsia="zh-CN"/>
        </w:rPr>
        <w:t>公益性</w:t>
      </w:r>
      <w:r>
        <w:rPr>
          <w:rFonts w:hint="eastAsia" w:ascii="黑体" w:hAnsi="黑体" w:eastAsia="黑体" w:cs="黑体"/>
          <w:sz w:val="32"/>
          <w:szCs w:val="32"/>
          <w:lang w:eastAsia="zh-CN"/>
        </w:rPr>
        <w:t>公墓墓穴价格、</w:t>
      </w:r>
      <w:r>
        <w:rPr>
          <w:rFonts w:hint="eastAsia" w:ascii="黑体" w:hAnsi="黑体" w:eastAsia="黑体" w:cs="黑体"/>
          <w:sz w:val="32"/>
          <w:szCs w:val="32"/>
          <w:lang w:val="en-US" w:eastAsia="zh-CN"/>
        </w:rPr>
        <w:t>公墓</w:t>
      </w:r>
      <w:r>
        <w:rPr>
          <w:rFonts w:hint="eastAsia" w:ascii="黑体" w:hAnsi="黑体" w:eastAsia="黑体" w:cs="黑体"/>
          <w:sz w:val="32"/>
          <w:szCs w:val="32"/>
          <w:lang w:eastAsia="zh-CN"/>
        </w:rPr>
        <w:t>维护管理费收费标准</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农村</w:t>
      </w:r>
      <w:r>
        <w:rPr>
          <w:rFonts w:hint="default" w:ascii="Times New Roman" w:hAnsi="Times New Roman" w:eastAsia="仿宋_GB2312" w:cs="Times New Roman"/>
          <w:sz w:val="32"/>
          <w:szCs w:val="32"/>
        </w:rPr>
        <w:t>公</w:t>
      </w:r>
      <w:r>
        <w:rPr>
          <w:rFonts w:hint="eastAsia" w:ascii="Times New Roman" w:hAnsi="Times New Roman" w:eastAsia="仿宋_GB2312" w:cs="Times New Roman"/>
          <w:sz w:val="32"/>
          <w:szCs w:val="32"/>
          <w:lang w:eastAsia="zh-CN"/>
        </w:rPr>
        <w:t>益性公</w:t>
      </w:r>
      <w:r>
        <w:rPr>
          <w:rFonts w:hint="default" w:ascii="Times New Roman" w:hAnsi="Times New Roman" w:eastAsia="仿宋_GB2312" w:cs="Times New Roman"/>
          <w:sz w:val="32"/>
          <w:szCs w:val="32"/>
        </w:rPr>
        <w:t>墓</w:t>
      </w:r>
      <w:r>
        <w:rPr>
          <w:rFonts w:hint="eastAsia" w:ascii="Times New Roman" w:hAnsi="Times New Roman" w:eastAsia="仿宋_GB2312" w:cs="Times New Roman"/>
          <w:sz w:val="32"/>
          <w:szCs w:val="32"/>
          <w:lang w:eastAsia="zh-CN"/>
        </w:rPr>
        <w:t>收</w:t>
      </w:r>
      <w:r>
        <w:rPr>
          <w:rFonts w:hint="default" w:ascii="Times New Roman" w:hAnsi="Times New Roman" w:eastAsia="仿宋_GB2312" w:cs="Times New Roman"/>
          <w:sz w:val="32"/>
          <w:szCs w:val="32"/>
        </w:rPr>
        <w:t>费属经营服务性收费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实行政府指导价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公墓维护管理费指一个合同周期(20年)的维护管理费用，主要包括公墓日常管理、墓穴维护、卫生、垃圾清运、绿化等费用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公墓维护管理费实行政府指导价管理，具体收费标准（详见附件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、进一步规范殡</w:t>
      </w:r>
      <w:r>
        <w:rPr>
          <w:rFonts w:hint="eastAsia" w:ascii="黑体" w:hAnsi="黑体" w:eastAsia="黑体" w:cs="黑体"/>
          <w:sz w:val="32"/>
          <w:szCs w:val="32"/>
          <w:lang w:val="en-US" w:eastAsia="zh-CN"/>
        </w:rPr>
        <w:t>葬</w:t>
      </w:r>
      <w:r>
        <w:rPr>
          <w:rFonts w:hint="eastAsia" w:ascii="黑体" w:hAnsi="黑体" w:eastAsia="黑体" w:cs="黑体"/>
          <w:sz w:val="32"/>
          <w:szCs w:val="32"/>
        </w:rPr>
        <w:t>服务收费行为</w:t>
      </w:r>
    </w:p>
    <w:p>
      <w:pPr>
        <w:numPr>
          <w:ilvl w:val="0"/>
          <w:numId w:val="1"/>
        </w:numPr>
        <w:ind w:left="210" w:leftChars="0" w:firstLine="640"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加强收费管理。殡葬服务单位应严格执行殡</w:t>
      </w:r>
      <w:r>
        <w:rPr>
          <w:rFonts w:hint="eastAsia" w:ascii="Times New Roman" w:hAnsi="Times New Roman" w:eastAsia="仿宋_GB2312" w:cs="Times New Roman"/>
          <w:sz w:val="32"/>
          <w:szCs w:val="32"/>
          <w:lang w:val="en-US" w:eastAsia="zh-CN"/>
        </w:rPr>
        <w:t>葬</w:t>
      </w:r>
      <w:r>
        <w:rPr>
          <w:rFonts w:hint="eastAsia" w:ascii="Times New Roman" w:hAnsi="Times New Roman" w:eastAsia="仿宋_GB2312" w:cs="Times New Roman"/>
          <w:sz w:val="32"/>
          <w:szCs w:val="32"/>
        </w:rPr>
        <w:t>服务价格政策和相关政策规定，严禁擅自设立或分解收费项目、扩大收费范围、提高收费标准。殡葬服务单位在提供殡葬服务时，应由丧属自主选择服务项目，不得强行指定服务、强行搭售丧葬用品。殡葬服务单位提供殡</w:t>
      </w:r>
      <w:r>
        <w:rPr>
          <w:rFonts w:hint="eastAsia" w:ascii="Times New Roman" w:hAnsi="Times New Roman" w:eastAsia="仿宋_GB2312" w:cs="Times New Roman"/>
          <w:sz w:val="32"/>
          <w:szCs w:val="32"/>
          <w:lang w:val="en-US" w:eastAsia="zh-CN"/>
        </w:rPr>
        <w:t>葬</w:t>
      </w:r>
      <w:r>
        <w:rPr>
          <w:rFonts w:hint="eastAsia" w:ascii="Times New Roman" w:hAnsi="Times New Roman" w:eastAsia="仿宋_GB2312" w:cs="Times New Roman"/>
          <w:sz w:val="32"/>
          <w:szCs w:val="32"/>
        </w:rPr>
        <w:t>服务应与丧属或丧属委托人签订书面协议，协议内容应包括委托的事项、签约双方的权利和义务、服务项目、收费标准、收费金额等内容，并向丧属提供收费结算清单及合法票据，不得收取合同或协议约定以外的其它任何费用。</w:t>
      </w:r>
    </w:p>
    <w:p>
      <w:pPr>
        <w:numPr>
          <w:ilvl w:val="0"/>
          <w:numId w:val="1"/>
        </w:numPr>
        <w:ind w:left="210" w:leftChars="0" w:firstLine="640"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做好收费公示。殡葬服务单位应严格按照收费公示制度和明码标价的规定，在服务场所醒目位置公布服务项目、收费标准、文件依据、减免政策、举报电话（12345、12315）、殡葬服务热线（96444）、服务流程等。销售丧葬用品应明码标价，不得限制丧属使用自带的殡葬用品。</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（三）落实优惠政策。殡葬服务是面向全社会的特殊公共服务，要坚持基本殡</w:t>
      </w:r>
      <w:r>
        <w:rPr>
          <w:rFonts w:hint="eastAsia" w:ascii="Times New Roman" w:hAnsi="Times New Roman" w:eastAsia="仿宋_GB2312" w:cs="Times New Roman"/>
          <w:sz w:val="32"/>
          <w:szCs w:val="32"/>
          <w:lang w:val="en-US" w:eastAsia="zh-CN"/>
        </w:rPr>
        <w:t>葬</w:t>
      </w:r>
      <w:r>
        <w:rPr>
          <w:rFonts w:hint="eastAsia" w:ascii="Times New Roman" w:hAnsi="Times New Roman" w:eastAsia="仿宋_GB2312" w:cs="Times New Roman"/>
          <w:sz w:val="32"/>
          <w:szCs w:val="32"/>
        </w:rPr>
        <w:t>服务公益属性，全面落实各项惠民殡葬政策。殡</w:t>
      </w:r>
      <w:r>
        <w:rPr>
          <w:rFonts w:hint="eastAsia" w:ascii="Times New Roman" w:hAnsi="Times New Roman" w:eastAsia="仿宋_GB2312" w:cs="Times New Roman"/>
          <w:sz w:val="32"/>
          <w:szCs w:val="32"/>
          <w:lang w:val="en-US" w:eastAsia="zh-CN"/>
        </w:rPr>
        <w:t>葬</w:t>
      </w:r>
      <w:r>
        <w:rPr>
          <w:rFonts w:hint="eastAsia" w:ascii="Times New Roman" w:hAnsi="Times New Roman" w:eastAsia="仿宋_GB2312" w:cs="Times New Roman"/>
          <w:sz w:val="32"/>
          <w:szCs w:val="32"/>
        </w:rPr>
        <w:t>服务收费减免政策按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广元市昭化区民政局关于</w:t>
      </w:r>
      <w:r>
        <w:rPr>
          <w:rFonts w:hint="eastAsia" w:ascii="仿宋_GB2312" w:hAnsi="仿宋_GB2312" w:eastAsia="仿宋_GB2312" w:cs="仿宋_GB2312"/>
          <w:b w:val="0"/>
          <w:bCs w:val="0"/>
          <w:sz w:val="32"/>
          <w:szCs w:val="32"/>
          <w:lang w:val="en-US" w:eastAsia="zh-CN"/>
        </w:rPr>
        <w:t>进一步做好</w:t>
      </w:r>
      <w:r>
        <w:rPr>
          <w:rFonts w:hint="eastAsia" w:ascii="仿宋_GB2312" w:hAnsi="仿宋_GB2312" w:eastAsia="仿宋_GB2312" w:cs="仿宋_GB2312"/>
          <w:b w:val="0"/>
          <w:bCs w:val="0"/>
          <w:sz w:val="32"/>
          <w:szCs w:val="32"/>
        </w:rPr>
        <w:t>绿色惠民殡葬</w:t>
      </w:r>
      <w:r>
        <w:rPr>
          <w:rFonts w:hint="eastAsia" w:ascii="仿宋_GB2312" w:hAnsi="仿宋_GB2312" w:eastAsia="仿宋_GB2312" w:cs="仿宋_GB2312"/>
          <w:b w:val="0"/>
          <w:bCs w:val="0"/>
          <w:sz w:val="32"/>
          <w:szCs w:val="32"/>
          <w:lang w:val="en-US" w:eastAsia="zh-CN"/>
        </w:rPr>
        <w:t>补贴有关工作</w:t>
      </w:r>
      <w:r>
        <w:rPr>
          <w:rFonts w:hint="eastAsia" w:ascii="仿宋_GB2312" w:hAnsi="仿宋_GB2312" w:eastAsia="仿宋_GB2312" w:cs="仿宋_GB2312"/>
          <w:b w:val="0"/>
          <w:bCs w:val="0"/>
          <w:sz w:val="32"/>
          <w:szCs w:val="32"/>
        </w:rPr>
        <w:t>的通知</w:t>
      </w:r>
      <w:r>
        <w:rPr>
          <w:rFonts w:hint="eastAsia" w:ascii="仿宋_GB2312" w:hAnsi="仿宋_GB2312" w:eastAsia="仿宋_GB2312" w:cs="仿宋_GB2312"/>
          <w:b w:val="0"/>
          <w:bCs w:val="0"/>
          <w:sz w:val="32"/>
          <w:szCs w:val="32"/>
          <w:lang w:eastAsia="zh-CN"/>
        </w:rPr>
        <w:t>》（</w:t>
      </w:r>
      <w:r>
        <w:rPr>
          <w:rFonts w:hint="default" w:ascii="Times New Roman" w:hAnsi="Times New Roman" w:eastAsia="仿宋_GB2312" w:cs="Times New Roman"/>
          <w:color w:val="000000"/>
          <w:w w:val="100"/>
          <w:sz w:val="32"/>
          <w:szCs w:val="32"/>
        </w:rPr>
        <w:t>昭民发〔2019〕</w:t>
      </w:r>
      <w:r>
        <w:rPr>
          <w:rFonts w:hint="default" w:ascii="Times New Roman" w:hAnsi="Times New Roman" w:eastAsia="仿宋_GB2312" w:cs="Times New Roman"/>
          <w:color w:val="000000"/>
          <w:w w:val="100"/>
          <w:sz w:val="32"/>
          <w:szCs w:val="32"/>
          <w:lang w:val="en-US" w:eastAsia="zh-CN"/>
        </w:rPr>
        <w:t>33</w:t>
      </w:r>
      <w:r>
        <w:rPr>
          <w:rFonts w:hint="default" w:ascii="Times New Roman" w:hAnsi="Times New Roman" w:eastAsia="仿宋_GB2312" w:cs="Times New Roman"/>
          <w:color w:val="000000"/>
          <w:w w:val="100"/>
          <w:sz w:val="32"/>
          <w:szCs w:val="32"/>
        </w:rPr>
        <w:t>号</w:t>
      </w:r>
      <w:r>
        <w:rPr>
          <w:rFonts w:hint="eastAsia" w:ascii="Times New Roman" w:hAnsi="Times New Roman" w:eastAsia="仿宋_GB2312" w:cs="Times New Roman"/>
          <w:color w:val="000000"/>
          <w:w w:val="100"/>
          <w:sz w:val="32"/>
          <w:szCs w:val="32"/>
          <w:lang w:eastAsia="zh-CN"/>
        </w:rPr>
        <w:t>）</w:t>
      </w:r>
      <w:r>
        <w:rPr>
          <w:rFonts w:hint="eastAsia" w:ascii="Times New Roman" w:hAnsi="Times New Roman" w:eastAsia="仿宋_GB2312" w:cs="Times New Roman"/>
          <w:sz w:val="32"/>
          <w:szCs w:val="32"/>
        </w:rPr>
        <w:t>要求和省、市关于深化殡葬改革的相关意见执行。</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、执行时间</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本通知自印发之日起执行。广元市</w:t>
      </w:r>
      <w:r>
        <w:rPr>
          <w:rFonts w:hint="eastAsia" w:ascii="Times New Roman" w:hAnsi="Times New Roman" w:eastAsia="仿宋_GB2312" w:cs="Times New Roman"/>
          <w:sz w:val="32"/>
          <w:szCs w:val="32"/>
          <w:lang w:eastAsia="zh-CN"/>
        </w:rPr>
        <w:t>昭化区</w:t>
      </w:r>
      <w:r>
        <w:rPr>
          <w:rFonts w:hint="eastAsia" w:ascii="Times New Roman" w:hAnsi="Times New Roman" w:eastAsia="仿宋_GB2312" w:cs="Times New Roman"/>
          <w:sz w:val="32"/>
          <w:szCs w:val="32"/>
        </w:rPr>
        <w:t>发展和改革</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rPr>
        <w:t>关于</w:t>
      </w:r>
      <w:r>
        <w:rPr>
          <w:rFonts w:hint="eastAsia" w:ascii="Times New Roman" w:hAnsi="Times New Roman" w:eastAsia="仿宋_GB2312" w:cs="Times New Roman"/>
          <w:sz w:val="32"/>
          <w:szCs w:val="32"/>
          <w:lang w:eastAsia="zh-CN"/>
        </w:rPr>
        <w:t>调整龙山</w:t>
      </w:r>
      <w:r>
        <w:rPr>
          <w:rFonts w:hint="eastAsia" w:ascii="Times New Roman" w:hAnsi="Times New Roman" w:eastAsia="仿宋_GB2312" w:cs="Times New Roman"/>
          <w:sz w:val="32"/>
          <w:szCs w:val="32"/>
        </w:rPr>
        <w:t>公墓维护管理费收费标准的</w:t>
      </w:r>
      <w:r>
        <w:rPr>
          <w:rFonts w:hint="eastAsia" w:ascii="Times New Roman" w:hAnsi="Times New Roman" w:eastAsia="仿宋_GB2312" w:cs="Times New Roman"/>
          <w:sz w:val="32"/>
          <w:szCs w:val="32"/>
          <w:lang w:eastAsia="zh-CN"/>
        </w:rPr>
        <w:t>批复》（</w:t>
      </w:r>
      <w:r>
        <w:rPr>
          <w:rFonts w:hint="eastAsia" w:ascii="Times New Roman" w:hAnsi="Times New Roman" w:eastAsia="仿宋_GB2312" w:cs="Times New Roman"/>
          <w:sz w:val="32"/>
          <w:szCs w:val="32"/>
        </w:rPr>
        <w:t>昭发改发〔20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121号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广元市昭化区发展和改革局 广元市昭化区民政局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关于规范区殡仪服务中心殡葬服务收费项目标准的批复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昭发改</w:t>
      </w:r>
      <w:r>
        <w:rPr>
          <w:rFonts w:hint="default" w:ascii="Times New Roman" w:hAnsi="Times New Roman" w:eastAsia="仿宋_GB2312" w:cs="Times New Roman"/>
          <w:sz w:val="32"/>
          <w:szCs w:val="32"/>
        </w:rPr>
        <w:t>发〔20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67</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）、广元市昭化区发展和改革局《关于松鹤公墓墓穴价格及维护管理费收费标准的批复》（昭发改发〔20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69</w:t>
      </w:r>
      <w:r>
        <w:rPr>
          <w:rFonts w:hint="eastAsia"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rPr>
        <w:t>同时废止。国家、省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rPr>
        <w:t>对殡葬服务收费另有规定的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从其规定。</w:t>
      </w:r>
    </w:p>
    <w:p>
      <w:pPr>
        <w:pStyle w:val="2"/>
        <w:ind w:left="2018" w:leftChars="504" w:hanging="960" w:hangingChars="3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广元市</w:t>
      </w:r>
      <w:r>
        <w:rPr>
          <w:rFonts w:hint="eastAsia" w:ascii="Times New Roman" w:hAnsi="Times New Roman" w:eastAsia="仿宋_GB2312" w:cs="Times New Roman"/>
          <w:sz w:val="32"/>
          <w:szCs w:val="32"/>
          <w:lang w:val="en-US" w:eastAsia="zh-CN"/>
        </w:rPr>
        <w:t>昭化区</w:t>
      </w:r>
      <w:r>
        <w:rPr>
          <w:rFonts w:hint="eastAsia" w:ascii="Times New Roman" w:hAnsi="Times New Roman" w:eastAsia="仿宋_GB2312" w:cs="Times New Roman"/>
          <w:sz w:val="32"/>
          <w:szCs w:val="32"/>
        </w:rPr>
        <w:t>殡仪服务</w:t>
      </w:r>
      <w:r>
        <w:rPr>
          <w:rFonts w:hint="eastAsia" w:ascii="Times New Roman" w:hAnsi="Times New Roman" w:eastAsia="仿宋_GB2312" w:cs="Times New Roman"/>
          <w:sz w:val="32"/>
          <w:szCs w:val="32"/>
          <w:lang w:val="en-US" w:eastAsia="zh-CN"/>
        </w:rPr>
        <w:t>中心</w:t>
      </w:r>
      <w:r>
        <w:rPr>
          <w:rFonts w:hint="eastAsia" w:ascii="Times New Roman" w:hAnsi="Times New Roman" w:eastAsia="仿宋_GB2312" w:cs="Times New Roman"/>
          <w:sz w:val="32"/>
          <w:szCs w:val="32"/>
        </w:rPr>
        <w:t>收费项目及收费标准表</w:t>
      </w:r>
    </w:p>
    <w:p>
      <w:pPr>
        <w:numPr>
          <w:ilvl w:val="0"/>
          <w:numId w:val="0"/>
        </w:numPr>
        <w:ind w:left="2078" w:left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2.广元市昭化区元坝镇松鹤公益性公墓墓穴价格及维护管理费收费标准表</w:t>
      </w:r>
    </w:p>
    <w:p>
      <w:pPr>
        <w:numPr>
          <w:ilvl w:val="0"/>
          <w:numId w:val="0"/>
        </w:numPr>
        <w:ind w:left="2078" w:left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3.昭化龙山公益性公墓墓穴价格及维护管理费收费标准表</w:t>
      </w:r>
    </w:p>
    <w:p>
      <w:pPr>
        <w:numPr>
          <w:ilvl w:val="0"/>
          <w:numId w:val="0"/>
        </w:numPr>
        <w:ind w:left="1920" w:hanging="1920" w:hangingChars="6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4.广元市青龙山公墓维护管理费收费标准表</w:t>
      </w:r>
    </w:p>
    <w:p>
      <w:pPr>
        <w:numPr>
          <w:ilvl w:val="0"/>
          <w:numId w:val="0"/>
        </w:num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ind w:left="0" w:leftChars="0" w:firstLine="0" w:firstLineChars="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广元市昭化区殡仪服务中心收费项目</w:t>
      </w:r>
    </w:p>
    <w:p>
      <w:pPr>
        <w:pStyle w:val="2"/>
        <w:ind w:left="0" w:leftChars="0" w:firstLine="0" w:firstLineChars="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及收费标准表</w:t>
      </w:r>
    </w:p>
    <w:tbl>
      <w:tblPr>
        <w:tblStyle w:val="8"/>
        <w:tblW w:w="5672" w:type="pct"/>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47"/>
        <w:gridCol w:w="1290"/>
        <w:gridCol w:w="1003"/>
        <w:gridCol w:w="1021"/>
        <w:gridCol w:w="287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39" w:type="pct"/>
            <w:noWrap w:val="0"/>
            <w:vAlign w:val="center"/>
          </w:tcPr>
          <w:p>
            <w:pPr>
              <w:pStyle w:val="2"/>
              <w:ind w:left="0" w:leftChars="0" w:firstLine="0" w:firstLineChars="0"/>
              <w:jc w:val="center"/>
              <w:rPr>
                <w:rFonts w:hint="eastAsia" w:ascii="黑体" w:hAnsi="黑体" w:eastAsia="黑体" w:cs="黑体"/>
                <w:sz w:val="21"/>
                <w:szCs w:val="21"/>
                <w:vertAlign w:val="baseline"/>
              </w:rPr>
            </w:pPr>
            <w:r>
              <w:rPr>
                <w:rFonts w:hint="eastAsia" w:ascii="黑体" w:hAnsi="黑体" w:eastAsia="黑体" w:cs="黑体"/>
                <w:b/>
                <w:bCs/>
                <w:i w:val="0"/>
                <w:iCs w:val="0"/>
                <w:color w:val="000000"/>
                <w:kern w:val="0"/>
                <w:sz w:val="21"/>
                <w:szCs w:val="21"/>
                <w:u w:val="none"/>
                <w:lang w:val="en-US" w:eastAsia="zh-CN" w:bidi="ar"/>
              </w:rPr>
              <w:t>项目编码</w:t>
            </w:r>
          </w:p>
        </w:tc>
        <w:tc>
          <w:tcPr>
            <w:tcW w:w="708" w:type="pct"/>
            <w:gridSpan w:val="2"/>
            <w:noWrap w:val="0"/>
            <w:vAlign w:val="center"/>
          </w:tcPr>
          <w:p>
            <w:pPr>
              <w:pStyle w:val="2"/>
              <w:ind w:left="0" w:leftChars="0" w:firstLine="0" w:firstLineChars="0"/>
              <w:jc w:val="center"/>
              <w:rPr>
                <w:rFonts w:hint="eastAsia" w:ascii="黑体" w:hAnsi="黑体" w:eastAsia="黑体" w:cs="黑体"/>
                <w:sz w:val="21"/>
                <w:szCs w:val="21"/>
                <w:vertAlign w:val="baseline"/>
              </w:rPr>
            </w:pPr>
            <w:r>
              <w:rPr>
                <w:rFonts w:hint="eastAsia" w:ascii="黑体" w:hAnsi="黑体" w:eastAsia="黑体" w:cs="黑体"/>
                <w:b/>
                <w:bCs/>
                <w:i w:val="0"/>
                <w:iCs w:val="0"/>
                <w:color w:val="000000"/>
                <w:kern w:val="0"/>
                <w:sz w:val="21"/>
                <w:szCs w:val="21"/>
                <w:u w:val="none"/>
                <w:lang w:val="en-US" w:eastAsia="zh-CN" w:bidi="ar"/>
              </w:rPr>
              <w:t>收费项目</w:t>
            </w:r>
          </w:p>
        </w:tc>
        <w:tc>
          <w:tcPr>
            <w:tcW w:w="433" w:type="pct"/>
            <w:noWrap w:val="0"/>
            <w:vAlign w:val="center"/>
          </w:tcPr>
          <w:p>
            <w:pPr>
              <w:pStyle w:val="2"/>
              <w:ind w:left="0" w:leftChars="0" w:firstLine="0" w:firstLineChars="0"/>
              <w:jc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计价</w:t>
            </w:r>
          </w:p>
          <w:p>
            <w:pPr>
              <w:pStyle w:val="2"/>
              <w:ind w:left="0" w:leftChars="0" w:firstLine="0" w:firstLineChars="0"/>
              <w:jc w:val="center"/>
              <w:rPr>
                <w:rFonts w:hint="eastAsia" w:ascii="黑体" w:hAnsi="黑体" w:eastAsia="黑体" w:cs="黑体"/>
                <w:sz w:val="21"/>
                <w:szCs w:val="21"/>
                <w:vertAlign w:val="baseline"/>
              </w:rPr>
            </w:pPr>
            <w:r>
              <w:rPr>
                <w:rFonts w:hint="eastAsia" w:ascii="黑体" w:hAnsi="黑体" w:eastAsia="黑体" w:cs="黑体"/>
                <w:b/>
                <w:bCs/>
                <w:i w:val="0"/>
                <w:iCs w:val="0"/>
                <w:color w:val="000000"/>
                <w:kern w:val="0"/>
                <w:sz w:val="21"/>
                <w:szCs w:val="21"/>
                <w:u w:val="none"/>
                <w:lang w:val="en-US" w:eastAsia="zh-CN" w:bidi="ar"/>
              </w:rPr>
              <w:t>单位</w:t>
            </w:r>
          </w:p>
        </w:tc>
        <w:tc>
          <w:tcPr>
            <w:tcW w:w="441" w:type="pct"/>
            <w:noWrap w:val="0"/>
            <w:vAlign w:val="center"/>
          </w:tcPr>
          <w:p>
            <w:pPr>
              <w:pStyle w:val="2"/>
              <w:ind w:left="0" w:leftChars="0" w:firstLine="0" w:firstLineChars="0"/>
              <w:jc w:val="center"/>
              <w:rPr>
                <w:rFonts w:hint="eastAsia" w:ascii="黑体" w:hAnsi="黑体" w:eastAsia="黑体" w:cs="黑体"/>
                <w:sz w:val="21"/>
                <w:szCs w:val="21"/>
                <w:vertAlign w:val="baseline"/>
              </w:rPr>
            </w:pPr>
            <w:r>
              <w:rPr>
                <w:rFonts w:hint="eastAsia" w:ascii="黑体" w:hAnsi="黑体" w:eastAsia="黑体" w:cs="黑体"/>
                <w:b/>
                <w:bCs/>
                <w:i w:val="0"/>
                <w:iCs w:val="0"/>
                <w:color w:val="000000"/>
                <w:kern w:val="0"/>
                <w:sz w:val="21"/>
                <w:szCs w:val="21"/>
                <w:u w:val="none"/>
                <w:lang w:val="en-US" w:eastAsia="zh-CN" w:bidi="ar"/>
              </w:rPr>
              <w:t>收费标准（元）</w:t>
            </w:r>
          </w:p>
        </w:tc>
        <w:tc>
          <w:tcPr>
            <w:tcW w:w="1242" w:type="pct"/>
            <w:noWrap w:val="0"/>
            <w:vAlign w:val="center"/>
          </w:tcPr>
          <w:p>
            <w:pPr>
              <w:pStyle w:val="2"/>
              <w:ind w:left="0" w:leftChars="0" w:firstLine="0" w:firstLineChars="0"/>
              <w:jc w:val="center"/>
              <w:rPr>
                <w:rFonts w:hint="eastAsia" w:ascii="黑体" w:hAnsi="黑体" w:eastAsia="黑体" w:cs="黑体"/>
                <w:sz w:val="21"/>
                <w:szCs w:val="21"/>
                <w:vertAlign w:val="baseline"/>
              </w:rPr>
            </w:pPr>
            <w:r>
              <w:rPr>
                <w:rFonts w:hint="eastAsia" w:ascii="黑体" w:hAnsi="黑体" w:eastAsia="黑体" w:cs="黑体"/>
                <w:b/>
                <w:bCs/>
                <w:i w:val="0"/>
                <w:iCs w:val="0"/>
                <w:color w:val="000000"/>
                <w:kern w:val="0"/>
                <w:sz w:val="21"/>
                <w:szCs w:val="21"/>
                <w:u w:val="none"/>
                <w:lang w:val="en-US" w:eastAsia="zh-CN" w:bidi="ar"/>
              </w:rPr>
              <w:t>服务内容</w:t>
            </w:r>
          </w:p>
        </w:tc>
        <w:tc>
          <w:tcPr>
            <w:tcW w:w="817" w:type="pct"/>
            <w:noWrap w:val="0"/>
            <w:vAlign w:val="center"/>
          </w:tcPr>
          <w:p>
            <w:pPr>
              <w:pStyle w:val="2"/>
              <w:ind w:left="0" w:leftChars="0" w:firstLine="0" w:firstLineChars="0"/>
              <w:jc w:val="center"/>
              <w:rPr>
                <w:rFonts w:hint="eastAsia" w:ascii="黑体" w:hAnsi="黑体" w:eastAsia="黑体" w:cs="黑体"/>
                <w:sz w:val="21"/>
                <w:szCs w:val="21"/>
                <w:vertAlign w:val="baseline"/>
              </w:rPr>
            </w:pPr>
            <w:r>
              <w:rPr>
                <w:rFonts w:hint="eastAsia" w:ascii="黑体" w:hAnsi="黑体" w:eastAsia="黑体" w:cs="黑体"/>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182" w:type="pct"/>
            <w:gridSpan w:val="7"/>
            <w:noWrap w:val="0"/>
            <w:vAlign w:val="top"/>
          </w:tcPr>
          <w:p>
            <w:pPr>
              <w:pStyle w:val="2"/>
              <w:ind w:firstLine="2168" w:firstLineChars="900"/>
              <w:rPr>
                <w:rFonts w:hint="eastAsia" w:ascii="黑体" w:hAnsi="黑体" w:eastAsia="黑体" w:cs="黑体"/>
                <w:vertAlign w:val="baseline"/>
              </w:rPr>
            </w:pPr>
            <w:r>
              <w:rPr>
                <w:rFonts w:hint="eastAsia" w:ascii="黑体" w:hAnsi="黑体" w:eastAsia="黑体" w:cs="黑体"/>
                <w:b/>
                <w:bCs/>
                <w:i w:val="0"/>
                <w:iCs w:val="0"/>
                <w:color w:val="000000"/>
                <w:kern w:val="0"/>
                <w:sz w:val="24"/>
                <w:szCs w:val="24"/>
                <w:u w:val="none"/>
                <w:lang w:val="en-US" w:eastAsia="zh-CN" w:bidi="ar"/>
              </w:rPr>
              <w:t>基本服务项目类（政府定价）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9" w:type="pct"/>
            <w:noWrap w:val="0"/>
            <w:vAlign w:val="center"/>
          </w:tcPr>
          <w:p>
            <w:pPr>
              <w:pStyle w:val="2"/>
              <w:ind w:left="0" w:leftChars="0" w:firstLine="0" w:firstLineChars="0"/>
              <w:jc w:val="center"/>
              <w:rPr>
                <w:rFonts w:hint="eastAsia"/>
                <w:vertAlign w:val="baseline"/>
              </w:rPr>
            </w:pPr>
            <w:r>
              <w:rPr>
                <w:rFonts w:hint="eastAsia" w:ascii="宋体" w:hAnsi="宋体" w:eastAsia="宋体" w:cs="宋体"/>
                <w:i w:val="0"/>
                <w:iCs w:val="0"/>
                <w:color w:val="000000"/>
                <w:kern w:val="0"/>
                <w:sz w:val="24"/>
                <w:szCs w:val="24"/>
                <w:u w:val="none"/>
                <w:lang w:val="en-US" w:eastAsia="zh-CN" w:bidi="ar"/>
              </w:rPr>
              <w:t>010000</w:t>
            </w:r>
          </w:p>
        </w:tc>
        <w:tc>
          <w:tcPr>
            <w:tcW w:w="2826" w:type="pct"/>
            <w:gridSpan w:val="5"/>
            <w:noWrap w:val="0"/>
            <w:vAlign w:val="center"/>
          </w:tcPr>
          <w:p>
            <w:pPr>
              <w:pStyle w:val="2"/>
              <w:jc w:val="center"/>
              <w:rPr>
                <w:rFonts w:hint="eastAsia"/>
                <w:vertAlign w:val="baseline"/>
              </w:rPr>
            </w:pPr>
            <w:r>
              <w:rPr>
                <w:rFonts w:hint="default" w:ascii="黑体" w:hAnsi="黑体" w:eastAsia="黑体" w:cs="黑体"/>
                <w:b/>
                <w:bCs/>
                <w:i w:val="0"/>
                <w:iCs w:val="0"/>
                <w:color w:val="000000"/>
                <w:kern w:val="0"/>
                <w:sz w:val="24"/>
                <w:szCs w:val="24"/>
                <w:u w:val="none"/>
                <w:lang w:val="en-US" w:eastAsia="zh-CN" w:bidi="ar"/>
              </w:rPr>
              <w:t>一、遗体接运</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010204</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遗体</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Times New Roman"/>
                <w:b/>
                <w:kern w:val="0"/>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抬运</w:t>
            </w:r>
          </w:p>
        </w:tc>
        <w:tc>
          <w:tcPr>
            <w:tcW w:w="43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Times New Roman"/>
                <w:kern w:val="0"/>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元/具</w:t>
            </w:r>
          </w:p>
        </w:tc>
        <w:tc>
          <w:tcPr>
            <w:tcW w:w="44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24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从遗体接运地至馆内由遗体接运工搬运遗体。（含中心内、外接抬)</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010205</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58"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遗体运送（殡仪车服务）</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元/具</w:t>
            </w:r>
          </w:p>
        </w:tc>
        <w:tc>
          <w:tcPr>
            <w:tcW w:w="441"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90</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租用殡仪车接运遗体，</w:t>
            </w:r>
            <w:r>
              <w:rPr>
                <w:rFonts w:hint="default" w:ascii="宋体" w:hAnsi="宋体" w:eastAsia="宋体" w:cs="宋体"/>
                <w:i w:val="0"/>
                <w:iCs w:val="0"/>
                <w:color w:val="000000"/>
                <w:kern w:val="0"/>
                <w:sz w:val="24"/>
                <w:szCs w:val="24"/>
                <w:u w:val="none"/>
                <w:lang w:val="en-US" w:eastAsia="zh-CN" w:bidi="ar"/>
              </w:rPr>
              <w:t>按往返实际公里计算，</w:t>
            </w:r>
            <w:r>
              <w:rPr>
                <w:rFonts w:hint="eastAsia" w:ascii="宋体" w:hAnsi="宋体" w:eastAsia="宋体" w:cs="宋体"/>
                <w:i w:val="0"/>
                <w:iCs w:val="0"/>
                <w:color w:val="000000"/>
                <w:kern w:val="0"/>
                <w:sz w:val="24"/>
                <w:szCs w:val="24"/>
                <w:u w:val="none"/>
                <w:lang w:val="en-US" w:eastAsia="zh-CN" w:bidi="ar"/>
              </w:rPr>
              <w:t>往返距离在10公里以内的，遗体接运收费标准为90元/具；超过10公里以上的每增加1公里加收3.</w:t>
            </w:r>
            <w:r>
              <w:rPr>
                <w:rFonts w:hint="default" w:ascii="宋体" w:hAnsi="宋体" w:eastAsia="宋体" w:cs="宋体"/>
                <w:i w:val="0"/>
                <w:iCs w:val="0"/>
                <w:color w:val="000000"/>
                <w:kern w:val="0"/>
                <w:sz w:val="24"/>
                <w:szCs w:val="24"/>
                <w:u w:val="none"/>
                <w:lang w:val="en-US" w:eastAsia="zh-CN" w:bidi="ar"/>
              </w:rPr>
              <w:t>5元</w:t>
            </w:r>
            <w:r>
              <w:rPr>
                <w:rFonts w:hint="eastAsia" w:ascii="宋体" w:hAnsi="宋体" w:eastAsia="宋体" w:cs="宋体"/>
                <w:i w:val="0"/>
                <w:iCs w:val="0"/>
                <w:color w:val="000000"/>
                <w:kern w:val="0"/>
                <w:sz w:val="24"/>
                <w:szCs w:val="24"/>
                <w:u w:val="none"/>
                <w:lang w:val="en-US" w:eastAsia="zh-CN" w:bidi="ar"/>
              </w:rPr>
              <w:t>。客户搭乘殡仪车的不加收费用。</w:t>
            </w:r>
          </w:p>
        </w:tc>
        <w:tc>
          <w:tcPr>
            <w:tcW w:w="817"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租用殡仪车将遗体（骨灰）运送至广元市以外的其他遗体（骨灰）处理地点，租车服务价格由双方协商签字确认。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020000</w:t>
            </w:r>
          </w:p>
        </w:tc>
        <w:tc>
          <w:tcPr>
            <w:tcW w:w="2826" w:type="pct"/>
            <w:gridSpan w:val="5"/>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二、遗体存放（遗体防腐保存）</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020101</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58"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遗体低温防腐保存-组合柜冷藏</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元/小时</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w:t>
            </w:r>
          </w:p>
        </w:tc>
        <w:tc>
          <w:tcPr>
            <w:tcW w:w="441" w:type="pct"/>
            <w:noWrap w:val="0"/>
            <w:vAlign w:val="center"/>
          </w:tcPr>
          <w:p>
            <w:pPr>
              <w:pStyle w:val="2"/>
              <w:ind w:left="0" w:leftChars="0" w:firstLine="0" w:firstLineChars="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将遗体放入组合冷藏或冷冻设备内，以低温方式保存遗体。多具遗体于一个房间内共同冷藏。不足1小时按1小时计。</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39" w:type="pct"/>
            <w:vMerge w:val="restar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020201</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58" w:type="pct"/>
            <w:vMerge w:val="restar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单体</w:t>
            </w:r>
          </w:p>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冷藏</w:t>
            </w:r>
          </w:p>
        </w:tc>
        <w:tc>
          <w:tcPr>
            <w:tcW w:w="433" w:type="pct"/>
            <w:vMerge w:val="restar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元/天</w:t>
            </w:r>
          </w:p>
        </w:tc>
        <w:tc>
          <w:tcPr>
            <w:tcW w:w="441" w:type="pct"/>
            <w:noWrap w:val="0"/>
            <w:vAlign w:val="center"/>
          </w:tcPr>
          <w:p>
            <w:pPr>
              <w:pStyle w:val="2"/>
              <w:ind w:left="0" w:leftChars="0" w:firstLine="0" w:firstLineChars="0"/>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180</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单独冷藏遗体：配置空调、饮水机、纸杯、独立冷藏柜，不足12小时按半天计，超过12小时按1天计。</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558" w:type="pct"/>
            <w:vMerge w:val="continue"/>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p>
        </w:tc>
        <w:tc>
          <w:tcPr>
            <w:tcW w:w="433" w:type="pct"/>
            <w:vMerge w:val="continue"/>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p>
        </w:tc>
        <w:tc>
          <w:tcPr>
            <w:tcW w:w="441" w:type="pct"/>
            <w:noWrap w:val="0"/>
            <w:vAlign w:val="center"/>
          </w:tcPr>
          <w:p>
            <w:pPr>
              <w:pStyle w:val="2"/>
              <w:ind w:left="0" w:leftChars="0" w:firstLine="0" w:firstLineChars="0"/>
              <w:jc w:val="center"/>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380</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单独冷藏遗体：配置休息室、空调、饮水机、纸杯、独立冷藏柜，不足12小时按半天计，超过12小时按1天计。</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050700</w:t>
            </w:r>
          </w:p>
        </w:tc>
        <w:tc>
          <w:tcPr>
            <w:tcW w:w="2826" w:type="pct"/>
            <w:gridSpan w:val="5"/>
            <w:noWrap w:val="0"/>
            <w:vAlign w:val="center"/>
          </w:tcPr>
          <w:p>
            <w:pPr>
              <w:pStyle w:val="2"/>
              <w:ind w:firstLine="2409" w:firstLineChars="1000"/>
              <w:jc w:val="both"/>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三、骨灰暂存</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050700</w:t>
            </w:r>
          </w:p>
        </w:tc>
        <w:tc>
          <w:tcPr>
            <w:tcW w:w="150"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558"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骨灰</w:t>
            </w:r>
          </w:p>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暂存</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元/年·盒</w:t>
            </w:r>
          </w:p>
        </w:tc>
        <w:tc>
          <w:tcPr>
            <w:tcW w:w="441"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骨灰存放于骨灰寄存室的骨灰架内。不足半年按20元收取,超过半年不足一年的按一年收取。</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82" w:type="pct"/>
            <w:gridSpan w:val="7"/>
            <w:noWrap w:val="0"/>
            <w:vAlign w:val="center"/>
          </w:tcPr>
          <w:p>
            <w:pPr>
              <w:pStyle w:val="2"/>
              <w:jc w:val="center"/>
              <w:rPr>
                <w:rFonts w:hint="eastAsia"/>
                <w:vertAlign w:val="baseline"/>
              </w:rPr>
            </w:pPr>
            <w:r>
              <w:rPr>
                <w:rFonts w:hint="eastAsia" w:ascii="黑体" w:hAnsi="黑体" w:eastAsia="黑体" w:cs="黑体"/>
                <w:b/>
                <w:bCs/>
                <w:i w:val="0"/>
                <w:iCs w:val="0"/>
                <w:color w:val="000000"/>
                <w:kern w:val="0"/>
                <w:sz w:val="24"/>
                <w:szCs w:val="24"/>
                <w:u w:val="none"/>
                <w:lang w:val="en-US" w:eastAsia="zh-CN" w:bidi="ar"/>
              </w:rPr>
              <w:t xml:space="preserve">   延伸服务项目类（政府指导价）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010200</w:t>
            </w:r>
          </w:p>
        </w:tc>
        <w:tc>
          <w:tcPr>
            <w:tcW w:w="2826" w:type="pct"/>
            <w:gridSpan w:val="5"/>
            <w:noWrap w:val="0"/>
            <w:vAlign w:val="center"/>
          </w:tcPr>
          <w:p>
            <w:pPr>
              <w:pStyle w:val="2"/>
              <w:ind w:left="0" w:leftChars="0" w:firstLine="0" w:firstLineChars="0"/>
              <w:jc w:val="center"/>
              <w:rPr>
                <w:rFonts w:hint="eastAsia"/>
                <w:vertAlign w:val="baseline"/>
              </w:rPr>
            </w:pPr>
            <w:r>
              <w:rPr>
                <w:rFonts w:hint="eastAsia" w:ascii="黑体" w:hAnsi="黑体" w:eastAsia="黑体" w:cs="黑体"/>
                <w:b/>
                <w:bCs/>
                <w:i w:val="0"/>
                <w:iCs w:val="0"/>
                <w:color w:val="000000"/>
                <w:kern w:val="0"/>
                <w:sz w:val="24"/>
                <w:szCs w:val="24"/>
                <w:u w:val="none"/>
                <w:lang w:val="en-US" w:eastAsia="zh-CN" w:bidi="ar"/>
              </w:rPr>
              <w:t>一、遗体收殓</w:t>
            </w:r>
          </w:p>
        </w:tc>
        <w:tc>
          <w:tcPr>
            <w:tcW w:w="817" w:type="pct"/>
            <w:noWrap w:val="0"/>
            <w:vAlign w:val="center"/>
          </w:tcPr>
          <w:p>
            <w:pPr>
              <w:pStyle w:val="2"/>
              <w:ind w:left="0" w:leftChars="0" w:firstLine="0" w:firstLineChars="0"/>
              <w:jc w:val="center"/>
              <w:rPr>
                <w:rFonts w:hint="eastAsia" w:ascii="黑体" w:hAnsi="黑体" w:eastAsia="黑体" w:cs="黑体"/>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010202</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8"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正常死亡遗体收敛</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元/具</w:t>
            </w:r>
          </w:p>
        </w:tc>
        <w:tc>
          <w:tcPr>
            <w:tcW w:w="441"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对正常死亡遗体进行消毒处理后装敛(含清洁袋耗材)。</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010203</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58"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非正常死亡遗体收敛</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元/具</w:t>
            </w:r>
          </w:p>
        </w:tc>
        <w:tc>
          <w:tcPr>
            <w:tcW w:w="441"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按规定程序对非正常原因死亡(含传染性疾病死亡、高度腐烂)遗体进行消毒处置后装敛(含清洁袋耗材)。</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030000</w:t>
            </w:r>
          </w:p>
        </w:tc>
        <w:tc>
          <w:tcPr>
            <w:tcW w:w="2826" w:type="pct"/>
            <w:gridSpan w:val="5"/>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二、遗体整理</w:t>
            </w:r>
          </w:p>
        </w:tc>
        <w:tc>
          <w:tcPr>
            <w:tcW w:w="817" w:type="pct"/>
            <w:noWrap w:val="0"/>
            <w:vAlign w:val="center"/>
          </w:tcPr>
          <w:p>
            <w:pPr>
              <w:pStyle w:val="2"/>
              <w:ind w:left="0" w:leftChars="0" w:firstLine="0" w:firstLineChars="0"/>
              <w:jc w:val="center"/>
              <w:rPr>
                <w:rFonts w:hint="eastAsia" w:ascii="黑体" w:hAnsi="黑体" w:eastAsia="黑体" w:cs="黑体"/>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030200 030300 030401</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58"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遗体洁身、遗体更衣、遗体化妆</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元/具</w:t>
            </w:r>
          </w:p>
        </w:tc>
        <w:tc>
          <w:tcPr>
            <w:tcW w:w="441"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对遗体进行清洁卫生处理、按殡仪程序或客户要求对正常遗体更换衣物、对遗体容貌进行修饰和美化。其中选择单项按140元/具计费。</w:t>
            </w:r>
          </w:p>
        </w:tc>
        <w:tc>
          <w:tcPr>
            <w:tcW w:w="817" w:type="pct"/>
            <w:noWrap w:val="0"/>
            <w:vAlign w:val="center"/>
          </w:tcPr>
          <w:p>
            <w:pPr>
              <w:pStyle w:val="2"/>
              <w:ind w:left="0" w:leftChars="0" w:firstLine="0" w:firstLineChars="0"/>
              <w:jc w:val="both"/>
              <w:rPr>
                <w:rFonts w:hint="eastAsia"/>
              </w:rPr>
            </w:pPr>
            <w:r>
              <w:rPr>
                <w:rFonts w:hint="eastAsia"/>
              </w:rPr>
              <w:t>对非正常遗体进行整理和修补，对变形、破损的遗体进行外形修复，服务价格根据客户要求由双方协商签字确认（含耗材）。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030600</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58"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协助</w:t>
            </w:r>
          </w:p>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尸检</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元/具</w:t>
            </w:r>
          </w:p>
        </w:tc>
        <w:tc>
          <w:tcPr>
            <w:tcW w:w="441"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242"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按规定程序协助进行遗体解剖和检验。租用解剖室协助尸检，租用解剖室加收200元。</w:t>
            </w:r>
          </w:p>
        </w:tc>
        <w:tc>
          <w:tcPr>
            <w:tcW w:w="817" w:type="pct"/>
            <w:noWrap w:val="0"/>
            <w:vAlign w:val="center"/>
          </w:tcPr>
          <w:p>
            <w:pPr>
              <w:bidi w:val="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040000</w:t>
            </w:r>
          </w:p>
        </w:tc>
        <w:tc>
          <w:tcPr>
            <w:tcW w:w="2826" w:type="pct"/>
            <w:gridSpan w:val="5"/>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三、殡仪服务</w:t>
            </w:r>
          </w:p>
        </w:tc>
        <w:tc>
          <w:tcPr>
            <w:tcW w:w="817" w:type="pct"/>
            <w:noWrap w:val="0"/>
            <w:vAlign w:val="center"/>
          </w:tcPr>
          <w:p>
            <w:pPr>
              <w:pStyle w:val="2"/>
              <w:ind w:left="0" w:leftChars="0" w:firstLine="0" w:firstLineChars="0"/>
              <w:jc w:val="center"/>
              <w:rPr>
                <w:rFonts w:hint="eastAsia" w:ascii="黑体" w:hAnsi="黑体" w:eastAsia="黑体" w:cs="黑体"/>
                <w:b/>
                <w:bCs/>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040102</w:t>
            </w:r>
          </w:p>
        </w:tc>
        <w:tc>
          <w:tcPr>
            <w:tcW w:w="150"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558" w:type="pct"/>
            <w:noWrap w:val="0"/>
            <w:vAlign w:val="center"/>
          </w:tcPr>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礼厅</w:t>
            </w:r>
          </w:p>
          <w:p>
            <w:pPr>
              <w:pStyle w:val="2"/>
              <w:ind w:left="0" w:leftChars="0" w:firstLine="0" w:firstLine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租用</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2小时内</w:t>
            </w:r>
          </w:p>
        </w:tc>
        <w:tc>
          <w:tcPr>
            <w:tcW w:w="441"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300元</w:t>
            </w:r>
          </w:p>
        </w:tc>
        <w:tc>
          <w:tcPr>
            <w:tcW w:w="1242" w:type="pct"/>
            <w:noWrap w:val="0"/>
            <w:vAlign w:val="center"/>
          </w:tcPr>
          <w:p>
            <w:pPr>
              <w:pStyle w:val="2"/>
              <w:ind w:left="0" w:leftChars="0" w:firstLine="0" w:firstLineChars="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基本配置：告别棺1个、礼仪服务人员1名、司仪台、移动音响、面积不低于60平方米。超过2小时以上按</w:t>
            </w:r>
            <w:r>
              <w:rPr>
                <w:rFonts w:hint="eastAsia" w:ascii="宋体" w:hAnsi="宋体" w:eastAsia="宋体" w:cs="宋体"/>
                <w:i w:val="0"/>
                <w:iCs w:val="0"/>
                <w:color w:val="auto"/>
                <w:kern w:val="0"/>
                <w:sz w:val="24"/>
                <w:szCs w:val="24"/>
                <w:u w:val="none"/>
                <w:lang w:val="en-US" w:eastAsia="zh-CN" w:bidi="ar"/>
              </w:rPr>
              <w:t>400</w:t>
            </w:r>
            <w:r>
              <w:rPr>
                <w:rFonts w:hint="eastAsia" w:ascii="宋体" w:hAnsi="宋体" w:eastAsia="宋体" w:cs="宋体"/>
                <w:i w:val="0"/>
                <w:iCs w:val="0"/>
                <w:color w:val="000000"/>
                <w:kern w:val="0"/>
                <w:sz w:val="24"/>
                <w:szCs w:val="24"/>
                <w:u w:val="none"/>
                <w:lang w:val="en-US" w:eastAsia="zh-CN" w:bidi="ar"/>
              </w:rPr>
              <w:t>元/天收取（含遗体存放费）。</w:t>
            </w:r>
          </w:p>
        </w:tc>
        <w:tc>
          <w:tcPr>
            <w:tcW w:w="817" w:type="pct"/>
            <w:noWrap w:val="0"/>
            <w:vAlign w:val="center"/>
          </w:tcPr>
          <w:p>
            <w:pPr>
              <w:pStyle w:val="2"/>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39"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040301</w:t>
            </w:r>
          </w:p>
        </w:tc>
        <w:tc>
          <w:tcPr>
            <w:tcW w:w="150"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558"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守灵</w:t>
            </w:r>
          </w:p>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w:t>
            </w:r>
          </w:p>
        </w:tc>
        <w:tc>
          <w:tcPr>
            <w:tcW w:w="433" w:type="pct"/>
            <w:noWrap w:val="0"/>
            <w:vAlign w:val="center"/>
          </w:tcPr>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元/天</w:t>
            </w:r>
          </w:p>
        </w:tc>
        <w:tc>
          <w:tcPr>
            <w:tcW w:w="441" w:type="pct"/>
            <w:noWrap w:val="0"/>
            <w:vAlign w:val="center"/>
          </w:tcPr>
          <w:p>
            <w:pPr>
              <w:pStyle w:val="2"/>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242" w:type="pct"/>
            <w:noWrap w:val="0"/>
            <w:vAlign w:val="center"/>
          </w:tcPr>
          <w:p>
            <w:pPr>
              <w:pStyle w:val="2"/>
              <w:ind w:left="0" w:leftChars="0" w:firstLine="0" w:firstLineChars="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代丧家上香、点蜡、放鞭炮、点油灯、烧纸等。不足12小时按半天计，超过12小时按1天计。</w:t>
            </w:r>
          </w:p>
        </w:tc>
        <w:tc>
          <w:tcPr>
            <w:tcW w:w="817" w:type="pct"/>
            <w:noWrap w:val="0"/>
            <w:vAlign w:val="center"/>
          </w:tcPr>
          <w:p>
            <w:pPr>
              <w:pStyle w:val="2"/>
              <w:jc w:val="center"/>
              <w:rPr>
                <w:rFonts w:hint="eastAsia"/>
                <w:vertAlign w:val="baseline"/>
              </w:rPr>
            </w:pPr>
          </w:p>
        </w:tc>
      </w:tr>
    </w:tbl>
    <w:p/>
    <w:tbl>
      <w:tblPr>
        <w:tblStyle w:val="8"/>
        <w:tblpPr w:leftFromText="180" w:rightFromText="180" w:vertAnchor="text" w:tblpX="10214" w:tblpY="-11832"/>
        <w:tblOverlap w:val="never"/>
        <w:tblW w:w="17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pPr>
              <w:rPr>
                <w:rFonts w:hint="eastAsia"/>
                <w:vertAlign w:val="baseline"/>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广元市昭化区元坝镇松鹤公益性公墓墓穴价格及维护管理费收费标准表</w:t>
      </w:r>
    </w:p>
    <w:tbl>
      <w:tblPr>
        <w:tblStyle w:val="8"/>
        <w:tblpPr w:leftFromText="180" w:rightFromText="180" w:vertAnchor="text" w:horzAnchor="page" w:tblpX="1167" w:tblpY="829"/>
        <w:tblOverlap w:val="never"/>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994"/>
        <w:gridCol w:w="1526"/>
        <w:gridCol w:w="1440"/>
        <w:gridCol w:w="1766"/>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280" w:type="dxa"/>
            <w:gridSpan w:val="2"/>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墓  型</w:t>
            </w:r>
          </w:p>
        </w:tc>
        <w:tc>
          <w:tcPr>
            <w:tcW w:w="152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规  格</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墓穴价格</w:t>
            </w:r>
          </w:p>
        </w:tc>
        <w:tc>
          <w:tcPr>
            <w:tcW w:w="176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维护管理费</w:t>
            </w:r>
          </w:p>
        </w:tc>
        <w:tc>
          <w:tcPr>
            <w:tcW w:w="274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8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搬迁墓</w:t>
            </w:r>
          </w:p>
        </w:tc>
        <w:tc>
          <w:tcPr>
            <w:tcW w:w="9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单墓</w:t>
            </w:r>
          </w:p>
        </w:tc>
        <w:tc>
          <w:tcPr>
            <w:tcW w:w="152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kern w:val="0"/>
                <w:sz w:val="28"/>
                <w:szCs w:val="28"/>
                <w:vertAlign w:val="baseline"/>
                <w:lang w:val="en-US" w:eastAsia="zh-CN" w:bidi="ar"/>
              </w:rPr>
            </w:pPr>
            <w:r>
              <w:rPr>
                <w:rFonts w:hint="eastAsia" w:ascii="宋体" w:hAnsi="宋体" w:eastAsia="宋体" w:cs="宋体"/>
                <w:sz w:val="28"/>
                <w:szCs w:val="28"/>
                <w:vertAlign w:val="baseline"/>
                <w:lang w:val="en-US" w:eastAsia="zh-CN"/>
              </w:rPr>
              <w:t>0.5平方米</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kern w:val="0"/>
                <w:sz w:val="28"/>
                <w:szCs w:val="28"/>
                <w:vertAlign w:val="baseline"/>
                <w:lang w:val="en-US" w:eastAsia="zh-CN" w:bidi="ar"/>
              </w:rPr>
            </w:pPr>
            <w:r>
              <w:rPr>
                <w:rFonts w:hint="eastAsia" w:ascii="宋体" w:hAnsi="宋体" w:eastAsia="宋体" w:cs="宋体"/>
                <w:sz w:val="28"/>
                <w:szCs w:val="28"/>
                <w:vertAlign w:val="baseline"/>
                <w:lang w:val="en-US" w:eastAsia="zh-CN"/>
              </w:rPr>
              <w:t>2700元</w:t>
            </w:r>
          </w:p>
        </w:tc>
        <w:tc>
          <w:tcPr>
            <w:tcW w:w="176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sz w:val="28"/>
                <w:szCs w:val="28"/>
                <w:vertAlign w:val="baseline"/>
                <w:lang w:val="en-US" w:eastAsia="zh-CN"/>
              </w:rPr>
            </w:pPr>
            <w:r>
              <w:rPr>
                <w:rFonts w:hint="eastAsia" w:asciiTheme="minorEastAsia" w:hAnsiTheme="minorEastAsia" w:cstheme="minorEastAsia"/>
                <w:sz w:val="28"/>
                <w:szCs w:val="28"/>
                <w:vertAlign w:val="baseline"/>
                <w:lang w:val="en-US" w:eastAsia="zh-CN"/>
              </w:rPr>
              <w:t>60元/年</w:t>
            </w:r>
          </w:p>
        </w:tc>
        <w:tc>
          <w:tcPr>
            <w:tcW w:w="274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广元市昭化区土地房屋征收补偿安置工作领导小组《关于专题研究土地房屋征收领域重点工作纪要》2023年7月5日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286"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公益墓</w:t>
            </w:r>
          </w:p>
        </w:tc>
        <w:tc>
          <w:tcPr>
            <w:tcW w:w="9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单墓</w:t>
            </w:r>
          </w:p>
        </w:tc>
        <w:tc>
          <w:tcPr>
            <w:tcW w:w="152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0.5平方米</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3500元</w:t>
            </w:r>
          </w:p>
        </w:tc>
        <w:tc>
          <w:tcPr>
            <w:tcW w:w="176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8"/>
                <w:szCs w:val="28"/>
                <w:vertAlign w:val="baseline"/>
                <w:lang w:val="en-US" w:eastAsia="zh-CN"/>
              </w:rPr>
            </w:pPr>
            <w:r>
              <w:rPr>
                <w:rFonts w:hint="eastAsia" w:asciiTheme="minorEastAsia" w:hAnsiTheme="minorEastAsia" w:cstheme="minorEastAsia"/>
                <w:sz w:val="28"/>
                <w:szCs w:val="28"/>
                <w:vertAlign w:val="baseline"/>
                <w:lang w:val="en-US" w:eastAsia="zh-CN"/>
              </w:rPr>
              <w:t>60元/年</w:t>
            </w:r>
          </w:p>
        </w:tc>
        <w:tc>
          <w:tcPr>
            <w:tcW w:w="274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286"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sz w:val="28"/>
                <w:szCs w:val="28"/>
                <w:vertAlign w:val="baseline"/>
                <w:lang w:val="en-US" w:eastAsia="zh-CN"/>
              </w:rPr>
            </w:pPr>
          </w:p>
        </w:tc>
        <w:tc>
          <w:tcPr>
            <w:tcW w:w="9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双墓</w:t>
            </w:r>
          </w:p>
        </w:tc>
        <w:tc>
          <w:tcPr>
            <w:tcW w:w="152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0.8平方米</w:t>
            </w:r>
          </w:p>
        </w:tc>
        <w:tc>
          <w:tcPr>
            <w:tcW w:w="144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4000元</w:t>
            </w:r>
          </w:p>
        </w:tc>
        <w:tc>
          <w:tcPr>
            <w:tcW w:w="176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sz w:val="28"/>
                <w:szCs w:val="28"/>
                <w:vertAlign w:val="baseline"/>
                <w:lang w:val="en-US" w:eastAsia="zh-CN"/>
              </w:rPr>
            </w:pPr>
            <w:r>
              <w:rPr>
                <w:rFonts w:hint="eastAsia" w:asciiTheme="minorEastAsia" w:hAnsiTheme="minorEastAsia" w:cstheme="minorEastAsia"/>
                <w:sz w:val="28"/>
                <w:szCs w:val="28"/>
                <w:vertAlign w:val="baseline"/>
                <w:lang w:val="en-US" w:eastAsia="zh-CN"/>
              </w:rPr>
              <w:t>80元/年</w:t>
            </w:r>
          </w:p>
        </w:tc>
        <w:tc>
          <w:tcPr>
            <w:tcW w:w="274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cstheme="minorEastAsia"/>
                <w:sz w:val="28"/>
                <w:szCs w:val="28"/>
                <w:vertAlign w:val="baseline"/>
                <w:lang w:val="en-US" w:eastAsia="zh-CN"/>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576" w:lineRule="exact"/>
        <w:ind w:right="0"/>
        <w:jc w:val="center"/>
        <w:textAlignment w:val="auto"/>
        <w:rPr>
          <w:rFonts w:hint="eastAsia" w:ascii="方正小标宋简体" w:hAnsi="方正小标宋简体" w:eastAsia="方正小标宋简体" w:cs="方正小标宋简体"/>
          <w:sz w:val="44"/>
          <w:szCs w:val="44"/>
          <w:lang w:val="en-US" w:eastAsia="zh-CN"/>
        </w:rPr>
      </w:pPr>
    </w:p>
    <w:p>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br w:type="page"/>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昭化龙山公益性公墓墓穴价格及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维护管理费收费标准表</w:t>
      </w:r>
    </w:p>
    <w:tbl>
      <w:tblPr>
        <w:tblStyle w:val="8"/>
        <w:tblpPr w:leftFromText="180" w:rightFromText="180" w:vertAnchor="text" w:horzAnchor="page" w:tblpX="1099" w:tblpY="912"/>
        <w:tblOverlap w:val="never"/>
        <w:tblW w:w="9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097"/>
        <w:gridCol w:w="1663"/>
        <w:gridCol w:w="1475"/>
        <w:gridCol w:w="1782"/>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228" w:type="dxa"/>
            <w:gridSpan w:val="2"/>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墓  型</w:t>
            </w:r>
          </w:p>
        </w:tc>
        <w:tc>
          <w:tcPr>
            <w:tcW w:w="166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规  格</w:t>
            </w:r>
          </w:p>
        </w:tc>
        <w:tc>
          <w:tcPr>
            <w:tcW w:w="147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墓穴价格</w:t>
            </w:r>
          </w:p>
        </w:tc>
        <w:tc>
          <w:tcPr>
            <w:tcW w:w="17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维护管理费</w:t>
            </w:r>
          </w:p>
        </w:tc>
        <w:tc>
          <w:tcPr>
            <w:tcW w:w="277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31"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搬迁墓</w:t>
            </w:r>
          </w:p>
        </w:tc>
        <w:tc>
          <w:tcPr>
            <w:tcW w:w="109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单墓</w:t>
            </w:r>
          </w:p>
        </w:tc>
        <w:tc>
          <w:tcPr>
            <w:tcW w:w="166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kern w:val="0"/>
                <w:sz w:val="28"/>
                <w:szCs w:val="28"/>
                <w:vertAlign w:val="baseline"/>
                <w:lang w:val="en-US" w:eastAsia="zh-CN" w:bidi="ar"/>
              </w:rPr>
            </w:pPr>
            <w:r>
              <w:rPr>
                <w:rFonts w:hint="eastAsia" w:ascii="宋体" w:hAnsi="宋体" w:eastAsia="宋体" w:cs="宋体"/>
                <w:sz w:val="28"/>
                <w:szCs w:val="28"/>
                <w:vertAlign w:val="baseline"/>
                <w:lang w:val="en-US" w:eastAsia="zh-CN"/>
              </w:rPr>
              <w:t>0.5平方米</w:t>
            </w:r>
          </w:p>
        </w:tc>
        <w:tc>
          <w:tcPr>
            <w:tcW w:w="147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kern w:val="0"/>
                <w:sz w:val="28"/>
                <w:szCs w:val="28"/>
                <w:vertAlign w:val="baseline"/>
                <w:lang w:val="en-US" w:eastAsia="zh-CN" w:bidi="ar"/>
              </w:rPr>
            </w:pPr>
            <w:r>
              <w:rPr>
                <w:rFonts w:hint="eastAsia" w:ascii="宋体" w:hAnsi="宋体" w:eastAsia="宋体" w:cs="宋体"/>
                <w:sz w:val="28"/>
                <w:szCs w:val="28"/>
                <w:vertAlign w:val="baseline"/>
                <w:lang w:val="en-US" w:eastAsia="zh-CN"/>
              </w:rPr>
              <w:t>2200元</w:t>
            </w:r>
          </w:p>
        </w:tc>
        <w:tc>
          <w:tcPr>
            <w:tcW w:w="17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sz w:val="28"/>
                <w:szCs w:val="28"/>
                <w:vertAlign w:val="baseline"/>
                <w:lang w:val="en-US" w:eastAsia="zh-CN"/>
              </w:rPr>
            </w:pPr>
            <w:r>
              <w:rPr>
                <w:rFonts w:hint="eastAsia" w:asciiTheme="minorEastAsia" w:hAnsiTheme="minorEastAsia" w:cstheme="minorEastAsia"/>
                <w:sz w:val="28"/>
                <w:szCs w:val="28"/>
                <w:vertAlign w:val="baseline"/>
                <w:lang w:val="en-US" w:eastAsia="zh-CN"/>
              </w:rPr>
              <w:t>60元/年</w:t>
            </w:r>
          </w:p>
        </w:tc>
        <w:tc>
          <w:tcPr>
            <w:tcW w:w="277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中共广元市昭化区委常委会会议文件（七届第28次12号）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31"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公益墓</w:t>
            </w:r>
          </w:p>
        </w:tc>
        <w:tc>
          <w:tcPr>
            <w:tcW w:w="109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单墓</w:t>
            </w:r>
          </w:p>
        </w:tc>
        <w:tc>
          <w:tcPr>
            <w:tcW w:w="166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0.5平方米</w:t>
            </w:r>
          </w:p>
        </w:tc>
        <w:tc>
          <w:tcPr>
            <w:tcW w:w="147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3800元</w:t>
            </w:r>
          </w:p>
        </w:tc>
        <w:tc>
          <w:tcPr>
            <w:tcW w:w="17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8"/>
                <w:szCs w:val="28"/>
                <w:vertAlign w:val="baseline"/>
                <w:lang w:val="en-US" w:eastAsia="zh-CN"/>
              </w:rPr>
            </w:pPr>
            <w:r>
              <w:rPr>
                <w:rFonts w:hint="eastAsia" w:asciiTheme="minorEastAsia" w:hAnsiTheme="minorEastAsia" w:cstheme="minorEastAsia"/>
                <w:sz w:val="28"/>
                <w:szCs w:val="28"/>
                <w:vertAlign w:val="baseline"/>
                <w:lang w:val="en-US" w:eastAsia="zh-CN"/>
              </w:rPr>
              <w:t>60元/年</w:t>
            </w:r>
          </w:p>
        </w:tc>
        <w:tc>
          <w:tcPr>
            <w:tcW w:w="277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31"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sz w:val="28"/>
                <w:szCs w:val="28"/>
                <w:vertAlign w:val="baseline"/>
                <w:lang w:val="en-US" w:eastAsia="zh-CN"/>
              </w:rPr>
            </w:pPr>
          </w:p>
        </w:tc>
        <w:tc>
          <w:tcPr>
            <w:tcW w:w="109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双墓</w:t>
            </w:r>
          </w:p>
        </w:tc>
        <w:tc>
          <w:tcPr>
            <w:tcW w:w="166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0.8平方米</w:t>
            </w:r>
          </w:p>
        </w:tc>
        <w:tc>
          <w:tcPr>
            <w:tcW w:w="147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4200元</w:t>
            </w:r>
          </w:p>
        </w:tc>
        <w:tc>
          <w:tcPr>
            <w:tcW w:w="17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sz w:val="28"/>
                <w:szCs w:val="28"/>
                <w:vertAlign w:val="baseline"/>
                <w:lang w:val="en-US" w:eastAsia="zh-CN"/>
              </w:rPr>
            </w:pPr>
            <w:r>
              <w:rPr>
                <w:rFonts w:hint="eastAsia" w:asciiTheme="minorEastAsia" w:hAnsiTheme="minorEastAsia" w:cstheme="minorEastAsia"/>
                <w:sz w:val="28"/>
                <w:szCs w:val="28"/>
                <w:vertAlign w:val="baseline"/>
                <w:lang w:val="en-US" w:eastAsia="zh-CN"/>
              </w:rPr>
              <w:t>80元/年</w:t>
            </w:r>
          </w:p>
        </w:tc>
        <w:tc>
          <w:tcPr>
            <w:tcW w:w="277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cstheme="minorEastAsia"/>
                <w:sz w:val="28"/>
                <w:szCs w:val="28"/>
                <w:vertAlign w:val="baseline"/>
                <w:lang w:val="en-US" w:eastAsia="zh-CN"/>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576" w:lineRule="exact"/>
        <w:ind w:right="0"/>
        <w:jc w:val="center"/>
        <w:textAlignment w:val="auto"/>
        <w:rPr>
          <w:rFonts w:hint="eastAsia" w:ascii="方正小标宋简体" w:hAnsi="方正小标宋简体" w:eastAsia="方正小标宋简体" w:cs="方正小标宋简体"/>
          <w:sz w:val="44"/>
          <w:szCs w:val="44"/>
          <w:lang w:val="en-US" w:eastAsia="zh-CN"/>
        </w:rPr>
      </w:pPr>
    </w:p>
    <w:p>
      <w:pPr>
        <w:ind w:firstLine="640" w:firstLineChars="200"/>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广元市青龙山公墓维护管理费收费标准表</w:t>
      </w:r>
    </w:p>
    <w:tbl>
      <w:tblPr>
        <w:tblStyle w:val="8"/>
        <w:tblpPr w:leftFromText="180" w:rightFromText="180" w:vertAnchor="text" w:horzAnchor="page" w:tblpX="1755" w:tblpY="924"/>
        <w:tblOverlap w:val="never"/>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886"/>
        <w:gridCol w:w="2126"/>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5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墓型</w:t>
            </w:r>
          </w:p>
        </w:tc>
        <w:tc>
          <w:tcPr>
            <w:tcW w:w="188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规格</w:t>
            </w:r>
          </w:p>
        </w:tc>
        <w:tc>
          <w:tcPr>
            <w:tcW w:w="212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维护管理费</w:t>
            </w:r>
          </w:p>
        </w:tc>
        <w:tc>
          <w:tcPr>
            <w:tcW w:w="315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45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单墓</w:t>
            </w:r>
          </w:p>
        </w:tc>
        <w:tc>
          <w:tcPr>
            <w:tcW w:w="188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0.5平方米</w:t>
            </w:r>
          </w:p>
        </w:tc>
        <w:tc>
          <w:tcPr>
            <w:tcW w:w="212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70元/年</w:t>
            </w:r>
          </w:p>
        </w:tc>
        <w:tc>
          <w:tcPr>
            <w:tcW w:w="3154" w:type="dxa"/>
            <w:vMerge w:val="restart"/>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昭发改发</w:t>
            </w:r>
            <w:r>
              <w:rPr>
                <w:rFonts w:hint="eastAsia" w:ascii="仿宋_GB2312" w:hAnsi="仿宋_GB2312" w:eastAsia="仿宋_GB2312" w:cs="仿宋_GB2312"/>
                <w:sz w:val="28"/>
                <w:szCs w:val="28"/>
                <w:vertAlign w:val="baseline"/>
                <w:lang w:val="en-US" w:eastAsia="zh-CN"/>
              </w:rPr>
              <w:t>〔2024〕34号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5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双墓</w:t>
            </w:r>
          </w:p>
        </w:tc>
        <w:tc>
          <w:tcPr>
            <w:tcW w:w="188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0.8平方米</w:t>
            </w:r>
          </w:p>
        </w:tc>
        <w:tc>
          <w:tcPr>
            <w:tcW w:w="2126"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90元/年</w:t>
            </w:r>
          </w:p>
        </w:tc>
        <w:tc>
          <w:tcPr>
            <w:tcW w:w="3154" w:type="dxa"/>
            <w:vMerge w:val="continue"/>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Theme="minorEastAsia" w:hAnsiTheme="minorEastAsia" w:cstheme="minorEastAsia"/>
                <w:sz w:val="28"/>
                <w:szCs w:val="28"/>
                <w:vertAlign w:val="baseline"/>
                <w:lang w:val="en-US" w:eastAsia="zh-CN"/>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576" w:lineRule="exact"/>
        <w:ind w:right="0"/>
        <w:jc w:val="center"/>
        <w:textAlignment w:val="auto"/>
        <w:rPr>
          <w:rFonts w:hint="eastAsia" w:ascii="方正小标宋简体" w:hAnsi="方正小标宋简体" w:eastAsia="方正小标宋简体" w:cs="方正小标宋简体"/>
          <w:sz w:val="44"/>
          <w:szCs w:val="44"/>
          <w:lang w:val="en-US" w:eastAsia="zh-CN"/>
        </w:rPr>
      </w:pPr>
    </w:p>
    <w:p>
      <w:pPr>
        <w:pStyle w:val="2"/>
        <w:rPr>
          <w:rFonts w:hint="eastAsia" w:ascii="Times New Roman" w:hAnsi="Times New Roman" w:eastAsia="仿宋_GB2312" w:cs="Times New Roman"/>
          <w:sz w:val="32"/>
          <w:szCs w:val="32"/>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2712A"/>
    <w:multiLevelType w:val="singleLevel"/>
    <w:tmpl w:val="1C42712A"/>
    <w:lvl w:ilvl="0" w:tentative="0">
      <w:start w:val="1"/>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zg2MTRmZmQ2MjNhZjc5NzQ5NDRmNTIyMTQ1YjIifQ=="/>
    <w:docVar w:name="KSO_WPS_MARK_KEY" w:val="49f85de1-b0de-4f8b-b942-8d9e82183f87"/>
  </w:docVars>
  <w:rsids>
    <w:rsidRoot w:val="00000000"/>
    <w:rsid w:val="021E1B32"/>
    <w:rsid w:val="064F49ED"/>
    <w:rsid w:val="0AF80408"/>
    <w:rsid w:val="0C085D6A"/>
    <w:rsid w:val="0C4A4020"/>
    <w:rsid w:val="1532381B"/>
    <w:rsid w:val="18362E7C"/>
    <w:rsid w:val="18BC23B6"/>
    <w:rsid w:val="1A2A3350"/>
    <w:rsid w:val="1DD75CE2"/>
    <w:rsid w:val="20102F69"/>
    <w:rsid w:val="21A41C3A"/>
    <w:rsid w:val="2AE32F7D"/>
    <w:rsid w:val="2BAC62BA"/>
    <w:rsid w:val="2F155BEE"/>
    <w:rsid w:val="36BB3856"/>
    <w:rsid w:val="3C011D0B"/>
    <w:rsid w:val="3DB37034"/>
    <w:rsid w:val="3E017398"/>
    <w:rsid w:val="406E36E7"/>
    <w:rsid w:val="44436FA6"/>
    <w:rsid w:val="44D3620E"/>
    <w:rsid w:val="44F15806"/>
    <w:rsid w:val="4B5E1A5F"/>
    <w:rsid w:val="4E0D4C33"/>
    <w:rsid w:val="4E485577"/>
    <w:rsid w:val="52444E13"/>
    <w:rsid w:val="590E560F"/>
    <w:rsid w:val="5FAB3BB8"/>
    <w:rsid w:val="631C0736"/>
    <w:rsid w:val="635200E2"/>
    <w:rsid w:val="63644EC9"/>
    <w:rsid w:val="679913BF"/>
    <w:rsid w:val="6C967D37"/>
    <w:rsid w:val="6F26325B"/>
    <w:rsid w:val="74A0431F"/>
    <w:rsid w:val="74EE4D01"/>
    <w:rsid w:val="76535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szCs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41"/>
    <w:basedOn w:val="9"/>
    <w:qFormat/>
    <w:uiPriority w:val="0"/>
    <w:rPr>
      <w:rFonts w:hint="eastAsia" w:ascii="宋体" w:hAnsi="宋体" w:eastAsia="宋体" w:cs="宋体"/>
      <w:color w:val="000000"/>
      <w:sz w:val="24"/>
      <w:szCs w:val="24"/>
      <w:u w:val="none"/>
    </w:rPr>
  </w:style>
  <w:style w:type="character" w:customStyle="1" w:styleId="11">
    <w:name w:val="font21"/>
    <w:basedOn w:val="9"/>
    <w:qFormat/>
    <w:uiPriority w:val="0"/>
    <w:rPr>
      <w:rFonts w:hint="eastAsia" w:ascii="宋体" w:hAnsi="宋体" w:eastAsia="宋体" w:cs="宋体"/>
      <w:color w:val="C00000"/>
      <w:sz w:val="24"/>
      <w:szCs w:val="24"/>
      <w:u w:val="none"/>
    </w:rPr>
  </w:style>
  <w:style w:type="character" w:customStyle="1" w:styleId="12">
    <w:name w:val="font7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2897</Words>
  <Characters>3133</Characters>
  <Lines>0</Lines>
  <Paragraphs>0</Paragraphs>
  <TotalTime>13</TotalTime>
  <ScaleCrop>false</ScaleCrop>
  <LinksUpToDate>false</LinksUpToDate>
  <CharactersWithSpaces>3179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cp:lastModifiedBy>
  <cp:lastPrinted>2024-07-22T00:41:22Z</cp:lastPrinted>
  <dcterms:modified xsi:type="dcterms:W3CDTF">2024-07-22T01:11:29Z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18EFEA3A9B1C416C8D10177D10F7208B</vt:lpwstr>
  </property>
</Properties>
</file>