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spacing w:line="600" w:lineRule="exact"/>
        <w:jc w:val="center"/>
        <w:rPr>
          <w:rFonts w:ascii="方正小标宋简体" w:hAnsi="宋体" w:eastAsia="方正小标宋简体"/>
          <w:color w:val="000000"/>
          <w:sz w:val="52"/>
          <w:szCs w:val="52"/>
        </w:rPr>
      </w:pPr>
      <w:bookmarkStart w:id="6" w:name="_Toc15377194"/>
      <w:bookmarkStart w:id="7" w:name="_Toc15377426"/>
      <w:bookmarkStart w:id="8" w:name="_Toc15396598"/>
      <w:bookmarkStart w:id="9" w:name="_Toc15396476"/>
      <w:bookmarkStart w:id="10" w:name="_Toc15378442"/>
      <w:bookmarkStart w:id="11" w:name="_Toc15306268"/>
      <w:r>
        <w:rPr>
          <w:rFonts w:hint="eastAsia" w:ascii="方正小标宋简体" w:hAnsi="宋体" w:eastAsia="方正小标宋简体"/>
          <w:color w:val="000000"/>
          <w:sz w:val="52"/>
          <w:szCs w:val="52"/>
        </w:rPr>
        <w:t>广元市昭化区人民医院</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pPr>
      <w:r>
        <w:fldChar w:fldCharType="begin"/>
      </w:r>
      <w:r>
        <w:instrText xml:space="preserve"> HYPERLINK \l "_Toc15396599" </w:instrText>
      </w:r>
      <w:r>
        <w:fldChar w:fldCharType="separate"/>
      </w:r>
      <w:r>
        <w:rPr>
          <w:rStyle w:val="15"/>
          <w:rFonts w:hint="eastAsia"/>
        </w:rPr>
        <w:t>第一部分部门概况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lang w:val="en-US" w:eastAsia="zh-CN"/>
        </w:rPr>
        <w:t>9</w:t>
      </w:r>
      <w:r>
        <w:rPr>
          <w:rStyle w:val="15"/>
          <w:rFonts w:hint="eastAsia"/>
        </w:rPr>
        <w:t>年度部门决算情况说明</w:t>
      </w:r>
      <w:r>
        <w:tab/>
      </w:r>
      <w:r>
        <w:t>6</w:t>
      </w:r>
      <w: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十、</w:t>
      </w:r>
      <w:r>
        <w:rPr>
          <w:rStyle w:val="15"/>
          <w:rFonts w:ascii="仿宋" w:hAnsi="仿宋" w:eastAsia="仿宋"/>
          <w:sz w:val="28"/>
          <w:szCs w:val="28"/>
        </w:rPr>
        <w:t xml:space="preserve"> </w:t>
      </w:r>
      <w:r>
        <w:rPr>
          <w:rStyle w:val="15"/>
          <w:rFonts w:hint="eastAsia" w:ascii="仿宋" w:hAnsi="仿宋" w:eastAsia="仿宋"/>
          <w:sz w:val="28"/>
          <w:szCs w:val="28"/>
        </w:rPr>
        <w:t>预算绩效情况说明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ind w:left="0" w:leftChars="0" w:firstLine="420" w:firstLineChars="20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14</w:t>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t>16</w:t>
      </w:r>
      <w: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pPr>
        <w:pStyle w:val="11"/>
        <w:ind w:left="0" w:leftChars="0"/>
      </w:pPr>
    </w:p>
    <w:p>
      <w:pPr>
        <w:pStyle w:val="11"/>
        <w:ind w:left="0" w:leftChars="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rPr>
          <w:rFonts w:hint="eastAsia"/>
        </w:rPr>
        <w:t>21</w:t>
      </w:r>
      <w:r>
        <w:rPr>
          <w:rFonts w:hint="eastAsia"/>
        </w:rP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center"/>
        <w:rPr>
          <w:rStyle w:val="16"/>
          <w:rFonts w:ascii="黑体" w:hAnsi="黑体" w:eastAsia="黑体"/>
          <w:b/>
          <w:bCs w:val="0"/>
        </w:rPr>
      </w:pPr>
      <w:bookmarkStart w:id="12" w:name="_Toc15377196"/>
      <w:bookmarkStart w:id="13" w:name="_Toc15396599"/>
      <w:r>
        <w:rPr>
          <w:rFonts w:ascii="黑体" w:hAnsi="黑体" w:eastAsia="黑体"/>
          <w:b/>
        </w:rPr>
        <w:br w:type="page"/>
      </w:r>
      <w:r>
        <w:rPr>
          <w:rStyle w:val="16"/>
          <w:rFonts w:hint="eastAsia" w:ascii="黑体" w:hAnsi="黑体" w:eastAsia="黑体"/>
          <w:b w:val="0"/>
          <w:bCs w:val="0"/>
        </w:rPr>
        <w:t>第一部分 部门概况</w:t>
      </w:r>
      <w:bookmarkEnd w:id="12"/>
      <w:bookmarkEnd w:id="13"/>
    </w:p>
    <w:p>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spacing w:line="600" w:lineRule="exact"/>
        <w:ind w:firstLine="560" w:firstLineChars="200"/>
        <w:rPr>
          <w:rFonts w:ascii="仿宋_GB2312" w:hAnsi="仿宋_GB2312" w:eastAsia="仿宋_GB2312" w:cs="仿宋_GB2312"/>
          <w:sz w:val="28"/>
          <w:szCs w:val="28"/>
          <w:shd w:val="clear" w:color="auto" w:fill="FFFFFF"/>
        </w:rPr>
      </w:pPr>
      <w:bookmarkStart w:id="16" w:name="_Toc15377200"/>
      <w:bookmarkStart w:id="17" w:name="_Toc15396601"/>
      <w:r>
        <w:rPr>
          <w:rFonts w:hint="eastAsia" w:ascii="仿宋_GB2312" w:hAnsi="仿宋_GB2312" w:eastAsia="仿宋_GB2312" w:cs="仿宋_GB2312"/>
          <w:sz w:val="28"/>
          <w:szCs w:val="28"/>
          <w:shd w:val="clear" w:color="auto" w:fill="FFFFFF"/>
        </w:rPr>
        <w:t>（一）主要职能</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广元市昭化区人民医院主要负责区域基本医疗服务、危重急症病人的抢救和公共卫生救治，并承担对乡镇（中心）卫生院、街道社区卫生服务中心、村卫生室、社区卫生服务站的业务技术指导和卫生人员的进修培训。完成卫生行政部门安排的卫生支农工作，承担一定的教学和科研任务。</w:t>
      </w:r>
      <w:r>
        <w:rPr>
          <w:rFonts w:ascii="仿宋" w:hAnsi="仿宋" w:eastAsia="仿宋"/>
          <w:color w:val="000000"/>
          <w:sz w:val="32"/>
          <w:szCs w:val="32"/>
        </w:rPr>
        <w:t xml:space="preserve"> </w:t>
      </w:r>
      <w:r>
        <w:rPr>
          <w:rFonts w:hint="eastAsia" w:ascii="仿宋" w:hAnsi="仿宋" w:eastAsia="仿宋"/>
          <w:color w:val="000000"/>
          <w:sz w:val="32"/>
          <w:szCs w:val="32"/>
        </w:rPr>
        <w:t>科室设置包括职能科室和业务科室。</w:t>
      </w:r>
    </w:p>
    <w:p>
      <w:pPr>
        <w:pStyle w:val="3"/>
        <w:rPr>
          <w:rStyle w:val="17"/>
          <w:b w:val="0"/>
          <w:bCs w:val="0"/>
        </w:rPr>
      </w:pPr>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6"/>
      <w:bookmarkEnd w:id="17"/>
    </w:p>
    <w:p>
      <w:pPr>
        <w:ind w:firstLine="640" w:firstLineChars="200"/>
        <w:rPr>
          <w:rFonts w:ascii="仿宋_GB2312" w:hAnsi="仿宋_GB2312" w:eastAsia="仿宋_GB2312" w:cs="仿宋_GB2312"/>
          <w:sz w:val="28"/>
          <w:szCs w:val="28"/>
        </w:rPr>
      </w:pPr>
      <w:r>
        <w:rPr>
          <w:rFonts w:hint="eastAsia" w:ascii="仿宋" w:hAnsi="仿宋" w:eastAsia="仿宋"/>
          <w:color w:val="000000"/>
          <w:kern w:val="0"/>
          <w:sz w:val="32"/>
          <w:szCs w:val="32"/>
        </w:rPr>
        <w:t>昭化区人民医院设置住院床位</w:t>
      </w:r>
      <w:r>
        <w:rPr>
          <w:rFonts w:ascii="仿宋" w:hAnsi="仿宋" w:eastAsia="仿宋"/>
          <w:color w:val="000000"/>
          <w:kern w:val="0"/>
          <w:sz w:val="32"/>
          <w:szCs w:val="32"/>
        </w:rPr>
        <w:t>250</w:t>
      </w:r>
      <w:r>
        <w:rPr>
          <w:rFonts w:hint="eastAsia" w:ascii="仿宋" w:hAnsi="仿宋" w:eastAsia="仿宋"/>
          <w:color w:val="000000"/>
          <w:kern w:val="0"/>
          <w:sz w:val="32"/>
          <w:szCs w:val="32"/>
        </w:rPr>
        <w:t>张，</w:t>
      </w:r>
      <w:r>
        <w:rPr>
          <w:rFonts w:ascii="仿宋" w:hAnsi="仿宋" w:eastAsia="仿宋"/>
          <w:color w:val="000000"/>
          <w:kern w:val="0"/>
          <w:sz w:val="32"/>
          <w:szCs w:val="32"/>
        </w:rPr>
        <w:t>201</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年末实际开放</w:t>
      </w:r>
      <w:r>
        <w:rPr>
          <w:rFonts w:ascii="仿宋" w:hAnsi="仿宋" w:eastAsia="仿宋"/>
          <w:color w:val="000000"/>
          <w:kern w:val="0"/>
          <w:sz w:val="32"/>
          <w:szCs w:val="32"/>
        </w:rPr>
        <w:t>250</w:t>
      </w:r>
      <w:r>
        <w:rPr>
          <w:rFonts w:hint="eastAsia" w:ascii="仿宋" w:hAnsi="仿宋" w:eastAsia="仿宋"/>
          <w:color w:val="000000"/>
          <w:kern w:val="0"/>
          <w:sz w:val="32"/>
          <w:szCs w:val="32"/>
        </w:rPr>
        <w:t>张，占地面积</w:t>
      </w:r>
      <w:r>
        <w:rPr>
          <w:rFonts w:ascii="仿宋" w:hAnsi="仿宋" w:eastAsia="仿宋"/>
          <w:color w:val="000000"/>
          <w:kern w:val="0"/>
          <w:sz w:val="32"/>
          <w:szCs w:val="32"/>
        </w:rPr>
        <w:t>11000</w:t>
      </w:r>
      <w:r>
        <w:rPr>
          <w:rFonts w:hint="eastAsia" w:ascii="仿宋" w:hAnsi="仿宋" w:eastAsia="仿宋"/>
          <w:color w:val="000000"/>
          <w:kern w:val="0"/>
          <w:sz w:val="32"/>
          <w:szCs w:val="32"/>
        </w:rPr>
        <w:t>平方米，是国家二甲等综合医院，全院收治住</w:t>
      </w:r>
      <w:r>
        <w:rPr>
          <w:rFonts w:hint="eastAsia" w:ascii="仿宋_GB2312" w:hAnsi="仿宋_GB2312" w:eastAsia="仿宋_GB2312" w:cs="仿宋_GB2312"/>
          <w:sz w:val="28"/>
          <w:szCs w:val="28"/>
        </w:rPr>
        <w:t>院病人</w:t>
      </w:r>
      <w:r>
        <w:rPr>
          <w:rFonts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959</w:t>
      </w:r>
      <w:r>
        <w:rPr>
          <w:rFonts w:hint="eastAsia" w:ascii="仿宋_GB2312" w:hAnsi="仿宋_GB2312" w:eastAsia="仿宋_GB2312" w:cs="仿宋_GB2312"/>
          <w:sz w:val="28"/>
          <w:szCs w:val="28"/>
        </w:rPr>
        <w:t>人次，接收门诊</w:t>
      </w:r>
      <w:r>
        <w:rPr>
          <w:rFonts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1009</w:t>
      </w:r>
      <w:r>
        <w:rPr>
          <w:rFonts w:hint="eastAsia" w:ascii="仿宋_GB2312" w:hAnsi="仿宋_GB2312" w:eastAsia="仿宋_GB2312" w:cs="仿宋_GB2312"/>
          <w:sz w:val="28"/>
          <w:szCs w:val="28"/>
        </w:rPr>
        <w:t>人次。</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下属二级单位</w:t>
      </w:r>
      <w:r>
        <w:rPr>
          <w:rFonts w:ascii="仿宋" w:hAnsi="仿宋" w:eastAsia="仿宋"/>
          <w:color w:val="000000"/>
          <w:sz w:val="32"/>
          <w:szCs w:val="32"/>
        </w:rPr>
        <w:t>0</w:t>
      </w:r>
      <w:r>
        <w:rPr>
          <w:rFonts w:hint="eastAsia" w:ascii="仿宋" w:hAnsi="仿宋" w:eastAsia="仿宋"/>
          <w:color w:val="000000"/>
          <w:sz w:val="32"/>
          <w:szCs w:val="32"/>
        </w:rPr>
        <w:t>个，其中行政单位</w:t>
      </w:r>
      <w:r>
        <w:rPr>
          <w:rFonts w:ascii="仿宋" w:hAnsi="仿宋" w:eastAsia="仿宋"/>
          <w:color w:val="000000"/>
          <w:sz w:val="32"/>
          <w:szCs w:val="32"/>
        </w:rPr>
        <w:t>0</w:t>
      </w:r>
      <w:r>
        <w:rPr>
          <w:rFonts w:hint="eastAsia" w:ascii="仿宋" w:hAnsi="仿宋" w:eastAsia="仿宋"/>
          <w:color w:val="000000"/>
          <w:sz w:val="32"/>
          <w:szCs w:val="32"/>
        </w:rPr>
        <w:t>个，参照公务员法管理的事业单位</w:t>
      </w:r>
      <w:r>
        <w:rPr>
          <w:rFonts w:ascii="仿宋" w:hAnsi="仿宋" w:eastAsia="仿宋"/>
          <w:color w:val="000000"/>
          <w:sz w:val="32"/>
          <w:szCs w:val="32"/>
        </w:rPr>
        <w:t>0</w:t>
      </w:r>
      <w:r>
        <w:rPr>
          <w:rFonts w:hint="eastAsia" w:ascii="仿宋" w:hAnsi="仿宋" w:eastAsia="仿宋"/>
          <w:color w:val="000000"/>
          <w:sz w:val="32"/>
          <w:szCs w:val="32"/>
        </w:rPr>
        <w:t>个，其他事业单位</w:t>
      </w:r>
      <w:r>
        <w:rPr>
          <w:rFonts w:ascii="仿宋" w:hAnsi="仿宋" w:eastAsia="仿宋"/>
          <w:color w:val="000000"/>
          <w:sz w:val="32"/>
          <w:szCs w:val="32"/>
        </w:rPr>
        <w:t>0</w:t>
      </w:r>
      <w:r>
        <w:rPr>
          <w:rFonts w:hint="eastAsia" w:ascii="仿宋" w:hAnsi="仿宋" w:eastAsia="仿宋"/>
          <w:color w:val="000000"/>
          <w:sz w:val="32"/>
          <w:szCs w:val="32"/>
        </w:rPr>
        <w:t>个。</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纳入</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年度部门决算编制范围的二级预算单位没有。</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br w:type="page"/>
      </w:r>
    </w:p>
    <w:p>
      <w:pPr>
        <w:pStyle w:val="2"/>
        <w:ind w:right="440"/>
        <w:jc w:val="right"/>
        <w:rPr>
          <w:rStyle w:val="16"/>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Style w:val="16"/>
          <w:rFonts w:ascii="黑体" w:hAnsi="黑体" w:eastAsia="黑体"/>
          <w:b w:val="0"/>
          <w:bCs w:val="0"/>
        </w:rPr>
        <w:t>201</w:t>
      </w:r>
      <w:r>
        <w:rPr>
          <w:rStyle w:val="16"/>
          <w:rFonts w:hint="eastAsia" w:ascii="黑体" w:hAnsi="黑体" w:eastAsia="黑体"/>
          <w:b w:val="0"/>
          <w:bCs w:val="0"/>
          <w:lang w:val="en-US" w:eastAsia="zh-CN"/>
        </w:rPr>
        <w:t>9</w:t>
      </w:r>
      <w:r>
        <w:rPr>
          <w:rStyle w:val="16"/>
          <w:rFonts w:hint="eastAsia" w:ascii="黑体" w:hAnsi="黑体" w:eastAsia="黑体"/>
          <w:b w:val="0"/>
          <w:bCs w:val="0"/>
        </w:rPr>
        <w:t>年度部门决算情况说明</w:t>
      </w:r>
      <w:bookmarkEnd w:id="18"/>
      <w:bookmarkEnd w:id="19"/>
    </w:p>
    <w:p/>
    <w:p>
      <w:pPr>
        <w:pStyle w:val="27"/>
        <w:numPr>
          <w:ilvl w:val="0"/>
          <w:numId w:val="1"/>
        </w:numPr>
        <w:spacing w:line="600" w:lineRule="exact"/>
        <w:ind w:firstLineChars="0"/>
        <w:outlineLvl w:val="1"/>
        <w:rPr>
          <w:rStyle w:val="17"/>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0"/>
      <w:bookmarkEnd w:id="21"/>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年度收、支总计为</w:t>
      </w:r>
      <w:r>
        <w:rPr>
          <w:rFonts w:hint="eastAsia" w:ascii="仿宋" w:hAnsi="仿宋" w:eastAsia="仿宋"/>
          <w:color w:val="000000"/>
          <w:sz w:val="32"/>
          <w:szCs w:val="32"/>
          <w:lang w:val="en-US" w:eastAsia="zh-CN"/>
        </w:rPr>
        <w:t>14225.8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收入增加</w:t>
      </w:r>
      <w:r>
        <w:rPr>
          <w:rFonts w:hint="eastAsia" w:ascii="仿宋" w:hAnsi="仿宋" w:eastAsia="仿宋"/>
          <w:color w:val="000000"/>
          <w:sz w:val="32"/>
          <w:szCs w:val="32"/>
          <w:lang w:val="en-US" w:eastAsia="zh-CN"/>
        </w:rPr>
        <w:t>816万元，增长13.7%，</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1447.18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23.9</w:t>
      </w:r>
      <w:r>
        <w:rPr>
          <w:rFonts w:ascii="仿宋" w:hAnsi="仿宋" w:eastAsia="仿宋"/>
          <w:color w:val="000000"/>
          <w:sz w:val="32"/>
          <w:szCs w:val="32"/>
        </w:rPr>
        <w:t>%</w:t>
      </w:r>
      <w:r>
        <w:rPr>
          <w:rFonts w:hint="eastAsia" w:ascii="仿宋" w:hAnsi="仿宋" w:eastAsia="仿宋"/>
          <w:color w:val="000000"/>
          <w:sz w:val="32"/>
          <w:szCs w:val="32"/>
        </w:rPr>
        <w:t>。收入增加主要变动原因一是新技术运用；二是巡回医疗带回的病人；支出增加的原因：收入增长带来一定支出的增长。</w:t>
      </w:r>
    </w:p>
    <w:p>
      <w:pPr>
        <w:pStyle w:val="27"/>
        <w:numPr>
          <w:ilvl w:val="0"/>
          <w:numId w:val="1"/>
        </w:numPr>
        <w:spacing w:line="600" w:lineRule="exact"/>
        <w:ind w:firstLineChars="0"/>
        <w:outlineLvl w:val="1"/>
        <w:rPr>
          <w:rStyle w:val="17"/>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2"/>
      <w:bookmarkEnd w:id="23"/>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6730</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w:t>
      </w:r>
      <w:r>
        <w:rPr>
          <w:rFonts w:hint="eastAsia" w:ascii="仿宋" w:hAnsi="仿宋" w:eastAsia="仿宋"/>
          <w:color w:val="000000"/>
          <w:sz w:val="32"/>
          <w:szCs w:val="32"/>
          <w:lang w:val="en-US" w:eastAsia="zh-CN"/>
        </w:rPr>
        <w:t>60.71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6069.33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90.8</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pStyle w:val="5"/>
        <w:adjustRightInd w:val="0"/>
        <w:snapToGrid w:val="0"/>
        <w:spacing w:before="93" w:line="600" w:lineRule="exact"/>
        <w:ind w:firstLine="480" w:firstLineChars="150"/>
        <w:rPr>
          <w:rStyle w:val="17"/>
          <w:rFonts w:ascii="黑体" w:hAnsi="黑体" w:eastAsia="黑体"/>
          <w:b w:val="0"/>
        </w:rPr>
      </w:pPr>
      <w:bookmarkStart w:id="24" w:name="_Toc15396605"/>
      <w:bookmarkStart w:id="25"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17"/>
          <w:rFonts w:hint="eastAsia" w:ascii="黑体" w:hAnsi="黑体" w:eastAsia="黑体"/>
          <w:b w:val="0"/>
        </w:rPr>
        <w:t>出决算情况说明</w:t>
      </w:r>
      <w:bookmarkEnd w:id="24"/>
      <w:bookmarkEnd w:id="25"/>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7495.78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7479.69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99.78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16.09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outlineLvl w:val="1"/>
        <w:rPr>
          <w:rFonts w:hint="eastAsia" w:ascii="黑体" w:hAnsi="黑体" w:eastAsia="黑体"/>
          <w:color w:val="000000"/>
          <w:sz w:val="32"/>
          <w:szCs w:val="32"/>
        </w:rPr>
      </w:pPr>
      <w:bookmarkStart w:id="26" w:name="_Toc15377208"/>
      <w:bookmarkStart w:id="27"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b/>
          <w:color w:val="00B050"/>
          <w:sz w:val="32"/>
          <w:szCs w:val="32"/>
        </w:rPr>
      </w:pPr>
      <w:r>
        <w:rPr>
          <w:rFonts w:ascii="仿宋" w:hAnsi="仿宋" w:eastAsia="仿宋"/>
          <w:color w:val="000000"/>
          <w:kern w:val="0"/>
          <w:sz w:val="32"/>
          <w:szCs w:val="32"/>
        </w:rPr>
        <w:t>201</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年财政拨款收、支总计</w:t>
      </w:r>
      <w:r>
        <w:rPr>
          <w:rFonts w:hint="eastAsia" w:ascii="仿宋" w:hAnsi="仿宋" w:eastAsia="仿宋"/>
          <w:color w:val="000000"/>
          <w:kern w:val="0"/>
          <w:sz w:val="32"/>
          <w:szCs w:val="32"/>
          <w:lang w:val="en-US" w:eastAsia="zh-CN"/>
        </w:rPr>
        <w:t>660.17</w:t>
      </w:r>
      <w:r>
        <w:rPr>
          <w:rFonts w:hint="eastAsia" w:ascii="仿宋" w:hAnsi="仿宋" w:eastAsia="仿宋"/>
          <w:color w:val="000000"/>
          <w:kern w:val="0"/>
          <w:sz w:val="32"/>
          <w:szCs w:val="32"/>
        </w:rPr>
        <w:t>万元。与</w:t>
      </w:r>
      <w:r>
        <w:rPr>
          <w:rFonts w:ascii="仿宋" w:hAnsi="仿宋" w:eastAsia="仿宋"/>
          <w:color w:val="000000"/>
          <w:kern w:val="0"/>
          <w:sz w:val="32"/>
          <w:szCs w:val="32"/>
        </w:rPr>
        <w:t>201</w:t>
      </w:r>
      <w:r>
        <w:rPr>
          <w:rFonts w:hint="eastAsia" w:ascii="仿宋" w:hAnsi="仿宋" w:eastAsia="仿宋"/>
          <w:color w:val="000000"/>
          <w:kern w:val="0"/>
          <w:sz w:val="32"/>
          <w:szCs w:val="32"/>
          <w:lang w:val="en-US" w:eastAsia="zh-CN"/>
        </w:rPr>
        <w:t>8</w:t>
      </w:r>
      <w:r>
        <w:rPr>
          <w:rFonts w:hint="eastAsia" w:ascii="仿宋" w:hAnsi="仿宋" w:eastAsia="仿宋"/>
          <w:color w:val="000000"/>
          <w:kern w:val="0"/>
          <w:sz w:val="32"/>
          <w:szCs w:val="32"/>
        </w:rPr>
        <w:t>年相比，财政拨款收、支总计</w:t>
      </w:r>
      <w:r>
        <w:rPr>
          <w:rFonts w:hint="eastAsia" w:ascii="仿宋" w:hAnsi="仿宋" w:eastAsia="仿宋"/>
          <w:color w:val="000000"/>
          <w:kern w:val="0"/>
          <w:sz w:val="32"/>
          <w:szCs w:val="32"/>
          <w:lang w:eastAsia="zh-CN"/>
        </w:rPr>
        <w:t>增加</w:t>
      </w:r>
      <w:r>
        <w:rPr>
          <w:rFonts w:hint="eastAsia" w:ascii="仿宋" w:hAnsi="仿宋" w:eastAsia="仿宋"/>
          <w:color w:val="000000"/>
          <w:kern w:val="0"/>
          <w:sz w:val="32"/>
          <w:szCs w:val="32"/>
          <w:lang w:val="en-US" w:eastAsia="zh-CN"/>
        </w:rPr>
        <w:t>25.17</w:t>
      </w:r>
      <w:r>
        <w:rPr>
          <w:rFonts w:hint="eastAsia" w:ascii="仿宋" w:hAnsi="仿宋" w:eastAsia="仿宋"/>
          <w:color w:val="000000"/>
          <w:kern w:val="0"/>
          <w:sz w:val="32"/>
          <w:szCs w:val="32"/>
        </w:rPr>
        <w:t>万元</w:t>
      </w:r>
      <w:r>
        <w:rPr>
          <w:rFonts w:hint="eastAsia" w:ascii="仿宋" w:hAnsi="仿宋" w:eastAsia="仿宋"/>
          <w:color w:val="000000"/>
          <w:kern w:val="0"/>
          <w:sz w:val="32"/>
          <w:szCs w:val="32"/>
          <w:lang w:eastAsia="zh-CN"/>
        </w:rPr>
        <w:t>，增长</w:t>
      </w:r>
      <w:r>
        <w:rPr>
          <w:rFonts w:hint="eastAsia" w:ascii="仿宋" w:hAnsi="仿宋" w:eastAsia="仿宋"/>
          <w:color w:val="000000"/>
          <w:kern w:val="0"/>
          <w:sz w:val="32"/>
          <w:szCs w:val="32"/>
          <w:lang w:val="en-US" w:eastAsia="zh-CN"/>
        </w:rPr>
        <w:t>3.9</w:t>
      </w:r>
      <w:r>
        <w:rPr>
          <w:rFonts w:ascii="仿宋" w:hAnsi="仿宋" w:eastAsia="仿宋"/>
          <w:color w:val="000000"/>
          <w:kern w:val="0"/>
          <w:sz w:val="32"/>
          <w:szCs w:val="32"/>
        </w:rPr>
        <w:t>%</w:t>
      </w:r>
      <w:r>
        <w:rPr>
          <w:rFonts w:hint="eastAsia" w:ascii="仿宋" w:hAnsi="仿宋" w:eastAsia="仿宋"/>
          <w:color w:val="000000"/>
          <w:kern w:val="0"/>
          <w:sz w:val="32"/>
          <w:szCs w:val="32"/>
        </w:rPr>
        <w:t>。主要变动原因是人员</w:t>
      </w:r>
      <w:r>
        <w:rPr>
          <w:rFonts w:hint="eastAsia" w:ascii="仿宋" w:hAnsi="仿宋" w:eastAsia="仿宋"/>
          <w:color w:val="000000"/>
          <w:kern w:val="0"/>
          <w:sz w:val="32"/>
          <w:szCs w:val="32"/>
          <w:lang w:eastAsia="zh-CN"/>
        </w:rPr>
        <w:t>增加，工资调整</w:t>
      </w:r>
      <w:r>
        <w:rPr>
          <w:rFonts w:hint="eastAsia" w:ascii="仿宋" w:hAnsi="仿宋" w:eastAsia="仿宋"/>
          <w:color w:val="000000"/>
          <w:kern w:val="0"/>
          <w:sz w:val="32"/>
          <w:szCs w:val="32"/>
        </w:rPr>
        <w:t>。</w:t>
      </w:r>
    </w:p>
    <w:p>
      <w:pPr>
        <w:spacing w:line="600" w:lineRule="exact"/>
        <w:ind w:firstLine="640" w:firstLineChars="200"/>
        <w:outlineLvl w:val="1"/>
        <w:rPr>
          <w:rStyle w:val="17"/>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660.17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w:t>
      </w:r>
      <w:r>
        <w:rPr>
          <w:rFonts w:hint="eastAsia" w:ascii="仿宋" w:hAnsi="仿宋" w:eastAsia="仿宋"/>
          <w:color w:val="000000"/>
          <w:kern w:val="0"/>
          <w:sz w:val="32"/>
          <w:szCs w:val="32"/>
          <w:lang w:eastAsia="zh-CN"/>
        </w:rPr>
        <w:t>增加</w:t>
      </w:r>
      <w:r>
        <w:rPr>
          <w:rFonts w:hint="eastAsia" w:ascii="仿宋" w:hAnsi="仿宋" w:eastAsia="仿宋"/>
          <w:color w:val="000000"/>
          <w:kern w:val="0"/>
          <w:sz w:val="32"/>
          <w:szCs w:val="32"/>
          <w:lang w:val="en-US" w:eastAsia="zh-CN"/>
        </w:rPr>
        <w:t>25.17</w:t>
      </w:r>
      <w:r>
        <w:rPr>
          <w:rFonts w:hint="eastAsia" w:ascii="仿宋" w:hAnsi="仿宋" w:eastAsia="仿宋"/>
          <w:color w:val="000000"/>
          <w:sz w:val="32"/>
          <w:szCs w:val="32"/>
        </w:rPr>
        <w:t>万元，</w:t>
      </w:r>
      <w:r>
        <w:rPr>
          <w:rFonts w:hint="eastAsia" w:ascii="仿宋" w:hAnsi="仿宋" w:eastAsia="仿宋"/>
          <w:color w:val="000000"/>
          <w:kern w:val="0"/>
          <w:sz w:val="32"/>
          <w:szCs w:val="32"/>
          <w:lang w:eastAsia="zh-CN"/>
        </w:rPr>
        <w:t>增长</w:t>
      </w:r>
      <w:r>
        <w:rPr>
          <w:rFonts w:hint="eastAsia" w:ascii="仿宋" w:hAnsi="仿宋" w:eastAsia="仿宋"/>
          <w:color w:val="000000"/>
          <w:kern w:val="0"/>
          <w:sz w:val="32"/>
          <w:szCs w:val="32"/>
          <w:lang w:val="en-US" w:eastAsia="zh-CN"/>
        </w:rPr>
        <w:t>3.9</w:t>
      </w:r>
      <w:r>
        <w:rPr>
          <w:rFonts w:ascii="仿宋" w:hAnsi="仿宋" w:eastAsia="仿宋"/>
          <w:color w:val="000000"/>
          <w:kern w:val="0"/>
          <w:sz w:val="32"/>
          <w:szCs w:val="32"/>
        </w:rPr>
        <w:t>%</w:t>
      </w:r>
      <w:r>
        <w:rPr>
          <w:rFonts w:hint="eastAsia" w:ascii="仿宋" w:hAnsi="仿宋" w:eastAsia="仿宋"/>
          <w:color w:val="000000"/>
          <w:sz w:val="32"/>
          <w:szCs w:val="32"/>
        </w:rPr>
        <w:t>。主要变动原因</w:t>
      </w:r>
      <w:r>
        <w:rPr>
          <w:rFonts w:hint="eastAsia" w:ascii="仿宋" w:hAnsi="仿宋" w:eastAsia="仿宋"/>
          <w:color w:val="000000"/>
          <w:kern w:val="0"/>
          <w:sz w:val="32"/>
          <w:szCs w:val="32"/>
        </w:rPr>
        <w:t>人员</w:t>
      </w:r>
      <w:r>
        <w:rPr>
          <w:rFonts w:hint="eastAsia" w:ascii="仿宋" w:hAnsi="仿宋" w:eastAsia="仿宋"/>
          <w:color w:val="000000"/>
          <w:kern w:val="0"/>
          <w:sz w:val="32"/>
          <w:szCs w:val="32"/>
          <w:lang w:eastAsia="zh-CN"/>
        </w:rPr>
        <w:t>增加，工资调整</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644.62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医疗卫生支出563.2万元，占</w:t>
      </w:r>
      <w:r>
        <w:rPr>
          <w:rFonts w:hint="eastAsia" w:ascii="仿宋" w:hAnsi="仿宋" w:eastAsia="仿宋"/>
          <w:color w:val="000000"/>
          <w:sz w:val="32"/>
          <w:szCs w:val="32"/>
          <w:lang w:val="en-US" w:eastAsia="zh-CN"/>
        </w:rPr>
        <w:t>87.3</w:t>
      </w:r>
      <w:r>
        <w:rPr>
          <w:rFonts w:ascii="仿宋" w:hAnsi="仿宋" w:eastAsia="仿宋"/>
          <w:color w:val="000000"/>
          <w:sz w:val="32"/>
          <w:szCs w:val="32"/>
        </w:rPr>
        <w:t>%</w:t>
      </w:r>
      <w:r>
        <w:rPr>
          <w:rFonts w:hint="eastAsia" w:ascii="仿宋" w:hAnsi="仿宋" w:eastAsia="仿宋"/>
          <w:color w:val="000000"/>
          <w:sz w:val="32"/>
          <w:szCs w:val="32"/>
        </w:rPr>
        <w:t>；住房保障支出97.51万元，占</w:t>
      </w:r>
      <w:r>
        <w:rPr>
          <w:rFonts w:hint="eastAsia" w:ascii="仿宋" w:hAnsi="仿宋" w:eastAsia="仿宋"/>
          <w:color w:val="000000"/>
          <w:sz w:val="32"/>
          <w:szCs w:val="32"/>
          <w:lang w:val="en-US" w:eastAsia="zh-CN"/>
        </w:rPr>
        <w:t>12.7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pStyle w:val="5"/>
        <w:adjustRightInd w:val="0"/>
        <w:snapToGrid w:val="0"/>
        <w:spacing w:before="93" w:line="600" w:lineRule="exact"/>
        <w:ind w:firstLine="480" w:firstLineChars="150"/>
        <w:rPr>
          <w:rFonts w:ascii="仿宋" w:hAnsi="仿宋" w:eastAsia="仿宋"/>
          <w:color w:val="000000"/>
          <w:sz w:val="32"/>
          <w:szCs w:val="32"/>
        </w:rPr>
      </w:pPr>
      <w:bookmarkStart w:id="33" w:name="_Toc15378460"/>
      <w:bookmarkStart w:id="34" w:name="_Toc15377444"/>
      <w:bookmarkStart w:id="35" w:name="_Toc15377213"/>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年般公共预算支出决算数为</w:t>
      </w:r>
      <w:r>
        <w:rPr>
          <w:rFonts w:hint="eastAsia" w:ascii="仿宋" w:hAnsi="仿宋" w:eastAsia="仿宋"/>
          <w:color w:val="000000"/>
          <w:sz w:val="32"/>
          <w:szCs w:val="32"/>
          <w:lang w:val="en-US" w:eastAsia="zh-CN"/>
        </w:rPr>
        <w:t>660.71</w:t>
      </w:r>
      <w:r>
        <w:rPr>
          <w:rFonts w:hint="eastAsia" w:ascii="仿宋" w:hAnsi="仿宋" w:eastAsia="仿宋"/>
          <w:color w:val="000000"/>
          <w:sz w:val="32"/>
          <w:szCs w:val="32"/>
        </w:rPr>
        <w:t>，完成预算</w:t>
      </w:r>
      <w:r>
        <w:rPr>
          <w:rFonts w:ascii="仿宋" w:hAnsi="仿宋" w:eastAsia="仿宋"/>
          <w:color w:val="000000"/>
          <w:sz w:val="32"/>
          <w:szCs w:val="32"/>
        </w:rPr>
        <w:t>100%</w:t>
      </w:r>
      <w:r>
        <w:rPr>
          <w:rFonts w:hint="eastAsia" w:ascii="仿宋" w:hAnsi="仿宋" w:eastAsia="仿宋"/>
          <w:color w:val="000000"/>
          <w:sz w:val="32"/>
          <w:szCs w:val="32"/>
        </w:rPr>
        <w:t>。其中：</w:t>
      </w:r>
      <w:bookmarkEnd w:id="33"/>
      <w:bookmarkEnd w:id="34"/>
      <w:bookmarkEnd w:id="35"/>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、住房保障支出（类）住房改革支出（款）住房公积金（项）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97.51</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、医疗卫生与计划生育（类）公立医院（款）综合医院（项）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509.96</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医疗卫生与计划生育（类）公共卫生（款）重大公共卫生专项（项）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医疗卫生与计划生育（类）其他医疗卫生与计划生育支出（款）其他医疗卫生与计划生育支出（项）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39.24</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tabs>
          <w:tab w:val="right" w:pos="8306"/>
        </w:tabs>
        <w:spacing w:line="600" w:lineRule="exact"/>
        <w:ind w:firstLine="640"/>
        <w:outlineLvl w:val="1"/>
        <w:rPr>
          <w:rStyle w:val="17"/>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36"/>
      <w:bookmarkEnd w:id="37"/>
      <w:r>
        <w:rPr>
          <w:rStyle w:val="17"/>
          <w:rFonts w:ascii="黑体" w:hAnsi="黑体" w:eastAsia="黑体"/>
          <w:b w:val="0"/>
        </w:rPr>
        <w:tab/>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509.96</w:t>
      </w:r>
      <w:r>
        <w:rPr>
          <w:rFonts w:hint="eastAsia" w:ascii="仿宋" w:hAnsi="仿宋" w:eastAsia="仿宋"/>
          <w:color w:val="000000"/>
          <w:sz w:val="32"/>
          <w:szCs w:val="32"/>
        </w:rPr>
        <w:t>万元，其中：</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477.07</w:t>
      </w:r>
      <w:r>
        <w:rPr>
          <w:rFonts w:hint="eastAsia" w:ascii="仿宋" w:hAnsi="仿宋" w:eastAsia="仿宋"/>
          <w:color w:val="000000"/>
          <w:sz w:val="32"/>
          <w:szCs w:val="32"/>
        </w:rPr>
        <w:t>万元，主要包括：基本工资、津贴补贴、绩效工资、机关事业单位基本养老保险缴费、职业年金缴费、职工基本医疗保险缴费、其他社会保障缴费、住房公积金、其他工资福利支出。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32.89</w:t>
      </w:r>
      <w:r>
        <w:rPr>
          <w:rFonts w:hint="eastAsia" w:ascii="仿宋" w:hAnsi="仿宋" w:eastAsia="仿宋"/>
          <w:color w:val="000000"/>
          <w:sz w:val="32"/>
          <w:szCs w:val="32"/>
        </w:rPr>
        <w:t>万元，主要包括：办公费、电费。</w:t>
      </w:r>
    </w:p>
    <w:p>
      <w:pPr>
        <w:spacing w:line="600" w:lineRule="exact"/>
        <w:ind w:firstLine="640"/>
        <w:outlineLvl w:val="1"/>
        <w:rPr>
          <w:rStyle w:val="17"/>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因公出国（境）经费支出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。全年安排因公出国（境）团组</w:t>
      </w:r>
      <w:r>
        <w:rPr>
          <w:rFonts w:ascii="仿宋" w:hAnsi="仿宋" w:eastAsia="仿宋"/>
          <w:color w:val="000000"/>
          <w:sz w:val="32"/>
          <w:szCs w:val="32"/>
        </w:rPr>
        <w:t>0</w:t>
      </w:r>
      <w:r>
        <w:rPr>
          <w:rFonts w:hint="eastAsia" w:ascii="仿宋" w:hAnsi="仿宋" w:eastAsia="仿宋"/>
          <w:color w:val="000000"/>
          <w:sz w:val="32"/>
          <w:szCs w:val="32"/>
        </w:rPr>
        <w:t>次，出国（境）</w:t>
      </w:r>
      <w:r>
        <w:rPr>
          <w:rFonts w:ascii="仿宋" w:hAnsi="仿宋" w:eastAsia="仿宋"/>
          <w:color w:val="000000"/>
          <w:sz w:val="32"/>
          <w:szCs w:val="32"/>
        </w:rPr>
        <w:t>0</w:t>
      </w:r>
      <w:r>
        <w:rPr>
          <w:rFonts w:hint="eastAsia" w:ascii="仿宋" w:hAnsi="仿宋" w:eastAsia="仿宋"/>
          <w:color w:val="000000"/>
          <w:sz w:val="32"/>
          <w:szCs w:val="32"/>
        </w:rPr>
        <w:t>人。因公出国（境）支出决算与</w:t>
      </w:r>
      <w:r>
        <w:rPr>
          <w:rFonts w:ascii="仿宋" w:hAnsi="仿宋" w:eastAsia="仿宋"/>
          <w:color w:val="000000"/>
          <w:sz w:val="32"/>
          <w:szCs w:val="32"/>
        </w:rPr>
        <w:t>2017</w:t>
      </w:r>
      <w:r>
        <w:rPr>
          <w:rFonts w:hint="eastAsia" w:ascii="仿宋" w:hAnsi="仿宋" w:eastAsia="仿宋"/>
          <w:color w:val="000000"/>
          <w:sz w:val="32"/>
          <w:szCs w:val="32"/>
        </w:rPr>
        <w:t>年持平。</w:t>
      </w:r>
    </w:p>
    <w:p>
      <w:pPr>
        <w:spacing w:line="600" w:lineRule="exact"/>
        <w:ind w:firstLine="640"/>
        <w:rPr>
          <w:rFonts w:ascii="仿宋" w:hAnsi="仿宋" w:eastAsia="仿宋"/>
          <w:color w:val="000000"/>
          <w:kern w:val="0"/>
          <w:sz w:val="32"/>
          <w:szCs w:val="32"/>
        </w:rPr>
      </w:pPr>
      <w:r>
        <w:rPr>
          <w:rFonts w:ascii="仿宋" w:hAnsi="仿宋" w:eastAsia="仿宋"/>
          <w:color w:val="000000"/>
          <w:kern w:val="0"/>
          <w:sz w:val="32"/>
          <w:szCs w:val="32"/>
        </w:rPr>
        <w:t>2.</w:t>
      </w:r>
      <w:r>
        <w:rPr>
          <w:rFonts w:hint="eastAsia" w:ascii="仿宋" w:hAnsi="仿宋" w:eastAsia="仿宋"/>
          <w:color w:val="000000"/>
          <w:kern w:val="0"/>
          <w:sz w:val="32"/>
          <w:szCs w:val="32"/>
        </w:rPr>
        <w:t>公务用车购置及运行维护费支出</w:t>
      </w:r>
      <w:r>
        <w:rPr>
          <w:rFonts w:ascii="仿宋" w:hAnsi="仿宋" w:eastAsia="仿宋"/>
          <w:color w:val="000000"/>
          <w:kern w:val="0"/>
          <w:sz w:val="32"/>
          <w:szCs w:val="32"/>
        </w:rPr>
        <w:t>0</w:t>
      </w:r>
      <w:r>
        <w:rPr>
          <w:rFonts w:hint="eastAsia" w:ascii="仿宋" w:hAnsi="仿宋" w:eastAsia="仿宋"/>
          <w:color w:val="000000"/>
          <w:kern w:val="0"/>
          <w:sz w:val="32"/>
          <w:szCs w:val="32"/>
        </w:rPr>
        <w:t>万元</w:t>
      </w:r>
      <w:r>
        <w:rPr>
          <w:rFonts w:ascii="仿宋" w:hAnsi="仿宋" w:eastAsia="仿宋"/>
          <w:color w:val="000000"/>
          <w:kern w:val="0"/>
          <w:sz w:val="32"/>
          <w:szCs w:val="32"/>
        </w:rPr>
        <w:t>,</w:t>
      </w:r>
      <w:r>
        <w:rPr>
          <w:rFonts w:hint="eastAsia" w:ascii="仿宋" w:hAnsi="仿宋" w:eastAsia="仿宋"/>
          <w:color w:val="000000"/>
          <w:kern w:val="0"/>
          <w:sz w:val="32"/>
          <w:szCs w:val="32"/>
        </w:rPr>
        <w:t>完成预算</w:t>
      </w:r>
      <w:r>
        <w:rPr>
          <w:rFonts w:ascii="仿宋" w:hAnsi="仿宋" w:eastAsia="仿宋"/>
          <w:color w:val="000000"/>
          <w:kern w:val="0"/>
          <w:sz w:val="32"/>
          <w:szCs w:val="32"/>
        </w:rPr>
        <w:t>0%</w:t>
      </w:r>
      <w:r>
        <w:rPr>
          <w:rFonts w:hint="eastAsia" w:ascii="仿宋" w:hAnsi="仿宋" w:eastAsia="仿宋"/>
          <w:color w:val="000000"/>
          <w:kern w:val="0"/>
          <w:sz w:val="32"/>
          <w:szCs w:val="32"/>
        </w:rPr>
        <w:t>。公务用车购置及运行维护费支出决算与</w:t>
      </w:r>
      <w:r>
        <w:rPr>
          <w:rFonts w:ascii="仿宋" w:hAnsi="仿宋" w:eastAsia="仿宋"/>
          <w:color w:val="000000"/>
          <w:kern w:val="0"/>
          <w:sz w:val="32"/>
          <w:szCs w:val="32"/>
        </w:rPr>
        <w:t>2017</w:t>
      </w:r>
      <w:r>
        <w:rPr>
          <w:rFonts w:hint="eastAsia" w:ascii="仿宋" w:hAnsi="仿宋" w:eastAsia="仿宋"/>
          <w:color w:val="000000"/>
          <w:kern w:val="0"/>
          <w:sz w:val="32"/>
          <w:szCs w:val="32"/>
        </w:rPr>
        <w:t>年增持平。</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szCs w:val="32"/>
        </w:rPr>
        <w:t>0</w:t>
      </w:r>
      <w:r>
        <w:rPr>
          <w:rFonts w:hint="eastAsia" w:ascii="仿宋" w:hAnsi="仿宋" w:eastAsia="仿宋"/>
          <w:color w:val="000000"/>
          <w:sz w:val="32"/>
          <w:szCs w:val="32"/>
        </w:rPr>
        <w:t>万元</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szCs w:val="32"/>
        </w:rPr>
        <w:t>0</w:t>
      </w:r>
      <w:r>
        <w:rPr>
          <w:rFonts w:hint="eastAsia" w:ascii="仿宋" w:hAnsi="仿宋" w:eastAsia="仿宋"/>
          <w:color w:val="000000"/>
          <w:sz w:val="32"/>
          <w:szCs w:val="32"/>
        </w:rPr>
        <w:t>万元。</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公务接待费支出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rPr>
        <w:t>。</w:t>
      </w:r>
      <w:r>
        <w:rPr>
          <w:rFonts w:hint="eastAsia" w:ascii="仿宋" w:hAnsi="仿宋" w:eastAsia="仿宋"/>
          <w:color w:val="000000"/>
          <w:sz w:val="32"/>
          <w:szCs w:val="32"/>
        </w:rPr>
        <w:t>公务接待费支出决算与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年持平。</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w:t>
      </w:r>
      <w:r>
        <w:rPr>
          <w:rFonts w:ascii="仿宋" w:hAnsi="仿宋" w:eastAsia="仿宋"/>
          <w:color w:val="000000"/>
          <w:sz w:val="32"/>
          <w:szCs w:val="32"/>
        </w:rPr>
        <w:t>0</w:t>
      </w:r>
      <w:r>
        <w:rPr>
          <w:rFonts w:hint="eastAsia" w:ascii="仿宋" w:hAnsi="仿宋" w:eastAsia="仿宋"/>
          <w:color w:val="000000"/>
          <w:sz w:val="32"/>
          <w:szCs w:val="32"/>
        </w:rPr>
        <w:t>批次，</w:t>
      </w:r>
      <w:r>
        <w:rPr>
          <w:rFonts w:ascii="仿宋" w:hAnsi="仿宋" w:eastAsia="仿宋"/>
          <w:color w:val="000000"/>
          <w:sz w:val="32"/>
          <w:szCs w:val="32"/>
        </w:rPr>
        <w:t>0</w:t>
      </w:r>
      <w:r>
        <w:rPr>
          <w:rFonts w:hint="eastAsia" w:ascii="仿宋" w:hAnsi="仿宋" w:eastAsia="仿宋"/>
          <w:color w:val="000000"/>
          <w:sz w:val="32"/>
          <w:szCs w:val="32"/>
        </w:rPr>
        <w:t>人次（不包括陪同人员），共计支出</w:t>
      </w:r>
      <w:r>
        <w:rPr>
          <w:rFonts w:ascii="仿宋" w:hAnsi="仿宋" w:eastAsia="仿宋"/>
          <w:color w:val="000000"/>
          <w:sz w:val="32"/>
          <w:szCs w:val="32"/>
        </w:rPr>
        <w:t>0</w:t>
      </w:r>
      <w:r>
        <w:rPr>
          <w:rFonts w:hint="eastAsia" w:ascii="仿宋" w:hAnsi="仿宋" w:eastAsia="仿宋"/>
          <w:color w:val="000000"/>
          <w:sz w:val="32"/>
          <w:szCs w:val="32"/>
        </w:rPr>
        <w:t>万元。其中：</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szCs w:val="32"/>
        </w:rPr>
        <w:t>0</w:t>
      </w:r>
      <w:r>
        <w:rPr>
          <w:rFonts w:hint="eastAsia" w:ascii="仿宋" w:hAnsi="仿宋" w:eastAsia="仿宋"/>
          <w:color w:val="000000"/>
          <w:sz w:val="32"/>
          <w:szCs w:val="32"/>
        </w:rPr>
        <w:t>万元，外事接待</w:t>
      </w:r>
      <w:r>
        <w:rPr>
          <w:rFonts w:ascii="仿宋" w:hAnsi="仿宋" w:eastAsia="仿宋"/>
          <w:color w:val="000000"/>
          <w:sz w:val="32"/>
          <w:szCs w:val="32"/>
        </w:rPr>
        <w:t>0</w:t>
      </w:r>
      <w:r>
        <w:rPr>
          <w:rFonts w:hint="eastAsia" w:ascii="仿宋" w:hAnsi="仿宋" w:eastAsia="仿宋"/>
          <w:color w:val="000000"/>
          <w:sz w:val="32"/>
          <w:szCs w:val="32"/>
        </w:rPr>
        <w:t>批次，</w:t>
      </w:r>
      <w:r>
        <w:rPr>
          <w:rFonts w:ascii="仿宋" w:hAnsi="仿宋" w:eastAsia="仿宋"/>
          <w:color w:val="000000"/>
          <w:sz w:val="32"/>
          <w:szCs w:val="32"/>
        </w:rPr>
        <w:t>0</w:t>
      </w:r>
      <w:r>
        <w:rPr>
          <w:rFonts w:hint="eastAsia" w:ascii="仿宋" w:hAnsi="仿宋" w:eastAsia="仿宋"/>
          <w:color w:val="000000"/>
          <w:sz w:val="32"/>
          <w:szCs w:val="32"/>
        </w:rPr>
        <w:t>人，共计支出</w:t>
      </w:r>
      <w:r>
        <w:rPr>
          <w:rFonts w:ascii="仿宋" w:hAnsi="仿宋" w:eastAsia="仿宋"/>
          <w:color w:val="000000"/>
          <w:sz w:val="32"/>
          <w:szCs w:val="32"/>
        </w:rPr>
        <w:t>0</w:t>
      </w:r>
      <w:r>
        <w:rPr>
          <w:rFonts w:hint="eastAsia" w:ascii="仿宋" w:hAnsi="仿宋" w:eastAsia="仿宋"/>
          <w:color w:val="000000"/>
          <w:sz w:val="32"/>
          <w:szCs w:val="32"/>
        </w:rPr>
        <w:t>万元。</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其他国内公务接待支出</w:t>
      </w:r>
      <w:r>
        <w:rPr>
          <w:rFonts w:ascii="仿宋" w:hAnsi="仿宋" w:eastAsia="仿宋"/>
          <w:color w:val="000000"/>
          <w:sz w:val="32"/>
          <w:szCs w:val="32"/>
        </w:rPr>
        <w:t>0</w:t>
      </w:r>
      <w:r>
        <w:rPr>
          <w:rFonts w:hint="eastAsia" w:ascii="仿宋" w:hAnsi="仿宋" w:eastAsia="仿宋"/>
          <w:color w:val="000000"/>
          <w:sz w:val="32"/>
          <w:szCs w:val="32"/>
        </w:rPr>
        <w:t>万元。</w:t>
      </w:r>
      <w:bookmarkStart w:id="42" w:name="_Toc15377218"/>
      <w:bookmarkStart w:id="43" w:name="_Toc15396610"/>
    </w:p>
    <w:p>
      <w:pPr>
        <w:pStyle w:val="5"/>
        <w:adjustRightInd w:val="0"/>
        <w:snapToGrid w:val="0"/>
        <w:spacing w:before="93" w:line="600" w:lineRule="exact"/>
        <w:ind w:firstLine="480" w:firstLineChars="150"/>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2"/>
      <w:bookmarkEnd w:id="43"/>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年政府性基金预算拨款支出</w:t>
      </w:r>
      <w:r>
        <w:rPr>
          <w:rFonts w:ascii="仿宋" w:hAnsi="仿宋" w:eastAsia="仿宋"/>
          <w:color w:val="000000"/>
          <w:sz w:val="32"/>
          <w:szCs w:val="32"/>
        </w:rPr>
        <w:t>0</w:t>
      </w:r>
      <w:r>
        <w:rPr>
          <w:rFonts w:hint="eastAsia" w:ascii="仿宋" w:hAnsi="仿宋" w:eastAsia="仿宋"/>
          <w:color w:val="000000"/>
          <w:sz w:val="32"/>
          <w:szCs w:val="32"/>
        </w:rPr>
        <w:t>万元。</w:t>
      </w:r>
    </w:p>
    <w:p>
      <w:pPr>
        <w:numPr>
          <w:ilvl w:val="0"/>
          <w:numId w:val="2"/>
        </w:numPr>
        <w:spacing w:line="600" w:lineRule="exact"/>
        <w:ind w:firstLine="640"/>
        <w:outlineLvl w:val="1"/>
        <w:rPr>
          <w:rStyle w:val="17"/>
          <w:rFonts w:ascii="黑体" w:hAnsi="黑体" w:eastAsia="黑体"/>
          <w:b w:val="0"/>
        </w:rPr>
      </w:pPr>
      <w:bookmarkStart w:id="44" w:name="_Toc15396611"/>
      <w:bookmarkStart w:id="45" w:name="_Toc15377219"/>
      <w:r>
        <w:rPr>
          <w:rStyle w:val="17"/>
          <w:rFonts w:hint="eastAsia" w:ascii="黑体" w:hAnsi="黑体" w:eastAsia="黑体"/>
          <w:b w:val="0"/>
        </w:rPr>
        <w:t>国有资本经营预算支出决算情况说明</w:t>
      </w:r>
      <w:bookmarkEnd w:id="44"/>
      <w:bookmarkEnd w:id="45"/>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年国有资本经营预算拨款支出</w:t>
      </w:r>
      <w:r>
        <w:rPr>
          <w:rFonts w:ascii="仿宋" w:hAnsi="仿宋" w:eastAsia="仿宋"/>
          <w:color w:val="000000"/>
          <w:sz w:val="32"/>
          <w:szCs w:val="32"/>
        </w:rPr>
        <w:t>0</w:t>
      </w:r>
      <w:r>
        <w:rPr>
          <w:rFonts w:hint="eastAsia" w:ascii="仿宋" w:hAnsi="仿宋" w:eastAsia="仿宋"/>
          <w:color w:val="000000"/>
          <w:sz w:val="32"/>
          <w:szCs w:val="32"/>
        </w:rPr>
        <w:t>万元。</w:t>
      </w:r>
    </w:p>
    <w:p>
      <w:pPr>
        <w:pStyle w:val="27"/>
        <w:numPr>
          <w:ilvl w:val="0"/>
          <w:numId w:val="3"/>
        </w:numPr>
        <w:spacing w:line="580" w:lineRule="exact"/>
        <w:ind w:firstLineChars="0"/>
        <w:rPr>
          <w:rStyle w:val="17"/>
          <w:rFonts w:ascii="黑体" w:hAnsi="黑体" w:eastAsia="黑体"/>
          <w:b w:val="0"/>
        </w:rPr>
      </w:pPr>
      <w:r>
        <w:rPr>
          <w:rStyle w:val="17"/>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根据预算绩效管理要求，本单位在年初预算编制阶段，组织对取消县级公开医院药品加成项目开展了预算事前绩效评估，对</w:t>
      </w:r>
      <w:r>
        <w:rPr>
          <w:rFonts w:ascii="仿宋" w:hAnsi="仿宋" w:eastAsia="仿宋"/>
          <w:color w:val="000000"/>
          <w:sz w:val="32"/>
          <w:szCs w:val="32"/>
        </w:rPr>
        <w:t>1</w:t>
      </w:r>
      <w:r>
        <w:rPr>
          <w:rFonts w:hint="eastAsia" w:ascii="仿宋" w:hAnsi="仿宋" w:eastAsia="仿宋"/>
          <w:color w:val="000000"/>
          <w:sz w:val="32"/>
          <w:szCs w:val="32"/>
        </w:rPr>
        <w:t>个项目编制了绩效目标，预算执行过程中，选取</w:t>
      </w:r>
      <w:r>
        <w:rPr>
          <w:rFonts w:ascii="仿宋" w:hAnsi="仿宋" w:eastAsia="仿宋"/>
          <w:color w:val="000000"/>
          <w:sz w:val="32"/>
          <w:szCs w:val="32"/>
        </w:rPr>
        <w:t>1</w:t>
      </w:r>
      <w:r>
        <w:rPr>
          <w:rFonts w:hint="eastAsia" w:ascii="仿宋" w:hAnsi="仿宋" w:eastAsia="仿宋"/>
          <w:color w:val="000000"/>
          <w:sz w:val="32"/>
          <w:szCs w:val="32"/>
        </w:rPr>
        <w:t>个项目开展绩效监控，年终执行完毕后，对</w:t>
      </w:r>
      <w:r>
        <w:rPr>
          <w:rFonts w:ascii="仿宋" w:hAnsi="仿宋" w:eastAsia="仿宋"/>
          <w:color w:val="000000"/>
          <w:sz w:val="32"/>
          <w:szCs w:val="32"/>
        </w:rPr>
        <w:t>1</w:t>
      </w:r>
      <w:r>
        <w:rPr>
          <w:rFonts w:hint="eastAsia" w:ascii="仿宋" w:hAnsi="仿宋" w:eastAsia="仿宋"/>
          <w:color w:val="000000"/>
          <w:sz w:val="32"/>
          <w:szCs w:val="32"/>
        </w:rPr>
        <w:t>个项目开展了绩效目标完成情况梳理填报。</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年部门整体支出开展绩效自评，从评价情况来看项目有利于医院的持续发展，运作良好，有经济效益、社会效益。本部门还自行组织了</w:t>
      </w:r>
      <w:r>
        <w:rPr>
          <w:rFonts w:ascii="仿宋" w:hAnsi="仿宋" w:eastAsia="仿宋"/>
          <w:color w:val="000000"/>
          <w:sz w:val="32"/>
          <w:szCs w:val="32"/>
        </w:rPr>
        <w:t>1</w:t>
      </w:r>
      <w:r>
        <w:rPr>
          <w:rFonts w:hint="eastAsia" w:ascii="仿宋" w:hAnsi="仿宋" w:eastAsia="仿宋"/>
          <w:color w:val="000000"/>
          <w:sz w:val="32"/>
          <w:szCs w:val="32"/>
        </w:rPr>
        <w:t>个项目绩效评价，从评价情况来看取消县级公立医院药品加成，对医院的发展带来良好的效益，减少医院亏损部分，让医院平稳快速发展。</w:t>
      </w:r>
    </w:p>
    <w:p>
      <w:pPr>
        <w:pStyle w:val="5"/>
        <w:adjustRightInd w:val="0"/>
        <w:snapToGrid w:val="0"/>
        <w:spacing w:before="93" w:line="600" w:lineRule="exact"/>
        <w:ind w:firstLine="482" w:firstLineChars="150"/>
        <w:rPr>
          <w:rFonts w:ascii="仿宋" w:hAnsi="仿宋" w:eastAsia="仿宋"/>
          <w:color w:val="000000"/>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hAnsi="仿宋_GB2312" w:cs="仿宋_GB2312"/>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本部门在</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年度部门决算中反映“县级公立医院取消药品加成”</w:t>
      </w:r>
      <w:r>
        <w:rPr>
          <w:rFonts w:hint="eastAsia" w:ascii="仿宋" w:hAnsi="仿宋" w:eastAsia="仿宋"/>
          <w:color w:val="000000"/>
          <w:sz w:val="32"/>
          <w:szCs w:val="32"/>
          <w:lang w:eastAsia="zh-CN"/>
        </w:rPr>
        <w:t>及“贫困白内障患者复明手术”</w:t>
      </w:r>
      <w:r>
        <w:rPr>
          <w:rFonts w:hint="eastAsia" w:ascii="仿宋" w:hAnsi="仿宋" w:eastAsia="仿宋"/>
          <w:color w:val="000000"/>
          <w:sz w:val="32"/>
          <w:szCs w:val="32"/>
        </w:rPr>
        <w:t>等</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个项目绩效目标实际完成情况。</w:t>
      </w:r>
    </w:p>
    <w:p>
      <w:pPr>
        <w:pStyle w:val="5"/>
        <w:adjustRightInd w:val="0"/>
        <w:snapToGrid w:val="0"/>
        <w:spacing w:before="93" w:line="60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rPr>
        <w:t>县级公立医院取消药品加成项目绩效目标完成情况综述。项目全年预算数</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通过项目实施，保障医院稳定快速发展，减少病人负担，提高医院医疗服务能力。县级公立医院取消药品加成减少患者负担，弥补医院亏损，更好的优化本地区医疗服务能力。发现的主要问题：对资金的运用管控不到位。下一步改进措施：进一步加成医院管理，合理运用资金，发展医院。</w:t>
      </w:r>
    </w:p>
    <w:p>
      <w:pPr>
        <w:pStyle w:val="5"/>
        <w:adjustRightInd w:val="0"/>
        <w:snapToGrid w:val="0"/>
        <w:spacing w:before="93" w:line="600" w:lineRule="exact"/>
        <w:ind w:firstLine="480" w:firstLineChars="150"/>
        <w:rPr>
          <w:rFonts w:hint="eastAsia" w:ascii="仿宋" w:hAnsi="仿宋" w:eastAsia="仿宋"/>
          <w:color w:val="000000"/>
          <w:sz w:val="32"/>
          <w:szCs w:val="32"/>
        </w:rPr>
      </w:pPr>
      <w:r>
        <w:rPr>
          <w:rFonts w:hint="eastAsia" w:ascii="仿宋" w:hAnsi="仿宋" w:eastAsia="仿宋"/>
          <w:color w:val="000000"/>
          <w:sz w:val="32"/>
          <w:szCs w:val="32"/>
          <w:lang w:eastAsia="zh-CN"/>
        </w:rPr>
        <w:t>贫困白内障患者复明手术</w:t>
      </w:r>
      <w:r>
        <w:rPr>
          <w:rFonts w:hint="eastAsia" w:ascii="仿宋" w:hAnsi="仿宋" w:eastAsia="仿宋"/>
          <w:color w:val="000000"/>
          <w:sz w:val="32"/>
          <w:szCs w:val="32"/>
        </w:rPr>
        <w:t>项目绩效目标完成情况综述。项目全年预算数</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万元，执行数为</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万元，完成预算的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。通过项目实施，</w:t>
      </w:r>
      <w:r>
        <w:rPr>
          <w:rFonts w:hint="eastAsia" w:ascii="仿宋" w:hAnsi="仿宋" w:eastAsia="仿宋"/>
          <w:color w:val="000000"/>
          <w:sz w:val="32"/>
          <w:szCs w:val="32"/>
          <w:lang w:eastAsia="zh-CN"/>
        </w:rPr>
        <w:t>减少本地区贫困白内障患者，加快因病致贫的家庭，快速脱贫</w:t>
      </w:r>
      <w:r>
        <w:rPr>
          <w:rFonts w:hint="eastAsia" w:ascii="仿宋" w:hAnsi="仿宋" w:eastAsia="仿宋"/>
          <w:color w:val="000000"/>
          <w:sz w:val="32"/>
          <w:szCs w:val="32"/>
        </w:rPr>
        <w:t>。</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5"/>
              <w:adjustRightInd w:val="0"/>
              <w:snapToGrid w:val="0"/>
              <w:spacing w:before="93" w:line="600" w:lineRule="exact"/>
              <w:ind w:firstLine="540" w:firstLineChars="150"/>
              <w:rPr>
                <w:rFonts w:hint="eastAsia" w:ascii="黑体" w:hAnsi="黑体" w:eastAsia="黑体" w:cs="宋体"/>
                <w:bCs/>
                <w:color w:val="000000"/>
                <w:sz w:val="36"/>
                <w:szCs w:val="36"/>
              </w:rPr>
            </w:pPr>
          </w:p>
          <w:p>
            <w:pPr>
              <w:pStyle w:val="5"/>
              <w:adjustRightInd w:val="0"/>
              <w:snapToGrid w:val="0"/>
              <w:spacing w:before="93" w:line="600" w:lineRule="exact"/>
              <w:ind w:firstLine="540" w:firstLineChars="150"/>
              <w:rPr>
                <w:rFonts w:hint="eastAsia" w:ascii="黑体" w:hAnsi="黑体" w:eastAsia="黑体" w:cs="宋体"/>
                <w:bCs/>
                <w:color w:val="000000"/>
                <w:sz w:val="36"/>
                <w:szCs w:val="36"/>
              </w:rPr>
            </w:pPr>
          </w:p>
          <w:p>
            <w:pPr>
              <w:pStyle w:val="5"/>
              <w:adjustRightInd w:val="0"/>
              <w:snapToGrid w:val="0"/>
              <w:spacing w:before="93" w:line="600" w:lineRule="exact"/>
              <w:ind w:firstLine="540" w:firstLineChars="150"/>
              <w:rPr>
                <w:rFonts w:ascii="宋体" w:eastAsia="宋体" w:cs="宋体"/>
                <w:color w:val="000000"/>
                <w:sz w:val="36"/>
                <w:szCs w:val="36"/>
              </w:rPr>
            </w:pPr>
            <w:r>
              <w:rPr>
                <w:rFonts w:hint="eastAsia" w:ascii="黑体" w:hAnsi="黑体" w:eastAsia="黑体" w:cs="宋体"/>
                <w:bCs/>
                <w:color w:val="000000"/>
                <w:sz w:val="36"/>
                <w:szCs w:val="36"/>
              </w:rPr>
              <w:t>项目支出绩效目标完成情况表</w:t>
            </w:r>
            <w:r>
              <w:rPr>
                <w:rFonts w:ascii="宋体" w:eastAsia="宋体" w:cs="宋体"/>
                <w:b/>
                <w:bCs/>
                <w:color w:val="000000"/>
                <w:sz w:val="36"/>
                <w:szCs w:val="36"/>
              </w:rPr>
              <w:br w:type="textWrapping"/>
            </w:r>
            <w:r>
              <w:rPr>
                <w:rFonts w:ascii="宋体" w:hAnsi="宋体" w:cs="宋体"/>
                <w:color w:val="000000"/>
                <w:sz w:val="36"/>
                <w:szCs w:val="36"/>
              </w:rPr>
              <w:t>(201</w:t>
            </w:r>
            <w:r>
              <w:rPr>
                <w:rFonts w:hint="eastAsia" w:ascii="宋体" w:hAnsi="宋体" w:cs="宋体"/>
                <w:color w:val="000000"/>
                <w:sz w:val="36"/>
                <w:szCs w:val="36"/>
                <w:lang w:val="en-US" w:eastAsia="zh-CN"/>
              </w:rPr>
              <w:t>9</w:t>
            </w:r>
            <w:r>
              <w:rPr>
                <w:rFonts w:ascii="宋体" w:hAnsi="宋体" w:cs="宋体"/>
                <w:color w:val="000000"/>
                <w:sz w:val="36"/>
                <w:szCs w:val="36"/>
              </w:rPr>
              <w:t xml:space="preserve"> </w:t>
            </w:r>
            <w:r>
              <w:rPr>
                <w:rFonts w:hint="eastAsia" w:ascii="宋体" w:hAnsi="宋体" w:cs="宋体"/>
                <w:color w:val="000000"/>
                <w:sz w:val="36"/>
                <w:szCs w:val="36"/>
              </w:rPr>
              <w:t>年度</w:t>
            </w:r>
            <w:r>
              <w:rPr>
                <w:rFonts w:ascii="宋体" w:hAnsi="宋体" w:cs="宋体"/>
                <w:color w:val="00000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sz w:val="24"/>
              </w:rPr>
              <w:t>县级公立医院取消药品加成</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广元市昭化区人民医院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hAnsi="宋体" w:cs="宋体"/>
                <w:color w:val="000000"/>
                <w:sz w:val="24"/>
                <w:lang w:val="en-US" w:eastAsia="zh-CN"/>
              </w:rPr>
              <w:t>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18.59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hAnsi="宋体" w:cs="宋体"/>
                <w:color w:val="000000"/>
                <w:sz w:val="24"/>
                <w:lang w:val="en-US" w:eastAsia="zh-CN"/>
              </w:rPr>
              <w:t>2.8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18.59</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取消药品加成项目资金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2"/>
                <w:szCs w:val="22"/>
              </w:rPr>
              <w:t>取消药品加成弥补医院的部分亏损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2"/>
                <w:szCs w:val="22"/>
              </w:rPr>
              <w:t>取消药品加成弥补医院的部分亏损</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2"/>
                <w:szCs w:val="22"/>
              </w:rPr>
            </w:pPr>
            <w:r>
              <w:rPr>
                <w:rFonts w:hint="eastAsia" w:ascii="宋体" w:hAnsi="宋体" w:cs="宋体"/>
                <w:sz w:val="22"/>
                <w:szCs w:val="22"/>
              </w:rPr>
              <w:t>减少医院负担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2"/>
                <w:szCs w:val="22"/>
              </w:rPr>
            </w:pPr>
            <w:r>
              <w:rPr>
                <w:rFonts w:hint="eastAsia" w:ascii="宋体" w:hAnsi="宋体" w:cs="宋体"/>
                <w:sz w:val="22"/>
                <w:szCs w:val="22"/>
              </w:rPr>
              <w:t>医院减少损失，有更多资金投入自身发展</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sz w:val="22"/>
                <w:szCs w:val="22"/>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sz w:val="22"/>
                <w:szCs w:val="22"/>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sz w:val="22"/>
                <w:szCs w:val="22"/>
              </w:rPr>
              <w:t>建立项目好的口碑，让患者满意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2"/>
                <w:szCs w:val="22"/>
              </w:rPr>
            </w:pPr>
            <w:r>
              <w:rPr>
                <w:rFonts w:hint="eastAsia" w:ascii="宋体" w:hAnsi="宋体" w:cs="宋体"/>
                <w:color w:val="000000"/>
                <w:sz w:val="22"/>
                <w:szCs w:val="22"/>
              </w:rPr>
              <w:t>有利于减少地区的医患矛盾，带来良好的社会效益，做到群众满意医院</w:t>
            </w: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年部门整体支出绩效评价情况开展自评，《广元市昭化区人民医院</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年部门整体支出绩效评价报告》见附件。</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本部门自行组织对县级公立医院取消药品加成项目开展了绩效评价，《广元市昭化区人民医院关于县级公立医院取消药品加成项目</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年绩效评价报告》见附件。</w:t>
      </w:r>
    </w:p>
    <w:p>
      <w:pPr>
        <w:numPr>
          <w:ilvl w:val="0"/>
          <w:numId w:val="3"/>
        </w:numPr>
        <w:spacing w:line="600" w:lineRule="exact"/>
        <w:outlineLvl w:val="1"/>
        <w:rPr>
          <w:rStyle w:val="17"/>
          <w:rFonts w:ascii="黑体" w:hAnsi="黑体" w:eastAsia="黑体"/>
          <w:b w:val="0"/>
        </w:rPr>
      </w:pPr>
      <w:bookmarkStart w:id="46" w:name="_Toc15396612"/>
      <w:bookmarkStart w:id="47" w:name="_Toc15377221"/>
      <w:r>
        <w:rPr>
          <w:rStyle w:val="17"/>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201</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年，区人民医院运行经费支出</w:t>
      </w:r>
      <w:r>
        <w:rPr>
          <w:rFonts w:ascii="仿宋" w:hAnsi="仿宋" w:eastAsia="仿宋"/>
          <w:color w:val="000000"/>
          <w:kern w:val="0"/>
          <w:sz w:val="32"/>
          <w:szCs w:val="32"/>
        </w:rPr>
        <w:t>0</w:t>
      </w:r>
      <w:r>
        <w:rPr>
          <w:rFonts w:hint="eastAsia" w:ascii="仿宋" w:hAnsi="仿宋" w:eastAsia="仿宋"/>
          <w:color w:val="000000"/>
          <w:kern w:val="0"/>
          <w:sz w:val="32"/>
          <w:szCs w:val="32"/>
        </w:rPr>
        <w:t>万元。与</w:t>
      </w:r>
      <w:r>
        <w:rPr>
          <w:rFonts w:ascii="仿宋" w:hAnsi="仿宋" w:eastAsia="仿宋"/>
          <w:color w:val="000000"/>
          <w:kern w:val="0"/>
          <w:sz w:val="32"/>
          <w:szCs w:val="32"/>
        </w:rPr>
        <w:t>201</w:t>
      </w:r>
      <w:r>
        <w:rPr>
          <w:rFonts w:hint="eastAsia" w:ascii="仿宋" w:hAnsi="仿宋" w:eastAsia="仿宋"/>
          <w:color w:val="000000"/>
          <w:kern w:val="0"/>
          <w:sz w:val="32"/>
          <w:szCs w:val="32"/>
          <w:lang w:val="en-US" w:eastAsia="zh-CN"/>
        </w:rPr>
        <w:t>8</w:t>
      </w:r>
      <w:r>
        <w:rPr>
          <w:rFonts w:hint="eastAsia" w:ascii="仿宋_GB2312" w:eastAsia="仿宋_GB2312"/>
          <w:color w:val="000000"/>
          <w:sz w:val="32"/>
          <w:szCs w:val="32"/>
        </w:rPr>
        <w:t>年</w:t>
      </w:r>
      <w:r>
        <w:rPr>
          <w:rFonts w:hint="eastAsia" w:ascii="仿宋" w:hAnsi="仿宋" w:eastAsia="仿宋"/>
          <w:color w:val="000000"/>
          <w:kern w:val="0"/>
          <w:sz w:val="32"/>
          <w:szCs w:val="32"/>
        </w:rPr>
        <w:t>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年，区人民医院政府采购支出总额</w:t>
      </w:r>
      <w:r>
        <w:rPr>
          <w:rFonts w:ascii="仿宋" w:hAnsi="仿宋" w:eastAsia="仿宋"/>
          <w:color w:val="000000"/>
          <w:sz w:val="32"/>
          <w:szCs w:val="32"/>
        </w:rPr>
        <w:t>0</w:t>
      </w:r>
      <w:r>
        <w:rPr>
          <w:rFonts w:hint="eastAsia" w:ascii="仿宋" w:hAnsi="仿宋" w:eastAsia="仿宋"/>
          <w:color w:val="000000"/>
          <w:sz w:val="32"/>
          <w:szCs w:val="32"/>
        </w:rPr>
        <w:t>万元，其中：政府采购货物支出</w:t>
      </w:r>
      <w:r>
        <w:rPr>
          <w:rFonts w:ascii="仿宋" w:hAnsi="仿宋" w:eastAsia="仿宋"/>
          <w:color w:val="000000"/>
          <w:sz w:val="32"/>
          <w:szCs w:val="32"/>
        </w:rPr>
        <w:t>0</w:t>
      </w:r>
      <w:r>
        <w:rPr>
          <w:rFonts w:hint="eastAsia" w:ascii="仿宋" w:hAnsi="仿宋" w:eastAsia="仿宋"/>
          <w:color w:val="000000"/>
          <w:sz w:val="32"/>
          <w:szCs w:val="32"/>
        </w:rPr>
        <w:t>万元、政府采购工程支出</w:t>
      </w:r>
      <w:r>
        <w:rPr>
          <w:rFonts w:ascii="仿宋" w:hAnsi="仿宋" w:eastAsia="仿宋"/>
          <w:color w:val="000000"/>
          <w:sz w:val="32"/>
          <w:szCs w:val="32"/>
        </w:rPr>
        <w:t>0</w:t>
      </w:r>
      <w:r>
        <w:rPr>
          <w:rFonts w:hint="eastAsia" w:ascii="仿宋" w:hAnsi="仿宋" w:eastAsia="仿宋"/>
          <w:color w:val="000000"/>
          <w:sz w:val="32"/>
          <w:szCs w:val="32"/>
        </w:rPr>
        <w:t>万元、政府采购服务支出</w:t>
      </w:r>
      <w:r>
        <w:rPr>
          <w:rFonts w:ascii="仿宋" w:hAnsi="仿宋" w:eastAsia="仿宋"/>
          <w:color w:val="000000"/>
          <w:sz w:val="32"/>
          <w:szCs w:val="32"/>
        </w:rPr>
        <w:t>0</w:t>
      </w:r>
      <w:r>
        <w:rPr>
          <w:rFonts w:hint="eastAsia" w:ascii="仿宋" w:hAnsi="仿宋" w:eastAsia="仿宋"/>
          <w:color w:val="000000"/>
          <w:sz w:val="32"/>
          <w:szCs w:val="32"/>
        </w:rPr>
        <w:t>万元。授予中小企业合同金额</w:t>
      </w:r>
      <w:r>
        <w:rPr>
          <w:rFonts w:ascii="仿宋" w:hAnsi="仿宋" w:eastAsia="仿宋"/>
          <w:color w:val="000000"/>
          <w:sz w:val="32"/>
          <w:szCs w:val="32"/>
        </w:rPr>
        <w:t>0</w:t>
      </w:r>
      <w:r>
        <w:rPr>
          <w:rFonts w:hint="eastAsia" w:ascii="仿宋" w:hAnsi="仿宋" w:eastAsia="仿宋"/>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日，区人民医院共有车辆</w:t>
      </w:r>
      <w:r>
        <w:rPr>
          <w:rFonts w:ascii="仿宋" w:hAnsi="仿宋" w:eastAsia="仿宋"/>
          <w:color w:val="000000"/>
          <w:sz w:val="32"/>
          <w:szCs w:val="32"/>
        </w:rPr>
        <w:t>5</w:t>
      </w:r>
      <w:r>
        <w:rPr>
          <w:rFonts w:hint="eastAsia" w:ascii="仿宋" w:hAnsi="仿宋" w:eastAsia="仿宋"/>
          <w:color w:val="000000"/>
          <w:sz w:val="32"/>
          <w:szCs w:val="32"/>
        </w:rPr>
        <w:t>辆，其中：部级领导干部用车</w:t>
      </w:r>
      <w:r>
        <w:rPr>
          <w:rFonts w:ascii="仿宋" w:hAnsi="仿宋" w:eastAsia="仿宋"/>
          <w:color w:val="000000"/>
          <w:sz w:val="32"/>
          <w:szCs w:val="32"/>
        </w:rPr>
        <w:t>0</w:t>
      </w:r>
      <w:r>
        <w:rPr>
          <w:rFonts w:hint="eastAsia" w:ascii="仿宋" w:hAnsi="仿宋" w:eastAsia="仿宋"/>
          <w:color w:val="000000"/>
          <w:sz w:val="32"/>
          <w:szCs w:val="32"/>
        </w:rPr>
        <w:t>辆、一般公务用车</w:t>
      </w:r>
      <w:r>
        <w:rPr>
          <w:rFonts w:ascii="仿宋" w:hAnsi="仿宋" w:eastAsia="仿宋"/>
          <w:color w:val="000000"/>
          <w:sz w:val="32"/>
          <w:szCs w:val="32"/>
        </w:rPr>
        <w:t>0</w:t>
      </w:r>
      <w:r>
        <w:rPr>
          <w:rFonts w:hint="eastAsia" w:ascii="仿宋" w:hAnsi="仿宋" w:eastAsia="仿宋"/>
          <w:color w:val="000000"/>
          <w:sz w:val="32"/>
          <w:szCs w:val="32"/>
        </w:rPr>
        <w:t>辆、一般执法执勤用车</w:t>
      </w:r>
      <w:r>
        <w:rPr>
          <w:rFonts w:ascii="仿宋" w:hAnsi="仿宋" w:eastAsia="仿宋"/>
          <w:color w:val="000000"/>
          <w:sz w:val="32"/>
          <w:szCs w:val="32"/>
        </w:rPr>
        <w:t>0</w:t>
      </w:r>
      <w:r>
        <w:rPr>
          <w:rFonts w:hint="eastAsia" w:ascii="仿宋" w:hAnsi="仿宋" w:eastAsia="仿宋"/>
          <w:color w:val="000000"/>
          <w:sz w:val="32"/>
          <w:szCs w:val="32"/>
        </w:rPr>
        <w:t>辆、特种专业技术用车</w:t>
      </w:r>
      <w:r>
        <w:rPr>
          <w:rFonts w:ascii="仿宋" w:hAnsi="仿宋" w:eastAsia="仿宋"/>
          <w:color w:val="000000"/>
          <w:sz w:val="32"/>
          <w:szCs w:val="32"/>
        </w:rPr>
        <w:t>4</w:t>
      </w:r>
      <w:r>
        <w:rPr>
          <w:rFonts w:hint="eastAsia" w:ascii="仿宋" w:hAnsi="仿宋" w:eastAsia="仿宋"/>
          <w:color w:val="000000"/>
          <w:sz w:val="32"/>
          <w:szCs w:val="32"/>
        </w:rPr>
        <w:t>辆、其他用车</w:t>
      </w:r>
      <w:r>
        <w:rPr>
          <w:rFonts w:ascii="仿宋" w:hAnsi="仿宋" w:eastAsia="仿宋"/>
          <w:color w:val="000000"/>
          <w:sz w:val="32"/>
          <w:szCs w:val="32"/>
        </w:rPr>
        <w:t>1</w:t>
      </w:r>
      <w:r>
        <w:rPr>
          <w:rFonts w:hint="eastAsia" w:ascii="仿宋" w:hAnsi="仿宋" w:eastAsia="仿宋"/>
          <w:color w:val="000000"/>
          <w:sz w:val="32"/>
          <w:szCs w:val="32"/>
        </w:rPr>
        <w:t>辆。其他用车用途为医院日常用车，如下乡扶贫、医疗巡回等。单价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szCs w:val="32"/>
        </w:rPr>
        <w:t>7</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szCs w:val="32"/>
        </w:rPr>
        <w:t>9</w:t>
      </w:r>
      <w:r>
        <w:rPr>
          <w:rFonts w:hint="eastAsia" w:ascii="仿宋" w:hAnsi="仿宋" w:eastAsia="仿宋"/>
          <w:color w:val="000000"/>
          <w:sz w:val="32"/>
          <w:szCs w:val="32"/>
        </w:rPr>
        <w:t>台（套）。</w:t>
      </w:r>
    </w:p>
    <w:p>
      <w:pPr>
        <w:pStyle w:val="5"/>
        <w:adjustRightInd w:val="0"/>
        <w:snapToGrid w:val="0"/>
        <w:spacing w:before="93" w:line="600" w:lineRule="exact"/>
        <w:ind w:firstLine="480" w:firstLineChars="150"/>
        <w:rPr>
          <w:rFonts w:ascii="仿宋" w:hAnsi="仿宋" w:eastAsia="仿宋"/>
          <w:color w:val="000000"/>
          <w:sz w:val="32"/>
          <w:szCs w:val="32"/>
        </w:rPr>
      </w:pPr>
    </w:p>
    <w:p>
      <w:pPr>
        <w:pStyle w:val="5"/>
        <w:adjustRightInd w:val="0"/>
        <w:snapToGrid w:val="0"/>
        <w:spacing w:before="93" w:line="600" w:lineRule="exact"/>
        <w:ind w:firstLine="482" w:firstLineChars="150"/>
        <w:rPr>
          <w:b/>
          <w:color w:val="000000"/>
          <w:sz w:val="32"/>
          <w:szCs w:val="32"/>
        </w:rPr>
      </w:pPr>
      <w:r>
        <w:rPr>
          <w:b/>
          <w:color w:val="000000"/>
          <w:sz w:val="32"/>
          <w:szCs w:val="32"/>
        </w:rPr>
        <w:br w:type="page"/>
      </w:r>
    </w:p>
    <w:p>
      <w:pPr>
        <w:numPr>
          <w:ilvl w:val="0"/>
          <w:numId w:val="5"/>
        </w:numPr>
        <w:spacing w:line="600" w:lineRule="exact"/>
        <w:ind w:firstLine="663" w:firstLineChars="150"/>
        <w:jc w:val="center"/>
        <w:outlineLvl w:val="0"/>
        <w:rPr>
          <w:rStyle w:val="16"/>
          <w:rFonts w:ascii="黑体" w:hAnsi="黑体" w:eastAsia="黑体"/>
          <w:b w:val="0"/>
        </w:rPr>
      </w:pPr>
      <w:bookmarkStart w:id="51" w:name="_Toc15377225"/>
      <w:bookmarkStart w:id="52" w:name="_Toc15396613"/>
      <w:r>
        <w:rPr>
          <w:rFonts w:hint="eastAsia" w:ascii="黑体" w:hAnsi="黑体" w:eastAsia="黑体"/>
          <w:b/>
          <w:color w:val="000000"/>
          <w:sz w:val="44"/>
          <w:szCs w:val="44"/>
        </w:rPr>
        <w:t>名</w:t>
      </w:r>
      <w:r>
        <w:rPr>
          <w:rStyle w:val="16"/>
          <w:rFonts w:hint="eastAsia" w:ascii="黑体" w:hAnsi="黑体" w:eastAsia="黑体"/>
          <w:b w:val="0"/>
        </w:rPr>
        <w:t>词解释</w:t>
      </w:r>
      <w:bookmarkEnd w:id="51"/>
      <w:bookmarkEnd w:id="52"/>
    </w:p>
    <w:p>
      <w:pPr>
        <w:spacing w:line="600" w:lineRule="exact"/>
        <w:jc w:val="left"/>
        <w:rPr>
          <w:rFonts w:ascii="宋体"/>
          <w:b/>
          <w:color w:val="000000"/>
          <w:sz w:val="44"/>
          <w:szCs w:val="44"/>
        </w:rPr>
      </w:pP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事业收入：指事业单位开展专业业务活动及辅助活动取得的收入。（包括医疗收入、其他医疗收入等）</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住房保障（类）住房改革（款）住房公积金（项）：反映行政事业单位按人力资源和社会保障部、财政部规定的基本工资和津贴补贴以及规定比例为职工缴纳的住房公积金。</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医疗卫生与计划生育（类）公立医院（款）综合医院（项）指：反映财政部门集中安排的事业单位基本养老保险缴费经费，未参加养老保险的事业单位的公费医疗经费，按国家规定享受离休人员待遇人员的医疗经费。</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医疗卫生与计划生育（类）公共卫生（款）重大公共卫生专项（项）</w:t>
      </w:r>
      <w:r>
        <w:rPr>
          <w:rFonts w:ascii="仿宋" w:hAnsi="仿宋" w:eastAsia="仿宋"/>
          <w:color w:val="000000"/>
          <w:sz w:val="32"/>
          <w:szCs w:val="32"/>
        </w:rPr>
        <w:t>:</w:t>
      </w:r>
      <w:r>
        <w:rPr>
          <w:rFonts w:hint="eastAsia" w:ascii="仿宋" w:hAnsi="仿宋" w:eastAsia="仿宋"/>
          <w:color w:val="000000"/>
          <w:sz w:val="32"/>
          <w:szCs w:val="32"/>
        </w:rPr>
        <w:t>反应医院在其他重大公共卫生专项支出。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医疗卫生与计划生育（类）其他医疗卫生与计划生育支出（款）其他医疗卫生与计划生育支出（项）</w:t>
      </w:r>
      <w:r>
        <w:rPr>
          <w:rFonts w:ascii="仿宋" w:hAnsi="仿宋" w:eastAsia="仿宋"/>
          <w:color w:val="000000"/>
          <w:sz w:val="32"/>
          <w:szCs w:val="32"/>
        </w:rPr>
        <w:t>:</w:t>
      </w:r>
      <w:r>
        <w:rPr>
          <w:rFonts w:hint="eastAsia" w:ascii="仿宋" w:hAnsi="仿宋" w:eastAsia="仿宋"/>
          <w:color w:val="000000"/>
          <w:sz w:val="32"/>
          <w:szCs w:val="32"/>
        </w:rPr>
        <w:t>反应医院在其他医疗卫生与计划生育的相关支出。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基本支出：指为保障机构正常运转、完成日常工作任务而发生的人员支出和公用支出。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14.</w:t>
      </w:r>
      <w:r>
        <w:rPr>
          <w:rFonts w:hint="eastAsia" w:ascii="仿宋" w:hAnsi="仿宋" w:eastAsia="仿宋"/>
          <w:color w:val="000000"/>
          <w:sz w:val="32"/>
          <w:szCs w:val="32"/>
        </w:rPr>
        <w:t>项目支出：指在基本支出之外为完成特定行政任务和事业发展目标所发生的支出。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15.</w:t>
      </w:r>
      <w:r>
        <w:rPr>
          <w:rFonts w:hint="eastAsia" w:ascii="仿宋" w:hAnsi="仿宋" w:eastAsia="仿宋"/>
          <w:color w:val="000000"/>
          <w:sz w:val="32"/>
          <w:szCs w:val="32"/>
        </w:rPr>
        <w:t>经营支出：指事业单位在专业业务活动及其辅助活动之外开展非独立核算经营活动发生的支出。</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olor w:val="000000"/>
          <w:sz w:val="32"/>
          <w:szCs w:val="32"/>
        </w:rPr>
        <w:t>16.</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53" w:name="_Toc15396614"/>
      <w:bookmarkStart w:id="54" w:name="_Toc15377226"/>
    </w:p>
    <w:p>
      <w:pPr>
        <w:pStyle w:val="26"/>
        <w:spacing w:line="560" w:lineRule="exact"/>
        <w:ind w:firstLine="880" w:firstLineChars="200"/>
        <w:rPr>
          <w:rFonts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Fonts w:hint="eastAsia" w:ascii="黑体" w:hAnsi="黑体" w:eastAsia="黑体"/>
          <w:sz w:val="44"/>
          <w:szCs w:val="44"/>
        </w:rPr>
      </w:pPr>
    </w:p>
    <w:p>
      <w:pPr>
        <w:pStyle w:val="5"/>
        <w:adjustRightInd w:val="0"/>
        <w:snapToGrid w:val="0"/>
        <w:spacing w:before="93" w:line="600" w:lineRule="exact"/>
        <w:ind w:firstLine="660" w:firstLineChars="150"/>
        <w:rPr>
          <w:rStyle w:val="16"/>
          <w:rFonts w:ascii="黑体" w:hAnsi="黑体" w:eastAsia="黑体"/>
          <w:b w:val="0"/>
        </w:rPr>
      </w:pPr>
      <w:r>
        <w:rPr>
          <w:rFonts w:hint="eastAsia" w:ascii="黑体" w:hAnsi="黑体" w:eastAsia="黑体"/>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3"/>
    </w:p>
    <w:p>
      <w:pPr>
        <w:spacing w:line="600" w:lineRule="exact"/>
        <w:jc w:val="center"/>
        <w:outlineLvl w:val="0"/>
        <w:rPr>
          <w:rStyle w:val="16"/>
        </w:rPr>
      </w:pPr>
    </w:p>
    <w:p>
      <w:pPr>
        <w:pStyle w:val="3"/>
        <w:rPr>
          <w:rStyle w:val="16"/>
          <w:rFonts w:ascii="仿宋" w:hAnsi="仿宋" w:eastAsia="仿宋"/>
          <w:b w:val="0"/>
          <w:bCs w:val="0"/>
          <w:sz w:val="32"/>
          <w:szCs w:val="32"/>
        </w:rPr>
      </w:pPr>
      <w:bookmarkStart w:id="55"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5"/>
    </w:p>
    <w:p>
      <w:pPr>
        <w:pStyle w:val="5"/>
        <w:adjustRightInd w:val="0"/>
        <w:snapToGrid w:val="0"/>
        <w:spacing w:before="93" w:line="600" w:lineRule="exact"/>
        <w:ind w:firstLine="480" w:firstLineChars="150"/>
        <w:rPr>
          <w:rFonts w:ascii="黑体" w:hAnsi="黑体" w:eastAsia="黑体" w:cs="方正小标宋简体"/>
          <w:sz w:val="36"/>
          <w:szCs w:val="36"/>
        </w:rPr>
      </w:pPr>
      <w:bookmarkStart w:id="56" w:name="_Toc15396616"/>
      <w:r>
        <w:rPr>
          <w:rFonts w:hint="eastAsia" w:ascii="仿宋" w:hAnsi="仿宋" w:eastAsia="仿宋"/>
          <w:color w:val="000000"/>
          <w:sz w:val="32"/>
          <w:szCs w:val="32"/>
        </w:rPr>
        <w:t>区人民医院</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年部门整体支出绩效评价报告</w:t>
      </w:r>
      <w:bookmarkEnd w:id="56"/>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昭化区人民医院设置住院床位</w:t>
      </w:r>
      <w:r>
        <w:rPr>
          <w:rFonts w:ascii="仿宋" w:hAnsi="仿宋" w:eastAsia="仿宋"/>
          <w:color w:val="000000"/>
          <w:sz w:val="32"/>
          <w:szCs w:val="32"/>
        </w:rPr>
        <w:t>250</w:t>
      </w:r>
      <w:r>
        <w:rPr>
          <w:rFonts w:hint="eastAsia" w:ascii="仿宋" w:hAnsi="仿宋" w:eastAsia="仿宋"/>
          <w:color w:val="000000"/>
          <w:sz w:val="32"/>
          <w:szCs w:val="32"/>
        </w:rPr>
        <w:t>张，</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年末实际开放</w:t>
      </w:r>
      <w:r>
        <w:rPr>
          <w:rFonts w:ascii="仿宋" w:hAnsi="仿宋" w:eastAsia="仿宋"/>
          <w:color w:val="000000"/>
          <w:sz w:val="32"/>
          <w:szCs w:val="32"/>
        </w:rPr>
        <w:t>250</w:t>
      </w:r>
      <w:r>
        <w:rPr>
          <w:rFonts w:hint="eastAsia" w:ascii="仿宋" w:hAnsi="仿宋" w:eastAsia="仿宋"/>
          <w:color w:val="000000"/>
          <w:sz w:val="32"/>
          <w:szCs w:val="32"/>
        </w:rPr>
        <w:t>张，占地面积</w:t>
      </w:r>
      <w:r>
        <w:rPr>
          <w:rFonts w:ascii="仿宋" w:hAnsi="仿宋" w:eastAsia="仿宋"/>
          <w:color w:val="000000"/>
          <w:sz w:val="32"/>
          <w:szCs w:val="32"/>
        </w:rPr>
        <w:t>11000</w:t>
      </w:r>
      <w:r>
        <w:rPr>
          <w:rFonts w:hint="eastAsia" w:ascii="仿宋" w:hAnsi="仿宋" w:eastAsia="仿宋"/>
          <w:color w:val="000000"/>
          <w:sz w:val="32"/>
          <w:szCs w:val="32"/>
        </w:rPr>
        <w:t>平方米，是国家二甲等综合医院。</w:t>
      </w:r>
    </w:p>
    <w:p>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机构职能。</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广元市昭化区人民医院主要负责区域基本医疗服务、危重急症病人的抢救和公共卫生救治，并承担对乡镇（中心）卫生院、街道社区卫生服务中心、村卫生室、社区卫生服务站的业务技术指导和卫生人员的进修培训。完成卫生行政部门安排的卫生支农工作，承担一定的教学和科研任务。</w:t>
      </w:r>
      <w:r>
        <w:rPr>
          <w:rFonts w:ascii="仿宋" w:hAnsi="仿宋" w:eastAsia="仿宋"/>
          <w:color w:val="000000"/>
          <w:sz w:val="32"/>
          <w:szCs w:val="32"/>
        </w:rPr>
        <w:t xml:space="preserve"> </w:t>
      </w:r>
      <w:r>
        <w:rPr>
          <w:rFonts w:hint="eastAsia" w:ascii="仿宋" w:hAnsi="仿宋" w:eastAsia="仿宋"/>
          <w:color w:val="000000"/>
          <w:sz w:val="32"/>
          <w:szCs w:val="32"/>
        </w:rPr>
        <w:t>科室设置包括职能科室和业务科室。</w:t>
      </w:r>
    </w:p>
    <w:p>
      <w:pPr>
        <w:numPr>
          <w:ilvl w:val="0"/>
          <w:numId w:val="6"/>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人员概况。</w:t>
      </w:r>
    </w:p>
    <w:p>
      <w:pPr>
        <w:pStyle w:val="5"/>
        <w:adjustRightInd w:val="0"/>
        <w:snapToGrid w:val="0"/>
        <w:spacing w:before="93" w:line="600" w:lineRule="exact"/>
        <w:ind w:firstLine="480" w:firstLineChars="150"/>
        <w:rPr>
          <w:rFonts w:ascii="仿宋" w:hAnsi="仿宋" w:eastAsia="仿宋"/>
          <w:color w:val="000000"/>
          <w:sz w:val="32"/>
          <w:szCs w:val="32"/>
        </w:rPr>
      </w:pPr>
      <w:r>
        <w:rPr>
          <w:rFonts w:ascii="仿宋" w:hAnsi="仿宋" w:eastAsia="仿宋" w:cs="仿宋_GB2312"/>
          <w:sz w:val="32"/>
          <w:szCs w:val="32"/>
        </w:rPr>
        <w:t xml:space="preserve">  </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年末，全院在职职工</w:t>
      </w:r>
      <w:r>
        <w:rPr>
          <w:rFonts w:ascii="仿宋" w:hAnsi="仿宋" w:eastAsia="仿宋"/>
          <w:color w:val="000000"/>
          <w:sz w:val="32"/>
          <w:szCs w:val="32"/>
        </w:rPr>
        <w:t>2</w:t>
      </w: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人，医护人员</w:t>
      </w:r>
      <w:r>
        <w:rPr>
          <w:rFonts w:ascii="仿宋" w:hAnsi="仿宋" w:eastAsia="仿宋"/>
          <w:color w:val="000000"/>
          <w:sz w:val="32"/>
          <w:szCs w:val="32"/>
        </w:rPr>
        <w:t>21</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人，其他人员</w:t>
      </w:r>
      <w:r>
        <w:rPr>
          <w:rFonts w:ascii="仿宋" w:hAnsi="仿宋" w:eastAsia="仿宋"/>
          <w:color w:val="000000"/>
          <w:sz w:val="32"/>
          <w:szCs w:val="32"/>
        </w:rPr>
        <w:t>14</w:t>
      </w:r>
      <w:r>
        <w:rPr>
          <w:rFonts w:hint="eastAsia" w:ascii="仿宋" w:hAnsi="仿宋" w:eastAsia="仿宋"/>
          <w:color w:val="000000"/>
          <w:sz w:val="32"/>
          <w:szCs w:val="32"/>
        </w:rPr>
        <w:t>人。</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（一）部门财政资金收入情况。</w:t>
      </w:r>
    </w:p>
    <w:p>
      <w:pPr>
        <w:pStyle w:val="5"/>
        <w:adjustRightInd w:val="0"/>
        <w:snapToGrid w:val="0"/>
        <w:spacing w:before="93" w:line="600" w:lineRule="exact"/>
        <w:ind w:firstLine="480" w:firstLineChars="150"/>
        <w:rPr>
          <w:rFonts w:ascii="仿宋" w:hAnsi="仿宋" w:eastAsia="仿宋" w:cs="仿宋_GB2312"/>
          <w:sz w:val="32"/>
          <w:szCs w:val="32"/>
        </w:rPr>
      </w:pPr>
      <w:r>
        <w:rPr>
          <w:rFonts w:hint="eastAsia" w:ascii="仿宋" w:hAnsi="仿宋" w:eastAsia="仿宋"/>
          <w:color w:val="000000"/>
          <w:sz w:val="32"/>
          <w:szCs w:val="32"/>
        </w:rPr>
        <w:t>单位的各项收入做到应收尽收，所有收入均纳入账簿，各项收入无虚挂往来现象，并做到了及时入账。</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部门财政资金支出情况。</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（一）部门预算管理。</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区人民医院部门绩效目标制定合理、目标完成良好、预算编制准确，支出控制、预算动态调整、执行进度合理，预算完成情况良好。</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（二）专项预算管理。</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区人民医院专项预算项目程序严密、规划合理、结果符合、分配科学、分配及时，专项预算绩效目标完成良好。</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（三）结果应用情况。</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区人民医院自评质量良好、绩效目标公开和自评公开、评价结果整改到位，评价结果应用合理。</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pStyle w:val="5"/>
        <w:adjustRightInd w:val="0"/>
        <w:snapToGrid w:val="0"/>
        <w:spacing w:before="93" w:line="60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区人民医院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基本完成，在保障机关运转、履行职能职责上整体情况优良。</w:t>
      </w:r>
    </w:p>
    <w:p>
      <w:pPr>
        <w:pStyle w:val="5"/>
        <w:adjustRightInd w:val="0"/>
        <w:snapToGrid w:val="0"/>
        <w:spacing w:before="93" w:line="60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、项目绩效总评价结果</w:t>
      </w:r>
    </w:p>
    <w:p>
      <w:pPr>
        <w:pStyle w:val="5"/>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pStyle w:val="5"/>
        <w:adjustRightInd w:val="0"/>
        <w:snapToGrid w:val="0"/>
        <w:spacing w:before="93"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（二）存在问题</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单位固定资产没有定期盘点记录；项目支出没有专账。</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（三）改进建议</w:t>
      </w:r>
    </w:p>
    <w:p>
      <w:pPr>
        <w:pStyle w:val="5"/>
        <w:adjustRightInd w:val="0"/>
        <w:snapToGrid w:val="0"/>
        <w:spacing w:before="93" w:line="60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规范和完善固定资产管理，如期进行资产盘点，报损；建立完善的项目支出机制。</w:t>
      </w:r>
    </w:p>
    <w:p>
      <w:pPr>
        <w:spacing w:line="580" w:lineRule="exact"/>
        <w:ind w:firstLine="640" w:firstLineChars="200"/>
        <w:rPr>
          <w:rFonts w:ascii="仿宋" w:hAnsi="仿宋" w:eastAsia="仿宋" w:cs="仿宋"/>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6"/>
          <w:rFonts w:ascii="仿宋" w:hAnsi="仿宋" w:eastAsia="仿宋"/>
          <w:b w:val="0"/>
          <w:bCs w:val="0"/>
          <w:sz w:val="32"/>
          <w:szCs w:val="32"/>
        </w:rPr>
      </w:pPr>
      <w:bookmarkStart w:id="57" w:name="_Toc15396617"/>
      <w:r>
        <w:rPr>
          <w:rStyle w:val="16"/>
          <w:rFonts w:hint="eastAsia" w:ascii="仿宋" w:hAnsi="仿宋" w:eastAsia="仿宋"/>
          <w:b w:val="0"/>
          <w:bCs w:val="0"/>
          <w:sz w:val="32"/>
          <w:szCs w:val="32"/>
        </w:rPr>
        <w:t>附件</w:t>
      </w:r>
      <w:r>
        <w:rPr>
          <w:rStyle w:val="16"/>
          <w:rFonts w:ascii="仿宋" w:hAnsi="仿宋" w:eastAsia="仿宋"/>
          <w:b w:val="0"/>
          <w:bCs w:val="0"/>
          <w:sz w:val="32"/>
          <w:szCs w:val="32"/>
        </w:rPr>
        <w:t>2</w:t>
      </w:r>
      <w:bookmarkEnd w:id="57"/>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年县级公立医院取消药品加成项目支出绩效评价报告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800" w:firstLineChars="250"/>
        <w:rPr>
          <w:rFonts w:ascii="仿宋" w:hAnsi="仿宋" w:eastAsia="仿宋" w:cs="仿宋"/>
          <w:sz w:val="32"/>
          <w:szCs w:val="32"/>
        </w:rPr>
      </w:pPr>
      <w:r>
        <w:rPr>
          <w:rFonts w:hint="eastAsia" w:ascii="仿宋" w:hAnsi="仿宋" w:eastAsia="仿宋" w:cs="仿宋"/>
          <w:sz w:val="32"/>
          <w:szCs w:val="32"/>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按照批准的项目和用途以及项目实施方案执行，无自行改变项目内容，扩大支出范围现象。无自行调整项目支出预算问题，所有项目支出均合理合规。</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、项目管理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资金分配情况科学合理，项目资金管理、使用科学规范。</w:t>
      </w:r>
    </w:p>
    <w:p>
      <w:pPr>
        <w:spacing w:line="580" w:lineRule="exact"/>
        <w:rPr>
          <w:rFonts w:ascii="仿宋" w:hAnsi="仿宋" w:eastAsia="仿宋" w:cs="仿宋"/>
          <w:sz w:val="32"/>
          <w:szCs w:val="32"/>
        </w:rPr>
      </w:pPr>
      <w:r>
        <w:rPr>
          <w:rFonts w:hint="eastAsia" w:ascii="仿宋" w:hAnsi="仿宋" w:eastAsia="仿宋" w:cs="仿宋"/>
          <w:sz w:val="32"/>
          <w:szCs w:val="32"/>
        </w:rPr>
        <w:t>执行国家有关财经法规，厉行节约，量入为出，降低行政事业成本，提高资金使用效益。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县级医院公立医院取消药品加成项目是，是国家实施取消药品加成后，为弥补医院的亏损，进行的补助。有利于医院的持续发展，带动本地区医疗事业的发展。</w:t>
      </w:r>
    </w:p>
    <w:p>
      <w:pPr>
        <w:spacing w:line="580" w:lineRule="exact"/>
        <w:ind w:left="64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24" w:firstLineChars="200"/>
        <w:rPr>
          <w:rFonts w:ascii="仿宋" w:hAnsi="仿宋" w:eastAsia="仿宋" w:cs="仿宋"/>
          <w:sz w:val="32"/>
          <w:szCs w:val="32"/>
        </w:rPr>
      </w:pPr>
      <w:r>
        <w:rPr>
          <w:rFonts w:hint="eastAsia" w:ascii="仿宋" w:hAnsi="仿宋" w:eastAsia="仿宋" w:cs="仿宋"/>
          <w:spacing w:val="-4"/>
          <w:sz w:val="32"/>
          <w:szCs w:val="32"/>
        </w:rPr>
        <w:t>取消县级医院公立医院药品加成项目，用于弥补医院日常经费活动，资金需求进一步扩大。</w:t>
      </w:r>
    </w:p>
    <w:p>
      <w:pPr>
        <w:numPr>
          <w:ilvl w:val="0"/>
          <w:numId w:val="1"/>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pPr>
        <w:spacing w:line="580" w:lineRule="exact"/>
        <w:ind w:left="640" w:firstLine="624" w:firstLineChars="200"/>
        <w:rPr>
          <w:rFonts w:ascii="仿宋" w:hAnsi="仿宋" w:eastAsia="仿宋" w:cs="仿宋_GB2312"/>
          <w:sz w:val="32"/>
          <w:szCs w:val="32"/>
        </w:rPr>
      </w:pPr>
      <w:r>
        <w:rPr>
          <w:rFonts w:hint="eastAsia" w:ascii="仿宋" w:hAnsi="仿宋" w:eastAsia="仿宋" w:cs="仿宋"/>
          <w:spacing w:val="-4"/>
          <w:sz w:val="32"/>
          <w:szCs w:val="32"/>
        </w:rPr>
        <w:t>取消药品加成后，医院的亏损部分采取“</w:t>
      </w:r>
      <w:r>
        <w:rPr>
          <w:rFonts w:ascii="仿宋" w:hAnsi="仿宋" w:eastAsia="仿宋" w:cs="仿宋"/>
          <w:spacing w:val="-4"/>
          <w:sz w:val="32"/>
          <w:szCs w:val="32"/>
        </w:rPr>
        <w:t>721</w:t>
      </w:r>
      <w:r>
        <w:rPr>
          <w:rFonts w:hint="eastAsia" w:ascii="仿宋" w:hAnsi="仿宋" w:eastAsia="仿宋" w:cs="仿宋"/>
          <w:spacing w:val="-4"/>
          <w:sz w:val="32"/>
          <w:szCs w:val="32"/>
        </w:rPr>
        <w:t>”模式，为进一步减少医院亏损，项目补助望适度提高。</w:t>
      </w:r>
    </w:p>
    <w:p>
      <w:pPr>
        <w:spacing w:line="600" w:lineRule="exact"/>
        <w:jc w:val="center"/>
        <w:outlineLvl w:val="0"/>
        <w:rPr>
          <w:rFonts w:ascii="黑体" w:hAnsi="黑体" w:eastAsia="黑体"/>
          <w:color w:val="000000"/>
          <w:sz w:val="44"/>
          <w:szCs w:val="44"/>
        </w:rPr>
      </w:pPr>
      <w:bookmarkStart w:id="58" w:name="_Toc15396618"/>
    </w:p>
    <w:p>
      <w:pPr>
        <w:spacing w:line="600" w:lineRule="exact"/>
        <w:jc w:val="center"/>
        <w:outlineLvl w:val="0"/>
        <w:rPr>
          <w:rFonts w:ascii="黑体" w:hAnsi="黑体" w:eastAsia="黑体"/>
          <w:color w:val="000000"/>
          <w:sz w:val="44"/>
          <w:szCs w:val="44"/>
        </w:rPr>
      </w:pPr>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贫困白内障患者复明手术</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800" w:firstLineChars="250"/>
        <w:rPr>
          <w:rFonts w:ascii="仿宋" w:hAnsi="仿宋" w:eastAsia="仿宋" w:cs="仿宋"/>
          <w:sz w:val="32"/>
          <w:szCs w:val="32"/>
        </w:rPr>
      </w:pPr>
      <w:r>
        <w:rPr>
          <w:rFonts w:hint="eastAsia" w:ascii="仿宋" w:hAnsi="仿宋" w:eastAsia="仿宋" w:cs="仿宋"/>
          <w:sz w:val="32"/>
          <w:szCs w:val="32"/>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napToGrid w:val="0"/>
        <w:spacing w:line="360" w:lineRule="auto"/>
        <w:ind w:firstLine="640" w:firstLineChars="200"/>
        <w:rPr>
          <w:rFonts w:ascii="仿宋" w:hAnsi="仿宋" w:eastAsia="仿宋" w:cs="仿宋_GB2312"/>
          <w:sz w:val="32"/>
          <w:szCs w:val="32"/>
        </w:rPr>
      </w:pPr>
      <w:r>
        <w:rPr>
          <w:rFonts w:hint="eastAsia" w:ascii="仿宋" w:hAnsi="仿宋" w:eastAsia="仿宋" w:cs="仿宋"/>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按照批准的项目和用途以及项目实施方案执行，无自行改变项目内容，扩大支出范围现象。无自行调整项目支出预算问题，所有项目支出均合理合规。</w:t>
      </w:r>
    </w:p>
    <w:p>
      <w:pPr>
        <w:spacing w:line="58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、项目管理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资金分配情况科学合理，项目资金管理、使用科学规范。</w:t>
      </w:r>
    </w:p>
    <w:p>
      <w:pPr>
        <w:spacing w:line="580" w:lineRule="exact"/>
        <w:rPr>
          <w:rFonts w:ascii="仿宋" w:hAnsi="仿宋" w:eastAsia="仿宋" w:cs="仿宋"/>
          <w:sz w:val="32"/>
          <w:szCs w:val="32"/>
        </w:rPr>
      </w:pPr>
      <w:r>
        <w:rPr>
          <w:rFonts w:hint="eastAsia" w:ascii="仿宋" w:hAnsi="仿宋" w:eastAsia="仿宋" w:cs="仿宋"/>
          <w:sz w:val="32"/>
          <w:szCs w:val="32"/>
        </w:rPr>
        <w:t>执行国家有关财经法规，厉行节约，量入为出，降低行政事业成本，提高资金使用效益。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贫困白内障患者复明手术</w:t>
      </w:r>
      <w:r>
        <w:rPr>
          <w:rFonts w:hint="eastAsia" w:ascii="仿宋" w:hAnsi="仿宋" w:eastAsia="仿宋" w:cs="仿宋_GB2312"/>
          <w:sz w:val="32"/>
          <w:szCs w:val="32"/>
        </w:rPr>
        <w:t>项目是，是国家</w:t>
      </w:r>
      <w:r>
        <w:rPr>
          <w:rFonts w:hint="eastAsia" w:ascii="仿宋" w:hAnsi="仿宋" w:eastAsia="仿宋" w:cs="仿宋_GB2312"/>
          <w:sz w:val="32"/>
          <w:szCs w:val="32"/>
          <w:lang w:eastAsia="zh-CN"/>
        </w:rPr>
        <w:t>对因病致贫的贫困家庭的福利，减少因病致贫的贫困率，提高脱贫率</w:t>
      </w:r>
      <w:r>
        <w:rPr>
          <w:rFonts w:hint="eastAsia" w:ascii="仿宋" w:hAnsi="仿宋" w:eastAsia="仿宋" w:cs="仿宋_GB2312"/>
          <w:sz w:val="32"/>
          <w:szCs w:val="32"/>
        </w:rPr>
        <w:t>。</w:t>
      </w:r>
    </w:p>
    <w:p>
      <w:pPr>
        <w:spacing w:line="580" w:lineRule="exact"/>
        <w:ind w:left="64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24" w:firstLineChars="200"/>
        <w:rPr>
          <w:rFonts w:hint="eastAsia" w:ascii="仿宋" w:hAnsi="仿宋" w:eastAsia="仿宋" w:cs="仿宋"/>
          <w:sz w:val="32"/>
          <w:szCs w:val="32"/>
          <w:lang w:eastAsia="zh-CN"/>
        </w:rPr>
      </w:pPr>
      <w:r>
        <w:rPr>
          <w:rFonts w:hint="eastAsia" w:ascii="仿宋" w:hAnsi="仿宋" w:eastAsia="仿宋" w:cs="仿宋"/>
          <w:spacing w:val="-4"/>
          <w:sz w:val="32"/>
          <w:szCs w:val="32"/>
          <w:lang w:eastAsia="zh-CN"/>
        </w:rPr>
        <w:t>只针对贫困户家庭的政策，没有全覆盖。</w:t>
      </w:r>
    </w:p>
    <w:p>
      <w:pPr>
        <w:numPr>
          <w:ilvl w:val="0"/>
          <w:numId w:val="1"/>
        </w:numPr>
        <w:spacing w:line="580" w:lineRule="exact"/>
        <w:rPr>
          <w:rFonts w:ascii="仿宋" w:hAnsi="仿宋" w:eastAsia="仿宋" w:cs="仿宋_GB2312"/>
          <w:sz w:val="32"/>
          <w:szCs w:val="32"/>
        </w:rPr>
      </w:pPr>
      <w:r>
        <w:rPr>
          <w:rFonts w:hint="eastAsia" w:ascii="仿宋" w:hAnsi="仿宋" w:eastAsia="仿宋" w:cs="仿宋_GB2312"/>
          <w:sz w:val="32"/>
          <w:szCs w:val="32"/>
        </w:rPr>
        <w:t>相关措施建议</w:t>
      </w:r>
    </w:p>
    <w:p>
      <w:pPr>
        <w:spacing w:line="580" w:lineRule="exac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提高相关医院医疗水平，硬件设施；白内障患者区域全覆盖。</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6"/>
          <w:rFonts w:ascii="黑体" w:hAnsi="黑体" w:eastAsia="黑体"/>
          <w:b w:val="0"/>
        </w:rPr>
      </w:pPr>
      <w:bookmarkStart w:id="72" w:name="_GoBack"/>
      <w:bookmarkEnd w:id="72"/>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4"/>
      <w:bookmarkEnd w:id="58"/>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0"/>
    </w:p>
    <w:p>
      <w:pPr>
        <w:pStyle w:val="3"/>
        <w:rPr>
          <w:rFonts w:ascii="仿宋" w:hAnsi="仿宋" w:eastAsia="仿宋"/>
          <w:color w:val="000000"/>
        </w:rPr>
      </w:pPr>
      <w:bookmarkStart w:id="61"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1"/>
    </w:p>
    <w:p>
      <w:pPr>
        <w:pStyle w:val="3"/>
        <w:rPr>
          <w:rFonts w:ascii="仿宋" w:hAnsi="仿宋" w:eastAsia="仿宋"/>
          <w:b w:val="0"/>
          <w:color w:val="000000"/>
        </w:rPr>
      </w:pPr>
      <w:bookmarkStart w:id="62"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2"/>
    </w:p>
    <w:p>
      <w:pPr>
        <w:pStyle w:val="3"/>
        <w:rPr>
          <w:rFonts w:ascii="仿宋" w:hAnsi="仿宋" w:eastAsia="仿宋"/>
          <w:color w:val="000000"/>
        </w:rPr>
      </w:pPr>
      <w:bookmarkStart w:id="63"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3"/>
    </w:p>
    <w:p>
      <w:pPr>
        <w:pStyle w:val="3"/>
        <w:rPr>
          <w:rFonts w:ascii="仿宋" w:hAnsi="仿宋" w:eastAsia="仿宋"/>
          <w:color w:val="000000"/>
        </w:rPr>
      </w:pPr>
      <w:bookmarkStart w:id="64"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8"/>
    </w:p>
    <w:p>
      <w:pPr>
        <w:pStyle w:val="3"/>
        <w:rPr>
          <w:rFonts w:ascii="仿宋" w:hAnsi="仿宋" w:eastAsia="仿宋"/>
          <w:color w:val="000000"/>
        </w:rPr>
      </w:pPr>
      <w:bookmarkStart w:id="69"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9"/>
    </w:p>
    <w:p>
      <w:pPr>
        <w:pStyle w:val="3"/>
        <w:rPr>
          <w:rFonts w:ascii="仿宋" w:hAnsi="仿宋" w:eastAsia="仿宋"/>
          <w:color w:val="000000"/>
        </w:rPr>
      </w:pPr>
      <w:bookmarkStart w:id="70"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0"/>
    </w:p>
    <w:p>
      <w:pPr>
        <w:pStyle w:val="3"/>
        <w:rPr>
          <w:rFonts w:ascii="仿宋" w:hAnsi="仿宋" w:eastAsia="仿宋"/>
          <w:color w:val="000000"/>
        </w:rPr>
      </w:pPr>
      <w:bookmarkStart w:id="71"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9F5F"/>
    <w:multiLevelType w:val="singleLevel"/>
    <w:tmpl w:val="928D9F5F"/>
    <w:lvl w:ilvl="0" w:tentative="0">
      <w:start w:val="2"/>
      <w:numFmt w:val="chineseCounting"/>
      <w:suff w:val="nothing"/>
      <w:lvlText w:val="（%1）"/>
      <w:lvlJc w:val="left"/>
      <w:rPr>
        <w:rFonts w:hint="eastAsia"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5A"/>
    <w:rsid w:val="0006487A"/>
    <w:rsid w:val="00065F8F"/>
    <w:rsid w:val="000727CE"/>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0D71"/>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1930"/>
    <w:rsid w:val="002662AA"/>
    <w:rsid w:val="00280496"/>
    <w:rsid w:val="00295495"/>
    <w:rsid w:val="002B2613"/>
    <w:rsid w:val="002D50D1"/>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04DA"/>
    <w:rsid w:val="003E1174"/>
    <w:rsid w:val="003E1310"/>
    <w:rsid w:val="003E6F55"/>
    <w:rsid w:val="003F4FA6"/>
    <w:rsid w:val="00406254"/>
    <w:rsid w:val="00415D7A"/>
    <w:rsid w:val="004223DE"/>
    <w:rsid w:val="00434489"/>
    <w:rsid w:val="00437085"/>
    <w:rsid w:val="00443880"/>
    <w:rsid w:val="004464F4"/>
    <w:rsid w:val="00471401"/>
    <w:rsid w:val="00473F31"/>
    <w:rsid w:val="0048263A"/>
    <w:rsid w:val="00487E5D"/>
    <w:rsid w:val="004A6E82"/>
    <w:rsid w:val="004A711F"/>
    <w:rsid w:val="004A7B7A"/>
    <w:rsid w:val="004B199D"/>
    <w:rsid w:val="004B4690"/>
    <w:rsid w:val="004E0A2D"/>
    <w:rsid w:val="004E206B"/>
    <w:rsid w:val="004E6DF7"/>
    <w:rsid w:val="004F0FBD"/>
    <w:rsid w:val="00505A47"/>
    <w:rsid w:val="00512FDA"/>
    <w:rsid w:val="00520DA0"/>
    <w:rsid w:val="00534991"/>
    <w:rsid w:val="005664BB"/>
    <w:rsid w:val="0057481D"/>
    <w:rsid w:val="0058486E"/>
    <w:rsid w:val="005A5815"/>
    <w:rsid w:val="005B109A"/>
    <w:rsid w:val="005D1C8B"/>
    <w:rsid w:val="005D5CED"/>
    <w:rsid w:val="005F1A4C"/>
    <w:rsid w:val="005F1CA9"/>
    <w:rsid w:val="006037E8"/>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94F58"/>
    <w:rsid w:val="006A3141"/>
    <w:rsid w:val="006A5E34"/>
    <w:rsid w:val="006A5EB4"/>
    <w:rsid w:val="006B2422"/>
    <w:rsid w:val="006B2B9A"/>
    <w:rsid w:val="006C1937"/>
    <w:rsid w:val="006F020C"/>
    <w:rsid w:val="00705F29"/>
    <w:rsid w:val="007127B7"/>
    <w:rsid w:val="007416B6"/>
    <w:rsid w:val="00746F48"/>
    <w:rsid w:val="0075404D"/>
    <w:rsid w:val="0076182A"/>
    <w:rsid w:val="00767B7E"/>
    <w:rsid w:val="007770C3"/>
    <w:rsid w:val="00784D24"/>
    <w:rsid w:val="00785FBA"/>
    <w:rsid w:val="00786E4A"/>
    <w:rsid w:val="007875EB"/>
    <w:rsid w:val="0079426B"/>
    <w:rsid w:val="007C5DBE"/>
    <w:rsid w:val="007D312A"/>
    <w:rsid w:val="007D3F19"/>
    <w:rsid w:val="007E23B0"/>
    <w:rsid w:val="007F1991"/>
    <w:rsid w:val="007F2C2F"/>
    <w:rsid w:val="007F55FC"/>
    <w:rsid w:val="007F5665"/>
    <w:rsid w:val="00800112"/>
    <w:rsid w:val="00815740"/>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8CB"/>
    <w:rsid w:val="008E1DE7"/>
    <w:rsid w:val="008E707C"/>
    <w:rsid w:val="008E76B8"/>
    <w:rsid w:val="00900B08"/>
    <w:rsid w:val="00902155"/>
    <w:rsid w:val="00902FA3"/>
    <w:rsid w:val="00923564"/>
    <w:rsid w:val="0092392E"/>
    <w:rsid w:val="009315F9"/>
    <w:rsid w:val="0093448A"/>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09A0"/>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759DF"/>
    <w:rsid w:val="00DA65AC"/>
    <w:rsid w:val="00DB1913"/>
    <w:rsid w:val="00DC410D"/>
    <w:rsid w:val="00DC68CA"/>
    <w:rsid w:val="00DC7CBA"/>
    <w:rsid w:val="00DD73B7"/>
    <w:rsid w:val="00DF28BC"/>
    <w:rsid w:val="00DF34B9"/>
    <w:rsid w:val="00DF564E"/>
    <w:rsid w:val="00E01053"/>
    <w:rsid w:val="00E023B4"/>
    <w:rsid w:val="00E07ACF"/>
    <w:rsid w:val="00E331A1"/>
    <w:rsid w:val="00E33202"/>
    <w:rsid w:val="00E336A9"/>
    <w:rsid w:val="00E50624"/>
    <w:rsid w:val="00E568DF"/>
    <w:rsid w:val="00E64269"/>
    <w:rsid w:val="00E82267"/>
    <w:rsid w:val="00E94D45"/>
    <w:rsid w:val="00EA010F"/>
    <w:rsid w:val="00ED1B63"/>
    <w:rsid w:val="00ED3C1F"/>
    <w:rsid w:val="00ED4085"/>
    <w:rsid w:val="00ED420E"/>
    <w:rsid w:val="00EE2F57"/>
    <w:rsid w:val="00EF4C34"/>
    <w:rsid w:val="00EF77C6"/>
    <w:rsid w:val="00F03544"/>
    <w:rsid w:val="00F05438"/>
    <w:rsid w:val="00F1361C"/>
    <w:rsid w:val="00F160C7"/>
    <w:rsid w:val="00F306F1"/>
    <w:rsid w:val="00F36D8F"/>
    <w:rsid w:val="00F417B1"/>
    <w:rsid w:val="00F602DF"/>
    <w:rsid w:val="00F81FD9"/>
    <w:rsid w:val="00F841AA"/>
    <w:rsid w:val="00FA23E8"/>
    <w:rsid w:val="00FD3CC1"/>
    <w:rsid w:val="00FF1E02"/>
    <w:rsid w:val="00FF30B4"/>
    <w:rsid w:val="011A5241"/>
    <w:rsid w:val="02494E3A"/>
    <w:rsid w:val="10C055FF"/>
    <w:rsid w:val="13223EBF"/>
    <w:rsid w:val="16BB723D"/>
    <w:rsid w:val="240371BF"/>
    <w:rsid w:val="29FD04D3"/>
    <w:rsid w:val="2A376748"/>
    <w:rsid w:val="319F7F4E"/>
    <w:rsid w:val="32312789"/>
    <w:rsid w:val="340071F2"/>
    <w:rsid w:val="348561C4"/>
    <w:rsid w:val="38A237BA"/>
    <w:rsid w:val="3AE4076F"/>
    <w:rsid w:val="421679B7"/>
    <w:rsid w:val="42F24C0F"/>
    <w:rsid w:val="45A12CFC"/>
    <w:rsid w:val="4AEA3494"/>
    <w:rsid w:val="4B1146F6"/>
    <w:rsid w:val="58035145"/>
    <w:rsid w:val="597A3E77"/>
    <w:rsid w:val="66AE4FD9"/>
    <w:rsid w:val="71A775DD"/>
    <w:rsid w:val="7F097F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locked/>
    <w:uiPriority w:val="99"/>
    <w:rPr>
      <w:rFonts w:ascii="Times New Roman" w:hAnsi="Times New Roman" w:cs="Times New Roman"/>
      <w:b/>
      <w:bCs/>
      <w:kern w:val="44"/>
      <w:sz w:val="44"/>
      <w:szCs w:val="44"/>
    </w:rPr>
  </w:style>
  <w:style w:type="character" w:customStyle="1" w:styleId="17">
    <w:name w:val="标题 2 Char"/>
    <w:basedOn w:val="13"/>
    <w:link w:val="3"/>
    <w:qFormat/>
    <w:locked/>
    <w:uiPriority w:val="99"/>
    <w:rPr>
      <w:rFonts w:ascii="Cambria" w:hAnsi="Cambria" w:eastAsia="宋体" w:cs="Times New Roman"/>
      <w:b/>
      <w:bCs/>
      <w:kern w:val="2"/>
      <w:sz w:val="32"/>
      <w:szCs w:val="32"/>
    </w:rPr>
  </w:style>
  <w:style w:type="character" w:customStyle="1" w:styleId="18">
    <w:name w:val="标题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批注框文本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uiPriority w:val="99"/>
    <w:rPr>
      <w:rFonts w:ascii="Times New Roman" w:hAnsi="Times New Roman" w:cs="Times New Roman"/>
      <w:sz w:val="18"/>
      <w:szCs w:val="18"/>
    </w:rPr>
  </w:style>
  <w:style w:type="character" w:customStyle="1" w:styleId="22">
    <w:name w:val="Header Char"/>
    <w:basedOn w:val="13"/>
    <w:link w:val="9"/>
    <w:semiHidden/>
    <w:qFormat/>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6763</Words>
  <Characters>1826</Characters>
  <Lines>15</Lines>
  <Paragraphs>17</Paragraphs>
  <TotalTime>6</TotalTime>
  <ScaleCrop>false</ScaleCrop>
  <LinksUpToDate>false</LinksUpToDate>
  <CharactersWithSpaces>8572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lenovo</cp:lastModifiedBy>
  <cp:lastPrinted>2019-08-01T00:48:00Z</cp:lastPrinted>
  <dcterms:modified xsi:type="dcterms:W3CDTF">2021-05-23T06:52:19Z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7BC875E02B6C421D827BEE82DA6FBED7</vt:lpwstr>
  </property>
</Properties>
</file>