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1" w:name="_Toc15396476"/>
      <w:bookmarkStart w:id="2" w:name="_Toc15377426"/>
      <w:bookmarkStart w:id="3" w:name="_Toc15377194"/>
      <w:bookmarkStart w:id="4" w:name="_Toc15378442"/>
      <w:bookmarkStart w:id="5" w:name="_Toc15396598"/>
      <w:r>
        <w:rPr>
          <w:rFonts w:hint="eastAsia" w:ascii="方正小标宋简体" w:hAnsi="宋体" w:eastAsia="方正小标宋简体"/>
          <w:color w:val="000000"/>
          <w:sz w:val="72"/>
          <w:szCs w:val="72"/>
        </w:rPr>
        <w:t>四川省</w:t>
      </w:r>
      <w:bookmarkEnd w:id="0"/>
      <w:bookmarkStart w:id="6" w:name="_Toc15306268"/>
      <w:r>
        <w:rPr>
          <w:rFonts w:hint="eastAsia" w:ascii="方正小标宋简体" w:hAnsi="宋体" w:eastAsia="方正小标宋简体"/>
          <w:color w:val="000000"/>
          <w:sz w:val="72"/>
          <w:szCs w:val="72"/>
          <w:lang w:eastAsia="zh-CN"/>
        </w:rPr>
        <w:t>广元市昭化区</w:t>
      </w:r>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lang w:eastAsia="zh-CN"/>
        </w:rPr>
        <w:t>直属机关工作委员会</w:t>
      </w:r>
    </w:p>
    <w:p>
      <w:pPr>
        <w:adjustRightInd w:val="0"/>
        <w:snapToGrid w:val="0"/>
        <w:spacing w:line="360" w:lineRule="auto"/>
        <w:jc w:val="center"/>
        <w:outlineLvl w:val="0"/>
        <w:rPr>
          <w:rFonts w:hint="eastAsia" w:ascii="方正小标宋简体" w:hAnsi="宋体" w:eastAsia="方正小标宋简体"/>
          <w:color w:val="000000"/>
          <w:sz w:val="72"/>
          <w:szCs w:val="72"/>
          <w:lang w:val="en-US" w:eastAsia="zh-CN"/>
        </w:rPr>
      </w:pPr>
      <w:bookmarkStart w:id="7" w:name="_Toc15377193"/>
      <w:bookmarkStart w:id="8" w:name="_Toc15396475"/>
      <w:bookmarkStart w:id="9" w:name="_Toc15377425"/>
      <w:bookmarkStart w:id="10" w:name="_Toc15396597"/>
      <w:bookmarkStart w:id="11"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w:t>
      </w:r>
      <w:bookmarkEnd w:id="7"/>
      <w:bookmarkEnd w:id="8"/>
      <w:bookmarkEnd w:id="9"/>
      <w:bookmarkEnd w:id="10"/>
      <w:bookmarkEnd w:id="11"/>
      <w:r>
        <w:rPr>
          <w:rFonts w:hint="eastAsia" w:ascii="方正小标宋简体" w:hAnsi="宋体" w:eastAsia="方正小标宋简体"/>
          <w:color w:val="000000"/>
          <w:sz w:val="72"/>
          <w:szCs w:val="72"/>
        </w:rPr>
        <w:t>部门决算</w:t>
      </w:r>
      <w:bookmarkEnd w:id="1"/>
      <w:bookmarkEnd w:id="2"/>
      <w:bookmarkEnd w:id="3"/>
      <w:bookmarkEnd w:id="4"/>
      <w:bookmarkEnd w:id="5"/>
      <w:bookmarkEnd w:id="6"/>
      <w:r>
        <w:rPr>
          <w:rFonts w:hint="eastAsia" w:ascii="方正小标宋简体" w:hAnsi="宋体" w:eastAsia="方正小标宋简体"/>
          <w:color w:val="000000"/>
          <w:sz w:val="72"/>
          <w:szCs w:val="72"/>
          <w:lang w:val="en-US" w:eastAsia="zh-CN"/>
        </w:rPr>
        <w:t>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sdt>
      <w:sdtPr>
        <w:rPr>
          <w:rFonts w:ascii="宋体" w:hAnsi="宋体" w:eastAsia="宋体" w:cs="Times New Roman"/>
          <w:kern w:val="2"/>
          <w:sz w:val="30"/>
          <w:szCs w:val="30"/>
          <w:lang w:val="en-US" w:eastAsia="zh-CN" w:bidi="ar-SA"/>
        </w:rPr>
        <w:id w:val="147461627"/>
        <w15:color w:val="DBDBDB"/>
        <w:docPartObj>
          <w:docPartGallery w:val="Table of Contents"/>
          <w:docPartUnique/>
        </w:docPartObj>
      </w:sdtPr>
      <w:sdtEndPr>
        <w:rPr>
          <w:rFonts w:ascii="宋体" w:hAnsi="宋体" w:eastAsia="宋体" w:cs="Times New Roman"/>
          <w:kern w:val="2"/>
          <w:sz w:val="30"/>
          <w:szCs w:val="30"/>
          <w:lang w:val="en-US" w:eastAsia="zh-CN" w:bidi="ar-SA"/>
        </w:rPr>
      </w:sdtEndPr>
      <w:sdtContent>
        <w:p>
          <w:pPr>
            <w:pStyle w:val="31"/>
            <w:tabs>
              <w:tab w:val="right" w:leader="dot" w:pos="8306"/>
            </w:tabs>
            <w:rPr>
              <w:sz w:val="30"/>
              <w:szCs w:val="30"/>
            </w:rPr>
          </w:pPr>
          <w:bookmarkStart w:id="12" w:name="_Toc7451_WPSOffice_Type2"/>
          <w:bookmarkStart w:id="13" w:name="_Toc15396599"/>
          <w:bookmarkStart w:id="14" w:name="_Toc15377196"/>
          <w:r>
            <w:rPr>
              <w:b/>
              <w:bCs/>
              <w:sz w:val="30"/>
              <w:szCs w:val="30"/>
            </w:rPr>
            <w:fldChar w:fldCharType="begin"/>
          </w:r>
          <w:r>
            <w:rPr>
              <w:sz w:val="30"/>
              <w:szCs w:val="30"/>
            </w:rPr>
            <w:instrText xml:space="preserve"> HYPERLINK \l _Toc17469_WPSOffice_Level1 </w:instrText>
          </w:r>
          <w:r>
            <w:rPr>
              <w:b/>
              <w:bCs/>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4793f765-52c4-49d5-89e8-72f87d0daaec}"/>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b/>
                  <w:bCs/>
                  <w:sz w:val="30"/>
                  <w:szCs w:val="30"/>
                </w:rPr>
                <w:t>第一部分 部门概况</w:t>
              </w:r>
            </w:sdtContent>
          </w:sdt>
          <w:r>
            <w:rPr>
              <w:b/>
              <w:bCs/>
              <w:sz w:val="30"/>
              <w:szCs w:val="30"/>
            </w:rPr>
            <w:tab/>
          </w:r>
          <w:bookmarkStart w:id="15" w:name="_Toc17469_WPSOffice_Level1Page"/>
          <w:r>
            <w:rPr>
              <w:b/>
              <w:bCs/>
              <w:sz w:val="30"/>
              <w:szCs w:val="30"/>
            </w:rPr>
            <w:t>3</w:t>
          </w:r>
          <w:bookmarkEnd w:id="15"/>
          <w:r>
            <w:rPr>
              <w:b/>
              <w:bCs/>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_Toc7451_WPSOffice_Level2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6350fd92-f7e0-4c15-8e9d-7960ce898e63}"/>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heme="majorBidi"/>
                  <w:sz w:val="30"/>
                  <w:szCs w:val="30"/>
                </w:rPr>
                <w:t>一、基本职能及主要工作</w:t>
              </w:r>
            </w:sdtContent>
          </w:sdt>
          <w:r>
            <w:rPr>
              <w:sz w:val="30"/>
              <w:szCs w:val="30"/>
            </w:rPr>
            <w:tab/>
          </w:r>
          <w:bookmarkStart w:id="16" w:name="_Toc7451_WPSOffice_Level2Page"/>
          <w:r>
            <w:rPr>
              <w:sz w:val="30"/>
              <w:szCs w:val="30"/>
            </w:rPr>
            <w:t>4</w:t>
          </w:r>
          <w:bookmarkEnd w:id="16"/>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_Toc7185_WPSOffice_Level2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ddd41467-281a-4850-8100-08b9dcd9f374}"/>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eastAsia="黑体" w:hAnsiTheme="majorHAnsi" w:cstheme="majorBidi"/>
                  <w:sz w:val="30"/>
                  <w:szCs w:val="30"/>
                </w:rPr>
                <w:t>二、</w:t>
              </w:r>
              <w:r>
                <w:rPr>
                  <w:rFonts w:hint="eastAsia" w:ascii="黑体" w:hAnsi="黑体" w:eastAsia="黑体" w:cstheme="majorBidi"/>
                  <w:sz w:val="30"/>
                  <w:szCs w:val="30"/>
                </w:rPr>
                <w:t>机构设置</w:t>
              </w:r>
            </w:sdtContent>
          </w:sdt>
          <w:r>
            <w:rPr>
              <w:sz w:val="30"/>
              <w:szCs w:val="30"/>
            </w:rPr>
            <w:tab/>
          </w:r>
          <w:bookmarkStart w:id="17" w:name="_Toc7185_WPSOffice_Level2Page"/>
          <w:r>
            <w:rPr>
              <w:sz w:val="30"/>
              <w:szCs w:val="30"/>
            </w:rPr>
            <w:t>4</w:t>
          </w:r>
          <w:bookmarkEnd w:id="17"/>
          <w:r>
            <w:rPr>
              <w:sz w:val="30"/>
              <w:szCs w:val="30"/>
            </w:rPr>
            <w:fldChar w:fldCharType="end"/>
          </w:r>
        </w:p>
        <w:p>
          <w:pPr>
            <w:pStyle w:val="31"/>
            <w:tabs>
              <w:tab w:val="right" w:leader="dot" w:pos="8306"/>
            </w:tabs>
            <w:rPr>
              <w:sz w:val="30"/>
              <w:szCs w:val="30"/>
            </w:rPr>
          </w:pPr>
          <w:r>
            <w:rPr>
              <w:b/>
              <w:bCs/>
              <w:sz w:val="30"/>
              <w:szCs w:val="30"/>
            </w:rPr>
            <w:fldChar w:fldCharType="begin"/>
          </w:r>
          <w:r>
            <w:rPr>
              <w:sz w:val="30"/>
              <w:szCs w:val="30"/>
            </w:rPr>
            <w:instrText xml:space="preserve"> HYPERLINK \l _Toc7451_WPSOffice_Level1 </w:instrText>
          </w:r>
          <w:r>
            <w:rPr>
              <w:b/>
              <w:bCs/>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e5fcb991-6213-4116-b84f-e561dd42c939}"/>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b/>
                  <w:bCs/>
                  <w:sz w:val="30"/>
                  <w:szCs w:val="30"/>
                </w:rPr>
                <w:t>第二部分 2019年度部门决算情况说明</w:t>
              </w:r>
            </w:sdtContent>
          </w:sdt>
          <w:r>
            <w:rPr>
              <w:b/>
              <w:bCs/>
              <w:sz w:val="30"/>
              <w:szCs w:val="30"/>
            </w:rPr>
            <w:tab/>
          </w:r>
          <w:bookmarkStart w:id="18" w:name="_Toc7451_WPSOffice_Level1Page"/>
          <w:r>
            <w:rPr>
              <w:b/>
              <w:bCs/>
              <w:sz w:val="30"/>
              <w:szCs w:val="30"/>
            </w:rPr>
            <w:t>5</w:t>
          </w:r>
          <w:bookmarkEnd w:id="18"/>
          <w:r>
            <w:rPr>
              <w:b/>
              <w:bCs/>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_Toc1389_WPSOffice_Level2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ba142c86-6981-4d32-9f8d-83c250377a3e}"/>
              </w:placeholder>
              <w15:color w:val="509DF3"/>
            </w:sdtPr>
            <w:sdtEndPr>
              <w:rPr>
                <w:rFonts w:ascii="Times New Roman" w:hAnsi="Times New Roman" w:eastAsia="宋体" w:cs="Times New Roman"/>
                <w:b/>
                <w:bCs/>
                <w:kern w:val="44"/>
                <w:sz w:val="30"/>
                <w:szCs w:val="30"/>
                <w:lang w:val="en-US" w:eastAsia="zh-CN" w:bidi="ar-SA"/>
              </w:rPr>
            </w:sdtEndPr>
            <w:sdtContent>
              <w:r>
                <w:rPr>
                  <w:rFonts w:hint="default" w:ascii="黑体" w:hAnsi="黑体" w:eastAsia="黑体" w:cstheme="majorBidi"/>
                  <w:sz w:val="30"/>
                  <w:szCs w:val="30"/>
                </w:rPr>
                <w:t xml:space="preserve">一、 </w:t>
              </w:r>
              <w:r>
                <w:rPr>
                  <w:rFonts w:hint="eastAsia" w:ascii="黑体" w:hAnsi="黑体" w:eastAsia="黑体" w:cs="Times New Roman"/>
                  <w:sz w:val="30"/>
                  <w:szCs w:val="30"/>
                </w:rPr>
                <w:t>收</w:t>
              </w:r>
              <w:r>
                <w:rPr>
                  <w:rFonts w:hint="eastAsia" w:ascii="黑体" w:hAnsi="黑体" w:eastAsia="黑体" w:cstheme="majorBidi"/>
                  <w:sz w:val="30"/>
                  <w:szCs w:val="30"/>
                </w:rPr>
                <w:t>入支出决算总体情况说明</w:t>
              </w:r>
            </w:sdtContent>
          </w:sdt>
          <w:r>
            <w:rPr>
              <w:sz w:val="30"/>
              <w:szCs w:val="30"/>
            </w:rPr>
            <w:tab/>
          </w:r>
          <w:bookmarkStart w:id="19" w:name="_Toc1389_WPSOffice_Level2Page"/>
          <w:r>
            <w:rPr>
              <w:sz w:val="30"/>
              <w:szCs w:val="30"/>
            </w:rPr>
            <w:t>5</w:t>
          </w:r>
          <w:bookmarkEnd w:id="19"/>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_Toc11733_WPSOffice_Level2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67b077d8-f78d-47b5-8313-d2f158204b5e}"/>
              </w:placeholder>
              <w15:color w:val="509DF3"/>
            </w:sdtPr>
            <w:sdtEndPr>
              <w:rPr>
                <w:rFonts w:ascii="Times New Roman" w:hAnsi="Times New Roman" w:eastAsia="宋体" w:cs="Times New Roman"/>
                <w:b/>
                <w:bCs/>
                <w:kern w:val="44"/>
                <w:sz w:val="30"/>
                <w:szCs w:val="30"/>
                <w:lang w:val="en-US" w:eastAsia="zh-CN" w:bidi="ar-SA"/>
              </w:rPr>
            </w:sdtEndPr>
            <w:sdtContent>
              <w:r>
                <w:rPr>
                  <w:rFonts w:hint="default" w:ascii="黑体" w:hAnsi="黑体" w:eastAsia="黑体" w:cstheme="majorBidi"/>
                  <w:sz w:val="30"/>
                  <w:szCs w:val="30"/>
                </w:rPr>
                <w:t xml:space="preserve">二、 </w:t>
              </w:r>
              <w:r>
                <w:rPr>
                  <w:rFonts w:hint="eastAsia" w:ascii="黑体" w:hAnsi="黑体" w:eastAsia="黑体" w:cs="Times New Roman"/>
                  <w:sz w:val="30"/>
                  <w:szCs w:val="30"/>
                </w:rPr>
                <w:t>收</w:t>
              </w:r>
              <w:r>
                <w:rPr>
                  <w:rFonts w:hint="eastAsia" w:ascii="黑体" w:hAnsi="黑体" w:eastAsia="黑体" w:cstheme="majorBidi"/>
                  <w:sz w:val="30"/>
                  <w:szCs w:val="30"/>
                </w:rPr>
                <w:t>入决算情况说明</w:t>
              </w:r>
            </w:sdtContent>
          </w:sdt>
          <w:r>
            <w:rPr>
              <w:sz w:val="30"/>
              <w:szCs w:val="30"/>
            </w:rPr>
            <w:tab/>
          </w:r>
          <w:bookmarkStart w:id="20" w:name="_Toc11733_WPSOffice_Level2Page"/>
          <w:r>
            <w:rPr>
              <w:sz w:val="30"/>
              <w:szCs w:val="30"/>
            </w:rPr>
            <w:t>5</w:t>
          </w:r>
          <w:bookmarkEnd w:id="20"/>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_Toc408_WPSOffice_Level2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b0a8575c-7639-47da-8da1-be87bc27cf88}"/>
              </w:placeholder>
              <w15:color w:val="509DF3"/>
            </w:sdtPr>
            <w:sdtEndPr>
              <w:rPr>
                <w:rFonts w:ascii="Times New Roman" w:hAnsi="Times New Roman" w:eastAsia="宋体" w:cs="Times New Roman"/>
                <w:b/>
                <w:bCs/>
                <w:kern w:val="44"/>
                <w:sz w:val="30"/>
                <w:szCs w:val="30"/>
                <w:lang w:val="en-US" w:eastAsia="zh-CN" w:bidi="ar-SA"/>
              </w:rPr>
            </w:sdtEndPr>
            <w:sdtContent>
              <w:r>
                <w:rPr>
                  <w:rFonts w:hint="default" w:ascii="黑体" w:hAnsi="黑体" w:eastAsia="黑体" w:cstheme="majorBidi"/>
                  <w:sz w:val="30"/>
                  <w:szCs w:val="30"/>
                </w:rPr>
                <w:t xml:space="preserve">三、 </w:t>
              </w:r>
              <w:r>
                <w:rPr>
                  <w:rFonts w:hint="eastAsia" w:ascii="黑体" w:hAnsi="黑体" w:eastAsia="黑体" w:cs="Times New Roman"/>
                  <w:sz w:val="30"/>
                  <w:szCs w:val="30"/>
                </w:rPr>
                <w:t>支</w:t>
              </w:r>
              <w:r>
                <w:rPr>
                  <w:rFonts w:hint="eastAsia" w:ascii="黑体" w:hAnsi="黑体" w:eastAsia="黑体" w:cstheme="majorBidi"/>
                  <w:sz w:val="30"/>
                  <w:szCs w:val="30"/>
                </w:rPr>
                <w:t>出决算情况说明</w:t>
              </w:r>
            </w:sdtContent>
          </w:sdt>
          <w:r>
            <w:rPr>
              <w:sz w:val="30"/>
              <w:szCs w:val="30"/>
            </w:rPr>
            <w:tab/>
          </w:r>
          <w:bookmarkStart w:id="21" w:name="_Toc408_WPSOffice_Level2Page"/>
          <w:r>
            <w:rPr>
              <w:sz w:val="30"/>
              <w:szCs w:val="30"/>
            </w:rPr>
            <w:t>5</w:t>
          </w:r>
          <w:bookmarkEnd w:id="21"/>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_Toc28681_WPSOffice_Level2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630234cb-9265-4493-bfdd-40fa3dd073df}"/>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sz w:val="30"/>
                  <w:szCs w:val="30"/>
                </w:rPr>
                <w:t>四、财</w:t>
              </w:r>
              <w:r>
                <w:rPr>
                  <w:rFonts w:hint="eastAsia" w:ascii="黑体" w:hAnsi="黑体" w:eastAsia="黑体" w:cstheme="majorBidi"/>
                  <w:sz w:val="30"/>
                  <w:szCs w:val="30"/>
                </w:rPr>
                <w:t>政拨款收入支出决算总体情况说明</w:t>
              </w:r>
            </w:sdtContent>
          </w:sdt>
          <w:r>
            <w:rPr>
              <w:sz w:val="30"/>
              <w:szCs w:val="30"/>
            </w:rPr>
            <w:tab/>
          </w:r>
          <w:bookmarkStart w:id="22" w:name="_Toc28681_WPSOffice_Level2Page"/>
          <w:r>
            <w:rPr>
              <w:sz w:val="30"/>
              <w:szCs w:val="30"/>
            </w:rPr>
            <w:t>6</w:t>
          </w:r>
          <w:bookmarkEnd w:id="22"/>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_Toc13687_WPSOffice_Level2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fc0f69df-39bd-4e16-8711-a0abd6adb74c}"/>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sz w:val="30"/>
                  <w:szCs w:val="30"/>
                </w:rPr>
                <w:t>五、一</w:t>
              </w:r>
              <w:r>
                <w:rPr>
                  <w:rFonts w:hint="eastAsia" w:ascii="黑体" w:hAnsi="黑体" w:eastAsia="黑体" w:cstheme="majorBidi"/>
                  <w:sz w:val="30"/>
                  <w:szCs w:val="30"/>
                </w:rPr>
                <w:t>般公共预算财政拨款支出决算情况说明</w:t>
              </w:r>
            </w:sdtContent>
          </w:sdt>
          <w:r>
            <w:rPr>
              <w:sz w:val="30"/>
              <w:szCs w:val="30"/>
            </w:rPr>
            <w:tab/>
          </w:r>
          <w:bookmarkStart w:id="23" w:name="_Toc13687_WPSOffice_Level2Page"/>
          <w:r>
            <w:rPr>
              <w:sz w:val="30"/>
              <w:szCs w:val="30"/>
            </w:rPr>
            <w:t>6</w:t>
          </w:r>
          <w:bookmarkEnd w:id="23"/>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_Toc2334_WPSOffice_Level2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b2302e7e-d84b-4092-8917-5a4a9f7c9977}"/>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Times New Roman" w:eastAsia="黑体" w:cs="Times New Roman"/>
                  <w:sz w:val="30"/>
                  <w:szCs w:val="30"/>
                </w:rPr>
                <w:t>六、</w:t>
              </w:r>
              <w:r>
                <w:rPr>
                  <w:rFonts w:hint="eastAsia" w:ascii="黑体" w:hAnsi="黑体" w:eastAsia="黑体" w:cs="Times New Roman"/>
                  <w:sz w:val="30"/>
                  <w:szCs w:val="30"/>
                </w:rPr>
                <w:t>一</w:t>
              </w:r>
              <w:r>
                <w:rPr>
                  <w:rFonts w:hint="eastAsia" w:ascii="黑体" w:hAnsi="黑体" w:eastAsia="黑体" w:cstheme="majorBidi"/>
                  <w:sz w:val="30"/>
                  <w:szCs w:val="30"/>
                </w:rPr>
                <w:t>般公共预算财政拨款基本支出决算情况说明</w:t>
              </w:r>
            </w:sdtContent>
          </w:sdt>
          <w:r>
            <w:rPr>
              <w:sz w:val="30"/>
              <w:szCs w:val="30"/>
            </w:rPr>
            <w:tab/>
          </w:r>
          <w:bookmarkStart w:id="24" w:name="_Toc2334_WPSOffice_Level2Page"/>
          <w:r>
            <w:rPr>
              <w:sz w:val="30"/>
              <w:szCs w:val="30"/>
            </w:rPr>
            <w:t>7</w:t>
          </w:r>
          <w:bookmarkEnd w:id="24"/>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_Toc24518_WPSOffice_Level2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536acb61-cf13-4d34-9216-7d7944c16688}"/>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Times New Roman" w:eastAsia="黑体" w:cs="Times New Roman"/>
                  <w:sz w:val="30"/>
                  <w:szCs w:val="30"/>
                </w:rPr>
                <w:t>七、</w:t>
              </w:r>
              <w:r>
                <w:rPr>
                  <w:rFonts w:hint="eastAsia" w:ascii="黑体" w:hAnsi="黑体" w:eastAsia="黑体" w:cstheme="majorBidi"/>
                  <w:sz w:val="30"/>
                  <w:szCs w:val="30"/>
                </w:rPr>
                <w:t>“三公”经费财政拨款支出决算情况说明</w:t>
              </w:r>
            </w:sdtContent>
          </w:sdt>
          <w:r>
            <w:rPr>
              <w:sz w:val="30"/>
              <w:szCs w:val="30"/>
            </w:rPr>
            <w:tab/>
          </w:r>
          <w:bookmarkStart w:id="25" w:name="_Toc24518_WPSOffice_Level2Page"/>
          <w:r>
            <w:rPr>
              <w:sz w:val="30"/>
              <w:szCs w:val="30"/>
            </w:rPr>
            <w:t>8</w:t>
          </w:r>
          <w:bookmarkEnd w:id="25"/>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_Toc28325_WPSOffice_Level2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848c57a0-ba5b-4c15-9438-c7782a5c01b9}"/>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Times New Roman" w:eastAsia="黑体" w:cs="Times New Roman"/>
                  <w:sz w:val="30"/>
                  <w:szCs w:val="30"/>
                </w:rPr>
                <w:t>八、</w:t>
              </w:r>
              <w:r>
                <w:rPr>
                  <w:rFonts w:hint="eastAsia" w:ascii="黑体" w:hAnsi="黑体" w:eastAsia="黑体" w:cstheme="majorBidi"/>
                  <w:sz w:val="30"/>
                  <w:szCs w:val="30"/>
                </w:rPr>
                <w:t>政府性基金预算支出决算情况说明</w:t>
              </w:r>
            </w:sdtContent>
          </w:sdt>
          <w:r>
            <w:rPr>
              <w:sz w:val="30"/>
              <w:szCs w:val="30"/>
            </w:rPr>
            <w:tab/>
          </w:r>
          <w:bookmarkStart w:id="26" w:name="_Toc28325_WPSOffice_Level2Page"/>
          <w:r>
            <w:rPr>
              <w:sz w:val="30"/>
              <w:szCs w:val="30"/>
            </w:rPr>
            <w:t>9</w:t>
          </w:r>
          <w:bookmarkEnd w:id="26"/>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_Toc12918_WPSOffice_Level2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1cc78c01-2c9e-484c-8a84-b9c4cfd8adee}"/>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heme="majorBidi"/>
                  <w:sz w:val="30"/>
                  <w:szCs w:val="30"/>
                </w:rPr>
                <w:t>九、 国有资本经营预算支出决算情况说明</w:t>
              </w:r>
            </w:sdtContent>
          </w:sdt>
          <w:r>
            <w:rPr>
              <w:sz w:val="30"/>
              <w:szCs w:val="30"/>
            </w:rPr>
            <w:tab/>
          </w:r>
          <w:bookmarkStart w:id="27" w:name="_Toc12918_WPSOffice_Level2Page"/>
          <w:r>
            <w:rPr>
              <w:sz w:val="30"/>
              <w:szCs w:val="30"/>
            </w:rPr>
            <w:t>9</w:t>
          </w:r>
          <w:bookmarkEnd w:id="27"/>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_Toc23267_WPSOffice_Level2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532e17c2-3d22-4125-bc44-98f01dc44e09}"/>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sz w:val="30"/>
                  <w:szCs w:val="30"/>
                </w:rPr>
                <w:t>十</w:t>
              </w:r>
              <w:r>
                <w:rPr>
                  <w:rFonts w:hint="eastAsia" w:ascii="黑体" w:hAnsi="黑体" w:eastAsia="黑体" w:cstheme="majorBidi"/>
                  <w:sz w:val="30"/>
                  <w:szCs w:val="30"/>
                </w:rPr>
                <w:t>、其他重要事项的情况说明</w:t>
              </w:r>
            </w:sdtContent>
          </w:sdt>
          <w:r>
            <w:rPr>
              <w:sz w:val="30"/>
              <w:szCs w:val="30"/>
            </w:rPr>
            <w:tab/>
          </w:r>
          <w:bookmarkStart w:id="28" w:name="_Toc23267_WPSOffice_Level2Page"/>
          <w:r>
            <w:rPr>
              <w:sz w:val="30"/>
              <w:szCs w:val="30"/>
            </w:rPr>
            <w:t>9</w:t>
          </w:r>
          <w:bookmarkEnd w:id="28"/>
          <w:r>
            <w:rPr>
              <w:sz w:val="30"/>
              <w:szCs w:val="30"/>
            </w:rPr>
            <w:fldChar w:fldCharType="end"/>
          </w:r>
        </w:p>
        <w:p>
          <w:pPr>
            <w:pStyle w:val="31"/>
            <w:tabs>
              <w:tab w:val="right" w:leader="dot" w:pos="8306"/>
            </w:tabs>
            <w:rPr>
              <w:sz w:val="30"/>
              <w:szCs w:val="30"/>
            </w:rPr>
          </w:pPr>
          <w:r>
            <w:rPr>
              <w:b/>
              <w:bCs/>
              <w:sz w:val="30"/>
              <w:szCs w:val="30"/>
            </w:rPr>
            <w:fldChar w:fldCharType="begin"/>
          </w:r>
          <w:r>
            <w:rPr>
              <w:sz w:val="30"/>
              <w:szCs w:val="30"/>
            </w:rPr>
            <w:instrText xml:space="preserve"> HYPERLINK \l _Toc7185_WPSOffice_Level1 </w:instrText>
          </w:r>
          <w:r>
            <w:rPr>
              <w:b/>
              <w:bCs/>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0e31c81a-8885-48bf-9d1c-273a4901e132}"/>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b/>
                  <w:bCs/>
                  <w:sz w:val="30"/>
                  <w:szCs w:val="30"/>
                </w:rPr>
                <w:t>第三部分 名词解释</w:t>
              </w:r>
            </w:sdtContent>
          </w:sdt>
          <w:r>
            <w:rPr>
              <w:b/>
              <w:bCs/>
              <w:sz w:val="30"/>
              <w:szCs w:val="30"/>
            </w:rPr>
            <w:tab/>
          </w:r>
          <w:bookmarkStart w:id="29" w:name="_Toc7185_WPSOffice_Level1Page"/>
          <w:r>
            <w:rPr>
              <w:b/>
              <w:bCs/>
              <w:sz w:val="30"/>
              <w:szCs w:val="30"/>
            </w:rPr>
            <w:t>11</w:t>
          </w:r>
          <w:bookmarkEnd w:id="29"/>
          <w:r>
            <w:rPr>
              <w:b/>
              <w:bCs/>
              <w:sz w:val="30"/>
              <w:szCs w:val="30"/>
            </w:rPr>
            <w:fldChar w:fldCharType="end"/>
          </w:r>
        </w:p>
        <w:p>
          <w:pPr>
            <w:pStyle w:val="31"/>
            <w:tabs>
              <w:tab w:val="right" w:leader="dot" w:pos="8306"/>
            </w:tabs>
            <w:rPr>
              <w:sz w:val="30"/>
              <w:szCs w:val="30"/>
            </w:rPr>
          </w:pPr>
          <w:r>
            <w:rPr>
              <w:b/>
              <w:bCs/>
              <w:sz w:val="30"/>
              <w:szCs w:val="30"/>
            </w:rPr>
            <w:fldChar w:fldCharType="begin"/>
          </w:r>
          <w:r>
            <w:rPr>
              <w:sz w:val="30"/>
              <w:szCs w:val="30"/>
            </w:rPr>
            <w:instrText xml:space="preserve"> HYPERLINK \l _Toc1389_WPSOffice_Level1 </w:instrText>
          </w:r>
          <w:r>
            <w:rPr>
              <w:b/>
              <w:bCs/>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6f272111-3884-44b0-8bb4-2fe9242ee45b}"/>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b/>
                  <w:bCs/>
                  <w:sz w:val="30"/>
                  <w:szCs w:val="30"/>
                </w:rPr>
                <w:t>第四部分 附件</w:t>
              </w:r>
            </w:sdtContent>
          </w:sdt>
          <w:r>
            <w:rPr>
              <w:b/>
              <w:bCs/>
              <w:sz w:val="30"/>
              <w:szCs w:val="30"/>
            </w:rPr>
            <w:tab/>
          </w:r>
          <w:bookmarkStart w:id="30" w:name="_Toc1389_WPSOffice_Level1Page"/>
          <w:r>
            <w:rPr>
              <w:b/>
              <w:bCs/>
              <w:sz w:val="30"/>
              <w:szCs w:val="30"/>
            </w:rPr>
            <w:t>15</w:t>
          </w:r>
          <w:bookmarkEnd w:id="30"/>
          <w:r>
            <w:rPr>
              <w:b/>
              <w:bCs/>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_Toc30312_WPSOffice_Level2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6d83ad97-105a-448e-afb0-c6371f7dbdd7}"/>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方正小标宋简体"/>
                  <w:sz w:val="30"/>
                  <w:szCs w:val="30"/>
                </w:rPr>
                <w:t>中共广元市昭化区直属机关工作委员会</w:t>
              </w:r>
            </w:sdtContent>
          </w:sdt>
          <w:r>
            <w:rPr>
              <w:sz w:val="30"/>
              <w:szCs w:val="30"/>
            </w:rPr>
            <w:tab/>
          </w:r>
          <w:bookmarkStart w:id="31" w:name="_Toc30312_WPSOffice_Level2Page"/>
          <w:r>
            <w:rPr>
              <w:sz w:val="30"/>
              <w:szCs w:val="30"/>
            </w:rPr>
            <w:t>15</w:t>
          </w:r>
          <w:bookmarkEnd w:id="31"/>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_Toc21542_WPSOffice_Level2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b37c6570-740b-4e1e-aabd-f06b2dac8889}"/>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方正小标宋简体"/>
                  <w:sz w:val="30"/>
                  <w:szCs w:val="30"/>
                </w:rPr>
                <w:t>部门2019年部门整体支出绩效评价报告</w:t>
              </w:r>
            </w:sdtContent>
          </w:sdt>
          <w:r>
            <w:rPr>
              <w:sz w:val="30"/>
              <w:szCs w:val="30"/>
            </w:rPr>
            <w:tab/>
          </w:r>
          <w:bookmarkStart w:id="32" w:name="_Toc21542_WPSOffice_Level2Page"/>
          <w:r>
            <w:rPr>
              <w:sz w:val="30"/>
              <w:szCs w:val="30"/>
            </w:rPr>
            <w:t>15</w:t>
          </w:r>
          <w:bookmarkEnd w:id="32"/>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_Toc7672_WPSOffice_Level2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c2e001a4-51b5-4a0b-9636-b0ad3c8c42e6}"/>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黑体"/>
                  <w:sz w:val="30"/>
                  <w:szCs w:val="30"/>
                </w:rPr>
                <w:t>一、部门（单位）概况</w:t>
              </w:r>
            </w:sdtContent>
          </w:sdt>
          <w:r>
            <w:rPr>
              <w:sz w:val="30"/>
              <w:szCs w:val="30"/>
            </w:rPr>
            <w:tab/>
          </w:r>
          <w:bookmarkStart w:id="33" w:name="_Toc7672_WPSOffice_Level2Page"/>
          <w:r>
            <w:rPr>
              <w:sz w:val="30"/>
              <w:szCs w:val="30"/>
            </w:rPr>
            <w:t>15</w:t>
          </w:r>
          <w:bookmarkEnd w:id="33"/>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_Toc31633_WPSOffice_Level2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098a160b-78c0-4640-aff5-cf69fa39168f}"/>
              </w:placeholder>
              <w15:color w:val="509DF3"/>
            </w:sdtPr>
            <w:sdtEndPr>
              <w:rPr>
                <w:rFonts w:ascii="Times New Roman" w:hAnsi="Times New Roman" w:eastAsia="宋体" w:cs="Times New Roman"/>
                <w:b/>
                <w:bCs/>
                <w:kern w:val="44"/>
                <w:sz w:val="30"/>
                <w:szCs w:val="30"/>
                <w:lang w:val="en-US" w:eastAsia="zh-CN" w:bidi="ar-SA"/>
              </w:rPr>
            </w:sdtEndPr>
            <w:sdtContent>
              <w:r>
                <w:rPr>
                  <w:rFonts w:ascii="黑体" w:hAnsi="黑体" w:eastAsia="黑体" w:cs="黑体"/>
                  <w:sz w:val="30"/>
                  <w:szCs w:val="30"/>
                </w:rPr>
                <w:t>二、部门财政资金收支情况</w:t>
              </w:r>
            </w:sdtContent>
          </w:sdt>
          <w:r>
            <w:rPr>
              <w:sz w:val="30"/>
              <w:szCs w:val="30"/>
            </w:rPr>
            <w:tab/>
          </w:r>
          <w:bookmarkStart w:id="34" w:name="_Toc31633_WPSOffice_Level2Page"/>
          <w:r>
            <w:rPr>
              <w:sz w:val="30"/>
              <w:szCs w:val="30"/>
            </w:rPr>
            <w:t>15</w:t>
          </w:r>
          <w:bookmarkEnd w:id="34"/>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_Toc17676_WPSOffice_Level2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0ed7cf99-1b43-45c2-a969-b557eb22fa13}"/>
              </w:placeholder>
              <w15:color w:val="509DF3"/>
            </w:sdtPr>
            <w:sdtEndPr>
              <w:rPr>
                <w:rFonts w:ascii="Times New Roman" w:hAnsi="Times New Roman" w:eastAsia="宋体" w:cs="Times New Roman"/>
                <w:b/>
                <w:bCs/>
                <w:kern w:val="44"/>
                <w:sz w:val="30"/>
                <w:szCs w:val="30"/>
                <w:lang w:val="en-US" w:eastAsia="zh-CN" w:bidi="ar-SA"/>
              </w:rPr>
            </w:sdtEndPr>
            <w:sdtContent>
              <w:r>
                <w:rPr>
                  <w:rFonts w:ascii="黑体" w:hAnsi="黑体" w:eastAsia="黑体" w:cs="黑体"/>
                  <w:sz w:val="30"/>
                  <w:szCs w:val="30"/>
                </w:rPr>
                <w:t>三、部门整体预算绩效管理情况（根据适用指标体系进行调整）</w:t>
              </w:r>
            </w:sdtContent>
          </w:sdt>
          <w:r>
            <w:rPr>
              <w:sz w:val="30"/>
              <w:szCs w:val="30"/>
            </w:rPr>
            <w:tab/>
          </w:r>
          <w:bookmarkStart w:id="35" w:name="_Toc17676_WPSOffice_Level2Page"/>
          <w:r>
            <w:rPr>
              <w:sz w:val="30"/>
              <w:szCs w:val="30"/>
            </w:rPr>
            <w:t>15</w:t>
          </w:r>
          <w:bookmarkEnd w:id="35"/>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_Toc18296_WPSOffice_Level2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e0e5be78-fbc8-4806-b955-e07c7c10a16c}"/>
              </w:placeholder>
              <w15:color w:val="509DF3"/>
            </w:sdtPr>
            <w:sdtEndPr>
              <w:rPr>
                <w:rFonts w:ascii="Times New Roman" w:hAnsi="Times New Roman" w:eastAsia="宋体" w:cs="Times New Roman"/>
                <w:b/>
                <w:bCs/>
                <w:kern w:val="44"/>
                <w:sz w:val="30"/>
                <w:szCs w:val="30"/>
                <w:lang w:val="en-US" w:eastAsia="zh-CN" w:bidi="ar-SA"/>
              </w:rPr>
            </w:sdtEndPr>
            <w:sdtContent>
              <w:r>
                <w:rPr>
                  <w:rFonts w:ascii="黑体" w:hAnsi="黑体" w:eastAsia="黑体" w:cs="黑体"/>
                  <w:sz w:val="30"/>
                  <w:szCs w:val="30"/>
                </w:rPr>
                <w:t>四、评价结论及建议</w:t>
              </w:r>
            </w:sdtContent>
          </w:sdt>
          <w:r>
            <w:rPr>
              <w:sz w:val="30"/>
              <w:szCs w:val="30"/>
            </w:rPr>
            <w:tab/>
          </w:r>
          <w:bookmarkStart w:id="36" w:name="_Toc18296_WPSOffice_Level2Page"/>
          <w:r>
            <w:rPr>
              <w:sz w:val="30"/>
              <w:szCs w:val="30"/>
            </w:rPr>
            <w:t>16</w:t>
          </w:r>
          <w:bookmarkEnd w:id="36"/>
          <w:r>
            <w:rPr>
              <w:sz w:val="30"/>
              <w:szCs w:val="30"/>
            </w:rPr>
            <w:fldChar w:fldCharType="end"/>
          </w:r>
        </w:p>
        <w:p>
          <w:pPr>
            <w:pStyle w:val="31"/>
            <w:tabs>
              <w:tab w:val="right" w:leader="dot" w:pos="8306"/>
            </w:tabs>
            <w:rPr>
              <w:sz w:val="30"/>
              <w:szCs w:val="30"/>
            </w:rPr>
          </w:pPr>
          <w:r>
            <w:rPr>
              <w:b/>
              <w:bCs/>
              <w:sz w:val="30"/>
              <w:szCs w:val="30"/>
            </w:rPr>
            <w:fldChar w:fldCharType="begin"/>
          </w:r>
          <w:r>
            <w:rPr>
              <w:sz w:val="30"/>
              <w:szCs w:val="30"/>
            </w:rPr>
            <w:instrText xml:space="preserve"> HYPERLINK \l _Toc11733_WPSOffice_Level1 </w:instrText>
          </w:r>
          <w:r>
            <w:rPr>
              <w:b/>
              <w:bCs/>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554a479b-34ae-4ebd-aa9b-c1353c26b8f6}"/>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b/>
                  <w:bCs/>
                  <w:sz w:val="30"/>
                  <w:szCs w:val="30"/>
                </w:rPr>
                <w:t>第五部分 附表</w:t>
              </w:r>
            </w:sdtContent>
          </w:sdt>
          <w:r>
            <w:rPr>
              <w:b/>
              <w:bCs/>
              <w:sz w:val="30"/>
              <w:szCs w:val="30"/>
            </w:rPr>
            <w:tab/>
          </w:r>
          <w:bookmarkStart w:id="37" w:name="_Toc11733_WPSOffice_Level1Page"/>
          <w:r>
            <w:rPr>
              <w:b/>
              <w:bCs/>
              <w:sz w:val="30"/>
              <w:szCs w:val="30"/>
            </w:rPr>
            <w:t>18</w:t>
          </w:r>
          <w:bookmarkEnd w:id="37"/>
          <w:r>
            <w:rPr>
              <w:b/>
              <w:bCs/>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_Toc21128_WPSOffice_Level2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af87a10b-2c82-42bb-8dd7-246f0cb130ee}"/>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一、收入支出决算总表</w:t>
              </w:r>
            </w:sdtContent>
          </w:sdt>
          <w:r>
            <w:rPr>
              <w:sz w:val="30"/>
              <w:szCs w:val="30"/>
            </w:rPr>
            <w:tab/>
          </w:r>
          <w:bookmarkStart w:id="38" w:name="_Toc21128_WPSOffice_Level2Page"/>
          <w:r>
            <w:rPr>
              <w:sz w:val="30"/>
              <w:szCs w:val="30"/>
            </w:rPr>
            <w:t>18</w:t>
          </w:r>
          <w:bookmarkEnd w:id="38"/>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_Toc11662_WPSOffice_Level2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620f752c-b9e0-4d0f-b4dc-3d960bbf8f90}"/>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二、收入决算表</w:t>
              </w:r>
            </w:sdtContent>
          </w:sdt>
          <w:r>
            <w:rPr>
              <w:sz w:val="30"/>
              <w:szCs w:val="30"/>
            </w:rPr>
            <w:tab/>
          </w:r>
          <w:bookmarkStart w:id="39" w:name="_Toc11662_WPSOffice_Level2Page"/>
          <w:r>
            <w:rPr>
              <w:sz w:val="30"/>
              <w:szCs w:val="30"/>
            </w:rPr>
            <w:t>18</w:t>
          </w:r>
          <w:bookmarkEnd w:id="39"/>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_Toc20041_WPSOffice_Level2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8dc2a0c5-3575-435d-b535-29bb108d2a0a}"/>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三、支出决算表</w:t>
              </w:r>
            </w:sdtContent>
          </w:sdt>
          <w:r>
            <w:rPr>
              <w:sz w:val="30"/>
              <w:szCs w:val="30"/>
            </w:rPr>
            <w:tab/>
          </w:r>
          <w:bookmarkStart w:id="40" w:name="_Toc20041_WPSOffice_Level2Page"/>
          <w:r>
            <w:rPr>
              <w:sz w:val="30"/>
              <w:szCs w:val="30"/>
            </w:rPr>
            <w:t>18</w:t>
          </w:r>
          <w:bookmarkEnd w:id="40"/>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_Toc9060_WPSOffice_Level2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8cbd4525-e9d8-461f-b092-0054ef86ab21}"/>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四、财政拨款收入支出决算总表</w:t>
              </w:r>
            </w:sdtContent>
          </w:sdt>
          <w:r>
            <w:rPr>
              <w:sz w:val="30"/>
              <w:szCs w:val="30"/>
            </w:rPr>
            <w:tab/>
          </w:r>
          <w:bookmarkStart w:id="41" w:name="_Toc9060_WPSOffice_Level2Page"/>
          <w:r>
            <w:rPr>
              <w:sz w:val="30"/>
              <w:szCs w:val="30"/>
            </w:rPr>
            <w:t>18</w:t>
          </w:r>
          <w:bookmarkEnd w:id="41"/>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_Toc22554_WPSOffice_Level2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86962f86-74cf-458e-aa1e-757ee7fa2280}"/>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五、财政拨款支出决算明细表</w:t>
              </w:r>
            </w:sdtContent>
          </w:sdt>
          <w:r>
            <w:rPr>
              <w:sz w:val="30"/>
              <w:szCs w:val="30"/>
            </w:rPr>
            <w:tab/>
          </w:r>
          <w:bookmarkStart w:id="42" w:name="_Toc22554_WPSOffice_Level2Page"/>
          <w:r>
            <w:rPr>
              <w:sz w:val="30"/>
              <w:szCs w:val="30"/>
            </w:rPr>
            <w:t>18</w:t>
          </w:r>
          <w:bookmarkEnd w:id="42"/>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_Toc20499_WPSOffice_Level2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2fadc63a-0d30-4e75-bd6c-faa5e9899c3d}"/>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六、一般公共预算财政拨款支出决算表</w:t>
              </w:r>
            </w:sdtContent>
          </w:sdt>
          <w:r>
            <w:rPr>
              <w:sz w:val="30"/>
              <w:szCs w:val="30"/>
            </w:rPr>
            <w:tab/>
          </w:r>
          <w:bookmarkStart w:id="43" w:name="_Toc20499_WPSOffice_Level2Page"/>
          <w:r>
            <w:rPr>
              <w:sz w:val="30"/>
              <w:szCs w:val="30"/>
            </w:rPr>
            <w:t>18</w:t>
          </w:r>
          <w:bookmarkEnd w:id="43"/>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_Toc20294_WPSOffice_Level2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ba772d76-e9c5-4fc4-8309-fbf2ba816bb1}"/>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七、一般公共预算财政拨款支出决算明细表</w:t>
              </w:r>
            </w:sdtContent>
          </w:sdt>
          <w:r>
            <w:rPr>
              <w:sz w:val="30"/>
              <w:szCs w:val="30"/>
            </w:rPr>
            <w:tab/>
          </w:r>
          <w:bookmarkStart w:id="44" w:name="_Toc20294_WPSOffice_Level2Page"/>
          <w:r>
            <w:rPr>
              <w:sz w:val="30"/>
              <w:szCs w:val="30"/>
            </w:rPr>
            <w:t>18</w:t>
          </w:r>
          <w:bookmarkEnd w:id="44"/>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_Toc24583_WPSOffice_Level2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690c3725-9a75-47f5-900e-367c79050692}"/>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八、一般公共预算财政拨款基本支出决算表</w:t>
              </w:r>
            </w:sdtContent>
          </w:sdt>
          <w:r>
            <w:rPr>
              <w:sz w:val="30"/>
              <w:szCs w:val="30"/>
            </w:rPr>
            <w:tab/>
          </w:r>
          <w:bookmarkStart w:id="45" w:name="_Toc24583_WPSOffice_Level2Page"/>
          <w:r>
            <w:rPr>
              <w:sz w:val="30"/>
              <w:szCs w:val="30"/>
            </w:rPr>
            <w:t>18</w:t>
          </w:r>
          <w:bookmarkEnd w:id="45"/>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_Toc30634_WPSOffice_Level2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33594208-d88a-4720-b494-dd7632dd4877}"/>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九、一般公共预算财政拨款项目支出决算表</w:t>
              </w:r>
            </w:sdtContent>
          </w:sdt>
          <w:r>
            <w:rPr>
              <w:sz w:val="30"/>
              <w:szCs w:val="30"/>
            </w:rPr>
            <w:tab/>
          </w:r>
          <w:bookmarkStart w:id="46" w:name="_Toc30634_WPSOffice_Level2Page"/>
          <w:r>
            <w:rPr>
              <w:sz w:val="30"/>
              <w:szCs w:val="30"/>
            </w:rPr>
            <w:t>18</w:t>
          </w:r>
          <w:bookmarkEnd w:id="46"/>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_Toc13374_WPSOffice_Level2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b8a12d9e-c515-4b17-bec6-ff848e007bd2}"/>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十、一般公共预算财政拨款“三公”经费支出决算表</w:t>
              </w:r>
            </w:sdtContent>
          </w:sdt>
          <w:r>
            <w:rPr>
              <w:sz w:val="30"/>
              <w:szCs w:val="30"/>
            </w:rPr>
            <w:tab/>
          </w:r>
          <w:bookmarkStart w:id="47" w:name="_Toc13374_WPSOffice_Level2Page"/>
          <w:r>
            <w:rPr>
              <w:sz w:val="30"/>
              <w:szCs w:val="30"/>
            </w:rPr>
            <w:t>18</w:t>
          </w:r>
          <w:bookmarkEnd w:id="47"/>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_Toc4219_WPSOffice_Level2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b3d40d47-6a7b-430b-b59d-578f8829cd39}"/>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十一、政府性基金预算财政拨款收入支出决算表</w:t>
              </w:r>
            </w:sdtContent>
          </w:sdt>
          <w:r>
            <w:rPr>
              <w:sz w:val="30"/>
              <w:szCs w:val="30"/>
            </w:rPr>
            <w:tab/>
          </w:r>
          <w:bookmarkStart w:id="48" w:name="_Toc4219_WPSOffice_Level2Page"/>
          <w:r>
            <w:rPr>
              <w:sz w:val="30"/>
              <w:szCs w:val="30"/>
            </w:rPr>
            <w:t>18</w:t>
          </w:r>
          <w:bookmarkEnd w:id="48"/>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_Toc12419_WPSOffice_Level2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d4613adc-b2f9-41da-b17e-cb8927c3e3e6}"/>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十二、政府性基金预算财政拨款“三公”经费支出决算表</w:t>
              </w:r>
            </w:sdtContent>
          </w:sdt>
          <w:r>
            <w:rPr>
              <w:sz w:val="30"/>
              <w:szCs w:val="30"/>
            </w:rPr>
            <w:tab/>
          </w:r>
          <w:bookmarkStart w:id="49" w:name="_Toc12419_WPSOffice_Level2Page"/>
          <w:r>
            <w:rPr>
              <w:sz w:val="30"/>
              <w:szCs w:val="30"/>
            </w:rPr>
            <w:t>18</w:t>
          </w:r>
          <w:bookmarkEnd w:id="49"/>
          <w:r>
            <w:rPr>
              <w:sz w:val="30"/>
              <w:szCs w:val="30"/>
            </w:rPr>
            <w:fldChar w:fldCharType="end"/>
          </w:r>
        </w:p>
        <w:p>
          <w:pPr>
            <w:pStyle w:val="32"/>
            <w:tabs>
              <w:tab w:val="right" w:leader="dot" w:pos="8306"/>
            </w:tabs>
            <w:rPr>
              <w:sz w:val="30"/>
              <w:szCs w:val="30"/>
            </w:rPr>
          </w:pPr>
          <w:r>
            <w:rPr>
              <w:sz w:val="30"/>
              <w:szCs w:val="30"/>
            </w:rPr>
            <w:fldChar w:fldCharType="begin"/>
          </w:r>
          <w:r>
            <w:rPr>
              <w:sz w:val="30"/>
              <w:szCs w:val="30"/>
            </w:rPr>
            <w:instrText xml:space="preserve"> HYPERLINK \l _Toc12831_WPSOffice_Level2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b01328a2-862d-4611-95cd-b7b06198610e}"/>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十三、国有资本经营预算支出决算表</w:t>
              </w:r>
            </w:sdtContent>
          </w:sdt>
          <w:r>
            <w:rPr>
              <w:sz w:val="30"/>
              <w:szCs w:val="30"/>
            </w:rPr>
            <w:tab/>
          </w:r>
          <w:bookmarkStart w:id="50" w:name="_Toc12831_WPSOffice_Level2Page"/>
          <w:r>
            <w:rPr>
              <w:sz w:val="30"/>
              <w:szCs w:val="30"/>
            </w:rPr>
            <w:t>18</w:t>
          </w:r>
          <w:bookmarkEnd w:id="50"/>
          <w:r>
            <w:rPr>
              <w:sz w:val="30"/>
              <w:szCs w:val="30"/>
            </w:rPr>
            <w:fldChar w:fldCharType="end"/>
          </w:r>
          <w:bookmarkEnd w:id="12"/>
        </w:p>
      </w:sdtContent>
    </w:sdt>
    <w:p>
      <w:pPr>
        <w:pStyle w:val="3"/>
        <w:jc w:val="center"/>
        <w:rPr>
          <w:rFonts w:hint="eastAsia" w:ascii="黑体" w:hAnsi="黑体" w:eastAsia="黑体"/>
          <w:b w:val="0"/>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51" w:name="_Toc17469_WPSOffice_Level1"/>
    </w:p>
    <w:p>
      <w:pPr>
        <w:pStyle w:val="3"/>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3"/>
      <w:bookmarkEnd w:id="14"/>
      <w:bookmarkEnd w:id="51"/>
    </w:p>
    <w:p>
      <w:pPr>
        <w:widowControl/>
        <w:jc w:val="left"/>
        <w:rPr>
          <w:rFonts w:ascii="黑体" w:eastAsia="黑体"/>
          <w:color w:val="000000"/>
          <w:sz w:val="32"/>
          <w:szCs w:val="32"/>
        </w:rPr>
      </w:pPr>
    </w:p>
    <w:p>
      <w:pPr>
        <w:pStyle w:val="4"/>
        <w:rPr>
          <w:rStyle w:val="26"/>
          <w:rFonts w:ascii="仿宋" w:hAnsi="仿宋" w:eastAsia="仿宋"/>
          <w:b w:val="0"/>
          <w:bCs w:val="0"/>
        </w:rPr>
      </w:pPr>
      <w:bookmarkStart w:id="52" w:name="_Toc15377197"/>
      <w:bookmarkStart w:id="53" w:name="_Toc15396600"/>
      <w:bookmarkStart w:id="54" w:name="_Toc7451_WPSOffice_Level2"/>
      <w:r>
        <w:rPr>
          <w:rFonts w:hint="eastAsia" w:ascii="黑体" w:hAnsi="黑体" w:eastAsia="黑体"/>
          <w:b w:val="0"/>
          <w:color w:val="000000"/>
        </w:rPr>
        <w:t>一、基</w:t>
      </w:r>
      <w:r>
        <w:rPr>
          <w:rStyle w:val="26"/>
          <w:rFonts w:hint="eastAsia" w:ascii="黑体" w:hAnsi="黑体" w:eastAsia="黑体"/>
          <w:b w:val="0"/>
          <w:bCs w:val="0"/>
        </w:rPr>
        <w:t>本职能及主要工作</w:t>
      </w:r>
      <w:bookmarkEnd w:id="52"/>
      <w:bookmarkEnd w:id="53"/>
      <w:bookmarkEnd w:id="54"/>
    </w:p>
    <w:p>
      <w:pPr>
        <w:pStyle w:val="6"/>
        <w:adjustRightInd w:val="0"/>
        <w:snapToGrid w:val="0"/>
        <w:spacing w:before="93" w:line="600" w:lineRule="exact"/>
        <w:ind w:firstLine="672" w:firstLineChars="210"/>
        <w:outlineLvl w:val="2"/>
        <w:rPr>
          <w:rFonts w:hint="default" w:ascii="仿宋" w:hAnsi="仿宋" w:eastAsia="仿宋"/>
          <w:bCs/>
          <w:color w:val="000000"/>
          <w:sz w:val="32"/>
          <w:szCs w:val="32"/>
          <w:lang w:val="en-US" w:eastAsia="zh-CN"/>
        </w:rPr>
      </w:pPr>
      <w:r>
        <w:rPr>
          <w:rFonts w:hint="eastAsia" w:ascii="仿宋" w:hAnsi="仿宋" w:eastAsia="仿宋"/>
          <w:bCs/>
          <w:color w:val="000000"/>
          <w:sz w:val="32"/>
          <w:szCs w:val="32"/>
        </w:rPr>
        <w:t>（一）主要职能。</w:t>
      </w:r>
      <w:r>
        <w:rPr>
          <w:rFonts w:hint="eastAsia" w:ascii="仿宋" w:hAnsi="仿宋" w:eastAsia="仿宋"/>
          <w:bCs/>
          <w:color w:val="000000"/>
          <w:sz w:val="32"/>
          <w:szCs w:val="32"/>
          <w:lang w:eastAsia="zh-CN"/>
        </w:rPr>
        <w:t>区直机关工委是区委派出机构，主要负责区直机关党建工作，统筹协调全区干部驻村帮扶工作，</w:t>
      </w:r>
      <w:r>
        <w:rPr>
          <w:rFonts w:hint="eastAsia" w:ascii="仿宋" w:hAnsi="仿宋" w:eastAsia="仿宋"/>
          <w:bCs/>
          <w:color w:val="000000"/>
          <w:sz w:val="32"/>
          <w:szCs w:val="32"/>
          <w:lang w:val="en-US" w:eastAsia="zh-CN"/>
        </w:rPr>
        <w:t>2019年机构改革后，成为区委组织部挂牌单位</w:t>
      </w:r>
      <w:r>
        <w:rPr>
          <w:rFonts w:hint="eastAsia" w:ascii="仿宋" w:hAnsi="仿宋" w:eastAsia="仿宋"/>
          <w:bCs/>
          <w:color w:val="000000"/>
          <w:sz w:val="32"/>
          <w:szCs w:val="32"/>
          <w:lang w:eastAsia="zh-CN"/>
        </w:rPr>
        <w:t>。</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19</w:t>
      </w:r>
      <w:r>
        <w:rPr>
          <w:rFonts w:hint="eastAsia" w:ascii="仿宋" w:hAnsi="仿宋" w:eastAsia="仿宋"/>
          <w:bCs/>
          <w:color w:val="000000"/>
          <w:sz w:val="32"/>
          <w:szCs w:val="32"/>
        </w:rPr>
        <w:t>年重点工作完成情况。</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textAlignment w:val="auto"/>
        <w:outlineLvl w:val="9"/>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1、持续深化学习教育，强化思想政治建设。拓展深化机关党建“三大行动”，着力全域培训提能。</w:t>
      </w:r>
    </w:p>
    <w:p>
      <w:pPr>
        <w:keepNext w:val="0"/>
        <w:keepLines w:val="0"/>
        <w:pageBreakBefore w:val="0"/>
        <w:widowControl w:val="0"/>
        <w:tabs>
          <w:tab w:val="left" w:pos="962"/>
          <w:tab w:val="left" w:pos="6565"/>
        </w:tabs>
        <w:kinsoku/>
        <w:wordWrap/>
        <w:overflowPunct/>
        <w:topLinePunct w:val="0"/>
        <w:autoSpaceDE/>
        <w:autoSpaceDN/>
        <w:bidi w:val="0"/>
        <w:adjustRightInd/>
        <w:snapToGrid w:val="0"/>
        <w:spacing w:line="576" w:lineRule="exact"/>
        <w:ind w:left="0" w:leftChars="0" w:right="0" w:rightChars="0" w:firstLine="640" w:firstLineChars="200"/>
        <w:textAlignment w:val="auto"/>
        <w:outlineLvl w:val="9"/>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2、压紧压实党建责任，强化基层组织建设。从严落实党建责任制，着力建强基层组织，注重示范引领，四是抓实党建专项述职，规范党员队伍管理。</w:t>
      </w:r>
    </w:p>
    <w:p>
      <w:pPr>
        <w:keepNext w:val="0"/>
        <w:keepLines w:val="0"/>
        <w:pageBreakBefore w:val="0"/>
        <w:widowControl w:val="0"/>
        <w:kinsoku/>
        <w:wordWrap/>
        <w:overflowPunct/>
        <w:topLinePunct w:val="0"/>
        <w:autoSpaceDE/>
        <w:autoSpaceDN/>
        <w:bidi w:val="0"/>
        <w:adjustRightInd/>
        <w:spacing w:line="576" w:lineRule="exact"/>
        <w:ind w:left="0" w:leftChars="0" w:right="0" w:rightChars="0" w:firstLine="640" w:firstLineChars="200"/>
        <w:textAlignment w:val="auto"/>
        <w:outlineLvl w:val="9"/>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3、聚焦脱贫攻坚大局，全面统筹帮扶工作。全力建强一线指挥战斗队，不断加强和改进帮扶工作，切实提升帮扶力量实战能力，严格督查督导，注重宣传引导，倾力帮扶绝不掉队。</w:t>
      </w:r>
    </w:p>
    <w:p>
      <w:pPr>
        <w:keepNext w:val="0"/>
        <w:keepLines w:val="0"/>
        <w:pageBreakBefore w:val="0"/>
        <w:widowControl w:val="0"/>
        <w:kinsoku/>
        <w:wordWrap/>
        <w:overflowPunct/>
        <w:topLinePunct w:val="0"/>
        <w:autoSpaceDE/>
        <w:autoSpaceDN/>
        <w:bidi w:val="0"/>
        <w:adjustRightInd/>
        <w:spacing w:line="576" w:lineRule="exact"/>
        <w:ind w:left="0" w:leftChars="0" w:right="0" w:rightChars="0"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作为党群综合协调部门，在全面完成从严治党、驻村帮扶等重点工作外，党建扶贫、依法治区、深化改革、全等各项工作顺利进行。</w:t>
      </w:r>
    </w:p>
    <w:p>
      <w:pPr>
        <w:spacing w:line="576" w:lineRule="exact"/>
        <w:ind w:firstLine="640" w:firstLineChars="200"/>
        <w:rPr>
          <w:rFonts w:hint="eastAsia" w:ascii="仿宋" w:hAnsi="仿宋" w:eastAsia="仿宋" w:cs="仿宋"/>
          <w:b w:val="0"/>
          <w:bCs w:val="0"/>
          <w:sz w:val="32"/>
          <w:szCs w:val="32"/>
        </w:rPr>
      </w:pPr>
    </w:p>
    <w:p>
      <w:pPr>
        <w:pStyle w:val="4"/>
        <w:ind w:firstLine="640" w:firstLineChars="200"/>
        <w:rPr>
          <w:rStyle w:val="26"/>
          <w:b w:val="0"/>
          <w:bCs w:val="0"/>
        </w:rPr>
      </w:pPr>
      <w:bookmarkStart w:id="55" w:name="_Toc15396601"/>
      <w:bookmarkStart w:id="56" w:name="_Toc7185_WPSOffice_Level2"/>
      <w:bookmarkStart w:id="57"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55"/>
      <w:bookmarkEnd w:id="56"/>
      <w:bookmarkEnd w:id="57"/>
    </w:p>
    <w:p>
      <w:pPr>
        <w:ind w:firstLine="800" w:firstLineChars="250"/>
        <w:rPr>
          <w:rFonts w:hint="eastAsia" w:ascii="仿宋" w:hAnsi="仿宋" w:eastAsia="仿宋"/>
          <w:sz w:val="32"/>
          <w:szCs w:val="32"/>
          <w:lang w:val="en-US" w:eastAsia="zh-CN"/>
        </w:rPr>
      </w:pPr>
      <w:bookmarkStart w:id="58" w:name="_Toc15377204"/>
      <w:bookmarkStart w:id="59" w:name="_Toc15396602"/>
      <w:r>
        <w:rPr>
          <w:rFonts w:hint="eastAsia" w:ascii="仿宋" w:hAnsi="仿宋" w:eastAsia="仿宋"/>
          <w:sz w:val="32"/>
          <w:szCs w:val="32"/>
          <w:lang w:eastAsia="zh-CN"/>
        </w:rPr>
        <w:t>区直属机关工委</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eastAsia="zh-CN"/>
        </w:rPr>
        <w:t>。</w:t>
      </w:r>
    </w:p>
    <w:p>
      <w:pPr>
        <w:pStyle w:val="3"/>
        <w:ind w:right="440"/>
        <w:jc w:val="right"/>
        <w:rPr>
          <w:rFonts w:hint="eastAsia" w:ascii="黑体" w:hAnsi="黑体" w:eastAsia="黑体"/>
          <w:b w:val="0"/>
          <w:color w:val="000000"/>
        </w:rPr>
      </w:pPr>
    </w:p>
    <w:p>
      <w:pPr>
        <w:pStyle w:val="3"/>
        <w:ind w:right="440"/>
        <w:jc w:val="right"/>
        <w:rPr>
          <w:rStyle w:val="25"/>
          <w:rFonts w:ascii="黑体" w:hAnsi="黑体" w:eastAsia="黑体"/>
          <w:b w:val="0"/>
          <w:bCs w:val="0"/>
        </w:rPr>
      </w:pPr>
      <w:bookmarkStart w:id="60" w:name="_Toc7451_WPSOffice_Level1"/>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58"/>
      <w:bookmarkEnd w:id="59"/>
      <w:bookmarkEnd w:id="60"/>
    </w:p>
    <w:p/>
    <w:p>
      <w:pPr>
        <w:pStyle w:val="24"/>
        <w:numPr>
          <w:ilvl w:val="0"/>
          <w:numId w:val="1"/>
        </w:numPr>
        <w:spacing w:line="600" w:lineRule="exact"/>
        <w:ind w:firstLineChars="0"/>
        <w:outlineLvl w:val="1"/>
        <w:rPr>
          <w:rStyle w:val="26"/>
          <w:rFonts w:ascii="黑体" w:hAnsi="黑体" w:eastAsia="黑体"/>
          <w:b w:val="0"/>
        </w:rPr>
      </w:pPr>
      <w:bookmarkStart w:id="61" w:name="_Toc1389_WPSOffice_Level2"/>
      <w:bookmarkStart w:id="62" w:name="_Toc15377205"/>
      <w:bookmarkStart w:id="63"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61"/>
      <w:bookmarkEnd w:id="62"/>
      <w:bookmarkEnd w:id="63"/>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eastAsia="zh-CN"/>
        </w:rPr>
        <w:t>分别为</w:t>
      </w:r>
      <w:r>
        <w:rPr>
          <w:rFonts w:hint="eastAsia" w:ascii="仿宋" w:hAnsi="仿宋" w:eastAsia="仿宋"/>
          <w:color w:val="000000"/>
          <w:sz w:val="32"/>
          <w:szCs w:val="32"/>
          <w:lang w:val="en-US" w:eastAsia="zh-CN"/>
        </w:rPr>
        <w:t>58.55万元、45.58</w:t>
      </w:r>
      <w:r>
        <w:rPr>
          <w:rFonts w:hint="eastAsia" w:ascii="仿宋" w:hAnsi="仿宋" w:eastAsia="仿宋"/>
          <w:color w:val="000000"/>
          <w:sz w:val="32"/>
          <w:szCs w:val="32"/>
        </w:rPr>
        <w:t>万元。与2018年相比，收</w:t>
      </w:r>
      <w:r>
        <w:rPr>
          <w:rFonts w:hint="eastAsia" w:ascii="仿宋" w:hAnsi="仿宋" w:eastAsia="仿宋"/>
          <w:color w:val="000000"/>
          <w:sz w:val="32"/>
          <w:szCs w:val="32"/>
          <w:lang w:eastAsia="zh-CN"/>
        </w:rPr>
        <w:t>入总计增加</w:t>
      </w:r>
      <w:r>
        <w:rPr>
          <w:rFonts w:hint="eastAsia" w:ascii="仿宋" w:hAnsi="仿宋" w:eastAsia="仿宋"/>
          <w:color w:val="000000"/>
          <w:sz w:val="32"/>
          <w:szCs w:val="32"/>
          <w:lang w:val="en-US" w:eastAsia="zh-CN"/>
        </w:rPr>
        <w:t>3.35万元，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10.1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收入总计</w:t>
      </w:r>
      <w:r>
        <w:rPr>
          <w:rFonts w:hint="eastAsia" w:ascii="仿宋" w:hAnsi="仿宋" w:eastAsia="仿宋"/>
          <w:color w:val="000000"/>
          <w:sz w:val="32"/>
          <w:szCs w:val="32"/>
        </w:rPr>
        <w:t>增</w:t>
      </w:r>
      <w:r>
        <w:rPr>
          <w:rFonts w:hint="eastAsia" w:ascii="仿宋" w:hAnsi="仿宋" w:eastAsia="仿宋"/>
          <w:color w:val="000000"/>
          <w:sz w:val="32"/>
          <w:szCs w:val="32"/>
          <w:lang w:eastAsia="zh-CN"/>
        </w:rPr>
        <w:t>加</w:t>
      </w:r>
      <w:r>
        <w:rPr>
          <w:rFonts w:hint="eastAsia" w:ascii="仿宋" w:hAnsi="仿宋" w:eastAsia="仿宋"/>
          <w:color w:val="000000"/>
          <w:sz w:val="32"/>
          <w:szCs w:val="32"/>
          <w:lang w:val="en-US" w:eastAsia="zh-CN"/>
        </w:rPr>
        <w:t>6</w:t>
      </w:r>
      <w:r>
        <w:rPr>
          <w:rFonts w:ascii="仿宋" w:hAnsi="仿宋" w:eastAsia="仿宋"/>
          <w:color w:val="000000"/>
          <w:sz w:val="32"/>
          <w:szCs w:val="32"/>
        </w:rPr>
        <w:t>%</w:t>
      </w:r>
      <w:r>
        <w:rPr>
          <w:rFonts w:hint="eastAsia" w:ascii="仿宋" w:hAnsi="仿宋" w:eastAsia="仿宋"/>
          <w:color w:val="000000"/>
          <w:sz w:val="32"/>
          <w:szCs w:val="32"/>
          <w:lang w:eastAsia="zh-CN"/>
        </w:rPr>
        <w:t>、支出总计减少</w:t>
      </w:r>
      <w:r>
        <w:rPr>
          <w:rFonts w:hint="eastAsia" w:ascii="仿宋" w:hAnsi="仿宋" w:eastAsia="仿宋"/>
          <w:color w:val="000000"/>
          <w:sz w:val="32"/>
          <w:szCs w:val="32"/>
          <w:lang w:val="en-US" w:eastAsia="zh-CN"/>
        </w:rPr>
        <w:t>18.14%</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p>
    <w:p>
      <w:pPr>
        <w:spacing w:line="600" w:lineRule="exact"/>
        <w:jc w:val="left"/>
        <w:rPr>
          <w:rFonts w:ascii="仿宋_GB2312" w:eastAsia="仿宋_GB2312"/>
          <w:color w:val="00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64" w:name="_Toc11733_WPSOffice_Level2"/>
      <w:bookmarkStart w:id="65" w:name="_Toc15396604"/>
      <w:bookmarkStart w:id="66"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64"/>
      <w:bookmarkEnd w:id="65"/>
      <w:bookmarkEnd w:id="66"/>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58.55</w:t>
      </w:r>
      <w:r>
        <w:rPr>
          <w:rFonts w:hint="eastAsia" w:ascii="仿宋" w:hAnsi="仿宋" w:eastAsia="仿宋"/>
          <w:color w:val="000000"/>
          <w:sz w:val="32"/>
          <w:szCs w:val="32"/>
        </w:rPr>
        <w:t>万元，其中：一般公共预算财政拨款收</w:t>
      </w:r>
      <w:r>
        <w:rPr>
          <w:rFonts w:hint="eastAsia" w:ascii="仿宋" w:hAnsi="仿宋" w:eastAsia="仿宋"/>
          <w:color w:val="000000"/>
          <w:sz w:val="32"/>
          <w:szCs w:val="32"/>
          <w:lang w:val="en-US" w:eastAsia="zh-CN"/>
        </w:rPr>
        <w:t>58.55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ascii="仿宋_GB2312" w:eastAsia="仿宋_GB2312"/>
          <w:color w:val="FF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67" w:name="_Toc408_WPSOffice_Level2"/>
      <w:bookmarkStart w:id="68" w:name="_Toc15396605"/>
      <w:bookmarkStart w:id="69"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67"/>
      <w:bookmarkEnd w:id="68"/>
      <w:bookmarkEnd w:id="6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45.58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45.58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70" w:name="_Toc15396606"/>
      <w:bookmarkStart w:id="71" w:name="_Toc15377208"/>
      <w:bookmarkStart w:id="72" w:name="_Toc28681_WPSOffice_Level2"/>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70"/>
      <w:bookmarkEnd w:id="71"/>
      <w:bookmarkEnd w:id="72"/>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eastAsia="zh-CN"/>
        </w:rPr>
        <w:t>分别为</w:t>
      </w:r>
      <w:r>
        <w:rPr>
          <w:rFonts w:hint="eastAsia" w:ascii="仿宋" w:hAnsi="仿宋" w:eastAsia="仿宋"/>
          <w:color w:val="000000"/>
          <w:sz w:val="32"/>
          <w:szCs w:val="32"/>
          <w:lang w:val="en-US" w:eastAsia="zh-CN"/>
        </w:rPr>
        <w:t>58.55万元、45.58</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3.35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、财政拨款支出减少</w:t>
      </w:r>
      <w:r>
        <w:rPr>
          <w:rFonts w:hint="eastAsia" w:ascii="仿宋" w:hAnsi="仿宋" w:eastAsia="仿宋"/>
          <w:color w:val="000000"/>
          <w:sz w:val="32"/>
          <w:szCs w:val="32"/>
          <w:lang w:val="en-US" w:eastAsia="zh-CN"/>
        </w:rPr>
        <w:t>10.1万元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财政拨款收入总计</w:t>
      </w:r>
      <w:r>
        <w:rPr>
          <w:rFonts w:hint="eastAsia" w:ascii="仿宋" w:hAnsi="仿宋" w:eastAsia="仿宋"/>
          <w:color w:val="000000"/>
          <w:sz w:val="32"/>
          <w:szCs w:val="32"/>
        </w:rPr>
        <w:t>增</w:t>
      </w:r>
      <w:r>
        <w:rPr>
          <w:rFonts w:hint="eastAsia" w:ascii="仿宋" w:hAnsi="仿宋" w:eastAsia="仿宋"/>
          <w:color w:val="000000"/>
          <w:sz w:val="32"/>
          <w:szCs w:val="32"/>
          <w:lang w:val="en-US" w:eastAsia="zh-CN"/>
        </w:rPr>
        <w:t>6</w:t>
      </w:r>
      <w:r>
        <w:rPr>
          <w:rFonts w:ascii="仿宋" w:hAnsi="仿宋" w:eastAsia="仿宋"/>
          <w:color w:val="000000"/>
          <w:sz w:val="32"/>
          <w:szCs w:val="32"/>
        </w:rPr>
        <w:t>%</w:t>
      </w:r>
      <w:r>
        <w:rPr>
          <w:rFonts w:hint="eastAsia" w:ascii="仿宋" w:hAnsi="仿宋" w:eastAsia="仿宋"/>
          <w:color w:val="000000"/>
          <w:sz w:val="32"/>
          <w:szCs w:val="32"/>
          <w:lang w:eastAsia="zh-CN"/>
        </w:rPr>
        <w:t>、财政拨款支出总计减少</w:t>
      </w:r>
      <w:r>
        <w:rPr>
          <w:rFonts w:hint="eastAsia" w:ascii="仿宋" w:hAnsi="仿宋" w:eastAsia="仿宋"/>
          <w:color w:val="000000"/>
          <w:sz w:val="32"/>
          <w:szCs w:val="32"/>
          <w:lang w:val="en-US" w:eastAsia="zh-CN"/>
        </w:rPr>
        <w:t>18.14%</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p>
    <w:p>
      <w:pPr>
        <w:spacing w:line="600" w:lineRule="exact"/>
        <w:ind w:firstLine="640" w:firstLineChars="200"/>
        <w:outlineLvl w:val="1"/>
        <w:rPr>
          <w:rFonts w:hint="eastAsia" w:ascii="黑体" w:hAnsi="黑体" w:eastAsia="黑体"/>
          <w:color w:val="000000"/>
          <w:sz w:val="32"/>
          <w:szCs w:val="32"/>
        </w:rPr>
      </w:pPr>
      <w:bookmarkStart w:id="73" w:name="_Toc15377209"/>
      <w:bookmarkStart w:id="74" w:name="_Toc15396607"/>
    </w:p>
    <w:p>
      <w:pPr>
        <w:spacing w:line="600" w:lineRule="exact"/>
        <w:ind w:firstLine="640" w:firstLineChars="200"/>
        <w:outlineLvl w:val="1"/>
        <w:rPr>
          <w:rStyle w:val="26"/>
          <w:rFonts w:ascii="黑体" w:hAnsi="黑体" w:eastAsia="黑体"/>
          <w:b w:val="0"/>
        </w:rPr>
      </w:pPr>
      <w:bookmarkStart w:id="75" w:name="_Toc13687_WPSOffice_Level2"/>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73"/>
      <w:bookmarkEnd w:id="74"/>
      <w:bookmarkEnd w:id="75"/>
    </w:p>
    <w:p>
      <w:pPr>
        <w:spacing w:line="600" w:lineRule="exact"/>
        <w:ind w:firstLine="643" w:firstLineChars="200"/>
        <w:outlineLvl w:val="2"/>
        <w:rPr>
          <w:rFonts w:ascii="仿宋" w:hAnsi="仿宋" w:eastAsia="仿宋"/>
          <w:b/>
          <w:color w:val="000000"/>
          <w:sz w:val="32"/>
          <w:szCs w:val="32"/>
        </w:rPr>
      </w:pPr>
      <w:bookmarkStart w:id="76" w:name="_Toc15377210"/>
      <w:r>
        <w:rPr>
          <w:rFonts w:hint="eastAsia" w:ascii="仿宋" w:hAnsi="仿宋" w:eastAsia="仿宋"/>
          <w:b/>
          <w:color w:val="000000"/>
          <w:sz w:val="32"/>
          <w:szCs w:val="32"/>
        </w:rPr>
        <w:t>（一）一般公共预算财政拨款支出决算总体情况</w:t>
      </w:r>
      <w:bookmarkEnd w:id="76"/>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45.58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10.1万元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18.14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p>
    <w:p>
      <w:pPr>
        <w:spacing w:line="600" w:lineRule="exact"/>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77" w:name="_Toc15377211"/>
      <w:r>
        <w:rPr>
          <w:rFonts w:hint="eastAsia" w:ascii="仿宋" w:hAnsi="仿宋" w:eastAsia="仿宋"/>
          <w:b/>
          <w:color w:val="000000"/>
          <w:sz w:val="32"/>
          <w:szCs w:val="32"/>
        </w:rPr>
        <w:t>（二）一般公共预算财政拨款支出决算结构情况</w:t>
      </w:r>
      <w:bookmarkEnd w:id="77"/>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45.58</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39.89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87.52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2.19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1.34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w:t>
      </w:r>
      <w:r>
        <w:rPr>
          <w:rFonts w:hint="eastAsia" w:ascii="仿宋" w:hAnsi="仿宋" w:eastAsia="仿宋"/>
          <w:color w:val="000000" w:themeColor="text1"/>
          <w:sz w:val="32"/>
          <w:szCs w:val="32"/>
          <w:lang w:val="en-US" w:eastAsia="zh-CN"/>
        </w:rPr>
        <w:t>2.16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4.78</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p>
    <w:p>
      <w:pPr>
        <w:spacing w:line="600" w:lineRule="exact"/>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78" w:name="_Toc15377212"/>
      <w:r>
        <w:rPr>
          <w:rFonts w:hint="eastAsia" w:ascii="仿宋" w:hAnsi="仿宋" w:eastAsia="仿宋"/>
          <w:b/>
          <w:color w:val="000000"/>
          <w:sz w:val="32"/>
          <w:szCs w:val="32"/>
        </w:rPr>
        <w:t>（三）一般公共预算财政拨款支出决算具体情况</w:t>
      </w:r>
      <w:bookmarkEnd w:id="78"/>
    </w:p>
    <w:p>
      <w:pPr>
        <w:spacing w:line="600" w:lineRule="exact"/>
        <w:ind w:firstLine="643" w:firstLineChars="200"/>
        <w:outlineLvl w:val="2"/>
        <w:rPr>
          <w:rFonts w:ascii="仿宋" w:hAnsi="仿宋" w:eastAsia="仿宋"/>
          <w:color w:val="FF0000"/>
          <w:sz w:val="32"/>
          <w:szCs w:val="32"/>
        </w:rPr>
      </w:pPr>
      <w:bookmarkStart w:id="79" w:name="_Toc15377444"/>
      <w:bookmarkStart w:id="80" w:name="_Toc15378460"/>
      <w:bookmarkStart w:id="81" w:name="_Toc15377213"/>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45.58万元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77.85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79"/>
      <w:bookmarkEnd w:id="80"/>
      <w:bookmarkEnd w:id="81"/>
    </w:p>
    <w:p>
      <w:pPr>
        <w:spacing w:line="600" w:lineRule="exact"/>
        <w:ind w:firstLine="643" w:firstLineChars="200"/>
        <w:rPr>
          <w:rFonts w:hint="eastAsia" w:ascii="仿宋" w:hAnsi="仿宋" w:eastAsia="仿宋"/>
          <w:color w:val="000000"/>
          <w:sz w:val="32"/>
          <w:szCs w:val="32"/>
          <w:lang w:val="en-US" w:eastAsia="zh-CN"/>
        </w:rPr>
      </w:pPr>
      <w:r>
        <w:rPr>
          <w:rStyle w:val="15"/>
          <w:rFonts w:hint="eastAsia" w:ascii="仿宋" w:hAnsi="仿宋" w:eastAsia="仿宋"/>
          <w:bCs/>
          <w:color w:val="000000"/>
          <w:sz w:val="32"/>
          <w:szCs w:val="32"/>
          <w:lang w:val="en-US" w:eastAsia="zh-CN"/>
        </w:rPr>
        <w:t>1.</w:t>
      </w:r>
      <w:r>
        <w:rPr>
          <w:rStyle w:val="15"/>
          <w:rFonts w:hint="eastAsia" w:ascii="仿宋" w:hAnsi="仿宋" w:eastAsia="仿宋"/>
          <w:bCs/>
          <w:color w:val="000000"/>
          <w:sz w:val="32"/>
          <w:szCs w:val="32"/>
        </w:rPr>
        <w:t>一般公共服务（类）</w:t>
      </w:r>
      <w:r>
        <w:rPr>
          <w:rStyle w:val="15"/>
          <w:rFonts w:hint="eastAsia" w:ascii="仿宋" w:hAnsi="仿宋" w:eastAsia="仿宋"/>
          <w:bCs/>
          <w:color w:val="000000"/>
          <w:sz w:val="32"/>
          <w:szCs w:val="32"/>
          <w:lang w:eastAsia="zh-CN"/>
        </w:rPr>
        <w:t>党委办公厅（室）及相关机构事务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行政运行</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39.89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75.46</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p>
    <w:p>
      <w:pPr>
        <w:spacing w:line="600" w:lineRule="exact"/>
        <w:ind w:firstLine="643" w:firstLineChars="200"/>
        <w:rPr>
          <w:rStyle w:val="15"/>
          <w:rFonts w:hint="eastAsia" w:ascii="仿宋" w:hAnsi="仿宋" w:eastAsia="仿宋"/>
          <w:b w:val="0"/>
          <w:bCs w:val="0"/>
          <w:color w:val="000000"/>
          <w:sz w:val="32"/>
          <w:szCs w:val="32"/>
          <w:lang w:val="en-US" w:eastAsia="zh-CN"/>
        </w:rPr>
      </w:pPr>
      <w:r>
        <w:rPr>
          <w:rStyle w:val="15"/>
          <w:rFonts w:hint="eastAsia" w:ascii="仿宋" w:hAnsi="仿宋" w:eastAsia="仿宋"/>
          <w:bCs/>
          <w:color w:val="000000"/>
          <w:sz w:val="32"/>
          <w:szCs w:val="32"/>
          <w:lang w:val="en-US" w:eastAsia="zh-CN"/>
        </w:rPr>
        <w:t xml:space="preserve">2.社会保障和就业（类）行政事业单位离退休（款）机关事业单位基本养老保险缴费支出（项）: </w:t>
      </w:r>
      <w:r>
        <w:rPr>
          <w:rStyle w:val="15"/>
          <w:rFonts w:hint="eastAsia" w:ascii="仿宋" w:hAnsi="仿宋" w:eastAsia="仿宋"/>
          <w:b w:val="0"/>
          <w:bCs w:val="0"/>
          <w:color w:val="000000"/>
          <w:sz w:val="32"/>
          <w:szCs w:val="32"/>
          <w:lang w:val="en-US" w:eastAsia="zh-CN"/>
        </w:rPr>
        <w:t>支出决算2.19万元，完成预算100%。</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
          <w:bCs w:val="0"/>
          <w:color w:val="000000"/>
          <w:sz w:val="32"/>
          <w:szCs w:val="32"/>
          <w:lang w:val="en-US" w:eastAsia="zh-CN"/>
        </w:rPr>
        <w:t>3.</w:t>
      </w:r>
      <w:r>
        <w:rPr>
          <w:rStyle w:val="15"/>
          <w:rFonts w:hint="eastAsia" w:ascii="仿宋" w:hAnsi="仿宋" w:eastAsia="仿宋"/>
          <w:b/>
          <w:bCs w:val="0"/>
          <w:color w:val="000000"/>
          <w:sz w:val="32"/>
          <w:szCs w:val="32"/>
        </w:rPr>
        <w:t>卫生健康（类）行政事业单位医疗（款）行政单位医疗（项）:</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1.34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bCs w:val="0"/>
          <w:color w:val="000000"/>
          <w:sz w:val="32"/>
          <w:szCs w:val="32"/>
          <w:lang w:val="en-US" w:eastAsia="zh-CN"/>
        </w:rPr>
        <w:t>4.住房保障支出（类）住房改革支出（款）住房公积金（项）:</w:t>
      </w:r>
      <w:r>
        <w:rPr>
          <w:rStyle w:val="15"/>
          <w:rFonts w:hint="eastAsia" w:ascii="仿宋" w:hAnsi="仿宋" w:eastAsia="仿宋"/>
          <w:b w:val="0"/>
          <w:bCs/>
          <w:color w:val="000000"/>
          <w:sz w:val="32"/>
          <w:szCs w:val="32"/>
          <w:lang w:val="en-US" w:eastAsia="zh-CN"/>
        </w:rPr>
        <w:t>支出决算为2.16万元，完成预算100%。</w:t>
      </w:r>
    </w:p>
    <w:p>
      <w:pPr>
        <w:pStyle w:val="6"/>
        <w:rPr>
          <w:rFonts w:ascii="仿宋" w:hAnsi="仿宋" w:eastAsia="仿宋"/>
          <w:b/>
          <w:color w:val="000000"/>
          <w:sz w:val="32"/>
          <w:szCs w:val="32"/>
        </w:rPr>
      </w:pPr>
    </w:p>
    <w:p>
      <w:pPr>
        <w:tabs>
          <w:tab w:val="right" w:pos="8306"/>
        </w:tabs>
        <w:spacing w:line="600" w:lineRule="exact"/>
        <w:ind w:firstLine="640"/>
        <w:outlineLvl w:val="1"/>
        <w:rPr>
          <w:rStyle w:val="26"/>
        </w:rPr>
      </w:pPr>
      <w:bookmarkStart w:id="82" w:name="_Toc15396608"/>
      <w:bookmarkStart w:id="83" w:name="_Toc15377214"/>
      <w:bookmarkStart w:id="84" w:name="_Toc2334_WPSOffice_Level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82"/>
      <w:bookmarkEnd w:id="83"/>
      <w:bookmarkEnd w:id="84"/>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45.58</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35.69</w:t>
      </w:r>
      <w:r>
        <w:rPr>
          <w:rFonts w:hint="eastAsia" w:ascii="仿宋" w:hAnsi="仿宋" w:eastAsia="仿宋"/>
          <w:color w:val="000000"/>
          <w:sz w:val="32"/>
          <w:szCs w:val="32"/>
        </w:rPr>
        <w:t>万元，主要包括：基本工资、津贴补贴、奖金、机关事业单位基本养老保险缴费、</w:t>
      </w:r>
      <w:r>
        <w:rPr>
          <w:rFonts w:hint="eastAsia" w:ascii="仿宋" w:hAnsi="仿宋" w:eastAsia="仿宋"/>
          <w:color w:val="000000"/>
          <w:sz w:val="32"/>
          <w:szCs w:val="32"/>
          <w:lang w:eastAsia="zh-CN"/>
        </w:rPr>
        <w:t>职工基本医疗保险</w:t>
      </w:r>
      <w:r>
        <w:rPr>
          <w:rFonts w:hint="eastAsia" w:ascii="仿宋" w:hAnsi="仿宋" w:eastAsia="仿宋"/>
          <w:color w:val="000000"/>
          <w:sz w:val="32"/>
          <w:szCs w:val="32"/>
        </w:rPr>
        <w:t>缴费、其他工资福利支出、生活补助、住房公积金等。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9.89</w:t>
      </w:r>
      <w:r>
        <w:rPr>
          <w:rFonts w:hint="eastAsia" w:ascii="仿宋" w:hAnsi="仿宋" w:eastAsia="仿宋"/>
          <w:color w:val="000000"/>
          <w:sz w:val="32"/>
          <w:szCs w:val="32"/>
        </w:rPr>
        <w:t>万元，主要包括：办公费、印刷费</w:t>
      </w:r>
      <w:r>
        <w:rPr>
          <w:rFonts w:hint="eastAsia" w:ascii="仿宋" w:hAnsi="仿宋" w:eastAsia="仿宋"/>
          <w:color w:val="000000"/>
          <w:sz w:val="32"/>
          <w:szCs w:val="32"/>
          <w:lang w:eastAsia="zh-CN"/>
        </w:rPr>
        <w:t>、</w:t>
      </w:r>
      <w:r>
        <w:rPr>
          <w:rFonts w:hint="eastAsia" w:ascii="仿宋" w:hAnsi="仿宋" w:eastAsia="仿宋"/>
          <w:color w:val="000000"/>
          <w:sz w:val="32"/>
          <w:szCs w:val="32"/>
        </w:rPr>
        <w:t>维修（护）费、培训费、公务接待费、其他交通费、税金及附加费用、其他商品和服务支出</w:t>
      </w:r>
      <w:r>
        <w:rPr>
          <w:rFonts w:hint="eastAsia" w:ascii="仿宋" w:hAnsi="仿宋" w:eastAsia="仿宋"/>
          <w:color w:val="000000"/>
          <w:sz w:val="32"/>
          <w:szCs w:val="32"/>
          <w:lang w:eastAsia="zh-CN"/>
        </w:rPr>
        <w:t>。</w:t>
      </w:r>
    </w:p>
    <w:p>
      <w:pPr>
        <w:spacing w:line="600" w:lineRule="exact"/>
        <w:ind w:firstLine="640"/>
        <w:outlineLvl w:val="1"/>
        <w:rPr>
          <w:rFonts w:hint="eastAsia" w:ascii="黑体" w:eastAsia="黑体"/>
          <w:color w:val="000000"/>
          <w:sz w:val="32"/>
          <w:szCs w:val="32"/>
        </w:rPr>
      </w:pPr>
      <w:bookmarkStart w:id="85" w:name="_Toc15377215"/>
      <w:bookmarkStart w:id="86" w:name="_Toc15396609"/>
    </w:p>
    <w:p>
      <w:pPr>
        <w:spacing w:line="600" w:lineRule="exact"/>
        <w:ind w:firstLine="640"/>
        <w:outlineLvl w:val="1"/>
        <w:rPr>
          <w:rStyle w:val="26"/>
          <w:rFonts w:ascii="黑体" w:hAnsi="黑体" w:eastAsia="黑体"/>
          <w:b w:val="0"/>
        </w:rPr>
      </w:pPr>
      <w:bookmarkStart w:id="87" w:name="_Toc24518_WPSOffice_Level2"/>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85"/>
      <w:bookmarkEnd w:id="86"/>
      <w:bookmarkEnd w:id="87"/>
    </w:p>
    <w:p>
      <w:pPr>
        <w:spacing w:line="600" w:lineRule="exact"/>
        <w:ind w:firstLine="640"/>
        <w:outlineLvl w:val="2"/>
        <w:rPr>
          <w:rFonts w:ascii="仿宋" w:hAnsi="仿宋" w:eastAsia="仿宋"/>
          <w:b/>
          <w:color w:val="000000"/>
          <w:sz w:val="32"/>
          <w:szCs w:val="32"/>
        </w:rPr>
      </w:pPr>
      <w:bookmarkStart w:id="88" w:name="_Toc15377216"/>
      <w:r>
        <w:rPr>
          <w:rFonts w:hint="eastAsia" w:ascii="仿宋" w:hAnsi="仿宋" w:eastAsia="仿宋"/>
          <w:b/>
          <w:color w:val="000000"/>
          <w:sz w:val="32"/>
          <w:szCs w:val="32"/>
        </w:rPr>
        <w:t>（一）“三公”经费财政拨款支出决算总体情况说明</w:t>
      </w:r>
      <w:bookmarkEnd w:id="88"/>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p>
    <w:p>
      <w:pPr>
        <w:spacing w:line="600" w:lineRule="exact"/>
        <w:ind w:firstLine="640"/>
        <w:rPr>
          <w:rFonts w:ascii="仿宋" w:hAnsi="仿宋" w:eastAsia="仿宋"/>
          <w:color w:val="000000"/>
          <w:sz w:val="32"/>
          <w:szCs w:val="32"/>
        </w:rPr>
      </w:pPr>
    </w:p>
    <w:p>
      <w:pPr>
        <w:spacing w:line="600" w:lineRule="exact"/>
        <w:ind w:firstLine="640"/>
        <w:outlineLvl w:val="2"/>
        <w:rPr>
          <w:rFonts w:ascii="仿宋" w:hAnsi="仿宋" w:eastAsia="仿宋"/>
          <w:b/>
          <w:color w:val="000000"/>
          <w:sz w:val="32"/>
          <w:szCs w:val="32"/>
        </w:rPr>
      </w:pPr>
      <w:bookmarkStart w:id="89" w:name="_Toc15377217"/>
      <w:r>
        <w:rPr>
          <w:rFonts w:hint="eastAsia" w:ascii="仿宋" w:hAnsi="仿宋" w:eastAsia="仿宋"/>
          <w:b/>
          <w:color w:val="000000"/>
          <w:sz w:val="32"/>
          <w:szCs w:val="32"/>
        </w:rPr>
        <w:t>（二）“三公”经费财政拨款支出决算具体情况说明</w:t>
      </w:r>
      <w:bookmarkEnd w:id="8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万元。具体情况如下：</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r>
        <w:rPr>
          <w:rFonts w:hint="eastAsia" w:ascii="仿宋_GB2312" w:eastAsia="仿宋_GB2312"/>
          <w:color w:val="000000"/>
          <w:sz w:val="32"/>
          <w:szCs w:val="32"/>
          <w:lang w:eastAsia="zh-CN"/>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0.7</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r>
        <w:rPr>
          <w:rStyle w:val="15"/>
          <w:rFonts w:hint="eastAsia" w:ascii="仿宋" w:hAnsi="仿宋" w:eastAsia="仿宋"/>
          <w:b w:val="0"/>
          <w:bCs/>
          <w:color w:val="000000"/>
          <w:sz w:val="32"/>
          <w:szCs w:val="32"/>
        </w:rPr>
        <w:t>主要原因是</w:t>
      </w:r>
      <w:r>
        <w:rPr>
          <w:rStyle w:val="15"/>
          <w:rFonts w:hint="eastAsia" w:ascii="仿宋" w:hAnsi="仿宋" w:eastAsia="仿宋"/>
          <w:b w:val="0"/>
          <w:bCs/>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p>
    <w:p>
      <w:pPr>
        <w:spacing w:line="600" w:lineRule="exact"/>
        <w:ind w:firstLine="640"/>
        <w:outlineLvl w:val="1"/>
        <w:rPr>
          <w:rFonts w:ascii="黑体" w:eastAsia="黑体"/>
          <w:color w:val="000000"/>
          <w:sz w:val="32"/>
          <w:szCs w:val="32"/>
        </w:rPr>
      </w:pPr>
      <w:bookmarkStart w:id="90" w:name="_Toc15377218"/>
      <w:bookmarkStart w:id="91" w:name="_Toc15396610"/>
    </w:p>
    <w:p>
      <w:pPr>
        <w:spacing w:line="600" w:lineRule="exact"/>
        <w:ind w:firstLine="640"/>
        <w:outlineLvl w:val="1"/>
        <w:rPr>
          <w:rStyle w:val="26"/>
          <w:rFonts w:ascii="黑体" w:hAnsi="黑体" w:eastAsia="黑体"/>
        </w:rPr>
      </w:pPr>
      <w:bookmarkStart w:id="92" w:name="_Toc28325_WPSOffice_Level2"/>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90"/>
      <w:bookmarkEnd w:id="91"/>
      <w:bookmarkEnd w:id="9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93" w:name="_Toc15396611"/>
      <w:bookmarkStart w:id="94" w:name="_Toc15377219"/>
      <w:bookmarkStart w:id="95" w:name="_Toc12918_WPSOffice_Level2"/>
      <w:r>
        <w:rPr>
          <w:rStyle w:val="26"/>
          <w:rFonts w:hint="eastAsia" w:ascii="黑体" w:hAnsi="黑体" w:eastAsia="黑体"/>
          <w:b w:val="0"/>
        </w:rPr>
        <w:t>国有资本经营预算支出决算情况说明</w:t>
      </w:r>
      <w:bookmarkEnd w:id="93"/>
      <w:bookmarkEnd w:id="94"/>
      <w:bookmarkEnd w:id="9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96" w:name="_Toc15396612"/>
      <w:bookmarkStart w:id="97" w:name="_Toc23267_WPSOffice_Level2"/>
      <w:bookmarkStart w:id="98"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96"/>
      <w:bookmarkEnd w:id="97"/>
      <w:bookmarkEnd w:id="98"/>
    </w:p>
    <w:p>
      <w:pPr>
        <w:spacing w:line="600" w:lineRule="exact"/>
        <w:ind w:firstLine="643" w:firstLineChars="200"/>
        <w:outlineLvl w:val="2"/>
        <w:rPr>
          <w:rFonts w:ascii="仿宋" w:hAnsi="仿宋" w:eastAsia="仿宋"/>
          <w:color w:val="000000"/>
          <w:sz w:val="32"/>
          <w:szCs w:val="32"/>
        </w:rPr>
      </w:pPr>
      <w:bookmarkStart w:id="99" w:name="_Toc15377222"/>
      <w:r>
        <w:rPr>
          <w:rFonts w:hint="eastAsia" w:ascii="仿宋" w:hAnsi="仿宋" w:eastAsia="仿宋"/>
          <w:b/>
          <w:color w:val="000000"/>
          <w:sz w:val="32"/>
          <w:szCs w:val="32"/>
        </w:rPr>
        <w:t>（一）机关运行经费支出情况</w:t>
      </w:r>
      <w:bookmarkEnd w:id="99"/>
    </w:p>
    <w:p>
      <w:pPr>
        <w:spacing w:line="600" w:lineRule="exact"/>
        <w:ind w:firstLine="640" w:firstLineChars="200"/>
        <w:rPr>
          <w:rFonts w:hint="eastAsia" w:ascii="仿宋" w:hAnsi="仿宋" w:eastAsia="仿宋"/>
          <w:color w:val="000000"/>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区委组织部</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9.89</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9.08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47.86</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主要</w:t>
      </w:r>
      <w:r>
        <w:rPr>
          <w:rFonts w:hint="eastAsia" w:ascii="仿宋_GB2312" w:eastAsia="仿宋_GB2312"/>
          <w:color w:val="000000" w:themeColor="text1"/>
          <w:sz w:val="32"/>
          <w:szCs w:val="32"/>
          <w:lang w:eastAsia="zh-CN"/>
        </w:rPr>
        <w:t>变动</w:t>
      </w:r>
      <w:r>
        <w:rPr>
          <w:rFonts w:hint="eastAsia" w:ascii="仿宋_GB2312" w:eastAsia="仿宋_GB2312"/>
          <w:color w:val="000000" w:themeColor="text1"/>
          <w:sz w:val="32"/>
          <w:szCs w:val="32"/>
        </w:rPr>
        <w:t>原因是</w:t>
      </w:r>
      <w:r>
        <w:rPr>
          <w:rStyle w:val="15"/>
          <w:rFonts w:hint="eastAsia" w:ascii="仿宋" w:hAnsi="仿宋" w:eastAsia="仿宋"/>
          <w:b w:val="0"/>
          <w:bCs/>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p>
    <w:p>
      <w:pPr>
        <w:spacing w:line="600" w:lineRule="exact"/>
        <w:ind w:firstLine="640" w:firstLineChars="200"/>
        <w:rPr>
          <w:rFonts w:hint="default" w:ascii="仿宋_GB2312" w:eastAsia="仿宋_GB2312"/>
          <w:color w:val="000000" w:themeColor="text1"/>
          <w:sz w:val="32"/>
          <w:szCs w:val="32"/>
          <w:lang w:val="en-US" w:eastAsia="zh-CN"/>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15377223"/>
      <w:r>
        <w:rPr>
          <w:rFonts w:hint="eastAsia" w:ascii="仿宋" w:hAnsi="仿宋" w:eastAsia="仿宋"/>
          <w:b/>
          <w:color w:val="000000"/>
          <w:sz w:val="32"/>
          <w:szCs w:val="32"/>
        </w:rPr>
        <w:t>（二）政府采购支出情况</w:t>
      </w:r>
      <w:bookmarkEnd w:id="10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区委组织部</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101" w:name="_Toc15377224"/>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101"/>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区委组织部</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Style w:val="2"/>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本部门按要求对2018年部门整体支出开展绩效自评，从评价情况来看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整体绩效</w:t>
      </w:r>
      <w:r>
        <w:rPr>
          <w:rFonts w:hint="eastAsia" w:ascii="仿宋_GB2312" w:hAnsi="仿宋_GB2312" w:eastAsia="仿宋_GB2312" w:cs="仿宋_GB2312"/>
          <w:sz w:val="32"/>
          <w:szCs w:val="32"/>
          <w:lang w:eastAsia="zh-CN"/>
        </w:rPr>
        <w:t>完成较好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lang w:val="en-US" w:eastAsia="zh-CN"/>
        </w:rPr>
        <w:t>2019年度无项目支出，未开展</w:t>
      </w:r>
      <w:r>
        <w:rPr>
          <w:rFonts w:hint="eastAsia" w:ascii="仿宋_GB2312" w:hAnsi="仿宋_GB2312" w:eastAsia="仿宋_GB2312" w:cs="仿宋_GB2312"/>
          <w:sz w:val="32"/>
          <w:szCs w:val="32"/>
        </w:rPr>
        <w:t>项目绩效评价。</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中共广元市昭化区直属机关工作委员会</w:t>
      </w:r>
      <w:r>
        <w:rPr>
          <w:rFonts w:hint="eastAsia" w:ascii="仿宋_GB2312" w:hAnsi="仿宋_GB2312" w:eastAsia="仿宋_GB2312" w:cs="仿宋_GB2312"/>
          <w:sz w:val="32"/>
          <w:szCs w:val="32"/>
        </w:rPr>
        <w:t>2019年部门整体支出绩效评价报告》见附件（附件1）。</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pPr>
    </w:p>
    <w:p>
      <w:pPr>
        <w:numPr>
          <w:ilvl w:val="0"/>
          <w:numId w:val="3"/>
        </w:numPr>
        <w:spacing w:line="600" w:lineRule="exact"/>
        <w:ind w:firstLine="660" w:firstLineChars="150"/>
        <w:jc w:val="center"/>
        <w:outlineLvl w:val="0"/>
        <w:rPr>
          <w:rStyle w:val="25"/>
          <w:rFonts w:ascii="黑体" w:hAnsi="黑体" w:eastAsia="黑体"/>
          <w:b w:val="0"/>
        </w:rPr>
      </w:pPr>
      <w:bookmarkStart w:id="102" w:name="_Toc7185_WPSOffice_Level1"/>
      <w:bookmarkStart w:id="103" w:name="_Toc15396613"/>
      <w:bookmarkStart w:id="104"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102"/>
      <w:bookmarkEnd w:id="103"/>
      <w:bookmarkEnd w:id="104"/>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hAnsi="Calibri" w:eastAsia="仿宋_GB2312" w:cs="仿宋"/>
          <w:color w:val="000000"/>
          <w:kern w:val="0"/>
          <w:sz w:val="32"/>
          <w:szCs w:val="32"/>
          <w:lang w:val="en-US" w:eastAsia="zh-CN" w:bidi="ar-SA"/>
        </w:rPr>
        <w:t>4.一般公共服务（类）党委办公厅（室）及相关机构事务（款）行政运行（项）：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行政单位（包括实行公务员管理的事业单位）的基本支出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行政事业单位基本养老保险缴费</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机关事业单位实施养老保险制度由单位缴纳的基本养老保险费支出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财政部门安排的行政单位基本医疗保险缴费经费，未参加医疗保险的行政单位的公费医疗经费，按国家规定享受离休人员、红军老战士待遇人员的医疗经费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住房保障（类）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143" w:name="_GoBack"/>
      <w:bookmarkEnd w:id="143"/>
      <w:bookmarkStart w:id="105" w:name="_Toc15377226"/>
      <w:r>
        <w:rPr>
          <w:rFonts w:ascii="宋体"/>
          <w:b/>
          <w:color w:val="000000"/>
          <w:sz w:val="44"/>
          <w:szCs w:val="44"/>
        </w:rPr>
        <w:br w:type="page"/>
      </w:r>
      <w:bookmarkStart w:id="106" w:name="_Toc15396614"/>
      <w:bookmarkStart w:id="107" w:name="_Toc1389_WPSOffice_Level1"/>
      <w:r>
        <w:rPr>
          <w:rFonts w:hint="eastAsia" w:ascii="黑体" w:hAnsi="黑体" w:eastAsia="黑体"/>
          <w:color w:val="000000"/>
          <w:sz w:val="44"/>
          <w:szCs w:val="44"/>
        </w:rPr>
        <w:t>第</w:t>
      </w:r>
      <w:r>
        <w:rPr>
          <w:rStyle w:val="25"/>
          <w:rFonts w:hint="eastAsia" w:ascii="黑体" w:hAnsi="黑体" w:eastAsia="黑体"/>
          <w:b w:val="0"/>
        </w:rPr>
        <w:t>四部分 附件</w:t>
      </w:r>
      <w:bookmarkEnd w:id="106"/>
      <w:bookmarkEnd w:id="10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hint="eastAsia" w:ascii="黑体" w:hAnsi="黑体" w:eastAsia="黑体" w:cs="方正小标宋简体"/>
          <w:sz w:val="36"/>
          <w:szCs w:val="36"/>
          <w:lang w:eastAsia="zh-CN"/>
        </w:rPr>
      </w:pPr>
      <w:bookmarkStart w:id="108" w:name="_Toc30312_WPSOffice_Level2"/>
      <w:bookmarkStart w:id="109" w:name="_Toc15396616"/>
      <w:r>
        <w:rPr>
          <w:rFonts w:hint="eastAsia" w:ascii="黑体" w:hAnsi="黑体" w:eastAsia="黑体" w:cs="方正小标宋简体"/>
          <w:sz w:val="36"/>
          <w:szCs w:val="36"/>
          <w:lang w:eastAsia="zh-CN"/>
        </w:rPr>
        <w:t>中共广元市昭化区直属机关工作委员会</w:t>
      </w:r>
      <w:bookmarkEnd w:id="108"/>
    </w:p>
    <w:p>
      <w:pPr>
        <w:spacing w:line="600" w:lineRule="exact"/>
        <w:jc w:val="center"/>
        <w:outlineLvl w:val="0"/>
        <w:rPr>
          <w:rFonts w:ascii="黑体" w:hAnsi="黑体" w:eastAsia="黑体" w:cs="方正小标宋简体"/>
          <w:sz w:val="36"/>
          <w:szCs w:val="36"/>
        </w:rPr>
      </w:pPr>
      <w:bookmarkStart w:id="110" w:name="_Toc21542_WPSOffice_Level2"/>
      <w:r>
        <w:rPr>
          <w:rFonts w:hint="eastAsia" w:ascii="黑体" w:hAnsi="黑体" w:eastAsia="黑体" w:cs="方正小标宋简体"/>
          <w:sz w:val="36"/>
          <w:szCs w:val="36"/>
        </w:rPr>
        <w:t>部门201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109"/>
      <w:bookmarkEnd w:id="110"/>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bookmarkStart w:id="111" w:name="_Toc7672_WPSOffice_Level2"/>
      <w:r>
        <w:rPr>
          <w:rFonts w:hint="eastAsia" w:ascii="黑体" w:hAnsi="黑体" w:eastAsia="黑体" w:cs="黑体"/>
          <w:sz w:val="32"/>
          <w:szCs w:val="32"/>
        </w:rPr>
        <w:t>一、部门（单位）概况</w:t>
      </w:r>
      <w:bookmarkEnd w:id="111"/>
    </w:p>
    <w:p>
      <w:pPr>
        <w:spacing w:line="580" w:lineRule="exact"/>
        <w:ind w:firstLine="640" w:firstLineChars="200"/>
        <w:rPr>
          <w:rFonts w:hint="eastAsia" w:ascii="仿宋" w:hAnsi="仿宋" w:eastAsia="仿宋" w:cs="仿宋_GB2312"/>
          <w:sz w:val="32"/>
          <w:szCs w:val="32"/>
          <w:lang w:eastAsia="zh-CN"/>
        </w:rPr>
      </w:pPr>
      <w:r>
        <w:rPr>
          <w:rFonts w:ascii="仿宋" w:hAnsi="仿宋" w:eastAsia="仿宋" w:cs="仿宋_GB2312"/>
          <w:sz w:val="32"/>
          <w:szCs w:val="32"/>
        </w:rPr>
        <w:t>（一）机构组成。</w:t>
      </w:r>
      <w:r>
        <w:rPr>
          <w:rFonts w:hint="eastAsia" w:ascii="仿宋" w:hAnsi="仿宋" w:eastAsia="仿宋" w:cs="仿宋_GB2312"/>
          <w:sz w:val="32"/>
          <w:szCs w:val="32"/>
          <w:lang w:eastAsia="zh-CN"/>
        </w:rPr>
        <w:t>区直机关工委无下属二级单位</w:t>
      </w:r>
    </w:p>
    <w:p>
      <w:pPr>
        <w:ind w:firstLine="800" w:firstLineChars="250"/>
        <w:rPr>
          <w:rFonts w:hint="default" w:ascii="仿宋" w:hAnsi="仿宋" w:eastAsia="仿宋" w:cs="仿宋_GB2312"/>
          <w:sz w:val="32"/>
          <w:szCs w:val="32"/>
          <w:lang w:val="en-US"/>
        </w:rPr>
      </w:pP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ascii="仿宋" w:hAnsi="仿宋" w:eastAsia="仿宋" w:cs="仿宋_GB2312"/>
          <w:sz w:val="32"/>
          <w:szCs w:val="32"/>
        </w:rPr>
        <w:t>（二）机构职能。</w:t>
      </w:r>
      <w:r>
        <w:rPr>
          <w:rFonts w:hint="eastAsia" w:ascii="仿宋" w:hAnsi="仿宋" w:eastAsia="仿宋"/>
          <w:bCs/>
          <w:color w:val="000000"/>
          <w:sz w:val="32"/>
          <w:szCs w:val="32"/>
          <w:lang w:eastAsia="zh-CN"/>
        </w:rPr>
        <w:t>区直机关工委是区委派出机构，主要负责区直机关党建工作，统筹协调全区干部驻村帮扶工作。</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hint="default" w:ascii="仿宋" w:hAnsi="仿宋" w:eastAsia="仿宋" w:cs="仿宋_GB2312"/>
          <w:sz w:val="32"/>
          <w:szCs w:val="32"/>
          <w:lang w:val="en-US" w:eastAsia="zh-CN"/>
        </w:rPr>
      </w:pPr>
      <w:r>
        <w:rPr>
          <w:rFonts w:ascii="仿宋" w:hAnsi="仿宋" w:eastAsia="仿宋" w:cs="仿宋_GB2312"/>
          <w:sz w:val="32"/>
          <w:szCs w:val="32"/>
        </w:rPr>
        <w:t>（三）人员概况。</w:t>
      </w:r>
      <w:r>
        <w:rPr>
          <w:rFonts w:hint="eastAsia" w:ascii="仿宋" w:hAnsi="仿宋" w:eastAsia="仿宋" w:cs="仿宋_GB2312"/>
          <w:sz w:val="32"/>
          <w:szCs w:val="32"/>
          <w:lang w:eastAsia="zh-CN"/>
        </w:rPr>
        <w:t>行政人员</w:t>
      </w:r>
      <w:r>
        <w:rPr>
          <w:rFonts w:hint="eastAsia" w:ascii="仿宋" w:hAnsi="仿宋" w:eastAsia="仿宋" w:cs="仿宋_GB2312"/>
          <w:sz w:val="32"/>
          <w:szCs w:val="32"/>
          <w:lang w:val="en-US" w:eastAsia="zh-CN"/>
        </w:rPr>
        <w:t>2人，财政补助人员1人。</w:t>
      </w:r>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bookmarkStart w:id="112" w:name="_Toc31633_WPSOffice_Level2"/>
      <w:r>
        <w:rPr>
          <w:rFonts w:ascii="黑体" w:hAnsi="黑体" w:eastAsia="黑体" w:cs="黑体"/>
          <w:sz w:val="32"/>
          <w:szCs w:val="32"/>
        </w:rPr>
        <w:t>二、部门财政资金收支情况</w:t>
      </w:r>
      <w:bookmarkEnd w:id="112"/>
    </w:p>
    <w:p>
      <w:pPr>
        <w:spacing w:line="580" w:lineRule="exact"/>
        <w:ind w:firstLine="640" w:firstLineChars="200"/>
        <w:rPr>
          <w:rFonts w:hint="default" w:ascii="仿宋" w:hAnsi="仿宋" w:eastAsia="仿宋" w:cs="仿宋_GB2312"/>
          <w:sz w:val="32"/>
          <w:szCs w:val="32"/>
          <w:lang w:val="en-US" w:eastAsia="zh-CN"/>
        </w:rPr>
      </w:pPr>
      <w:r>
        <w:rPr>
          <w:rFonts w:ascii="仿宋" w:hAnsi="仿宋" w:eastAsia="仿宋" w:cs="仿宋_GB2312"/>
          <w:sz w:val="32"/>
          <w:szCs w:val="32"/>
        </w:rPr>
        <w:t>（一）部门财政资金收入情况。</w:t>
      </w:r>
      <w:r>
        <w:rPr>
          <w:rFonts w:hint="eastAsia" w:ascii="仿宋" w:hAnsi="仿宋" w:eastAsia="仿宋"/>
          <w:bCs/>
          <w:color w:val="000000"/>
          <w:sz w:val="32"/>
          <w:szCs w:val="32"/>
          <w:lang w:eastAsia="zh-CN"/>
        </w:rPr>
        <w:t>区直机关工委</w:t>
      </w:r>
      <w:r>
        <w:rPr>
          <w:rFonts w:hint="eastAsia" w:ascii="仿宋" w:hAnsi="仿宋" w:eastAsia="仿宋" w:cs="仿宋_GB2312"/>
          <w:sz w:val="32"/>
          <w:szCs w:val="32"/>
          <w:lang w:val="en-US" w:eastAsia="zh-CN"/>
        </w:rPr>
        <w:t>2019年财政资金收入58.55万元。</w:t>
      </w:r>
    </w:p>
    <w:p>
      <w:pPr>
        <w:spacing w:line="580" w:lineRule="exact"/>
        <w:ind w:firstLine="640" w:firstLineChars="200"/>
        <w:rPr>
          <w:rFonts w:hint="default" w:ascii="仿宋" w:hAnsi="仿宋" w:eastAsia="仿宋" w:cs="仿宋_GB2312"/>
          <w:sz w:val="32"/>
          <w:szCs w:val="32"/>
          <w:lang w:val="en-US" w:eastAsia="zh-CN"/>
        </w:rPr>
      </w:pPr>
      <w:r>
        <w:rPr>
          <w:rFonts w:ascii="仿宋" w:hAnsi="仿宋" w:eastAsia="仿宋" w:cs="仿宋_GB2312"/>
          <w:sz w:val="32"/>
          <w:szCs w:val="32"/>
        </w:rPr>
        <w:t>（二）部门财政资金支出情况。</w:t>
      </w:r>
      <w:r>
        <w:rPr>
          <w:rFonts w:hint="eastAsia" w:ascii="仿宋" w:hAnsi="仿宋" w:eastAsia="仿宋" w:cs="仿宋_GB2312"/>
          <w:sz w:val="32"/>
          <w:szCs w:val="32"/>
          <w:lang w:eastAsia="zh-CN"/>
        </w:rPr>
        <w:t>区委组织部</w:t>
      </w:r>
      <w:r>
        <w:rPr>
          <w:rFonts w:hint="eastAsia" w:ascii="仿宋" w:hAnsi="仿宋" w:eastAsia="仿宋" w:cs="仿宋_GB2312"/>
          <w:sz w:val="32"/>
          <w:szCs w:val="32"/>
          <w:lang w:val="en-US" w:eastAsia="zh-CN"/>
        </w:rPr>
        <w:t>2019年财政资金支出45.58万元。</w:t>
      </w:r>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bookmarkStart w:id="113" w:name="_Toc17676_WPSOffice_Level2"/>
      <w:r>
        <w:rPr>
          <w:rFonts w:ascii="黑体" w:hAnsi="黑体" w:eastAsia="黑体" w:cs="黑体"/>
          <w:sz w:val="32"/>
          <w:szCs w:val="32"/>
        </w:rPr>
        <w:t>三、部门整体预算绩效管理情况（根据适用指标体系进行调整）</w:t>
      </w:r>
      <w:bookmarkEnd w:id="113"/>
    </w:p>
    <w:p>
      <w:pPr>
        <w:ind w:firstLine="800" w:firstLineChars="250"/>
        <w:rPr>
          <w:rFonts w:hint="eastAsia" w:ascii="仿宋" w:hAnsi="仿宋" w:eastAsia="仿宋"/>
          <w:sz w:val="32"/>
          <w:szCs w:val="32"/>
        </w:rPr>
      </w:pPr>
      <w:r>
        <w:rPr>
          <w:rFonts w:hint="eastAsia" w:ascii="仿宋" w:hAnsi="仿宋" w:eastAsia="仿宋"/>
          <w:sz w:val="32"/>
          <w:szCs w:val="32"/>
        </w:rPr>
        <w:t>（一）部门预算管理。</w:t>
      </w:r>
    </w:p>
    <w:p>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1、预算管理</w:t>
      </w:r>
    </w:p>
    <w:p>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（1）目标制定。区直机关工委2019年部门预算项目绩效目标主要围绕当年工作要点制定，包括完成指标、效益指标和满意度指标。</w:t>
      </w:r>
    </w:p>
    <w:p>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（2）目标完成情况。根据工作完成情况来看，部门预决算编制、预算执行和综合管理完成较好。</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eastAsia="zh-CN"/>
        </w:rPr>
        <w:t>）</w:t>
      </w:r>
      <w:r>
        <w:rPr>
          <w:rFonts w:hint="eastAsia" w:ascii="仿宋" w:hAnsi="仿宋" w:eastAsia="仿宋" w:cs="仿宋_GB2312"/>
          <w:sz w:val="32"/>
          <w:szCs w:val="32"/>
        </w:rPr>
        <w:t>部门预算编制情况。</w:t>
      </w:r>
      <w:r>
        <w:rPr>
          <w:rFonts w:hint="eastAsia" w:ascii="仿宋" w:hAnsi="仿宋" w:eastAsia="仿宋" w:cs="仿宋_GB2312"/>
          <w:sz w:val="32"/>
          <w:szCs w:val="32"/>
          <w:lang w:eastAsia="zh-CN"/>
        </w:rPr>
        <w:t>区直机关工委</w:t>
      </w:r>
      <w:r>
        <w:rPr>
          <w:rFonts w:hint="eastAsia" w:ascii="仿宋" w:hAnsi="仿宋" w:eastAsia="仿宋" w:cs="仿宋_GB2312"/>
          <w:sz w:val="32"/>
          <w:szCs w:val="32"/>
        </w:rPr>
        <w:t>严格按照规定编制收入预算、支出预算、三公经费预算等。正确使用功能科目和经济科目、准确编列资金性质和资金级次</w:t>
      </w:r>
      <w:r>
        <w:rPr>
          <w:rFonts w:hint="eastAsia" w:ascii="仿宋" w:hAnsi="仿宋" w:eastAsia="仿宋" w:cs="仿宋_GB2312"/>
          <w:sz w:val="32"/>
          <w:szCs w:val="32"/>
          <w:lang w:eastAsia="zh-CN"/>
        </w:rPr>
        <w:t>，综合绩效目标编制完整、合理，按要求的时间报送部门预算及编制说明。</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4</w:t>
      </w:r>
      <w:r>
        <w:rPr>
          <w:rFonts w:hint="eastAsia" w:ascii="仿宋" w:hAnsi="仿宋" w:eastAsia="仿宋" w:cs="仿宋_GB2312"/>
          <w:sz w:val="32"/>
          <w:szCs w:val="32"/>
          <w:lang w:eastAsia="zh-CN"/>
        </w:rPr>
        <w:t>）支出控制。单位收支执行进度与时间进度同步，严控现金支付，支付范围比例逐年下降，提高公务卡结算比例。</w:t>
      </w:r>
      <w:r>
        <w:rPr>
          <w:rFonts w:hint="eastAsia" w:ascii="仿宋" w:hAnsi="仿宋" w:eastAsia="仿宋" w:cs="仿宋_GB2312"/>
          <w:sz w:val="32"/>
          <w:szCs w:val="32"/>
        </w:rPr>
        <w:t>按规定对财政拨付的专项资金进行自检自查，做好资金的项目和资金使用效益工作，充分发挥各项资金的使用效益，财政各项专项工作按时高质量的完成。</w:t>
      </w:r>
    </w:p>
    <w:p>
      <w:pPr>
        <w:spacing w:line="58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5</w:t>
      </w:r>
      <w:r>
        <w:rPr>
          <w:rFonts w:hint="eastAsia" w:ascii="仿宋" w:hAnsi="仿宋" w:eastAsia="仿宋" w:cs="仿宋_GB2312"/>
          <w:sz w:val="32"/>
          <w:szCs w:val="32"/>
          <w:lang w:eastAsia="zh-CN"/>
        </w:rPr>
        <w:t>）预算完成情况。区直机关工委</w:t>
      </w:r>
      <w:r>
        <w:rPr>
          <w:rFonts w:hint="eastAsia" w:ascii="仿宋" w:hAnsi="仿宋" w:eastAsia="仿宋" w:cs="仿宋_GB2312"/>
          <w:sz w:val="32"/>
          <w:szCs w:val="32"/>
          <w:lang w:val="en-US" w:eastAsia="zh-CN"/>
        </w:rPr>
        <w:t>2018年一般公共预算财政拨款收入</w:t>
      </w:r>
      <w:r>
        <w:rPr>
          <w:rFonts w:hint="eastAsia" w:ascii="仿宋" w:hAnsi="仿宋" w:eastAsia="仿宋"/>
          <w:color w:val="000000"/>
          <w:sz w:val="32"/>
          <w:szCs w:val="32"/>
          <w:lang w:val="en-US" w:eastAsia="zh-CN"/>
        </w:rPr>
        <w:t>58.55</w:t>
      </w:r>
      <w:r>
        <w:rPr>
          <w:rFonts w:hint="eastAsia" w:ascii="仿宋" w:hAnsi="仿宋" w:eastAsia="仿宋" w:cs="仿宋_GB2312"/>
          <w:sz w:val="32"/>
          <w:szCs w:val="32"/>
          <w:lang w:val="en-US" w:eastAsia="zh-CN"/>
        </w:rPr>
        <w:t>万元，一般公共预算财政拨款支出</w:t>
      </w:r>
      <w:r>
        <w:rPr>
          <w:rFonts w:hint="eastAsia" w:ascii="仿宋" w:hAnsi="仿宋" w:eastAsia="仿宋"/>
          <w:color w:val="000000"/>
          <w:sz w:val="32"/>
          <w:szCs w:val="32"/>
          <w:lang w:val="en-US" w:eastAsia="zh-CN"/>
        </w:rPr>
        <w:t>45.58</w:t>
      </w:r>
      <w:r>
        <w:rPr>
          <w:rFonts w:hint="eastAsia" w:ascii="仿宋" w:hAnsi="仿宋" w:eastAsia="仿宋" w:cs="仿宋_GB2312"/>
          <w:sz w:val="32"/>
          <w:szCs w:val="32"/>
          <w:lang w:val="en-US" w:eastAsia="zh-CN"/>
        </w:rPr>
        <w:t>万元，预算完成率77.85%.</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hint="eastAsia" w:ascii="仿宋" w:hAnsi="仿宋" w:eastAsia="仿宋" w:cs="楷体_GB2312"/>
          <w:color w:val="FF0000"/>
          <w:sz w:val="32"/>
          <w:szCs w:val="32"/>
          <w:lang w:val="en-US" w:eastAsia="zh-CN"/>
        </w:rPr>
      </w:pPr>
      <w:r>
        <w:rPr>
          <w:rFonts w:hint="eastAsia" w:ascii="仿宋" w:hAnsi="仿宋" w:eastAsia="仿宋" w:cs="仿宋_GB2312"/>
          <w:sz w:val="32"/>
          <w:szCs w:val="32"/>
          <w:lang w:eastAsia="zh-CN"/>
        </w:rPr>
        <w:t>区直机关工委</w:t>
      </w:r>
      <w:r>
        <w:rPr>
          <w:rFonts w:hint="eastAsia" w:ascii="仿宋" w:hAnsi="仿宋" w:eastAsia="仿宋" w:cs="仿宋_GB2312"/>
          <w:sz w:val="32"/>
          <w:szCs w:val="32"/>
          <w:lang w:val="en-US" w:eastAsia="zh-CN"/>
        </w:rPr>
        <w:t>2019年</w:t>
      </w:r>
      <w:r>
        <w:rPr>
          <w:rFonts w:hint="eastAsia" w:ascii="仿宋" w:hAnsi="仿宋" w:eastAsia="仿宋" w:cs="仿宋_GB2312"/>
          <w:sz w:val="32"/>
          <w:szCs w:val="32"/>
          <w:lang w:eastAsia="zh-CN"/>
        </w:rPr>
        <w:t>无项目资金预算。</w:t>
      </w:r>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bookmarkStart w:id="114" w:name="_Toc18296_WPSOffice_Level2"/>
      <w:r>
        <w:rPr>
          <w:rFonts w:ascii="黑体" w:hAnsi="黑体" w:eastAsia="黑体" w:cs="黑体"/>
          <w:sz w:val="32"/>
          <w:szCs w:val="32"/>
        </w:rPr>
        <w:t>四、评价结论及建议</w:t>
      </w:r>
      <w:bookmarkEnd w:id="114"/>
    </w:p>
    <w:p>
      <w:pPr>
        <w:ind w:left="0" w:leftChars="0"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（一）评价结论。</w:t>
      </w:r>
    </w:p>
    <w:p>
      <w:pPr>
        <w:ind w:firstLine="800" w:firstLineChars="250"/>
        <w:rPr>
          <w:rFonts w:hint="default" w:ascii="仿宋" w:hAnsi="仿宋" w:eastAsia="仿宋"/>
          <w:sz w:val="32"/>
          <w:szCs w:val="32"/>
          <w:lang w:val="en-US" w:eastAsia="zh-CN"/>
        </w:rPr>
      </w:pPr>
      <w:r>
        <w:rPr>
          <w:rFonts w:hint="eastAsia" w:ascii="仿宋" w:hAnsi="仿宋" w:eastAsia="仿宋"/>
          <w:sz w:val="32"/>
          <w:szCs w:val="32"/>
          <w:lang w:val="en-US" w:eastAsia="zh-CN"/>
        </w:rPr>
        <w:t>总体来看，区直机关工委较好完成了年度总体绩效目标，部门综合管理有效。</w:t>
      </w:r>
    </w:p>
    <w:p>
      <w:pPr>
        <w:ind w:left="0" w:leftChars="0"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（二）存在问题。</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1、经济科目支出和收入不匹配；</w:t>
      </w:r>
    </w:p>
    <w:p>
      <w:pPr>
        <w:ind w:firstLine="800" w:firstLineChars="250"/>
        <w:rPr>
          <w:rFonts w:hint="default" w:ascii="仿宋" w:hAnsi="仿宋" w:eastAsia="仿宋"/>
          <w:sz w:val="32"/>
          <w:szCs w:val="32"/>
          <w:lang w:val="en-US" w:eastAsia="zh-CN"/>
        </w:rPr>
      </w:pPr>
      <w:r>
        <w:rPr>
          <w:rFonts w:hint="eastAsia" w:ascii="仿宋" w:hAnsi="仿宋" w:eastAsia="仿宋"/>
          <w:sz w:val="32"/>
          <w:szCs w:val="32"/>
          <w:lang w:val="en-US" w:eastAsia="zh-CN"/>
        </w:rPr>
        <w:t>2、公务卡使用不达标。</w:t>
      </w:r>
    </w:p>
    <w:p>
      <w:pPr>
        <w:ind w:firstLine="800" w:firstLineChars="250"/>
        <w:rPr>
          <w:rFonts w:hint="eastAsia" w:ascii="仿宋" w:hAnsi="仿宋" w:eastAsia="仿宋"/>
          <w:sz w:val="32"/>
          <w:szCs w:val="32"/>
          <w:lang w:eastAsia="zh-CN"/>
        </w:rPr>
      </w:pPr>
      <w:r>
        <w:rPr>
          <w:rFonts w:hint="eastAsia" w:ascii="仿宋" w:hAnsi="仿宋" w:eastAsia="仿宋"/>
          <w:sz w:val="32"/>
          <w:szCs w:val="32"/>
          <w:lang w:eastAsia="zh-CN"/>
        </w:rPr>
        <w:t>（三）改进建议。</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1、加强预算收入和支付管理，严格实施绩效目标管理，将绩效目标作为编制预算的必要前提，提高预算编制准确性。</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2、加强公务卡的使用，能够使用公务卡支付的尽量使用公务卡支付。</w:t>
      </w:r>
    </w:p>
    <w:p>
      <w:pPr>
        <w:pStyle w:val="2"/>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115" w:name="_Toc15396618"/>
      <w:bookmarkStart w:id="116" w:name="_Toc11733_WPSOffice_Level1"/>
      <w:r>
        <w:rPr>
          <w:rFonts w:hint="eastAsia" w:ascii="黑体" w:hAnsi="黑体" w:eastAsia="黑体"/>
          <w:color w:val="000000"/>
          <w:sz w:val="44"/>
          <w:szCs w:val="44"/>
        </w:rPr>
        <w:t>第</w:t>
      </w:r>
      <w:r>
        <w:rPr>
          <w:rStyle w:val="25"/>
          <w:rFonts w:hint="eastAsia" w:ascii="黑体" w:hAnsi="黑体" w:eastAsia="黑体"/>
          <w:b w:val="0"/>
        </w:rPr>
        <w:t>五部分 附表</w:t>
      </w:r>
      <w:bookmarkEnd w:id="105"/>
      <w:bookmarkEnd w:id="115"/>
      <w:bookmarkEnd w:id="116"/>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117" w:name="_Toc21128_WPSOffice_Level2"/>
      <w:bookmarkStart w:id="118"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117"/>
      <w:bookmarkEnd w:id="118"/>
    </w:p>
    <w:p>
      <w:pPr>
        <w:pStyle w:val="4"/>
        <w:rPr>
          <w:rFonts w:ascii="仿宋" w:hAnsi="仿宋" w:eastAsia="仿宋"/>
          <w:color w:val="000000"/>
        </w:rPr>
      </w:pPr>
      <w:bookmarkStart w:id="119" w:name="_Toc11662_WPSOffice_Level2"/>
      <w:bookmarkStart w:id="120"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119"/>
      <w:bookmarkEnd w:id="120"/>
    </w:p>
    <w:p>
      <w:pPr>
        <w:pStyle w:val="4"/>
        <w:rPr>
          <w:rFonts w:ascii="仿宋" w:hAnsi="仿宋" w:eastAsia="仿宋"/>
          <w:color w:val="000000"/>
        </w:rPr>
      </w:pPr>
      <w:bookmarkStart w:id="121" w:name="_Toc15396621"/>
      <w:bookmarkStart w:id="122" w:name="_Toc20041_WPSOffice_Level2"/>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21"/>
      <w:bookmarkEnd w:id="122"/>
    </w:p>
    <w:p>
      <w:pPr>
        <w:pStyle w:val="4"/>
        <w:rPr>
          <w:rFonts w:ascii="仿宋" w:hAnsi="仿宋" w:eastAsia="仿宋"/>
          <w:b w:val="0"/>
          <w:color w:val="000000"/>
        </w:rPr>
      </w:pPr>
      <w:bookmarkStart w:id="123" w:name="_Toc9060_WPSOffice_Level2"/>
      <w:bookmarkStart w:id="124"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23"/>
      <w:bookmarkEnd w:id="124"/>
    </w:p>
    <w:p>
      <w:pPr>
        <w:pStyle w:val="4"/>
        <w:rPr>
          <w:rStyle w:val="26"/>
          <w:rFonts w:ascii="仿宋" w:hAnsi="仿宋" w:eastAsia="仿宋"/>
          <w:b w:val="0"/>
          <w:bCs w:val="0"/>
        </w:rPr>
      </w:pPr>
      <w:bookmarkStart w:id="125" w:name="_Toc22554_WPSOffice_Level2"/>
      <w:bookmarkStart w:id="126"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25"/>
      <w:bookmarkEnd w:id="126"/>
      <w:bookmarkStart w:id="127" w:name="_Toc15396624"/>
    </w:p>
    <w:p>
      <w:pPr>
        <w:pStyle w:val="4"/>
        <w:rPr>
          <w:rFonts w:ascii="仿宋" w:hAnsi="仿宋" w:eastAsia="仿宋"/>
          <w:color w:val="000000"/>
        </w:rPr>
      </w:pPr>
      <w:bookmarkStart w:id="128" w:name="_Toc20499_WPSOffice_Level2"/>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27"/>
      <w:bookmarkEnd w:id="128"/>
    </w:p>
    <w:p>
      <w:pPr>
        <w:pStyle w:val="4"/>
        <w:rPr>
          <w:rFonts w:ascii="仿宋" w:hAnsi="仿宋" w:eastAsia="仿宋"/>
          <w:color w:val="000000"/>
        </w:rPr>
      </w:pPr>
      <w:bookmarkStart w:id="129" w:name="_Toc15396625"/>
      <w:bookmarkStart w:id="130" w:name="_Toc20294_WPSOffice_Level2"/>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29"/>
      <w:bookmarkEnd w:id="130"/>
    </w:p>
    <w:p>
      <w:pPr>
        <w:pStyle w:val="4"/>
        <w:rPr>
          <w:rFonts w:ascii="仿宋" w:hAnsi="仿宋" w:eastAsia="仿宋"/>
          <w:color w:val="000000"/>
        </w:rPr>
      </w:pPr>
      <w:bookmarkStart w:id="131" w:name="_Toc15396626"/>
      <w:bookmarkStart w:id="132" w:name="_Toc24583_WPSOffice_Level2"/>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31"/>
      <w:bookmarkEnd w:id="132"/>
    </w:p>
    <w:p>
      <w:pPr>
        <w:pStyle w:val="4"/>
        <w:rPr>
          <w:rFonts w:ascii="仿宋" w:hAnsi="仿宋" w:eastAsia="仿宋"/>
          <w:color w:val="000000"/>
        </w:rPr>
      </w:pPr>
      <w:bookmarkStart w:id="133" w:name="_Toc30634_WPSOffice_Level2"/>
      <w:bookmarkStart w:id="134"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33"/>
      <w:bookmarkEnd w:id="134"/>
    </w:p>
    <w:p>
      <w:pPr>
        <w:pStyle w:val="4"/>
        <w:rPr>
          <w:rFonts w:ascii="仿宋" w:hAnsi="仿宋" w:eastAsia="仿宋"/>
          <w:color w:val="000000"/>
        </w:rPr>
      </w:pPr>
      <w:bookmarkStart w:id="135" w:name="_Toc15396628"/>
      <w:bookmarkStart w:id="136" w:name="_Toc13374_WPSOffice_Level2"/>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35"/>
      <w:bookmarkEnd w:id="136"/>
    </w:p>
    <w:p>
      <w:pPr>
        <w:pStyle w:val="4"/>
        <w:rPr>
          <w:rFonts w:ascii="仿宋" w:hAnsi="仿宋" w:eastAsia="仿宋"/>
          <w:color w:val="000000"/>
        </w:rPr>
      </w:pPr>
      <w:bookmarkStart w:id="137" w:name="_Toc4219_WPSOffice_Level2"/>
      <w:bookmarkStart w:id="138"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37"/>
      <w:bookmarkEnd w:id="138"/>
    </w:p>
    <w:p>
      <w:pPr>
        <w:pStyle w:val="4"/>
        <w:rPr>
          <w:rFonts w:ascii="仿宋" w:hAnsi="仿宋" w:eastAsia="仿宋"/>
          <w:color w:val="000000"/>
        </w:rPr>
      </w:pPr>
      <w:bookmarkStart w:id="139" w:name="_Toc15396630"/>
      <w:bookmarkStart w:id="140" w:name="_Toc12419_WPSOffice_Level2"/>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39"/>
      <w:bookmarkEnd w:id="140"/>
    </w:p>
    <w:p>
      <w:pPr>
        <w:pStyle w:val="4"/>
        <w:rPr>
          <w:rFonts w:ascii="仿宋" w:hAnsi="仿宋" w:eastAsia="仿宋"/>
          <w:color w:val="000000" w:themeColor="text1"/>
        </w:rPr>
      </w:pPr>
      <w:bookmarkStart w:id="141" w:name="_Toc12831_WPSOffice_Level2"/>
      <w:bookmarkStart w:id="14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141"/>
      <w:bookmarkEnd w:id="142"/>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24</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9D03AE8"/>
    <w:rsid w:val="10C055FF"/>
    <w:rsid w:val="16BB723D"/>
    <w:rsid w:val="1C4F2064"/>
    <w:rsid w:val="240371BF"/>
    <w:rsid w:val="29FD04D3"/>
    <w:rsid w:val="319F7F4E"/>
    <w:rsid w:val="32341AE5"/>
    <w:rsid w:val="3D6F7A7E"/>
    <w:rsid w:val="4C62457E"/>
    <w:rsid w:val="4ECE2238"/>
    <w:rsid w:val="5A6152B8"/>
    <w:rsid w:val="601C087C"/>
    <w:rsid w:val="68C36C61"/>
    <w:rsid w:val="6A2A2A05"/>
    <w:rsid w:val="72734D90"/>
    <w:rsid w:val="765D33C2"/>
    <w:rsid w:val="77B62632"/>
    <w:rsid w:val="7FFC31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793f765-52c4-49d5-89e8-72f87d0daaec}"/>
        <w:style w:val=""/>
        <w:category>
          <w:name w:val="常规"/>
          <w:gallery w:val="placeholder"/>
        </w:category>
        <w:types>
          <w:type w:val="bbPlcHdr"/>
        </w:types>
        <w:behaviors>
          <w:behavior w:val="content"/>
        </w:behaviors>
        <w:description w:val=""/>
        <w:guid w:val="{4793f765-52c4-49d5-89e8-72f87d0daaec}"/>
      </w:docPartPr>
      <w:docPartBody>
        <w:p>
          <w:r>
            <w:rPr>
              <w:color w:val="808080"/>
            </w:rPr>
            <w:t>单击此处输入文字。</w:t>
          </w:r>
        </w:p>
      </w:docPartBody>
    </w:docPart>
    <w:docPart>
      <w:docPartPr>
        <w:name w:val="{6350fd92-f7e0-4c15-8e9d-7960ce898e63}"/>
        <w:style w:val=""/>
        <w:category>
          <w:name w:val="常规"/>
          <w:gallery w:val="placeholder"/>
        </w:category>
        <w:types>
          <w:type w:val="bbPlcHdr"/>
        </w:types>
        <w:behaviors>
          <w:behavior w:val="content"/>
        </w:behaviors>
        <w:description w:val=""/>
        <w:guid w:val="{6350fd92-f7e0-4c15-8e9d-7960ce898e63}"/>
      </w:docPartPr>
      <w:docPartBody>
        <w:p>
          <w:r>
            <w:rPr>
              <w:color w:val="808080"/>
            </w:rPr>
            <w:t>单击此处输入文字。</w:t>
          </w:r>
        </w:p>
      </w:docPartBody>
    </w:docPart>
    <w:docPart>
      <w:docPartPr>
        <w:name w:val="{ddd41467-281a-4850-8100-08b9dcd9f374}"/>
        <w:style w:val=""/>
        <w:category>
          <w:name w:val="常规"/>
          <w:gallery w:val="placeholder"/>
        </w:category>
        <w:types>
          <w:type w:val="bbPlcHdr"/>
        </w:types>
        <w:behaviors>
          <w:behavior w:val="content"/>
        </w:behaviors>
        <w:description w:val=""/>
        <w:guid w:val="{ddd41467-281a-4850-8100-08b9dcd9f374}"/>
      </w:docPartPr>
      <w:docPartBody>
        <w:p>
          <w:r>
            <w:rPr>
              <w:color w:val="808080"/>
            </w:rPr>
            <w:t>单击此处输入文字。</w:t>
          </w:r>
        </w:p>
      </w:docPartBody>
    </w:docPart>
    <w:docPart>
      <w:docPartPr>
        <w:name w:val="{e5fcb991-6213-4116-b84f-e561dd42c939}"/>
        <w:style w:val=""/>
        <w:category>
          <w:name w:val="常规"/>
          <w:gallery w:val="placeholder"/>
        </w:category>
        <w:types>
          <w:type w:val="bbPlcHdr"/>
        </w:types>
        <w:behaviors>
          <w:behavior w:val="content"/>
        </w:behaviors>
        <w:description w:val=""/>
        <w:guid w:val="{e5fcb991-6213-4116-b84f-e561dd42c939}"/>
      </w:docPartPr>
      <w:docPartBody>
        <w:p>
          <w:r>
            <w:rPr>
              <w:color w:val="808080"/>
            </w:rPr>
            <w:t>单击此处输入文字。</w:t>
          </w:r>
        </w:p>
      </w:docPartBody>
    </w:docPart>
    <w:docPart>
      <w:docPartPr>
        <w:name w:val="{ba142c86-6981-4d32-9f8d-83c250377a3e}"/>
        <w:style w:val=""/>
        <w:category>
          <w:name w:val="常规"/>
          <w:gallery w:val="placeholder"/>
        </w:category>
        <w:types>
          <w:type w:val="bbPlcHdr"/>
        </w:types>
        <w:behaviors>
          <w:behavior w:val="content"/>
        </w:behaviors>
        <w:description w:val=""/>
        <w:guid w:val="{ba142c86-6981-4d32-9f8d-83c250377a3e}"/>
      </w:docPartPr>
      <w:docPartBody>
        <w:p>
          <w:r>
            <w:rPr>
              <w:color w:val="808080"/>
            </w:rPr>
            <w:t>单击此处输入文字。</w:t>
          </w:r>
        </w:p>
      </w:docPartBody>
    </w:docPart>
    <w:docPart>
      <w:docPartPr>
        <w:name w:val="{67b077d8-f78d-47b5-8313-d2f158204b5e}"/>
        <w:style w:val=""/>
        <w:category>
          <w:name w:val="常规"/>
          <w:gallery w:val="placeholder"/>
        </w:category>
        <w:types>
          <w:type w:val="bbPlcHdr"/>
        </w:types>
        <w:behaviors>
          <w:behavior w:val="content"/>
        </w:behaviors>
        <w:description w:val=""/>
        <w:guid w:val="{67b077d8-f78d-47b5-8313-d2f158204b5e}"/>
      </w:docPartPr>
      <w:docPartBody>
        <w:p>
          <w:r>
            <w:rPr>
              <w:color w:val="808080"/>
            </w:rPr>
            <w:t>单击此处输入文字。</w:t>
          </w:r>
        </w:p>
      </w:docPartBody>
    </w:docPart>
    <w:docPart>
      <w:docPartPr>
        <w:name w:val="{b0a8575c-7639-47da-8da1-be87bc27cf88}"/>
        <w:style w:val=""/>
        <w:category>
          <w:name w:val="常规"/>
          <w:gallery w:val="placeholder"/>
        </w:category>
        <w:types>
          <w:type w:val="bbPlcHdr"/>
        </w:types>
        <w:behaviors>
          <w:behavior w:val="content"/>
        </w:behaviors>
        <w:description w:val=""/>
        <w:guid w:val="{b0a8575c-7639-47da-8da1-be87bc27cf88}"/>
      </w:docPartPr>
      <w:docPartBody>
        <w:p>
          <w:r>
            <w:rPr>
              <w:color w:val="808080"/>
            </w:rPr>
            <w:t>单击此处输入文字。</w:t>
          </w:r>
        </w:p>
      </w:docPartBody>
    </w:docPart>
    <w:docPart>
      <w:docPartPr>
        <w:name w:val="{630234cb-9265-4493-bfdd-40fa3dd073df}"/>
        <w:style w:val=""/>
        <w:category>
          <w:name w:val="常规"/>
          <w:gallery w:val="placeholder"/>
        </w:category>
        <w:types>
          <w:type w:val="bbPlcHdr"/>
        </w:types>
        <w:behaviors>
          <w:behavior w:val="content"/>
        </w:behaviors>
        <w:description w:val=""/>
        <w:guid w:val="{630234cb-9265-4493-bfdd-40fa3dd073df}"/>
      </w:docPartPr>
      <w:docPartBody>
        <w:p>
          <w:r>
            <w:rPr>
              <w:color w:val="808080"/>
            </w:rPr>
            <w:t>单击此处输入文字。</w:t>
          </w:r>
        </w:p>
      </w:docPartBody>
    </w:docPart>
    <w:docPart>
      <w:docPartPr>
        <w:name w:val="{fc0f69df-39bd-4e16-8711-a0abd6adb74c}"/>
        <w:style w:val=""/>
        <w:category>
          <w:name w:val="常规"/>
          <w:gallery w:val="placeholder"/>
        </w:category>
        <w:types>
          <w:type w:val="bbPlcHdr"/>
        </w:types>
        <w:behaviors>
          <w:behavior w:val="content"/>
        </w:behaviors>
        <w:description w:val=""/>
        <w:guid w:val="{fc0f69df-39bd-4e16-8711-a0abd6adb74c}"/>
      </w:docPartPr>
      <w:docPartBody>
        <w:p>
          <w:r>
            <w:rPr>
              <w:color w:val="808080"/>
            </w:rPr>
            <w:t>单击此处输入文字。</w:t>
          </w:r>
        </w:p>
      </w:docPartBody>
    </w:docPart>
    <w:docPart>
      <w:docPartPr>
        <w:name w:val="{b2302e7e-d84b-4092-8917-5a4a9f7c9977}"/>
        <w:style w:val=""/>
        <w:category>
          <w:name w:val="常规"/>
          <w:gallery w:val="placeholder"/>
        </w:category>
        <w:types>
          <w:type w:val="bbPlcHdr"/>
        </w:types>
        <w:behaviors>
          <w:behavior w:val="content"/>
        </w:behaviors>
        <w:description w:val=""/>
        <w:guid w:val="{b2302e7e-d84b-4092-8917-5a4a9f7c9977}"/>
      </w:docPartPr>
      <w:docPartBody>
        <w:p>
          <w:r>
            <w:rPr>
              <w:color w:val="808080"/>
            </w:rPr>
            <w:t>单击此处输入文字。</w:t>
          </w:r>
        </w:p>
      </w:docPartBody>
    </w:docPart>
    <w:docPart>
      <w:docPartPr>
        <w:name w:val="{536acb61-cf13-4d34-9216-7d7944c16688}"/>
        <w:style w:val=""/>
        <w:category>
          <w:name w:val="常规"/>
          <w:gallery w:val="placeholder"/>
        </w:category>
        <w:types>
          <w:type w:val="bbPlcHdr"/>
        </w:types>
        <w:behaviors>
          <w:behavior w:val="content"/>
        </w:behaviors>
        <w:description w:val=""/>
        <w:guid w:val="{536acb61-cf13-4d34-9216-7d7944c16688}"/>
      </w:docPartPr>
      <w:docPartBody>
        <w:p>
          <w:r>
            <w:rPr>
              <w:color w:val="808080"/>
            </w:rPr>
            <w:t>单击此处输入文字。</w:t>
          </w:r>
        </w:p>
      </w:docPartBody>
    </w:docPart>
    <w:docPart>
      <w:docPartPr>
        <w:name w:val="{848c57a0-ba5b-4c15-9438-c7782a5c01b9}"/>
        <w:style w:val=""/>
        <w:category>
          <w:name w:val="常规"/>
          <w:gallery w:val="placeholder"/>
        </w:category>
        <w:types>
          <w:type w:val="bbPlcHdr"/>
        </w:types>
        <w:behaviors>
          <w:behavior w:val="content"/>
        </w:behaviors>
        <w:description w:val=""/>
        <w:guid w:val="{848c57a0-ba5b-4c15-9438-c7782a5c01b9}"/>
      </w:docPartPr>
      <w:docPartBody>
        <w:p>
          <w:r>
            <w:rPr>
              <w:color w:val="808080"/>
            </w:rPr>
            <w:t>单击此处输入文字。</w:t>
          </w:r>
        </w:p>
      </w:docPartBody>
    </w:docPart>
    <w:docPart>
      <w:docPartPr>
        <w:name w:val="{1cc78c01-2c9e-484c-8a84-b9c4cfd8adee}"/>
        <w:style w:val=""/>
        <w:category>
          <w:name w:val="常规"/>
          <w:gallery w:val="placeholder"/>
        </w:category>
        <w:types>
          <w:type w:val="bbPlcHdr"/>
        </w:types>
        <w:behaviors>
          <w:behavior w:val="content"/>
        </w:behaviors>
        <w:description w:val=""/>
        <w:guid w:val="{1cc78c01-2c9e-484c-8a84-b9c4cfd8adee}"/>
      </w:docPartPr>
      <w:docPartBody>
        <w:p>
          <w:r>
            <w:rPr>
              <w:color w:val="808080"/>
            </w:rPr>
            <w:t>单击此处输入文字。</w:t>
          </w:r>
        </w:p>
      </w:docPartBody>
    </w:docPart>
    <w:docPart>
      <w:docPartPr>
        <w:name w:val="{532e17c2-3d22-4125-bc44-98f01dc44e09}"/>
        <w:style w:val=""/>
        <w:category>
          <w:name w:val="常规"/>
          <w:gallery w:val="placeholder"/>
        </w:category>
        <w:types>
          <w:type w:val="bbPlcHdr"/>
        </w:types>
        <w:behaviors>
          <w:behavior w:val="content"/>
        </w:behaviors>
        <w:description w:val=""/>
        <w:guid w:val="{532e17c2-3d22-4125-bc44-98f01dc44e09}"/>
      </w:docPartPr>
      <w:docPartBody>
        <w:p>
          <w:r>
            <w:rPr>
              <w:color w:val="808080"/>
            </w:rPr>
            <w:t>单击此处输入文字。</w:t>
          </w:r>
        </w:p>
      </w:docPartBody>
    </w:docPart>
    <w:docPart>
      <w:docPartPr>
        <w:name w:val="{0e31c81a-8885-48bf-9d1c-273a4901e132}"/>
        <w:style w:val=""/>
        <w:category>
          <w:name w:val="常规"/>
          <w:gallery w:val="placeholder"/>
        </w:category>
        <w:types>
          <w:type w:val="bbPlcHdr"/>
        </w:types>
        <w:behaviors>
          <w:behavior w:val="content"/>
        </w:behaviors>
        <w:description w:val=""/>
        <w:guid w:val="{0e31c81a-8885-48bf-9d1c-273a4901e132}"/>
      </w:docPartPr>
      <w:docPartBody>
        <w:p>
          <w:r>
            <w:rPr>
              <w:color w:val="808080"/>
            </w:rPr>
            <w:t>单击此处输入文字。</w:t>
          </w:r>
        </w:p>
      </w:docPartBody>
    </w:docPart>
    <w:docPart>
      <w:docPartPr>
        <w:name w:val="{6f272111-3884-44b0-8bb4-2fe9242ee45b}"/>
        <w:style w:val=""/>
        <w:category>
          <w:name w:val="常规"/>
          <w:gallery w:val="placeholder"/>
        </w:category>
        <w:types>
          <w:type w:val="bbPlcHdr"/>
        </w:types>
        <w:behaviors>
          <w:behavior w:val="content"/>
        </w:behaviors>
        <w:description w:val=""/>
        <w:guid w:val="{6f272111-3884-44b0-8bb4-2fe9242ee45b}"/>
      </w:docPartPr>
      <w:docPartBody>
        <w:p>
          <w:r>
            <w:rPr>
              <w:color w:val="808080"/>
            </w:rPr>
            <w:t>单击此处输入文字。</w:t>
          </w:r>
        </w:p>
      </w:docPartBody>
    </w:docPart>
    <w:docPart>
      <w:docPartPr>
        <w:name w:val="{6d83ad97-105a-448e-afb0-c6371f7dbdd7}"/>
        <w:style w:val=""/>
        <w:category>
          <w:name w:val="常规"/>
          <w:gallery w:val="placeholder"/>
        </w:category>
        <w:types>
          <w:type w:val="bbPlcHdr"/>
        </w:types>
        <w:behaviors>
          <w:behavior w:val="content"/>
        </w:behaviors>
        <w:description w:val=""/>
        <w:guid w:val="{6d83ad97-105a-448e-afb0-c6371f7dbdd7}"/>
      </w:docPartPr>
      <w:docPartBody>
        <w:p>
          <w:r>
            <w:rPr>
              <w:color w:val="808080"/>
            </w:rPr>
            <w:t>单击此处输入文字。</w:t>
          </w:r>
        </w:p>
      </w:docPartBody>
    </w:docPart>
    <w:docPart>
      <w:docPartPr>
        <w:name w:val="{b37c6570-740b-4e1e-aabd-f06b2dac8889}"/>
        <w:style w:val=""/>
        <w:category>
          <w:name w:val="常规"/>
          <w:gallery w:val="placeholder"/>
        </w:category>
        <w:types>
          <w:type w:val="bbPlcHdr"/>
        </w:types>
        <w:behaviors>
          <w:behavior w:val="content"/>
        </w:behaviors>
        <w:description w:val=""/>
        <w:guid w:val="{b37c6570-740b-4e1e-aabd-f06b2dac8889}"/>
      </w:docPartPr>
      <w:docPartBody>
        <w:p>
          <w:r>
            <w:rPr>
              <w:color w:val="808080"/>
            </w:rPr>
            <w:t>单击此处输入文字。</w:t>
          </w:r>
        </w:p>
      </w:docPartBody>
    </w:docPart>
    <w:docPart>
      <w:docPartPr>
        <w:name w:val="{c2e001a4-51b5-4a0b-9636-b0ad3c8c42e6}"/>
        <w:style w:val=""/>
        <w:category>
          <w:name w:val="常规"/>
          <w:gallery w:val="placeholder"/>
        </w:category>
        <w:types>
          <w:type w:val="bbPlcHdr"/>
        </w:types>
        <w:behaviors>
          <w:behavior w:val="content"/>
        </w:behaviors>
        <w:description w:val=""/>
        <w:guid w:val="{c2e001a4-51b5-4a0b-9636-b0ad3c8c42e6}"/>
      </w:docPartPr>
      <w:docPartBody>
        <w:p>
          <w:r>
            <w:rPr>
              <w:color w:val="808080"/>
            </w:rPr>
            <w:t>单击此处输入文字。</w:t>
          </w:r>
        </w:p>
      </w:docPartBody>
    </w:docPart>
    <w:docPart>
      <w:docPartPr>
        <w:name w:val="{098a160b-78c0-4640-aff5-cf69fa39168f}"/>
        <w:style w:val=""/>
        <w:category>
          <w:name w:val="常规"/>
          <w:gallery w:val="placeholder"/>
        </w:category>
        <w:types>
          <w:type w:val="bbPlcHdr"/>
        </w:types>
        <w:behaviors>
          <w:behavior w:val="content"/>
        </w:behaviors>
        <w:description w:val=""/>
        <w:guid w:val="{098a160b-78c0-4640-aff5-cf69fa39168f}"/>
      </w:docPartPr>
      <w:docPartBody>
        <w:p>
          <w:r>
            <w:rPr>
              <w:color w:val="808080"/>
            </w:rPr>
            <w:t>单击此处输入文字。</w:t>
          </w:r>
        </w:p>
      </w:docPartBody>
    </w:docPart>
    <w:docPart>
      <w:docPartPr>
        <w:name w:val="{0ed7cf99-1b43-45c2-a969-b557eb22fa13}"/>
        <w:style w:val=""/>
        <w:category>
          <w:name w:val="常规"/>
          <w:gallery w:val="placeholder"/>
        </w:category>
        <w:types>
          <w:type w:val="bbPlcHdr"/>
        </w:types>
        <w:behaviors>
          <w:behavior w:val="content"/>
        </w:behaviors>
        <w:description w:val=""/>
        <w:guid w:val="{0ed7cf99-1b43-45c2-a969-b557eb22fa13}"/>
      </w:docPartPr>
      <w:docPartBody>
        <w:p>
          <w:r>
            <w:rPr>
              <w:color w:val="808080"/>
            </w:rPr>
            <w:t>单击此处输入文字。</w:t>
          </w:r>
        </w:p>
      </w:docPartBody>
    </w:docPart>
    <w:docPart>
      <w:docPartPr>
        <w:name w:val="{e0e5be78-fbc8-4806-b955-e07c7c10a16c}"/>
        <w:style w:val=""/>
        <w:category>
          <w:name w:val="常规"/>
          <w:gallery w:val="placeholder"/>
        </w:category>
        <w:types>
          <w:type w:val="bbPlcHdr"/>
        </w:types>
        <w:behaviors>
          <w:behavior w:val="content"/>
        </w:behaviors>
        <w:description w:val=""/>
        <w:guid w:val="{e0e5be78-fbc8-4806-b955-e07c7c10a16c}"/>
      </w:docPartPr>
      <w:docPartBody>
        <w:p>
          <w:r>
            <w:rPr>
              <w:color w:val="808080"/>
            </w:rPr>
            <w:t>单击此处输入文字。</w:t>
          </w:r>
        </w:p>
      </w:docPartBody>
    </w:docPart>
    <w:docPart>
      <w:docPartPr>
        <w:name w:val="{554a479b-34ae-4ebd-aa9b-c1353c26b8f6}"/>
        <w:style w:val=""/>
        <w:category>
          <w:name w:val="常规"/>
          <w:gallery w:val="placeholder"/>
        </w:category>
        <w:types>
          <w:type w:val="bbPlcHdr"/>
        </w:types>
        <w:behaviors>
          <w:behavior w:val="content"/>
        </w:behaviors>
        <w:description w:val=""/>
        <w:guid w:val="{554a479b-34ae-4ebd-aa9b-c1353c26b8f6}"/>
      </w:docPartPr>
      <w:docPartBody>
        <w:p>
          <w:r>
            <w:rPr>
              <w:color w:val="808080"/>
            </w:rPr>
            <w:t>单击此处输入文字。</w:t>
          </w:r>
        </w:p>
      </w:docPartBody>
    </w:docPart>
    <w:docPart>
      <w:docPartPr>
        <w:name w:val="{af87a10b-2c82-42bb-8dd7-246f0cb130ee}"/>
        <w:style w:val=""/>
        <w:category>
          <w:name w:val="常规"/>
          <w:gallery w:val="placeholder"/>
        </w:category>
        <w:types>
          <w:type w:val="bbPlcHdr"/>
        </w:types>
        <w:behaviors>
          <w:behavior w:val="content"/>
        </w:behaviors>
        <w:description w:val=""/>
        <w:guid w:val="{af87a10b-2c82-42bb-8dd7-246f0cb130ee}"/>
      </w:docPartPr>
      <w:docPartBody>
        <w:p>
          <w:r>
            <w:rPr>
              <w:color w:val="808080"/>
            </w:rPr>
            <w:t>单击此处输入文字。</w:t>
          </w:r>
        </w:p>
      </w:docPartBody>
    </w:docPart>
    <w:docPart>
      <w:docPartPr>
        <w:name w:val="{620f752c-b9e0-4d0f-b4dc-3d960bbf8f90}"/>
        <w:style w:val=""/>
        <w:category>
          <w:name w:val="常规"/>
          <w:gallery w:val="placeholder"/>
        </w:category>
        <w:types>
          <w:type w:val="bbPlcHdr"/>
        </w:types>
        <w:behaviors>
          <w:behavior w:val="content"/>
        </w:behaviors>
        <w:description w:val=""/>
        <w:guid w:val="{620f752c-b9e0-4d0f-b4dc-3d960bbf8f90}"/>
      </w:docPartPr>
      <w:docPartBody>
        <w:p>
          <w:r>
            <w:rPr>
              <w:color w:val="808080"/>
            </w:rPr>
            <w:t>单击此处输入文字。</w:t>
          </w:r>
        </w:p>
      </w:docPartBody>
    </w:docPart>
    <w:docPart>
      <w:docPartPr>
        <w:name w:val="{8dc2a0c5-3575-435d-b535-29bb108d2a0a}"/>
        <w:style w:val=""/>
        <w:category>
          <w:name w:val="常规"/>
          <w:gallery w:val="placeholder"/>
        </w:category>
        <w:types>
          <w:type w:val="bbPlcHdr"/>
        </w:types>
        <w:behaviors>
          <w:behavior w:val="content"/>
        </w:behaviors>
        <w:description w:val=""/>
        <w:guid w:val="{8dc2a0c5-3575-435d-b535-29bb108d2a0a}"/>
      </w:docPartPr>
      <w:docPartBody>
        <w:p>
          <w:r>
            <w:rPr>
              <w:color w:val="808080"/>
            </w:rPr>
            <w:t>单击此处输入文字。</w:t>
          </w:r>
        </w:p>
      </w:docPartBody>
    </w:docPart>
    <w:docPart>
      <w:docPartPr>
        <w:name w:val="{8cbd4525-e9d8-461f-b092-0054ef86ab21}"/>
        <w:style w:val=""/>
        <w:category>
          <w:name w:val="常规"/>
          <w:gallery w:val="placeholder"/>
        </w:category>
        <w:types>
          <w:type w:val="bbPlcHdr"/>
        </w:types>
        <w:behaviors>
          <w:behavior w:val="content"/>
        </w:behaviors>
        <w:description w:val=""/>
        <w:guid w:val="{8cbd4525-e9d8-461f-b092-0054ef86ab21}"/>
      </w:docPartPr>
      <w:docPartBody>
        <w:p>
          <w:r>
            <w:rPr>
              <w:color w:val="808080"/>
            </w:rPr>
            <w:t>单击此处输入文字。</w:t>
          </w:r>
        </w:p>
      </w:docPartBody>
    </w:docPart>
    <w:docPart>
      <w:docPartPr>
        <w:name w:val="{86962f86-74cf-458e-aa1e-757ee7fa2280}"/>
        <w:style w:val=""/>
        <w:category>
          <w:name w:val="常规"/>
          <w:gallery w:val="placeholder"/>
        </w:category>
        <w:types>
          <w:type w:val="bbPlcHdr"/>
        </w:types>
        <w:behaviors>
          <w:behavior w:val="content"/>
        </w:behaviors>
        <w:description w:val=""/>
        <w:guid w:val="{86962f86-74cf-458e-aa1e-757ee7fa2280}"/>
      </w:docPartPr>
      <w:docPartBody>
        <w:p>
          <w:r>
            <w:rPr>
              <w:color w:val="808080"/>
            </w:rPr>
            <w:t>单击此处输入文字。</w:t>
          </w:r>
        </w:p>
      </w:docPartBody>
    </w:docPart>
    <w:docPart>
      <w:docPartPr>
        <w:name w:val="{2fadc63a-0d30-4e75-bd6c-faa5e9899c3d}"/>
        <w:style w:val=""/>
        <w:category>
          <w:name w:val="常规"/>
          <w:gallery w:val="placeholder"/>
        </w:category>
        <w:types>
          <w:type w:val="bbPlcHdr"/>
        </w:types>
        <w:behaviors>
          <w:behavior w:val="content"/>
        </w:behaviors>
        <w:description w:val=""/>
        <w:guid w:val="{2fadc63a-0d30-4e75-bd6c-faa5e9899c3d}"/>
      </w:docPartPr>
      <w:docPartBody>
        <w:p>
          <w:r>
            <w:rPr>
              <w:color w:val="808080"/>
            </w:rPr>
            <w:t>单击此处输入文字。</w:t>
          </w:r>
        </w:p>
      </w:docPartBody>
    </w:docPart>
    <w:docPart>
      <w:docPartPr>
        <w:name w:val="{ba772d76-e9c5-4fc4-8309-fbf2ba816bb1}"/>
        <w:style w:val=""/>
        <w:category>
          <w:name w:val="常规"/>
          <w:gallery w:val="placeholder"/>
        </w:category>
        <w:types>
          <w:type w:val="bbPlcHdr"/>
        </w:types>
        <w:behaviors>
          <w:behavior w:val="content"/>
        </w:behaviors>
        <w:description w:val=""/>
        <w:guid w:val="{ba772d76-e9c5-4fc4-8309-fbf2ba816bb1}"/>
      </w:docPartPr>
      <w:docPartBody>
        <w:p>
          <w:r>
            <w:rPr>
              <w:color w:val="808080"/>
            </w:rPr>
            <w:t>单击此处输入文字。</w:t>
          </w:r>
        </w:p>
      </w:docPartBody>
    </w:docPart>
    <w:docPart>
      <w:docPartPr>
        <w:name w:val="{690c3725-9a75-47f5-900e-367c79050692}"/>
        <w:style w:val=""/>
        <w:category>
          <w:name w:val="常规"/>
          <w:gallery w:val="placeholder"/>
        </w:category>
        <w:types>
          <w:type w:val="bbPlcHdr"/>
        </w:types>
        <w:behaviors>
          <w:behavior w:val="content"/>
        </w:behaviors>
        <w:description w:val=""/>
        <w:guid w:val="{690c3725-9a75-47f5-900e-367c79050692}"/>
      </w:docPartPr>
      <w:docPartBody>
        <w:p>
          <w:r>
            <w:rPr>
              <w:color w:val="808080"/>
            </w:rPr>
            <w:t>单击此处输入文字。</w:t>
          </w:r>
        </w:p>
      </w:docPartBody>
    </w:docPart>
    <w:docPart>
      <w:docPartPr>
        <w:name w:val="{33594208-d88a-4720-b494-dd7632dd4877}"/>
        <w:style w:val=""/>
        <w:category>
          <w:name w:val="常规"/>
          <w:gallery w:val="placeholder"/>
        </w:category>
        <w:types>
          <w:type w:val="bbPlcHdr"/>
        </w:types>
        <w:behaviors>
          <w:behavior w:val="content"/>
        </w:behaviors>
        <w:description w:val=""/>
        <w:guid w:val="{33594208-d88a-4720-b494-dd7632dd4877}"/>
      </w:docPartPr>
      <w:docPartBody>
        <w:p>
          <w:r>
            <w:rPr>
              <w:color w:val="808080"/>
            </w:rPr>
            <w:t>单击此处输入文字。</w:t>
          </w:r>
        </w:p>
      </w:docPartBody>
    </w:docPart>
    <w:docPart>
      <w:docPartPr>
        <w:name w:val="{b8a12d9e-c515-4b17-bec6-ff848e007bd2}"/>
        <w:style w:val=""/>
        <w:category>
          <w:name w:val="常规"/>
          <w:gallery w:val="placeholder"/>
        </w:category>
        <w:types>
          <w:type w:val="bbPlcHdr"/>
        </w:types>
        <w:behaviors>
          <w:behavior w:val="content"/>
        </w:behaviors>
        <w:description w:val=""/>
        <w:guid w:val="{b8a12d9e-c515-4b17-bec6-ff848e007bd2}"/>
      </w:docPartPr>
      <w:docPartBody>
        <w:p>
          <w:r>
            <w:rPr>
              <w:color w:val="808080"/>
            </w:rPr>
            <w:t>单击此处输入文字。</w:t>
          </w:r>
        </w:p>
      </w:docPartBody>
    </w:docPart>
    <w:docPart>
      <w:docPartPr>
        <w:name w:val="{b3d40d47-6a7b-430b-b59d-578f8829cd39}"/>
        <w:style w:val=""/>
        <w:category>
          <w:name w:val="常规"/>
          <w:gallery w:val="placeholder"/>
        </w:category>
        <w:types>
          <w:type w:val="bbPlcHdr"/>
        </w:types>
        <w:behaviors>
          <w:behavior w:val="content"/>
        </w:behaviors>
        <w:description w:val=""/>
        <w:guid w:val="{b3d40d47-6a7b-430b-b59d-578f8829cd39}"/>
      </w:docPartPr>
      <w:docPartBody>
        <w:p>
          <w:r>
            <w:rPr>
              <w:color w:val="808080"/>
            </w:rPr>
            <w:t>单击此处输入文字。</w:t>
          </w:r>
        </w:p>
      </w:docPartBody>
    </w:docPart>
    <w:docPart>
      <w:docPartPr>
        <w:name w:val="{d4613adc-b2f9-41da-b17e-cb8927c3e3e6}"/>
        <w:style w:val=""/>
        <w:category>
          <w:name w:val="常规"/>
          <w:gallery w:val="placeholder"/>
        </w:category>
        <w:types>
          <w:type w:val="bbPlcHdr"/>
        </w:types>
        <w:behaviors>
          <w:behavior w:val="content"/>
        </w:behaviors>
        <w:description w:val=""/>
        <w:guid w:val="{d4613adc-b2f9-41da-b17e-cb8927c3e3e6}"/>
      </w:docPartPr>
      <w:docPartBody>
        <w:p>
          <w:r>
            <w:rPr>
              <w:color w:val="808080"/>
            </w:rPr>
            <w:t>单击此处输入文字。</w:t>
          </w:r>
        </w:p>
      </w:docPartBody>
    </w:docPart>
    <w:docPart>
      <w:docPartPr>
        <w:name w:val="{b01328a2-862d-4611-95cd-b7b06198610e}"/>
        <w:style w:val=""/>
        <w:category>
          <w:name w:val="常规"/>
          <w:gallery w:val="placeholder"/>
        </w:category>
        <w:types>
          <w:type w:val="bbPlcHdr"/>
        </w:types>
        <w:behaviors>
          <w:behavior w:val="content"/>
        </w:behaviors>
        <w:description w:val=""/>
        <w:guid w:val="{b01328a2-862d-4611-95cd-b7b06198610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TotalTime>
  <ScaleCrop>false</ScaleCrop>
  <LinksUpToDate>false</LinksUpToDate>
  <CharactersWithSpaces>8536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联想</cp:lastModifiedBy>
  <cp:lastPrinted>2020-07-23T02:58:00Z</cp:lastPrinted>
  <dcterms:modified xsi:type="dcterms:W3CDTF">2021-05-23T06:12:07Z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