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both"/>
        <w:rPr>
          <w:rFonts w:hint="eastAsia" w:ascii="黑体" w:hAnsi="黑体" w:eastAsia="黑体"/>
          <w:color w:val="000000"/>
          <w:kern w:val="2"/>
          <w:sz w:val="72"/>
          <w:szCs w:val="24"/>
        </w:rPr>
      </w:pPr>
    </w:p>
    <w:p>
      <w:pPr>
        <w:spacing w:line="360" w:lineRule="auto"/>
        <w:jc w:val="center"/>
        <w:rPr>
          <w:rFonts w:hint="eastAsia" w:ascii="方正小标宋简体" w:hAnsi="黑体" w:eastAsia="方正小标宋简体"/>
          <w:color w:val="000000"/>
          <w:kern w:val="2"/>
          <w:sz w:val="72"/>
          <w:szCs w:val="24"/>
        </w:rPr>
      </w:pPr>
      <w:r>
        <w:rPr>
          <w:rFonts w:hint="default"/>
          <w:sz w:val="72"/>
          <w:szCs w:val="24"/>
        </w:rPr>
        <mc:AlternateContent>
          <mc:Choice Requires="wps">
            <w:drawing>
              <wp:anchor distT="0" distB="0" distL="114300" distR="114300" simplePos="0" relativeHeight="251666432" behindDoc="0" locked="0" layoutInCell="1" allowOverlap="1">
                <wp:simplePos x="0" y="0"/>
                <wp:positionH relativeFrom="column">
                  <wp:posOffset>-673100</wp:posOffset>
                </wp:positionH>
                <wp:positionV relativeFrom="paragraph">
                  <wp:posOffset>1047115</wp:posOffset>
                </wp:positionV>
                <wp:extent cx="6858000" cy="1009650"/>
                <wp:effectExtent l="0" t="0" r="0" b="11430"/>
                <wp:wrapNone/>
                <wp:docPr id="1" name="文本框 9"/>
                <wp:cNvGraphicFramePr/>
                <a:graphic xmlns:a="http://schemas.openxmlformats.org/drawingml/2006/main">
                  <a:graphicData uri="http://schemas.microsoft.com/office/word/2010/wordprocessingShape">
                    <wps:wsp>
                      <wps:cNvSpPr txBox="1"/>
                      <wps:spPr>
                        <a:xfrm>
                          <a:off x="0" y="0"/>
                          <a:ext cx="6858000" cy="1009650"/>
                        </a:xfrm>
                        <a:prstGeom prst="rect">
                          <a:avLst/>
                        </a:prstGeom>
                        <a:solidFill>
                          <a:srgbClr val="FFFFFF"/>
                        </a:solidFill>
                        <a:ln>
                          <a:noFill/>
                        </a:ln>
                      </wps:spPr>
                      <wps:txbx>
                        <w:txbxContent>
                          <w:p>
                            <w:pPr>
                              <w:spacing w:line="360" w:lineRule="auto"/>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四川省广元市昭化区医疗保障局</w:t>
                            </w:r>
                          </w:p>
                        </w:txbxContent>
                      </wps:txbx>
                      <wps:bodyPr vert="horz" wrap="square" anchor="t" anchorCtr="0" upright="1"/>
                    </wps:wsp>
                  </a:graphicData>
                </a:graphic>
              </wp:anchor>
            </w:drawing>
          </mc:Choice>
          <mc:Fallback>
            <w:pict>
              <v:shape id="文本框 9" o:spid="_x0000_s1026" o:spt="202" type="#_x0000_t202" style="position:absolute;left:0pt;margin-left:-53pt;margin-top:82.45pt;height:79.5pt;width:540pt;z-index:251666432;mso-width-relative:page;mso-height-relative:page;" fillcolor="#FFFFFF" filled="t" stroked="f" coordsize="21600,21600" o:gfxdata="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Po3WjaAAAADAEAAA8AAAAAAAAAAQAgAAAAOAAAAGRycy9kb3ducmV2LnhtbFBL&#10;AQIUABQAAAAIAIdO4kB+Ui4E3gEAAKsDAAAOAAAAAAAAAAEAIAAAAD8BAABkcnMvZTJvRG9jLnht&#10;bFBLBQYAAAAABgAGAFkBAACPBQAAAAA=&#10;">
                <v:fill on="t" focussize="0,0"/>
                <v:stroke on="f"/>
                <v:imagedata o:title=""/>
                <o:lock v:ext="edit" aspectratio="f"/>
                <v:textbox>
                  <w:txbxContent>
                    <w:p>
                      <w:pPr>
                        <w:spacing w:line="360" w:lineRule="auto"/>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四川省广元市昭化区医疗保障局</w:t>
                      </w:r>
                    </w:p>
                  </w:txbxContent>
                </v:textbox>
              </v:shape>
            </w:pict>
          </mc:Fallback>
        </mc:AlternateContent>
      </w:r>
      <w:r>
        <w:rPr>
          <w:rFonts w:hint="eastAsia" w:ascii="方正小标宋简体" w:hAnsi="黑体" w:eastAsia="方正小标宋简体"/>
          <w:color w:val="000000"/>
          <w:kern w:val="2"/>
          <w:sz w:val="72"/>
          <w:szCs w:val="24"/>
        </w:rPr>
        <w:t>2023年度</w:t>
      </w:r>
    </w:p>
    <w:p>
      <w:pPr>
        <w:spacing w:line="360" w:lineRule="auto"/>
        <w:jc w:val="center"/>
        <w:rPr>
          <w:rFonts w:hint="eastAsia" w:ascii="方正小标宋简体" w:hAnsi="黑体" w:eastAsia="方正小标宋简体"/>
          <w:color w:val="000000"/>
          <w:kern w:val="2"/>
          <w:sz w:val="72"/>
          <w:szCs w:val="24"/>
        </w:rPr>
      </w:pPr>
    </w:p>
    <w:p>
      <w:pPr>
        <w:spacing w:line="360" w:lineRule="auto"/>
        <w:jc w:val="center"/>
        <w:rPr>
          <w:rFonts w:hint="eastAsia" w:ascii="黑体" w:hAnsi="黑体" w:eastAsia="黑体"/>
          <w:color w:val="000000"/>
          <w:kern w:val="2"/>
          <w:sz w:val="72"/>
          <w:szCs w:val="24"/>
        </w:rPr>
      </w:pPr>
      <w:r>
        <w:rPr>
          <w:rFonts w:hint="eastAsia" w:ascii="方正小标宋简体" w:hAnsi="黑体" w:eastAsia="方正小标宋简体"/>
          <w:color w:val="000000"/>
          <w:kern w:val="2"/>
          <w:sz w:val="72"/>
          <w:szCs w:val="24"/>
        </w:rPr>
        <w:t>单位决算公开</w:t>
      </w:r>
    </w:p>
    <w:p>
      <w:pPr>
        <w:keepNext/>
        <w:keepLines/>
        <w:spacing w:line="576" w:lineRule="exact"/>
        <w:jc w:val="center"/>
        <w:rPr>
          <w:rFonts w:hint="eastAsia" w:ascii="黑体" w:hAnsi="黑体" w:eastAsia="黑体"/>
          <w:kern w:val="2"/>
          <w:sz w:val="48"/>
          <w:szCs w:val="24"/>
        </w:rPr>
      </w:pPr>
      <w:r>
        <w:rPr>
          <w:rFonts w:hint="eastAsia" w:ascii="黑体" w:hAnsi="黑体" w:eastAsia="黑体"/>
          <w:kern w:val="2"/>
          <w:sz w:val="48"/>
          <w:szCs w:val="24"/>
        </w:rPr>
        <w:br w:type="page"/>
      </w:r>
      <w:r>
        <w:rPr>
          <w:rFonts w:hint="eastAsia" w:ascii="黑体" w:hAnsi="黑体" w:eastAsia="黑体"/>
          <w:kern w:val="2"/>
          <w:sz w:val="48"/>
          <w:szCs w:val="24"/>
        </w:rPr>
        <w:t>目    录</w:t>
      </w:r>
    </w:p>
    <w:p>
      <w:pPr>
        <w:keepNext/>
        <w:keepLines/>
        <w:spacing w:before="120" w:beforeLines="50" w:after="480" w:afterLines="200"/>
        <w:jc w:val="center"/>
        <w:rPr>
          <w:rFonts w:hint="eastAsia" w:ascii="楷体_GB2312" w:eastAsia="楷体_GB2312"/>
          <w:b/>
          <w:kern w:val="2"/>
          <w:sz w:val="32"/>
          <w:szCs w:val="32"/>
        </w:rPr>
      </w:pPr>
      <w:r>
        <w:rPr>
          <w:rFonts w:hint="eastAsia" w:ascii="楷体_GB2312" w:hAnsi="仿宋" w:eastAsia="楷体_GB2312"/>
          <w:kern w:val="2"/>
          <w:sz w:val="32"/>
          <w:szCs w:val="32"/>
        </w:rPr>
        <w:t>公开时间：2024年9月26日</w:t>
      </w:r>
    </w:p>
    <w:p>
      <w:pPr>
        <w:pStyle w:val="13"/>
        <w:tabs>
          <w:tab w:val="right" w:leader="dot" w:pos="8612"/>
        </w:tabs>
        <w:spacing w:line="440" w:lineRule="exact"/>
        <w:rPr>
          <w:rFonts w:hint="eastAsia" w:ascii="宋体" w:hAnsi="宋体" w:eastAsia="宋体" w:cs="宋体"/>
          <w:sz w:val="24"/>
          <w:szCs w:val="24"/>
          <w:lang w:val="zh-CN" w:eastAsia="zh-CN" w:bidi="ar-SA"/>
        </w:rPr>
      </w:pPr>
      <w:bookmarkStart w:id="0" w:name="_Toc1006"/>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TOC \o "1-2" \h \u </w:instrText>
      </w:r>
      <w:r>
        <w:rPr>
          <w:rFonts w:hint="eastAsia" w:ascii="宋体" w:hAnsi="宋体" w:eastAsia="宋体" w:cs="宋体"/>
          <w:sz w:val="24"/>
          <w:szCs w:val="24"/>
          <w:lang w:val="zh-CN" w:eastAsia="zh-CN" w:bidi="ar-SA"/>
        </w:rPr>
        <w:fldChar w:fldCharType="separate"/>
      </w:r>
      <w:r>
        <w:rPr>
          <w:rFonts w:hint="eastAsia" w:ascii="仿宋" w:hAnsi="仿宋" w:eastAsia="仿宋" w:cs="Times New Roman"/>
          <w:sz w:val="24"/>
          <w:szCs w:val="24"/>
          <w:lang w:val="zh-CN" w:eastAsia="zh-CN" w:bidi="ar-SA"/>
        </w:rPr>
        <w:fldChar w:fldCharType="begin"/>
      </w:r>
      <w:r>
        <w:rPr>
          <w:rFonts w:hint="eastAsia" w:ascii="仿宋" w:hAnsi="仿宋" w:eastAsia="仿宋" w:cs="Times New Roman"/>
          <w:sz w:val="24"/>
          <w:szCs w:val="24"/>
          <w:lang w:val="zh-CN" w:eastAsia="zh-CN" w:bidi="ar-SA"/>
        </w:rPr>
        <w:instrText xml:space="preserve"> HYPERLINK \l _Toc15175 </w:instrText>
      </w:r>
      <w:r>
        <w:rPr>
          <w:rFonts w:hint="eastAsia" w:ascii="仿宋" w:hAnsi="仿宋" w:eastAsia="仿宋" w:cs="Times New Roman"/>
          <w:sz w:val="24"/>
          <w:szCs w:val="24"/>
          <w:lang w:val="zh-CN" w:eastAsia="zh-CN" w:bidi="ar-SA"/>
        </w:rPr>
        <w:fldChar w:fldCharType="separate"/>
      </w:r>
      <w:r>
        <w:rPr>
          <w:rFonts w:hint="eastAsia" w:ascii="仿宋" w:hAnsi="仿宋" w:eastAsia="仿宋" w:cs="Times New Roman"/>
          <w:sz w:val="24"/>
          <w:szCs w:val="24"/>
          <w:lang w:val="zh-CN" w:eastAsia="zh-CN" w:bidi="ar-SA"/>
        </w:rPr>
        <w:t>第一部分 单位概况</w:t>
      </w:r>
      <w:r>
        <w:rPr>
          <w:rFonts w:hint="eastAsia" w:ascii="仿宋" w:hAnsi="仿宋" w:eastAsia="仿宋" w:cs="Times New Roman"/>
          <w:sz w:val="24"/>
          <w:szCs w:val="24"/>
          <w:lang w:val="zh-CN" w:eastAsia="zh-CN" w:bidi="ar-SA"/>
        </w:rPr>
        <w:tab/>
      </w:r>
      <w:r>
        <w:rPr>
          <w:rFonts w:hint="eastAsia" w:ascii="仿宋" w:hAnsi="仿宋" w:eastAsia="仿宋" w:cs="Times New Roman"/>
          <w:sz w:val="24"/>
          <w:szCs w:val="24"/>
          <w:lang w:val="zh-CN" w:eastAsia="zh-CN" w:bidi="ar-SA"/>
        </w:rPr>
        <w:fldChar w:fldCharType="begin"/>
      </w:r>
      <w:r>
        <w:rPr>
          <w:rFonts w:hint="eastAsia" w:ascii="仿宋" w:hAnsi="仿宋" w:eastAsia="仿宋" w:cs="Times New Roman"/>
          <w:sz w:val="24"/>
          <w:szCs w:val="24"/>
          <w:lang w:val="zh-CN" w:eastAsia="zh-CN" w:bidi="ar-SA"/>
        </w:rPr>
        <w:instrText xml:space="preserve"> PAGEREF _Toc15175 \h </w:instrText>
      </w:r>
      <w:r>
        <w:rPr>
          <w:rFonts w:hint="eastAsia" w:ascii="仿宋" w:hAnsi="仿宋" w:eastAsia="仿宋" w:cs="Times New Roman"/>
          <w:sz w:val="24"/>
          <w:szCs w:val="24"/>
          <w:lang w:val="zh-CN" w:eastAsia="zh-CN" w:bidi="ar-SA"/>
        </w:rPr>
        <w:fldChar w:fldCharType="separate"/>
      </w:r>
      <w:r>
        <w:rPr>
          <w:rFonts w:hint="eastAsia" w:ascii="仿宋" w:hAnsi="仿宋" w:eastAsia="仿宋" w:cs="Times New Roman"/>
          <w:sz w:val="24"/>
          <w:szCs w:val="24"/>
          <w:lang w:val="zh-CN" w:eastAsia="zh-CN" w:bidi="ar-SA"/>
        </w:rPr>
        <w:t>1</w:t>
      </w:r>
      <w:r>
        <w:rPr>
          <w:rFonts w:hint="eastAsia" w:ascii="仿宋" w:hAnsi="仿宋" w:eastAsia="仿宋" w:cs="Times New Roman"/>
          <w:sz w:val="24"/>
          <w:szCs w:val="24"/>
          <w:lang w:val="zh-CN" w:eastAsia="zh-CN" w:bidi="ar-SA"/>
        </w:rPr>
        <w:fldChar w:fldCharType="end"/>
      </w:r>
      <w:r>
        <w:rPr>
          <w:rFonts w:hint="eastAsia" w:ascii="仿宋" w:hAnsi="仿宋" w:eastAsia="仿宋" w:cs="Times New Roman"/>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_Toc12613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一、主要职责</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_Toc12613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_Toc3437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二、机构设置</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_Toc3437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6</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3"/>
        <w:tabs>
          <w:tab w:val="right" w:leader="dot" w:pos="8612"/>
        </w:tabs>
        <w:spacing w:line="440" w:lineRule="exact"/>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_Toc31424 </w:instrText>
      </w:r>
      <w:r>
        <w:rPr>
          <w:rFonts w:hint="eastAsia" w:ascii="宋体" w:hAnsi="宋体" w:eastAsia="宋体" w:cs="宋体"/>
          <w:sz w:val="24"/>
          <w:szCs w:val="24"/>
          <w:lang w:val="zh-CN" w:eastAsia="zh-CN" w:bidi="ar-SA"/>
        </w:rPr>
        <w:fldChar w:fldCharType="separate"/>
      </w:r>
      <w:r>
        <w:rPr>
          <w:rFonts w:hint="eastAsia" w:ascii="仿宋" w:hAnsi="仿宋" w:eastAsia="仿宋" w:cs="Times New Roman"/>
          <w:sz w:val="24"/>
          <w:szCs w:val="24"/>
          <w:lang w:val="zh-CN" w:eastAsia="zh-CN" w:bidi="ar-SA"/>
        </w:rPr>
        <w:t>第二部分 2023年度单位决算情况说明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_Toc31424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7</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_Toc14547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一、收入支出决算总体情况说明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_Toc14547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7</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_Toc2599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二、收入决算情况说明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_Toc2599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7</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_Toc23157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三、支出决算情况说明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_Toc23157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8</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_Toc10206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四、财政拨款收入支出决算总体情况说明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_Toc10206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9</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_Toc8980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五、一般公共预算财政拨款支出决算情况说明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_Toc8980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10</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_Toc27600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六、一般公共预算财政拨款基本支出决算情况说明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_Toc27600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13</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_Toc29815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七、财政拨款“三公”经费支出决算</w:t>
      </w:r>
      <w:bookmarkStart w:id="37" w:name="_GoBack"/>
      <w:bookmarkEnd w:id="37"/>
      <w:r>
        <w:rPr>
          <w:rFonts w:hint="eastAsia" w:ascii="宋体" w:hAnsi="宋体" w:eastAsia="宋体" w:cs="宋体"/>
          <w:sz w:val="24"/>
          <w:szCs w:val="24"/>
          <w:lang w:val="zh-CN" w:eastAsia="zh-CN" w:bidi="ar-SA"/>
        </w:rPr>
        <w:t>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_Toc29815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14</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_Toc15388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八、政府性基金预算支出决算情况说明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_Toc15388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16</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_Toc25041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九、国有资本经营预算支出决算情况说明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_Toc25041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16</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_Toc22135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十、其他重要事项的情况说明</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_Toc22135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16</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3"/>
        <w:tabs>
          <w:tab w:val="right" w:leader="dot" w:pos="8612"/>
        </w:tabs>
        <w:spacing w:line="440" w:lineRule="exact"/>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_Toc29729 </w:instrText>
      </w:r>
      <w:r>
        <w:rPr>
          <w:rFonts w:hint="eastAsia" w:ascii="宋体" w:hAnsi="宋体" w:eastAsia="宋体" w:cs="宋体"/>
          <w:sz w:val="24"/>
          <w:szCs w:val="24"/>
          <w:lang w:val="zh-CN" w:eastAsia="zh-CN" w:bidi="ar-SA"/>
        </w:rPr>
        <w:fldChar w:fldCharType="separate"/>
      </w:r>
      <w:r>
        <w:rPr>
          <w:rFonts w:hint="eastAsia" w:ascii="仿宋" w:hAnsi="仿宋" w:eastAsia="仿宋" w:cs="Times New Roman"/>
          <w:sz w:val="24"/>
          <w:szCs w:val="24"/>
          <w:lang w:val="zh-CN" w:eastAsia="zh-CN" w:bidi="ar-SA"/>
        </w:rPr>
        <w:t>第三部分 名词解释</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_Toc29729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18</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3"/>
        <w:tabs>
          <w:tab w:val="right" w:leader="dot" w:pos="8612"/>
        </w:tabs>
        <w:spacing w:line="440" w:lineRule="exact"/>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_Toc11641 </w:instrText>
      </w:r>
      <w:r>
        <w:rPr>
          <w:rFonts w:hint="eastAsia" w:ascii="宋体" w:hAnsi="宋体" w:eastAsia="宋体" w:cs="宋体"/>
          <w:sz w:val="24"/>
          <w:szCs w:val="24"/>
          <w:lang w:val="zh-CN" w:eastAsia="zh-CN" w:bidi="ar-SA"/>
        </w:rPr>
        <w:fldChar w:fldCharType="separate"/>
      </w:r>
      <w:r>
        <w:rPr>
          <w:rFonts w:hint="eastAsia" w:ascii="仿宋" w:hAnsi="仿宋" w:eastAsia="仿宋" w:cs="Times New Roman"/>
          <w:sz w:val="24"/>
          <w:szCs w:val="24"/>
          <w:lang w:val="zh-CN" w:eastAsia="zh-CN" w:bidi="ar-SA"/>
        </w:rPr>
        <w:t>第四部分 附件</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_Toc11641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21</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3"/>
        <w:tabs>
          <w:tab w:val="right" w:leader="dot" w:pos="8612"/>
        </w:tabs>
        <w:spacing w:line="440" w:lineRule="exact"/>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_Toc12718 </w:instrText>
      </w:r>
      <w:r>
        <w:rPr>
          <w:rFonts w:hint="eastAsia" w:ascii="宋体" w:hAnsi="宋体" w:eastAsia="宋体" w:cs="宋体"/>
          <w:sz w:val="24"/>
          <w:szCs w:val="24"/>
          <w:lang w:val="zh-CN" w:eastAsia="zh-CN" w:bidi="ar-SA"/>
        </w:rPr>
        <w:fldChar w:fldCharType="separate"/>
      </w:r>
      <w:r>
        <w:rPr>
          <w:rFonts w:hint="eastAsia" w:ascii="仿宋" w:hAnsi="仿宋" w:eastAsia="仿宋" w:cs="Times New Roman"/>
          <w:sz w:val="24"/>
          <w:szCs w:val="24"/>
          <w:lang w:val="zh-CN" w:eastAsia="zh-CN" w:bidi="ar-SA"/>
        </w:rPr>
        <w:t>第五部分 附表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_Toc12718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_Toc18533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一、收入支出决算总表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_Toc18533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_Toc4522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二、收入决算表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_Toc4522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_Toc26443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三、支出决算表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_Toc26443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_Toc1290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四、财政拨款收入支出决算总表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_Toc1290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_Toc30491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五、财政拨款支出决算明细表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_Toc30491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_Toc2408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六、一般公共预算财政拨款支出决算表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_Toc2408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_Toc31154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七、一般公共预算财政拨款支出决算明细表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_Toc31154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_Toc20791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八、一般公共预算财政拨款基本支出决算表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_Toc20791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_Toc14253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九、一般公共预算财政拨款项目支出决算表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_Toc14253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_Toc19117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十、政府性基金预算财政拨款收入支出决算表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_Toc19117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_Toc22070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十一、国有资本经营预算财政拨款收入支出决算表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_Toc22070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_Toc24303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十二、国有资本经营预算财政拨款支出决算表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_Toc24303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5"/>
        <w:tabs>
          <w:tab w:val="right" w:leader="dot" w:pos="8612"/>
        </w:tabs>
        <w:spacing w:line="440" w:lineRule="exact"/>
        <w:ind w:leftChars="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HYPERLINK \l _Toc6137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十三、财政拨款“三公”经费支出决算表</w:t>
      </w:r>
      <w:r>
        <w:rPr>
          <w:rFonts w:hint="eastAsia" w:ascii="宋体" w:hAnsi="宋体" w:eastAsia="宋体" w:cs="宋体"/>
          <w:sz w:val="24"/>
          <w:szCs w:val="24"/>
          <w:lang w:val="zh-CN" w:eastAsia="zh-CN" w:bidi="ar-SA"/>
        </w:rPr>
        <w:tab/>
      </w:r>
      <w:r>
        <w:rPr>
          <w:rFonts w:hint="eastAsia" w:ascii="宋体" w:hAnsi="宋体" w:eastAsia="宋体" w:cs="宋体"/>
          <w:sz w:val="24"/>
          <w:szCs w:val="24"/>
          <w:lang w:val="zh-CN" w:eastAsia="zh-CN" w:bidi="ar-SA"/>
        </w:rPr>
        <w:fldChar w:fldCharType="begin"/>
      </w:r>
      <w:r>
        <w:rPr>
          <w:rFonts w:hint="eastAsia" w:ascii="宋体" w:hAnsi="宋体" w:eastAsia="宋体" w:cs="宋体"/>
          <w:sz w:val="24"/>
          <w:szCs w:val="24"/>
          <w:lang w:val="zh-CN" w:eastAsia="zh-CN" w:bidi="ar-SA"/>
        </w:rPr>
        <w:instrText xml:space="preserve"> PAGEREF _Toc6137 \h </w:instrText>
      </w:r>
      <w:r>
        <w:rPr>
          <w:rFonts w:hint="eastAsia" w:ascii="宋体" w:hAnsi="宋体" w:eastAsia="宋体" w:cs="宋体"/>
          <w:sz w:val="24"/>
          <w:szCs w:val="24"/>
          <w:lang w:val="zh-CN" w:eastAsia="zh-CN" w:bidi="ar-SA"/>
        </w:rPr>
        <w:fldChar w:fldCharType="separate"/>
      </w:r>
      <w:r>
        <w:rPr>
          <w:rFonts w:hint="eastAsia" w:ascii="宋体" w:hAnsi="宋体" w:eastAsia="宋体" w:cs="宋体"/>
          <w:sz w:val="24"/>
          <w:szCs w:val="24"/>
          <w:lang w:val="zh-CN" w:eastAsia="zh-CN" w:bidi="ar-SA"/>
        </w:rPr>
        <w:t>32</w:t>
      </w:r>
      <w:r>
        <w:rPr>
          <w:rFonts w:hint="eastAsia" w:ascii="宋体" w:hAnsi="宋体" w:eastAsia="宋体" w:cs="宋体"/>
          <w:sz w:val="24"/>
          <w:szCs w:val="24"/>
          <w:lang w:val="zh-CN" w:eastAsia="zh-CN" w:bidi="ar-SA"/>
        </w:rPr>
        <w:fldChar w:fldCharType="end"/>
      </w:r>
      <w:r>
        <w:rPr>
          <w:rFonts w:hint="eastAsia" w:ascii="宋体" w:hAnsi="宋体" w:eastAsia="宋体" w:cs="宋体"/>
          <w:sz w:val="24"/>
          <w:szCs w:val="24"/>
          <w:lang w:val="zh-CN" w:eastAsia="zh-CN" w:bidi="ar-SA"/>
        </w:rPr>
        <w:fldChar w:fldCharType="end"/>
      </w:r>
    </w:p>
    <w:p>
      <w:pPr>
        <w:pStyle w:val="13"/>
        <w:tabs>
          <w:tab w:val="right" w:leader="dot" w:pos="8612"/>
        </w:tabs>
        <w:spacing w:line="440" w:lineRule="exact"/>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fldChar w:fldCharType="end"/>
      </w:r>
    </w:p>
    <w:p>
      <w:pPr>
        <w:rPr>
          <w:rFonts w:hint="eastAsia" w:ascii="宋体" w:hAnsi="宋体" w:cs="宋体"/>
          <w:sz w:val="24"/>
          <w:szCs w:val="24"/>
          <w:lang w:val="zh-CN"/>
        </w:rPr>
      </w:pPr>
    </w:p>
    <w:p>
      <w:pPr>
        <w:overflowPunct w:val="0"/>
        <w:topLinePunct/>
        <w:jc w:val="center"/>
        <w:outlineLvl w:val="0"/>
        <w:rPr>
          <w:rFonts w:hint="eastAsia" w:ascii="方正小标宋简体" w:eastAsia="方正小标宋简体"/>
          <w:sz w:val="44"/>
          <w:szCs w:val="44"/>
        </w:rPr>
        <w:sectPr>
          <w:pgSz w:w="12240" w:h="15840"/>
          <w:pgMar w:top="2098" w:right="1474" w:bottom="1984" w:left="2154" w:header="720" w:footer="720" w:gutter="0"/>
          <w:lnNumType w:countBy="0" w:distance="360"/>
          <w:pgNumType w:start="1"/>
          <w:cols w:space="720" w:num="1"/>
        </w:sectPr>
      </w:pPr>
      <w:bookmarkStart w:id="1" w:name="_Toc15175"/>
    </w:p>
    <w:p>
      <w:pPr>
        <w:overflowPunct w:val="0"/>
        <w:topLinePunct/>
        <w:jc w:val="center"/>
        <w:outlineLvl w:val="0"/>
        <w:rPr>
          <w:rFonts w:hint="eastAsia" w:ascii="方正小标宋简体" w:eastAsia="方正小标宋简体"/>
          <w:sz w:val="44"/>
          <w:szCs w:val="44"/>
        </w:rPr>
      </w:pPr>
      <w:r>
        <w:rPr>
          <w:rFonts w:hint="eastAsia" w:ascii="方正小标宋简体" w:eastAsia="方正小标宋简体"/>
          <w:sz w:val="44"/>
          <w:szCs w:val="44"/>
        </w:rPr>
        <w:t>第一部分 单位概况</w:t>
      </w:r>
      <w:bookmarkEnd w:id="0"/>
      <w:bookmarkEnd w:id="1"/>
    </w:p>
    <w:p>
      <w:pPr>
        <w:pStyle w:val="5"/>
        <w:overflowPunct w:val="0"/>
        <w:topLinePunct/>
        <w:spacing w:before="72"/>
        <w:rPr>
          <w:rFonts w:hint="eastAsia"/>
          <w:sz w:val="30"/>
          <w:szCs w:val="24"/>
        </w:rPr>
      </w:pPr>
    </w:p>
    <w:p>
      <w:pPr>
        <w:pStyle w:val="3"/>
        <w:overflowPunct w:val="0"/>
        <w:topLinePunct/>
        <w:spacing w:line="576" w:lineRule="exact"/>
        <w:ind w:firstLine="640" w:firstLineChars="200"/>
        <w:jc w:val="both"/>
        <w:rPr>
          <w:rFonts w:hint="eastAsia" w:ascii="黑体" w:hAnsi="黑体" w:eastAsia="黑体"/>
          <w:kern w:val="2"/>
          <w:sz w:val="32"/>
          <w:szCs w:val="24"/>
        </w:rPr>
      </w:pPr>
      <w:bookmarkStart w:id="2" w:name="_Toc12613"/>
      <w:r>
        <w:rPr>
          <w:rFonts w:hint="eastAsia" w:ascii="黑体" w:hAnsi="黑体" w:eastAsia="黑体"/>
          <w:color w:val="000000"/>
          <w:kern w:val="2"/>
          <w:sz w:val="32"/>
          <w:szCs w:val="24"/>
        </w:rPr>
        <w:t>一、主要职责</w:t>
      </w:r>
      <w:bookmarkEnd w:id="2"/>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pPr>
        <w:pStyle w:val="5"/>
        <w:spacing w:line="576" w:lineRule="exact"/>
        <w:ind w:firstLine="640" w:firstLineChars="200"/>
        <w:rPr>
          <w:rFonts w:hint="eastAsia"/>
          <w:sz w:val="32"/>
          <w:szCs w:val="32"/>
        </w:rPr>
      </w:pPr>
      <w:r>
        <w:rPr>
          <w:rFonts w:hint="eastAsia"/>
          <w:sz w:val="32"/>
          <w:szCs w:val="32"/>
        </w:rPr>
        <w:t>1.负责贯彻执行国家、省、市、区有关医疗保险、生育保险、医疗救助、长期护理保险等医疗保障政策制度。</w:t>
      </w:r>
    </w:p>
    <w:p>
      <w:pPr>
        <w:pStyle w:val="5"/>
        <w:spacing w:line="576" w:lineRule="exact"/>
        <w:ind w:firstLine="640" w:firstLineChars="200"/>
        <w:rPr>
          <w:rFonts w:hint="eastAsia"/>
          <w:sz w:val="32"/>
          <w:szCs w:val="32"/>
        </w:rPr>
      </w:pPr>
      <w:r>
        <w:rPr>
          <w:rFonts w:hint="eastAsia"/>
          <w:sz w:val="32"/>
          <w:szCs w:val="32"/>
        </w:rPr>
        <w:t>2.贯彻执行有关地方性法规和规章；组织起草全区医疗保障规范性文件；负责拟订全区医疗保障事业发展规划，并组织实施和监督检查。</w:t>
      </w:r>
    </w:p>
    <w:p>
      <w:pPr>
        <w:pStyle w:val="5"/>
        <w:spacing w:line="576" w:lineRule="exact"/>
        <w:ind w:firstLine="640" w:firstLineChars="200"/>
        <w:rPr>
          <w:rFonts w:hint="eastAsia"/>
          <w:sz w:val="32"/>
          <w:szCs w:val="32"/>
        </w:rPr>
      </w:pPr>
      <w:r>
        <w:rPr>
          <w:rFonts w:hint="eastAsia"/>
          <w:sz w:val="32"/>
          <w:szCs w:val="32"/>
        </w:rPr>
        <w:t>3.贯彻执行医疗保障基金监督管理制度，建立健全医疗保障基金安全防控机制，监督强化全区医疗保障基金运行管理。</w:t>
      </w:r>
    </w:p>
    <w:p>
      <w:pPr>
        <w:pStyle w:val="5"/>
        <w:spacing w:line="576" w:lineRule="exact"/>
        <w:ind w:firstLine="640" w:firstLineChars="200"/>
        <w:rPr>
          <w:rFonts w:hint="eastAsia"/>
          <w:sz w:val="32"/>
          <w:szCs w:val="32"/>
        </w:rPr>
      </w:pPr>
      <w:r>
        <w:rPr>
          <w:rFonts w:hint="eastAsia"/>
          <w:sz w:val="32"/>
          <w:szCs w:val="32"/>
        </w:rPr>
        <w:t>4.拟订医疗保障基金年度收支计划，负责医疗保障基金归集，按政策和标准支付医疗保障待遇，完善动态调整和区域调剂平衡机制。</w:t>
      </w:r>
    </w:p>
    <w:p>
      <w:pPr>
        <w:pStyle w:val="5"/>
        <w:spacing w:line="576" w:lineRule="exact"/>
        <w:ind w:firstLine="640" w:firstLineChars="200"/>
        <w:rPr>
          <w:rFonts w:hint="eastAsia"/>
          <w:sz w:val="32"/>
          <w:szCs w:val="32"/>
        </w:rPr>
      </w:pPr>
      <w:r>
        <w:rPr>
          <w:rFonts w:hint="eastAsia"/>
          <w:sz w:val="32"/>
          <w:szCs w:val="32"/>
        </w:rPr>
        <w:t>5.贯彻执行上级药品目录、医用耗材、医疗服务项目、医疗服务设施等医疗保障目录和支付标准政策；贯彻执行上级有关医保目录准入谈判规则。</w:t>
      </w:r>
    </w:p>
    <w:p>
      <w:pPr>
        <w:pStyle w:val="5"/>
        <w:spacing w:line="576" w:lineRule="exact"/>
        <w:ind w:firstLine="640" w:firstLineChars="200"/>
        <w:rPr>
          <w:rFonts w:hint="eastAsia"/>
          <w:sz w:val="32"/>
          <w:szCs w:val="32"/>
        </w:rPr>
      </w:pPr>
      <w:r>
        <w:rPr>
          <w:rFonts w:hint="eastAsia"/>
          <w:sz w:val="32"/>
          <w:szCs w:val="32"/>
        </w:rPr>
        <w:t>6.贯彻执行上级药品、医用耗材价格和医疗服务项目、医疗服务设施收费等政策；建立医保支付医药服务价格合理确定和动态调整机制；推动建立市场主导的社会医药服务价格形成机制；建立价格信息监测和信息发布制度。</w:t>
      </w:r>
    </w:p>
    <w:p>
      <w:pPr>
        <w:pStyle w:val="5"/>
        <w:spacing w:line="576" w:lineRule="exact"/>
        <w:ind w:firstLine="640" w:firstLineChars="200"/>
        <w:rPr>
          <w:rFonts w:hint="eastAsia"/>
          <w:sz w:val="32"/>
          <w:szCs w:val="32"/>
        </w:rPr>
      </w:pPr>
      <w:r>
        <w:rPr>
          <w:rFonts w:hint="eastAsia"/>
          <w:sz w:val="32"/>
          <w:szCs w:val="32"/>
        </w:rPr>
        <w:t>7.贯彻执行上级药品、医用耗材的招标采购政策；负责全区药品、医用耗材招标采购平台建设。指导大病保险业务经办工作。</w:t>
      </w:r>
    </w:p>
    <w:p>
      <w:pPr>
        <w:pStyle w:val="5"/>
        <w:spacing w:line="576" w:lineRule="exact"/>
        <w:ind w:firstLine="640" w:firstLineChars="200"/>
        <w:rPr>
          <w:rFonts w:hint="eastAsia"/>
          <w:sz w:val="32"/>
          <w:szCs w:val="32"/>
        </w:rPr>
      </w:pPr>
      <w:r>
        <w:rPr>
          <w:rFonts w:hint="eastAsia"/>
          <w:sz w:val="32"/>
          <w:szCs w:val="32"/>
        </w:rPr>
        <w:t>8.推进医疗保障基金支付方式改革。拟订全区定点医药机构医保协议和支付管理办法并组织实施；负责全区医保定点医药机构管理和考核工作。</w:t>
      </w:r>
    </w:p>
    <w:p>
      <w:pPr>
        <w:pStyle w:val="5"/>
        <w:spacing w:line="576" w:lineRule="exact"/>
        <w:ind w:firstLine="640" w:firstLineChars="200"/>
        <w:rPr>
          <w:rFonts w:hint="eastAsia"/>
          <w:sz w:val="32"/>
          <w:szCs w:val="32"/>
        </w:rPr>
      </w:pPr>
      <w:r>
        <w:rPr>
          <w:rFonts w:hint="eastAsia"/>
          <w:sz w:val="32"/>
          <w:szCs w:val="32"/>
        </w:rPr>
        <w:t>9.建立健全医疗保障信用评价体系和信息披露制度；推进协议服务机构标准化建设，建立协议服务机构准入和退出机制；监督管理纳入医保范围内的医疗服务行为和医疗费用，依法查处医疗保障领域违法违规行为。</w:t>
      </w:r>
    </w:p>
    <w:p>
      <w:pPr>
        <w:pStyle w:val="5"/>
        <w:spacing w:line="576" w:lineRule="exact"/>
        <w:ind w:firstLine="640" w:firstLineChars="200"/>
        <w:rPr>
          <w:rFonts w:hint="eastAsia"/>
          <w:sz w:val="32"/>
          <w:szCs w:val="32"/>
        </w:rPr>
      </w:pPr>
      <w:r>
        <w:rPr>
          <w:rFonts w:hint="eastAsia"/>
          <w:sz w:val="32"/>
          <w:szCs w:val="32"/>
        </w:rPr>
        <w:t>10.负责全区医疗保障经办管理、公共服务体系建设；贯彻执行异地就医管理和费用结算政策。负责执行医疗保障关系转移接续制度。监督管理全区医保经办服务工作；开展医疗保障领域对外合作交流。</w:t>
      </w:r>
    </w:p>
    <w:p>
      <w:pPr>
        <w:pStyle w:val="5"/>
        <w:spacing w:line="576" w:lineRule="exact"/>
        <w:ind w:firstLine="640" w:firstLineChars="200"/>
        <w:rPr>
          <w:rFonts w:hint="eastAsia"/>
          <w:sz w:val="32"/>
          <w:szCs w:val="32"/>
        </w:rPr>
      </w:pPr>
      <w:r>
        <w:rPr>
          <w:rFonts w:hint="eastAsia"/>
          <w:sz w:val="32"/>
          <w:szCs w:val="32"/>
        </w:rPr>
        <w:t>11.负责推进实施全区医疗保障信息化建设，组织开展医疗保障大数据管理和应用。</w:t>
      </w:r>
    </w:p>
    <w:p>
      <w:pPr>
        <w:pStyle w:val="5"/>
        <w:spacing w:line="576" w:lineRule="exact"/>
        <w:ind w:firstLine="640" w:firstLineChars="200"/>
        <w:rPr>
          <w:rFonts w:hint="eastAsia"/>
          <w:sz w:val="32"/>
          <w:szCs w:val="32"/>
        </w:rPr>
      </w:pPr>
      <w:r>
        <w:rPr>
          <w:rFonts w:hint="eastAsia"/>
          <w:sz w:val="32"/>
          <w:szCs w:val="32"/>
        </w:rPr>
        <w:t>12.负责职责范围内的安全生产和职业健康、生态环境保护、审批服务便民化等工作。</w:t>
      </w:r>
    </w:p>
    <w:p>
      <w:pPr>
        <w:pStyle w:val="5"/>
        <w:spacing w:line="576" w:lineRule="exact"/>
        <w:ind w:firstLine="640" w:firstLineChars="200"/>
        <w:rPr>
          <w:rFonts w:hint="eastAsia"/>
          <w:sz w:val="32"/>
          <w:szCs w:val="32"/>
        </w:rPr>
      </w:pPr>
      <w:r>
        <w:rPr>
          <w:rFonts w:hint="eastAsia"/>
          <w:sz w:val="32"/>
          <w:szCs w:val="32"/>
        </w:rPr>
        <w:t>13.完成区委、区政府交办的其他任务。</w:t>
      </w:r>
    </w:p>
    <w:p>
      <w:pPr>
        <w:pStyle w:val="5"/>
        <w:spacing w:line="576" w:lineRule="exact"/>
        <w:ind w:firstLine="640" w:firstLineChars="200"/>
        <w:rPr>
          <w:rFonts w:hint="eastAsia"/>
          <w:sz w:val="32"/>
          <w:szCs w:val="32"/>
        </w:rPr>
      </w:pPr>
      <w:r>
        <w:rPr>
          <w:rFonts w:hint="eastAsia"/>
          <w:sz w:val="32"/>
          <w:szCs w:val="32"/>
        </w:rPr>
        <w:t>14.职能转变。完善统一的城乡居民基本医疗保险制度、大病保险制度和医疗救助制度，不断提高医疗保障水平，建立健全覆盖全民、城乡统筹的多层次医疗保障体系，确保医保资金合理使用、安全可控，推进医疗、医保、医药“三医联动”改革，更好保障人民群众就医需求、减轻医药费用负担。</w:t>
      </w:r>
    </w:p>
    <w:p>
      <w:pPr>
        <w:pStyle w:val="5"/>
        <w:spacing w:line="576" w:lineRule="exact"/>
        <w:ind w:firstLine="640" w:firstLineChars="200"/>
        <w:rPr>
          <w:rFonts w:hint="eastAsia"/>
          <w:sz w:val="32"/>
          <w:szCs w:val="32"/>
        </w:rPr>
      </w:pPr>
      <w:r>
        <w:rPr>
          <w:rFonts w:hint="eastAsia"/>
          <w:sz w:val="32"/>
          <w:szCs w:val="32"/>
        </w:rPr>
        <w:t>15.有关职责分工。区卫生健康局、区医保局和区市场监督管理局等部门在医疗、医保、医药等方面加强制度、政策衔接，建立沟通协商机制，协同推进改革，提高医疗资源使用效率和医疗保障水平。</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（二）2023年重点工作完成情况。</w:t>
      </w:r>
    </w:p>
    <w:p>
      <w:pPr>
        <w:numPr>
          <w:ilvl w:val="0"/>
          <w:numId w:val="0"/>
        </w:numPr>
        <w:adjustRightInd/>
        <w:spacing w:line="560" w:lineRule="exact"/>
        <w:ind w:firstLine="680" w:firstLineChars="200"/>
        <w:rPr>
          <w:rFonts w:hint="eastAsia" w:eastAsia="仿宋_GB2312"/>
          <w:sz w:val="32"/>
          <w:szCs w:val="32"/>
        </w:rPr>
      </w:pPr>
      <w:r>
        <w:rPr>
          <w:rFonts w:hint="eastAsia" w:ascii="楷体_GB2312" w:hAnsi="楷体_GB2312" w:eastAsia="楷体_GB2312" w:cs="楷体_GB2312"/>
          <w:sz w:val="34"/>
          <w:szCs w:val="34"/>
        </w:rPr>
        <w:t>医保征收圆满收官。</w:t>
      </w:r>
      <w:r>
        <w:rPr>
          <w:rFonts w:hint="eastAsia" w:ascii="仿宋" w:hAnsi="仿宋" w:eastAsia="仿宋" w:cs="仿宋"/>
          <w:color w:val="auto"/>
          <w:sz w:val="32"/>
          <w:szCs w:val="32"/>
        </w:rPr>
        <w:t>聚焦医保服务中的难点、堵点，常态化多形式开展医保政策普法活动，修订完善《医保业务办事指南》和《医保业务经办指南》，制发医保政策和打击骗保宣传折页4万余份，广大群众按时参缴医保的积极性不断提升。</w:t>
      </w:r>
      <w:r>
        <w:rPr>
          <w:rFonts w:hint="eastAsia" w:ascii="仿宋" w:hAnsi="仿宋" w:eastAsia="仿宋" w:cs="仿宋"/>
          <w:sz w:val="32"/>
          <w:szCs w:val="32"/>
        </w:rPr>
        <w:t>2023年度，全区城乡居民参加医保人数180672人（含特殊人员39918人），收缴医疗保险费用6324万元，各级财政补助11563万元，总参保率和特殊人员参保率均达100%，跻身全市全面完成省下民生目标任务县区之一。</w:t>
      </w:r>
    </w:p>
    <w:p>
      <w:pPr>
        <w:numPr>
          <w:ilvl w:val="0"/>
          <w:numId w:val="0"/>
        </w:numPr>
        <w:adjustRightInd/>
        <w:spacing w:line="560" w:lineRule="exact"/>
        <w:ind w:firstLine="680" w:firstLineChars="200"/>
        <w:rPr>
          <w:rFonts w:hint="eastAsia" w:ascii="仿宋" w:hAnsi="仿宋" w:eastAsia="仿宋" w:cs="仿宋"/>
          <w:color w:val="auto"/>
          <w:sz w:val="32"/>
          <w:szCs w:val="32"/>
        </w:rPr>
      </w:pPr>
      <w:r>
        <w:rPr>
          <w:rFonts w:hint="eastAsia" w:ascii="楷体_GB2312" w:hAnsi="楷体_GB2312" w:eastAsia="楷体_GB2312" w:cs="楷体_GB2312"/>
          <w:sz w:val="34"/>
          <w:szCs w:val="34"/>
        </w:rPr>
        <w:t>民生兜底更有保障</w:t>
      </w:r>
      <w:r>
        <w:rPr>
          <w:rFonts w:hint="eastAsia" w:ascii="仿宋" w:hAnsi="仿宋" w:eastAsia="仿宋" w:cs="仿宋"/>
          <w:color w:val="auto"/>
          <w:sz w:val="32"/>
          <w:szCs w:val="32"/>
        </w:rPr>
        <w:t>。健全完善医疗救助制度，充分发挥医疗救助托底作用。2023年度，累计救助各类特殊人员20642人，拨付救助资金859.4万元，有力避免困难群众因罹患重特大疾病影响基本生活。同时，积极助力乡村振兴，牵头</w:t>
      </w:r>
      <w:r>
        <w:rPr>
          <w:rFonts w:hint="eastAsia" w:ascii="仿宋" w:hAnsi="仿宋" w:eastAsia="仿宋" w:cs="仿宋"/>
          <w:snapToGrid w:val="0"/>
          <w:color w:val="auto"/>
          <w:sz w:val="32"/>
          <w:szCs w:val="32"/>
        </w:rPr>
        <w:t>出台《昭化区低收入人口动态监测数据共享比对机制》，定期向相关部门推送预警信息名单，为阻击因病致贫返贫提供信息支撑。</w:t>
      </w:r>
      <w:r>
        <w:rPr>
          <w:rFonts w:hint="eastAsia" w:ascii="仿宋" w:hAnsi="仿宋" w:eastAsia="仿宋" w:cs="仿宋"/>
          <w:color w:val="auto"/>
          <w:sz w:val="32"/>
          <w:szCs w:val="32"/>
        </w:rPr>
        <w:t>2023年度，集中开展风险预警筛查11批次，发现反馈</w:t>
      </w:r>
      <w:r>
        <w:rPr>
          <w:rFonts w:hint="eastAsia" w:ascii="仿宋" w:hAnsi="仿宋" w:eastAsia="仿宋" w:cs="仿宋"/>
          <w:snapToGrid w:val="0"/>
          <w:color w:val="auto"/>
          <w:sz w:val="32"/>
          <w:szCs w:val="32"/>
        </w:rPr>
        <w:t>风险人群1600余人次。</w:t>
      </w:r>
    </w:p>
    <w:p>
      <w:pPr>
        <w:numPr>
          <w:ilvl w:val="0"/>
          <w:numId w:val="0"/>
        </w:numPr>
        <w:adjustRightInd/>
        <w:spacing w:line="560" w:lineRule="exact"/>
        <w:ind w:firstLine="680" w:firstLineChars="200"/>
        <w:rPr>
          <w:rFonts w:hint="eastAsia" w:ascii="仿宋" w:hAnsi="仿宋" w:eastAsia="仿宋" w:cs="仿宋"/>
          <w:color w:val="auto"/>
          <w:sz w:val="32"/>
          <w:szCs w:val="32"/>
        </w:rPr>
      </w:pPr>
      <w:r>
        <w:rPr>
          <w:rFonts w:hint="eastAsia" w:ascii="楷体_GB2312" w:hAnsi="楷体_GB2312" w:eastAsia="楷体_GB2312" w:cs="楷体_GB2312"/>
          <w:sz w:val="34"/>
          <w:szCs w:val="34"/>
        </w:rPr>
        <w:t>基金拨付及时到位</w:t>
      </w:r>
      <w:r>
        <w:rPr>
          <w:rFonts w:hint="eastAsia" w:ascii="仿宋" w:hAnsi="仿宋" w:eastAsia="仿宋" w:cs="仿宋"/>
          <w:color w:val="auto"/>
          <w:sz w:val="32"/>
          <w:szCs w:val="32"/>
          <w:shd w:val="clear" w:color="auto" w:fill="FFFFFF"/>
        </w:rPr>
        <w:t>。牢固树立取之于民用之于民的工作理念，严格按照医保基金支付范围标准，采取逐一核实、应付尽付原则，及时足额向相关医疗机构拨付医保基金。</w:t>
      </w:r>
      <w:r>
        <w:rPr>
          <w:rFonts w:hint="eastAsia" w:ascii="仿宋" w:hAnsi="仿宋" w:eastAsia="仿宋" w:cs="仿宋"/>
          <w:sz w:val="32"/>
          <w:szCs w:val="32"/>
        </w:rPr>
        <w:t>2023年度</w:t>
      </w:r>
      <w:r>
        <w:rPr>
          <w:rFonts w:hint="eastAsia" w:ascii="仿宋" w:hAnsi="仿宋" w:eastAsia="仿宋" w:cs="仿宋"/>
          <w:color w:val="auto"/>
          <w:kern w:val="2"/>
          <w:sz w:val="32"/>
          <w:szCs w:val="32"/>
        </w:rPr>
        <w:t>，全区定点医疗机构</w:t>
      </w:r>
      <w:r>
        <w:rPr>
          <w:rFonts w:hint="eastAsia" w:ascii="仿宋" w:hAnsi="仿宋" w:eastAsia="仿宋" w:cs="仿宋"/>
          <w:color w:val="auto"/>
          <w:sz w:val="32"/>
          <w:szCs w:val="32"/>
        </w:rPr>
        <w:t>城乡居民住院22504人次、拨付医保统筹基金4126.66万元，职工住院1542人次、医保支付统筹基金334.45万元，支付比例分别同比增长10.18、29.13个百分点，就医群体满意度和获得感显著增强。</w:t>
      </w:r>
    </w:p>
    <w:p>
      <w:pPr>
        <w:keepNext/>
        <w:keepLines/>
        <w:spacing w:line="576" w:lineRule="exact"/>
        <w:ind w:firstLine="640"/>
        <w:jc w:val="both"/>
        <w:rPr>
          <w:rFonts w:hint="eastAsia" w:ascii="仿宋" w:hAnsi="仿宋" w:eastAsia="仿宋" w:cs="仿宋"/>
          <w:color w:val="auto"/>
          <w:sz w:val="32"/>
          <w:szCs w:val="32"/>
        </w:rPr>
      </w:pPr>
      <w:r>
        <w:rPr>
          <w:rFonts w:hint="eastAsia" w:ascii="楷体_GB2312" w:hAnsi="楷体_GB2312" w:eastAsia="楷体_GB2312" w:cs="楷体_GB2312"/>
          <w:sz w:val="34"/>
          <w:szCs w:val="34"/>
        </w:rPr>
        <w:t>药械集采高效规范。</w:t>
      </w:r>
      <w:r>
        <w:rPr>
          <w:rFonts w:hint="eastAsia" w:ascii="仿宋" w:hAnsi="仿宋" w:eastAsia="仿宋" w:cs="仿宋"/>
          <w:color w:val="auto"/>
          <w:sz w:val="32"/>
          <w:szCs w:val="32"/>
        </w:rPr>
        <w:t>依托全国统一医保信息平台，做深做实做细带量采购药械工作力度，深化形成药械集采信息流、订单流、付款流“三流合一”，切实降低群众就医购药负担。2023年度，通过省平台采购药械2300余万元，平台采购率达98%以上，其中带量采购药械同比上涨50%以上，采购费用平均下降60%以上，节约医保资金约660万元。</w:t>
      </w:r>
    </w:p>
    <w:p>
      <w:pPr>
        <w:autoSpaceDE/>
        <w:autoSpaceDN/>
        <w:adjustRightInd/>
        <w:spacing w:line="576" w:lineRule="exact"/>
        <w:ind w:firstLine="680" w:firstLineChars="200"/>
        <w:rPr>
          <w:rFonts w:hint="eastAsia" w:ascii="仿宋" w:hAnsi="仿宋" w:eastAsia="仿宋" w:cs="仿宋"/>
          <w:color w:val="auto"/>
          <w:sz w:val="32"/>
          <w:szCs w:val="32"/>
        </w:rPr>
      </w:pPr>
      <w:r>
        <w:rPr>
          <w:rFonts w:hint="eastAsia" w:ascii="楷体_GB2312" w:hAnsi="楷体_GB2312" w:eastAsia="楷体_GB2312" w:cs="楷体_GB2312"/>
          <w:sz w:val="34"/>
          <w:szCs w:val="34"/>
        </w:rPr>
        <w:t>着力加强信息化建设。</w:t>
      </w:r>
      <w:r>
        <w:rPr>
          <w:rFonts w:hint="eastAsia" w:ascii="仿宋" w:hAnsi="仿宋" w:eastAsia="仿宋" w:cs="仿宋"/>
          <w:color w:val="auto"/>
          <w:sz w:val="32"/>
          <w:szCs w:val="32"/>
        </w:rPr>
        <w:t>大力推进“互联网+医保服务”，以“村能办”平台为载体，率先将医保专网延伸至全区所有行政村和社区，推动医保基层服务能力建设，村（社区）医保服务网点实现全覆盖，并在全省率先将一体化政务服务网延伸到户，成功承办了川东北片区医保服务能力交流会、全省医疗保障经办工作会议。纵深推进深化改革，区内17家医疗机构全部实行DRG付费，16家药店、所有医疗机构和诊所全部开通职工门诊统筹报账，医保的公平性、可及性和便捷度得到彰显。积极宣传推广医保电子凭证，激活率位居全市第一。</w:t>
      </w:r>
    </w:p>
    <w:p>
      <w:pPr>
        <w:autoSpaceDE/>
        <w:autoSpaceDN/>
        <w:adjustRightInd/>
        <w:spacing w:line="576" w:lineRule="exact"/>
        <w:ind w:firstLine="640" w:firstLineChars="200"/>
        <w:rPr>
          <w:rFonts w:hint="eastAsia"/>
          <w:sz w:val="24"/>
          <w:szCs w:val="24"/>
        </w:rPr>
      </w:pPr>
      <w:r>
        <w:rPr>
          <w:rFonts w:hint="eastAsia" w:ascii="楷体" w:hAnsi="楷体" w:eastAsia="楷体" w:cs="楷体"/>
          <w:kern w:val="2"/>
          <w:sz w:val="32"/>
          <w:szCs w:val="32"/>
        </w:rPr>
        <w:t>“铁面”推动全面从严治党。</w:t>
      </w:r>
      <w:r>
        <w:rPr>
          <w:rFonts w:hint="eastAsia" w:ascii="仿宋_GB2312" w:hAnsi="仿宋_GB2312" w:eastAsia="仿宋_GB2312" w:cs="仿宋_GB2312"/>
          <w:kern w:val="2"/>
          <w:sz w:val="32"/>
          <w:szCs w:val="32"/>
        </w:rPr>
        <w:t>切实履行管党治党主体责任，</w:t>
      </w:r>
      <w:r>
        <w:rPr>
          <w:rFonts w:hint="eastAsia" w:ascii="仿宋_GB2312" w:hAnsi="仿宋_GB2312" w:eastAsia="仿宋_GB2312" w:cs="仿宋_GB2312"/>
          <w:sz w:val="36"/>
          <w:szCs w:val="36"/>
          <w:lang w:bidi="ar"/>
        </w:rPr>
        <w:t>制定</w:t>
      </w:r>
      <w:r>
        <w:rPr>
          <w:rFonts w:hint="eastAsia" w:ascii="仿宋" w:hAnsi="仿宋" w:eastAsia="仿宋" w:cs="仿宋"/>
          <w:snapToGrid w:val="0"/>
          <w:color w:val="auto"/>
          <w:sz w:val="32"/>
          <w:szCs w:val="32"/>
        </w:rPr>
        <w:t>出台《2023年全面从严治党主体责任和监督责任清单》，全年组织研究党风廉政建设工作6次，排查整改重点岗位风险权力2项。</w:t>
      </w:r>
      <w:r>
        <w:rPr>
          <w:rFonts w:hint="eastAsia" w:ascii="仿宋_GB2312" w:hAnsi="仿宋_GB2312" w:eastAsia="仿宋_GB2312" w:cs="仿宋_GB2312"/>
          <w:kern w:val="2"/>
          <w:sz w:val="32"/>
          <w:szCs w:val="32"/>
        </w:rPr>
        <w:t>聚焦关键节点常态开展监督检查，严肃查处违反中央八项规定精神和“四风”问题，全年</w:t>
      </w:r>
      <w:r>
        <w:rPr>
          <w:rFonts w:hint="eastAsia" w:ascii="仿宋" w:hAnsi="仿宋" w:eastAsia="仿宋" w:cs="仿宋"/>
          <w:snapToGrid w:val="0"/>
          <w:color w:val="auto"/>
          <w:sz w:val="32"/>
          <w:szCs w:val="32"/>
        </w:rPr>
        <w:t>学习相关文件精神10份</w:t>
      </w:r>
      <w:r>
        <w:rPr>
          <w:rFonts w:hint="eastAsia" w:eastAsia="仿宋_GB2312"/>
          <w:color w:val="000000"/>
          <w:sz w:val="32"/>
          <w:szCs w:val="32"/>
        </w:rPr>
        <w:t>，</w:t>
      </w:r>
      <w:r>
        <w:rPr>
          <w:rFonts w:hint="eastAsia" w:ascii="仿宋" w:hAnsi="仿宋" w:eastAsia="仿宋" w:cs="仿宋"/>
          <w:snapToGrid w:val="0"/>
          <w:color w:val="auto"/>
          <w:sz w:val="32"/>
          <w:szCs w:val="32"/>
        </w:rPr>
        <w:t>开展警示教育6次。</w:t>
      </w:r>
      <w:r>
        <w:rPr>
          <w:rFonts w:hint="eastAsia" w:eastAsia="仿宋_GB2312"/>
          <w:color w:val="000000"/>
          <w:sz w:val="32"/>
          <w:szCs w:val="32"/>
        </w:rPr>
        <w:t>坚持标本兼治驰而不息正风反腐，系统深入</w:t>
      </w:r>
      <w:r>
        <w:rPr>
          <w:rFonts w:hint="eastAsia" w:ascii="仿宋" w:hAnsi="仿宋" w:eastAsia="仿宋" w:cs="仿宋"/>
          <w:color w:val="auto"/>
          <w:sz w:val="32"/>
          <w:szCs w:val="32"/>
        </w:rPr>
        <w:t>开展医药领域腐败问题集中治理，全年发现医疗违规问题10类，约谈违规违约定点医药机构26家，追回医保基金107.46万元。</w:t>
      </w:r>
    </w:p>
    <w:p>
      <w:pPr>
        <w:pStyle w:val="3"/>
        <w:overflowPunct w:val="0"/>
        <w:topLinePunct/>
        <w:spacing w:line="576" w:lineRule="exact"/>
        <w:ind w:firstLine="640" w:firstLineChars="200"/>
        <w:jc w:val="both"/>
        <w:rPr>
          <w:rFonts w:hint="default" w:ascii="Cambria" w:cs="Cambria"/>
          <w:kern w:val="2"/>
          <w:sz w:val="32"/>
          <w:szCs w:val="24"/>
        </w:rPr>
      </w:pPr>
      <w:bookmarkStart w:id="3" w:name="_Toc3437"/>
      <w:r>
        <w:rPr>
          <w:rFonts w:hint="eastAsia" w:ascii="黑体" w:hAnsi="黑体" w:eastAsia="黑体"/>
          <w:color w:val="000000"/>
          <w:kern w:val="2"/>
          <w:sz w:val="32"/>
          <w:szCs w:val="24"/>
        </w:rPr>
        <w:t>二、机</w:t>
      </w:r>
      <w:r>
        <w:rPr>
          <w:rFonts w:hint="eastAsia" w:ascii="黑体" w:hAnsi="黑体" w:eastAsia="黑体"/>
          <w:kern w:val="2"/>
          <w:sz w:val="32"/>
          <w:szCs w:val="24"/>
        </w:rPr>
        <w:t>构设置</w:t>
      </w:r>
      <w:bookmarkEnd w:id="3"/>
    </w:p>
    <w:p>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广元市昭化区医疗保障局属于一级预算单位，下属二级预算单位0个，下设2个机构为广元市昭化区医疗保障局事务中心和信息中心，经费统管。总编制23名，其中：行政编制5名，参照公务员法管理的事业编制11名,事业编制7名。。2023年预算实有在编在职人数21人，其中：公务员4名，参公人员11名，事业人员6名。</w:t>
      </w:r>
    </w:p>
    <w:p>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color w:val="000000"/>
          <w:sz w:val="32"/>
          <w:szCs w:val="24"/>
        </w:rPr>
        <w:t>纳入2023年度单位决算编制范围的独立编制机构包括：</w:t>
      </w:r>
      <w:r>
        <w:rPr>
          <w:rFonts w:hint="eastAsia" w:ascii="仿宋_GB2312" w:hAnsi="仿宋_GB2312" w:eastAsia="仿宋_GB2312"/>
          <w:kern w:val="2"/>
          <w:sz w:val="32"/>
          <w:szCs w:val="24"/>
        </w:rPr>
        <w:t>广元市昭化区医疗保障局</w:t>
      </w:r>
    </w:p>
    <w:p>
      <w:pPr>
        <w:overflowPunct w:val="0"/>
        <w:topLinePunct/>
        <w:spacing w:line="576" w:lineRule="exact"/>
        <w:ind w:firstLine="640" w:firstLineChars="200"/>
        <w:jc w:val="both"/>
        <w:outlineLvl w:val="0"/>
        <w:rPr>
          <w:rFonts w:hint="eastAsia" w:ascii="方正小标宋简体" w:eastAsia="方正小标宋简体"/>
          <w:sz w:val="44"/>
          <w:szCs w:val="44"/>
        </w:rPr>
      </w:pPr>
      <w:r>
        <w:rPr>
          <w:rFonts w:hint="eastAsia" w:ascii="仿宋_GB2312" w:hAnsi="仿宋_GB2312" w:eastAsia="仿宋_GB2312"/>
          <w:kern w:val="2"/>
          <w:sz w:val="32"/>
          <w:szCs w:val="24"/>
        </w:rPr>
        <w:br w:type="page"/>
      </w:r>
      <w:bookmarkStart w:id="4" w:name="_Toc17820"/>
      <w:bookmarkStart w:id="5" w:name="_Toc31424"/>
      <w:r>
        <w:rPr>
          <w:rFonts w:hint="eastAsia" w:ascii="方正小标宋简体" w:eastAsia="方正小标宋简体"/>
          <w:sz w:val="44"/>
          <w:szCs w:val="44"/>
        </w:rPr>
        <w:t>第二部分 2023年度单位决算情况说明</w:t>
      </w:r>
      <w:bookmarkEnd w:id="4"/>
      <w:bookmarkEnd w:id="5"/>
    </w:p>
    <w:p>
      <w:pPr>
        <w:pStyle w:val="3"/>
        <w:overflowPunct w:val="0"/>
        <w:topLinePunct/>
        <w:spacing w:line="576" w:lineRule="exact"/>
        <w:ind w:firstLine="640" w:firstLineChars="200"/>
        <w:jc w:val="both"/>
        <w:rPr>
          <w:rFonts w:hint="eastAsia" w:ascii="黑体" w:hAnsi="黑体" w:eastAsia="黑体"/>
          <w:kern w:val="2"/>
          <w:sz w:val="32"/>
          <w:szCs w:val="24"/>
        </w:rPr>
      </w:pPr>
      <w:bookmarkStart w:id="6" w:name="_Toc14547"/>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bookmarkEnd w:id="6"/>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2023年度收、支总计均为570.73万元。与2022年度相比，收、支总计各增加97.2万元，增长17%。主要变动原因是增加基金监管工作经费、新冠疫苗疫苗费及接种费财政补助等卫生健康项目支出。</w:t>
      </w:r>
    </w:p>
    <w:p>
      <w:pPr>
        <w:overflowPunct w:val="0"/>
        <w:topLinePunct/>
        <w:spacing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pict>
          <v:shape id="Object 2" o:spid="_x0000_s1027" o:spt="75" type="#_x0000_t75" style="position:absolute;left:0pt;margin-left:18.9pt;margin-top:16.8pt;height:237pt;width:415.5pt;mso-wrap-distance-bottom:0pt;mso-wrap-distance-left:9pt;mso-wrap-distance-right:9pt;mso-wrap-distance-top:0pt;z-index:251659264;mso-width-relative:page;mso-height-relative:page;" o:ole="t" filled="f" o:preferrelative="t" stroked="f" coordsize="21600,21600">
            <v:path/>
            <v:fill on="f" focussize="0,0"/>
            <v:stroke on="f"/>
            <v:imagedata r:id="rId6" o:title=""/>
            <o:lock v:ext="edit" aspectratio="t"/>
            <w10:wrap type="square"/>
          </v:shape>
          <o:OLEObject Type="Embed" ProgID="Excel.Sheet.8" ShapeID="Object 2" DrawAspect="Content" ObjectID="_1468075725" r:id="rId5">
            <o:LockedField>false</o:LockedField>
          </o:OLEObject>
        </w:pict>
      </w: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（图1：收、支决算总计变动情况图）</w:t>
      </w:r>
    </w:p>
    <w:p>
      <w:pPr>
        <w:overflowPunct w:val="0"/>
        <w:topLinePunct/>
        <w:spacing w:line="576" w:lineRule="exact"/>
        <w:ind w:firstLine="640" w:firstLineChars="200"/>
        <w:jc w:val="both"/>
        <w:outlineLvl w:val="1"/>
        <w:rPr>
          <w:rFonts w:hint="eastAsia" w:ascii="黑体" w:hAnsi="黑体" w:eastAsia="黑体"/>
          <w:kern w:val="2"/>
          <w:sz w:val="32"/>
          <w:szCs w:val="24"/>
        </w:rPr>
      </w:pPr>
      <w:bookmarkStart w:id="7" w:name="_Toc2599"/>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bookmarkEnd w:id="7"/>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2023年本年收入合计570.73万元，其中：一般公共预算财政拨款收入570.73万元，占100%。</w:t>
      </w:r>
    </w:p>
    <w:p>
      <w:pPr>
        <w:overflowPunct w:val="0"/>
        <w:topLinePunct/>
        <w:spacing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pict>
          <v:shape id="Object 3" o:spid="_x0000_s1028" o:spt="75" type="#_x0000_t75" style="position:absolute;left:0pt;margin-left:18.9pt;margin-top:-0.65pt;height:237pt;width:415.5pt;z-index:-251656192;mso-width-relative:page;mso-height-relative:page;" o:ole="t" filled="f" o:preferrelative="t" stroked="f" coordsize="21600,21600">
            <v:path/>
            <v:fill on="f" focussize="0,0"/>
            <v:stroke on="f"/>
            <v:imagedata r:id="rId8" o:title=""/>
            <o:lock v:ext="edit" aspectratio="f"/>
          </v:shape>
          <o:OLEObject Type="Embed" ProgID="Excel.Sheet.8" ShapeID="Object 3" DrawAspect="Content" ObjectID="_1468075726" r:id="rId7">
            <o:LockedField>false</o:LockedField>
          </o:OLEObject>
        </w:pic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（图2：收入决算结构图）</w:t>
      </w:r>
    </w:p>
    <w:p>
      <w:pPr>
        <w:overflowPunct w:val="0"/>
        <w:topLinePunct/>
        <w:spacing w:line="576" w:lineRule="exact"/>
        <w:ind w:firstLine="640" w:firstLineChars="200"/>
        <w:jc w:val="both"/>
        <w:outlineLvl w:val="1"/>
        <w:rPr>
          <w:rFonts w:hint="eastAsia" w:ascii="黑体" w:hAnsi="黑体" w:eastAsia="黑体"/>
          <w:kern w:val="2"/>
          <w:sz w:val="32"/>
          <w:szCs w:val="24"/>
        </w:rPr>
      </w:pPr>
      <w:bookmarkStart w:id="8" w:name="_Toc23157"/>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bookmarkEnd w:id="8"/>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2023年本年支出合计570.73万元，其中：基本支出288.98万元，占50.6%；项目支出281.75万元，占49.4%。</w:t>
      </w:r>
    </w:p>
    <w:p>
      <w:pPr>
        <w:pStyle w:val="7"/>
        <w:rPr>
          <w:rFonts w:hint="eastAsia"/>
          <w:sz w:val="24"/>
          <w:szCs w:val="32"/>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pict>
          <v:shape id="Object 11" o:spid="_x0000_s1029" o:spt="75" alt="7b0a202020202263686172745265734964223a20223230343730393038220a7d0a" type="#_x0000_t75" style="position:absolute;left:0pt;margin-left:-0.1pt;margin-top:1.15pt;height:240pt;width:414pt;z-index:-251655168;mso-width-relative:page;mso-height-relative:page;" o:ole="t" filled="f" o:preferrelative="t" stroked="f" coordsize="21600,21600">
            <v:path/>
            <v:fill on="f" focussize="0,0"/>
            <v:stroke on="f"/>
            <v:imagedata r:id="rId10" o:title="7b0a202020202263686172745265734964223a20223230343730393038220a7d0a"/>
            <o:lock v:ext="edit" aspectratio="f"/>
          </v:shape>
          <o:OLEObject Type="Embed" ProgID="Excel.Sheet.8" ShapeID="Object 11" DrawAspect="Content" ObjectID="_1468075727" r:id="rId9">
            <o:LockedField>false</o:LockedField>
          </o:OLEObject>
        </w:pict>
      </w: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（图3：支出决算结构图）</w:t>
      </w:r>
    </w:p>
    <w:p>
      <w:pPr>
        <w:overflowPunct w:val="0"/>
        <w:topLinePunct/>
        <w:spacing w:line="576" w:lineRule="exact"/>
        <w:ind w:firstLine="640" w:firstLineChars="200"/>
        <w:jc w:val="both"/>
        <w:outlineLvl w:val="1"/>
        <w:rPr>
          <w:rFonts w:hint="eastAsia" w:ascii="黑体" w:hAnsi="黑体" w:eastAsia="黑体"/>
          <w:kern w:val="2"/>
          <w:sz w:val="32"/>
          <w:szCs w:val="24"/>
        </w:rPr>
      </w:pPr>
      <w:bookmarkStart w:id="9" w:name="_Toc10206"/>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bookmarkEnd w:id="9"/>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2023年度财政拨款收、支总计均为570.73万元。与2022年度相比，财政拨款收、支总计各增加97.2万元，增长17%。主要变动原因是增加基金监管工作经费、新冠疫苗费及接种费财政补助等卫生健康项目支出。</w:t>
      </w:r>
    </w:p>
    <w:p>
      <w:pPr>
        <w:overflowPunct w:val="0"/>
        <w:topLinePunct/>
        <w:spacing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pict>
          <v:shape id="Object 5" o:spid="_x0000_s1030" o:spt="75" type="#_x0000_t75" style="position:absolute;left:0pt;margin-left:2.9pt;margin-top:24.9pt;height:237pt;width:415.5pt;z-index:-251654144;mso-width-relative:page;mso-height-relative:page;" o:ole="t" filled="f" o:preferrelative="t" stroked="f" coordsize="21600,21600">
            <v:path/>
            <v:fill on="f" focussize="0,0"/>
            <v:stroke on="f"/>
            <v:imagedata r:id="rId12" o:title=""/>
            <o:lock v:ext="edit" aspectratio="t"/>
          </v:shape>
          <o:OLEObject Type="Embed" ProgID="Excel.Sheet.8" ShapeID="Object 5" DrawAspect="Content" ObjectID="_1468075728" r:id="rId11">
            <o:LockedField>false</o:LockedField>
          </o:OLEObject>
        </w:pic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（图4：财政拨款收、支决算总计变动情况）</w:t>
      </w:r>
    </w:p>
    <w:p>
      <w:pPr>
        <w:overflowPunct w:val="0"/>
        <w:topLinePunct/>
        <w:spacing w:line="576" w:lineRule="exact"/>
        <w:ind w:firstLine="640" w:firstLineChars="200"/>
        <w:jc w:val="both"/>
        <w:outlineLvl w:val="1"/>
        <w:rPr>
          <w:rFonts w:hint="eastAsia" w:ascii="黑体" w:hAnsi="黑体" w:eastAsia="黑体"/>
          <w:kern w:val="2"/>
          <w:sz w:val="32"/>
          <w:szCs w:val="24"/>
        </w:rPr>
      </w:pPr>
      <w:bookmarkStart w:id="10" w:name="_Toc8980"/>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bookmarkEnd w:id="10"/>
    </w:p>
    <w:p>
      <w:pPr>
        <w:overflowPunct w:val="0"/>
        <w:topLinePunct/>
        <w:spacing w:line="576" w:lineRule="exact"/>
        <w:ind w:firstLine="642"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pPr>
        <w:overflowPunct w:val="0"/>
        <w:topLinePunct/>
        <w:spacing w:line="576" w:lineRule="exact"/>
        <w:ind w:firstLine="642"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570.73万元，占本年支出合计的100%。与2022年度相比，一般公共预算财政拨款支出增加97.2万元，增长17%。主要变动原因是增加基金监管工作经费、新冠疫苗费及接种费财政补助等卫生健康项目支出。</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pict>
          <v:shape id="Object 6" o:spid="_x0000_s1031" o:spt="75" type="#_x0000_t75" style="position:absolute;left:0pt;margin-left:13.3pt;margin-top:1.7pt;height:237pt;width:415.5pt;z-index:-251653120;mso-width-relative:page;mso-height-relative:page;" o:ole="t" filled="f" o:preferrelative="t" stroked="f" coordsize="21600,21600">
            <v:path/>
            <v:fill on="f" focussize="0,0"/>
            <v:stroke on="f"/>
            <v:imagedata r:id="rId14" o:title=""/>
            <o:lock v:ext="edit" aspectratio="t"/>
          </v:shape>
          <o:OLEObject Type="Embed" ProgID="Excel.Sheet.8" ShapeID="Object 6" DrawAspect="Content" ObjectID="_1468075729" r:id="rId13">
            <o:LockedField>false</o:LockedField>
          </o:OLEObject>
        </w:pic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（图5：一般公共预算财政拨款支出决算变动情况）</w:t>
      </w:r>
    </w:p>
    <w:p>
      <w:pPr>
        <w:overflowPunct w:val="0"/>
        <w:topLinePunct/>
        <w:spacing w:line="576" w:lineRule="exact"/>
        <w:ind w:firstLine="642"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2023年度一般公共预算财政拨款支出570.73万元，主要用于以下方面： 社会保障和就业支出354.46万元，占62.12%；卫生健康支出193.77万元，占33.95%；住房保障支出22.51万元，占3.94%；</w:t>
      </w:r>
    </w:p>
    <w:p>
      <w:pPr>
        <w:pStyle w:val="7"/>
        <w:rPr>
          <w:rFonts w:hint="eastAsia"/>
          <w:sz w:val="24"/>
          <w:szCs w:val="32"/>
        </w:rPr>
      </w:pPr>
    </w:p>
    <w:p>
      <w:pPr>
        <w:overflowPunct w:val="0"/>
        <w:topLinePunct/>
        <w:spacing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pict>
          <v:shape id="Object 15" o:spid="_x0000_s1032" o:spt="75" alt="7b0a202020202263686172745265734964223a20223230343730393038220a7d0a" type="#_x0000_t75" style="position:absolute;left:0pt;margin-left:7.5pt;margin-top:7.65pt;height:242.25pt;width:420.75pt;z-index:-251652096;mso-width-relative:page;mso-height-relative:page;" o:ole="t" filled="f" o:preferrelative="t" stroked="f" coordsize="21600,21600">
            <v:path/>
            <v:fill on="f" focussize="0,0"/>
            <v:stroke on="f"/>
            <v:imagedata r:id="rId16" o:title=""/>
            <o:lock v:ext="edit" aspectratio="f"/>
          </v:shape>
          <o:OLEObject Type="Embed" ProgID="Excel.Sheet.8" ShapeID="Object 15" DrawAspect="Content" ObjectID="_1468075730" r:id="rId15">
            <o:LockedField>false</o:LockedField>
          </o:OLEObject>
        </w:pic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（图6：一般公共预算财政拨款支出决算结构）</w:t>
      </w:r>
    </w:p>
    <w:p>
      <w:pPr>
        <w:overflowPunct w:val="0"/>
        <w:topLinePunct/>
        <w:spacing w:line="576" w:lineRule="exact"/>
        <w:ind w:firstLine="642"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pPr>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2023年度一般公共预算支出全年预算数为1401.82万元，支出决算数为570.73万元，完成全年预算数的40.71%。其中：</w:t>
      </w:r>
    </w:p>
    <w:p>
      <w:pPr>
        <w:numPr>
          <w:ilvl w:val="0"/>
          <w:numId w:val="0"/>
        </w:num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1.社会保障和就业支出（类）人力资源和社会保障管理事务（款）社会保险业务管理事务（项）：</w:t>
      </w:r>
      <w:r>
        <w:rPr>
          <w:rFonts w:hint="eastAsia" w:ascii="仿宋_GB2312" w:hAnsi="仿宋_GB2312" w:eastAsia="仿宋_GB2312"/>
          <w:color w:val="000000"/>
          <w:kern w:val="2"/>
          <w:sz w:val="32"/>
          <w:szCs w:val="24"/>
        </w:rPr>
        <w:t>全年预算为324.1万元，支出决算为324.1万元，完成全年预算100%。决算数等于全年预算数的主要原因是收支平衡。</w:t>
      </w:r>
    </w:p>
    <w:p>
      <w:pPr>
        <w:numPr>
          <w:ilvl w:val="0"/>
          <w:numId w:val="0"/>
        </w:num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2.社会保障和就业支出（类）行政事业单位养老支出（款）行政单位离退休（项）：</w:t>
      </w:r>
      <w:r>
        <w:rPr>
          <w:rFonts w:hint="eastAsia" w:ascii="仿宋_GB2312" w:hAnsi="仿宋_GB2312" w:eastAsia="仿宋_GB2312"/>
          <w:color w:val="000000"/>
          <w:kern w:val="2"/>
          <w:sz w:val="32"/>
          <w:szCs w:val="24"/>
        </w:rPr>
        <w:t>全年预算为2万元，支出决算为2万元，完成全年预算的100%。决算数等于全年预算数的主要原因是收支平衡。</w:t>
      </w:r>
    </w:p>
    <w:p>
      <w:pPr>
        <w:overflowPunct w:val="0"/>
        <w:topLinePunct/>
        <w:spacing w:line="576" w:lineRule="exact"/>
        <w:ind w:firstLine="642" w:firstLineChars="200"/>
        <w:jc w:val="both"/>
        <w:rPr>
          <w:rFonts w:hint="eastAsia" w:eastAsia="仿宋_GB2312"/>
          <w:sz w:val="24"/>
          <w:szCs w:val="24"/>
        </w:rPr>
      </w:pPr>
      <w:r>
        <w:rPr>
          <w:rFonts w:hint="eastAsia" w:ascii="仿宋_GB2312" w:hAnsi="仿宋_GB2312" w:eastAsia="仿宋_GB2312"/>
          <w:b/>
          <w:color w:val="000000"/>
          <w:kern w:val="2"/>
          <w:sz w:val="32"/>
          <w:szCs w:val="24"/>
        </w:rPr>
        <w:t>3.社会保障和就业支出（类）行政事业单位养老支出（款）机关事业单位基本养老保险缴费支出（项）：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全年预算为28.35万元，支出决算为28.35万元，完成全年预算的100%。决算数等于全年预算数的主要原因是收支平衡。</w:t>
      </w:r>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4.卫生健康支出（类）公共卫生（款）重大公共卫生服务（项）：</w:t>
      </w:r>
      <w:r>
        <w:rPr>
          <w:rFonts w:hint="eastAsia" w:ascii="仿宋_GB2312" w:hAnsi="仿宋_GB2312" w:eastAsia="仿宋_GB2312"/>
          <w:color w:val="000000"/>
          <w:kern w:val="2"/>
          <w:sz w:val="32"/>
          <w:szCs w:val="24"/>
        </w:rPr>
        <w:t>全年预算为18.25万元，支出决算为18.25万元，完成全年预算的100%。决算数等于全年预算数的主要原因是收支平衡。</w:t>
      </w:r>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5.卫生健康支出（类）行政事业单位医疗（款）行政单位医疗（项）：</w:t>
      </w:r>
      <w:r>
        <w:rPr>
          <w:rFonts w:hint="eastAsia" w:ascii="仿宋_GB2312" w:hAnsi="仿宋_GB2312" w:eastAsia="仿宋_GB2312"/>
          <w:color w:val="000000"/>
          <w:kern w:val="2"/>
          <w:sz w:val="32"/>
          <w:szCs w:val="24"/>
        </w:rPr>
        <w:t>全年预算为7.1万元，支出决算为7.1万元，完成全年预算的100%。决算数等于全年预算数的主要原因是收支平衡。</w:t>
      </w:r>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6.卫生健康支出（类）行政事业单位医疗（款）事业单位医疗（项）：</w:t>
      </w:r>
      <w:r>
        <w:rPr>
          <w:rFonts w:hint="eastAsia" w:ascii="仿宋_GB2312" w:hAnsi="仿宋_GB2312" w:eastAsia="仿宋_GB2312"/>
          <w:color w:val="000000"/>
          <w:kern w:val="2"/>
          <w:sz w:val="32"/>
          <w:szCs w:val="24"/>
        </w:rPr>
        <w:t>全年预算为2.9万元，支出决算为2.9万元，完成全年预算的100%。决算数等于全年预算数的主要原因是收支平衡。</w:t>
      </w:r>
    </w:p>
    <w:p>
      <w:pPr>
        <w:pStyle w:val="4"/>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7.卫生健康支出（类）医疗救助（款）城乡医疗救助（项）：</w:t>
      </w:r>
      <w:r>
        <w:rPr>
          <w:rFonts w:hint="eastAsia" w:ascii="仿宋_GB2312" w:hAnsi="仿宋_GB2312" w:eastAsia="仿宋_GB2312"/>
          <w:color w:val="000000"/>
          <w:kern w:val="2"/>
          <w:sz w:val="32"/>
          <w:szCs w:val="24"/>
        </w:rPr>
        <w:t>全年预算为130万元，支出决算为130万元，完成全年预算的100%。决算数等于全年预算数的主要原因是收支平衡。</w:t>
      </w:r>
    </w:p>
    <w:p>
      <w:pPr>
        <w:pStyle w:val="4"/>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8.卫生健康支出（类）医疗保障管理事务（款）其他医疗保障管理事务支出（项）：</w:t>
      </w:r>
      <w:r>
        <w:rPr>
          <w:rFonts w:hint="eastAsia" w:ascii="仿宋_GB2312" w:hAnsi="仿宋_GB2312" w:eastAsia="仿宋_GB2312"/>
          <w:color w:val="000000"/>
          <w:kern w:val="2"/>
          <w:sz w:val="32"/>
          <w:szCs w:val="24"/>
        </w:rPr>
        <w:t>全年预算为35.5万元，支出决算为35.5万元，完成全年预算的100%。决算数等于全年预算数的主要原因是收支平衡。</w:t>
      </w:r>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9.住房保障（类）住房改革支出（款）住房公积金（项）：</w:t>
      </w:r>
      <w:r>
        <w:rPr>
          <w:rFonts w:hint="eastAsia" w:ascii="仿宋_GB2312" w:hAnsi="仿宋_GB2312" w:eastAsia="仿宋_GB2312"/>
          <w:color w:val="000000"/>
          <w:kern w:val="2"/>
          <w:sz w:val="32"/>
          <w:szCs w:val="24"/>
        </w:rPr>
        <w:t>全年预算为22.51万元，支出决算为22.51万元，完成全年预算的100%。决算数等于全年预算数的主要原因是收支平衡。</w:t>
      </w:r>
    </w:p>
    <w:p>
      <w:pPr>
        <w:tabs>
          <w:tab w:val="right" w:pos="8306"/>
        </w:tabs>
        <w:overflowPunct w:val="0"/>
        <w:topLinePunct/>
        <w:spacing w:line="576" w:lineRule="exact"/>
        <w:ind w:firstLine="640" w:firstLineChars="200"/>
        <w:jc w:val="both"/>
        <w:outlineLvl w:val="1"/>
        <w:rPr>
          <w:rFonts w:hint="default" w:ascii="Cambria" w:cs="Cambria"/>
          <w:b/>
          <w:kern w:val="2"/>
          <w:sz w:val="32"/>
          <w:szCs w:val="24"/>
        </w:rPr>
      </w:pPr>
      <w:bookmarkStart w:id="11" w:name="_Toc27600"/>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bookmarkEnd w:id="11"/>
      <w:r>
        <w:rPr>
          <w:rFonts w:hint="eastAsia" w:ascii="黑体" w:hAnsi="黑体" w:eastAsia="黑体"/>
          <w:kern w:val="2"/>
          <w:sz w:val="32"/>
          <w:szCs w:val="24"/>
        </w:rPr>
        <w:tab/>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2023年度一般公共预算财政拨款基本支出288.98万元，其中：</w:t>
      </w:r>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人员经费251.67万元</w:t>
      </w:r>
      <w:r>
        <w:rPr>
          <w:rFonts w:hint="eastAsia" w:ascii="仿宋_GB2312" w:hAnsi="仿宋_GB2312" w:eastAsia="仿宋_GB2312"/>
          <w:color w:val="000000"/>
          <w:kern w:val="2"/>
          <w:sz w:val="32"/>
          <w:szCs w:val="24"/>
        </w:rPr>
        <w:t>，主要包括：基本工资87.95万元、津贴补贴33.26万元、奖金54.7万元、绩效工资12.87万元、机关事业单位基本养老保险缴费28.35万元、职工基本医疗保险缴费10.02万元、住房公积金22.51万元、生活补助2万元、奖励金0.02万元。</w:t>
      </w:r>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公用经费37.31万元，</w:t>
      </w:r>
      <w:r>
        <w:rPr>
          <w:rFonts w:hint="eastAsia" w:ascii="仿宋_GB2312" w:hAnsi="仿宋_GB2312" w:eastAsia="仿宋_GB2312"/>
          <w:color w:val="000000"/>
          <w:kern w:val="2"/>
          <w:sz w:val="32"/>
          <w:szCs w:val="24"/>
        </w:rPr>
        <w:t>主要包括：办公费13.28万元、电费2万元、租赁费0.4万元、公务接待费0.4万元、劳务费5万元、工会经费6万元、公务用车运行维护费0万元、其他交通费10.23万元。</w:t>
      </w:r>
    </w:p>
    <w:p>
      <w:pPr>
        <w:overflowPunct w:val="0"/>
        <w:topLinePunct/>
        <w:spacing w:line="576" w:lineRule="exact"/>
        <w:ind w:firstLine="640" w:firstLineChars="200"/>
        <w:jc w:val="both"/>
        <w:outlineLvl w:val="1"/>
        <w:rPr>
          <w:rFonts w:hint="eastAsia" w:ascii="黑体" w:hAnsi="黑体" w:eastAsia="黑体"/>
          <w:kern w:val="2"/>
          <w:sz w:val="32"/>
          <w:szCs w:val="24"/>
        </w:rPr>
      </w:pPr>
      <w:bookmarkStart w:id="12" w:name="_Toc29815"/>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bookmarkEnd w:id="12"/>
    </w:p>
    <w:p>
      <w:pPr>
        <w:overflowPunct w:val="0"/>
        <w:topLinePunct/>
        <w:spacing w:line="576" w:lineRule="exact"/>
        <w:ind w:firstLine="642"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2023年度“三公”经费财政拨款支出预算为4万元，支出决算为4万元，完成预算的100%；决算数与预算数持平，原因是公务接待花费。决算数较上年增加的主要原因是公务接待次数增加。</w:t>
      </w:r>
    </w:p>
    <w:p>
      <w:pPr>
        <w:overflowPunct w:val="0"/>
        <w:topLinePunct/>
        <w:spacing w:line="576" w:lineRule="exact"/>
        <w:ind w:firstLine="642"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2023年度“三公”经费财政拨款支出决算中，因公出国（境）费支出决算0万元，占0%；公务用车购置及运行维护费支出决算0万元，占0%；公务接待费支出决算4万元，占100%。具体情况如下：</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pict>
          <v:shape id="Object 16" o:spid="_x0000_s1033" o:spt="75" alt="7b0a202020202263686172745265734964223a20223230343730393038220a7d0a" type="#_x0000_t75" style="position:absolute;left:0pt;margin-left:-14.45pt;margin-top:-13.8pt;height:240pt;width:414pt;z-index:-251651072;mso-width-relative:page;mso-height-relative:page;" o:ole="t" filled="f" o:preferrelative="t" stroked="f" coordsize="21600,21600">
            <v:path/>
            <v:fill on="f" focussize="0,0"/>
            <v:stroke on="f"/>
            <v:imagedata r:id="rId18" o:title="7b0a202020202263686172745265734964223a20223230343730393038220a7d0a"/>
            <o:lock v:ext="edit" aspectratio="f"/>
          </v:shape>
          <o:OLEObject Type="Embed" ProgID="Excel.Sheet.8" ShapeID="Object 16" DrawAspect="Content" ObjectID="_1468075731" r:id="rId17">
            <o:LockedField>false</o:LockedField>
          </o:OLEObject>
        </w:pic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（图7：“三公”经费财政拨款支出结构）</w:t>
      </w:r>
    </w:p>
    <w:p>
      <w:pPr>
        <w:overflowPunct w:val="0"/>
        <w:topLinePunct/>
        <w:spacing w:line="576" w:lineRule="exact"/>
        <w:ind w:firstLine="642"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w:t>
      </w:r>
      <w:r>
        <w:rPr>
          <w:rFonts w:hint="eastAsia" w:ascii="宋体"/>
          <w:sz w:val="32"/>
          <w:szCs w:val="24"/>
        </w:rPr>
        <w:t>年初未安排预算。</w:t>
      </w:r>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预算为0万元，上年也为0，与上年比较“持平”。</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预算为4万元，支出决算为4万元，完成预算的100%。公务接待费支出决算比2022年度增加0.8万元，增长25%。主要原因是公务接待次数增加。其中：</w:t>
      </w:r>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4万元。主要用于其他市、区来昭考察、开展业务活动开支的用餐费等。国内公务接待6次81人次，共计支出4万元，具体内容包括：医保经办业务工作会议、医保电子凭证推广使用业务培训会议等会议用餐，眉山市、广安市、巴中市医保局考察学习工作用餐等。</w:t>
      </w:r>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pPr>
        <w:overflowPunct w:val="0"/>
        <w:topLinePunct/>
        <w:spacing w:line="576" w:lineRule="exact"/>
        <w:ind w:firstLine="640" w:firstLineChars="200"/>
        <w:jc w:val="both"/>
        <w:outlineLvl w:val="1"/>
        <w:rPr>
          <w:rFonts w:hint="eastAsia" w:ascii="黑体" w:hAnsi="黑体" w:eastAsia="黑体"/>
          <w:b/>
          <w:kern w:val="2"/>
          <w:sz w:val="32"/>
          <w:szCs w:val="24"/>
        </w:rPr>
      </w:pPr>
      <w:bookmarkStart w:id="13" w:name="_Toc15388"/>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bookmarkEnd w:id="13"/>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2023年度政府性基金预算拨款支出0万元。</w:t>
      </w:r>
    </w:p>
    <w:p>
      <w:pPr>
        <w:overflowPunct w:val="0"/>
        <w:topLinePunct/>
        <w:spacing w:line="576" w:lineRule="exact"/>
        <w:ind w:firstLine="640" w:firstLineChars="200"/>
        <w:jc w:val="both"/>
        <w:outlineLvl w:val="1"/>
        <w:rPr>
          <w:rFonts w:hint="eastAsia" w:ascii="黑体" w:hAnsi="黑体" w:eastAsia="黑体"/>
          <w:kern w:val="2"/>
          <w:sz w:val="32"/>
          <w:szCs w:val="24"/>
        </w:rPr>
      </w:pPr>
      <w:bookmarkStart w:id="14" w:name="_Toc25041"/>
      <w:r>
        <w:rPr>
          <w:rFonts w:hint="eastAsia" w:ascii="黑体" w:hAnsi="黑体" w:eastAsia="黑体"/>
          <w:kern w:val="2"/>
          <w:sz w:val="32"/>
          <w:szCs w:val="24"/>
        </w:rPr>
        <w:t>九、国有资本经营预算支出决算情况说明</w:t>
      </w:r>
      <w:bookmarkEnd w:id="14"/>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2023年度国有资本经营预算拨款支出0万元。</w:t>
      </w:r>
    </w:p>
    <w:p>
      <w:pPr>
        <w:overflowPunct w:val="0"/>
        <w:topLinePunct/>
        <w:spacing w:line="576" w:lineRule="exact"/>
        <w:ind w:firstLine="640" w:firstLineChars="200"/>
        <w:jc w:val="both"/>
        <w:outlineLvl w:val="1"/>
        <w:rPr>
          <w:rFonts w:hint="eastAsia" w:ascii="黑体" w:hAnsi="黑体" w:eastAsia="黑体"/>
          <w:b/>
          <w:kern w:val="2"/>
          <w:sz w:val="32"/>
          <w:szCs w:val="24"/>
        </w:rPr>
      </w:pPr>
      <w:bookmarkStart w:id="15" w:name="_Toc22135"/>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bookmarkEnd w:id="15"/>
    </w:p>
    <w:p>
      <w:pPr>
        <w:overflowPunct w:val="0"/>
        <w:topLinePunct/>
        <w:spacing w:line="576" w:lineRule="exact"/>
        <w:ind w:firstLine="642"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2023年，广元市昭化区医疗保障局运行经费支出37.31万元，比2022年度减少80.8万元，下降68.42%。主要原因是减少医保工作经费、临聘人员工资等项目。</w:t>
      </w:r>
    </w:p>
    <w:p>
      <w:pPr>
        <w:overflowPunct w:val="0"/>
        <w:topLinePunct/>
        <w:spacing w:line="576" w:lineRule="exact"/>
        <w:ind w:firstLine="642"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2023年，广元市昭化区医疗保障局未发生政府采购支出。</w:t>
      </w:r>
    </w:p>
    <w:p>
      <w:pPr>
        <w:overflowPunct w:val="0"/>
        <w:topLinePunct/>
        <w:spacing w:line="576" w:lineRule="exact"/>
        <w:ind w:firstLine="642"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截至2023年12月31日，本单位无公务用车辆。</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单价100万元（含）以上设备0台（套）。</w:t>
      </w:r>
    </w:p>
    <w:p>
      <w:pPr>
        <w:overflowPunct w:val="0"/>
        <w:topLinePunct/>
        <w:spacing w:line="576" w:lineRule="exact"/>
        <w:ind w:firstLine="642"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pPr>
        <w:overflowPunct w:val="0"/>
        <w:topLinePunct/>
        <w:spacing w:line="576" w:lineRule="exact"/>
        <w:ind w:firstLine="640" w:firstLineChars="200"/>
        <w:jc w:val="both"/>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部门在2023年度预算编制阶段，组织对基金监管工作经费等10个项目开展了预算事前绩效评估，对10个项目编制了绩效目标，预算执行过程中，选取10个项目开展绩效监控。绩效自评报表见第四部分附件。</w:t>
      </w:r>
    </w:p>
    <w:p>
      <w:pPr>
        <w:overflowPunct w:val="0"/>
        <w:topLinePunct/>
        <w:spacing w:line="576" w:lineRule="exact"/>
        <w:jc w:val="center"/>
        <w:outlineLvl w:val="0"/>
        <w:rPr>
          <w:rFonts w:hint="eastAsia" w:ascii="黑体" w:hAnsi="黑体" w:eastAsia="黑体"/>
          <w:kern w:val="44"/>
          <w:sz w:val="44"/>
          <w:szCs w:val="24"/>
        </w:rPr>
      </w:pPr>
      <w:r>
        <w:rPr>
          <w:rFonts w:hint="eastAsia" w:ascii="黑体" w:hAnsi="黑体" w:eastAsia="黑体"/>
          <w:color w:val="000000"/>
          <w:kern w:val="2"/>
          <w:sz w:val="44"/>
          <w:szCs w:val="24"/>
        </w:rPr>
        <w:br w:type="page"/>
      </w:r>
      <w:bookmarkStart w:id="16" w:name="_Toc31749"/>
      <w:bookmarkStart w:id="17" w:name="_Toc29729"/>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bookmarkEnd w:id="16"/>
      <w:bookmarkEnd w:id="17"/>
    </w:p>
    <w:p>
      <w:pPr>
        <w:pStyle w:val="5"/>
        <w:spacing w:before="72"/>
        <w:rPr>
          <w:rFonts w:hint="eastAsia"/>
          <w:sz w:val="30"/>
          <w:szCs w:val="24"/>
        </w:rPr>
      </w:pPr>
    </w:p>
    <w:p>
      <w:pPr>
        <w:overflowPunct w:val="0"/>
        <w:topLinePunct/>
        <w:spacing w:line="576" w:lineRule="exact"/>
        <w:ind w:firstLine="640" w:firstLineChars="200"/>
        <w:jc w:val="both"/>
        <w:outlineLvl w:val="1"/>
        <w:rPr>
          <w:rFonts w:hint="eastAsia" w:ascii="仿宋_GB2312" w:hAnsi="仿宋_GB2312" w:eastAsia="仿宋_GB2312"/>
          <w:color w:val="000000"/>
          <w:sz w:val="32"/>
          <w:szCs w:val="24"/>
        </w:rPr>
      </w:pPr>
      <w:bookmarkStart w:id="18" w:name="_Toc24958"/>
      <w:r>
        <w:rPr>
          <w:rFonts w:hint="eastAsia" w:ascii="仿宋_GB2312" w:hAnsi="仿宋_GB2312" w:eastAsia="仿宋_GB2312"/>
          <w:color w:val="000000"/>
          <w:sz w:val="32"/>
          <w:szCs w:val="24"/>
        </w:rPr>
        <w:t>一、财政拨款收入：指单位从同级财政部门取得的财政预算资金。</w:t>
      </w:r>
      <w:bookmarkEnd w:id="18"/>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pPr>
        <w:overflowPunct w:val="0"/>
        <w:topLinePunct/>
        <w:spacing w:line="576" w:lineRule="exact"/>
        <w:ind w:firstLine="640" w:firstLineChars="200"/>
        <w:jc w:val="both"/>
        <w:outlineLvl w:val="1"/>
        <w:rPr>
          <w:rFonts w:hint="eastAsia" w:ascii="仿宋_GB2312" w:hAnsi="仿宋_GB2312" w:eastAsia="仿宋_GB2312"/>
          <w:color w:val="000000"/>
          <w:sz w:val="32"/>
          <w:szCs w:val="24"/>
        </w:rPr>
      </w:pPr>
      <w:bookmarkStart w:id="19" w:name="_Toc23240"/>
      <w:r>
        <w:rPr>
          <w:rFonts w:hint="eastAsia" w:ascii="仿宋_GB2312" w:hAnsi="仿宋_GB2312" w:eastAsia="仿宋_GB2312"/>
          <w:color w:val="000000"/>
          <w:sz w:val="32"/>
          <w:szCs w:val="24"/>
        </w:rPr>
        <w:t>四、其他收入：指单位取得的除上述收入以外的各项收入。</w:t>
      </w:r>
      <w:bookmarkEnd w:id="19"/>
    </w:p>
    <w:p>
      <w:pPr>
        <w:pStyle w:val="14"/>
        <w:spacing w:beforeLines="0" w:afterLines="0"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pPr>
        <w:spacing w:line="576" w:lineRule="exact"/>
        <w:ind w:firstLine="640"/>
        <w:jc w:val="both"/>
        <w:rPr>
          <w:rFonts w:hint="eastAsia" w:ascii="仿宋_GB2312" w:hAnsi="仿宋_GB2312" w:eastAsia="仿宋_GB2312" w:cs="仿宋_GB2312"/>
          <w:color w:val="333333"/>
          <w:sz w:val="32"/>
          <w:szCs w:val="32"/>
          <w:shd w:val="clear" w:color="auto" w:fill="FFFFFF"/>
          <w:lang w:bidi="ar"/>
        </w:rPr>
      </w:pPr>
      <w:r>
        <w:rPr>
          <w:rFonts w:hint="eastAsia" w:ascii="仿宋_GB2312" w:hAnsi="仿宋_GB2312" w:eastAsia="仿宋_GB2312"/>
          <w:color w:val="000000"/>
          <w:kern w:val="2"/>
          <w:sz w:val="32"/>
          <w:szCs w:val="24"/>
        </w:rPr>
        <w:t>九、</w:t>
      </w:r>
      <w:r>
        <w:rPr>
          <w:rFonts w:hint="eastAsia" w:ascii="仿宋_GB2312" w:hAnsi="仿宋_GB2312" w:eastAsia="仿宋_GB2312" w:cs="仿宋_GB2312"/>
          <w:color w:val="333333"/>
          <w:sz w:val="32"/>
          <w:szCs w:val="32"/>
          <w:shd w:val="clear" w:color="auto" w:fill="FFFFFF"/>
          <w:lang w:bidi="ar"/>
        </w:rPr>
        <w:t>社会保障和就业（类）行政事业单位养老支出（款）行政单位离退休（项）：指行政及参公管理事业单位离退休人员的支出。　</w:t>
      </w:r>
    </w:p>
    <w:p>
      <w:pPr>
        <w:pStyle w:val="4"/>
        <w:spacing w:line="576" w:lineRule="exact"/>
        <w:ind w:firstLine="640"/>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333333"/>
          <w:sz w:val="32"/>
          <w:szCs w:val="32"/>
          <w:shd w:val="clear" w:color="auto" w:fill="FFFFFF"/>
          <w:lang w:bidi="ar"/>
        </w:rPr>
        <w:t>十、社会保障和就业（类）行政事业单位养老支出（款）机关事业单位基本养老保险缴费支出（项）：指部门实施养老</w:t>
      </w:r>
      <w:r>
        <w:rPr>
          <w:rFonts w:hint="eastAsia" w:ascii="仿宋_GB2312" w:hAnsi="仿宋_GB2312" w:eastAsia="仿宋_GB2312" w:cs="仿宋_GB2312"/>
          <w:color w:val="auto"/>
          <w:sz w:val="32"/>
          <w:szCs w:val="32"/>
          <w:shd w:val="clear" w:color="auto" w:fill="FFFFFF"/>
          <w:lang w:bidi="ar"/>
        </w:rPr>
        <w:t>保险制度由单位缴纳的养老保险的支出。</w:t>
      </w:r>
    </w:p>
    <w:p>
      <w:pPr>
        <w:pStyle w:val="4"/>
        <w:spacing w:line="576" w:lineRule="exact"/>
        <w:ind w:firstLine="640"/>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bidi="ar"/>
        </w:rPr>
        <w:t>十一、卫生健康（类）行政事业单位医疗（款）行政单位医疗（项）：指机关及参公管理事业单位用于单位应缴纳基本医疗保险支出。</w:t>
      </w:r>
    </w:p>
    <w:p>
      <w:pPr>
        <w:spacing w:line="576" w:lineRule="exact"/>
        <w:ind w:firstLine="640" w:firstLineChars="200"/>
        <w:rPr>
          <w:rFonts w:hint="eastAsia" w:ascii="仿宋_GB2312" w:hAnsi="仿宋_GB2312" w:eastAsia="仿宋_GB2312"/>
          <w:color w:val="000000"/>
          <w:kern w:val="2"/>
          <w:sz w:val="32"/>
          <w:szCs w:val="24"/>
        </w:rPr>
      </w:pPr>
      <w:r>
        <w:rPr>
          <w:rFonts w:hint="eastAsia" w:ascii="仿宋_GB2312" w:hAnsi="仿宋_GB2312" w:eastAsia="仿宋_GB2312" w:cs="仿宋_GB2312"/>
          <w:color w:val="auto"/>
          <w:sz w:val="32"/>
          <w:szCs w:val="32"/>
          <w:shd w:val="clear" w:color="auto" w:fill="FFFFFF"/>
          <w:lang w:bidi="ar"/>
        </w:rPr>
        <w:t>十二、卫生健康（类）行政事业单位医疗（款）事业单位医疗（项）：指事业单位用于单位应缴纳基本医疗保险支出。</w:t>
      </w:r>
      <w:r>
        <w:rPr>
          <w:rFonts w:hint="eastAsia" w:ascii="仿宋_GB2312" w:hAnsi="仿宋_GB2312" w:eastAsia="仿宋_GB2312" w:cs="仿宋_GB2312"/>
          <w:color w:val="auto"/>
          <w:sz w:val="32"/>
          <w:szCs w:val="32"/>
          <w:shd w:val="clear" w:color="auto" w:fill="FFFFFF"/>
          <w:lang w:bidi="ar"/>
        </w:rPr>
        <w:br w:type="textWrapping"/>
      </w:r>
      <w:r>
        <w:rPr>
          <w:rFonts w:hint="eastAsia" w:ascii="仿宋_GB2312" w:hAnsi="仿宋_GB2312" w:eastAsia="仿宋_GB2312"/>
          <w:color w:val="000000"/>
          <w:kern w:val="2"/>
          <w:sz w:val="32"/>
          <w:szCs w:val="24"/>
        </w:rPr>
        <w:t>二十五、</w:t>
      </w:r>
      <w:r>
        <w:rPr>
          <w:rFonts w:hint="eastAsia" w:ascii="仿宋_GB2312" w:hAnsi="仿宋_GB2312" w:eastAsia="仿宋_GB2312" w:cs="仿宋_GB2312"/>
          <w:color w:val="333333"/>
          <w:sz w:val="32"/>
          <w:szCs w:val="32"/>
          <w:shd w:val="clear" w:color="auto" w:fill="FFFFFF"/>
          <w:lang w:bidi="ar"/>
        </w:rPr>
        <w:t>住房保障（类）住房改革支出（款）住房公积金（项）：指按照《住房公积金管理条例》的规定，由单位及其在职职工缴存的长期住房储金。</w:t>
      </w:r>
    </w:p>
    <w:p>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十三、基本支出：指为保障机构正常运转、完成日常工作任务而发生的人员支出和公用支出。</w:t>
      </w:r>
    </w:p>
    <w:p>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十四、项目支出：指在基本支出之外为完成特定行政任务和事业发展目标所发生的支出。 </w:t>
      </w:r>
    </w:p>
    <w:p>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十五、经营支出：指事业单位在专业业务活动及其辅助活动之外开展非独立核算经营活动发生的支出。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六、“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topLinePunct/>
        <w:spacing w:line="576" w:lineRule="exact"/>
        <w:ind w:firstLine="880" w:firstLineChars="200"/>
        <w:jc w:val="both"/>
        <w:rPr>
          <w:rFonts w:hint="eastAsia" w:ascii="黑体" w:hAnsi="黑体" w:eastAsia="黑体"/>
          <w:color w:val="000000"/>
          <w:kern w:val="2"/>
          <w:sz w:val="44"/>
          <w:szCs w:val="24"/>
        </w:rPr>
      </w:pPr>
    </w:p>
    <w:p>
      <w:pPr>
        <w:overflowPunct w:val="0"/>
        <w:topLinePunct/>
        <w:spacing w:line="576" w:lineRule="exact"/>
        <w:ind w:firstLine="880" w:firstLineChars="200"/>
        <w:jc w:val="both"/>
        <w:rPr>
          <w:rFonts w:hint="eastAsia" w:ascii="黑体" w:hAnsi="黑体" w:eastAsia="黑体"/>
          <w:color w:val="000000"/>
          <w:kern w:val="2"/>
          <w:sz w:val="44"/>
          <w:szCs w:val="24"/>
        </w:rPr>
      </w:pPr>
    </w:p>
    <w:p>
      <w:pPr>
        <w:overflowPunct w:val="0"/>
        <w:topLinePunct/>
        <w:spacing w:line="576" w:lineRule="exact"/>
        <w:ind w:firstLine="880" w:firstLineChars="200"/>
        <w:jc w:val="both"/>
        <w:rPr>
          <w:rFonts w:hint="eastAsia" w:ascii="黑体" w:hAnsi="黑体" w:eastAsia="黑体"/>
          <w:color w:val="000000"/>
          <w:kern w:val="2"/>
          <w:sz w:val="44"/>
          <w:szCs w:val="24"/>
        </w:rPr>
        <w:sectPr>
          <w:footerReference r:id="rId3" w:type="default"/>
          <w:pgSz w:w="12240" w:h="15840"/>
          <w:pgMar w:top="2098" w:right="1474" w:bottom="1984" w:left="2154" w:header="720" w:footer="720" w:gutter="0"/>
          <w:lnNumType w:countBy="0" w:distance="360"/>
          <w:pgNumType w:start="1"/>
          <w:cols w:space="720" w:num="1"/>
        </w:sectPr>
      </w:pPr>
    </w:p>
    <w:p>
      <w:pPr>
        <w:overflowPunct w:val="0"/>
        <w:topLinePunct/>
        <w:spacing w:line="576" w:lineRule="exact"/>
        <w:jc w:val="center"/>
        <w:outlineLvl w:val="0"/>
        <w:rPr>
          <w:rFonts w:hint="eastAsia" w:ascii="黑体" w:hAnsi="黑体" w:eastAsia="黑体"/>
          <w:color w:val="000000"/>
          <w:kern w:val="2"/>
          <w:sz w:val="44"/>
          <w:szCs w:val="24"/>
        </w:rPr>
      </w:pPr>
      <w:bookmarkStart w:id="20" w:name="_Toc18592"/>
      <w:bookmarkStart w:id="21" w:name="_Toc11641"/>
      <w:r>
        <w:rPr>
          <w:rFonts w:hint="eastAsia" w:ascii="黑体" w:hAnsi="黑体" w:eastAsia="黑体"/>
          <w:color w:val="000000"/>
          <w:kern w:val="2"/>
          <w:sz w:val="44"/>
          <w:szCs w:val="24"/>
        </w:rPr>
        <w:t>第四部分 附件</w:t>
      </w:r>
      <w:bookmarkEnd w:id="20"/>
      <w:bookmarkEnd w:id="21"/>
    </w:p>
    <w:p>
      <w:pPr>
        <w:overflowPunct w:val="0"/>
        <w:topLinePunct/>
        <w:spacing w:line="576" w:lineRule="exact"/>
        <w:ind w:firstLine="640" w:firstLineChars="200"/>
        <w:jc w:val="center"/>
        <w:rPr>
          <w:rFonts w:hint="eastAsia" w:ascii="黑体" w:hAnsi="黑体" w:eastAsia="黑体"/>
          <w:kern w:val="2"/>
          <w:sz w:val="32"/>
          <w:szCs w:val="24"/>
        </w:rPr>
      </w:pPr>
      <w:r>
        <w:rPr>
          <w:rFonts w:hint="eastAsia" w:ascii="黑体" w:hAnsi="黑体" w:eastAsia="黑体"/>
          <w:kern w:val="2"/>
          <w:sz w:val="32"/>
          <w:szCs w:val="24"/>
        </w:rPr>
        <w:t>部门预算项目支出绩效自评表（2023年度）</w:t>
      </w:r>
    </w:p>
    <w:tbl>
      <w:tblPr>
        <w:tblStyle w:val="11"/>
        <w:tblW w:w="13463"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
        <w:gridCol w:w="915"/>
        <w:gridCol w:w="165"/>
        <w:gridCol w:w="923"/>
        <w:gridCol w:w="157"/>
        <w:gridCol w:w="1543"/>
        <w:gridCol w:w="350"/>
        <w:gridCol w:w="477"/>
        <w:gridCol w:w="798"/>
        <w:gridCol w:w="1600"/>
        <w:gridCol w:w="350"/>
        <w:gridCol w:w="1362"/>
        <w:gridCol w:w="388"/>
        <w:gridCol w:w="1437"/>
        <w:gridCol w:w="463"/>
        <w:gridCol w:w="2025"/>
        <w:gridCol w:w="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0" w:hRule="atLeast"/>
        </w:trPr>
        <w:tc>
          <w:tcPr>
            <w:tcW w:w="2238" w:type="dxa"/>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项目名称</w:t>
            </w:r>
          </w:p>
        </w:tc>
        <w:tc>
          <w:tcPr>
            <w:tcW w:w="11225" w:type="dxa"/>
            <w:gridSpan w:val="13"/>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基金监管工作经费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5" w:hRule="atLeast"/>
        </w:trPr>
        <w:tc>
          <w:tcPr>
            <w:tcW w:w="2238" w:type="dxa"/>
            <w:gridSpan w:val="4"/>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主管部门</w:t>
            </w:r>
          </w:p>
        </w:tc>
        <w:tc>
          <w:tcPr>
            <w:tcW w:w="4925" w:type="dxa"/>
            <w:gridSpan w:val="6"/>
            <w:tcBorders>
              <w:top w:val="nil"/>
              <w:left w:val="single" w:color="000000" w:sz="8" w:space="0"/>
              <w:bottom w:val="single" w:color="000000" w:sz="8" w:space="0"/>
              <w:right w:val="nil"/>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昭化区医保局</w:t>
            </w:r>
          </w:p>
        </w:tc>
        <w:tc>
          <w:tcPr>
            <w:tcW w:w="1712" w:type="dxa"/>
            <w:gridSpan w:val="2"/>
            <w:tcBorders>
              <w:top w:val="single" w:color="000000" w:sz="8" w:space="0"/>
              <w:left w:val="single" w:color="000000" w:sz="8" w:space="0"/>
              <w:bottom w:val="single" w:color="000000" w:sz="8" w:space="0"/>
              <w:right w:val="nil"/>
              <w:tl2br w:val="nil"/>
              <w:tr2bl w:val="nil"/>
            </w:tcBorders>
            <w:noWrap w:val="0"/>
            <w:vAlign w:val="center"/>
          </w:tcPr>
          <w:p>
            <w:pPr>
              <w:widowControl/>
              <w:textAlignment w:val="center"/>
              <w:rPr>
                <w:rFonts w:hint="eastAsia" w:ascii="宋体" w:hAnsi="宋体" w:cs="宋体"/>
                <w:color w:val="000000"/>
                <w:sz w:val="16"/>
                <w:szCs w:val="16"/>
              </w:rPr>
            </w:pPr>
            <w:r>
              <w:rPr>
                <w:rStyle w:val="22"/>
                <w:rFonts w:hint="eastAsia"/>
                <w:sz w:val="16"/>
                <w:szCs w:val="16"/>
                <w:lang w:bidi="ar"/>
              </w:rPr>
              <w:t>实施单位</w:t>
            </w:r>
          </w:p>
        </w:tc>
        <w:tc>
          <w:tcPr>
            <w:tcW w:w="4588"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昭化区医保局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238" w:type="dxa"/>
            <w:gridSpan w:val="4"/>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项目（政策）资金 （万元）</w:t>
            </w:r>
          </w:p>
        </w:tc>
        <w:tc>
          <w:tcPr>
            <w:tcW w:w="2527"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年度预算数（万元）</w:t>
            </w:r>
          </w:p>
        </w:tc>
        <w:tc>
          <w:tcPr>
            <w:tcW w:w="2398"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年初预算数</w:t>
            </w:r>
          </w:p>
        </w:tc>
        <w:tc>
          <w:tcPr>
            <w:tcW w:w="17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全年预算数</w:t>
            </w:r>
          </w:p>
        </w:tc>
        <w:tc>
          <w:tcPr>
            <w:tcW w:w="182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全年执行数</w:t>
            </w:r>
          </w:p>
        </w:tc>
        <w:tc>
          <w:tcPr>
            <w:tcW w:w="276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238"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2527"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年度资金总额</w:t>
            </w:r>
          </w:p>
        </w:tc>
        <w:tc>
          <w:tcPr>
            <w:tcW w:w="2398" w:type="dxa"/>
            <w:gridSpan w:val="2"/>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5</w:t>
            </w:r>
          </w:p>
        </w:tc>
        <w:tc>
          <w:tcPr>
            <w:tcW w:w="17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5</w:t>
            </w:r>
          </w:p>
        </w:tc>
        <w:tc>
          <w:tcPr>
            <w:tcW w:w="182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0</w:t>
            </w:r>
          </w:p>
        </w:tc>
        <w:tc>
          <w:tcPr>
            <w:tcW w:w="276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238"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2527"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（一）财政拨款小计</w:t>
            </w:r>
          </w:p>
        </w:tc>
        <w:tc>
          <w:tcPr>
            <w:tcW w:w="2398" w:type="dxa"/>
            <w:gridSpan w:val="2"/>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5</w:t>
            </w:r>
          </w:p>
        </w:tc>
        <w:tc>
          <w:tcPr>
            <w:tcW w:w="17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5</w:t>
            </w:r>
          </w:p>
        </w:tc>
        <w:tc>
          <w:tcPr>
            <w:tcW w:w="182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0</w:t>
            </w:r>
          </w:p>
        </w:tc>
        <w:tc>
          <w:tcPr>
            <w:tcW w:w="276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238"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2527"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1.一般公共预算</w:t>
            </w:r>
          </w:p>
        </w:tc>
        <w:tc>
          <w:tcPr>
            <w:tcW w:w="2398"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5</w:t>
            </w:r>
          </w:p>
        </w:tc>
        <w:tc>
          <w:tcPr>
            <w:tcW w:w="17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5</w:t>
            </w:r>
          </w:p>
        </w:tc>
        <w:tc>
          <w:tcPr>
            <w:tcW w:w="182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0</w:t>
            </w:r>
          </w:p>
        </w:tc>
        <w:tc>
          <w:tcPr>
            <w:tcW w:w="276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238"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2527"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2.政府性基金</w:t>
            </w:r>
          </w:p>
        </w:tc>
        <w:tc>
          <w:tcPr>
            <w:tcW w:w="2398"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Arial" w:hAnsi="Arial" w:cs="Arial"/>
                <w:color w:val="000000"/>
                <w:sz w:val="20"/>
                <w:szCs w:val="20"/>
              </w:rPr>
            </w:pPr>
          </w:p>
        </w:tc>
        <w:tc>
          <w:tcPr>
            <w:tcW w:w="1712"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c>
          <w:tcPr>
            <w:tcW w:w="182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c>
          <w:tcPr>
            <w:tcW w:w="27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5" w:hRule="atLeast"/>
        </w:trPr>
        <w:tc>
          <w:tcPr>
            <w:tcW w:w="2238"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2527"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3.国有资本经营预算</w:t>
            </w:r>
          </w:p>
        </w:tc>
        <w:tc>
          <w:tcPr>
            <w:tcW w:w="2398"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c>
          <w:tcPr>
            <w:tcW w:w="1712"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c>
          <w:tcPr>
            <w:tcW w:w="182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c>
          <w:tcPr>
            <w:tcW w:w="27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0" w:hRule="atLeast"/>
        </w:trPr>
        <w:tc>
          <w:tcPr>
            <w:tcW w:w="2238"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2527"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（二）其他资金</w:t>
            </w:r>
          </w:p>
        </w:tc>
        <w:tc>
          <w:tcPr>
            <w:tcW w:w="2398"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c>
          <w:tcPr>
            <w:tcW w:w="1712"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c>
          <w:tcPr>
            <w:tcW w:w="182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c>
          <w:tcPr>
            <w:tcW w:w="27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3" w:hRule="atLeast"/>
        </w:trPr>
        <w:tc>
          <w:tcPr>
            <w:tcW w:w="1150" w:type="dxa"/>
            <w:gridSpan w:val="2"/>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年度总体  目标</w:t>
            </w:r>
          </w:p>
        </w:tc>
        <w:tc>
          <w:tcPr>
            <w:tcW w:w="6013" w:type="dxa"/>
            <w:gridSpan w:val="8"/>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预期目标</w:t>
            </w:r>
          </w:p>
        </w:tc>
        <w:tc>
          <w:tcPr>
            <w:tcW w:w="6300" w:type="dxa"/>
            <w:gridSpan w:val="7"/>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default" w:ascii="Arial" w:hAnsi="Arial" w:cs="Arial"/>
                <w:color w:val="000000"/>
                <w:sz w:val="20"/>
                <w:szCs w:val="20"/>
              </w:rPr>
            </w:pPr>
            <w:r>
              <w:rPr>
                <w:rStyle w:val="23"/>
                <w:rFonts w:hint="eastAsia"/>
                <w:sz w:val="20"/>
                <w:szCs w:val="20"/>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35" w:hRule="atLeast"/>
        </w:trPr>
        <w:tc>
          <w:tcPr>
            <w:tcW w:w="115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6013" w:type="dxa"/>
            <w:gridSpan w:val="8"/>
            <w:tcBorders>
              <w:top w:val="nil"/>
              <w:left w:val="nil"/>
              <w:bottom w:val="single" w:color="000000" w:sz="8" w:space="0"/>
              <w:right w:val="nil"/>
              <w:tl2br w:val="nil"/>
              <w:tr2bl w:val="nil"/>
            </w:tcBorders>
            <w:noWrap w:val="0"/>
            <w:vAlign w:val="center"/>
          </w:tcPr>
          <w:p>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为贯彻执行医疗保障基金监督管理制度，建立健全医疗保障基金安全防控机制和信用评价体系，监督管理纳入医保支付范围的医疗服务行为和医疗费用，依法查处医疗保障领域违法违规行为，注重控制、审计、风险防控工作，从而推进医疗、医保、医药“三医联动”改革，更好保障人民群众就医需求，减轻医药费用负担。</w:t>
            </w:r>
          </w:p>
        </w:tc>
        <w:tc>
          <w:tcPr>
            <w:tcW w:w="6300" w:type="dxa"/>
            <w:gridSpan w:val="7"/>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已完成。2023年，落实常态化监管机制，重点打击“假病人”“假病情”“假票据”等三假违规行为，组建基金监管专家队伍对全区53家医药机构开展全覆盖检查，对违规查处率达100%，切实守护好群众“救命钱”。按照规定基本完成目标任务，项目实施效果基本达到预期目标，成本未超预算范围，资金使用安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150" w:type="dxa"/>
            <w:gridSpan w:val="2"/>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绩效指标</w:t>
            </w:r>
          </w:p>
        </w:tc>
        <w:tc>
          <w:tcPr>
            <w:tcW w:w="1088" w:type="dxa"/>
            <w:gridSpan w:val="2"/>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一级指标</w:t>
            </w:r>
          </w:p>
        </w:tc>
        <w:tc>
          <w:tcPr>
            <w:tcW w:w="1700"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二级指标</w:t>
            </w:r>
          </w:p>
        </w:tc>
        <w:tc>
          <w:tcPr>
            <w:tcW w:w="3225" w:type="dxa"/>
            <w:gridSpan w:val="4"/>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三级指标</w:t>
            </w:r>
          </w:p>
        </w:tc>
        <w:tc>
          <w:tcPr>
            <w:tcW w:w="1712"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年度指标值</w:t>
            </w:r>
          </w:p>
        </w:tc>
        <w:tc>
          <w:tcPr>
            <w:tcW w:w="1825"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实际完成值</w:t>
            </w:r>
          </w:p>
        </w:tc>
        <w:tc>
          <w:tcPr>
            <w:tcW w:w="2763" w:type="dxa"/>
            <w:gridSpan w:val="3"/>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5"/>
                <w:szCs w:val="15"/>
              </w:rPr>
            </w:pPr>
            <w:r>
              <w:rPr>
                <w:rStyle w:val="18"/>
                <w:rFonts w:hint="eastAsia"/>
                <w:sz w:val="15"/>
                <w:szCs w:val="15"/>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2" w:hRule="atLeast"/>
        </w:trPr>
        <w:tc>
          <w:tcPr>
            <w:tcW w:w="115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088" w:type="dxa"/>
            <w:gridSpan w:val="2"/>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70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3225" w:type="dxa"/>
            <w:gridSpan w:val="4"/>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712"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825"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2763" w:type="dxa"/>
            <w:gridSpan w:val="3"/>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15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088"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产出指标</w:t>
            </w:r>
          </w:p>
        </w:tc>
        <w:tc>
          <w:tcPr>
            <w:tcW w:w="1700" w:type="dxa"/>
            <w:gridSpan w:val="2"/>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数量指标</w:t>
            </w:r>
          </w:p>
        </w:tc>
        <w:tc>
          <w:tcPr>
            <w:tcW w:w="3225"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开展全区定点医药机构检查次数</w:t>
            </w:r>
          </w:p>
        </w:tc>
        <w:tc>
          <w:tcPr>
            <w:tcW w:w="17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≥30次</w:t>
            </w:r>
          </w:p>
        </w:tc>
        <w:tc>
          <w:tcPr>
            <w:tcW w:w="182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53次</w:t>
            </w:r>
          </w:p>
        </w:tc>
        <w:tc>
          <w:tcPr>
            <w:tcW w:w="2763" w:type="dxa"/>
            <w:gridSpan w:val="3"/>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15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088"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700" w:type="dxa"/>
            <w:gridSpan w:val="2"/>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质量指标</w:t>
            </w:r>
          </w:p>
        </w:tc>
        <w:tc>
          <w:tcPr>
            <w:tcW w:w="3225"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专项检查违规查处率</w:t>
            </w:r>
          </w:p>
        </w:tc>
        <w:tc>
          <w:tcPr>
            <w:tcW w:w="17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100%</w:t>
            </w:r>
          </w:p>
        </w:tc>
        <w:tc>
          <w:tcPr>
            <w:tcW w:w="182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100%</w:t>
            </w:r>
          </w:p>
        </w:tc>
        <w:tc>
          <w:tcPr>
            <w:tcW w:w="27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0" w:hRule="atLeast"/>
        </w:trPr>
        <w:tc>
          <w:tcPr>
            <w:tcW w:w="115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088"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700" w:type="dxa"/>
            <w:gridSpan w:val="2"/>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时效指标</w:t>
            </w:r>
          </w:p>
        </w:tc>
        <w:tc>
          <w:tcPr>
            <w:tcW w:w="3225"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年度检查任务按时完成率</w:t>
            </w:r>
          </w:p>
        </w:tc>
        <w:tc>
          <w:tcPr>
            <w:tcW w:w="17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100%</w:t>
            </w:r>
          </w:p>
        </w:tc>
        <w:tc>
          <w:tcPr>
            <w:tcW w:w="182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100%</w:t>
            </w:r>
          </w:p>
        </w:tc>
        <w:tc>
          <w:tcPr>
            <w:tcW w:w="27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15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088" w:type="dxa"/>
            <w:gridSpan w:val="2"/>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效益指标</w:t>
            </w:r>
          </w:p>
        </w:tc>
        <w:tc>
          <w:tcPr>
            <w:tcW w:w="1700" w:type="dxa"/>
            <w:gridSpan w:val="2"/>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社会效益指标</w:t>
            </w:r>
          </w:p>
        </w:tc>
        <w:tc>
          <w:tcPr>
            <w:tcW w:w="3225" w:type="dxa"/>
            <w:gridSpan w:val="4"/>
            <w:vMerge w:val="restart"/>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保障医保基金安全运行，提高综合监管能力</w:t>
            </w:r>
          </w:p>
        </w:tc>
        <w:tc>
          <w:tcPr>
            <w:tcW w:w="1712"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优</w:t>
            </w:r>
          </w:p>
        </w:tc>
        <w:tc>
          <w:tcPr>
            <w:tcW w:w="1825"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优</w:t>
            </w:r>
          </w:p>
        </w:tc>
        <w:tc>
          <w:tcPr>
            <w:tcW w:w="2763" w:type="dxa"/>
            <w:gridSpan w:val="3"/>
            <w:vMerge w:val="restart"/>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2" w:hRule="atLeast"/>
        </w:trPr>
        <w:tc>
          <w:tcPr>
            <w:tcW w:w="115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088" w:type="dxa"/>
            <w:gridSpan w:val="2"/>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70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3225" w:type="dxa"/>
            <w:gridSpan w:val="4"/>
            <w:vMerge w:val="continue"/>
            <w:tcBorders>
              <w:top w:val="nil"/>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712"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825"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2763" w:type="dxa"/>
            <w:gridSpan w:val="3"/>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5" w:hRule="atLeast"/>
        </w:trPr>
        <w:tc>
          <w:tcPr>
            <w:tcW w:w="115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088" w:type="dxa"/>
            <w:gridSpan w:val="2"/>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满意度指标</w:t>
            </w:r>
          </w:p>
        </w:tc>
        <w:tc>
          <w:tcPr>
            <w:tcW w:w="170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服务对象满意度指标</w:t>
            </w:r>
          </w:p>
        </w:tc>
        <w:tc>
          <w:tcPr>
            <w:tcW w:w="3225"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定点医药机构对医保管理服务满意度</w:t>
            </w:r>
          </w:p>
        </w:tc>
        <w:tc>
          <w:tcPr>
            <w:tcW w:w="17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≥90%</w:t>
            </w:r>
          </w:p>
        </w:tc>
        <w:tc>
          <w:tcPr>
            <w:tcW w:w="182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90%</w:t>
            </w:r>
          </w:p>
        </w:tc>
        <w:tc>
          <w:tcPr>
            <w:tcW w:w="27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0" w:hRule="atLeast"/>
        </w:trPr>
        <w:tc>
          <w:tcPr>
            <w:tcW w:w="115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6"/>
                <w:szCs w:val="16"/>
              </w:rPr>
            </w:pPr>
          </w:p>
        </w:tc>
        <w:tc>
          <w:tcPr>
            <w:tcW w:w="1088" w:type="dxa"/>
            <w:gridSpan w:val="2"/>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Style w:val="22"/>
                <w:rFonts w:hint="eastAsia"/>
                <w:sz w:val="16"/>
                <w:szCs w:val="16"/>
                <w:lang w:bidi="ar"/>
              </w:rPr>
              <w:t>成本指标</w:t>
            </w:r>
          </w:p>
        </w:tc>
        <w:tc>
          <w:tcPr>
            <w:tcW w:w="1700" w:type="dxa"/>
            <w:gridSpan w:val="2"/>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经济成本指标</w:t>
            </w:r>
          </w:p>
        </w:tc>
        <w:tc>
          <w:tcPr>
            <w:tcW w:w="3225" w:type="dxa"/>
            <w:gridSpan w:val="4"/>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监管工作经费控制数</w:t>
            </w:r>
          </w:p>
        </w:tc>
        <w:tc>
          <w:tcPr>
            <w:tcW w:w="1712"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5万元</w:t>
            </w:r>
          </w:p>
        </w:tc>
        <w:tc>
          <w:tcPr>
            <w:tcW w:w="1825"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0万元</w:t>
            </w:r>
          </w:p>
        </w:tc>
        <w:tc>
          <w:tcPr>
            <w:tcW w:w="2763" w:type="dxa"/>
            <w:gridSpan w:val="3"/>
            <w:tcBorders>
              <w:top w:val="nil"/>
              <w:left w:val="single" w:color="000000" w:sz="8" w:space="0"/>
              <w:bottom w:val="nil"/>
              <w:right w:val="single" w:color="000000" w:sz="8" w:space="0"/>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项目正在推进中，四月基金监管宣传月活动正在启动中，尚未完工。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3463" w:type="dxa"/>
            <w:gridSpan w:val="17"/>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自评得分：82分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2160" w:type="dxa"/>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项目名称</w:t>
            </w:r>
          </w:p>
        </w:tc>
        <w:tc>
          <w:tcPr>
            <w:tcW w:w="10793" w:type="dxa"/>
            <w:gridSpan w:val="11"/>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防贫保服务费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2160" w:type="dxa"/>
            <w:gridSpan w:val="4"/>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主管部门</w:t>
            </w:r>
          </w:p>
        </w:tc>
        <w:tc>
          <w:tcPr>
            <w:tcW w:w="5118" w:type="dxa"/>
            <w:gridSpan w:val="6"/>
            <w:tcBorders>
              <w:top w:val="nil"/>
              <w:left w:val="single" w:color="000000" w:sz="8" w:space="0"/>
              <w:bottom w:val="single" w:color="000000" w:sz="8" w:space="0"/>
              <w:right w:val="nil"/>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c>
          <w:tcPr>
            <w:tcW w:w="1750" w:type="dxa"/>
            <w:gridSpan w:val="2"/>
            <w:tcBorders>
              <w:top w:val="single" w:color="000000" w:sz="8" w:space="0"/>
              <w:left w:val="single" w:color="000000" w:sz="8" w:space="0"/>
              <w:bottom w:val="single" w:color="000000" w:sz="8" w:space="0"/>
              <w:right w:val="nil"/>
              <w:tl2br w:val="nil"/>
              <w:tr2bl w:val="nil"/>
            </w:tcBorders>
            <w:noWrap w:val="0"/>
            <w:vAlign w:val="center"/>
          </w:tcPr>
          <w:p>
            <w:pPr>
              <w:widowControl/>
              <w:textAlignment w:val="center"/>
              <w:rPr>
                <w:rFonts w:hint="eastAsia" w:ascii="宋体" w:hAnsi="宋体" w:cs="宋体"/>
                <w:color w:val="000000"/>
                <w:sz w:val="17"/>
                <w:szCs w:val="17"/>
              </w:rPr>
            </w:pPr>
            <w:r>
              <w:rPr>
                <w:rFonts w:hint="eastAsia" w:ascii="宋体" w:hAnsi="宋体" w:cs="宋体"/>
                <w:color w:val="000000"/>
                <w:sz w:val="17"/>
                <w:szCs w:val="17"/>
                <w:lang w:bidi="ar"/>
              </w:rPr>
              <w:t>实施单位</w:t>
            </w:r>
          </w:p>
        </w:tc>
        <w:tc>
          <w:tcPr>
            <w:tcW w:w="3925"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2160" w:type="dxa"/>
            <w:gridSpan w:val="4"/>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项目（政策）资金 （万元）</w:t>
            </w:r>
          </w:p>
        </w:tc>
        <w:tc>
          <w:tcPr>
            <w:tcW w:w="3168"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年度预算数（万元）</w:t>
            </w:r>
          </w:p>
        </w:tc>
        <w:tc>
          <w:tcPr>
            <w:tcW w:w="195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年初预算数</w:t>
            </w:r>
          </w:p>
        </w:tc>
        <w:tc>
          <w:tcPr>
            <w:tcW w:w="175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全年预算数</w:t>
            </w:r>
          </w:p>
        </w:tc>
        <w:tc>
          <w:tcPr>
            <w:tcW w:w="190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全年执行数</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2160"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168"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年度资金总额</w:t>
            </w:r>
          </w:p>
        </w:tc>
        <w:tc>
          <w:tcPr>
            <w:tcW w:w="1950" w:type="dxa"/>
            <w:gridSpan w:val="2"/>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9.5</w:t>
            </w:r>
          </w:p>
        </w:tc>
        <w:tc>
          <w:tcPr>
            <w:tcW w:w="175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8.52</w:t>
            </w:r>
          </w:p>
        </w:tc>
        <w:tc>
          <w:tcPr>
            <w:tcW w:w="190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8.52</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2160"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168"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（一）财政拨款小计</w:t>
            </w:r>
          </w:p>
        </w:tc>
        <w:tc>
          <w:tcPr>
            <w:tcW w:w="195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9.5</w:t>
            </w:r>
          </w:p>
        </w:tc>
        <w:tc>
          <w:tcPr>
            <w:tcW w:w="175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8.52</w:t>
            </w:r>
          </w:p>
        </w:tc>
        <w:tc>
          <w:tcPr>
            <w:tcW w:w="190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8.52</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2160"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168"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1.一般公共预算</w:t>
            </w:r>
          </w:p>
        </w:tc>
        <w:tc>
          <w:tcPr>
            <w:tcW w:w="195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9.5</w:t>
            </w:r>
          </w:p>
        </w:tc>
        <w:tc>
          <w:tcPr>
            <w:tcW w:w="175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8.52</w:t>
            </w:r>
          </w:p>
        </w:tc>
        <w:tc>
          <w:tcPr>
            <w:tcW w:w="190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8.52</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2160"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168"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2.政府性基金</w:t>
            </w:r>
          </w:p>
        </w:tc>
        <w:tc>
          <w:tcPr>
            <w:tcW w:w="1950"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Arial" w:hAnsi="Arial" w:cs="Arial"/>
                <w:color w:val="000000"/>
                <w:sz w:val="21"/>
                <w:szCs w:val="21"/>
              </w:rPr>
            </w:pPr>
          </w:p>
        </w:tc>
        <w:tc>
          <w:tcPr>
            <w:tcW w:w="1750"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900"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2160"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168"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3.国有资本经营预算</w:t>
            </w:r>
          </w:p>
        </w:tc>
        <w:tc>
          <w:tcPr>
            <w:tcW w:w="1950"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750"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900"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2160"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168"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（二）其他资金</w:t>
            </w:r>
          </w:p>
        </w:tc>
        <w:tc>
          <w:tcPr>
            <w:tcW w:w="1950"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750"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900"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47" w:hRule="atLeast"/>
        </w:trPr>
        <w:tc>
          <w:tcPr>
            <w:tcW w:w="1080" w:type="dxa"/>
            <w:gridSpan w:val="2"/>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年度总体  目标</w:t>
            </w:r>
          </w:p>
        </w:tc>
        <w:tc>
          <w:tcPr>
            <w:tcW w:w="6198" w:type="dxa"/>
            <w:gridSpan w:val="8"/>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预期目标</w:t>
            </w:r>
          </w:p>
        </w:tc>
        <w:tc>
          <w:tcPr>
            <w:tcW w:w="5675" w:type="dxa"/>
            <w:gridSpan w:val="5"/>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default" w:ascii="Arial" w:hAnsi="Arial" w:cs="Arial"/>
                <w:color w:val="000000"/>
                <w:sz w:val="21"/>
                <w:szCs w:val="21"/>
              </w:rPr>
            </w:pPr>
            <w:r>
              <w:rPr>
                <w:rFonts w:hint="eastAsia" w:ascii="Arial" w:hAnsi="Arial" w:cs="Arial"/>
                <w:color w:val="000000"/>
                <w:sz w:val="21"/>
                <w:szCs w:val="21"/>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1437" w:hRule="atLeast"/>
        </w:trPr>
        <w:tc>
          <w:tcPr>
            <w:tcW w:w="108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6198" w:type="dxa"/>
            <w:gridSpan w:val="8"/>
            <w:tcBorders>
              <w:top w:val="nil"/>
              <w:left w:val="nil"/>
              <w:bottom w:val="single" w:color="000000" w:sz="8" w:space="0"/>
              <w:right w:val="nil"/>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有效防止辖区内因病致贫返贫风险，决定实施防贫保项目。根据项目需要，为充分发挥资金使用效益，决定采用政府购买服务方式与具有实施资质的第三方机构合作实施防贫保项目。第三方机构按程序对申请人家庭财产情况进行全面调查核实，形成调查结论报送区医保局。服务费由区财政单独预算，按当年救助总额的15%收取，区医保局负责考核发放。</w:t>
            </w:r>
          </w:p>
        </w:tc>
        <w:tc>
          <w:tcPr>
            <w:tcW w:w="5675"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已完成。“防贫保”服务费预算9.5万元（封顶数），资金到位率100%。按照当年救助总额的15%测算服务费56.8万元*15%=8.52万元，已支出8.52万元，拨付率100%，剩余0.98万元财政给予收回指标。项目严格按照规定完成了目标任务，当年“防贫保”救助24户，实施效果达到预期目标，拨付第三方机构太平洋保险公司，专款专用，成本未超预算范围，资金使用安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1080" w:type="dxa"/>
            <w:gridSpan w:val="2"/>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绩效指标</w:t>
            </w:r>
          </w:p>
        </w:tc>
        <w:tc>
          <w:tcPr>
            <w:tcW w:w="1080" w:type="dxa"/>
            <w:gridSpan w:val="2"/>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893"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3225" w:type="dxa"/>
            <w:gridSpan w:val="4"/>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1750"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900"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2025"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285" w:hRule="atLeast"/>
        </w:trPr>
        <w:tc>
          <w:tcPr>
            <w:tcW w:w="108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gridSpan w:val="2"/>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893"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225" w:type="dxa"/>
            <w:gridSpan w:val="4"/>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750"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900"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025" w:type="dxa"/>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108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1893" w:type="dxa"/>
            <w:gridSpan w:val="2"/>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3225"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计划防贫保救助群众人数</w:t>
            </w:r>
          </w:p>
        </w:tc>
        <w:tc>
          <w:tcPr>
            <w:tcW w:w="175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≥10户</w:t>
            </w:r>
          </w:p>
        </w:tc>
        <w:tc>
          <w:tcPr>
            <w:tcW w:w="190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24户</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108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893" w:type="dxa"/>
            <w:gridSpan w:val="2"/>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3225"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防贫保救助精准率</w:t>
            </w:r>
          </w:p>
        </w:tc>
        <w:tc>
          <w:tcPr>
            <w:tcW w:w="175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90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108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893" w:type="dxa"/>
            <w:gridSpan w:val="2"/>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3225"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资金支付及时率</w:t>
            </w:r>
          </w:p>
        </w:tc>
        <w:tc>
          <w:tcPr>
            <w:tcW w:w="175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90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300" w:hRule="atLeast"/>
        </w:trPr>
        <w:tc>
          <w:tcPr>
            <w:tcW w:w="108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gridSpan w:val="2"/>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1893" w:type="dxa"/>
            <w:gridSpan w:val="2"/>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3225" w:type="dxa"/>
            <w:gridSpan w:val="4"/>
            <w:vMerge w:val="restart"/>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有效防止辖区内群众因病致贫返贫风险</w:t>
            </w:r>
          </w:p>
        </w:tc>
        <w:tc>
          <w:tcPr>
            <w:tcW w:w="1750"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900"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2025" w:type="dxa"/>
            <w:vMerge w:val="restart"/>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285" w:hRule="atLeast"/>
        </w:trPr>
        <w:tc>
          <w:tcPr>
            <w:tcW w:w="108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gridSpan w:val="2"/>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893"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225" w:type="dxa"/>
            <w:gridSpan w:val="4"/>
            <w:vMerge w:val="continue"/>
            <w:tcBorders>
              <w:top w:val="nil"/>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750"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900"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025" w:type="dxa"/>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450" w:hRule="atLeast"/>
        </w:trPr>
        <w:tc>
          <w:tcPr>
            <w:tcW w:w="108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gridSpan w:val="2"/>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893"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3225"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w:t>
            </w:r>
          </w:p>
        </w:tc>
        <w:tc>
          <w:tcPr>
            <w:tcW w:w="175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90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450" w:hRule="atLeast"/>
        </w:trPr>
        <w:tc>
          <w:tcPr>
            <w:tcW w:w="1080"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gridSpan w:val="2"/>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1893" w:type="dxa"/>
            <w:gridSpan w:val="2"/>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3225" w:type="dxa"/>
            <w:gridSpan w:val="4"/>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第三方机构服务费（预算成本控制额）</w:t>
            </w:r>
          </w:p>
        </w:tc>
        <w:tc>
          <w:tcPr>
            <w:tcW w:w="1750"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≤9.5万元</w:t>
            </w:r>
          </w:p>
        </w:tc>
        <w:tc>
          <w:tcPr>
            <w:tcW w:w="1900"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8.52万元</w:t>
            </w:r>
          </w:p>
        </w:tc>
        <w:tc>
          <w:tcPr>
            <w:tcW w:w="2025" w:type="dxa"/>
            <w:tcBorders>
              <w:top w:val="nil"/>
              <w:left w:val="single" w:color="000000" w:sz="8" w:space="0"/>
              <w:bottom w:val="nil"/>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35" w:type="dxa"/>
          <w:wAfter w:w="275" w:type="dxa"/>
          <w:trHeight w:val="270" w:hRule="atLeast"/>
        </w:trPr>
        <w:tc>
          <w:tcPr>
            <w:tcW w:w="12953" w:type="dxa"/>
            <w:gridSpan w:val="15"/>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自评得分：96分</w:t>
            </w:r>
          </w:p>
        </w:tc>
      </w:tr>
    </w:tbl>
    <w:p>
      <w:pPr>
        <w:pStyle w:val="7"/>
        <w:rPr>
          <w:rFonts w:hint="eastAsia"/>
          <w:sz w:val="24"/>
          <w:szCs w:val="32"/>
        </w:rPr>
      </w:pPr>
    </w:p>
    <w:tbl>
      <w:tblPr>
        <w:tblStyle w:val="11"/>
        <w:tblW w:w="13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292"/>
        <w:gridCol w:w="1338"/>
        <w:gridCol w:w="400"/>
        <w:gridCol w:w="1675"/>
        <w:gridCol w:w="13"/>
        <w:gridCol w:w="25"/>
        <w:gridCol w:w="252"/>
        <w:gridCol w:w="1823"/>
        <w:gridCol w:w="75"/>
        <w:gridCol w:w="250"/>
        <w:gridCol w:w="12"/>
        <w:gridCol w:w="652"/>
        <w:gridCol w:w="861"/>
        <w:gridCol w:w="62"/>
        <w:gridCol w:w="50"/>
        <w:gridCol w:w="477"/>
        <w:gridCol w:w="1598"/>
        <w:gridCol w:w="25"/>
        <w:gridCol w:w="15"/>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216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项目名称</w:t>
            </w:r>
          </w:p>
        </w:tc>
        <w:tc>
          <w:tcPr>
            <w:tcW w:w="10895" w:type="dxa"/>
            <w:gridSpan w:val="19"/>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城乡居民基本医疗保险区级补助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2160"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主管部门</w:t>
            </w:r>
          </w:p>
        </w:tc>
        <w:tc>
          <w:tcPr>
            <w:tcW w:w="4995" w:type="dxa"/>
            <w:gridSpan w:val="7"/>
            <w:tcBorders>
              <w:top w:val="nil"/>
              <w:left w:val="single" w:color="000000" w:sz="8" w:space="0"/>
              <w:bottom w:val="single" w:color="000000" w:sz="8" w:space="0"/>
              <w:right w:val="nil"/>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c>
          <w:tcPr>
            <w:tcW w:w="2812" w:type="dxa"/>
            <w:gridSpan w:val="5"/>
            <w:tcBorders>
              <w:top w:val="single" w:color="000000" w:sz="8" w:space="0"/>
              <w:left w:val="single" w:color="000000" w:sz="8" w:space="0"/>
              <w:bottom w:val="single" w:color="000000" w:sz="8" w:space="0"/>
              <w:right w:val="nil"/>
              <w:tl2br w:val="nil"/>
              <w:tr2bl w:val="nil"/>
            </w:tcBorders>
            <w:noWrap w:val="0"/>
            <w:vAlign w:val="center"/>
          </w:tcPr>
          <w:p>
            <w:pPr>
              <w:widowControl/>
              <w:textAlignment w:val="center"/>
              <w:rPr>
                <w:rFonts w:hint="eastAsia" w:ascii="宋体" w:hAnsi="宋体" w:cs="宋体"/>
                <w:color w:val="000000"/>
                <w:sz w:val="17"/>
                <w:szCs w:val="17"/>
              </w:rPr>
            </w:pPr>
            <w:r>
              <w:rPr>
                <w:rFonts w:hint="eastAsia" w:ascii="宋体" w:hAnsi="宋体" w:cs="宋体"/>
                <w:color w:val="000000"/>
                <w:sz w:val="17"/>
                <w:szCs w:val="17"/>
                <w:lang w:bidi="ar"/>
              </w:rPr>
              <w:t>实施单位</w:t>
            </w:r>
          </w:p>
        </w:tc>
        <w:tc>
          <w:tcPr>
            <w:tcW w:w="3088" w:type="dxa"/>
            <w:gridSpan w:val="7"/>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2160"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项目（政策）资金 （万元）</w:t>
            </w: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年度预算数（万元）</w:t>
            </w:r>
          </w:p>
        </w:tc>
        <w:tc>
          <w:tcPr>
            <w:tcW w:w="236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年初预算数</w:t>
            </w: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全年预算数</w:t>
            </w: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全年执行数</w:t>
            </w: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年度资金总额</w:t>
            </w:r>
          </w:p>
        </w:tc>
        <w:tc>
          <w:tcPr>
            <w:tcW w:w="236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787.37</w:t>
            </w: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771.11</w:t>
            </w: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771.11</w:t>
            </w: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（一）财政拨款小计</w:t>
            </w:r>
          </w:p>
        </w:tc>
        <w:tc>
          <w:tcPr>
            <w:tcW w:w="236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787.37</w:t>
            </w: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771.11</w:t>
            </w: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771.11</w:t>
            </w: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1.一般公共预算</w:t>
            </w:r>
          </w:p>
        </w:tc>
        <w:tc>
          <w:tcPr>
            <w:tcW w:w="236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787.37</w:t>
            </w: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771.11</w:t>
            </w: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771.11</w:t>
            </w: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2.政府性基金</w:t>
            </w:r>
          </w:p>
        </w:tc>
        <w:tc>
          <w:tcPr>
            <w:tcW w:w="2365"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Arial" w:hAnsi="Arial" w:cs="Arial"/>
                <w:color w:val="000000"/>
                <w:sz w:val="21"/>
                <w:szCs w:val="21"/>
              </w:rPr>
            </w:pP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3.国有资本经营预算</w:t>
            </w:r>
          </w:p>
        </w:tc>
        <w:tc>
          <w:tcPr>
            <w:tcW w:w="2365"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9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（二）其他资金</w:t>
            </w:r>
          </w:p>
        </w:tc>
        <w:tc>
          <w:tcPr>
            <w:tcW w:w="2365"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73"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年度总体  目标</w:t>
            </w:r>
          </w:p>
        </w:tc>
        <w:tc>
          <w:tcPr>
            <w:tcW w:w="6075" w:type="dxa"/>
            <w:gridSpan w:val="8"/>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预期目标</w:t>
            </w:r>
          </w:p>
        </w:tc>
        <w:tc>
          <w:tcPr>
            <w:tcW w:w="5900" w:type="dxa"/>
            <w:gridSpan w:val="1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default" w:ascii="Arial" w:hAnsi="Arial" w:cs="Arial"/>
                <w:color w:val="000000"/>
                <w:sz w:val="21"/>
                <w:szCs w:val="21"/>
              </w:rPr>
            </w:pPr>
            <w:r>
              <w:rPr>
                <w:rFonts w:hint="eastAsia" w:ascii="Arial" w:hAnsi="Arial" w:cs="Arial"/>
                <w:color w:val="000000"/>
                <w:sz w:val="21"/>
                <w:szCs w:val="21"/>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572"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6075" w:type="dxa"/>
            <w:gridSpan w:val="8"/>
            <w:tcBorders>
              <w:top w:val="nil"/>
              <w:left w:val="nil"/>
              <w:bottom w:val="single" w:color="000000" w:sz="8" w:space="0"/>
              <w:right w:val="nil"/>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按照中央、省、市医疗保险财政补助政策，完成我区城乡居民18.0672万人的医疗保险配套经费771.11万元，并实现上解</w:t>
            </w:r>
          </w:p>
        </w:tc>
        <w:tc>
          <w:tcPr>
            <w:tcW w:w="5900" w:type="dxa"/>
            <w:gridSpan w:val="1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已完成。在2023年10月，依据参保人数18.06万人，按照区级财政应补助标准，已全部上解市级。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绩效指标</w:t>
            </w:r>
          </w:p>
        </w:tc>
        <w:tc>
          <w:tcPr>
            <w:tcW w:w="108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3703" w:type="dxa"/>
            <w:gridSpan w:val="6"/>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2812" w:type="dxa"/>
            <w:gridSpan w:val="5"/>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450" w:type="dxa"/>
            <w:gridSpan w:val="4"/>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1638" w:type="dxa"/>
            <w:gridSpan w:val="3"/>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12"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703" w:type="dxa"/>
            <w:gridSpan w:val="6"/>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812" w:type="dxa"/>
            <w:gridSpan w:val="5"/>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450" w:type="dxa"/>
            <w:gridSpan w:val="4"/>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638" w:type="dxa"/>
            <w:gridSpan w:val="3"/>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1292" w:type="dxa"/>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3703" w:type="dxa"/>
            <w:gridSpan w:val="6"/>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参加城乡居民医疗保险人数</w:t>
            </w: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18.06万人</w:t>
            </w: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18.06万人</w:t>
            </w: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703" w:type="dxa"/>
            <w:gridSpan w:val="6"/>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财政补助标准</w:t>
            </w: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640元</w:t>
            </w: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640元</w:t>
            </w: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703" w:type="dxa"/>
            <w:gridSpan w:val="6"/>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区级财政补助标准</w:t>
            </w:r>
          </w:p>
        </w:tc>
        <w:tc>
          <w:tcPr>
            <w:tcW w:w="2812" w:type="dxa"/>
            <w:gridSpan w:val="5"/>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42.68元</w:t>
            </w:r>
          </w:p>
        </w:tc>
        <w:tc>
          <w:tcPr>
            <w:tcW w:w="1450" w:type="dxa"/>
            <w:gridSpan w:val="4"/>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42.68元</w:t>
            </w: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3703" w:type="dxa"/>
            <w:gridSpan w:val="6"/>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基本医保综合参保率</w:t>
            </w:r>
          </w:p>
        </w:tc>
        <w:tc>
          <w:tcPr>
            <w:tcW w:w="2812"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≥95%</w:t>
            </w:r>
          </w:p>
        </w:tc>
        <w:tc>
          <w:tcPr>
            <w:tcW w:w="1450" w:type="dxa"/>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w:t>
            </w:r>
          </w:p>
        </w:tc>
        <w:tc>
          <w:tcPr>
            <w:tcW w:w="1638" w:type="dxa"/>
            <w:gridSpan w:val="3"/>
            <w:tcBorders>
              <w:top w:val="nil"/>
              <w:left w:val="nil"/>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703" w:type="dxa"/>
            <w:gridSpan w:val="6"/>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政策范围内住院费用报销比</w:t>
            </w: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70%</w:t>
            </w: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70%</w:t>
            </w:r>
          </w:p>
        </w:tc>
        <w:tc>
          <w:tcPr>
            <w:tcW w:w="1638" w:type="dxa"/>
            <w:gridSpan w:val="3"/>
            <w:tcBorders>
              <w:top w:val="nil"/>
              <w:left w:val="nil"/>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703" w:type="dxa"/>
            <w:gridSpan w:val="6"/>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支付方式改革覆盖率</w:t>
            </w: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638" w:type="dxa"/>
            <w:gridSpan w:val="3"/>
            <w:tcBorders>
              <w:top w:val="nil"/>
              <w:left w:val="nil"/>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3703" w:type="dxa"/>
            <w:gridSpan w:val="6"/>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资金到位及时率</w:t>
            </w: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1292"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3703" w:type="dxa"/>
            <w:gridSpan w:val="6"/>
            <w:vMerge w:val="restart"/>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减少医疗费支出通过报销医疗，提升城乡居民生活质量</w:t>
            </w:r>
          </w:p>
        </w:tc>
        <w:tc>
          <w:tcPr>
            <w:tcW w:w="2812" w:type="dxa"/>
            <w:gridSpan w:val="5"/>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450" w:type="dxa"/>
            <w:gridSpan w:val="4"/>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638" w:type="dxa"/>
            <w:gridSpan w:val="3"/>
            <w:vMerge w:val="restart"/>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312"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703" w:type="dxa"/>
            <w:gridSpan w:val="6"/>
            <w:vMerge w:val="continue"/>
            <w:tcBorders>
              <w:top w:val="nil"/>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812" w:type="dxa"/>
            <w:gridSpan w:val="5"/>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450" w:type="dxa"/>
            <w:gridSpan w:val="4"/>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638" w:type="dxa"/>
            <w:gridSpan w:val="3"/>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45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3703" w:type="dxa"/>
            <w:gridSpan w:val="6"/>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定点医药机构对医保管理服务满意度</w:t>
            </w:r>
          </w:p>
        </w:tc>
        <w:tc>
          <w:tcPr>
            <w:tcW w:w="28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450"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95%</w:t>
            </w:r>
          </w:p>
        </w:tc>
        <w:tc>
          <w:tcPr>
            <w:tcW w:w="1638"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467"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3703" w:type="dxa"/>
            <w:gridSpan w:val="6"/>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城乡居民基本医疗保险区级补助控制数</w:t>
            </w:r>
          </w:p>
        </w:tc>
        <w:tc>
          <w:tcPr>
            <w:tcW w:w="2812" w:type="dxa"/>
            <w:gridSpan w:val="5"/>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777.11万元</w:t>
            </w:r>
          </w:p>
        </w:tc>
        <w:tc>
          <w:tcPr>
            <w:tcW w:w="1450" w:type="dxa"/>
            <w:gridSpan w:val="4"/>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777.11万元</w:t>
            </w:r>
          </w:p>
        </w:tc>
        <w:tc>
          <w:tcPr>
            <w:tcW w:w="1638" w:type="dxa"/>
            <w:gridSpan w:val="3"/>
            <w:tcBorders>
              <w:top w:val="nil"/>
              <w:left w:val="single" w:color="000000" w:sz="8" w:space="0"/>
              <w:bottom w:val="nil"/>
              <w:right w:val="single" w:color="000000" w:sz="8" w:space="0"/>
              <w:tl2br w:val="nil"/>
              <w:tr2bl w:val="nil"/>
            </w:tcBorders>
            <w:noWrap w:val="0"/>
            <w:vAlign w:val="center"/>
          </w:tcPr>
          <w:p>
            <w:pPr>
              <w:rPr>
                <w:rFonts w:hint="eastAsia" w:ascii="宋体" w:hAnsi="宋体" w:cs="宋体"/>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 w:type="dxa"/>
          <w:trHeight w:val="270" w:hRule="atLeast"/>
        </w:trPr>
        <w:tc>
          <w:tcPr>
            <w:tcW w:w="13055" w:type="dxa"/>
            <w:gridSpan w:val="21"/>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自评得分：98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项目名称</w:t>
            </w:r>
          </w:p>
        </w:tc>
        <w:tc>
          <w:tcPr>
            <w:tcW w:w="10855" w:type="dxa"/>
            <w:gridSpan w:val="17"/>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医疗救助资助参保（稳定脱贫户区级代缴医疗保险费用）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主管部门</w:t>
            </w:r>
          </w:p>
        </w:tc>
        <w:tc>
          <w:tcPr>
            <w:tcW w:w="4705" w:type="dxa"/>
            <w:gridSpan w:val="4"/>
            <w:tcBorders>
              <w:top w:val="nil"/>
              <w:left w:val="single" w:color="000000" w:sz="8" w:space="0"/>
              <w:bottom w:val="single" w:color="000000" w:sz="8" w:space="0"/>
              <w:right w:val="nil"/>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c>
          <w:tcPr>
            <w:tcW w:w="2188" w:type="dxa"/>
            <w:gridSpan w:val="5"/>
            <w:tcBorders>
              <w:top w:val="single" w:color="000000" w:sz="8" w:space="0"/>
              <w:left w:val="single" w:color="000000" w:sz="8" w:space="0"/>
              <w:bottom w:val="single" w:color="000000" w:sz="8" w:space="0"/>
              <w:right w:val="nil"/>
              <w:tl2br w:val="nil"/>
              <w:tr2bl w:val="nil"/>
            </w:tcBorders>
            <w:noWrap w:val="0"/>
            <w:vAlign w:val="center"/>
          </w:tcPr>
          <w:p>
            <w:pPr>
              <w:widowControl/>
              <w:textAlignment w:val="center"/>
              <w:rPr>
                <w:rFonts w:hint="eastAsia" w:ascii="宋体" w:hAnsi="宋体" w:cs="宋体"/>
                <w:color w:val="000000"/>
                <w:sz w:val="17"/>
                <w:szCs w:val="17"/>
              </w:rPr>
            </w:pPr>
            <w:r>
              <w:rPr>
                <w:rFonts w:hint="eastAsia" w:ascii="宋体" w:hAnsi="宋体" w:cs="宋体"/>
                <w:color w:val="000000"/>
                <w:sz w:val="17"/>
                <w:szCs w:val="17"/>
                <w:lang w:bidi="ar"/>
              </w:rPr>
              <w:t>实施单位</w:t>
            </w:r>
          </w:p>
        </w:tc>
        <w:tc>
          <w:tcPr>
            <w:tcW w:w="3962" w:type="dxa"/>
            <w:gridSpan w:val="8"/>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项目（政策）资金 （万元）</w:t>
            </w: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年度预算数（万元）</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年初预算数</w:t>
            </w:r>
          </w:p>
        </w:tc>
        <w:tc>
          <w:tcPr>
            <w:tcW w:w="2188"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全年预算数</w:t>
            </w:r>
          </w:p>
        </w:tc>
        <w:tc>
          <w:tcPr>
            <w:tcW w:w="177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全年执行数</w:t>
            </w:r>
          </w:p>
        </w:tc>
        <w:tc>
          <w:tcPr>
            <w:tcW w:w="2187"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年度资金总额</w:t>
            </w:r>
          </w:p>
        </w:tc>
        <w:tc>
          <w:tcPr>
            <w:tcW w:w="2075" w:type="dxa"/>
            <w:gridSpan w:val="2"/>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147.67</w:t>
            </w:r>
          </w:p>
        </w:tc>
        <w:tc>
          <w:tcPr>
            <w:tcW w:w="2188"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59.98</w:t>
            </w:r>
          </w:p>
        </w:tc>
        <w:tc>
          <w:tcPr>
            <w:tcW w:w="177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187"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（一）财政拨款小计</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147.67</w:t>
            </w:r>
          </w:p>
        </w:tc>
        <w:tc>
          <w:tcPr>
            <w:tcW w:w="2188"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59.98</w:t>
            </w:r>
          </w:p>
        </w:tc>
        <w:tc>
          <w:tcPr>
            <w:tcW w:w="177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187"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1.一般公共预算</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147.67</w:t>
            </w:r>
          </w:p>
        </w:tc>
        <w:tc>
          <w:tcPr>
            <w:tcW w:w="2188"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59.98</w:t>
            </w:r>
          </w:p>
        </w:tc>
        <w:tc>
          <w:tcPr>
            <w:tcW w:w="177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187"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2.政府性基金</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Arial" w:hAnsi="Arial" w:cs="Arial"/>
                <w:color w:val="000000"/>
                <w:sz w:val="21"/>
                <w:szCs w:val="21"/>
              </w:rPr>
            </w:pPr>
          </w:p>
        </w:tc>
        <w:tc>
          <w:tcPr>
            <w:tcW w:w="2188"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775"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87"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3.国有资本经营预算</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88"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775"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87"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（二）其他资金</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88"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775"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87"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80"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年度总体  目标</w:t>
            </w:r>
          </w:p>
        </w:tc>
        <w:tc>
          <w:tcPr>
            <w:tcW w:w="5785"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预期目标</w:t>
            </w:r>
          </w:p>
        </w:tc>
        <w:tc>
          <w:tcPr>
            <w:tcW w:w="6150" w:type="dxa"/>
            <w:gridSpan w:val="13"/>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default" w:ascii="Arial" w:hAnsi="Arial" w:cs="Arial"/>
                <w:color w:val="000000"/>
                <w:sz w:val="21"/>
                <w:szCs w:val="21"/>
              </w:rPr>
            </w:pPr>
            <w:r>
              <w:rPr>
                <w:rFonts w:hint="eastAsia" w:ascii="Arial" w:hAnsi="Arial" w:cs="Arial"/>
                <w:color w:val="000000"/>
                <w:sz w:val="21"/>
                <w:szCs w:val="21"/>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1074"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5785" w:type="dxa"/>
            <w:gridSpan w:val="5"/>
            <w:tcBorders>
              <w:top w:val="nil"/>
              <w:left w:val="nil"/>
              <w:bottom w:val="nil"/>
              <w:right w:val="nil"/>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2023年对全区20892名稳定脱贫户和防贫致贫监测人员76人的医疗保险按政策实现财政代缴，代缴标准为稳定脱贫人口为95元/年/人，防贫致贫监测人员为285元/年/人。其中区本级财政按政策标准的30%配套资金.防贫致贫监测人员76*285*0.3=6498元，稳定脱贫人数20816*95*0.3=593256元。合计599754元。</w:t>
            </w:r>
          </w:p>
        </w:tc>
        <w:tc>
          <w:tcPr>
            <w:tcW w:w="6150" w:type="dxa"/>
            <w:gridSpan w:val="13"/>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已完成。在2023年10月，按照政策对稳定脱贫人口和防贫致贫监测人员区级财政补助资金全部上解至市级专户。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绩效指标</w:t>
            </w:r>
          </w:p>
        </w:tc>
        <w:tc>
          <w:tcPr>
            <w:tcW w:w="108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3413" w:type="dxa"/>
            <w:gridSpan w:val="3"/>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2188" w:type="dxa"/>
            <w:gridSpan w:val="5"/>
            <w:vMerge w:val="restart"/>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775" w:type="dxa"/>
            <w:gridSpan w:val="4"/>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2187" w:type="dxa"/>
            <w:gridSpan w:val="4"/>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12"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413" w:type="dxa"/>
            <w:gridSpan w:val="3"/>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88" w:type="dxa"/>
            <w:gridSpan w:val="5"/>
            <w:vMerge w:val="continue"/>
            <w:tcBorders>
              <w:top w:val="nil"/>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775" w:type="dxa"/>
            <w:gridSpan w:val="4"/>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87" w:type="dxa"/>
            <w:gridSpan w:val="4"/>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3413"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代缴救助对象人数</w:t>
            </w:r>
          </w:p>
        </w:tc>
        <w:tc>
          <w:tcPr>
            <w:tcW w:w="2188"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20892人</w:t>
            </w:r>
          </w:p>
        </w:tc>
        <w:tc>
          <w:tcPr>
            <w:tcW w:w="1775" w:type="dxa"/>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20892人</w:t>
            </w:r>
          </w:p>
        </w:tc>
        <w:tc>
          <w:tcPr>
            <w:tcW w:w="2187" w:type="dxa"/>
            <w:gridSpan w:val="4"/>
            <w:tcBorders>
              <w:top w:val="single" w:color="000000" w:sz="8" w:space="0"/>
              <w:left w:val="nil"/>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413"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区本级财政代缴金额</w:t>
            </w:r>
          </w:p>
        </w:tc>
        <w:tc>
          <w:tcPr>
            <w:tcW w:w="2188"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59.98万元</w:t>
            </w:r>
          </w:p>
        </w:tc>
        <w:tc>
          <w:tcPr>
            <w:tcW w:w="1775" w:type="dxa"/>
            <w:gridSpan w:val="4"/>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59.98万元</w:t>
            </w:r>
          </w:p>
        </w:tc>
        <w:tc>
          <w:tcPr>
            <w:tcW w:w="2187" w:type="dxa"/>
            <w:gridSpan w:val="4"/>
            <w:tcBorders>
              <w:top w:val="nil"/>
              <w:left w:val="nil"/>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3413"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应缴达标率</w:t>
            </w:r>
          </w:p>
        </w:tc>
        <w:tc>
          <w:tcPr>
            <w:tcW w:w="2188"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77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187"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3413"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完成时限</w:t>
            </w:r>
          </w:p>
        </w:tc>
        <w:tc>
          <w:tcPr>
            <w:tcW w:w="2188"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77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2187"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1292"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3413" w:type="dxa"/>
            <w:gridSpan w:val="3"/>
            <w:vMerge w:val="restart"/>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建档立卡贫困户节支增收，提升生活质量，维护社会稳定</w:t>
            </w:r>
          </w:p>
        </w:tc>
        <w:tc>
          <w:tcPr>
            <w:tcW w:w="2188" w:type="dxa"/>
            <w:gridSpan w:val="5"/>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775" w:type="dxa"/>
            <w:gridSpan w:val="4"/>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2187" w:type="dxa"/>
            <w:gridSpan w:val="4"/>
            <w:vMerge w:val="restart"/>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413" w:type="dxa"/>
            <w:gridSpan w:val="3"/>
            <w:vMerge w:val="continue"/>
            <w:tcBorders>
              <w:top w:val="nil"/>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88" w:type="dxa"/>
            <w:gridSpan w:val="5"/>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775" w:type="dxa"/>
            <w:gridSpan w:val="4"/>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87" w:type="dxa"/>
            <w:gridSpan w:val="4"/>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45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3413"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社会公众满意度</w:t>
            </w:r>
          </w:p>
        </w:tc>
        <w:tc>
          <w:tcPr>
            <w:tcW w:w="2188"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77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w:t>
            </w:r>
          </w:p>
        </w:tc>
        <w:tc>
          <w:tcPr>
            <w:tcW w:w="2187"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87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3413" w:type="dxa"/>
            <w:gridSpan w:val="3"/>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医疗救助资助参保（稳定脱贫户区级代缴医疗保险费用）控制数</w:t>
            </w:r>
          </w:p>
        </w:tc>
        <w:tc>
          <w:tcPr>
            <w:tcW w:w="2188" w:type="dxa"/>
            <w:gridSpan w:val="5"/>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59.98万元</w:t>
            </w:r>
          </w:p>
        </w:tc>
        <w:tc>
          <w:tcPr>
            <w:tcW w:w="1775" w:type="dxa"/>
            <w:gridSpan w:val="4"/>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59.98万元</w:t>
            </w:r>
          </w:p>
        </w:tc>
        <w:tc>
          <w:tcPr>
            <w:tcW w:w="2187" w:type="dxa"/>
            <w:gridSpan w:val="4"/>
            <w:tcBorders>
              <w:top w:val="nil"/>
              <w:left w:val="single" w:color="000000" w:sz="8" w:space="0"/>
              <w:bottom w:val="nil"/>
              <w:right w:val="single" w:color="000000" w:sz="8" w:space="0"/>
              <w:tl2br w:val="nil"/>
              <w:tr2bl w:val="nil"/>
            </w:tcBorders>
            <w:noWrap w:val="0"/>
            <w:vAlign w:val="center"/>
          </w:tcPr>
          <w:p>
            <w:pPr>
              <w:rPr>
                <w:rFonts w:hint="eastAsia" w:ascii="宋体" w:hAnsi="宋体" w:cs="宋体"/>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270" w:hRule="atLeast"/>
        </w:trPr>
        <w:tc>
          <w:tcPr>
            <w:tcW w:w="13015" w:type="dxa"/>
            <w:gridSpan w:val="19"/>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自评得分：97分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项目名称</w:t>
            </w:r>
          </w:p>
        </w:tc>
        <w:tc>
          <w:tcPr>
            <w:tcW w:w="10855" w:type="dxa"/>
            <w:gridSpan w:val="17"/>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医疗救助区级补助资金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主管部门</w:t>
            </w:r>
          </w:p>
        </w:tc>
        <w:tc>
          <w:tcPr>
            <w:tcW w:w="4718" w:type="dxa"/>
            <w:gridSpan w:val="5"/>
            <w:tcBorders>
              <w:top w:val="nil"/>
              <w:left w:val="single" w:color="000000" w:sz="8" w:space="0"/>
              <w:bottom w:val="single" w:color="000000" w:sz="8" w:space="0"/>
              <w:right w:val="nil"/>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c>
          <w:tcPr>
            <w:tcW w:w="2425" w:type="dxa"/>
            <w:gridSpan w:val="5"/>
            <w:tcBorders>
              <w:top w:val="single" w:color="000000" w:sz="8" w:space="0"/>
              <w:left w:val="single" w:color="000000" w:sz="8" w:space="0"/>
              <w:bottom w:val="single" w:color="000000" w:sz="8" w:space="0"/>
              <w:right w:val="nil"/>
              <w:tl2br w:val="nil"/>
              <w:tr2bl w:val="nil"/>
            </w:tcBorders>
            <w:noWrap w:val="0"/>
            <w:vAlign w:val="center"/>
          </w:tcPr>
          <w:p>
            <w:pPr>
              <w:widowControl/>
              <w:textAlignment w:val="center"/>
              <w:rPr>
                <w:rFonts w:hint="eastAsia" w:ascii="宋体" w:hAnsi="宋体" w:cs="宋体"/>
                <w:color w:val="000000"/>
                <w:sz w:val="17"/>
                <w:szCs w:val="17"/>
              </w:rPr>
            </w:pPr>
            <w:r>
              <w:rPr>
                <w:rFonts w:hint="eastAsia" w:ascii="宋体" w:hAnsi="宋体" w:cs="宋体"/>
                <w:color w:val="000000"/>
                <w:sz w:val="17"/>
                <w:szCs w:val="17"/>
                <w:lang w:bidi="ar"/>
              </w:rPr>
              <w:t>实施单位</w:t>
            </w:r>
          </w:p>
        </w:tc>
        <w:tc>
          <w:tcPr>
            <w:tcW w:w="3712" w:type="dxa"/>
            <w:gridSpan w:val="7"/>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项目（政策）资金 （万元）</w:t>
            </w: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年度预算数（万元）</w:t>
            </w:r>
          </w:p>
        </w:tc>
        <w:tc>
          <w:tcPr>
            <w:tcW w:w="2088"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年初预算数</w:t>
            </w: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全年预算数</w:t>
            </w: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全年执行数</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年度资金总额</w:t>
            </w:r>
          </w:p>
        </w:tc>
        <w:tc>
          <w:tcPr>
            <w:tcW w:w="2088"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w:t>
            </w: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w:t>
            </w: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（一）财政拨款小计</w:t>
            </w:r>
          </w:p>
        </w:tc>
        <w:tc>
          <w:tcPr>
            <w:tcW w:w="2088"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w:t>
            </w: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w:t>
            </w: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1.一般公共预算</w:t>
            </w:r>
          </w:p>
        </w:tc>
        <w:tc>
          <w:tcPr>
            <w:tcW w:w="2088"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w:t>
            </w: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w:t>
            </w: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2.政府性基金</w:t>
            </w:r>
          </w:p>
        </w:tc>
        <w:tc>
          <w:tcPr>
            <w:tcW w:w="2088"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Arial" w:hAnsi="Arial" w:cs="Arial"/>
                <w:color w:val="000000"/>
                <w:sz w:val="21"/>
                <w:szCs w:val="21"/>
              </w:rPr>
            </w:pP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3.国有资本经营预算</w:t>
            </w:r>
          </w:p>
        </w:tc>
        <w:tc>
          <w:tcPr>
            <w:tcW w:w="2088"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（二）其他资金</w:t>
            </w:r>
          </w:p>
        </w:tc>
        <w:tc>
          <w:tcPr>
            <w:tcW w:w="2088"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73"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年度总体  目标</w:t>
            </w:r>
          </w:p>
        </w:tc>
        <w:tc>
          <w:tcPr>
            <w:tcW w:w="5798" w:type="dxa"/>
            <w:gridSpan w:val="6"/>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预期目标</w:t>
            </w:r>
          </w:p>
        </w:tc>
        <w:tc>
          <w:tcPr>
            <w:tcW w:w="6137" w:type="dxa"/>
            <w:gridSpan w:val="1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default" w:ascii="Arial" w:hAnsi="Arial" w:cs="Arial"/>
                <w:color w:val="000000"/>
                <w:sz w:val="21"/>
                <w:szCs w:val="21"/>
              </w:rPr>
            </w:pPr>
            <w:r>
              <w:rPr>
                <w:rFonts w:hint="eastAsia" w:ascii="Arial" w:hAnsi="Arial" w:cs="Arial"/>
                <w:color w:val="000000"/>
                <w:sz w:val="21"/>
                <w:szCs w:val="21"/>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113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5798" w:type="dxa"/>
            <w:gridSpan w:val="6"/>
            <w:tcBorders>
              <w:top w:val="nil"/>
              <w:left w:val="nil"/>
              <w:bottom w:val="nil"/>
              <w:right w:val="nil"/>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执行医疗救助政策及救助基金发放，改善群众看病难、看病贵。（医疗费用补助130万元）</w:t>
            </w:r>
          </w:p>
        </w:tc>
        <w:tc>
          <w:tcPr>
            <w:tcW w:w="6137" w:type="dxa"/>
            <w:gridSpan w:val="1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已完成。2023年10月，按照政策完成医疗救助医疗费用区级补助资金130万元全额上解至市级专户。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绩效指标</w:t>
            </w:r>
          </w:p>
        </w:tc>
        <w:tc>
          <w:tcPr>
            <w:tcW w:w="108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3426" w:type="dxa"/>
            <w:gridSpan w:val="4"/>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2425" w:type="dxa"/>
            <w:gridSpan w:val="5"/>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637" w:type="dxa"/>
            <w:gridSpan w:val="5"/>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2075" w:type="dxa"/>
            <w:gridSpan w:val="2"/>
            <w:vMerge w:val="restart"/>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426" w:type="dxa"/>
            <w:gridSpan w:val="4"/>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425" w:type="dxa"/>
            <w:gridSpan w:val="5"/>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637" w:type="dxa"/>
            <w:gridSpan w:val="5"/>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075" w:type="dxa"/>
            <w:gridSpan w:val="2"/>
            <w:vMerge w:val="continue"/>
            <w:tcBorders>
              <w:top w:val="nil"/>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3426"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全面完成医疗救助</w:t>
            </w: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58528人次</w:t>
            </w: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58528人次</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426"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县区财政补助医疗费用</w:t>
            </w: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≤130万元</w:t>
            </w: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130万元</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3426"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救助覆盖率</w:t>
            </w: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3426"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完成时限</w:t>
            </w: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1292"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3426" w:type="dxa"/>
            <w:gridSpan w:val="4"/>
            <w:vMerge w:val="restart"/>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改善困难群众看病难、看病贵</w:t>
            </w:r>
          </w:p>
        </w:tc>
        <w:tc>
          <w:tcPr>
            <w:tcW w:w="2425" w:type="dxa"/>
            <w:gridSpan w:val="5"/>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637" w:type="dxa"/>
            <w:gridSpan w:val="5"/>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2075"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426" w:type="dxa"/>
            <w:gridSpan w:val="4"/>
            <w:vMerge w:val="continue"/>
            <w:tcBorders>
              <w:top w:val="nil"/>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425" w:type="dxa"/>
            <w:gridSpan w:val="5"/>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637" w:type="dxa"/>
            <w:gridSpan w:val="5"/>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075"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45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3426"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参保群众满意度</w:t>
            </w:r>
          </w:p>
        </w:tc>
        <w:tc>
          <w:tcPr>
            <w:tcW w:w="2425"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w:t>
            </w:r>
          </w:p>
        </w:tc>
        <w:tc>
          <w:tcPr>
            <w:tcW w:w="1637"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7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3426" w:type="dxa"/>
            <w:gridSpan w:val="4"/>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医疗救助区级补助资金控制数</w:t>
            </w:r>
          </w:p>
        </w:tc>
        <w:tc>
          <w:tcPr>
            <w:tcW w:w="2425" w:type="dxa"/>
            <w:gridSpan w:val="5"/>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130万元</w:t>
            </w:r>
          </w:p>
        </w:tc>
        <w:tc>
          <w:tcPr>
            <w:tcW w:w="1637" w:type="dxa"/>
            <w:gridSpan w:val="5"/>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130万元</w:t>
            </w:r>
          </w:p>
        </w:tc>
        <w:tc>
          <w:tcPr>
            <w:tcW w:w="2075" w:type="dxa"/>
            <w:gridSpan w:val="2"/>
            <w:tcBorders>
              <w:top w:val="nil"/>
              <w:left w:val="single" w:color="000000" w:sz="8" w:space="0"/>
              <w:bottom w:val="nil"/>
              <w:right w:val="single" w:color="000000" w:sz="8" w:space="0"/>
              <w:tl2br w:val="nil"/>
              <w:tr2bl w:val="nil"/>
            </w:tcBorders>
            <w:noWrap w:val="0"/>
            <w:vAlign w:val="center"/>
          </w:tcPr>
          <w:p>
            <w:pPr>
              <w:rPr>
                <w:rFonts w:hint="eastAsia" w:ascii="宋体" w:hAnsi="宋体" w:cs="宋体"/>
                <w:color w:val="00000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Before w:w="0" w:type="dxa"/>
          <w:wAfter w:w="50" w:type="dxa"/>
          <w:trHeight w:val="270" w:hRule="atLeast"/>
        </w:trPr>
        <w:tc>
          <w:tcPr>
            <w:tcW w:w="13015" w:type="dxa"/>
            <w:gridSpan w:val="19"/>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216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项目名称</w:t>
            </w:r>
          </w:p>
        </w:tc>
        <w:tc>
          <w:tcPr>
            <w:tcW w:w="10880" w:type="dxa"/>
            <w:gridSpan w:val="18"/>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2160"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主管部门</w:t>
            </w:r>
          </w:p>
        </w:tc>
        <w:tc>
          <w:tcPr>
            <w:tcW w:w="4743" w:type="dxa"/>
            <w:gridSpan w:val="6"/>
            <w:tcBorders>
              <w:top w:val="nil"/>
              <w:left w:val="single" w:color="000000" w:sz="8" w:space="0"/>
              <w:bottom w:val="single" w:color="000000" w:sz="8" w:space="0"/>
              <w:right w:val="nil"/>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c>
          <w:tcPr>
            <w:tcW w:w="2412" w:type="dxa"/>
            <w:gridSpan w:val="5"/>
            <w:tcBorders>
              <w:top w:val="single" w:color="000000" w:sz="8" w:space="0"/>
              <w:left w:val="single" w:color="000000" w:sz="8" w:space="0"/>
              <w:bottom w:val="single" w:color="000000" w:sz="8" w:space="0"/>
              <w:right w:val="nil"/>
              <w:tl2br w:val="nil"/>
              <w:tr2bl w:val="nil"/>
            </w:tcBorders>
            <w:noWrap w:val="0"/>
            <w:vAlign w:val="center"/>
          </w:tcPr>
          <w:p>
            <w:pPr>
              <w:widowControl/>
              <w:textAlignment w:val="center"/>
              <w:rPr>
                <w:rFonts w:hint="eastAsia" w:ascii="宋体" w:hAnsi="宋体" w:cs="宋体"/>
                <w:color w:val="000000"/>
                <w:sz w:val="17"/>
                <w:szCs w:val="17"/>
              </w:rPr>
            </w:pPr>
            <w:r>
              <w:rPr>
                <w:rFonts w:hint="eastAsia" w:ascii="宋体" w:hAnsi="宋体" w:cs="宋体"/>
                <w:color w:val="000000"/>
                <w:sz w:val="17"/>
                <w:szCs w:val="17"/>
                <w:lang w:bidi="ar"/>
              </w:rPr>
              <w:t>实施单位</w:t>
            </w:r>
          </w:p>
        </w:tc>
        <w:tc>
          <w:tcPr>
            <w:tcW w:w="3725" w:type="dxa"/>
            <w:gridSpan w:val="7"/>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2160"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项目（政策）资金 （万元）</w:t>
            </w: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年度预算数（万元）</w:t>
            </w:r>
          </w:p>
        </w:tc>
        <w:tc>
          <w:tcPr>
            <w:tcW w:w="2113"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年初预算数</w:t>
            </w: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全年预算数</w:t>
            </w: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全年执行数</w:t>
            </w: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年度资金总额</w:t>
            </w:r>
          </w:p>
        </w:tc>
        <w:tc>
          <w:tcPr>
            <w:tcW w:w="2113"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88</w:t>
            </w: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98.02</w:t>
            </w: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98.02</w:t>
            </w: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（一）财政拨款小计</w:t>
            </w:r>
          </w:p>
        </w:tc>
        <w:tc>
          <w:tcPr>
            <w:tcW w:w="2113"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88</w:t>
            </w: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98.02</w:t>
            </w: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98.02</w:t>
            </w: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1.一般公共预算</w:t>
            </w:r>
          </w:p>
        </w:tc>
        <w:tc>
          <w:tcPr>
            <w:tcW w:w="2113"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88</w:t>
            </w: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98.02</w:t>
            </w: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98.02</w:t>
            </w: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2.政府性基金</w:t>
            </w:r>
          </w:p>
        </w:tc>
        <w:tc>
          <w:tcPr>
            <w:tcW w:w="2113"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Arial" w:hAnsi="Arial" w:cs="Arial"/>
                <w:color w:val="000000"/>
                <w:sz w:val="21"/>
                <w:szCs w:val="21"/>
              </w:rPr>
            </w:pP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3.国有资本经营预算</w:t>
            </w:r>
          </w:p>
        </w:tc>
        <w:tc>
          <w:tcPr>
            <w:tcW w:w="2113"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30"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（二）其他资金</w:t>
            </w:r>
          </w:p>
        </w:tc>
        <w:tc>
          <w:tcPr>
            <w:tcW w:w="2113"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540"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年度总体  目标</w:t>
            </w:r>
          </w:p>
        </w:tc>
        <w:tc>
          <w:tcPr>
            <w:tcW w:w="5823" w:type="dxa"/>
            <w:gridSpan w:val="7"/>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预期目标</w:t>
            </w:r>
          </w:p>
        </w:tc>
        <w:tc>
          <w:tcPr>
            <w:tcW w:w="6137" w:type="dxa"/>
            <w:gridSpan w:val="1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default" w:ascii="Arial" w:hAnsi="Arial" w:cs="Arial"/>
                <w:color w:val="000000"/>
                <w:sz w:val="21"/>
                <w:szCs w:val="21"/>
              </w:rPr>
            </w:pPr>
            <w:r>
              <w:rPr>
                <w:rFonts w:hint="eastAsia" w:ascii="Arial" w:hAnsi="Arial" w:cs="Arial"/>
                <w:color w:val="000000"/>
                <w:sz w:val="21"/>
                <w:szCs w:val="21"/>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115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5823" w:type="dxa"/>
            <w:gridSpan w:val="7"/>
            <w:tcBorders>
              <w:top w:val="nil"/>
              <w:left w:val="nil"/>
              <w:bottom w:val="single" w:color="000000" w:sz="8" w:space="0"/>
              <w:right w:val="nil"/>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为贯彻落实中央关于医疗保障工作的方针政策和省委、市委、区委的决策部署，建立健全覆盖全民、城乡统筹的多层次医疗保障体系，更好地保障人民群众就医需求，减轻医药费用负担，保障政策宣传、医保征收等医保工作全年日常经费开支，设立医保工作经费。</w:t>
            </w:r>
          </w:p>
        </w:tc>
        <w:tc>
          <w:tcPr>
            <w:tcW w:w="6137" w:type="dxa"/>
            <w:gridSpan w:val="1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已完成。2023年我区参加居民医疗保险总人数18.06万人，完成市级下达任务指标的100%，超额完成当年度参保任务，印刷医保政策类宣传资料12000份，全覆盖对全区医保经办人员开展业务培训。严格按照规定基本完成目标任务，项目实施效果基本达到预期目标，成本未超预算范围，资金使用安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绩效指标</w:t>
            </w:r>
          </w:p>
        </w:tc>
        <w:tc>
          <w:tcPr>
            <w:tcW w:w="108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3451" w:type="dxa"/>
            <w:gridSpan w:val="5"/>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2412" w:type="dxa"/>
            <w:gridSpan w:val="5"/>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625" w:type="dxa"/>
            <w:gridSpan w:val="4"/>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2100" w:type="dxa"/>
            <w:gridSpan w:val="3"/>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451" w:type="dxa"/>
            <w:gridSpan w:val="5"/>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412" w:type="dxa"/>
            <w:gridSpan w:val="5"/>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625" w:type="dxa"/>
            <w:gridSpan w:val="4"/>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00" w:type="dxa"/>
            <w:gridSpan w:val="3"/>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1292" w:type="dxa"/>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3451"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印制宣传资料数量</w:t>
            </w: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≥10000份</w:t>
            </w: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12000份</w:t>
            </w: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451"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召开医保业务培训会次数</w:t>
            </w: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≥5次</w:t>
            </w: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8次</w:t>
            </w: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3451"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居民医保参保率</w:t>
            </w: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≥95%</w:t>
            </w: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3451"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完成时限</w:t>
            </w: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1292"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3451" w:type="dxa"/>
            <w:gridSpan w:val="5"/>
            <w:vMerge w:val="restart"/>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保障居民就医能力、提高健康水平</w:t>
            </w:r>
          </w:p>
        </w:tc>
        <w:tc>
          <w:tcPr>
            <w:tcW w:w="2412" w:type="dxa"/>
            <w:gridSpan w:val="5"/>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625" w:type="dxa"/>
            <w:gridSpan w:val="4"/>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2100" w:type="dxa"/>
            <w:gridSpan w:val="3"/>
            <w:vMerge w:val="restart"/>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451" w:type="dxa"/>
            <w:gridSpan w:val="5"/>
            <w:vMerge w:val="continue"/>
            <w:tcBorders>
              <w:top w:val="nil"/>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412" w:type="dxa"/>
            <w:gridSpan w:val="5"/>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625" w:type="dxa"/>
            <w:gridSpan w:val="4"/>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00" w:type="dxa"/>
            <w:gridSpan w:val="3"/>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45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3451"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参保群众满意度</w:t>
            </w:r>
          </w:p>
        </w:tc>
        <w:tc>
          <w:tcPr>
            <w:tcW w:w="2412" w:type="dxa"/>
            <w:gridSpan w:val="5"/>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625"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2100"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45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3451" w:type="dxa"/>
            <w:gridSpan w:val="5"/>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医保工作经费控制数</w:t>
            </w:r>
          </w:p>
        </w:tc>
        <w:tc>
          <w:tcPr>
            <w:tcW w:w="2412" w:type="dxa"/>
            <w:gridSpan w:val="5"/>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98.02万元</w:t>
            </w:r>
          </w:p>
        </w:tc>
        <w:tc>
          <w:tcPr>
            <w:tcW w:w="1625" w:type="dxa"/>
            <w:gridSpan w:val="4"/>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98.02万元</w:t>
            </w:r>
          </w:p>
        </w:tc>
        <w:tc>
          <w:tcPr>
            <w:tcW w:w="2100" w:type="dxa"/>
            <w:gridSpan w:val="3"/>
            <w:tcBorders>
              <w:top w:val="nil"/>
              <w:left w:val="single" w:color="000000" w:sz="8" w:space="0"/>
              <w:bottom w:val="nil"/>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Before w:w="0" w:type="dxa"/>
          <w:wAfter w:w="25" w:type="dxa"/>
          <w:trHeight w:val="270" w:hRule="atLeast"/>
        </w:trPr>
        <w:tc>
          <w:tcPr>
            <w:tcW w:w="13040" w:type="dxa"/>
            <w:gridSpan w:val="20"/>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自评得分：96分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216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项目名称</w:t>
            </w:r>
          </w:p>
        </w:tc>
        <w:tc>
          <w:tcPr>
            <w:tcW w:w="10905" w:type="dxa"/>
            <w:gridSpan w:val="20"/>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临聘人员工作经费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2160"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主管部门</w:t>
            </w:r>
          </w:p>
        </w:tc>
        <w:tc>
          <w:tcPr>
            <w:tcW w:w="4743" w:type="dxa"/>
            <w:gridSpan w:val="6"/>
            <w:tcBorders>
              <w:top w:val="nil"/>
              <w:left w:val="single" w:color="000000" w:sz="8" w:space="0"/>
              <w:bottom w:val="single" w:color="000000" w:sz="8" w:space="0"/>
              <w:right w:val="nil"/>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c>
          <w:tcPr>
            <w:tcW w:w="2075" w:type="dxa"/>
            <w:gridSpan w:val="2"/>
            <w:tcBorders>
              <w:top w:val="single" w:color="000000" w:sz="8" w:space="0"/>
              <w:left w:val="single" w:color="000000" w:sz="8" w:space="0"/>
              <w:bottom w:val="single" w:color="000000" w:sz="8" w:space="0"/>
              <w:right w:val="nil"/>
              <w:tl2br w:val="nil"/>
              <w:tr2bl w:val="nil"/>
            </w:tcBorders>
            <w:noWrap w:val="0"/>
            <w:vAlign w:val="center"/>
          </w:tcPr>
          <w:p>
            <w:pPr>
              <w:widowControl/>
              <w:textAlignment w:val="center"/>
              <w:rPr>
                <w:rFonts w:hint="eastAsia" w:ascii="宋体" w:hAnsi="宋体" w:cs="宋体"/>
                <w:color w:val="000000"/>
                <w:sz w:val="17"/>
                <w:szCs w:val="17"/>
              </w:rPr>
            </w:pPr>
            <w:r>
              <w:rPr>
                <w:rFonts w:hint="eastAsia" w:ascii="宋体" w:hAnsi="宋体" w:cs="宋体"/>
                <w:color w:val="000000"/>
                <w:sz w:val="17"/>
                <w:szCs w:val="17"/>
                <w:lang w:bidi="ar"/>
              </w:rPr>
              <w:t>实施单位</w:t>
            </w:r>
          </w:p>
        </w:tc>
        <w:tc>
          <w:tcPr>
            <w:tcW w:w="4087" w:type="dxa"/>
            <w:gridSpan w:val="1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2160"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项目（政策）资金 （万元）</w:t>
            </w:r>
          </w:p>
        </w:tc>
        <w:tc>
          <w:tcPr>
            <w:tcW w:w="3030"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年度预算数（万元）</w:t>
            </w:r>
          </w:p>
        </w:tc>
        <w:tc>
          <w:tcPr>
            <w:tcW w:w="171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年初预算数</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全年预算数</w:t>
            </w:r>
          </w:p>
        </w:tc>
        <w:tc>
          <w:tcPr>
            <w:tcW w:w="1912"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全年执行数</w:t>
            </w:r>
          </w:p>
        </w:tc>
        <w:tc>
          <w:tcPr>
            <w:tcW w:w="2175"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030"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年度资金总额</w:t>
            </w:r>
          </w:p>
        </w:tc>
        <w:tc>
          <w:tcPr>
            <w:tcW w:w="171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w:t>
            </w:r>
          </w:p>
        </w:tc>
        <w:tc>
          <w:tcPr>
            <w:tcW w:w="1912"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w:t>
            </w:r>
          </w:p>
        </w:tc>
        <w:tc>
          <w:tcPr>
            <w:tcW w:w="2175"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030"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（一）财政拨款小计</w:t>
            </w:r>
          </w:p>
        </w:tc>
        <w:tc>
          <w:tcPr>
            <w:tcW w:w="171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w:t>
            </w:r>
          </w:p>
        </w:tc>
        <w:tc>
          <w:tcPr>
            <w:tcW w:w="1912"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w:t>
            </w:r>
          </w:p>
        </w:tc>
        <w:tc>
          <w:tcPr>
            <w:tcW w:w="2175"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030"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1.一般公共预算</w:t>
            </w:r>
          </w:p>
        </w:tc>
        <w:tc>
          <w:tcPr>
            <w:tcW w:w="171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w:t>
            </w:r>
          </w:p>
        </w:tc>
        <w:tc>
          <w:tcPr>
            <w:tcW w:w="1912"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w:t>
            </w:r>
          </w:p>
        </w:tc>
        <w:tc>
          <w:tcPr>
            <w:tcW w:w="2175"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030"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2.政府性基金</w:t>
            </w:r>
          </w:p>
        </w:tc>
        <w:tc>
          <w:tcPr>
            <w:tcW w:w="171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Arial" w:hAnsi="Arial" w:cs="Arial"/>
                <w:color w:val="000000"/>
                <w:sz w:val="21"/>
                <w:szCs w:val="21"/>
              </w:rPr>
            </w:pP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912" w:type="dxa"/>
            <w:gridSpan w:val="6"/>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75" w:type="dxa"/>
            <w:gridSpan w:val="6"/>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030"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3.国有资本经营预算</w:t>
            </w:r>
          </w:p>
        </w:tc>
        <w:tc>
          <w:tcPr>
            <w:tcW w:w="171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912" w:type="dxa"/>
            <w:gridSpan w:val="6"/>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75" w:type="dxa"/>
            <w:gridSpan w:val="6"/>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030"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（二）其他资金</w:t>
            </w:r>
          </w:p>
        </w:tc>
        <w:tc>
          <w:tcPr>
            <w:tcW w:w="171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912" w:type="dxa"/>
            <w:gridSpan w:val="6"/>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75" w:type="dxa"/>
            <w:gridSpan w:val="6"/>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40"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年度总体  目标</w:t>
            </w:r>
          </w:p>
        </w:tc>
        <w:tc>
          <w:tcPr>
            <w:tcW w:w="5823" w:type="dxa"/>
            <w:gridSpan w:val="7"/>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预期目标</w:t>
            </w:r>
          </w:p>
        </w:tc>
        <w:tc>
          <w:tcPr>
            <w:tcW w:w="6162" w:type="dxa"/>
            <w:gridSpan w:val="14"/>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default" w:ascii="Arial" w:hAnsi="Arial" w:cs="Arial"/>
                <w:color w:val="000000"/>
                <w:sz w:val="21"/>
                <w:szCs w:val="21"/>
              </w:rPr>
            </w:pPr>
            <w:r>
              <w:rPr>
                <w:rFonts w:hint="eastAsia" w:ascii="Arial" w:hAnsi="Arial" w:cs="Arial"/>
                <w:color w:val="000000"/>
                <w:sz w:val="21"/>
                <w:szCs w:val="21"/>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4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5823" w:type="dxa"/>
            <w:gridSpan w:val="7"/>
            <w:tcBorders>
              <w:top w:val="nil"/>
              <w:left w:val="nil"/>
              <w:bottom w:val="single" w:color="000000" w:sz="8" w:space="0"/>
              <w:right w:val="nil"/>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因工作需要单位需要通过第三方机构聘用工作人员从事昭化区医保大厅综合窗口及保洁工作，临聘人员经费按月支付给第三方人力资源机构，该支出涉及临聘人员工作、保险，从而激发聘用人员工作的积极性，整合资源，提高工作效率，确保工作正常运转。</w:t>
            </w:r>
          </w:p>
        </w:tc>
        <w:tc>
          <w:tcPr>
            <w:tcW w:w="6162" w:type="dxa"/>
            <w:gridSpan w:val="14"/>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已完成。2023年，区医保局临聘人员3名，未超标配置临聘人员且均签订劳务派遣协议，并已全额兑付1-12月工资及各类保险待遇支出。项目严格按照规定完成了目标任务，专款专用，项目实施效果达到预期目标，资金使用安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绩效指标</w:t>
            </w:r>
          </w:p>
        </w:tc>
        <w:tc>
          <w:tcPr>
            <w:tcW w:w="108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3451" w:type="dxa"/>
            <w:gridSpan w:val="5"/>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2075"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912" w:type="dxa"/>
            <w:gridSpan w:val="6"/>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2175" w:type="dxa"/>
            <w:gridSpan w:val="6"/>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451" w:type="dxa"/>
            <w:gridSpan w:val="5"/>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075"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912" w:type="dxa"/>
            <w:gridSpan w:val="6"/>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75" w:type="dxa"/>
            <w:gridSpan w:val="6"/>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1292" w:type="dxa"/>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3451"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临聘人员数量</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≤3人</w:t>
            </w:r>
          </w:p>
        </w:tc>
        <w:tc>
          <w:tcPr>
            <w:tcW w:w="1912"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3人</w:t>
            </w:r>
          </w:p>
        </w:tc>
        <w:tc>
          <w:tcPr>
            <w:tcW w:w="2175" w:type="dxa"/>
            <w:gridSpan w:val="6"/>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3451"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工作效率提升率</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912"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175" w:type="dxa"/>
            <w:gridSpan w:val="6"/>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3451"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完成时限</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912"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2175" w:type="dxa"/>
            <w:gridSpan w:val="6"/>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1292"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3451" w:type="dxa"/>
            <w:gridSpan w:val="5"/>
            <w:vMerge w:val="restart"/>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整合部门力量，提高医保经办服务保障能力</w:t>
            </w:r>
          </w:p>
        </w:tc>
        <w:tc>
          <w:tcPr>
            <w:tcW w:w="2075"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912" w:type="dxa"/>
            <w:gridSpan w:val="6"/>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2175" w:type="dxa"/>
            <w:gridSpan w:val="6"/>
            <w:vMerge w:val="restart"/>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451" w:type="dxa"/>
            <w:gridSpan w:val="5"/>
            <w:vMerge w:val="continue"/>
            <w:tcBorders>
              <w:top w:val="nil"/>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075"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912" w:type="dxa"/>
            <w:gridSpan w:val="6"/>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75" w:type="dxa"/>
            <w:gridSpan w:val="6"/>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5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3451"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w:t>
            </w:r>
          </w:p>
        </w:tc>
        <w:tc>
          <w:tcPr>
            <w:tcW w:w="2075"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912" w:type="dxa"/>
            <w:gridSpan w:val="6"/>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175" w:type="dxa"/>
            <w:gridSpan w:val="6"/>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5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3451" w:type="dxa"/>
            <w:gridSpan w:val="5"/>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临聘人员工作经费控制数</w:t>
            </w:r>
          </w:p>
        </w:tc>
        <w:tc>
          <w:tcPr>
            <w:tcW w:w="2075"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5万元</w:t>
            </w:r>
          </w:p>
        </w:tc>
        <w:tc>
          <w:tcPr>
            <w:tcW w:w="1912" w:type="dxa"/>
            <w:gridSpan w:val="6"/>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5万元</w:t>
            </w:r>
          </w:p>
        </w:tc>
        <w:tc>
          <w:tcPr>
            <w:tcW w:w="2175" w:type="dxa"/>
            <w:gridSpan w:val="6"/>
            <w:tcBorders>
              <w:top w:val="nil"/>
              <w:left w:val="single" w:color="000000" w:sz="8" w:space="0"/>
              <w:bottom w:val="nil"/>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70" w:hRule="atLeast"/>
        </w:trPr>
        <w:tc>
          <w:tcPr>
            <w:tcW w:w="13065" w:type="dxa"/>
            <w:gridSpan w:val="2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自评得分：100分</w:t>
            </w:r>
          </w:p>
        </w:tc>
      </w:tr>
    </w:tbl>
    <w:p>
      <w:pPr>
        <w:rPr>
          <w:rFonts w:hint="eastAsia"/>
          <w:sz w:val="24"/>
          <w:szCs w:val="24"/>
        </w:rPr>
      </w:pPr>
    </w:p>
    <w:tbl>
      <w:tblPr>
        <w:tblStyle w:val="11"/>
        <w:tblW w:w="13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292"/>
        <w:gridCol w:w="815"/>
        <w:gridCol w:w="262"/>
        <w:gridCol w:w="3"/>
        <w:gridCol w:w="2360"/>
        <w:gridCol w:w="573"/>
        <w:gridCol w:w="1540"/>
        <w:gridCol w:w="1461"/>
        <w:gridCol w:w="451"/>
        <w:gridCol w:w="423"/>
        <w:gridCol w:w="1638"/>
        <w:gridCol w:w="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6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项目名称</w:t>
            </w:r>
          </w:p>
        </w:tc>
        <w:tc>
          <w:tcPr>
            <w:tcW w:w="10920" w:type="dxa"/>
            <w:gridSpan w:val="1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2022年医疗服务与保障能力提升资金（第二批次）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60"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主管部门</w:t>
            </w:r>
          </w:p>
        </w:tc>
        <w:tc>
          <w:tcPr>
            <w:tcW w:w="4732" w:type="dxa"/>
            <w:gridSpan w:val="5"/>
            <w:tcBorders>
              <w:top w:val="nil"/>
              <w:left w:val="single" w:color="000000" w:sz="8" w:space="0"/>
              <w:bottom w:val="single" w:color="000000" w:sz="8" w:space="0"/>
              <w:right w:val="nil"/>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c>
          <w:tcPr>
            <w:tcW w:w="2113" w:type="dxa"/>
            <w:gridSpan w:val="2"/>
            <w:tcBorders>
              <w:top w:val="single" w:color="000000" w:sz="8" w:space="0"/>
              <w:left w:val="single" w:color="000000" w:sz="8" w:space="0"/>
              <w:bottom w:val="single" w:color="000000" w:sz="8" w:space="0"/>
              <w:right w:val="nil"/>
              <w:tl2br w:val="nil"/>
              <w:tr2bl w:val="nil"/>
            </w:tcBorders>
            <w:noWrap w:val="0"/>
            <w:vAlign w:val="center"/>
          </w:tcPr>
          <w:p>
            <w:pPr>
              <w:widowControl/>
              <w:textAlignment w:val="center"/>
              <w:rPr>
                <w:rFonts w:hint="eastAsia" w:ascii="宋体" w:hAnsi="宋体" w:cs="宋体"/>
                <w:color w:val="000000"/>
                <w:sz w:val="17"/>
                <w:szCs w:val="17"/>
              </w:rPr>
            </w:pPr>
            <w:r>
              <w:rPr>
                <w:rFonts w:hint="eastAsia" w:ascii="宋体" w:hAnsi="宋体" w:cs="宋体"/>
                <w:color w:val="000000"/>
                <w:sz w:val="17"/>
                <w:szCs w:val="17"/>
                <w:lang w:bidi="ar"/>
              </w:rPr>
              <w:t>实施单位</w:t>
            </w:r>
          </w:p>
        </w:tc>
        <w:tc>
          <w:tcPr>
            <w:tcW w:w="4075"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60"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项目（政策）资金 （万元）</w:t>
            </w:r>
          </w:p>
        </w:tc>
        <w:tc>
          <w:tcPr>
            <w:tcW w:w="2369"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年度预算数（万元）</w:t>
            </w:r>
          </w:p>
        </w:tc>
        <w:tc>
          <w:tcPr>
            <w:tcW w:w="236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年初预算数</w:t>
            </w: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全年预算数</w:t>
            </w: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全年执行数</w:t>
            </w: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69"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年度资金总额</w:t>
            </w:r>
          </w:p>
        </w:tc>
        <w:tc>
          <w:tcPr>
            <w:tcW w:w="236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0</w:t>
            </w: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21</w:t>
            </w: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21</w:t>
            </w: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69"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（一）财政拨款小计</w:t>
            </w:r>
          </w:p>
        </w:tc>
        <w:tc>
          <w:tcPr>
            <w:tcW w:w="236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0</w:t>
            </w: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21</w:t>
            </w: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21</w:t>
            </w: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69"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1.一般公共预算</w:t>
            </w:r>
          </w:p>
        </w:tc>
        <w:tc>
          <w:tcPr>
            <w:tcW w:w="236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0</w:t>
            </w: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21</w:t>
            </w: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21</w:t>
            </w: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69"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2.政府性基金</w:t>
            </w:r>
          </w:p>
        </w:tc>
        <w:tc>
          <w:tcPr>
            <w:tcW w:w="2363"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Arial" w:hAnsi="Arial" w:cs="Arial"/>
                <w:color w:val="000000"/>
                <w:sz w:val="21"/>
                <w:szCs w:val="21"/>
              </w:rPr>
            </w:pP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69"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3.国有资本经营预算</w:t>
            </w:r>
          </w:p>
        </w:tc>
        <w:tc>
          <w:tcPr>
            <w:tcW w:w="2363"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69" w:type="dxa"/>
            <w:gridSpan w:val="3"/>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（二）其他资金</w:t>
            </w:r>
          </w:p>
        </w:tc>
        <w:tc>
          <w:tcPr>
            <w:tcW w:w="2363"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0"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年度总体  目标</w:t>
            </w:r>
          </w:p>
        </w:tc>
        <w:tc>
          <w:tcPr>
            <w:tcW w:w="5812" w:type="dxa"/>
            <w:gridSpan w:val="6"/>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预期目标</w:t>
            </w:r>
          </w:p>
        </w:tc>
        <w:tc>
          <w:tcPr>
            <w:tcW w:w="6188" w:type="dxa"/>
            <w:gridSpan w:val="7"/>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default" w:ascii="Arial" w:hAnsi="Arial" w:cs="Arial"/>
                <w:color w:val="000000"/>
                <w:sz w:val="21"/>
                <w:szCs w:val="21"/>
              </w:rPr>
            </w:pPr>
            <w:r>
              <w:rPr>
                <w:rFonts w:hint="eastAsia" w:ascii="Arial" w:hAnsi="Arial" w:cs="Arial"/>
                <w:color w:val="000000"/>
                <w:sz w:val="21"/>
                <w:szCs w:val="21"/>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3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5812" w:type="dxa"/>
            <w:gridSpan w:val="6"/>
            <w:tcBorders>
              <w:top w:val="nil"/>
              <w:left w:val="nil"/>
              <w:bottom w:val="single" w:color="000000" w:sz="8" w:space="0"/>
              <w:right w:val="nil"/>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目标1：提升医保业务信息化水平，加强医保信息平台运维管理</w:t>
            </w:r>
            <w:r>
              <w:rPr>
                <w:rFonts w:hint="eastAsia" w:ascii="宋体" w:hAnsi="宋体" w:cs="宋体"/>
                <w:color w:val="000000"/>
                <w:sz w:val="16"/>
                <w:szCs w:val="16"/>
                <w:lang w:bidi="ar"/>
              </w:rPr>
              <w:br w:type="textWrapping"/>
            </w:r>
            <w:r>
              <w:rPr>
                <w:rFonts w:hint="eastAsia" w:ascii="宋体" w:hAnsi="宋体" w:cs="宋体"/>
                <w:color w:val="000000"/>
                <w:sz w:val="16"/>
                <w:szCs w:val="16"/>
                <w:lang w:bidi="ar"/>
              </w:rPr>
              <w:t>目标2：深入推进区镇村医保服务体系建设，推进医保经办管理服务标准化建设。                                                                                               目标3：开展医保系统人才队伍建设，组织参加各级能力提升培训、综合提升全区医疗保障服务能力；                                                                                目标4：加大医疗保障宣传力度，提升宣传引导水平，提高医保重要政策知晓率。</w:t>
            </w:r>
          </w:p>
        </w:tc>
        <w:tc>
          <w:tcPr>
            <w:tcW w:w="6188" w:type="dxa"/>
            <w:gridSpan w:val="7"/>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已完成。村级经办人员培训数量50人次、医保经办服务网点建设3个、印制宣传资料数量6000份。严格按照规定基本完成目标任务，项目实施效果基本达到预期目标，成本未超预算范围，资金使用安全有效。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绩效指标</w:t>
            </w:r>
          </w:p>
        </w:tc>
        <w:tc>
          <w:tcPr>
            <w:tcW w:w="108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2107"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2625" w:type="dxa"/>
            <w:gridSpan w:val="3"/>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2113"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912"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2163" w:type="dxa"/>
            <w:gridSpan w:val="3"/>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2"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07"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25" w:type="dxa"/>
            <w:gridSpan w:val="3"/>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13"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912"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63" w:type="dxa"/>
            <w:gridSpan w:val="3"/>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2107" w:type="dxa"/>
            <w:gridSpan w:val="2"/>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2625"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印制宣传资料数量</w:t>
            </w: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≥5000份</w:t>
            </w: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6000份</w:t>
            </w: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07" w:type="dxa"/>
            <w:gridSpan w:val="2"/>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25"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顶岗培训人员数量</w:t>
            </w: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≥30人次</w:t>
            </w: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50人次</w:t>
            </w: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07" w:type="dxa"/>
            <w:gridSpan w:val="2"/>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25"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医保经办服务网点建设</w:t>
            </w: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≥3个</w:t>
            </w: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3个</w:t>
            </w: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07"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2625"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医保系统正常运转合格率</w:t>
            </w: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2"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07"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25"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医保系统人才培训合格率</w:t>
            </w: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2"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07" w:type="dxa"/>
            <w:gridSpan w:val="2"/>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2625"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完成时限</w:t>
            </w: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2107" w:type="dxa"/>
            <w:gridSpan w:val="2"/>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2625" w:type="dxa"/>
            <w:gridSpan w:val="3"/>
            <w:vMerge w:val="restart"/>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医保标准化水平</w:t>
            </w:r>
          </w:p>
        </w:tc>
        <w:tc>
          <w:tcPr>
            <w:tcW w:w="2113"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912"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2163" w:type="dxa"/>
            <w:gridSpan w:val="3"/>
            <w:vMerge w:val="restart"/>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2"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07" w:type="dxa"/>
            <w:gridSpan w:val="2"/>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625" w:type="dxa"/>
            <w:gridSpan w:val="3"/>
            <w:vMerge w:val="continue"/>
            <w:tcBorders>
              <w:top w:val="nil"/>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13"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912"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163" w:type="dxa"/>
            <w:gridSpan w:val="3"/>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3"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2107"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2625" w:type="dxa"/>
            <w:gridSpan w:val="3"/>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w:t>
            </w:r>
          </w:p>
        </w:tc>
        <w:tc>
          <w:tcPr>
            <w:tcW w:w="211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191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2163" w:type="dxa"/>
            <w:gridSpan w:val="3"/>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4"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2107" w:type="dxa"/>
            <w:gridSpan w:val="2"/>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2625" w:type="dxa"/>
            <w:gridSpan w:val="3"/>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服务能力提升资金控制数</w:t>
            </w:r>
          </w:p>
        </w:tc>
        <w:tc>
          <w:tcPr>
            <w:tcW w:w="2113"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=21万元</w:t>
            </w:r>
          </w:p>
        </w:tc>
        <w:tc>
          <w:tcPr>
            <w:tcW w:w="1912"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21万元</w:t>
            </w:r>
          </w:p>
        </w:tc>
        <w:tc>
          <w:tcPr>
            <w:tcW w:w="2163" w:type="dxa"/>
            <w:gridSpan w:val="3"/>
            <w:tcBorders>
              <w:top w:val="nil"/>
              <w:left w:val="single" w:color="000000" w:sz="8" w:space="0"/>
              <w:bottom w:val="nil"/>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0" w:hRule="atLeast"/>
        </w:trPr>
        <w:tc>
          <w:tcPr>
            <w:tcW w:w="13080" w:type="dxa"/>
            <w:gridSpan w:val="14"/>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自评得分：96分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216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项目名称</w:t>
            </w:r>
          </w:p>
        </w:tc>
        <w:tc>
          <w:tcPr>
            <w:tcW w:w="10818" w:type="dxa"/>
            <w:gridSpan w:val="11"/>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2023年医疗服务与保障能力提升资金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2160"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主管部门</w:t>
            </w:r>
          </w:p>
        </w:tc>
        <w:tc>
          <w:tcPr>
            <w:tcW w:w="5305" w:type="dxa"/>
            <w:gridSpan w:val="6"/>
            <w:tcBorders>
              <w:top w:val="nil"/>
              <w:left w:val="single" w:color="000000" w:sz="8" w:space="0"/>
              <w:bottom w:val="single" w:color="000000" w:sz="8" w:space="0"/>
              <w:right w:val="nil"/>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c>
          <w:tcPr>
            <w:tcW w:w="3001" w:type="dxa"/>
            <w:gridSpan w:val="2"/>
            <w:tcBorders>
              <w:top w:val="single" w:color="000000" w:sz="8" w:space="0"/>
              <w:left w:val="single" w:color="000000" w:sz="8" w:space="0"/>
              <w:bottom w:val="single" w:color="000000" w:sz="8" w:space="0"/>
              <w:right w:val="nil"/>
              <w:tl2br w:val="nil"/>
              <w:tr2bl w:val="nil"/>
            </w:tcBorders>
            <w:noWrap w:val="0"/>
            <w:vAlign w:val="center"/>
          </w:tcPr>
          <w:p>
            <w:pPr>
              <w:widowControl/>
              <w:textAlignment w:val="center"/>
              <w:rPr>
                <w:rFonts w:hint="eastAsia" w:ascii="宋体" w:hAnsi="宋体" w:cs="宋体"/>
                <w:color w:val="000000"/>
                <w:sz w:val="17"/>
                <w:szCs w:val="17"/>
              </w:rPr>
            </w:pPr>
            <w:r>
              <w:rPr>
                <w:rFonts w:hint="eastAsia" w:ascii="宋体" w:hAnsi="宋体" w:cs="宋体"/>
                <w:color w:val="000000"/>
                <w:sz w:val="17"/>
                <w:szCs w:val="17"/>
                <w:lang w:bidi="ar"/>
              </w:rPr>
              <w:t>实施单位</w:t>
            </w:r>
          </w:p>
        </w:tc>
        <w:tc>
          <w:tcPr>
            <w:tcW w:w="2512"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290" w:hRule="atLeast"/>
        </w:trPr>
        <w:tc>
          <w:tcPr>
            <w:tcW w:w="2160"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项目（政策）资金 （万元）</w:t>
            </w:r>
          </w:p>
        </w:tc>
        <w:tc>
          <w:tcPr>
            <w:tcW w:w="2372"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年度预算数（万元）</w:t>
            </w:r>
          </w:p>
        </w:tc>
        <w:tc>
          <w:tcPr>
            <w:tcW w:w="293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年初预算数</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全年预算数</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全年执行数</w:t>
            </w: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年度资金总额</w:t>
            </w:r>
          </w:p>
        </w:tc>
        <w:tc>
          <w:tcPr>
            <w:tcW w:w="293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26</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26</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26</w:t>
            </w: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（一）财政拨款小计</w:t>
            </w:r>
          </w:p>
        </w:tc>
        <w:tc>
          <w:tcPr>
            <w:tcW w:w="293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26</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26</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26</w:t>
            </w: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1.一般公共预算</w:t>
            </w:r>
          </w:p>
        </w:tc>
        <w:tc>
          <w:tcPr>
            <w:tcW w:w="2933"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26</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26</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26</w:t>
            </w: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2.政府性基金</w:t>
            </w:r>
          </w:p>
        </w:tc>
        <w:tc>
          <w:tcPr>
            <w:tcW w:w="2933"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Arial" w:hAnsi="Arial" w:cs="Arial"/>
                <w:color w:val="000000"/>
                <w:sz w:val="21"/>
                <w:szCs w:val="21"/>
              </w:rPr>
            </w:pP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3.国有资本经营预算</w:t>
            </w:r>
          </w:p>
        </w:tc>
        <w:tc>
          <w:tcPr>
            <w:tcW w:w="2933"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113" w:hRule="atLeast"/>
        </w:trPr>
        <w:tc>
          <w:tcPr>
            <w:tcW w:w="2160"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4"/>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（二）其他资金</w:t>
            </w:r>
          </w:p>
        </w:tc>
        <w:tc>
          <w:tcPr>
            <w:tcW w:w="2933"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263"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年度总体  目标</w:t>
            </w:r>
          </w:p>
        </w:tc>
        <w:tc>
          <w:tcPr>
            <w:tcW w:w="6385" w:type="dxa"/>
            <w:gridSpan w:val="7"/>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预期目标</w:t>
            </w:r>
          </w:p>
        </w:tc>
        <w:tc>
          <w:tcPr>
            <w:tcW w:w="5513" w:type="dxa"/>
            <w:gridSpan w:val="5"/>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default" w:ascii="Arial" w:hAnsi="Arial" w:cs="Arial"/>
                <w:color w:val="000000"/>
                <w:sz w:val="21"/>
                <w:szCs w:val="21"/>
              </w:rPr>
            </w:pPr>
            <w:r>
              <w:rPr>
                <w:rFonts w:hint="eastAsia" w:ascii="Arial" w:hAnsi="Arial" w:cs="Arial"/>
                <w:color w:val="000000"/>
                <w:sz w:val="21"/>
                <w:szCs w:val="21"/>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9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6385" w:type="dxa"/>
            <w:gridSpan w:val="7"/>
            <w:tcBorders>
              <w:top w:val="nil"/>
              <w:left w:val="nil"/>
              <w:bottom w:val="single" w:color="000000" w:sz="8" w:space="0"/>
              <w:right w:val="nil"/>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目标1：提升医保业务信息化水平，加强医保信息平台运维管理</w:t>
            </w:r>
            <w:r>
              <w:rPr>
                <w:rFonts w:hint="eastAsia" w:ascii="宋体" w:hAnsi="宋体" w:cs="宋体"/>
                <w:color w:val="000000"/>
                <w:sz w:val="16"/>
                <w:szCs w:val="16"/>
                <w:lang w:bidi="ar"/>
              </w:rPr>
              <w:br w:type="textWrapping"/>
            </w:r>
            <w:r>
              <w:rPr>
                <w:rFonts w:hint="eastAsia" w:ascii="宋体" w:hAnsi="宋体" w:cs="宋体"/>
                <w:color w:val="000000"/>
                <w:sz w:val="16"/>
                <w:szCs w:val="16"/>
                <w:lang w:bidi="ar"/>
              </w:rPr>
              <w:t>目标2：深入推进区镇村医保服务体系建设，推进医保经办管理服务标准化建设。                                                                                               目标3：开展医保系统人才队伍建设，组织参加各级能力提升培训、综合提升全区医疗保障服务能力；                                                                                目标4：加大医疗保障宣传力度，提升宣传引导水平，提高医保重要政策知晓率。</w:t>
            </w:r>
          </w:p>
        </w:tc>
        <w:tc>
          <w:tcPr>
            <w:tcW w:w="5513" w:type="dxa"/>
            <w:gridSpan w:val="5"/>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已完成。定点医药机构监督检查覆盖率达100%，并拍摄医保基金监管宣传片1个，印制6种类型医保元素物品，医保政策的普及率和知晓度显著提升。严格按照规定基本完成目标任务，项目实施效果基本达到预期目标，成本未超预算范围，资金使用安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1080"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绩效指标</w:t>
            </w:r>
          </w:p>
        </w:tc>
        <w:tc>
          <w:tcPr>
            <w:tcW w:w="1080"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4013" w:type="dxa"/>
            <w:gridSpan w:val="5"/>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3001"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874" w:type="dxa"/>
            <w:gridSpan w:val="2"/>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1638"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12"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4013" w:type="dxa"/>
            <w:gridSpan w:val="5"/>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3001"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874" w:type="dxa"/>
            <w:gridSpan w:val="2"/>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638" w:type="dxa"/>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产出指标</w:t>
            </w:r>
          </w:p>
        </w:tc>
        <w:tc>
          <w:tcPr>
            <w:tcW w:w="1292" w:type="dxa"/>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数量指标</w:t>
            </w:r>
          </w:p>
        </w:tc>
        <w:tc>
          <w:tcPr>
            <w:tcW w:w="4013"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印制医保元素种类</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≥6种</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6种</w:t>
            </w: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4013"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定点医药机构检查数量</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≥50次</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53次</w:t>
            </w: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4013"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医保宣传片拍摄</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≥1个</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1个</w:t>
            </w: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质量指标</w:t>
            </w:r>
          </w:p>
        </w:tc>
        <w:tc>
          <w:tcPr>
            <w:tcW w:w="4013"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医保系统正常运转合格率</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4013"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医保基金监管检查覆盖率</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时效指标</w:t>
            </w:r>
          </w:p>
        </w:tc>
        <w:tc>
          <w:tcPr>
            <w:tcW w:w="4013"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完成时限</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1年</w:t>
            </w: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30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restart"/>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效益指标</w:t>
            </w:r>
          </w:p>
        </w:tc>
        <w:tc>
          <w:tcPr>
            <w:tcW w:w="1292"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社会效益指标</w:t>
            </w:r>
          </w:p>
        </w:tc>
        <w:tc>
          <w:tcPr>
            <w:tcW w:w="4013"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医保标准化水平</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638" w:type="dxa"/>
            <w:vMerge w:val="restart"/>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285"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vMerge w:val="continue"/>
            <w:tcBorders>
              <w:top w:val="nil"/>
              <w:left w:val="nil"/>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4013"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医保监管水平</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优</w:t>
            </w:r>
          </w:p>
        </w:tc>
        <w:tc>
          <w:tcPr>
            <w:tcW w:w="1638" w:type="dxa"/>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288"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服务对象满意度指标</w:t>
            </w:r>
          </w:p>
        </w:tc>
        <w:tc>
          <w:tcPr>
            <w:tcW w:w="4013" w:type="dxa"/>
            <w:gridSpan w:val="5"/>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服务对象满意度</w:t>
            </w:r>
          </w:p>
        </w:tc>
        <w:tc>
          <w:tcPr>
            <w:tcW w:w="3001"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≥90%</w:t>
            </w:r>
          </w:p>
        </w:tc>
        <w:tc>
          <w:tcPr>
            <w:tcW w:w="874"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638"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290" w:hRule="atLeast"/>
        </w:trPr>
        <w:tc>
          <w:tcPr>
            <w:tcW w:w="1080"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80"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成本指标</w:t>
            </w: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经济成本指标</w:t>
            </w:r>
          </w:p>
        </w:tc>
        <w:tc>
          <w:tcPr>
            <w:tcW w:w="4013" w:type="dxa"/>
            <w:gridSpan w:val="5"/>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服务能力提升资金控制数</w:t>
            </w:r>
          </w:p>
        </w:tc>
        <w:tc>
          <w:tcPr>
            <w:tcW w:w="3001"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=26万元</w:t>
            </w:r>
          </w:p>
        </w:tc>
        <w:tc>
          <w:tcPr>
            <w:tcW w:w="874"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26万元</w:t>
            </w:r>
          </w:p>
        </w:tc>
        <w:tc>
          <w:tcPr>
            <w:tcW w:w="1638" w:type="dxa"/>
            <w:tcBorders>
              <w:top w:val="nil"/>
              <w:left w:val="single" w:color="000000" w:sz="8" w:space="0"/>
              <w:bottom w:val="nil"/>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02" w:type="dxa"/>
          <w:trHeight w:val="270" w:hRule="atLeast"/>
        </w:trPr>
        <w:tc>
          <w:tcPr>
            <w:tcW w:w="12978" w:type="dxa"/>
            <w:gridSpan w:val="13"/>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自评得分：96分</w:t>
            </w:r>
          </w:p>
        </w:tc>
      </w:tr>
    </w:tbl>
    <w:p>
      <w:pPr>
        <w:pStyle w:val="7"/>
        <w:rPr>
          <w:rFonts w:hint="eastAsia"/>
          <w:sz w:val="24"/>
          <w:szCs w:val="32"/>
        </w:rPr>
      </w:pPr>
    </w:p>
    <w:p>
      <w:pPr>
        <w:rPr>
          <w:rFonts w:hint="eastAsia"/>
          <w:sz w:val="24"/>
          <w:szCs w:val="24"/>
        </w:rPr>
      </w:pPr>
    </w:p>
    <w:tbl>
      <w:tblPr>
        <w:tblStyle w:val="11"/>
        <w:tblW w:w="129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9"/>
        <w:gridCol w:w="1079"/>
        <w:gridCol w:w="1292"/>
        <w:gridCol w:w="1080"/>
        <w:gridCol w:w="3060"/>
        <w:gridCol w:w="2025"/>
        <w:gridCol w:w="172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58"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项目名称</w:t>
            </w:r>
          </w:p>
        </w:tc>
        <w:tc>
          <w:tcPr>
            <w:tcW w:w="10832" w:type="dxa"/>
            <w:gridSpan w:val="6"/>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新冠疫苗接种专项资金区级财政补助资金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58" w:type="dxa"/>
            <w:gridSpan w:val="2"/>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主管部门</w:t>
            </w:r>
          </w:p>
        </w:tc>
        <w:tc>
          <w:tcPr>
            <w:tcW w:w="5432" w:type="dxa"/>
            <w:gridSpan w:val="3"/>
            <w:tcBorders>
              <w:top w:val="nil"/>
              <w:left w:val="single" w:color="000000" w:sz="8" w:space="0"/>
              <w:bottom w:val="single" w:color="000000" w:sz="8" w:space="0"/>
              <w:right w:val="nil"/>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c>
          <w:tcPr>
            <w:tcW w:w="2025" w:type="dxa"/>
            <w:tcBorders>
              <w:top w:val="single" w:color="000000" w:sz="8" w:space="0"/>
              <w:left w:val="single" w:color="000000" w:sz="8" w:space="0"/>
              <w:bottom w:val="single" w:color="000000" w:sz="8" w:space="0"/>
              <w:right w:val="nil"/>
              <w:tl2br w:val="nil"/>
              <w:tr2bl w:val="nil"/>
            </w:tcBorders>
            <w:noWrap w:val="0"/>
            <w:vAlign w:val="center"/>
          </w:tcPr>
          <w:p>
            <w:pPr>
              <w:widowControl/>
              <w:textAlignment w:val="center"/>
              <w:rPr>
                <w:rFonts w:hint="eastAsia" w:ascii="宋体" w:hAnsi="宋体" w:cs="宋体"/>
                <w:color w:val="000000"/>
                <w:sz w:val="17"/>
                <w:szCs w:val="17"/>
              </w:rPr>
            </w:pPr>
            <w:r>
              <w:rPr>
                <w:rFonts w:hint="eastAsia" w:ascii="宋体" w:hAnsi="宋体" w:cs="宋体"/>
                <w:color w:val="000000"/>
                <w:sz w:val="17"/>
                <w:szCs w:val="17"/>
                <w:lang w:bidi="ar"/>
              </w:rPr>
              <w:t>实施单位</w:t>
            </w:r>
          </w:p>
        </w:tc>
        <w:tc>
          <w:tcPr>
            <w:tcW w:w="3375"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昭化区医保局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58" w:type="dxa"/>
            <w:gridSpan w:val="2"/>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项目（政策）资金 （万元）</w:t>
            </w:r>
          </w:p>
        </w:tc>
        <w:tc>
          <w:tcPr>
            <w:tcW w:w="237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年度预算数（万元）</w:t>
            </w:r>
          </w:p>
        </w:tc>
        <w:tc>
          <w:tcPr>
            <w:tcW w:w="3060"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年初预算数</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全年预算数</w:t>
            </w:r>
          </w:p>
        </w:tc>
        <w:tc>
          <w:tcPr>
            <w:tcW w:w="17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全年执行数</w:t>
            </w:r>
          </w:p>
        </w:tc>
        <w:tc>
          <w:tcPr>
            <w:tcW w:w="1650"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58"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年度资金总额</w:t>
            </w:r>
          </w:p>
        </w:tc>
        <w:tc>
          <w:tcPr>
            <w:tcW w:w="3060" w:type="dxa"/>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18.25</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18.25</w:t>
            </w:r>
          </w:p>
        </w:tc>
        <w:tc>
          <w:tcPr>
            <w:tcW w:w="17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650"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58"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（一）财政拨款小计</w:t>
            </w:r>
          </w:p>
        </w:tc>
        <w:tc>
          <w:tcPr>
            <w:tcW w:w="3060"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18.25</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18.25</w:t>
            </w:r>
          </w:p>
        </w:tc>
        <w:tc>
          <w:tcPr>
            <w:tcW w:w="17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650"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58"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1.一般公共预算</w:t>
            </w:r>
          </w:p>
        </w:tc>
        <w:tc>
          <w:tcPr>
            <w:tcW w:w="3060"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18.25</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18.25</w:t>
            </w:r>
          </w:p>
        </w:tc>
        <w:tc>
          <w:tcPr>
            <w:tcW w:w="17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c>
          <w:tcPr>
            <w:tcW w:w="1650"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58"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2.政府性基金</w:t>
            </w:r>
          </w:p>
        </w:tc>
        <w:tc>
          <w:tcPr>
            <w:tcW w:w="3060"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Arial" w:hAnsi="Arial" w:cs="Arial"/>
                <w:color w:val="000000"/>
                <w:sz w:val="21"/>
                <w:szCs w:val="21"/>
              </w:rPr>
            </w:pP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7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50"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58"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3.国有资本经营预算</w:t>
            </w:r>
          </w:p>
        </w:tc>
        <w:tc>
          <w:tcPr>
            <w:tcW w:w="3060"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7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50"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2158" w:type="dxa"/>
            <w:gridSpan w:val="2"/>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372" w:type="dxa"/>
            <w:gridSpan w:val="2"/>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（二）其他资金</w:t>
            </w:r>
          </w:p>
        </w:tc>
        <w:tc>
          <w:tcPr>
            <w:tcW w:w="3060"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725"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c>
          <w:tcPr>
            <w:tcW w:w="1650"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43" w:hRule="atLeast"/>
        </w:trPr>
        <w:tc>
          <w:tcPr>
            <w:tcW w:w="1079"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年度总体  目标</w:t>
            </w:r>
          </w:p>
        </w:tc>
        <w:tc>
          <w:tcPr>
            <w:tcW w:w="6511" w:type="dxa"/>
            <w:gridSpan w:val="4"/>
            <w:tcBorders>
              <w:top w:val="nil"/>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预期目标</w:t>
            </w:r>
          </w:p>
        </w:tc>
        <w:tc>
          <w:tcPr>
            <w:tcW w:w="5400" w:type="dxa"/>
            <w:gridSpan w:val="3"/>
            <w:tcBorders>
              <w:top w:val="nil"/>
              <w:left w:val="single" w:color="000000" w:sz="8" w:space="0"/>
              <w:bottom w:val="nil"/>
              <w:right w:val="single" w:color="000000" w:sz="8" w:space="0"/>
              <w:tl2br w:val="nil"/>
              <w:tr2bl w:val="nil"/>
            </w:tcBorders>
            <w:noWrap w:val="0"/>
            <w:vAlign w:val="center"/>
          </w:tcPr>
          <w:p>
            <w:pPr>
              <w:widowControl/>
              <w:jc w:val="center"/>
              <w:textAlignment w:val="center"/>
              <w:rPr>
                <w:rFonts w:hint="default" w:ascii="Arial" w:hAnsi="Arial" w:cs="Arial"/>
                <w:color w:val="000000"/>
                <w:sz w:val="21"/>
                <w:szCs w:val="21"/>
              </w:rPr>
            </w:pPr>
            <w:r>
              <w:rPr>
                <w:rFonts w:hint="eastAsia" w:ascii="Arial" w:hAnsi="Arial" w:cs="Arial"/>
                <w:color w:val="000000"/>
                <w:sz w:val="21"/>
                <w:szCs w:val="21"/>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2" w:hRule="atLeast"/>
        </w:trPr>
        <w:tc>
          <w:tcPr>
            <w:tcW w:w="1079"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6511" w:type="dxa"/>
            <w:gridSpan w:val="4"/>
            <w:tcBorders>
              <w:top w:val="nil"/>
              <w:left w:val="nil"/>
              <w:bottom w:val="single" w:color="000000" w:sz="8" w:space="0"/>
              <w:right w:val="nil"/>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按照川医保发〔2021〕2号规定。为贯彻落实党中央、国务院关于疫情防控决策部署，切实做好新冠疫苗及接种费用保障工作。新冠疫苗接种专项资金由医保基金负担，财政按照实际接种疫苗及接种费用的30%对医保基金给予补助。川财社[2021]47号规定，新冠疫苗接种专项资金，财政负担部分，中央财政补助50%，其余部分由市县财政自行负担。</w:t>
            </w:r>
          </w:p>
        </w:tc>
        <w:tc>
          <w:tcPr>
            <w:tcW w:w="5400"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全面完成2022年1月至6月，全区新冠病毒疫苗累计接种51287人次，应支付新冠疫苗费121.68万元（其中：新冠病毒疫苗费80.65万元，接种费用41.03万元），财政补助36.5万元，区级财政补助18.25万元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79" w:type="dxa"/>
            <w:vMerge w:val="restart"/>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绩效指标</w:t>
            </w:r>
          </w:p>
        </w:tc>
        <w:tc>
          <w:tcPr>
            <w:tcW w:w="1079" w:type="dxa"/>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一级指标</w:t>
            </w:r>
          </w:p>
        </w:tc>
        <w:tc>
          <w:tcPr>
            <w:tcW w:w="129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二级指标</w:t>
            </w:r>
          </w:p>
        </w:tc>
        <w:tc>
          <w:tcPr>
            <w:tcW w:w="4140" w:type="dxa"/>
            <w:gridSpan w:val="2"/>
            <w:vMerge w:val="restart"/>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三级指标</w:t>
            </w:r>
          </w:p>
        </w:tc>
        <w:tc>
          <w:tcPr>
            <w:tcW w:w="2025"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年度指标值</w:t>
            </w:r>
          </w:p>
        </w:tc>
        <w:tc>
          <w:tcPr>
            <w:tcW w:w="1725"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7"/>
                <w:szCs w:val="17"/>
              </w:rPr>
            </w:pPr>
            <w:r>
              <w:rPr>
                <w:rFonts w:hint="eastAsia" w:ascii="宋体" w:hAnsi="宋体" w:cs="宋体"/>
                <w:color w:val="000000"/>
                <w:sz w:val="17"/>
                <w:szCs w:val="17"/>
                <w:lang w:bidi="ar"/>
              </w:rPr>
              <w:t>实际完成值</w:t>
            </w:r>
          </w:p>
        </w:tc>
        <w:tc>
          <w:tcPr>
            <w:tcW w:w="1650" w:type="dxa"/>
            <w:vMerge w:val="restart"/>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12" w:hRule="atLeast"/>
        </w:trPr>
        <w:tc>
          <w:tcPr>
            <w:tcW w:w="1079"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79" w:type="dxa"/>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29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4140" w:type="dxa"/>
            <w:gridSpan w:val="2"/>
            <w:vMerge w:val="continue"/>
            <w:tcBorders>
              <w:top w:val="single" w:color="000000" w:sz="8" w:space="0"/>
              <w:left w:val="nil"/>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2025" w:type="dxa"/>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725" w:type="dxa"/>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650" w:type="dxa"/>
            <w:vMerge w:val="continue"/>
            <w:tcBorders>
              <w:top w:val="nil"/>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57" w:hRule="atLeast"/>
        </w:trPr>
        <w:tc>
          <w:tcPr>
            <w:tcW w:w="1079"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79"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产出指标</w:t>
            </w:r>
          </w:p>
        </w:tc>
        <w:tc>
          <w:tcPr>
            <w:tcW w:w="1292" w:type="dxa"/>
            <w:vMerge w:val="restart"/>
            <w:tcBorders>
              <w:top w:val="nil"/>
              <w:left w:val="nil"/>
              <w:bottom w:val="nil"/>
              <w:right w:val="nil"/>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数量指标</w:t>
            </w:r>
          </w:p>
        </w:tc>
        <w:tc>
          <w:tcPr>
            <w:tcW w:w="4140" w:type="dxa"/>
            <w:gridSpan w:val="2"/>
            <w:tcBorders>
              <w:top w:val="single" w:color="000000" w:sz="8" w:space="0"/>
              <w:left w:val="single" w:color="000000" w:sz="8" w:space="0"/>
              <w:bottom w:val="single" w:color="000000" w:sz="8" w:space="0"/>
              <w:right w:val="single" w:color="000000" w:sz="4"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新冠疫苗接种人数</w:t>
            </w:r>
          </w:p>
        </w:tc>
        <w:tc>
          <w:tcPr>
            <w:tcW w:w="202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51287人</w:t>
            </w:r>
          </w:p>
        </w:tc>
        <w:tc>
          <w:tcPr>
            <w:tcW w:w="1725" w:type="dxa"/>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51287人</w:t>
            </w:r>
          </w:p>
        </w:tc>
        <w:tc>
          <w:tcPr>
            <w:tcW w:w="1650" w:type="dxa"/>
            <w:tcBorders>
              <w:top w:val="nil"/>
              <w:left w:val="nil"/>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79"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79"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2"/>
                <w:szCs w:val="12"/>
              </w:rPr>
            </w:pPr>
          </w:p>
        </w:tc>
        <w:tc>
          <w:tcPr>
            <w:tcW w:w="1292" w:type="dxa"/>
            <w:vMerge w:val="continue"/>
            <w:tcBorders>
              <w:top w:val="nil"/>
              <w:left w:val="nil"/>
              <w:bottom w:val="nil"/>
              <w:right w:val="nil"/>
              <w:tl2br w:val="nil"/>
              <w:tr2bl w:val="nil"/>
            </w:tcBorders>
            <w:noWrap w:val="0"/>
            <w:vAlign w:val="center"/>
          </w:tcPr>
          <w:p>
            <w:pPr>
              <w:jc w:val="center"/>
              <w:rPr>
                <w:rFonts w:hint="eastAsia" w:ascii="宋体" w:hAnsi="宋体" w:cs="宋体"/>
                <w:color w:val="000000"/>
                <w:sz w:val="12"/>
                <w:szCs w:val="12"/>
              </w:rPr>
            </w:pPr>
          </w:p>
        </w:tc>
        <w:tc>
          <w:tcPr>
            <w:tcW w:w="4140" w:type="dxa"/>
            <w:gridSpan w:val="2"/>
            <w:tcBorders>
              <w:top w:val="single" w:color="000000" w:sz="8" w:space="0"/>
              <w:left w:val="single" w:color="000000" w:sz="8" w:space="0"/>
              <w:bottom w:val="single" w:color="000000" w:sz="8" w:space="0"/>
              <w:right w:val="single" w:color="000000" w:sz="4"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新冠疫苗接种专项资金金额</w:t>
            </w:r>
          </w:p>
        </w:tc>
        <w:tc>
          <w:tcPr>
            <w:tcW w:w="202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121.68万元</w:t>
            </w:r>
          </w:p>
        </w:tc>
        <w:tc>
          <w:tcPr>
            <w:tcW w:w="1725" w:type="dxa"/>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121.68万元</w:t>
            </w:r>
          </w:p>
        </w:tc>
        <w:tc>
          <w:tcPr>
            <w:tcW w:w="1650" w:type="dxa"/>
            <w:tcBorders>
              <w:top w:val="nil"/>
              <w:left w:val="nil"/>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79"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79"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2"/>
                <w:szCs w:val="12"/>
              </w:rPr>
            </w:pPr>
          </w:p>
        </w:tc>
        <w:tc>
          <w:tcPr>
            <w:tcW w:w="1292" w:type="dxa"/>
            <w:vMerge w:val="continue"/>
            <w:tcBorders>
              <w:top w:val="nil"/>
              <w:left w:val="nil"/>
              <w:bottom w:val="nil"/>
              <w:right w:val="nil"/>
              <w:tl2br w:val="nil"/>
              <w:tr2bl w:val="nil"/>
            </w:tcBorders>
            <w:noWrap w:val="0"/>
            <w:vAlign w:val="center"/>
          </w:tcPr>
          <w:p>
            <w:pPr>
              <w:jc w:val="center"/>
              <w:rPr>
                <w:rFonts w:hint="eastAsia" w:ascii="宋体" w:hAnsi="宋体" w:cs="宋体"/>
                <w:color w:val="000000"/>
                <w:sz w:val="12"/>
                <w:szCs w:val="12"/>
              </w:rPr>
            </w:pPr>
          </w:p>
        </w:tc>
        <w:tc>
          <w:tcPr>
            <w:tcW w:w="4140" w:type="dxa"/>
            <w:gridSpan w:val="2"/>
            <w:tcBorders>
              <w:top w:val="single" w:color="000000" w:sz="8" w:space="0"/>
              <w:left w:val="single" w:color="000000" w:sz="8" w:space="0"/>
              <w:bottom w:val="single" w:color="000000" w:sz="8" w:space="0"/>
              <w:right w:val="single" w:color="000000" w:sz="4"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区级财政补助标准</w:t>
            </w:r>
          </w:p>
        </w:tc>
        <w:tc>
          <w:tcPr>
            <w:tcW w:w="202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18.25万元</w:t>
            </w:r>
          </w:p>
        </w:tc>
        <w:tc>
          <w:tcPr>
            <w:tcW w:w="1725" w:type="dxa"/>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18.25万元</w:t>
            </w:r>
          </w:p>
        </w:tc>
        <w:tc>
          <w:tcPr>
            <w:tcW w:w="1650" w:type="dxa"/>
            <w:tcBorders>
              <w:top w:val="nil"/>
              <w:left w:val="nil"/>
              <w:bottom w:val="single" w:color="000000" w:sz="8" w:space="0"/>
              <w:right w:val="single" w:color="000000" w:sz="8" w:space="0"/>
              <w:tl2br w:val="nil"/>
              <w:tr2bl w:val="nil"/>
            </w:tcBorders>
            <w:noWrap w:val="0"/>
            <w:vAlign w:val="center"/>
          </w:tcPr>
          <w:p>
            <w:pP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1079"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79"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2"/>
                <w:szCs w:val="12"/>
              </w:rPr>
            </w:pP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质量指标</w:t>
            </w:r>
          </w:p>
        </w:tc>
        <w:tc>
          <w:tcPr>
            <w:tcW w:w="4140" w:type="dxa"/>
            <w:gridSpan w:val="2"/>
            <w:tcBorders>
              <w:top w:val="single" w:color="000000" w:sz="8" w:space="0"/>
              <w:left w:val="single" w:color="000000" w:sz="8" w:space="0"/>
              <w:bottom w:val="single" w:color="000000" w:sz="8" w:space="0"/>
              <w:right w:val="single" w:color="000000" w:sz="4"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全额补助覆盖率</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100%</w:t>
            </w:r>
          </w:p>
        </w:tc>
        <w:tc>
          <w:tcPr>
            <w:tcW w:w="17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100%</w:t>
            </w:r>
          </w:p>
        </w:tc>
        <w:tc>
          <w:tcPr>
            <w:tcW w:w="1650"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5" w:hRule="atLeast"/>
        </w:trPr>
        <w:tc>
          <w:tcPr>
            <w:tcW w:w="1079"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79"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jc w:val="center"/>
              <w:rPr>
                <w:rFonts w:hint="eastAsia" w:ascii="宋体" w:hAnsi="宋体" w:cs="宋体"/>
                <w:color w:val="000000"/>
                <w:sz w:val="12"/>
                <w:szCs w:val="12"/>
              </w:rPr>
            </w:pPr>
          </w:p>
        </w:tc>
        <w:tc>
          <w:tcPr>
            <w:tcW w:w="1292" w:type="dxa"/>
            <w:tcBorders>
              <w:top w:val="single" w:color="000000" w:sz="8" w:space="0"/>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时效指标</w:t>
            </w:r>
          </w:p>
        </w:tc>
        <w:tc>
          <w:tcPr>
            <w:tcW w:w="4140" w:type="dxa"/>
            <w:gridSpan w:val="2"/>
            <w:tcBorders>
              <w:top w:val="single" w:color="000000" w:sz="8" w:space="0"/>
              <w:left w:val="single" w:color="000000" w:sz="8" w:space="0"/>
              <w:bottom w:val="single" w:color="000000" w:sz="8" w:space="0"/>
              <w:right w:val="single" w:color="000000" w:sz="4"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完成时限</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1年</w:t>
            </w:r>
          </w:p>
        </w:tc>
        <w:tc>
          <w:tcPr>
            <w:tcW w:w="17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1年</w:t>
            </w:r>
          </w:p>
        </w:tc>
        <w:tc>
          <w:tcPr>
            <w:tcW w:w="1650"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95" w:hRule="atLeast"/>
        </w:trPr>
        <w:tc>
          <w:tcPr>
            <w:tcW w:w="1079"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79" w:type="dxa"/>
            <w:tcBorders>
              <w:top w:val="nil"/>
              <w:left w:val="nil"/>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效益指标</w:t>
            </w:r>
          </w:p>
        </w:tc>
        <w:tc>
          <w:tcPr>
            <w:tcW w:w="1292" w:type="dxa"/>
            <w:tcBorders>
              <w:top w:val="single" w:color="000000" w:sz="8" w:space="0"/>
              <w:left w:val="single" w:color="000000" w:sz="8" w:space="0"/>
              <w:bottom w:val="nil"/>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社会效益指标</w:t>
            </w:r>
          </w:p>
        </w:tc>
        <w:tc>
          <w:tcPr>
            <w:tcW w:w="4140" w:type="dxa"/>
            <w:gridSpan w:val="2"/>
            <w:tcBorders>
              <w:top w:val="single" w:color="000000" w:sz="8" w:space="0"/>
              <w:left w:val="single" w:color="000000" w:sz="8" w:space="0"/>
              <w:bottom w:val="single" w:color="000000" w:sz="8" w:space="0"/>
              <w:right w:val="single" w:color="000000" w:sz="4"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 xml:space="preserve"> 加快建立疫情屏障，维护广大人民群众的生命健康，增强人民群众幸福感。</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优</w:t>
            </w:r>
          </w:p>
        </w:tc>
        <w:tc>
          <w:tcPr>
            <w:tcW w:w="17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优</w:t>
            </w:r>
          </w:p>
        </w:tc>
        <w:tc>
          <w:tcPr>
            <w:tcW w:w="1650"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82" w:hRule="atLeast"/>
        </w:trPr>
        <w:tc>
          <w:tcPr>
            <w:tcW w:w="1079" w:type="dxa"/>
            <w:vMerge w:val="continue"/>
            <w:tcBorders>
              <w:top w:val="single" w:color="000000" w:sz="8" w:space="0"/>
              <w:left w:val="single" w:color="000000" w:sz="8" w:space="0"/>
              <w:bottom w:val="nil"/>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79" w:type="dxa"/>
            <w:tcBorders>
              <w:top w:val="single" w:color="000000" w:sz="8" w:space="0"/>
              <w:left w:val="nil"/>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满意度指标</w:t>
            </w:r>
          </w:p>
        </w:tc>
        <w:tc>
          <w:tcPr>
            <w:tcW w:w="12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服务对象满意度指标</w:t>
            </w:r>
          </w:p>
        </w:tc>
        <w:tc>
          <w:tcPr>
            <w:tcW w:w="4140" w:type="dxa"/>
            <w:gridSpan w:val="2"/>
            <w:tcBorders>
              <w:top w:val="single" w:color="000000" w:sz="8" w:space="0"/>
              <w:left w:val="single" w:color="000000" w:sz="8" w:space="0"/>
              <w:bottom w:val="single" w:color="000000" w:sz="8" w:space="0"/>
              <w:right w:val="single" w:color="000000" w:sz="4"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新冠疫苗接种人员满意度</w:t>
            </w:r>
          </w:p>
        </w:tc>
        <w:tc>
          <w:tcPr>
            <w:tcW w:w="20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≥90%</w:t>
            </w:r>
          </w:p>
        </w:tc>
        <w:tc>
          <w:tcPr>
            <w:tcW w:w="1725" w:type="dxa"/>
            <w:tcBorders>
              <w:top w:val="nil"/>
              <w:left w:val="single" w:color="000000" w:sz="8" w:space="0"/>
              <w:bottom w:val="single" w:color="000000" w:sz="8"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98%</w:t>
            </w:r>
          </w:p>
        </w:tc>
        <w:tc>
          <w:tcPr>
            <w:tcW w:w="1650" w:type="dxa"/>
            <w:tcBorders>
              <w:top w:val="nil"/>
              <w:left w:val="single" w:color="000000" w:sz="8" w:space="0"/>
              <w:bottom w:val="single" w:color="000000" w:sz="8" w:space="0"/>
              <w:right w:val="single" w:color="000000" w:sz="8" w:space="0"/>
              <w:tl2br w:val="nil"/>
              <w:tr2bl w:val="nil"/>
            </w:tcBorders>
            <w:noWrap w:val="0"/>
            <w:vAlign w:val="center"/>
          </w:tcPr>
          <w:p>
            <w:pPr>
              <w:jc w:val="center"/>
              <w:rPr>
                <w:rFonts w:hint="default" w:ascii="Arial" w:hAnsi="Arial" w:cs="Arial"/>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73" w:hRule="atLeast"/>
        </w:trPr>
        <w:tc>
          <w:tcPr>
            <w:tcW w:w="1079" w:type="dxa"/>
            <w:vMerge w:val="continue"/>
            <w:tcBorders>
              <w:top w:val="single" w:color="000000" w:sz="8" w:space="0"/>
              <w:left w:val="single" w:color="000000" w:sz="8" w:space="0"/>
              <w:bottom w:val="single" w:color="auto" w:sz="4" w:space="0"/>
              <w:right w:val="single" w:color="000000" w:sz="8" w:space="0"/>
              <w:tl2br w:val="nil"/>
              <w:tr2bl w:val="nil"/>
            </w:tcBorders>
            <w:noWrap w:val="0"/>
            <w:vAlign w:val="center"/>
          </w:tcPr>
          <w:p>
            <w:pPr>
              <w:jc w:val="center"/>
              <w:rPr>
                <w:rFonts w:hint="eastAsia" w:ascii="宋体" w:hAnsi="宋体" w:cs="宋体"/>
                <w:color w:val="000000"/>
                <w:sz w:val="17"/>
                <w:szCs w:val="17"/>
              </w:rPr>
            </w:pPr>
          </w:p>
        </w:tc>
        <w:tc>
          <w:tcPr>
            <w:tcW w:w="1079" w:type="dxa"/>
            <w:tcBorders>
              <w:top w:val="single" w:color="000000" w:sz="8" w:space="0"/>
              <w:left w:val="nil"/>
              <w:bottom w:val="single" w:color="auto" w:sz="4"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成本指标</w:t>
            </w:r>
          </w:p>
        </w:tc>
        <w:tc>
          <w:tcPr>
            <w:tcW w:w="1292" w:type="dxa"/>
            <w:tcBorders>
              <w:top w:val="single" w:color="000000" w:sz="8" w:space="0"/>
              <w:left w:val="nil"/>
              <w:bottom w:val="single" w:color="auto" w:sz="4"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经济成本指标</w:t>
            </w:r>
          </w:p>
        </w:tc>
        <w:tc>
          <w:tcPr>
            <w:tcW w:w="4140" w:type="dxa"/>
            <w:gridSpan w:val="2"/>
            <w:tcBorders>
              <w:top w:val="single" w:color="000000" w:sz="8" w:space="0"/>
              <w:left w:val="single" w:color="000000" w:sz="8" w:space="0"/>
              <w:bottom w:val="single" w:color="auto" w:sz="4" w:space="0"/>
              <w:right w:val="single" w:color="000000" w:sz="4"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新冠疫苗接种专项资金区级财政补助资金控制数</w:t>
            </w:r>
          </w:p>
        </w:tc>
        <w:tc>
          <w:tcPr>
            <w:tcW w:w="2025" w:type="dxa"/>
            <w:tcBorders>
              <w:top w:val="nil"/>
              <w:left w:val="single" w:color="000000" w:sz="8" w:space="0"/>
              <w:bottom w:val="single" w:color="auto" w:sz="4"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18.25万元</w:t>
            </w:r>
          </w:p>
        </w:tc>
        <w:tc>
          <w:tcPr>
            <w:tcW w:w="1725" w:type="dxa"/>
            <w:tcBorders>
              <w:top w:val="nil"/>
              <w:left w:val="single" w:color="000000" w:sz="8" w:space="0"/>
              <w:bottom w:val="single" w:color="auto" w:sz="4" w:space="0"/>
              <w:right w:val="single" w:color="000000" w:sz="8" w:space="0"/>
              <w:tl2br w:val="nil"/>
              <w:tr2bl w:val="nil"/>
            </w:tcBorders>
            <w:noWrap w:val="0"/>
            <w:vAlign w:val="center"/>
          </w:tcPr>
          <w:p>
            <w:pPr>
              <w:widowControl/>
              <w:jc w:val="center"/>
              <w:textAlignment w:val="center"/>
              <w:rPr>
                <w:rFonts w:hint="eastAsia" w:ascii="宋体" w:hAnsi="宋体" w:cs="宋体"/>
                <w:color w:val="000000"/>
                <w:sz w:val="12"/>
                <w:szCs w:val="12"/>
              </w:rPr>
            </w:pPr>
            <w:r>
              <w:rPr>
                <w:rFonts w:hint="eastAsia" w:ascii="宋体" w:hAnsi="宋体" w:cs="宋体"/>
                <w:color w:val="000000"/>
                <w:sz w:val="12"/>
                <w:szCs w:val="12"/>
                <w:lang w:bidi="ar"/>
              </w:rPr>
              <w:t>18.25万元</w:t>
            </w:r>
          </w:p>
        </w:tc>
        <w:tc>
          <w:tcPr>
            <w:tcW w:w="1650" w:type="dxa"/>
            <w:tcBorders>
              <w:top w:val="nil"/>
              <w:left w:val="single" w:color="000000" w:sz="8" w:space="0"/>
              <w:bottom w:val="single" w:color="auto" w:sz="4" w:space="0"/>
              <w:right w:val="single" w:color="000000" w:sz="8" w:space="0"/>
              <w:tl2br w:val="nil"/>
              <w:tr2bl w:val="nil"/>
            </w:tcBorders>
            <w:noWrap w:val="0"/>
            <w:vAlign w:val="center"/>
          </w:tcPr>
          <w:p>
            <w:pPr>
              <w:rPr>
                <w:rFonts w:hint="eastAsia" w:ascii="宋体" w:hAnsi="宋体" w:cs="宋体"/>
                <w:color w:val="000000"/>
                <w:sz w:val="17"/>
                <w:szCs w:val="17"/>
              </w:rPr>
            </w:pPr>
          </w:p>
        </w:tc>
      </w:tr>
    </w:tbl>
    <w:p>
      <w:pPr>
        <w:rPr>
          <w:rFonts w:hint="eastAsia"/>
          <w:sz w:val="24"/>
          <w:szCs w:val="24"/>
        </w:rPr>
      </w:pPr>
    </w:p>
    <w:p>
      <w:pPr>
        <w:pStyle w:val="5"/>
        <w:spacing w:before="72"/>
        <w:rPr>
          <w:rFonts w:hint="eastAsia" w:hAnsi="仿宋_GB2312"/>
          <w:kern w:val="2"/>
          <w:sz w:val="32"/>
          <w:szCs w:val="24"/>
          <w:highlight w:val="yellow"/>
        </w:rPr>
        <w:sectPr>
          <w:pgSz w:w="15840" w:h="12240" w:orient="landscape"/>
          <w:pgMar w:top="1800" w:right="1440" w:bottom="1800" w:left="1440" w:header="720" w:footer="720" w:gutter="0"/>
          <w:lnNumType w:countBy="0" w:distance="360"/>
          <w:cols w:space="720" w:num="1"/>
        </w:sectPr>
      </w:pPr>
    </w:p>
    <w:p>
      <w:pPr>
        <w:overflowPunct w:val="0"/>
        <w:topLinePunct/>
        <w:spacing w:line="576" w:lineRule="exact"/>
        <w:jc w:val="center"/>
        <w:rPr>
          <w:rFonts w:hint="eastAsia" w:ascii="仿宋_GB2312" w:hAnsi="仿宋_GB2312" w:eastAsia="仿宋_GB2312"/>
          <w:kern w:val="2"/>
          <w:sz w:val="32"/>
          <w:szCs w:val="24"/>
          <w:highlight w:val="yellow"/>
        </w:rPr>
      </w:pPr>
    </w:p>
    <w:p>
      <w:pPr>
        <w:overflowPunct w:val="0"/>
        <w:topLinePunct/>
        <w:spacing w:line="576" w:lineRule="exact"/>
        <w:jc w:val="center"/>
        <w:outlineLvl w:val="0"/>
        <w:rPr>
          <w:rFonts w:hint="eastAsia" w:ascii="黑体" w:hAnsi="黑体" w:eastAsia="黑体"/>
          <w:kern w:val="44"/>
          <w:sz w:val="44"/>
          <w:szCs w:val="24"/>
        </w:rPr>
      </w:pPr>
      <w:bookmarkStart w:id="22" w:name="_Toc11448"/>
      <w:bookmarkStart w:id="23" w:name="_Toc12718"/>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bookmarkEnd w:id="22"/>
      <w:bookmarkEnd w:id="23"/>
    </w:p>
    <w:p>
      <w:pPr>
        <w:pStyle w:val="5"/>
        <w:spacing w:before="72"/>
        <w:rPr>
          <w:rFonts w:hint="eastAsia"/>
          <w:sz w:val="30"/>
          <w:szCs w:val="24"/>
        </w:rPr>
      </w:pPr>
    </w:p>
    <w:p>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24" w:name="_Toc18533"/>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bookmarkEnd w:id="24"/>
    </w:p>
    <w:p>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25" w:name="_Toc4522"/>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bookmarkEnd w:id="25"/>
    </w:p>
    <w:p>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26" w:name="_Toc26443"/>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bookmarkEnd w:id="26"/>
    </w:p>
    <w:p>
      <w:pPr>
        <w:pStyle w:val="3"/>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27" w:name="_Toc1290"/>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bookmarkEnd w:id="27"/>
    </w:p>
    <w:p>
      <w:pPr>
        <w:pStyle w:val="3"/>
        <w:overflowPunct w:val="0"/>
        <w:topLinePunct/>
        <w:spacing w:line="576" w:lineRule="exact"/>
        <w:ind w:firstLine="640" w:firstLineChars="200"/>
        <w:jc w:val="both"/>
        <w:rPr>
          <w:rFonts w:hint="eastAsia" w:ascii="仿宋_GB2312" w:hAnsi="仿宋_GB2312" w:eastAsia="仿宋_GB2312"/>
          <w:kern w:val="2"/>
          <w:sz w:val="32"/>
          <w:szCs w:val="24"/>
        </w:rPr>
      </w:pPr>
      <w:bookmarkStart w:id="28" w:name="_Toc30491"/>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bookmarkEnd w:id="28"/>
    </w:p>
    <w:p>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29" w:name="_Toc2408"/>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bookmarkEnd w:id="29"/>
    </w:p>
    <w:p>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30" w:name="_Toc31154"/>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bookmarkEnd w:id="30"/>
    </w:p>
    <w:p>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31" w:name="_Toc20791"/>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bookmarkEnd w:id="31"/>
    </w:p>
    <w:p>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32" w:name="_Toc14253"/>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bookmarkEnd w:id="32"/>
    </w:p>
    <w:p>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bookmarkStart w:id="33" w:name="_Toc19117"/>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bookmarkEnd w:id="33"/>
    </w:p>
    <w:p>
      <w:pPr>
        <w:pStyle w:val="3"/>
        <w:overflowPunct w:val="0"/>
        <w:topLinePunct/>
        <w:spacing w:line="576" w:lineRule="exact"/>
        <w:ind w:firstLine="640" w:firstLineChars="200"/>
        <w:jc w:val="both"/>
        <w:rPr>
          <w:rFonts w:hint="eastAsia" w:ascii="仿宋_GB2312" w:hAnsi="仿宋_GB2312" w:eastAsia="仿宋_GB2312"/>
          <w:kern w:val="2"/>
          <w:sz w:val="32"/>
          <w:szCs w:val="24"/>
        </w:rPr>
      </w:pPr>
      <w:bookmarkStart w:id="34" w:name="_Toc22070"/>
      <w:r>
        <w:rPr>
          <w:rFonts w:hint="eastAsia" w:ascii="仿宋_GB2312" w:hAnsi="仿宋_GB2312" w:eastAsia="仿宋_GB2312"/>
          <w:kern w:val="2"/>
          <w:sz w:val="32"/>
          <w:szCs w:val="24"/>
        </w:rPr>
        <w:t>十一、国有资本经营预算财政拨款收入支出决算表</w:t>
      </w:r>
      <w:bookmarkEnd w:id="34"/>
    </w:p>
    <w:p>
      <w:pPr>
        <w:pStyle w:val="3"/>
        <w:overflowPunct w:val="0"/>
        <w:topLinePunct/>
        <w:spacing w:line="576" w:lineRule="exact"/>
        <w:ind w:firstLine="640" w:firstLineChars="200"/>
        <w:jc w:val="both"/>
        <w:rPr>
          <w:rFonts w:hint="eastAsia" w:ascii="仿宋_GB2312" w:hAnsi="仿宋_GB2312" w:eastAsia="仿宋_GB2312"/>
          <w:kern w:val="2"/>
          <w:sz w:val="32"/>
          <w:szCs w:val="24"/>
        </w:rPr>
      </w:pPr>
      <w:bookmarkStart w:id="35" w:name="_Toc24303"/>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bookmarkEnd w:id="35"/>
    </w:p>
    <w:p>
      <w:pPr>
        <w:pStyle w:val="3"/>
        <w:overflowPunct w:val="0"/>
        <w:topLinePunct/>
        <w:spacing w:line="576" w:lineRule="exact"/>
        <w:ind w:firstLine="640" w:firstLineChars="200"/>
        <w:jc w:val="both"/>
        <w:rPr>
          <w:rFonts w:hint="eastAsia" w:ascii="仿宋_GB2312" w:hAnsi="仿宋_GB2312" w:eastAsia="仿宋_GB2312"/>
          <w:kern w:val="2"/>
          <w:sz w:val="32"/>
          <w:szCs w:val="24"/>
        </w:rPr>
      </w:pPr>
      <w:bookmarkStart w:id="36" w:name="_Toc6137"/>
      <w:r>
        <w:rPr>
          <w:rFonts w:hint="eastAsia" w:ascii="仿宋_GB2312" w:hAnsi="仿宋_GB2312" w:eastAsia="仿宋_GB2312"/>
          <w:kern w:val="2"/>
          <w:sz w:val="32"/>
          <w:szCs w:val="24"/>
        </w:rPr>
        <w:t>十三、财政拨款“三公”经费支出决算表</w:t>
      </w:r>
      <w:bookmarkEnd w:id="36"/>
    </w:p>
    <w:p>
      <w:pPr>
        <w:overflowPunct w:val="0"/>
        <w:topLinePunct/>
        <w:spacing w:line="576" w:lineRule="exact"/>
        <w:ind w:firstLine="600" w:firstLineChars="200"/>
        <w:jc w:val="both"/>
        <w:rPr>
          <w:rFonts w:hint="eastAsia" w:ascii="方正小标宋简体" w:hAnsi="方正小标宋简体" w:eastAsia="方正小标宋简体"/>
          <w:color w:val="000000"/>
          <w:kern w:val="2"/>
          <w:sz w:val="30"/>
          <w:szCs w:val="24"/>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1" w:csb1="00000000"/>
  </w:font>
  <w:font w:name="仿宋">
    <w:altName w:val="方正仿宋_GBK"/>
    <w:panose1 w:val="02010609060101010101"/>
    <w:charset w:val="00"/>
    <w:family w:val="modern"/>
    <w:pitch w:val="default"/>
    <w:sig w:usb0="00000000" w:usb1="00000000" w:usb2="00000000" w:usb3="00000000" w:csb0="00040001" w:csb1="00000000"/>
  </w:font>
  <w:font w:name="Cambria">
    <w:altName w:val="文泉驿微米黑"/>
    <w:panose1 w:val="02040503050406030204"/>
    <w:charset w:val="00"/>
    <w:family w:val="roman"/>
    <w:pitch w:val="default"/>
    <w:sig w:usb0="00000000" w:usb1="00000000" w:usb2="00000000" w:usb3="00000000" w:csb0="00040001" w:csb1="00000000"/>
  </w:font>
  <w:font w:name="Arial">
    <w:altName w:val="DejaVu Sans"/>
    <w:panose1 w:val="020B0604020202020204"/>
    <w:charset w:val="00"/>
    <w:family w:val="auto"/>
    <w:pitch w:val="default"/>
    <w:sig w:usb0="00000000" w:usb1="00000000" w:usb2="00000000" w:usb3="00000000" w:csb0="00040001" w:csb1="00000000"/>
  </w:font>
  <w:font w:name="黑体">
    <w:altName w:val="方正黑体_GBK"/>
    <w:panose1 w:val="02010609060101010101"/>
    <w:charset w:val="00"/>
    <w:family w:val="auto"/>
    <w:pitch w:val="default"/>
    <w:sig w:usb0="00000000" w:usb1="00000000" w:usb2="00000000" w:usb3="00000000" w:csb0="00040001" w:csb1="00000000"/>
  </w:font>
  <w:font w:name="方正小标宋简体">
    <w:altName w:val="方正小标宋_GBK"/>
    <w:panose1 w:val="02010601030101010101"/>
    <w:charset w:val="00"/>
    <w:family w:val="auto"/>
    <w:pitch w:val="default"/>
    <w:sig w:usb0="00000000" w:usb1="00000000" w:usb2="00000000" w:usb3="00000000" w:csb0="00040001" w:csb1="00000000"/>
  </w:font>
  <w:font w:name="楷体_GB2312">
    <w:altName w:val="方正楷体_GBK"/>
    <w:panose1 w:val="02010609030101010101"/>
    <w:charset w:val="00"/>
    <w:family w:val="modern"/>
    <w:pitch w:val="default"/>
    <w:sig w:usb0="00000000" w:usb1="00000000" w:usb2="00000000" w:usb3="00000000" w:csb0="00040001" w:csb1="00000000"/>
  </w:font>
  <w:font w:name="楷体">
    <w:altName w:val="方正楷体_GBK"/>
    <w:panose1 w:val="02010609060101010101"/>
    <w:charset w:val="00"/>
    <w:family w:val="auto"/>
    <w:pitch w:val="default"/>
    <w:sig w:usb0="00000000" w:usb1="00000000" w:usb2="00000000" w:usb3="00000000" w:csb0="00040001" w:csb1="00000000"/>
  </w:font>
  <w:font w:name="华文中宋">
    <w:altName w:val="方正书宋_GBK"/>
    <w:panose1 w:val="02010600040101010101"/>
    <w:charset w:val="00"/>
    <w:family w:val="auto"/>
    <w:pitch w:val="default"/>
    <w:sig w:usb0="00000000" w:usb1="00000000" w:usb2="00000000" w:usb3="00000000" w:csb0="00040001"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30480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2.4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2JD7fNEAAAAGAQAADwAAAAAAAAABACAAAAA4AAAAZHJzL2Rvd25yZXYueG1sUEsBAhQAFAAAAAgA&#10;h07iQJXZQR/dAQAAvgMAAA4AAAAAAAAAAQAgAAAANgEAAGRycy9lMm9Eb2MueG1sUEsFBgAAAAAG&#10;AAYAWQEAAIUFAAAAAA==&#10;">
              <v:fill on="f" focussize="0,0"/>
              <v:stroke on="f"/>
              <v:imagedata o:title=""/>
              <o:lock v:ext="edit" aspectratio="f"/>
              <v:textbox inset="0mm,0mm,0mm,0mm" style="mso-fit-shape-to-text:t;">
                <w:txbxContent>
                  <w:p>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N2Y3ZmQzOTMzODk4ZTFmNzYzYWFjY2QwZTJmODAifQ=="/>
  </w:docVars>
  <w:rsids>
    <w:rsidRoot w:val="00172A27"/>
    <w:rsid w:val="256E0AE5"/>
    <w:rsid w:val="3EBB9DF5"/>
    <w:rsid w:val="4DC52126"/>
    <w:rsid w:val="5FE991C5"/>
    <w:rsid w:val="6A9FED1B"/>
    <w:rsid w:val="77FBF9CF"/>
    <w:rsid w:val="BFEF07DD"/>
    <w:rsid w:val="FA5F36CE"/>
    <w:rsid w:val="FBF1F72C"/>
    <w:rsid w:val="FFD882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qFormat/>
    <w:uiPriority w:val="99"/>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2">
    <w:name w:val="heading 1"/>
    <w:basedOn w:val="1"/>
    <w:link w:val="19"/>
    <w:unhideWhenUsed/>
    <w:qFormat/>
    <w:uiPriority w:val="99"/>
    <w:pPr>
      <w:outlineLvl w:val="0"/>
    </w:pPr>
    <w:rPr>
      <w:rFonts w:hint="eastAsia"/>
      <w:sz w:val="24"/>
      <w:szCs w:val="24"/>
    </w:rPr>
  </w:style>
  <w:style w:type="paragraph" w:styleId="3">
    <w:name w:val="heading 2"/>
    <w:basedOn w:val="1"/>
    <w:link w:val="20"/>
    <w:unhideWhenUsed/>
    <w:qFormat/>
    <w:uiPriority w:val="99"/>
    <w:pPr>
      <w:outlineLvl w:val="1"/>
    </w:pPr>
    <w:rPr>
      <w:rFonts w:hint="eastAsia"/>
      <w:sz w:val="24"/>
      <w:szCs w:val="24"/>
    </w:rPr>
  </w:style>
  <w:style w:type="character" w:default="1" w:styleId="12">
    <w:name w:val="Default Paragraph Font"/>
    <w:unhideWhenUsed/>
    <w:uiPriority w:val="99"/>
    <w:rPr>
      <w:rFonts w:hint="default"/>
      <w:sz w:val="24"/>
      <w:szCs w:val="24"/>
    </w:rPr>
  </w:style>
  <w:style w:type="table" w:default="1" w:styleId="11">
    <w:name w:val="Normal Table"/>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hint="eastAsia"/>
      <w:sz w:val="24"/>
      <w:szCs w:val="24"/>
    </w:rPr>
  </w:style>
  <w:style w:type="paragraph" w:styleId="5">
    <w:name w:val="Body Text"/>
    <w:basedOn w:val="1"/>
    <w:link w:val="16"/>
    <w:unhideWhenUsed/>
    <w:qFormat/>
    <w:uiPriority w:val="99"/>
    <w:pPr>
      <w:spacing w:beforeLines="30"/>
    </w:pPr>
    <w:rPr>
      <w:rFonts w:hint="eastAsia" w:ascii="仿宋_GB2312" w:eastAsia="仿宋_GB2312"/>
      <w:sz w:val="30"/>
      <w:szCs w:val="24"/>
    </w:rPr>
  </w:style>
  <w:style w:type="paragraph" w:styleId="6">
    <w:name w:val="Body Text Indent"/>
    <w:basedOn w:val="1"/>
    <w:next w:val="7"/>
    <w:unhideWhenUsed/>
    <w:qFormat/>
    <w:uiPriority w:val="0"/>
    <w:pPr>
      <w:spacing w:after="120"/>
      <w:ind w:leftChars="200"/>
    </w:pPr>
    <w:rPr>
      <w:rFonts w:hint="eastAsia" w:ascii="仿宋_GB2312"/>
      <w:sz w:val="24"/>
      <w:szCs w:val="32"/>
    </w:rPr>
  </w:style>
  <w:style w:type="paragraph" w:styleId="7">
    <w:name w:val="Body Text First Indent 2"/>
    <w:basedOn w:val="6"/>
    <w:next w:val="1"/>
    <w:unhideWhenUsed/>
    <w:qFormat/>
    <w:uiPriority w:val="99"/>
    <w:pPr>
      <w:ind w:firstLine="420" w:firstLineChars="200"/>
    </w:pPr>
    <w:rPr>
      <w:rFonts w:hint="eastAsia"/>
      <w:sz w:val="24"/>
      <w:szCs w:val="32"/>
    </w:rPr>
  </w:style>
  <w:style w:type="paragraph" w:styleId="8">
    <w:name w:val="footer"/>
    <w:basedOn w:val="1"/>
    <w:link w:val="17"/>
    <w:unhideWhenUsed/>
    <w:qFormat/>
    <w:uiPriority w:val="99"/>
    <w:pPr>
      <w:tabs>
        <w:tab w:val="center" w:pos="4153"/>
        <w:tab w:val="right" w:pos="8306"/>
      </w:tabs>
      <w:snapToGrid w:val="0"/>
    </w:pPr>
    <w:rPr>
      <w:rFonts w:hint="eastAsia"/>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rFonts w:hint="eastAsia"/>
      <w:sz w:val="18"/>
      <w:szCs w:val="18"/>
    </w:rPr>
  </w:style>
  <w:style w:type="paragraph" w:styleId="10">
    <w:name w:val="footnote text"/>
    <w:basedOn w:val="1"/>
    <w:next w:val="7"/>
    <w:unhideWhenUsed/>
    <w:qFormat/>
    <w:uiPriority w:val="0"/>
    <w:pPr>
      <w:snapToGrid w:val="0"/>
    </w:pPr>
    <w:rPr>
      <w:rFonts w:hint="eastAsia"/>
      <w:sz w:val="18"/>
      <w:szCs w:val="18"/>
    </w:rPr>
  </w:style>
  <w:style w:type="paragraph" w:customStyle="1" w:styleId="13">
    <w:name w:val="WPSOffice手动目录 1"/>
    <w:unhideWhenUsed/>
    <w:qFormat/>
    <w:uiPriority w:val="0"/>
    <w:rPr>
      <w:rFonts w:hint="default"/>
      <w:sz w:val="20"/>
      <w:szCs w:val="24"/>
    </w:rPr>
  </w:style>
  <w:style w:type="paragraph" w:customStyle="1" w:styleId="14">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paragraph" w:customStyle="1" w:styleId="15">
    <w:name w:val="WPSOffice手动目录 2"/>
    <w:unhideWhenUsed/>
    <w:uiPriority w:val="0"/>
    <w:pPr>
      <w:ind w:leftChars="200"/>
    </w:pPr>
    <w:rPr>
      <w:rFonts w:hint="default"/>
      <w:sz w:val="20"/>
      <w:szCs w:val="24"/>
    </w:rPr>
  </w:style>
  <w:style w:type="character" w:customStyle="1" w:styleId="16">
    <w:name w:val="正文文本 Char"/>
    <w:basedOn w:val="12"/>
    <w:link w:val="5"/>
    <w:unhideWhenUsed/>
    <w:locked/>
    <w:uiPriority w:val="99"/>
    <w:rPr>
      <w:rFonts w:hint="default" w:cs="Times New Roman"/>
      <w:sz w:val="24"/>
      <w:szCs w:val="24"/>
    </w:rPr>
  </w:style>
  <w:style w:type="character" w:customStyle="1" w:styleId="17">
    <w:name w:val="页脚 Char"/>
    <w:basedOn w:val="12"/>
    <w:link w:val="8"/>
    <w:unhideWhenUsed/>
    <w:locked/>
    <w:uiPriority w:val="99"/>
    <w:rPr>
      <w:rFonts w:hint="default" w:cs="Times New Roman"/>
      <w:sz w:val="18"/>
      <w:szCs w:val="18"/>
    </w:rPr>
  </w:style>
  <w:style w:type="character" w:customStyle="1" w:styleId="18">
    <w:name w:val="font31"/>
    <w:basedOn w:val="12"/>
    <w:unhideWhenUsed/>
    <w:uiPriority w:val="0"/>
    <w:rPr>
      <w:rFonts w:hint="eastAsia" w:ascii="宋体" w:hAnsi="宋体" w:eastAsia="宋体" w:cs="宋体"/>
      <w:color w:val="000000"/>
      <w:sz w:val="16"/>
      <w:szCs w:val="16"/>
    </w:rPr>
  </w:style>
  <w:style w:type="character" w:customStyle="1" w:styleId="19">
    <w:name w:val="标题 1 Char"/>
    <w:basedOn w:val="12"/>
    <w:link w:val="2"/>
    <w:unhideWhenUsed/>
    <w:locked/>
    <w:uiPriority w:val="9"/>
    <w:rPr>
      <w:rFonts w:hint="default" w:cs="Times New Roman"/>
      <w:b/>
      <w:kern w:val="44"/>
      <w:sz w:val="44"/>
      <w:szCs w:val="44"/>
    </w:rPr>
  </w:style>
  <w:style w:type="character" w:customStyle="1" w:styleId="20">
    <w:name w:val="标题 2 Char"/>
    <w:basedOn w:val="12"/>
    <w:link w:val="3"/>
    <w:unhideWhenUsed/>
    <w:locked/>
    <w:uiPriority w:val="9"/>
    <w:rPr>
      <w:rFonts w:hint="eastAsia" w:ascii="Cambria" w:hAnsi="Cambria" w:eastAsia="宋体" w:cs="Times New Roman"/>
      <w:b/>
      <w:sz w:val="32"/>
      <w:szCs w:val="32"/>
    </w:rPr>
  </w:style>
  <w:style w:type="character" w:customStyle="1" w:styleId="21">
    <w:name w:val="页眉 Char"/>
    <w:basedOn w:val="12"/>
    <w:link w:val="9"/>
    <w:unhideWhenUsed/>
    <w:locked/>
    <w:uiPriority w:val="99"/>
    <w:rPr>
      <w:rFonts w:hint="default" w:cs="Times New Roman"/>
      <w:sz w:val="18"/>
      <w:szCs w:val="18"/>
    </w:rPr>
  </w:style>
  <w:style w:type="character" w:customStyle="1" w:styleId="22">
    <w:name w:val="font11"/>
    <w:basedOn w:val="12"/>
    <w:unhideWhenUsed/>
    <w:uiPriority w:val="0"/>
    <w:rPr>
      <w:rFonts w:hint="eastAsia" w:ascii="宋体" w:hAnsi="宋体" w:eastAsia="宋体" w:cs="宋体"/>
      <w:color w:val="000000"/>
      <w:sz w:val="17"/>
      <w:szCs w:val="17"/>
    </w:rPr>
  </w:style>
  <w:style w:type="character" w:customStyle="1" w:styleId="23">
    <w:name w:val="font21"/>
    <w:basedOn w:val="12"/>
    <w:unhideWhenUsed/>
    <w:uiPriority w:val="0"/>
    <w:rPr>
      <w:rFonts w:hint="default" w:ascii="Arial" w:hAnsi="Arial" w:eastAsia="宋体" w:cs="Arial"/>
      <w:color w:val="000000"/>
      <w:sz w:val="21"/>
      <w:szCs w:val="21"/>
    </w:rPr>
  </w:style>
  <w:style w:type="character" w:customStyle="1" w:styleId="24">
    <w:name w:val="font41"/>
    <w:basedOn w:val="12"/>
    <w:unhideWhenUsed/>
    <w:uiPriority w:val="0"/>
    <w:rPr>
      <w:rFonts w:hint="eastAsia" w:ascii="宋体" w:hAnsi="宋体" w:eastAsia="宋体" w:cs="宋体"/>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png"/><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png"/><Relationship Id="rId13" Type="http://schemas.openxmlformats.org/officeDocument/2006/relationships/oleObject" Target="embeddings/oleObject5.bin"/><Relationship Id="rId12" Type="http://schemas.openxmlformats.org/officeDocument/2006/relationships/image" Target="media/image4.png"/><Relationship Id="rId11" Type="http://schemas.openxmlformats.org/officeDocument/2006/relationships/oleObject" Target="embeddings/oleObject4.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2024-09-26T17:39:28Z</dcterms:created>
  <dc:creator>thtf</dc:creator>
  <cp:lastModifiedBy>thtf</cp:lastModifiedBy>
  <dcterms:modified xsi:type="dcterms:W3CDTF">2024-09-26T17:41:59Z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