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AFCE8">
      <w:pPr>
        <w:adjustRightInd w:val="0"/>
        <w:snapToGrid w:val="0"/>
        <w:spacing w:line="360" w:lineRule="auto"/>
        <w:jc w:val="center"/>
        <w:outlineLvl w:val="0"/>
        <w:rPr>
          <w:rFonts w:hint="eastAsia" w:ascii="黑体" w:hAnsi="黑体" w:eastAsia="黑体"/>
          <w:color w:val="000000"/>
          <w:sz w:val="72"/>
          <w:szCs w:val="72"/>
          <w:lang w:val="en-US" w:eastAsia="zh-CN"/>
        </w:rPr>
      </w:pPr>
      <w:bookmarkStart w:id="0" w:name="_Toc15396597"/>
      <w:bookmarkStart w:id="1" w:name="_Toc15378441"/>
      <w:bookmarkStart w:id="2" w:name="_Toc15396475"/>
      <w:bookmarkStart w:id="3" w:name="_Toc15377425"/>
      <w:bookmarkStart w:id="4" w:name="_Toc15377193"/>
      <w:bookmarkStart w:id="5" w:name="_Toc15377197"/>
      <w:bookmarkStart w:id="6" w:name="_Toc15396600"/>
    </w:p>
    <w:p w14:paraId="4F887923">
      <w:pPr>
        <w:adjustRightInd w:val="0"/>
        <w:snapToGrid w:val="0"/>
        <w:spacing w:line="360" w:lineRule="auto"/>
        <w:jc w:val="center"/>
        <w:outlineLvl w:val="0"/>
        <w:rPr>
          <w:rFonts w:hint="eastAsia" w:ascii="黑体" w:hAnsi="黑体" w:eastAsia="黑体"/>
          <w:color w:val="000000"/>
          <w:sz w:val="72"/>
          <w:szCs w:val="72"/>
          <w:lang w:val="en-US" w:eastAsia="zh-CN"/>
        </w:rPr>
      </w:pPr>
    </w:p>
    <w:p w14:paraId="0B32A843">
      <w:pPr>
        <w:pStyle w:val="2"/>
        <w:rPr>
          <w:rFonts w:hint="eastAsia" w:ascii="黑体" w:hAnsi="黑体" w:eastAsia="黑体"/>
          <w:color w:val="000000"/>
          <w:sz w:val="72"/>
          <w:szCs w:val="72"/>
          <w:lang w:val="en-US" w:eastAsia="zh-CN"/>
        </w:rPr>
      </w:pPr>
    </w:p>
    <w:p w14:paraId="0FCFA3B7">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val="en-US" w:eastAsia="zh-CN"/>
        </w:rPr>
        <w:t>2021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Start w:id="7" w:name="_Toc15377426"/>
      <w:bookmarkStart w:id="8" w:name="_Toc15377194"/>
      <w:bookmarkStart w:id="9" w:name="_Toc15378442"/>
      <w:bookmarkStart w:id="10" w:name="_Toc15396476"/>
      <w:bookmarkStart w:id="11" w:name="_Toc15396598"/>
    </w:p>
    <w:p w14:paraId="352E093D">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四川省</w:t>
      </w:r>
      <w:bookmarkStart w:id="12" w:name="_Toc15306268"/>
      <w:r>
        <w:rPr>
          <w:rFonts w:hint="eastAsia" w:ascii="方正小标宋简体" w:hAnsi="方正小标宋简体" w:eastAsia="方正小标宋简体" w:cs="方正小标宋简体"/>
          <w:color w:val="auto"/>
          <w:sz w:val="72"/>
          <w:szCs w:val="72"/>
          <w:highlight w:val="none"/>
        </w:rPr>
        <w:t>广元市</w:t>
      </w:r>
    </w:p>
    <w:p w14:paraId="5750EBE4">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rPr>
        <w:t>昭化区医疗</w:t>
      </w:r>
      <w:r>
        <w:rPr>
          <w:rFonts w:hint="eastAsia" w:ascii="方正小标宋简体" w:hAnsi="方正小标宋简体" w:eastAsia="方正小标宋简体" w:cs="方正小标宋简体"/>
          <w:color w:val="auto"/>
          <w:sz w:val="72"/>
          <w:szCs w:val="72"/>
          <w:highlight w:val="none"/>
          <w:lang w:eastAsia="zh-CN"/>
        </w:rPr>
        <w:t>保障局</w:t>
      </w:r>
    </w:p>
    <w:bookmarkEnd w:id="7"/>
    <w:bookmarkEnd w:id="8"/>
    <w:bookmarkEnd w:id="9"/>
    <w:bookmarkEnd w:id="10"/>
    <w:bookmarkEnd w:id="11"/>
    <w:bookmarkEnd w:id="12"/>
    <w:p w14:paraId="41529F7F">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r>
        <w:rPr>
          <w:rFonts w:hint="eastAsia" w:ascii="方正小标宋简体" w:hAnsi="方正小标宋简体" w:eastAsia="方正小标宋简体" w:cs="方正小标宋简体"/>
          <w:color w:val="auto"/>
          <w:sz w:val="72"/>
          <w:szCs w:val="72"/>
          <w:highlight w:val="none"/>
          <w:lang w:val="en-US" w:eastAsia="zh-CN"/>
        </w:rPr>
        <w:t>单位决算</w:t>
      </w:r>
    </w:p>
    <w:p w14:paraId="6D645928">
      <w:pPr>
        <w:pStyle w:val="2"/>
        <w:rPr>
          <w:rFonts w:hint="eastAsia" w:ascii="方正小标宋简体" w:hAnsi="宋体" w:eastAsia="方正小标宋简体"/>
          <w:color w:val="000000"/>
          <w:sz w:val="72"/>
          <w:szCs w:val="72"/>
          <w:lang w:eastAsia="zh-CN"/>
        </w:rPr>
      </w:pPr>
    </w:p>
    <w:p w14:paraId="65FF3FFE">
      <w:pPr>
        <w:pStyle w:val="2"/>
        <w:rPr>
          <w:rFonts w:hint="eastAsia" w:ascii="方正小标宋简体" w:hAnsi="宋体" w:eastAsia="方正小标宋简体"/>
          <w:color w:val="000000"/>
          <w:sz w:val="72"/>
          <w:szCs w:val="72"/>
          <w:lang w:val="en-US" w:eastAsia="zh-CN"/>
        </w:rPr>
      </w:pPr>
    </w:p>
    <w:p w14:paraId="4E828A05">
      <w:pPr>
        <w:pStyle w:val="2"/>
        <w:rPr>
          <w:rFonts w:hint="eastAsia" w:ascii="方正小标宋简体" w:hAnsi="宋体" w:eastAsia="方正小标宋简体"/>
          <w:color w:val="000000"/>
          <w:sz w:val="44"/>
          <w:szCs w:val="44"/>
          <w:lang w:val="en-US" w:eastAsia="zh-CN"/>
        </w:rPr>
      </w:pPr>
    </w:p>
    <w:p w14:paraId="280A3FDD">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6F456860">
      <w:pPr>
        <w:widowControl/>
        <w:jc w:val="cente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03230A03"/>
    <w:p w14:paraId="2AF710B7">
      <w:pPr>
        <w:pStyle w:val="8"/>
      </w:pPr>
      <w:r>
        <w:fldChar w:fldCharType="begin"/>
      </w:r>
      <w:r>
        <w:instrText xml:space="preserve"> HYPERLINK \l "_Toc15396599" </w:instrText>
      </w:r>
      <w:r>
        <w:fldChar w:fldCharType="separate"/>
      </w:r>
      <w:r>
        <w:rPr>
          <w:rStyle w:val="14"/>
          <w:rFonts w:hint="eastAsia"/>
        </w:rPr>
        <w:t>第一部分</w:t>
      </w:r>
      <w:r>
        <w:rPr>
          <w:rStyle w:val="14"/>
        </w:rPr>
        <w:t xml:space="preserve"> </w:t>
      </w:r>
      <w:r>
        <w:rPr>
          <w:rStyle w:val="14"/>
          <w:rFonts w:hint="eastAsia"/>
        </w:rPr>
        <w:t>部门概况</w:t>
      </w:r>
      <w:r>
        <w:tab/>
      </w:r>
      <w:r>
        <w:t>4</w:t>
      </w:r>
      <w:r>
        <w:fldChar w:fldCharType="end"/>
      </w:r>
    </w:p>
    <w:p w14:paraId="798AF7FA">
      <w:pPr>
        <w:pStyle w:val="9"/>
        <w:rPr>
          <w:rFonts w:ascii="仿宋" w:hAnsi="仿宋" w:eastAsia="仿宋"/>
          <w:sz w:val="28"/>
          <w:szCs w:val="28"/>
        </w:rPr>
      </w:pPr>
      <w:r>
        <w:fldChar w:fldCharType="begin"/>
      </w:r>
      <w:r>
        <w:instrText xml:space="preserve"> HYPERLINK \l "_Toc15396600" </w:instrText>
      </w:r>
      <w:r>
        <w:fldChar w:fldCharType="separate"/>
      </w:r>
      <w:r>
        <w:rPr>
          <w:rStyle w:val="14"/>
          <w:rFonts w:hint="eastAsia" w:ascii="仿宋" w:hAnsi="仿宋" w:eastAsia="仿宋"/>
          <w:sz w:val="28"/>
          <w:szCs w:val="28"/>
        </w:rPr>
        <w:t>一、</w:t>
      </w:r>
      <w:r>
        <w:rPr>
          <w:rStyle w:val="14"/>
          <w:rFonts w:hint="eastAsia" w:ascii="仿宋" w:hAnsi="仿宋" w:eastAsia="仿宋"/>
          <w:sz w:val="28"/>
          <w:szCs w:val="28"/>
          <w:lang w:eastAsia="zh-CN"/>
        </w:rPr>
        <w:t>职能简介</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2D5F7786">
      <w:pPr>
        <w:pStyle w:val="9"/>
        <w:adjustRightInd w:val="0"/>
        <w:snapToGrid w:val="0"/>
        <w:spacing w:line="440" w:lineRule="exact"/>
        <w:jc w:val="left"/>
        <w:rPr>
          <w:rFonts w:hint="eastAsia" w:ascii="仿宋" w:hAnsi="仿宋" w:eastAsia="仿宋"/>
          <w:sz w:val="28"/>
          <w:szCs w:val="28"/>
          <w:lang w:val="en-US" w:eastAsia="zh-CN"/>
        </w:rPr>
      </w:pPr>
      <w:r>
        <w:fldChar w:fldCharType="begin"/>
      </w:r>
      <w:r>
        <w:instrText xml:space="preserve"> HYPERLINK \l "_Toc15396601" </w:instrText>
      </w:r>
      <w:r>
        <w:fldChar w:fldCharType="separate"/>
      </w:r>
      <w:r>
        <w:rPr>
          <w:rStyle w:val="14"/>
          <w:rFonts w:hint="eastAsia" w:ascii="仿宋" w:hAnsi="仿宋" w:eastAsia="仿宋"/>
          <w:sz w:val="28"/>
          <w:szCs w:val="28"/>
        </w:rPr>
        <w:t>二、</w:t>
      </w:r>
      <w:r>
        <w:rPr>
          <w:rStyle w:val="14"/>
          <w:rFonts w:hint="eastAsia" w:ascii="仿宋" w:hAnsi="仿宋" w:eastAsia="仿宋"/>
          <w:sz w:val="28"/>
          <w:szCs w:val="28"/>
          <w:lang w:val="en-US" w:eastAsia="zh-CN"/>
        </w:rPr>
        <w:t>2021年重点</w:t>
      </w:r>
      <w:r>
        <w:rPr>
          <w:rStyle w:val="14"/>
          <w:rFonts w:hint="eastAsia" w:ascii="仿宋" w:hAnsi="仿宋" w:eastAsia="仿宋"/>
          <w:sz w:val="28"/>
          <w:szCs w:val="28"/>
        </w:rPr>
        <w:t>工作</w:t>
      </w:r>
      <w:r>
        <w:rPr>
          <w:rStyle w:val="14"/>
          <w:rFonts w:hint="eastAsia" w:ascii="仿宋" w:hAnsi="仿宋" w:eastAsia="仿宋"/>
          <w:sz w:val="28"/>
          <w:szCs w:val="28"/>
          <w:lang w:eastAsia="zh-CN"/>
        </w:rPr>
        <w:t>完成情况</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14:paraId="19EC9B82">
      <w:pPr>
        <w:pStyle w:val="8"/>
        <w:rPr>
          <w:rFonts w:hint="eastAsia" w:eastAsia="仿宋"/>
          <w:lang w:val="en-US" w:eastAsia="zh-CN"/>
        </w:rPr>
      </w:pPr>
      <w:r>
        <w:fldChar w:fldCharType="begin"/>
      </w:r>
      <w:r>
        <w:instrText xml:space="preserve"> HYPERLINK \l "_Toc15396602" </w:instrText>
      </w:r>
      <w:r>
        <w:fldChar w:fldCharType="separate"/>
      </w:r>
      <w:r>
        <w:rPr>
          <w:rStyle w:val="14"/>
          <w:rFonts w:hint="eastAsia"/>
        </w:rPr>
        <w:t>第二部分</w:t>
      </w:r>
      <w:r>
        <w:rPr>
          <w:rStyle w:val="14"/>
          <w:rFonts w:hint="eastAsia"/>
          <w:lang w:val="en-US" w:eastAsia="zh-CN"/>
        </w:rPr>
        <w:t>2021年度单位决算情况说明</w:t>
      </w:r>
      <w:r>
        <w:tab/>
      </w:r>
      <w:r>
        <w:rPr>
          <w:rFonts w:hint="eastAsia"/>
          <w:lang w:val="en-US" w:eastAsia="zh-CN"/>
        </w:rPr>
        <w:t>1</w:t>
      </w:r>
      <w:r>
        <w:fldChar w:fldCharType="end"/>
      </w:r>
      <w:r>
        <w:rPr>
          <w:rFonts w:hint="eastAsia"/>
          <w:lang w:val="en-US" w:eastAsia="zh-CN"/>
        </w:rPr>
        <w:t>1</w:t>
      </w:r>
    </w:p>
    <w:p w14:paraId="28BF5D1B">
      <w:pPr>
        <w:pStyle w:val="9"/>
        <w:rPr>
          <w:rFonts w:hint="eastAsia" w:ascii="仿宋" w:hAnsi="仿宋" w:eastAsia="仿宋"/>
          <w:sz w:val="28"/>
          <w:szCs w:val="28"/>
          <w:lang w:val="en-US" w:eastAsia="zh-CN"/>
        </w:rPr>
      </w:pPr>
      <w:r>
        <w:fldChar w:fldCharType="begin"/>
      </w:r>
      <w:r>
        <w:instrText xml:space="preserve"> HYPERLINK \l "_Toc15396603" </w:instrText>
      </w:r>
      <w:r>
        <w:fldChar w:fldCharType="separate"/>
      </w:r>
      <w:r>
        <w:rPr>
          <w:rStyle w:val="14"/>
          <w:rFonts w:hint="eastAsia" w:ascii="仿宋" w:hAnsi="仿宋" w:eastAsia="仿宋"/>
          <w:bCs/>
          <w:sz w:val="28"/>
          <w:szCs w:val="28"/>
        </w:rPr>
        <w:t>一、</w:t>
      </w:r>
      <w:r>
        <w:rPr>
          <w:rStyle w:val="14"/>
          <w:rFonts w:hint="eastAsia" w:ascii="仿宋" w:hAnsi="仿宋" w:eastAsia="仿宋"/>
          <w:sz w:val="28"/>
          <w:szCs w:val="28"/>
        </w:rPr>
        <w:t>收</w:t>
      </w:r>
      <w:r>
        <w:rPr>
          <w:rStyle w:val="14"/>
          <w:rFonts w:hint="eastAsia" w:ascii="仿宋" w:hAnsi="仿宋" w:eastAsia="仿宋"/>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14:paraId="0E737393">
      <w:pPr>
        <w:pStyle w:val="9"/>
        <w:rPr>
          <w:rFonts w:hint="eastAsia" w:ascii="仿宋" w:hAnsi="仿宋" w:eastAsia="仿宋"/>
          <w:sz w:val="28"/>
          <w:szCs w:val="28"/>
          <w:lang w:val="en-US" w:eastAsia="zh-CN"/>
        </w:rPr>
      </w:pPr>
      <w:r>
        <w:fldChar w:fldCharType="begin"/>
      </w:r>
      <w:r>
        <w:instrText xml:space="preserve"> HYPERLINK \l "_Toc15396604" </w:instrText>
      </w:r>
      <w:r>
        <w:fldChar w:fldCharType="separate"/>
      </w:r>
      <w:r>
        <w:rPr>
          <w:rStyle w:val="14"/>
          <w:rFonts w:hint="eastAsia" w:ascii="仿宋" w:hAnsi="仿宋" w:eastAsia="仿宋"/>
          <w:bCs/>
          <w:sz w:val="28"/>
          <w:szCs w:val="28"/>
        </w:rPr>
        <w:t>二、</w:t>
      </w:r>
      <w:r>
        <w:rPr>
          <w:rStyle w:val="14"/>
          <w:rFonts w:hint="eastAsia" w:ascii="仿宋" w:hAnsi="仿宋" w:eastAsia="仿宋"/>
          <w:sz w:val="28"/>
          <w:szCs w:val="28"/>
        </w:rPr>
        <w:t>收</w:t>
      </w:r>
      <w:r>
        <w:rPr>
          <w:rStyle w:val="14"/>
          <w:rFonts w:hint="eastAsia" w:ascii="仿宋" w:hAnsi="仿宋" w:eastAsia="仿宋"/>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14:paraId="483C2429">
      <w:pPr>
        <w:pStyle w:val="9"/>
        <w:rPr>
          <w:rFonts w:hint="eastAsia" w:ascii="仿宋" w:hAnsi="仿宋" w:eastAsia="仿宋"/>
          <w:sz w:val="28"/>
          <w:szCs w:val="28"/>
          <w:lang w:val="en-US" w:eastAsia="zh-CN"/>
        </w:rPr>
      </w:pPr>
      <w:r>
        <w:fldChar w:fldCharType="begin"/>
      </w:r>
      <w:r>
        <w:instrText xml:space="preserve"> HYPERLINK \l "_Toc15396605" </w:instrText>
      </w:r>
      <w:r>
        <w:fldChar w:fldCharType="separate"/>
      </w:r>
      <w:r>
        <w:rPr>
          <w:rStyle w:val="14"/>
          <w:rFonts w:hint="eastAsia" w:ascii="仿宋" w:hAnsi="仿宋" w:eastAsia="仿宋"/>
          <w:bCs/>
          <w:sz w:val="28"/>
          <w:szCs w:val="28"/>
        </w:rPr>
        <w:t>三、</w:t>
      </w:r>
      <w:r>
        <w:rPr>
          <w:rStyle w:val="14"/>
          <w:rFonts w:hint="eastAsia" w:ascii="仿宋" w:hAnsi="仿宋" w:eastAsia="仿宋"/>
          <w:sz w:val="28"/>
          <w:szCs w:val="28"/>
        </w:rPr>
        <w:t>支</w:t>
      </w:r>
      <w:r>
        <w:rPr>
          <w:rStyle w:val="14"/>
          <w:rFonts w:hint="eastAsia" w:ascii="仿宋" w:hAnsi="仿宋" w:eastAsia="仿宋"/>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061A24F4">
      <w:pPr>
        <w:pStyle w:val="9"/>
        <w:rPr>
          <w:rFonts w:hint="eastAsia" w:ascii="仿宋" w:hAnsi="仿宋" w:eastAsia="仿宋"/>
          <w:sz w:val="28"/>
          <w:szCs w:val="28"/>
          <w:lang w:val="en-US" w:eastAsia="zh-CN"/>
        </w:rPr>
      </w:pPr>
      <w:r>
        <w:fldChar w:fldCharType="begin"/>
      </w:r>
      <w:r>
        <w:instrText xml:space="preserve"> HYPERLINK \l "_Toc15396606" </w:instrText>
      </w:r>
      <w:r>
        <w:fldChar w:fldCharType="separate"/>
      </w:r>
      <w:r>
        <w:rPr>
          <w:rStyle w:val="14"/>
          <w:rFonts w:hint="eastAsia" w:ascii="仿宋" w:hAnsi="仿宋" w:eastAsia="仿宋"/>
          <w:sz w:val="28"/>
          <w:szCs w:val="28"/>
        </w:rPr>
        <w:t>四、财</w:t>
      </w:r>
      <w:r>
        <w:rPr>
          <w:rStyle w:val="14"/>
          <w:rFonts w:hint="eastAsia" w:ascii="仿宋" w:hAnsi="仿宋" w:eastAsia="仿宋"/>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14:paraId="61930FA1">
      <w:pPr>
        <w:pStyle w:val="9"/>
        <w:rPr>
          <w:rFonts w:hint="eastAsia" w:ascii="仿宋" w:hAnsi="仿宋" w:eastAsia="仿宋"/>
          <w:sz w:val="28"/>
          <w:szCs w:val="28"/>
          <w:lang w:val="en-US" w:eastAsia="zh-CN"/>
        </w:rPr>
      </w:pPr>
      <w:r>
        <w:fldChar w:fldCharType="begin"/>
      </w:r>
      <w:r>
        <w:instrText xml:space="preserve"> HYPERLINK \l "_Toc15396607" </w:instrText>
      </w:r>
      <w:r>
        <w:fldChar w:fldCharType="separate"/>
      </w:r>
      <w:r>
        <w:rPr>
          <w:rStyle w:val="14"/>
          <w:rFonts w:hint="eastAsia" w:ascii="仿宋" w:hAnsi="仿宋" w:eastAsia="仿宋"/>
          <w:sz w:val="28"/>
          <w:szCs w:val="28"/>
        </w:rPr>
        <w:t>五、一</w:t>
      </w:r>
      <w:r>
        <w:rPr>
          <w:rStyle w:val="14"/>
          <w:rFonts w:hint="eastAsia" w:ascii="仿宋" w:hAnsi="仿宋" w:eastAsia="仿宋"/>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14:paraId="4DC356A9">
      <w:pPr>
        <w:pStyle w:val="9"/>
        <w:rPr>
          <w:rFonts w:hint="eastAsia" w:ascii="仿宋" w:hAnsi="仿宋" w:eastAsia="仿宋"/>
          <w:sz w:val="28"/>
          <w:szCs w:val="28"/>
          <w:lang w:val="en-US" w:eastAsia="zh-CN"/>
        </w:rPr>
      </w:pPr>
      <w:r>
        <w:fldChar w:fldCharType="begin"/>
      </w:r>
      <w:r>
        <w:instrText xml:space="preserve"> HYPERLINK \l "_Toc15396608" </w:instrText>
      </w:r>
      <w:r>
        <w:fldChar w:fldCharType="separate"/>
      </w:r>
      <w:r>
        <w:rPr>
          <w:rStyle w:val="14"/>
          <w:rFonts w:hint="eastAsia" w:ascii="仿宋" w:hAnsi="仿宋" w:eastAsia="仿宋"/>
          <w:sz w:val="28"/>
          <w:szCs w:val="28"/>
        </w:rPr>
        <w:t>六、一</w:t>
      </w:r>
      <w:r>
        <w:rPr>
          <w:rStyle w:val="14"/>
          <w:rFonts w:hint="eastAsia" w:ascii="仿宋" w:hAnsi="仿宋" w:eastAsia="仿宋"/>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14:paraId="4985997A">
      <w:pPr>
        <w:pStyle w:val="9"/>
        <w:rPr>
          <w:rFonts w:hint="eastAsia" w:ascii="仿宋" w:hAnsi="仿宋" w:eastAsia="仿宋"/>
          <w:sz w:val="28"/>
          <w:szCs w:val="28"/>
          <w:lang w:val="en-US" w:eastAsia="zh-CN"/>
        </w:rPr>
      </w:pPr>
      <w:r>
        <w:fldChar w:fldCharType="begin"/>
      </w:r>
      <w:r>
        <w:instrText xml:space="preserve"> HYPERLINK \l "_Toc15396609" </w:instrText>
      </w:r>
      <w:r>
        <w:fldChar w:fldCharType="separate"/>
      </w:r>
      <w:r>
        <w:rPr>
          <w:rStyle w:val="14"/>
          <w:rFonts w:hint="eastAsia" w:ascii="仿宋" w:hAnsi="仿宋" w:eastAsia="仿宋"/>
          <w:sz w:val="28"/>
          <w:szCs w:val="28"/>
        </w:rPr>
        <w:t>七、“</w:t>
      </w:r>
      <w:r>
        <w:rPr>
          <w:rStyle w:val="14"/>
          <w:rFonts w:hint="eastAsia" w:ascii="仿宋" w:hAnsi="仿宋" w:eastAsia="仿宋"/>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14:paraId="1B48C752">
      <w:pPr>
        <w:pStyle w:val="9"/>
        <w:rPr>
          <w:rFonts w:hint="eastAsia" w:ascii="仿宋" w:hAnsi="仿宋" w:eastAsia="仿宋"/>
          <w:sz w:val="28"/>
          <w:szCs w:val="28"/>
          <w:lang w:val="en-US" w:eastAsia="zh-CN"/>
        </w:rPr>
      </w:pPr>
      <w:r>
        <w:fldChar w:fldCharType="begin"/>
      </w:r>
      <w:r>
        <w:instrText xml:space="preserve"> HYPERLINK \l "_Toc15396610" </w:instrText>
      </w:r>
      <w:r>
        <w:fldChar w:fldCharType="separate"/>
      </w:r>
      <w:r>
        <w:rPr>
          <w:rStyle w:val="14"/>
          <w:rFonts w:hint="eastAsia" w:ascii="仿宋" w:hAnsi="仿宋" w:eastAsia="仿宋"/>
          <w:sz w:val="28"/>
          <w:szCs w:val="28"/>
        </w:rPr>
        <w:t>八、</w:t>
      </w:r>
      <w:r>
        <w:rPr>
          <w:rStyle w:val="14"/>
          <w:rFonts w:hint="eastAsia" w:ascii="仿宋" w:hAnsi="仿宋" w:eastAsia="仿宋"/>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7</w:t>
      </w:r>
    </w:p>
    <w:p w14:paraId="2477C92F">
      <w:pPr>
        <w:pStyle w:val="9"/>
        <w:rPr>
          <w:rFonts w:hint="eastAsia" w:ascii="仿宋" w:hAnsi="仿宋" w:eastAsia="仿宋"/>
          <w:sz w:val="28"/>
          <w:szCs w:val="28"/>
          <w:lang w:val="en-US" w:eastAsia="zh-CN"/>
        </w:rPr>
      </w:pPr>
      <w:r>
        <w:fldChar w:fldCharType="begin"/>
      </w:r>
      <w:r>
        <w:instrText xml:space="preserve"> HYPERLINK \l "_Toc15396611" </w:instrText>
      </w:r>
      <w:r>
        <w:fldChar w:fldCharType="separate"/>
      </w:r>
      <w:r>
        <w:rPr>
          <w:rStyle w:val="14"/>
          <w:rFonts w:hint="eastAsia" w:ascii="仿宋" w:hAnsi="仿宋" w:eastAsia="仿宋"/>
          <w:bCs/>
          <w:sz w:val="28"/>
          <w:szCs w:val="28"/>
        </w:rPr>
        <w:t>九、</w:t>
      </w:r>
      <w:r>
        <w:rPr>
          <w:rStyle w:val="14"/>
          <w:rFonts w:ascii="仿宋" w:hAnsi="仿宋" w:eastAsia="仿宋"/>
          <w:sz w:val="28"/>
          <w:szCs w:val="28"/>
        </w:rPr>
        <w:t xml:space="preserve"> </w:t>
      </w:r>
      <w:r>
        <w:rPr>
          <w:rStyle w:val="14"/>
          <w:rFonts w:hint="eastAsia" w:ascii="仿宋" w:hAnsi="仿宋" w:eastAsia="仿宋"/>
          <w:sz w:val="28"/>
          <w:szCs w:val="28"/>
        </w:rPr>
        <w:t>国</w:t>
      </w:r>
      <w:r>
        <w:rPr>
          <w:rStyle w:val="14"/>
          <w:rFonts w:hint="eastAsia" w:ascii="仿宋" w:hAnsi="仿宋" w:eastAsia="仿宋"/>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7</w:t>
      </w:r>
    </w:p>
    <w:p w14:paraId="3C5B56FC">
      <w:pPr>
        <w:pStyle w:val="9"/>
        <w:rPr>
          <w:rFonts w:hint="default" w:eastAsia="仿宋"/>
          <w:lang w:val="en-US" w:eastAsia="zh-CN"/>
        </w:rPr>
      </w:pPr>
      <w:r>
        <w:rPr>
          <w:rStyle w:val="14"/>
          <w:rFonts w:hint="eastAsia" w:ascii="仿宋" w:hAnsi="仿宋" w:eastAsia="仿宋"/>
          <w:sz w:val="28"/>
          <w:szCs w:val="28"/>
        </w:rPr>
        <w:t>十、</w:t>
      </w:r>
      <w:r>
        <w:rPr>
          <w:rStyle w:val="14"/>
          <w:rFonts w:hint="eastAsia" w:ascii="仿宋" w:hAnsi="仿宋" w:eastAsia="仿宋"/>
          <w:sz w:val="28"/>
          <w:szCs w:val="28"/>
          <w:lang w:val="en-US" w:eastAsia="zh-CN"/>
        </w:rPr>
        <w:t>预算绩效管理情况</w:t>
      </w:r>
      <w:r>
        <w:rPr>
          <w:rFonts w:ascii="仿宋" w:hAnsi="仿宋" w:eastAsia="仿宋"/>
          <w:sz w:val="28"/>
          <w:szCs w:val="28"/>
        </w:rPr>
        <w:tab/>
      </w:r>
      <w:r>
        <w:rPr>
          <w:rFonts w:hint="eastAsia" w:ascii="仿宋" w:hAnsi="仿宋" w:eastAsia="仿宋"/>
          <w:sz w:val="28"/>
          <w:szCs w:val="28"/>
          <w:lang w:val="en-US" w:eastAsia="zh-CN"/>
        </w:rPr>
        <w:t>17</w:t>
      </w:r>
    </w:p>
    <w:p w14:paraId="715D57FB">
      <w:pPr>
        <w:pStyle w:val="9"/>
        <w:rPr>
          <w:rFonts w:hint="eastAsia" w:ascii="仿宋" w:hAnsi="仿宋" w:eastAsia="仿宋"/>
          <w:sz w:val="28"/>
          <w:szCs w:val="28"/>
          <w:lang w:val="en-US" w:eastAsia="zh-CN"/>
        </w:rPr>
      </w:pPr>
      <w:r>
        <w:fldChar w:fldCharType="begin"/>
      </w:r>
      <w:r>
        <w:instrText xml:space="preserve"> HYPERLINK \l "_Toc15396612" </w:instrText>
      </w:r>
      <w:r>
        <w:fldChar w:fldCharType="separate"/>
      </w:r>
      <w:r>
        <w:rPr>
          <w:rStyle w:val="14"/>
          <w:rFonts w:hint="eastAsia" w:ascii="仿宋" w:hAnsi="仿宋" w:eastAsia="仿宋"/>
          <w:sz w:val="28"/>
          <w:szCs w:val="28"/>
        </w:rPr>
        <w:t>十</w:t>
      </w:r>
      <w:r>
        <w:rPr>
          <w:rStyle w:val="14"/>
          <w:rFonts w:hint="eastAsia" w:ascii="仿宋" w:hAnsi="仿宋" w:eastAsia="仿宋"/>
          <w:bCs/>
          <w:sz w:val="28"/>
          <w:szCs w:val="28"/>
        </w:rPr>
        <w:t>一、其他重要事项的情况说明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7</w:t>
      </w:r>
    </w:p>
    <w:p w14:paraId="44EB02F0">
      <w:pPr>
        <w:pStyle w:val="8"/>
      </w:pPr>
      <w:r>
        <w:fldChar w:fldCharType="begin"/>
      </w:r>
      <w:r>
        <w:instrText xml:space="preserve"> HYPERLINK \l "_Toc15396613" </w:instrText>
      </w:r>
      <w:r>
        <w:fldChar w:fldCharType="separate"/>
      </w:r>
      <w:r>
        <w:rPr>
          <w:rStyle w:val="14"/>
          <w:rFonts w:hint="eastAsia"/>
          <w:bCs/>
          <w:kern w:val="44"/>
        </w:rPr>
        <w:t>第三部分</w:t>
      </w:r>
      <w:r>
        <w:rPr>
          <w:rStyle w:val="14"/>
        </w:rPr>
        <w:t xml:space="preserve"> </w:t>
      </w:r>
      <w:r>
        <w:rPr>
          <w:rStyle w:val="14"/>
          <w:rFonts w:hint="eastAsia"/>
        </w:rPr>
        <w:t>名</w:t>
      </w:r>
      <w:r>
        <w:rPr>
          <w:rStyle w:val="14"/>
          <w:rFonts w:hint="eastAsia"/>
          <w:bCs/>
          <w:kern w:val="44"/>
        </w:rPr>
        <w:t>词解释</w:t>
      </w:r>
      <w:r>
        <w:tab/>
      </w:r>
      <w:r>
        <w:fldChar w:fldCharType="begin"/>
      </w:r>
      <w:r>
        <w:instrText xml:space="preserve"> PAGEREF _Toc15396613 \h </w:instrText>
      </w:r>
      <w:r>
        <w:fldChar w:fldCharType="separate"/>
      </w:r>
      <w:r>
        <w:t>19</w:t>
      </w:r>
      <w:r>
        <w:fldChar w:fldCharType="end"/>
      </w:r>
      <w:r>
        <w:fldChar w:fldCharType="end"/>
      </w:r>
    </w:p>
    <w:p w14:paraId="528F6801">
      <w:pPr>
        <w:pStyle w:val="8"/>
        <w:rPr>
          <w:rFonts w:hint="eastAsia" w:eastAsia="仿宋"/>
          <w:lang w:val="en-US" w:eastAsia="zh-CN"/>
        </w:rPr>
      </w:pPr>
      <w:r>
        <w:fldChar w:fldCharType="begin"/>
      </w:r>
      <w:r>
        <w:instrText xml:space="preserve"> HYPERLINK \l "_Toc15396614" </w:instrText>
      </w:r>
      <w:r>
        <w:fldChar w:fldCharType="separate"/>
      </w:r>
      <w:r>
        <w:rPr>
          <w:rStyle w:val="14"/>
          <w:rFonts w:hint="eastAsia"/>
        </w:rPr>
        <w:t>第</w:t>
      </w:r>
      <w:r>
        <w:rPr>
          <w:rStyle w:val="14"/>
          <w:rFonts w:hint="eastAsia"/>
          <w:bCs/>
          <w:kern w:val="44"/>
        </w:rPr>
        <w:t>四部分</w:t>
      </w:r>
      <w:r>
        <w:rPr>
          <w:rStyle w:val="14"/>
          <w:bCs/>
          <w:kern w:val="44"/>
        </w:rPr>
        <w:t xml:space="preserve"> </w:t>
      </w:r>
      <w:r>
        <w:rPr>
          <w:rStyle w:val="14"/>
          <w:rFonts w:hint="eastAsia"/>
          <w:bCs/>
          <w:kern w:val="44"/>
        </w:rPr>
        <w:t>附件</w:t>
      </w:r>
      <w:r>
        <w:tab/>
      </w:r>
      <w:r>
        <w:rPr>
          <w:rFonts w:hint="eastAsia"/>
          <w:lang w:val="en-US" w:eastAsia="zh-CN"/>
        </w:rPr>
        <w:t>2</w:t>
      </w:r>
      <w:r>
        <w:fldChar w:fldCharType="end"/>
      </w:r>
      <w:r>
        <w:rPr>
          <w:rFonts w:hint="eastAsia"/>
          <w:lang w:val="en-US" w:eastAsia="zh-CN"/>
        </w:rPr>
        <w:t>1</w:t>
      </w:r>
    </w:p>
    <w:p w14:paraId="30044D4E">
      <w:pPr>
        <w:pStyle w:val="8"/>
        <w:rPr>
          <w:rFonts w:hint="eastAsia" w:eastAsia="仿宋"/>
          <w:lang w:val="en-US" w:eastAsia="zh-CN"/>
        </w:rPr>
      </w:pPr>
      <w:r>
        <w:fldChar w:fldCharType="begin"/>
      </w:r>
      <w:r>
        <w:instrText xml:space="preserve"> HYPERLINK \l "_Toc15396618" </w:instrText>
      </w:r>
      <w:r>
        <w:fldChar w:fldCharType="separate"/>
      </w:r>
      <w:r>
        <w:rPr>
          <w:rStyle w:val="14"/>
          <w:rFonts w:hint="eastAsia"/>
        </w:rPr>
        <w:t>第</w:t>
      </w:r>
      <w:r>
        <w:rPr>
          <w:rStyle w:val="14"/>
          <w:rFonts w:hint="eastAsia"/>
          <w:bCs/>
          <w:kern w:val="44"/>
        </w:rPr>
        <w:t>五部分</w:t>
      </w:r>
      <w:r>
        <w:rPr>
          <w:rStyle w:val="14"/>
          <w:bCs/>
          <w:kern w:val="44"/>
        </w:rPr>
        <w:t xml:space="preserve"> </w:t>
      </w:r>
      <w:r>
        <w:rPr>
          <w:rStyle w:val="14"/>
          <w:rFonts w:hint="eastAsia"/>
          <w:bCs/>
          <w:kern w:val="44"/>
        </w:rPr>
        <w:t>附表</w:t>
      </w:r>
      <w:r>
        <w:tab/>
      </w:r>
      <w:r>
        <w:rPr>
          <w:rFonts w:hint="eastAsia"/>
          <w:lang w:val="en-US" w:eastAsia="zh-CN"/>
        </w:rPr>
        <w:t>2</w:t>
      </w:r>
      <w:r>
        <w:fldChar w:fldCharType="end"/>
      </w:r>
      <w:r>
        <w:rPr>
          <w:rFonts w:hint="eastAsia"/>
          <w:lang w:val="en-US" w:eastAsia="zh-CN"/>
        </w:rPr>
        <w:t>3</w:t>
      </w:r>
    </w:p>
    <w:p w14:paraId="589C1900">
      <w:pPr>
        <w:pStyle w:val="9"/>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4"/>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65217E74">
      <w:pPr>
        <w:pStyle w:val="9"/>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4"/>
          <w:rFonts w:hint="eastAsia" w:ascii="仿宋" w:hAnsi="仿宋" w:eastAsia="仿宋"/>
          <w:sz w:val="28"/>
          <w:szCs w:val="28"/>
        </w:rPr>
        <w:t>收入</w:t>
      </w:r>
      <w:r>
        <w:rPr>
          <w:rStyle w:val="14"/>
          <w:rFonts w:hint="eastAsia" w:ascii="仿宋" w:hAnsi="仿宋" w:eastAsia="仿宋"/>
          <w:sz w:val="28"/>
          <w:szCs w:val="28"/>
          <w:lang w:eastAsia="zh-CN"/>
        </w:rPr>
        <w:t>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07B2704F">
      <w:pPr>
        <w:pStyle w:val="9"/>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4"/>
          <w:rFonts w:hint="eastAsia" w:ascii="仿宋" w:hAnsi="仿宋" w:eastAsia="仿宋"/>
          <w:sz w:val="28"/>
          <w:szCs w:val="28"/>
        </w:rPr>
        <w:t>支出</w:t>
      </w:r>
      <w:r>
        <w:rPr>
          <w:rStyle w:val="14"/>
          <w:rFonts w:hint="eastAsia" w:ascii="仿宋" w:hAnsi="仿宋" w:eastAsia="仿宋"/>
          <w:sz w:val="28"/>
          <w:szCs w:val="28"/>
          <w:lang w:eastAsia="zh-CN"/>
        </w:rPr>
        <w:t>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5300958E">
      <w:pPr>
        <w:pStyle w:val="9"/>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4"/>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3B6DA29A">
      <w:pPr>
        <w:pStyle w:val="9"/>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02C4F55B">
      <w:pPr>
        <w:pStyle w:val="9"/>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4"/>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5FEB66C4">
      <w:pPr>
        <w:pStyle w:val="9"/>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4"/>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14ED371F">
      <w:pPr>
        <w:pStyle w:val="9"/>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4"/>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72428C99">
      <w:pPr>
        <w:pStyle w:val="9"/>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4"/>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3DF31C80">
      <w:pPr>
        <w:pStyle w:val="9"/>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4"/>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73F9B52C">
      <w:pPr>
        <w:pStyle w:val="9"/>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4"/>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37C2A3ED">
      <w:pPr>
        <w:pStyle w:val="9"/>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4"/>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07886985">
      <w:pPr>
        <w:pStyle w:val="9"/>
        <w:rPr>
          <w:rFonts w:ascii="仿宋" w:hAnsi="仿宋" w:eastAsia="仿宋"/>
          <w:sz w:val="28"/>
          <w:szCs w:val="28"/>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4"/>
          <w:rFonts w:hint="eastAsia" w:ascii="仿宋" w:hAnsi="仿宋" w:eastAsia="仿宋"/>
          <w:sz w:val="28"/>
          <w:szCs w:val="28"/>
        </w:rPr>
        <w:t>国有资本经营预算</w:t>
      </w:r>
      <w:r>
        <w:rPr>
          <w:rStyle w:val="14"/>
          <w:rFonts w:hint="eastAsia" w:ascii="仿宋" w:hAnsi="仿宋" w:eastAsia="仿宋"/>
          <w:sz w:val="28"/>
          <w:szCs w:val="28"/>
          <w:lang w:eastAsia="zh-CN"/>
        </w:rPr>
        <w:t>财政拨款收入</w:t>
      </w:r>
      <w:r>
        <w:rPr>
          <w:rStyle w:val="14"/>
          <w:rFonts w:hint="eastAsia" w:ascii="仿宋" w:hAnsi="仿宋" w:eastAsia="仿宋"/>
          <w:sz w:val="28"/>
          <w:szCs w:val="28"/>
        </w:rPr>
        <w:t>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7B471B03">
      <w:pPr>
        <w:pStyle w:val="9"/>
        <w:rPr>
          <w:rFonts w:ascii="仿宋" w:hAnsi="仿宋" w:eastAsia="仿宋"/>
          <w:sz w:val="28"/>
          <w:szCs w:val="28"/>
        </w:rPr>
      </w:pPr>
      <w:r>
        <w:rPr>
          <w:rFonts w:hint="eastAsia" w:ascii="仿宋" w:hAnsi="仿宋" w:eastAsia="仿宋"/>
          <w:sz w:val="28"/>
          <w:szCs w:val="28"/>
        </w:rPr>
        <w:t>十</w:t>
      </w:r>
      <w:r>
        <w:rPr>
          <w:rFonts w:hint="eastAsia" w:ascii="仿宋" w:hAnsi="仿宋" w:eastAsia="仿宋"/>
          <w:sz w:val="28"/>
          <w:szCs w:val="28"/>
          <w:lang w:eastAsia="zh-CN"/>
        </w:rPr>
        <w:t>四</w:t>
      </w:r>
      <w:r>
        <w:rPr>
          <w:rFonts w:hint="eastAsia" w:ascii="仿宋" w:hAnsi="仿宋" w:eastAsia="仿宋"/>
          <w:sz w:val="28"/>
          <w:szCs w:val="28"/>
        </w:rPr>
        <w:t>、</w:t>
      </w:r>
      <w:r>
        <w:fldChar w:fldCharType="begin"/>
      </w:r>
      <w:r>
        <w:instrText xml:space="preserve"> HYPERLINK \l "_Toc15396631" </w:instrText>
      </w:r>
      <w:r>
        <w:fldChar w:fldCharType="separate"/>
      </w:r>
      <w:r>
        <w:rPr>
          <w:rStyle w:val="14"/>
          <w:rFonts w:hint="eastAsia" w:ascii="仿宋" w:hAnsi="仿宋" w:eastAsia="仿宋"/>
          <w:sz w:val="28"/>
          <w:szCs w:val="28"/>
          <w:lang w:val="en-US" w:eastAsia="zh-CN"/>
        </w:rPr>
        <w:t>国有资本经营预算财政拨款支出决算表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14:paraId="4C1330DE"/>
    <w:p w14:paraId="35615730">
      <w:pPr>
        <w:pStyle w:val="2"/>
        <w:rPr>
          <w:rFonts w:hint="eastAsia" w:ascii="方正小标宋简体" w:hAnsi="宋体" w:eastAsia="方正小标宋简体"/>
          <w:color w:val="000000"/>
          <w:sz w:val="72"/>
          <w:szCs w:val="72"/>
          <w:lang w:val="en-US" w:eastAsia="zh-CN"/>
        </w:rPr>
      </w:pPr>
      <w:r>
        <w:rPr>
          <w:rFonts w:ascii="黑体" w:hAnsi="黑体" w:eastAsia="黑体"/>
          <w:color w:val="000000"/>
          <w:sz w:val="48"/>
          <w:szCs w:val="48"/>
        </w:rPr>
        <w:fldChar w:fldCharType="end"/>
      </w:r>
    </w:p>
    <w:p w14:paraId="27519D59">
      <w:pPr>
        <w:pStyle w:val="2"/>
        <w:rPr>
          <w:rFonts w:hint="eastAsia" w:ascii="方正小标宋简体" w:hAnsi="宋体" w:eastAsia="方正小标宋简体"/>
          <w:color w:val="000000"/>
          <w:sz w:val="72"/>
          <w:szCs w:val="72"/>
          <w:lang w:val="en-US" w:eastAsia="zh-CN"/>
        </w:rPr>
      </w:pPr>
    </w:p>
    <w:p w14:paraId="3FAB1A62">
      <w:pPr>
        <w:pStyle w:val="2"/>
        <w:tabs>
          <w:tab w:val="left" w:pos="2866"/>
        </w:tabs>
        <w:rPr>
          <w:rFonts w:hint="eastAsia" w:ascii="方正小标宋简体" w:hAnsi="宋体" w:eastAsia="方正小标宋简体"/>
          <w:color w:val="000000"/>
          <w:sz w:val="72"/>
          <w:szCs w:val="72"/>
          <w:lang w:val="en-US" w:eastAsia="zh-CN"/>
        </w:rPr>
      </w:pPr>
      <w:r>
        <w:rPr>
          <w:rFonts w:hint="eastAsia" w:ascii="方正小标宋简体" w:hAnsi="宋体" w:eastAsia="方正小标宋简体"/>
          <w:color w:val="000000"/>
          <w:sz w:val="72"/>
          <w:szCs w:val="72"/>
          <w:lang w:val="en-US" w:eastAsia="zh-CN"/>
        </w:rPr>
        <w:tab/>
      </w:r>
    </w:p>
    <w:p w14:paraId="28428230">
      <w:pPr>
        <w:pStyle w:val="3"/>
        <w:jc w:val="center"/>
        <w:rPr>
          <w:rFonts w:hint="eastAsia" w:ascii="仿宋_GB2312" w:hAnsi="仿宋_GB2312" w:eastAsia="仿宋_GB2312" w:cs="仿宋_GB2312"/>
          <w:sz w:val="28"/>
          <w:szCs w:val="28"/>
          <w:lang w:val="en-US" w:eastAsia="zh-CN"/>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2"/>
          <w:rFonts w:hint="eastAsia" w:ascii="黑体" w:hAnsi="黑体" w:eastAsia="黑体"/>
          <w:b w:val="0"/>
          <w:bCs w:val="0"/>
          <w:color w:val="auto"/>
          <w:highlight w:val="none"/>
        </w:rPr>
        <w:t>概况</w:t>
      </w:r>
    </w:p>
    <w:p w14:paraId="6FE94579">
      <w:pPr>
        <w:pStyle w:val="4"/>
        <w:numPr>
          <w:ilvl w:val="0"/>
          <w:numId w:val="0"/>
        </w:numPr>
        <w:rPr>
          <w:rStyle w:val="21"/>
          <w:rFonts w:hint="eastAsia" w:ascii="黑体" w:hAnsi="黑体" w:eastAsia="黑体"/>
          <w:b w:val="0"/>
          <w:bCs w:val="0"/>
          <w:color w:val="auto"/>
          <w:highlight w:val="none"/>
          <w:lang w:eastAsia="zh-CN"/>
        </w:rPr>
      </w:pPr>
      <w:r>
        <w:rPr>
          <w:rStyle w:val="21"/>
          <w:rFonts w:hint="eastAsia" w:ascii="黑体" w:hAnsi="黑体" w:eastAsia="黑体"/>
          <w:b w:val="0"/>
          <w:bCs w:val="0"/>
          <w:color w:val="auto"/>
          <w:highlight w:val="none"/>
          <w:lang w:eastAsia="zh-CN"/>
        </w:rPr>
        <w:t>一、</w:t>
      </w:r>
      <w:bookmarkEnd w:id="5"/>
      <w:bookmarkEnd w:id="6"/>
      <w:r>
        <w:rPr>
          <w:rStyle w:val="21"/>
          <w:rFonts w:hint="eastAsia" w:ascii="黑体" w:hAnsi="黑体" w:eastAsia="黑体"/>
          <w:b w:val="0"/>
          <w:bCs w:val="0"/>
          <w:color w:val="auto"/>
          <w:highlight w:val="none"/>
        </w:rPr>
        <w:t>职能</w:t>
      </w:r>
      <w:r>
        <w:rPr>
          <w:rStyle w:val="21"/>
          <w:rFonts w:hint="eastAsia" w:ascii="黑体" w:hAnsi="黑体" w:eastAsia="黑体"/>
          <w:b w:val="0"/>
          <w:bCs w:val="0"/>
          <w:color w:val="auto"/>
          <w:highlight w:val="none"/>
          <w:lang w:eastAsia="zh-CN"/>
        </w:rPr>
        <w:t>简介</w:t>
      </w:r>
    </w:p>
    <w:p w14:paraId="4FEA5142">
      <w:pPr>
        <w:pStyle w:val="2"/>
        <w:pageBreakBefore w:val="0"/>
        <w:kinsoku/>
        <w:wordWrap/>
        <w:overflowPunct/>
        <w:topLinePunct w:val="0"/>
        <w:bidi w:val="0"/>
        <w:adjustRightInd w:val="0"/>
        <w:snapToGrid w:val="0"/>
        <w:spacing w:before="93" w:line="576" w:lineRule="exact"/>
        <w:textAlignment w:val="auto"/>
        <w:outlineLvl w:val="2"/>
        <w:rPr>
          <w:rFonts w:hint="eastAsia" w:ascii="仿宋_GB2312" w:hAnsi="仿宋_GB2312" w:eastAsia="仿宋_GB2312" w:cs="仿宋_GB2312"/>
          <w:bCs/>
          <w:color w:val="000000"/>
          <w:sz w:val="28"/>
          <w:szCs w:val="28"/>
        </w:rPr>
      </w:pPr>
      <w:bookmarkStart w:id="13" w:name="_Toc15378445"/>
      <w:bookmarkStart w:id="14" w:name="_Toc15377198"/>
      <w:r>
        <w:rPr>
          <w:rFonts w:hint="eastAsia" w:ascii="仿宋_GB2312" w:hAnsi="仿宋_GB2312" w:eastAsia="仿宋_GB2312" w:cs="仿宋_GB2312"/>
          <w:bCs/>
          <w:color w:val="000000"/>
          <w:sz w:val="28"/>
          <w:szCs w:val="28"/>
        </w:rPr>
        <w:t>（一）主要职能</w:t>
      </w:r>
      <w:bookmarkEnd w:id="13"/>
      <w:bookmarkEnd w:id="14"/>
    </w:p>
    <w:p w14:paraId="0E73F649">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负责贯彻执行国家、省、市、区有关医疗保险、生育保险、医疗救助、长期护理保险等医疗保障政策制度。</w:t>
      </w:r>
    </w:p>
    <w:p w14:paraId="18029702">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贯彻执行有关地方性法规和规章；组织起草全区医疗保障规范性文件；负责拟订全区医疗保障事业发展规划，并组织实施和监督检查。 </w:t>
      </w:r>
    </w:p>
    <w:p w14:paraId="4242987C">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color w:val="000000"/>
          <w:sz w:val="28"/>
          <w:szCs w:val="28"/>
        </w:rPr>
        <w:t>贯彻执行</w:t>
      </w:r>
      <w:r>
        <w:rPr>
          <w:rFonts w:hint="eastAsia" w:ascii="仿宋_GB2312" w:hAnsi="仿宋_GB2312" w:eastAsia="仿宋_GB2312" w:cs="仿宋_GB2312"/>
          <w:sz w:val="28"/>
          <w:szCs w:val="28"/>
        </w:rPr>
        <w:t>医疗保障基金监督管理制度，建立健全医疗保障基金安全防控机制，监督强化全区医疗保障基金运行管理。</w:t>
      </w:r>
    </w:p>
    <w:p w14:paraId="22AE6EFE">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color w:val="000000"/>
          <w:sz w:val="28"/>
          <w:szCs w:val="28"/>
        </w:rPr>
        <w:t>拟订医疗保障基金年度收支计划，负责医疗保障基金归集，</w:t>
      </w:r>
      <w:r>
        <w:rPr>
          <w:rFonts w:hint="eastAsia" w:ascii="仿宋_GB2312" w:hAnsi="仿宋_GB2312" w:eastAsia="仿宋_GB2312" w:cs="仿宋_GB2312"/>
          <w:sz w:val="28"/>
          <w:szCs w:val="28"/>
        </w:rPr>
        <w:t>按政策和标准支付医疗保障待遇</w:t>
      </w:r>
      <w:r>
        <w:rPr>
          <w:rFonts w:hint="eastAsia" w:ascii="仿宋_GB2312" w:hAnsi="仿宋_GB2312" w:eastAsia="仿宋_GB2312" w:cs="仿宋_GB2312"/>
          <w:color w:val="000000"/>
          <w:sz w:val="28"/>
          <w:szCs w:val="28"/>
        </w:rPr>
        <w:t>,完善动态调整和区域调剂平衡机制</w:t>
      </w:r>
      <w:r>
        <w:rPr>
          <w:rFonts w:hint="eastAsia" w:ascii="仿宋_GB2312" w:hAnsi="仿宋_GB2312" w:eastAsia="仿宋_GB2312" w:cs="仿宋_GB2312"/>
          <w:sz w:val="28"/>
          <w:szCs w:val="28"/>
        </w:rPr>
        <w:t>。</w:t>
      </w:r>
    </w:p>
    <w:p w14:paraId="79DDD81A">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贯彻执行上级药品目录、医用耗材、医疗服务项目、医疗服务设施等医疗保障目录和支付标准政策；贯彻执行上级有关医保目录准入谈判规则。</w:t>
      </w:r>
    </w:p>
    <w:p w14:paraId="483EE9B1">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贯彻执行上级药品、医用耗材价格和医疗服务项目、医疗服务设施收费等政策;建立医保支付医药服务价格合理确定和动态调整机制；推动建立市场主导的社会医药服务价格形成机制；建立价格信息监测和信息发布制度。</w:t>
      </w:r>
    </w:p>
    <w:p w14:paraId="45FE79E6">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贯彻执行上级药品、医用耗材的招标采购政策；</w:t>
      </w:r>
      <w:r>
        <w:rPr>
          <w:rFonts w:hint="eastAsia" w:ascii="仿宋_GB2312" w:hAnsi="仿宋_GB2312" w:eastAsia="仿宋_GB2312" w:cs="仿宋_GB2312"/>
          <w:color w:val="000000"/>
          <w:sz w:val="28"/>
          <w:szCs w:val="28"/>
        </w:rPr>
        <w:t>负责全区</w:t>
      </w:r>
      <w:r>
        <w:rPr>
          <w:rFonts w:hint="eastAsia" w:ascii="仿宋_GB2312" w:hAnsi="仿宋_GB2312" w:eastAsia="仿宋_GB2312" w:cs="仿宋_GB2312"/>
          <w:sz w:val="28"/>
          <w:szCs w:val="28"/>
        </w:rPr>
        <w:t>药品、医用耗材招标采购平台建设。指导大病保险业务经办工作。</w:t>
      </w:r>
    </w:p>
    <w:p w14:paraId="64B6CC9E">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推进医疗保障基金支付方式改革</w:t>
      </w:r>
      <w:r>
        <w:rPr>
          <w:rFonts w:hint="eastAsia" w:ascii="仿宋_GB2312" w:hAnsi="仿宋_GB2312" w:eastAsia="仿宋_GB2312" w:cs="仿宋_GB2312"/>
          <w:color w:val="000000"/>
          <w:sz w:val="28"/>
          <w:szCs w:val="28"/>
        </w:rPr>
        <w:t>。拟订全区定点医药机构医保协议和支付管理办法并组织实施</w:t>
      </w:r>
      <w:r>
        <w:rPr>
          <w:rFonts w:hint="eastAsia" w:ascii="仿宋_GB2312" w:hAnsi="仿宋_GB2312" w:eastAsia="仿宋_GB2312" w:cs="仿宋_GB2312"/>
          <w:sz w:val="28"/>
          <w:szCs w:val="28"/>
        </w:rPr>
        <w:t>；负责全区医保定点医药机构管理和考核工作。</w:t>
      </w:r>
    </w:p>
    <w:p w14:paraId="15F20524">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建立健全医疗保障信用评价体系和信息披露制度；推进协议服务机构标准化建设，建立协议服务机构准入和退出机制；监督管理纳入医保范围内的医疗服务行为和医疗费用，依法查处医疗保障领域违法违规行为。</w:t>
      </w:r>
    </w:p>
    <w:p w14:paraId="5843B580">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负责全区医疗保障经办管理、公共服务体系建设；</w:t>
      </w:r>
      <w:r>
        <w:rPr>
          <w:rFonts w:hint="eastAsia" w:ascii="仿宋_GB2312" w:hAnsi="仿宋_GB2312" w:eastAsia="仿宋_GB2312" w:cs="仿宋_GB2312"/>
          <w:color w:val="000000"/>
          <w:sz w:val="28"/>
          <w:szCs w:val="28"/>
        </w:rPr>
        <w:t>贯彻执行</w:t>
      </w:r>
      <w:r>
        <w:rPr>
          <w:rFonts w:hint="eastAsia" w:ascii="仿宋_GB2312" w:hAnsi="仿宋_GB2312" w:eastAsia="仿宋_GB2312" w:cs="仿宋_GB2312"/>
          <w:sz w:val="28"/>
          <w:szCs w:val="28"/>
        </w:rPr>
        <w:t>异地就医管理和费用结算政策。负责执行医疗保障关系转移接续制度。监督管理全区医保经办服务工作；开展医疗保障领域对外合作交流。</w:t>
      </w:r>
    </w:p>
    <w:p w14:paraId="0F70593B">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负责推进实施全区医疗保障信息化建设，组织开展医疗保障大数据管理和应用。</w:t>
      </w:r>
    </w:p>
    <w:p w14:paraId="41A4A546">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color w:val="000000"/>
          <w:sz w:val="28"/>
          <w:szCs w:val="28"/>
        </w:rPr>
        <w:t>负责职责范围内的安全生产和职业健康、生态环境保护、审批服务便民化等工作。</w:t>
      </w:r>
    </w:p>
    <w:p w14:paraId="30BC80FA">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完成区委、区政府交办的其他任务。</w:t>
      </w:r>
    </w:p>
    <w:p w14:paraId="6B364F53">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职能转变。完善统一的城乡居民基本医疗保险制度、大病保险制度和医疗救助制度，不断提高医疗保障水平，建立健全覆盖全民、城乡统筹的多层次医疗保障体系，确保医保资金合理使用、安全可控，推进医疗、医保、医药“三医联动”改革，更好保障人民群众就医需求、减轻医药费用负担。</w:t>
      </w:r>
    </w:p>
    <w:p w14:paraId="31A357E3">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sz w:val="28"/>
          <w:szCs w:val="28"/>
        </w:rPr>
        <w:t>有关职责分工。区卫生健康局、区医保局和区市场监督管理局等部门在医疗、医保、医药等方面加强制度、政策衔接，建立沟通协商机制，协同推进改革，提高医疗资源使用效率和医疗保障水平。</w:t>
      </w:r>
    </w:p>
    <w:p w14:paraId="4AA2FF01">
      <w:pPr>
        <w:pStyle w:val="4"/>
        <w:pageBreakBefore w:val="0"/>
        <w:kinsoku/>
        <w:wordWrap/>
        <w:overflowPunct/>
        <w:topLinePunct w:val="0"/>
        <w:bidi w:val="0"/>
        <w:spacing w:line="576" w:lineRule="exact"/>
        <w:textAlignment w:val="auto"/>
        <w:rPr>
          <w:rFonts w:hint="eastAsia" w:ascii="仿宋_GB2312" w:hAnsi="仿宋_GB2312" w:eastAsia="仿宋_GB2312" w:cs="仿宋_GB2312"/>
          <w:sz w:val="28"/>
          <w:szCs w:val="28"/>
        </w:rPr>
      </w:pPr>
      <w:bookmarkStart w:id="15" w:name="_Toc15377200"/>
      <w:bookmarkStart w:id="16" w:name="_Toc15396601"/>
      <w:r>
        <w:rPr>
          <w:rFonts w:hint="eastAsia" w:ascii="仿宋_GB2312" w:hAnsi="仿宋_GB2312" w:eastAsia="仿宋_GB2312" w:cs="仿宋_GB2312"/>
          <w:b w:val="0"/>
          <w:color w:val="000000"/>
          <w:sz w:val="28"/>
          <w:szCs w:val="28"/>
          <w:lang w:eastAsia="zh-CN"/>
        </w:rPr>
        <w:t>（二）</w:t>
      </w:r>
      <w:r>
        <w:rPr>
          <w:rFonts w:hint="eastAsia" w:ascii="仿宋_GB2312" w:hAnsi="仿宋_GB2312" w:eastAsia="仿宋_GB2312" w:cs="仿宋_GB2312"/>
          <w:b w:val="0"/>
          <w:color w:val="000000"/>
          <w:sz w:val="28"/>
          <w:szCs w:val="28"/>
        </w:rPr>
        <w:t>机</w:t>
      </w:r>
      <w:r>
        <w:rPr>
          <w:rStyle w:val="16"/>
          <w:rFonts w:hint="eastAsia" w:ascii="仿宋_GB2312" w:hAnsi="仿宋_GB2312" w:eastAsia="仿宋_GB2312" w:cs="仿宋_GB2312"/>
          <w:b w:val="0"/>
          <w:bCs w:val="0"/>
          <w:sz w:val="28"/>
          <w:szCs w:val="28"/>
        </w:rPr>
        <w:t>构设置</w:t>
      </w:r>
      <w:bookmarkEnd w:id="15"/>
      <w:bookmarkEnd w:id="16"/>
    </w:p>
    <w:p w14:paraId="0FC5CC56">
      <w:pPr>
        <w:pageBreakBefore w:val="0"/>
        <w:numPr>
          <w:ilvl w:val="0"/>
          <w:numId w:val="0"/>
        </w:numPr>
        <w:kinsoku/>
        <w:wordWrap/>
        <w:overflowPunct/>
        <w:topLinePunct w:val="0"/>
        <w:bidi w:val="0"/>
        <w:spacing w:line="576" w:lineRule="exact"/>
        <w:ind w:firstLine="560" w:firstLineChars="200"/>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将区人力资源和社会保障局的城镇职工和城乡居民基本医疗保险、生育保险职责，区卫生和计划生育局的新型农村合作医疗职责，区发展和改革局的药品和医疗服务价格管理职责，区民政局的医疗救助职责，以及区医疗保险管理局的行政职责等组合，组建区医疗保障局，作为区政府工作部门。局机关内设综合股（加挂基金监管股）和待遇保障股两个股室，下设区医疗保障事务中心和医疗保障信息中心。全局核定编制23名，其中行政编制5名，参公编制13名，事业编制5人。年末实际在编在职18人，其中行政人员3人，参公人员10人，事业人员5人。</w:t>
      </w:r>
    </w:p>
    <w:p w14:paraId="615B15DE">
      <w:pPr>
        <w:pStyle w:val="2"/>
        <w:rPr>
          <w:rFonts w:hint="eastAsia"/>
        </w:rPr>
      </w:pPr>
    </w:p>
    <w:p w14:paraId="498E612C">
      <w:pPr>
        <w:pStyle w:val="4"/>
        <w:numPr>
          <w:ilvl w:val="0"/>
          <w:numId w:val="0"/>
        </w:numPr>
        <w:rPr>
          <w:rFonts w:hint="eastAsia" w:ascii="黑体" w:hAnsi="黑体" w:eastAsia="黑体" w:cstheme="majorBidi"/>
          <w:b w:val="0"/>
          <w:color w:val="auto"/>
          <w:highlight w:val="none"/>
          <w:lang w:val="en-US" w:eastAsia="zh-CN"/>
        </w:rPr>
      </w:pPr>
      <w:bookmarkStart w:id="17" w:name="_Toc15378446"/>
      <w:bookmarkStart w:id="18" w:name="_Toc15377199"/>
      <w:r>
        <w:rPr>
          <w:rFonts w:hint="eastAsia" w:ascii="黑体" w:hAnsi="黑体" w:eastAsia="黑体" w:cstheme="majorBidi"/>
          <w:b w:val="0"/>
          <w:color w:val="auto"/>
          <w:highlight w:val="none"/>
          <w:lang w:val="en-US" w:eastAsia="zh-CN"/>
        </w:rPr>
        <w:t>二、2021年重点工作完成情况</w:t>
      </w:r>
      <w:bookmarkEnd w:id="17"/>
      <w:bookmarkEnd w:id="18"/>
    </w:p>
    <w:p w14:paraId="6275C17E">
      <w:pPr>
        <w:pStyle w:val="2"/>
        <w:pageBreakBefore w:val="0"/>
        <w:kinsoku/>
        <w:wordWrap/>
        <w:overflowPunct/>
        <w:topLinePunct w:val="0"/>
        <w:bidi w:val="0"/>
        <w:adjustRightInd w:val="0"/>
        <w:snapToGrid w:val="0"/>
        <w:spacing w:before="93" w:line="576" w:lineRule="exact"/>
        <w:ind w:firstLine="588" w:firstLineChars="210"/>
        <w:textAlignment w:val="auto"/>
        <w:outlineLvl w:val="2"/>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1、</w:t>
      </w:r>
      <w:r>
        <w:rPr>
          <w:rFonts w:hint="eastAsia" w:ascii="仿宋_GB2312" w:hAnsi="仿宋_GB2312" w:eastAsia="仿宋_GB2312" w:cs="仿宋_GB2312"/>
          <w:bCs/>
          <w:color w:val="000000"/>
          <w:sz w:val="28"/>
          <w:szCs w:val="28"/>
        </w:rPr>
        <w:t>旗帜鲜明讲政治，坚持以全面从严治党统领全局工作。始终把政治建设摆在首位，深入学习、深刻理解习近平新时代中国特色社会主义思想和党的十九大及五中、六中全会精神，切实增强“四个意识”、 坚定“四个自信”、做到“两个维护”。一是切实履行全面从严治党主体责任。全面落实全面从严治党党组主体责任、党组书记第一责任和班子成员“一岗双责”，结合付健案、姜荣鑫案暴露的违法违纪问题，扎实开展以案促改。制定了《2021年权力防控责任清单》《主体责任清单》，查找重点岗位权力风险点9个，梳理廉政风险点30个，制定防控措施50条。二是有序推进干部纪律作风整顿。严格对照12个方面的突出问题，逐一深刻检视剖析，共查摆问题118个，其中领导班子问题9个，干部职工问题109个，制定整改措施123条，查找问题现已全部整改销号。三是深入开展党史学习教育。成立党史学习教育领导小组，制定了《昭化区医疗保障局党史学习教育学习方案》。组织党史教育集中学习6次，专题讨论2次，举办悦读党史晨读活动30期，现场教学1次，通过开门问计，收集群众常见的医保问题12件，落实“我为群众办实事”6件。四是认真落实区委巡查整改。区委第三巡察组于9月29日向局党组反馈了巡察意见后，先后召开3次党组会议，专题研究部署整改工作。对照区委第三巡察组反馈的在3个方面存在的13个问题，举一反三，制定了《落实区委第三巡察组反馈巡察意见整改方案》，议定58项整改措施，并组织召开了局党组巡察整改专题民主生活会，深入查找出党组13个问题和班子成员个人存在14个问题，截至目前，问题已全部整改完毕。</w:t>
      </w:r>
    </w:p>
    <w:p w14:paraId="31AB86CF">
      <w:pPr>
        <w:pStyle w:val="2"/>
        <w:pageBreakBefore w:val="0"/>
        <w:kinsoku/>
        <w:wordWrap/>
        <w:overflowPunct/>
        <w:topLinePunct w:val="0"/>
        <w:bidi w:val="0"/>
        <w:adjustRightInd w:val="0"/>
        <w:snapToGrid w:val="0"/>
        <w:spacing w:before="93" w:line="576" w:lineRule="exact"/>
        <w:ind w:firstLine="588" w:firstLineChars="210"/>
        <w:textAlignment w:val="auto"/>
        <w:outlineLvl w:val="2"/>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2、</w:t>
      </w:r>
      <w:r>
        <w:rPr>
          <w:rFonts w:hint="eastAsia" w:ascii="仿宋_GB2312" w:hAnsi="仿宋_GB2312" w:eastAsia="仿宋_GB2312" w:cs="仿宋_GB2312"/>
          <w:bCs/>
          <w:color w:val="000000"/>
          <w:sz w:val="28"/>
          <w:szCs w:val="28"/>
        </w:rPr>
        <w:t>主动作为显担当，巩固医保脱贫攻坚成果同乡村振兴有序衔接。一是应参尽参。 按照“政府主导、税务统筹、镇主责、村级主抓、部门配合”的原则，切实做好城乡居民医保征缴工作，精密部署、广泛宣传、优化服务，聚焦城乡特困、低保、脱贫人口、残疾人等重点人群代缴参保，确保应参尽参，不漏一人。2021年，全区共参加城乡居民医保18.97万人，筹资参保总费用达5312万元，参保率达到98.5%。2022年，征收居民医保截止12月20日已征收14.5万人，完成目标任务的75.51%。二是应资尽资。2021年，共资助特困、低保、建档立卡贫困户、残疾人等重点特殊困难人员4.78万人，总资助参保费用达1338.4万元，覆盖率为100%。2022年，及时调整资助参保政策，实行困难群众体分类资助参保，对特困供养人员参保给于全额资助，对脱贫人口给予相应年度的逐退资助政策(2022年为75%、2023年50%、2024年25%、2025年按标准退出)，资助参保资金来源为医疗救助资金。对1-2级重度残疾人继续实行全额代缴，3-4级实行定额资助参保，资金来源为财政资助。三是应享尽享。2021年，三重待遇保障共支付城乡居民基本医疗保险259913人次、5798.67万元，支付医疗救助25321人次、1169.42万元；支付职工医保统筹基金支出904.52万元，个人账户698.60万元。四是应倾尽倾。在普惠制政策的基础上，对特困人员、低保对象等统一执行起付线降低50%、报销比例提高5个百分点的倾斜支付政策;医疗救助年度限额内，政策范围内个人自付住院医疗费用救助比例不低于70%。五是应兜尽兜。创新实施“防贫保”兜底保障防线坚固，通过“防贫保”对因病导致的脱贫不稳定户和边缘易致贫户，实行“一户一策”救助，切实做到早发现、早干预，筑牢因病致贫返贫防线，确保乡村振兴路上不落一人。截至目前，已救助16户，救助金额38.5万元。</w:t>
      </w:r>
    </w:p>
    <w:p w14:paraId="2D6B88F1">
      <w:pPr>
        <w:pStyle w:val="2"/>
        <w:pageBreakBefore w:val="0"/>
        <w:kinsoku/>
        <w:wordWrap/>
        <w:overflowPunct/>
        <w:topLinePunct w:val="0"/>
        <w:bidi w:val="0"/>
        <w:adjustRightInd w:val="0"/>
        <w:snapToGrid w:val="0"/>
        <w:spacing w:before="93" w:line="576" w:lineRule="exact"/>
        <w:ind w:firstLine="588" w:firstLineChars="210"/>
        <w:textAlignment w:val="auto"/>
        <w:outlineLvl w:val="2"/>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3、</w:t>
      </w:r>
      <w:r>
        <w:rPr>
          <w:rFonts w:hint="eastAsia" w:ascii="仿宋_GB2312" w:hAnsi="仿宋_GB2312" w:eastAsia="仿宋_GB2312" w:cs="仿宋_GB2312"/>
          <w:bCs/>
          <w:color w:val="000000"/>
          <w:sz w:val="28"/>
          <w:szCs w:val="28"/>
        </w:rPr>
        <w:t>真抓实干转作风，深化行风建设提能增效优环境。聚焦医保经办堵点、痛点、难点，解决烦心事、忧心事、揪心事，加强行风建设，真抓实干转作风，实现群众“跑最少的路”“花最少的时间”“交最少的材料”，不断增强人民群众获得感。一是建立两类窗口。建立综合柜员窗口，实行“一窗接件、内部流转、后台审批、一窗出件”运行模式，有效解决办事群众拥堵和需要反复排队的问题；同时建立“办不成事”窗口，解决办事群众“办不成的事”，设立“办不成事”窗口以来，已受理“办不成事”事件35件，办成32件，办成率达91%。二是强化两类培训。每月集中组织工作人员加强政治理论培训和经办业务政策培训各一次，提升政治理论水平和经办工作能力。三是开展“三减”。按照“放管服”要求，深入开展“减资料、减环节、减时限”，业务提速40%。同时针对服务事项制定了相应的办事流程和指南，实行“一事项一指南”让参保群众明白办，并引导办事群众积极参与满意度评价，落实“好差评”制度。四是落实三项代办。落实乡镇卫生院代办非直接结算费用报销业务、镇便民服务中心医保窗口代办医疗救助、保险公司代办返贫阻击救助业务，免去群众来回奔波之苦。五是科学规划四个区域。结合大厅标准化建设，科学设置办事区、自助区、等待区、休息区，增设叫号机、医保业务自助查询机、急救药箱、老花镜、雨具、手机充电站等便民服务设施，让我们的服务温馨更舒适。</w:t>
      </w:r>
    </w:p>
    <w:p w14:paraId="1F547F95">
      <w:pPr>
        <w:pStyle w:val="2"/>
        <w:pageBreakBefore w:val="0"/>
        <w:kinsoku/>
        <w:wordWrap/>
        <w:overflowPunct/>
        <w:topLinePunct w:val="0"/>
        <w:bidi w:val="0"/>
        <w:adjustRightInd w:val="0"/>
        <w:snapToGrid w:val="0"/>
        <w:spacing w:before="93" w:line="576" w:lineRule="exact"/>
        <w:ind w:firstLine="588" w:firstLineChars="210"/>
        <w:textAlignment w:val="auto"/>
        <w:outlineLvl w:val="2"/>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4、</w:t>
      </w:r>
      <w:r>
        <w:rPr>
          <w:rFonts w:hint="eastAsia" w:ascii="仿宋_GB2312" w:hAnsi="仿宋_GB2312" w:eastAsia="仿宋_GB2312" w:cs="仿宋_GB2312"/>
          <w:bCs/>
          <w:color w:val="000000"/>
          <w:sz w:val="28"/>
          <w:szCs w:val="28"/>
        </w:rPr>
        <w:t>攻坚克难开新局，医疗保障重点领域改革成效明显。一是医保支付方式改革全面启动。全区33家定点医疗机构全面实施DRG结算，与去年同期相比节约医保基金218.62万元。二是国家组织药品集中采购全面落地。目前全省集中采购的共七批次247个中选药品，均已顺利进入我区31家定点公立医疗机构和1家定点民营医疗机构，药品费用总体降幅达62%，最高降幅达到90%以上，节约医保基金680万元，有效减轻了群众就医负担。三是国家医保新系统正式上线。国家医保新系统于8月正式启用，现已全面接通所有定点医药机构，已顺利开展联网结算，已结算人次1.78万人次，结算费用800余万元。 同时，实现电子医保凭证联网即时报销，全区148690人成功开通医保电子凭证，使用电子医保卡业务结算10275人次。四是全面开通异地就医联网结算。全区34家定点医疗机构实现跨省异地联网结算，截至2021年10月共结算结算3797人次，结算费用203万元，同比增长153%。五是基层医保经办服务网络初步构建。严格按照区政府办印发的《关于加强镇村两级医疗保障服务能力建设的实施意见》，着力构建“一制、二纵、三横、四强化”工作格局，按照“做优区级，做强镇级，做实村级，减少办事层级”的工作思路，大力推进经办服务向镇村下沉、服务网格向基层延伸，不断提升医保经办服务可及性，建成医保经办机构或站点64个区镇村三级医保服务网络全面建成。目前，我区镇村医保经办服务能力建设工作已纳入省级示范试点。</w:t>
      </w:r>
    </w:p>
    <w:p w14:paraId="19777E3D">
      <w:pPr>
        <w:pStyle w:val="2"/>
        <w:pageBreakBefore w:val="0"/>
        <w:kinsoku/>
        <w:wordWrap/>
        <w:overflowPunct/>
        <w:topLinePunct w:val="0"/>
        <w:bidi w:val="0"/>
        <w:adjustRightInd w:val="0"/>
        <w:snapToGrid w:val="0"/>
        <w:spacing w:before="93" w:line="576" w:lineRule="exact"/>
        <w:ind w:firstLine="588" w:firstLineChars="210"/>
        <w:textAlignment w:val="auto"/>
        <w:outlineLvl w:val="2"/>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5、</w:t>
      </w:r>
      <w:r>
        <w:rPr>
          <w:rFonts w:hint="eastAsia" w:ascii="仿宋_GB2312" w:hAnsi="仿宋_GB2312" w:eastAsia="仿宋_GB2312" w:cs="仿宋_GB2312"/>
          <w:bCs/>
          <w:color w:val="000000"/>
          <w:sz w:val="28"/>
          <w:szCs w:val="28"/>
        </w:rPr>
        <w:t>履职尽责守底线，强化监管提升医保基金使用绩效。一是建强监管队伍。督促11名干部职工考取四川省行政执法证件，确保执法主体合法。组建了医疗保障基金监管“专家库”，严格按照“双随机</w:t>
      </w:r>
      <w:r>
        <w:rPr>
          <w:rFonts w:hint="eastAsia" w:hAnsi="仿宋_GB2312" w:cs="仿宋_GB2312"/>
          <w:bCs/>
          <w:color w:val="000000"/>
          <w:sz w:val="28"/>
          <w:szCs w:val="28"/>
          <w:lang w:eastAsia="zh-CN"/>
        </w:rPr>
        <w:t>、</w:t>
      </w:r>
      <w:r>
        <w:rPr>
          <w:rFonts w:hint="eastAsia" w:ascii="仿宋_GB2312" w:hAnsi="仿宋_GB2312" w:eastAsia="仿宋_GB2312" w:cs="仿宋_GB2312"/>
          <w:bCs/>
          <w:color w:val="000000"/>
          <w:sz w:val="28"/>
          <w:szCs w:val="28"/>
        </w:rPr>
        <w:t>一公开”要求，随机抽取监管人员名单开展日常监督。通过开展《行政处罚法》《医疗保障基金使用监督管理条例》等法律法规知识培训，增强领导干部法律意识和法治观念，提升执法人员法律素养和执法能力，建立高水平专业化的医保行政执法队伍。二是深化行业治理。全面开展医疗卫生领域突出问题系统专项治理和“三假”专项行动，全区62家医药机构全覆盖检查，追回</w:t>
      </w:r>
      <w:bookmarkStart w:id="65" w:name="_GoBack"/>
      <w:bookmarkEnd w:id="65"/>
      <w:r>
        <w:rPr>
          <w:rFonts w:hint="eastAsia" w:ascii="仿宋_GB2312" w:hAnsi="仿宋_GB2312" w:eastAsia="仿宋_GB2312" w:cs="仿宋_GB2312"/>
          <w:bCs/>
          <w:color w:val="000000"/>
          <w:sz w:val="28"/>
          <w:szCs w:val="28"/>
        </w:rPr>
        <w:t>医保基金38.87万元，处罚违约金3.69万元，行政处罚4.07万元，解除药店定点协议1家，局主要负责人定期组织定点医药机构负责人及相关责任人开展集中约谈和警示教育2次。三是强化群众监督。聘请医疗保障基金社会监督员8人，参与我区医疗保障基金监管工作。同时设立举报奖励基金，畅通投诉举报渠道，鼓励群众积极参与到“打击欺诈骗保维护基金安全”行动中来，共同维护好医保基金安全。截至目前，已处理群众举报欺诈骗保案件6件次，追回医保基金13.69万元。</w:t>
      </w:r>
    </w:p>
    <w:p w14:paraId="3DB469B1">
      <w:pPr>
        <w:pStyle w:val="2"/>
        <w:pageBreakBefore w:val="0"/>
        <w:kinsoku/>
        <w:wordWrap/>
        <w:overflowPunct/>
        <w:topLinePunct w:val="0"/>
        <w:bidi w:val="0"/>
        <w:adjustRightInd w:val="0"/>
        <w:snapToGrid w:val="0"/>
        <w:spacing w:before="93" w:line="576" w:lineRule="exact"/>
        <w:ind w:firstLine="588" w:firstLineChars="210"/>
        <w:textAlignment w:val="auto"/>
        <w:outlineLvl w:val="2"/>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6、</w:t>
      </w:r>
      <w:r>
        <w:rPr>
          <w:rFonts w:hint="eastAsia" w:ascii="仿宋_GB2312" w:hAnsi="仿宋_GB2312" w:eastAsia="仿宋_GB2312" w:cs="仿宋_GB2312"/>
          <w:bCs/>
          <w:color w:val="000000"/>
          <w:sz w:val="28"/>
          <w:szCs w:val="28"/>
        </w:rPr>
        <w:t>凝心聚力促提升，重点工作稳步有序开展。一是及时拨付新冠肺炎疫苗及接种费用，目前共拨付12.22万人次、费用840.45万元。二是全面落实企业医保优惠政策，助推区域经济持续发展。落实“缓缴”优惠政策，做好政策解释和业务引导服务，助力疫情防控和企业复工复产。2021年，共落实缓交金额4.9万余元。三是以依法治区示范创建为抓手，根据“三定方案”，推行账图模式，建立法治台账，形成了岗位学法、人人研法、办事依法、人人敬法的良好氛围。四是安全生产、文明城市创建、驻村帮扶、疫情防控等其他重点工作有序开展。</w:t>
      </w:r>
    </w:p>
    <w:p w14:paraId="4B9138CA">
      <w:pPr>
        <w:pStyle w:val="3"/>
        <w:ind w:right="440"/>
        <w:jc w:val="center"/>
        <w:rPr>
          <w:rFonts w:hint="eastAsia" w:ascii="仿宋_GB2312" w:hAnsi="仿宋_GB2312" w:eastAsia="仿宋_GB2312" w:cs="仿宋_GB2312"/>
          <w:sz w:val="28"/>
          <w:szCs w:val="28"/>
        </w:rPr>
      </w:pPr>
      <w:bookmarkStart w:id="19" w:name="_Toc15396602"/>
      <w:bookmarkStart w:id="20"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2"/>
          <w:rFonts w:hint="eastAsia" w:ascii="黑体" w:hAnsi="黑体" w:eastAsia="黑体"/>
          <w:b w:val="0"/>
          <w:bCs/>
          <w:color w:val="auto"/>
          <w:highlight w:val="none"/>
          <w:lang w:eastAsia="zh-CN"/>
        </w:rPr>
        <w:t>单位</w:t>
      </w:r>
      <w:r>
        <w:rPr>
          <w:rStyle w:val="22"/>
          <w:rFonts w:hint="eastAsia" w:ascii="黑体" w:hAnsi="黑体" w:eastAsia="黑体"/>
          <w:b w:val="0"/>
          <w:bCs/>
          <w:color w:val="auto"/>
          <w:highlight w:val="none"/>
        </w:rPr>
        <w:t>决算情况说明</w:t>
      </w:r>
      <w:bookmarkEnd w:id="19"/>
      <w:bookmarkEnd w:id="20"/>
    </w:p>
    <w:p w14:paraId="3E509563">
      <w:pPr>
        <w:pStyle w:val="17"/>
        <w:numPr>
          <w:ilvl w:val="0"/>
          <w:numId w:val="1"/>
        </w:numPr>
        <w:spacing w:line="600" w:lineRule="exact"/>
        <w:ind w:firstLineChars="0"/>
        <w:outlineLvl w:val="1"/>
        <w:rPr>
          <w:rStyle w:val="21"/>
          <w:rFonts w:ascii="黑体" w:hAnsi="黑体" w:eastAsia="黑体"/>
          <w:b w:val="0"/>
          <w:color w:val="auto"/>
          <w:highlight w:val="none"/>
        </w:rPr>
      </w:pPr>
      <w:bookmarkStart w:id="21" w:name="_Toc15377205"/>
      <w:bookmarkStart w:id="22" w:name="_Toc15396603"/>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21"/>
      <w:bookmarkEnd w:id="22"/>
    </w:p>
    <w:p w14:paraId="07EB1A45">
      <w:pPr>
        <w:pageBreakBefore w:val="0"/>
        <w:kinsoku/>
        <w:wordWrap/>
        <w:overflowPunct/>
        <w:topLinePunct w:val="0"/>
        <w:bidi w:val="0"/>
        <w:spacing w:line="576" w:lineRule="exact"/>
        <w:ind w:firstLine="560" w:firstLineChars="200"/>
        <w:textAlignment w:val="auto"/>
      </w:pPr>
      <w:r>
        <w:rPr>
          <w:rFonts w:hint="eastAsia" w:ascii="仿宋_GB2312" w:hAnsi="仿宋_GB2312" w:eastAsia="仿宋_GB2312" w:cs="仿宋_GB2312"/>
          <w:color w:val="000000"/>
          <w:kern w:val="2"/>
          <w:sz w:val="28"/>
          <w:szCs w:val="28"/>
          <w:lang w:val="en-US" w:eastAsia="zh-CN" w:bidi="ar-SA"/>
        </w:rPr>
        <w:t>2021年度收、支总计460.66万元。与2020年相比收、支总计增加131.39万元，增加39.90%。主要变动原因是从社保专户调入新冠疫苗及接种项目资金等。</w:t>
      </w:r>
    </w:p>
    <w:p w14:paraId="07B67AA2">
      <w:pPr>
        <w:pStyle w:val="2"/>
        <w:rPr>
          <w:rFonts w:hint="eastAsia"/>
        </w:rPr>
      </w:pPr>
      <w:r>
        <w:drawing>
          <wp:inline distT="0" distB="0" distL="114300" distR="114300">
            <wp:extent cx="5071110" cy="2142490"/>
            <wp:effectExtent l="4445" t="4445" r="10795" b="57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1F8960A">
      <w:pPr>
        <w:pStyle w:val="17"/>
        <w:numPr>
          <w:ilvl w:val="0"/>
          <w:numId w:val="1"/>
        </w:numPr>
        <w:spacing w:line="600" w:lineRule="exact"/>
        <w:ind w:firstLineChars="0"/>
        <w:outlineLvl w:val="1"/>
        <w:rPr>
          <w:rStyle w:val="21"/>
          <w:rFonts w:ascii="黑体" w:hAnsi="黑体" w:eastAsia="黑体"/>
          <w:b w:val="0"/>
          <w:color w:val="auto"/>
          <w:highlight w:val="none"/>
        </w:rPr>
      </w:pPr>
      <w:bookmarkStart w:id="23" w:name="_Toc15396604"/>
      <w:bookmarkStart w:id="24" w:name="_Toc15377206"/>
      <w:bookmarkStart w:id="25" w:name="_Toc15396605"/>
      <w:bookmarkStart w:id="26" w:name="_Toc15377207"/>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23"/>
      <w:bookmarkEnd w:id="24"/>
    </w:p>
    <w:p w14:paraId="22F8033A">
      <w:pPr>
        <w:pageBreakBefore w:val="0"/>
        <w:kinsoku/>
        <w:wordWrap/>
        <w:overflowPunct/>
        <w:topLinePunct w:val="0"/>
        <w:bidi w:val="0"/>
        <w:spacing w:line="576" w:lineRule="exact"/>
        <w:ind w:firstLine="560" w:firstLineChars="200"/>
        <w:textAlignment w:val="auto"/>
        <w:outlineLvl w:val="1"/>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kern w:val="2"/>
          <w:sz w:val="28"/>
          <w:szCs w:val="28"/>
          <w:lang w:val="en-US" w:eastAsia="zh-CN" w:bidi="ar-SA"/>
        </w:rPr>
        <w:t>021年本年收入合计460.66万元，其中：一般公共预算财政拨款收入460.66万元，占100%；政府性基金预算财政拨款收入0万元，占0%；国有资本经营预算财政拨款收入0万元，占0%；事业收入0万元，占0%；经营收入0万元，占0%；附属单位上缴收入0万元，占0%；其他收入0万元，占0%。</w:t>
      </w:r>
    </w:p>
    <w:p w14:paraId="1570677A">
      <w:pPr>
        <w:pStyle w:val="2"/>
        <w:rPr>
          <w:rFonts w:hint="eastAsia"/>
        </w:rPr>
      </w:pPr>
      <w:r>
        <w:drawing>
          <wp:inline distT="0" distB="0" distL="114300" distR="114300">
            <wp:extent cx="5152390" cy="2695575"/>
            <wp:effectExtent l="4445" t="4445" r="5715"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bookmarkEnd w:id="25"/>
    <w:bookmarkEnd w:id="26"/>
    <w:p w14:paraId="5B78C7BB">
      <w:pPr>
        <w:pStyle w:val="17"/>
        <w:numPr>
          <w:ilvl w:val="0"/>
          <w:numId w:val="1"/>
        </w:numPr>
        <w:spacing w:line="600" w:lineRule="exact"/>
        <w:ind w:firstLineChars="0"/>
        <w:outlineLvl w:val="1"/>
        <w:rPr>
          <w:rStyle w:val="21"/>
          <w:rFonts w:ascii="黑体" w:hAnsi="黑体" w:eastAsia="黑体"/>
          <w:b w:val="0"/>
          <w:color w:val="auto"/>
          <w:highlight w:val="none"/>
        </w:rPr>
      </w:pPr>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p>
    <w:p w14:paraId="0029A18B">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28"/>
          <w:szCs w:val="28"/>
          <w:shd w:val="pct10" w:color="auto" w:fill="FFFFFF"/>
        </w:rPr>
      </w:pP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年本年支出合计</w:t>
      </w:r>
      <w:r>
        <w:rPr>
          <w:rFonts w:hint="eastAsia" w:ascii="仿宋_GB2312" w:hAnsi="仿宋_GB2312" w:eastAsia="仿宋_GB2312" w:cs="仿宋_GB2312"/>
          <w:color w:val="000000"/>
          <w:sz w:val="28"/>
          <w:szCs w:val="28"/>
          <w:lang w:val="en-US" w:eastAsia="zh-CN"/>
        </w:rPr>
        <w:t>460.66</w:t>
      </w:r>
      <w:r>
        <w:rPr>
          <w:rFonts w:hint="eastAsia" w:ascii="仿宋_GB2312" w:hAnsi="仿宋_GB2312" w:eastAsia="仿宋_GB2312" w:cs="仿宋_GB2312"/>
          <w:color w:val="000000"/>
          <w:sz w:val="28"/>
          <w:szCs w:val="28"/>
        </w:rPr>
        <w:t>万元，其中：基本支出</w:t>
      </w:r>
      <w:r>
        <w:rPr>
          <w:rFonts w:hint="eastAsia" w:ascii="仿宋_GB2312" w:hAnsi="仿宋_GB2312" w:eastAsia="仿宋_GB2312" w:cs="仿宋_GB2312"/>
          <w:color w:val="000000"/>
          <w:sz w:val="28"/>
          <w:szCs w:val="28"/>
          <w:lang w:val="en-US" w:eastAsia="zh-CN"/>
        </w:rPr>
        <w:t>340.53</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73.92</w:t>
      </w:r>
      <w:r>
        <w:rPr>
          <w:rFonts w:hint="eastAsia" w:ascii="仿宋_GB2312" w:hAnsi="仿宋_GB2312" w:eastAsia="仿宋_GB2312" w:cs="仿宋_GB2312"/>
          <w:color w:val="000000"/>
          <w:sz w:val="28"/>
          <w:szCs w:val="28"/>
        </w:rPr>
        <w:t>%；项目支出</w:t>
      </w:r>
      <w:r>
        <w:rPr>
          <w:rFonts w:hint="eastAsia" w:ascii="仿宋_GB2312" w:hAnsi="仿宋_GB2312" w:eastAsia="仿宋_GB2312" w:cs="仿宋_GB2312"/>
          <w:color w:val="000000"/>
          <w:sz w:val="28"/>
          <w:szCs w:val="28"/>
          <w:lang w:val="en-US" w:eastAsia="zh-CN"/>
        </w:rPr>
        <w:t>120.13</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占</w:t>
      </w:r>
      <w:r>
        <w:rPr>
          <w:rFonts w:hint="eastAsia" w:ascii="仿宋_GB2312" w:hAnsi="仿宋_GB2312" w:eastAsia="仿宋_GB2312" w:cs="仿宋_GB2312"/>
          <w:color w:val="000000"/>
          <w:sz w:val="28"/>
          <w:szCs w:val="28"/>
          <w:lang w:val="en-US" w:eastAsia="zh-CN"/>
        </w:rPr>
        <w:t>26.08</w:t>
      </w:r>
      <w:r>
        <w:rPr>
          <w:rFonts w:hint="eastAsia" w:ascii="仿宋_GB2312" w:hAnsi="仿宋_GB2312" w:eastAsia="仿宋_GB2312" w:cs="仿宋_GB2312"/>
          <w:color w:val="000000"/>
          <w:sz w:val="28"/>
          <w:szCs w:val="28"/>
        </w:rPr>
        <w:t>%；上缴上级支出0万元</w:t>
      </w:r>
      <w:r>
        <w:rPr>
          <w:rFonts w:hint="eastAsia" w:ascii="仿宋_GB2312" w:hAnsi="仿宋_GB2312" w:eastAsia="仿宋_GB2312" w:cs="仿宋_GB2312"/>
          <w:color w:val="000000"/>
          <w:kern w:val="2"/>
          <w:sz w:val="28"/>
          <w:szCs w:val="28"/>
          <w:lang w:val="en-US" w:eastAsia="zh-CN" w:bidi="ar-SA"/>
        </w:rPr>
        <w:t>，占0%</w:t>
      </w:r>
      <w:r>
        <w:rPr>
          <w:rFonts w:hint="eastAsia" w:ascii="仿宋_GB2312" w:hAnsi="仿宋_GB2312" w:eastAsia="仿宋_GB2312" w:cs="仿宋_GB2312"/>
          <w:color w:val="000000"/>
          <w:sz w:val="28"/>
          <w:szCs w:val="28"/>
        </w:rPr>
        <w:t>；经营支出0万元</w:t>
      </w:r>
      <w:r>
        <w:rPr>
          <w:rFonts w:hint="eastAsia" w:ascii="仿宋_GB2312" w:hAnsi="仿宋_GB2312" w:eastAsia="仿宋_GB2312" w:cs="仿宋_GB2312"/>
          <w:color w:val="000000"/>
          <w:kern w:val="2"/>
          <w:sz w:val="28"/>
          <w:szCs w:val="28"/>
          <w:lang w:val="en-US" w:eastAsia="zh-CN" w:bidi="ar-SA"/>
        </w:rPr>
        <w:t>，占0%</w:t>
      </w:r>
      <w:r>
        <w:rPr>
          <w:rFonts w:hint="eastAsia" w:ascii="仿宋_GB2312" w:hAnsi="仿宋_GB2312" w:eastAsia="仿宋_GB2312" w:cs="仿宋_GB2312"/>
          <w:color w:val="000000"/>
          <w:sz w:val="28"/>
          <w:szCs w:val="28"/>
        </w:rPr>
        <w:t>；对附属单位补助支出0万元</w:t>
      </w:r>
      <w:r>
        <w:rPr>
          <w:rFonts w:hint="eastAsia" w:ascii="仿宋_GB2312" w:hAnsi="仿宋_GB2312" w:eastAsia="仿宋_GB2312" w:cs="仿宋_GB2312"/>
          <w:color w:val="000000"/>
          <w:kern w:val="2"/>
          <w:sz w:val="28"/>
          <w:szCs w:val="28"/>
          <w:lang w:val="en-US" w:eastAsia="zh-CN" w:bidi="ar-SA"/>
        </w:rPr>
        <w:t>，占0%。</w:t>
      </w:r>
    </w:p>
    <w:p w14:paraId="5CE51AC4">
      <w:pPr>
        <w:spacing w:line="600" w:lineRule="exact"/>
        <w:ind w:firstLine="420" w:firstLineChars="200"/>
        <w:outlineLvl w:val="1"/>
        <w:rPr>
          <w:rFonts w:hint="eastAsia" w:ascii="黑体" w:hAnsi="黑体" w:eastAsia="黑体"/>
          <w:color w:val="auto"/>
          <w:sz w:val="32"/>
          <w:szCs w:val="32"/>
          <w:highlight w:val="none"/>
        </w:rPr>
      </w:pPr>
      <w:bookmarkStart w:id="27" w:name="_Toc15377208"/>
      <w:bookmarkStart w:id="28" w:name="_Toc15396606"/>
      <w:bookmarkStart w:id="29" w:name="_Toc15377209"/>
      <w:bookmarkStart w:id="30" w:name="_Toc15396607"/>
      <w:r>
        <w:drawing>
          <wp:anchor distT="0" distB="0" distL="114935" distR="114935" simplePos="0" relativeHeight="251659264" behindDoc="0" locked="0" layoutInCell="1" allowOverlap="1">
            <wp:simplePos x="0" y="0"/>
            <wp:positionH relativeFrom="column">
              <wp:posOffset>60325</wp:posOffset>
            </wp:positionH>
            <wp:positionV relativeFrom="paragraph">
              <wp:posOffset>30480</wp:posOffset>
            </wp:positionV>
            <wp:extent cx="5029200" cy="2657475"/>
            <wp:effectExtent l="4445" t="4445" r="14605" b="5080"/>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15D5B14A">
      <w:pPr>
        <w:spacing w:line="600" w:lineRule="exact"/>
        <w:ind w:firstLine="640" w:firstLineChars="200"/>
        <w:outlineLvl w:val="1"/>
        <w:rPr>
          <w:rFonts w:hint="eastAsia" w:ascii="黑体" w:hAnsi="黑体" w:eastAsia="黑体"/>
          <w:color w:val="auto"/>
          <w:sz w:val="32"/>
          <w:szCs w:val="32"/>
          <w:highlight w:val="none"/>
        </w:rPr>
      </w:pPr>
    </w:p>
    <w:p w14:paraId="1E4294B3">
      <w:pPr>
        <w:spacing w:line="600" w:lineRule="exact"/>
        <w:ind w:firstLine="640" w:firstLineChars="200"/>
        <w:outlineLvl w:val="1"/>
        <w:rPr>
          <w:rFonts w:hint="eastAsia" w:ascii="黑体" w:hAnsi="黑体" w:eastAsia="黑体"/>
          <w:color w:val="auto"/>
          <w:sz w:val="32"/>
          <w:szCs w:val="32"/>
          <w:highlight w:val="none"/>
        </w:rPr>
      </w:pPr>
    </w:p>
    <w:p w14:paraId="1F24BD60">
      <w:pPr>
        <w:spacing w:line="600" w:lineRule="exact"/>
        <w:ind w:firstLine="640" w:firstLineChars="200"/>
        <w:outlineLvl w:val="1"/>
        <w:rPr>
          <w:rFonts w:hint="eastAsia" w:ascii="黑体" w:hAnsi="黑体" w:eastAsia="黑体"/>
          <w:color w:val="auto"/>
          <w:sz w:val="32"/>
          <w:szCs w:val="32"/>
          <w:highlight w:val="none"/>
        </w:rPr>
      </w:pPr>
    </w:p>
    <w:p w14:paraId="308F67E7">
      <w:pPr>
        <w:spacing w:line="600" w:lineRule="exact"/>
        <w:ind w:firstLine="640" w:firstLineChars="200"/>
        <w:outlineLvl w:val="1"/>
        <w:rPr>
          <w:rFonts w:hint="eastAsia" w:ascii="黑体" w:hAnsi="黑体" w:eastAsia="黑体"/>
          <w:color w:val="auto"/>
          <w:sz w:val="32"/>
          <w:szCs w:val="32"/>
          <w:highlight w:val="none"/>
        </w:rPr>
      </w:pPr>
    </w:p>
    <w:p w14:paraId="461ADB62">
      <w:pPr>
        <w:spacing w:line="600" w:lineRule="exact"/>
        <w:ind w:firstLine="640" w:firstLineChars="200"/>
        <w:outlineLvl w:val="1"/>
        <w:rPr>
          <w:rFonts w:hint="eastAsia" w:ascii="黑体" w:hAnsi="黑体" w:eastAsia="黑体"/>
          <w:color w:val="auto"/>
          <w:sz w:val="32"/>
          <w:szCs w:val="32"/>
          <w:highlight w:val="none"/>
        </w:rPr>
      </w:pPr>
    </w:p>
    <w:p w14:paraId="1E623DFF">
      <w:pPr>
        <w:spacing w:line="600" w:lineRule="exact"/>
        <w:ind w:firstLine="640" w:firstLineChars="200"/>
        <w:outlineLvl w:val="1"/>
        <w:rPr>
          <w:rFonts w:hint="eastAsia" w:ascii="黑体" w:hAnsi="黑体" w:eastAsia="黑体"/>
          <w:color w:val="auto"/>
          <w:sz w:val="32"/>
          <w:szCs w:val="32"/>
          <w:highlight w:val="none"/>
        </w:rPr>
      </w:pPr>
    </w:p>
    <w:p w14:paraId="6E7B7B8C">
      <w:pPr>
        <w:spacing w:line="600" w:lineRule="exact"/>
        <w:ind w:firstLine="640" w:firstLineChars="200"/>
        <w:outlineLvl w:val="1"/>
        <w:rPr>
          <w:rFonts w:hint="eastAsia" w:ascii="黑体" w:hAnsi="黑体" w:eastAsia="黑体"/>
          <w:color w:val="auto"/>
          <w:sz w:val="32"/>
          <w:szCs w:val="32"/>
          <w:highlight w:val="none"/>
        </w:rPr>
      </w:pPr>
    </w:p>
    <w:p w14:paraId="7CD3071E">
      <w:pPr>
        <w:spacing w:line="600" w:lineRule="exact"/>
        <w:ind w:firstLine="640" w:firstLineChars="200"/>
        <w:outlineLvl w:val="1"/>
        <w:rPr>
          <w:rFonts w:hint="eastAsia" w:ascii="黑体" w:hAnsi="黑体" w:eastAsia="黑体"/>
          <w:color w:val="auto"/>
          <w:sz w:val="32"/>
          <w:szCs w:val="32"/>
          <w:highlight w:val="none"/>
        </w:rPr>
      </w:pPr>
    </w:p>
    <w:p w14:paraId="637CFFC0">
      <w:pPr>
        <w:spacing w:line="600" w:lineRule="exact"/>
        <w:ind w:firstLine="640" w:firstLineChars="200"/>
        <w:outlineLvl w:val="1"/>
        <w:rPr>
          <w:rStyle w:val="21"/>
          <w:rFonts w:ascii="黑体" w:hAnsi="黑体" w:eastAsia="黑体"/>
          <w:b w:val="0"/>
          <w:color w:val="auto"/>
          <w:highlight w:val="none"/>
        </w:rPr>
      </w:pPr>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27"/>
      <w:bookmarkEnd w:id="28"/>
    </w:p>
    <w:p w14:paraId="2DA2AB37">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年度收、支总计</w:t>
      </w:r>
      <w:r>
        <w:rPr>
          <w:rFonts w:hint="eastAsia" w:ascii="仿宋_GB2312" w:hAnsi="仿宋_GB2312" w:eastAsia="仿宋_GB2312" w:cs="仿宋_GB2312"/>
          <w:color w:val="000000"/>
          <w:sz w:val="28"/>
          <w:szCs w:val="28"/>
          <w:lang w:val="en-US" w:eastAsia="zh-CN"/>
        </w:rPr>
        <w:t>460.66</w:t>
      </w:r>
      <w:r>
        <w:rPr>
          <w:rFonts w:hint="eastAsia" w:ascii="仿宋_GB2312" w:hAnsi="仿宋_GB2312" w:eastAsia="仿宋_GB2312" w:cs="仿宋_GB2312"/>
          <w:color w:val="000000"/>
          <w:sz w:val="28"/>
          <w:szCs w:val="28"/>
        </w:rPr>
        <w:t>万元。与</w:t>
      </w:r>
      <w:r>
        <w:rPr>
          <w:rFonts w:hint="eastAsia" w:ascii="仿宋_GB2312" w:hAnsi="仿宋_GB2312" w:eastAsia="仿宋_GB2312" w:cs="仿宋_GB2312"/>
          <w:color w:val="000000"/>
          <w:sz w:val="28"/>
          <w:szCs w:val="28"/>
          <w:lang w:eastAsia="zh-CN"/>
        </w:rPr>
        <w:t>2020</w:t>
      </w:r>
      <w:r>
        <w:rPr>
          <w:rFonts w:hint="eastAsia" w:ascii="仿宋_GB2312" w:hAnsi="仿宋_GB2312" w:eastAsia="仿宋_GB2312" w:cs="仿宋_GB2312"/>
          <w:color w:val="000000"/>
          <w:sz w:val="28"/>
          <w:szCs w:val="28"/>
        </w:rPr>
        <w:t>年相比，收、支总计</w:t>
      </w:r>
      <w:r>
        <w:rPr>
          <w:rFonts w:hint="eastAsia" w:ascii="仿宋_GB2312" w:hAnsi="仿宋_GB2312" w:eastAsia="仿宋_GB2312" w:cs="仿宋_GB2312"/>
          <w:color w:val="000000"/>
          <w:kern w:val="2"/>
          <w:sz w:val="28"/>
          <w:szCs w:val="28"/>
          <w:lang w:val="en-US" w:eastAsia="zh-CN" w:bidi="ar-SA"/>
        </w:rPr>
        <w:t>增加131.39万元，增加39.90%。主要变动原因是从社保专户调入新冠疫苗及接种项目资金和向上争取医疗保障与服务能力提升资金等。</w:t>
      </w:r>
    </w:p>
    <w:bookmarkEnd w:id="29"/>
    <w:bookmarkEnd w:id="30"/>
    <w:p w14:paraId="3289236F">
      <w:pPr>
        <w:spacing w:line="600" w:lineRule="exact"/>
        <w:ind w:firstLine="640" w:firstLineChars="200"/>
        <w:outlineLvl w:val="1"/>
        <w:rPr>
          <w:rFonts w:hint="eastAsia" w:ascii="黑体" w:hAnsi="黑体" w:eastAsia="黑体"/>
          <w:color w:val="auto"/>
          <w:sz w:val="32"/>
          <w:szCs w:val="32"/>
          <w:highlight w:val="none"/>
        </w:rPr>
      </w:pPr>
      <w:bookmarkStart w:id="31" w:name="_Toc15377210"/>
    </w:p>
    <w:p w14:paraId="4BB47211">
      <w:pPr>
        <w:spacing w:line="600" w:lineRule="exact"/>
        <w:ind w:firstLine="640" w:firstLineChars="200"/>
        <w:outlineLvl w:val="1"/>
        <w:rPr>
          <w:rFonts w:hint="eastAsia" w:ascii="黑体" w:hAnsi="黑体" w:eastAsia="黑体"/>
          <w:color w:val="auto"/>
          <w:sz w:val="32"/>
          <w:szCs w:val="32"/>
          <w:highlight w:val="none"/>
        </w:rPr>
      </w:pPr>
    </w:p>
    <w:p w14:paraId="279ECFE7">
      <w:pPr>
        <w:spacing w:line="600" w:lineRule="exact"/>
        <w:ind w:firstLine="640" w:firstLineChars="200"/>
        <w:outlineLvl w:val="1"/>
        <w:rPr>
          <w:rFonts w:hint="eastAsia" w:ascii="黑体" w:hAnsi="黑体" w:eastAsia="黑体"/>
          <w:color w:val="auto"/>
          <w:sz w:val="32"/>
          <w:szCs w:val="32"/>
          <w:highlight w:val="none"/>
        </w:rPr>
      </w:pPr>
    </w:p>
    <w:p w14:paraId="0FC32B6B">
      <w:pPr>
        <w:spacing w:line="600" w:lineRule="exact"/>
        <w:ind w:firstLine="640" w:firstLineChars="200"/>
        <w:outlineLvl w:val="1"/>
        <w:rPr>
          <w:rFonts w:hint="eastAsia" w:ascii="黑体" w:hAnsi="黑体" w:eastAsia="黑体"/>
          <w:color w:val="auto"/>
          <w:sz w:val="32"/>
          <w:szCs w:val="32"/>
          <w:highlight w:val="none"/>
        </w:rPr>
      </w:pPr>
    </w:p>
    <w:p w14:paraId="2D387EA5">
      <w:pPr>
        <w:spacing w:line="600" w:lineRule="exact"/>
        <w:ind w:firstLine="640" w:firstLineChars="200"/>
        <w:outlineLvl w:val="1"/>
        <w:rPr>
          <w:rFonts w:hint="eastAsia" w:ascii="黑体" w:hAnsi="黑体" w:eastAsia="黑体"/>
          <w:color w:val="auto"/>
          <w:sz w:val="32"/>
          <w:szCs w:val="32"/>
          <w:highlight w:val="none"/>
        </w:rPr>
      </w:pPr>
    </w:p>
    <w:p w14:paraId="01C151C5">
      <w:pPr>
        <w:spacing w:line="600" w:lineRule="exact"/>
        <w:ind w:firstLine="640" w:firstLineChars="200"/>
        <w:outlineLvl w:val="1"/>
        <w:rPr>
          <w:rFonts w:hint="eastAsia" w:ascii="黑体" w:hAnsi="黑体" w:eastAsia="黑体"/>
          <w:color w:val="auto"/>
          <w:sz w:val="32"/>
          <w:szCs w:val="32"/>
          <w:highlight w:val="none"/>
        </w:rPr>
      </w:pPr>
    </w:p>
    <w:p w14:paraId="09C42D02">
      <w:pPr>
        <w:spacing w:line="600" w:lineRule="exact"/>
        <w:ind w:firstLine="420" w:firstLineChars="200"/>
        <w:outlineLvl w:val="1"/>
        <w:rPr>
          <w:rFonts w:hint="eastAsia" w:ascii="黑体" w:hAnsi="黑体" w:eastAsia="黑体"/>
          <w:color w:val="auto"/>
          <w:sz w:val="32"/>
          <w:szCs w:val="32"/>
          <w:highlight w:val="none"/>
        </w:rPr>
      </w:pPr>
      <w:r>
        <w:drawing>
          <wp:anchor distT="0" distB="0" distL="114300" distR="114300" simplePos="0" relativeHeight="251660288"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D15684D">
      <w:pPr>
        <w:spacing w:line="600" w:lineRule="exact"/>
        <w:ind w:firstLine="640" w:firstLineChars="200"/>
        <w:outlineLvl w:val="1"/>
        <w:rPr>
          <w:rStyle w:val="21"/>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p>
    <w:p w14:paraId="00D3ED65">
      <w:pPr>
        <w:spacing w:line="600" w:lineRule="exact"/>
        <w:ind w:firstLine="643" w:firstLineChars="200"/>
        <w:outlineLvl w:val="2"/>
        <w:rPr>
          <w:rFonts w:hint="eastAsia" w:ascii="仿宋" w:hAnsi="仿宋" w:eastAsia="仿宋" w:cs="Times New Roman"/>
          <w:b/>
          <w:color w:val="auto"/>
          <w:sz w:val="32"/>
          <w:szCs w:val="32"/>
          <w:highlight w:val="none"/>
        </w:rPr>
      </w:pPr>
      <w:r>
        <w:rPr>
          <w:rFonts w:hint="eastAsia" w:ascii="仿宋" w:hAnsi="仿宋" w:eastAsia="仿宋" w:cs="Times New Roman"/>
          <w:b/>
          <w:color w:val="auto"/>
          <w:sz w:val="32"/>
          <w:szCs w:val="32"/>
          <w:highlight w:val="none"/>
        </w:rPr>
        <w:t>（一）一般公共预算财政拨款支出决算总体情况</w:t>
      </w:r>
      <w:bookmarkEnd w:id="31"/>
    </w:p>
    <w:p w14:paraId="2EA5916C">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年一般公共预算财政拨款支出</w:t>
      </w:r>
      <w:r>
        <w:rPr>
          <w:rFonts w:hint="eastAsia" w:ascii="仿宋_GB2312" w:hAnsi="仿宋_GB2312" w:eastAsia="仿宋_GB2312" w:cs="仿宋_GB2312"/>
          <w:color w:val="000000"/>
          <w:sz w:val="28"/>
          <w:szCs w:val="28"/>
          <w:lang w:val="en-US" w:eastAsia="zh-CN"/>
        </w:rPr>
        <w:t>460.66</w:t>
      </w:r>
      <w:r>
        <w:rPr>
          <w:rFonts w:hint="eastAsia" w:ascii="仿宋_GB2312" w:hAnsi="仿宋_GB2312" w:eastAsia="仿宋_GB2312" w:cs="仿宋_GB2312"/>
          <w:color w:val="000000"/>
          <w:sz w:val="28"/>
          <w:szCs w:val="28"/>
        </w:rPr>
        <w:t>万元，占本年支出合计的</w:t>
      </w:r>
      <w:r>
        <w:rPr>
          <w:rFonts w:hint="eastAsia" w:ascii="仿宋_GB2312" w:hAnsi="仿宋_GB2312" w:eastAsia="仿宋_GB2312" w:cs="仿宋_GB2312"/>
          <w:color w:val="000000"/>
          <w:sz w:val="28"/>
          <w:szCs w:val="28"/>
          <w:lang w:val="en-US" w:eastAsia="zh-CN"/>
        </w:rPr>
        <w:t>100</w:t>
      </w:r>
      <w:r>
        <w:rPr>
          <w:rFonts w:hint="eastAsia" w:ascii="仿宋_GB2312" w:hAnsi="仿宋_GB2312" w:eastAsia="仿宋_GB2312" w:cs="仿宋_GB2312"/>
          <w:color w:val="000000"/>
          <w:sz w:val="28"/>
          <w:szCs w:val="28"/>
        </w:rPr>
        <w:t>%。与20</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年相比，一般公共预算财政拨款</w:t>
      </w:r>
      <w:r>
        <w:rPr>
          <w:rFonts w:hint="eastAsia" w:ascii="仿宋_GB2312" w:hAnsi="仿宋_GB2312" w:eastAsia="仿宋_GB2312" w:cs="仿宋_GB2312"/>
          <w:color w:val="000000"/>
          <w:sz w:val="28"/>
          <w:szCs w:val="28"/>
          <w:lang w:eastAsia="zh-CN"/>
        </w:rPr>
        <w:t>支出</w:t>
      </w:r>
      <w:r>
        <w:rPr>
          <w:rFonts w:hint="eastAsia" w:ascii="仿宋_GB2312" w:hAnsi="仿宋_GB2312" w:eastAsia="仿宋_GB2312" w:cs="仿宋_GB2312"/>
          <w:color w:val="000000"/>
          <w:sz w:val="28"/>
          <w:szCs w:val="28"/>
        </w:rPr>
        <w:t>增加</w:t>
      </w:r>
      <w:r>
        <w:rPr>
          <w:rFonts w:hint="eastAsia" w:ascii="仿宋_GB2312" w:hAnsi="仿宋_GB2312" w:eastAsia="仿宋_GB2312" w:cs="仿宋_GB2312"/>
          <w:color w:val="000000"/>
          <w:kern w:val="2"/>
          <w:sz w:val="28"/>
          <w:szCs w:val="28"/>
          <w:lang w:val="en-US" w:eastAsia="zh-CN" w:bidi="ar-SA"/>
        </w:rPr>
        <w:t>131.39万元，增加39.90%。主要变动原因是从社保专户调入新冠疫苗及接种项目资金和向上争取医疗保障与服务能力提升资金等。</w:t>
      </w:r>
    </w:p>
    <w:p w14:paraId="66D218DA">
      <w:pPr>
        <w:spacing w:line="600" w:lineRule="exact"/>
        <w:ind w:firstLine="420" w:firstLineChars="200"/>
        <w:outlineLvl w:val="2"/>
        <w:rPr>
          <w:rFonts w:hint="eastAsia" w:ascii="仿宋" w:hAnsi="仿宋" w:eastAsia="仿宋"/>
          <w:b/>
          <w:color w:val="auto"/>
          <w:sz w:val="32"/>
          <w:szCs w:val="32"/>
          <w:highlight w:val="none"/>
        </w:rPr>
      </w:pPr>
      <w:bookmarkStart w:id="32" w:name="_Toc15377211"/>
      <w:r>
        <w:drawing>
          <wp:anchor distT="0" distB="0" distL="114300" distR="114300" simplePos="0" relativeHeight="251661312" behindDoc="0" locked="0" layoutInCell="1" allowOverlap="1">
            <wp:simplePos x="0" y="0"/>
            <wp:positionH relativeFrom="column">
              <wp:posOffset>309245</wp:posOffset>
            </wp:positionH>
            <wp:positionV relativeFrom="paragraph">
              <wp:posOffset>97790</wp:posOffset>
            </wp:positionV>
            <wp:extent cx="4614545" cy="2001520"/>
            <wp:effectExtent l="5080" t="5080" r="9525" b="12700"/>
            <wp:wrapNone/>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8785EC3">
      <w:pPr>
        <w:spacing w:line="600" w:lineRule="exact"/>
        <w:ind w:firstLine="643" w:firstLineChars="200"/>
        <w:outlineLvl w:val="2"/>
        <w:rPr>
          <w:rFonts w:hint="eastAsia" w:ascii="仿宋" w:hAnsi="仿宋" w:eastAsia="仿宋"/>
          <w:b/>
          <w:color w:val="auto"/>
          <w:sz w:val="32"/>
          <w:szCs w:val="32"/>
          <w:highlight w:val="none"/>
        </w:rPr>
      </w:pPr>
    </w:p>
    <w:p w14:paraId="70000764">
      <w:pPr>
        <w:spacing w:line="600" w:lineRule="exact"/>
        <w:ind w:firstLine="643" w:firstLineChars="200"/>
        <w:outlineLvl w:val="2"/>
        <w:rPr>
          <w:rFonts w:hint="eastAsia" w:ascii="仿宋" w:hAnsi="仿宋" w:eastAsia="仿宋"/>
          <w:b/>
          <w:color w:val="auto"/>
          <w:sz w:val="32"/>
          <w:szCs w:val="32"/>
          <w:highlight w:val="none"/>
        </w:rPr>
      </w:pPr>
    </w:p>
    <w:p w14:paraId="4B6A5080">
      <w:pPr>
        <w:spacing w:line="600" w:lineRule="exact"/>
        <w:ind w:firstLine="643" w:firstLineChars="200"/>
        <w:outlineLvl w:val="2"/>
        <w:rPr>
          <w:rFonts w:hint="eastAsia" w:ascii="仿宋" w:hAnsi="仿宋" w:eastAsia="仿宋"/>
          <w:b/>
          <w:color w:val="auto"/>
          <w:sz w:val="32"/>
          <w:szCs w:val="32"/>
          <w:highlight w:val="none"/>
        </w:rPr>
      </w:pPr>
    </w:p>
    <w:p w14:paraId="6BF6AC30">
      <w:pPr>
        <w:spacing w:line="600" w:lineRule="exact"/>
        <w:ind w:firstLine="643" w:firstLineChars="200"/>
        <w:outlineLvl w:val="2"/>
        <w:rPr>
          <w:rFonts w:hint="eastAsia" w:ascii="仿宋" w:hAnsi="仿宋" w:eastAsia="仿宋"/>
          <w:b/>
          <w:color w:val="auto"/>
          <w:sz w:val="32"/>
          <w:szCs w:val="32"/>
          <w:highlight w:val="none"/>
        </w:rPr>
      </w:pPr>
    </w:p>
    <w:p w14:paraId="11200E73">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32"/>
    </w:p>
    <w:p w14:paraId="18C4BA23">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年一般公共预算财政拨款支出</w:t>
      </w:r>
      <w:r>
        <w:rPr>
          <w:rFonts w:hint="eastAsia" w:ascii="仿宋_GB2312" w:hAnsi="仿宋_GB2312" w:eastAsia="仿宋_GB2312" w:cs="仿宋_GB2312"/>
          <w:color w:val="000000"/>
          <w:sz w:val="28"/>
          <w:szCs w:val="28"/>
          <w:lang w:val="en-US" w:eastAsia="zh-CN"/>
        </w:rPr>
        <w:t>460.66</w:t>
      </w:r>
      <w:r>
        <w:rPr>
          <w:rFonts w:hint="eastAsia" w:ascii="仿宋_GB2312" w:hAnsi="仿宋_GB2312" w:eastAsia="仿宋_GB2312" w:cs="仿宋_GB2312"/>
          <w:color w:val="000000"/>
          <w:sz w:val="28"/>
          <w:szCs w:val="28"/>
        </w:rPr>
        <w:t>万元，主要用于以下方面:</w:t>
      </w:r>
      <w:r>
        <w:rPr>
          <w:rFonts w:hint="eastAsia" w:ascii="仿宋_GB2312" w:hAnsi="仿宋_GB2312" w:eastAsia="仿宋_GB2312" w:cs="仿宋_GB2312"/>
          <w:b/>
          <w:color w:val="000000"/>
          <w:sz w:val="28"/>
          <w:szCs w:val="28"/>
        </w:rPr>
        <w:t>一般公共服务（类）</w:t>
      </w:r>
      <w:r>
        <w:rPr>
          <w:rFonts w:hint="eastAsia" w:ascii="仿宋_GB2312" w:hAnsi="仿宋_GB2312" w:eastAsia="仿宋_GB2312" w:cs="仿宋_GB2312"/>
          <w:color w:val="000000"/>
          <w:sz w:val="28"/>
          <w:szCs w:val="28"/>
        </w:rPr>
        <w:t>支出0万元</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占</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color w:val="000000"/>
          <w:sz w:val="28"/>
          <w:szCs w:val="28"/>
        </w:rPr>
        <w:t>教育支出（类）0</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占</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color w:val="000000"/>
          <w:sz w:val="28"/>
          <w:szCs w:val="28"/>
        </w:rPr>
        <w:t>科学技术（类）</w:t>
      </w:r>
      <w:r>
        <w:rPr>
          <w:rFonts w:hint="eastAsia" w:ascii="仿宋_GB2312" w:hAnsi="仿宋_GB2312" w:eastAsia="仿宋_GB2312" w:cs="仿宋_GB2312"/>
          <w:color w:val="000000"/>
          <w:sz w:val="28"/>
          <w:szCs w:val="28"/>
        </w:rPr>
        <w:t>支出0万元</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占</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color w:val="000000"/>
          <w:sz w:val="28"/>
          <w:szCs w:val="28"/>
        </w:rPr>
        <w:t>社会保障和就业（类）</w:t>
      </w:r>
      <w:r>
        <w:rPr>
          <w:rFonts w:hint="eastAsia" w:ascii="仿宋_GB2312" w:hAnsi="仿宋_GB2312" w:eastAsia="仿宋_GB2312" w:cs="仿宋_GB2312"/>
          <w:color w:val="000000"/>
          <w:sz w:val="28"/>
          <w:szCs w:val="28"/>
        </w:rPr>
        <w:t>支出</w:t>
      </w:r>
      <w:r>
        <w:rPr>
          <w:rFonts w:hint="eastAsia" w:ascii="仿宋_GB2312" w:hAnsi="仿宋_GB2312" w:eastAsia="仿宋_GB2312" w:cs="仿宋_GB2312"/>
          <w:color w:val="000000"/>
          <w:sz w:val="28"/>
          <w:szCs w:val="28"/>
          <w:lang w:val="en-US" w:eastAsia="zh-CN"/>
        </w:rPr>
        <w:t>308.79</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67.03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color w:val="000000"/>
          <w:sz w:val="28"/>
          <w:szCs w:val="28"/>
        </w:rPr>
        <w:t>医疗卫生支出</w:t>
      </w:r>
      <w:r>
        <w:rPr>
          <w:rFonts w:hint="eastAsia" w:ascii="仿宋_GB2312" w:hAnsi="仿宋_GB2312" w:eastAsia="仿宋_GB2312" w:cs="仿宋_GB2312"/>
          <w:b/>
          <w:color w:val="000000"/>
          <w:sz w:val="28"/>
          <w:szCs w:val="28"/>
          <w:lang w:val="en-US" w:eastAsia="zh-CN"/>
        </w:rPr>
        <w:t>(类）</w:t>
      </w:r>
      <w:r>
        <w:rPr>
          <w:rFonts w:hint="eastAsia" w:ascii="仿宋_GB2312" w:hAnsi="仿宋_GB2312" w:eastAsia="仿宋_GB2312" w:cs="仿宋_GB2312"/>
          <w:color w:val="000000"/>
          <w:sz w:val="28"/>
          <w:szCs w:val="28"/>
          <w:lang w:val="en-US" w:eastAsia="zh-CN"/>
        </w:rPr>
        <w:t>130.61</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占</w:t>
      </w:r>
      <w:r>
        <w:rPr>
          <w:rFonts w:hint="eastAsia" w:ascii="仿宋_GB2312" w:hAnsi="仿宋_GB2312" w:eastAsia="仿宋_GB2312" w:cs="仿宋_GB2312"/>
          <w:color w:val="000000"/>
          <w:sz w:val="28"/>
          <w:szCs w:val="28"/>
          <w:lang w:val="en-US" w:eastAsia="zh-CN"/>
        </w:rPr>
        <w:t>28.35</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bCs/>
          <w:color w:val="000000"/>
          <w:sz w:val="28"/>
          <w:szCs w:val="28"/>
        </w:rPr>
        <w:t>住房保障支出</w:t>
      </w:r>
      <w:r>
        <w:rPr>
          <w:rFonts w:hint="eastAsia" w:ascii="仿宋_GB2312" w:hAnsi="仿宋_GB2312" w:eastAsia="仿宋_GB2312" w:cs="仿宋_GB2312"/>
          <w:b/>
          <w:bCs/>
          <w:color w:val="000000"/>
          <w:sz w:val="28"/>
          <w:szCs w:val="28"/>
          <w:lang w:val="en-US" w:eastAsia="zh-CN"/>
        </w:rPr>
        <w:t>(类）</w:t>
      </w:r>
      <w:r>
        <w:rPr>
          <w:rFonts w:hint="eastAsia" w:ascii="仿宋_GB2312" w:hAnsi="仿宋_GB2312" w:eastAsia="仿宋_GB2312" w:cs="仿宋_GB2312"/>
          <w:color w:val="000000"/>
          <w:sz w:val="28"/>
          <w:szCs w:val="28"/>
          <w:lang w:val="en-US" w:eastAsia="zh-CN"/>
        </w:rPr>
        <w:t>21.26</w:t>
      </w:r>
      <w:r>
        <w:rPr>
          <w:rFonts w:hint="eastAsia" w:ascii="仿宋_GB2312" w:hAnsi="仿宋_GB2312" w:eastAsia="仿宋_GB2312" w:cs="仿宋_GB2312"/>
          <w:color w:val="000000"/>
          <w:sz w:val="28"/>
          <w:szCs w:val="28"/>
        </w:rPr>
        <w:t>万元，占</w:t>
      </w:r>
      <w:r>
        <w:rPr>
          <w:rFonts w:hint="eastAsia" w:ascii="仿宋_GB2312" w:hAnsi="仿宋_GB2312" w:eastAsia="仿宋_GB2312" w:cs="仿宋_GB2312"/>
          <w:color w:val="000000"/>
          <w:sz w:val="28"/>
          <w:szCs w:val="28"/>
          <w:lang w:val="en-US" w:eastAsia="zh-CN"/>
        </w:rPr>
        <w:t>4.62</w:t>
      </w:r>
      <w:r>
        <w:rPr>
          <w:rFonts w:hint="eastAsia" w:ascii="仿宋_GB2312" w:hAnsi="仿宋_GB2312" w:eastAsia="仿宋_GB2312" w:cs="仿宋_GB2312"/>
          <w:color w:val="000000"/>
          <w:sz w:val="28"/>
          <w:szCs w:val="28"/>
        </w:rPr>
        <w:t>%。</w:t>
      </w:r>
    </w:p>
    <w:p w14:paraId="11F63E35">
      <w:pPr>
        <w:pStyle w:val="2"/>
        <w:rPr>
          <w:rFonts w:hint="eastAsia" w:ascii="仿宋_GB2312" w:hAnsi="仿宋_GB2312" w:eastAsia="仿宋_GB2312" w:cs="仿宋_GB2312"/>
          <w:color w:val="000000"/>
          <w:sz w:val="28"/>
          <w:szCs w:val="28"/>
        </w:rPr>
      </w:pPr>
      <w:r>
        <w:rPr>
          <w:rFonts w:hint="eastAsia"/>
          <w:lang w:val="en-US" w:eastAsia="zh-CN"/>
        </w:rPr>
        <w:t xml:space="preserve">     </w:t>
      </w:r>
      <w:r>
        <w:drawing>
          <wp:inline distT="0" distB="0" distL="114300" distR="114300">
            <wp:extent cx="4572000" cy="2743200"/>
            <wp:effectExtent l="4445" t="4445" r="14605" b="1460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DFCD27">
      <w:pPr>
        <w:spacing w:line="600" w:lineRule="exact"/>
        <w:ind w:firstLine="643" w:firstLineChars="200"/>
        <w:outlineLvl w:val="2"/>
        <w:rPr>
          <w:rFonts w:ascii="仿宋" w:hAnsi="仿宋" w:eastAsia="仿宋"/>
          <w:b/>
          <w:color w:val="auto"/>
          <w:sz w:val="32"/>
          <w:szCs w:val="32"/>
          <w:highlight w:val="none"/>
        </w:rPr>
      </w:pPr>
      <w:bookmarkStart w:id="33" w:name="_Toc15377212"/>
      <w:bookmarkStart w:id="34" w:name="_Toc15378460"/>
      <w:bookmarkStart w:id="35" w:name="_Toc15377444"/>
      <w:bookmarkStart w:id="36" w:name="_Toc15377213"/>
      <w:r>
        <w:rPr>
          <w:rFonts w:hint="eastAsia" w:ascii="仿宋" w:hAnsi="仿宋" w:eastAsia="仿宋"/>
          <w:b/>
          <w:color w:val="auto"/>
          <w:sz w:val="32"/>
          <w:szCs w:val="32"/>
          <w:highlight w:val="none"/>
        </w:rPr>
        <w:t>（三）一般公共预算财政拨款支出决算具体情况</w:t>
      </w:r>
      <w:bookmarkEnd w:id="33"/>
    </w:p>
    <w:p w14:paraId="0AC94935">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年般公共预算支出决算数为</w:t>
      </w:r>
      <w:r>
        <w:rPr>
          <w:rFonts w:hint="eastAsia" w:ascii="仿宋_GB2312" w:hAnsi="仿宋_GB2312" w:eastAsia="仿宋_GB2312" w:cs="仿宋_GB2312"/>
          <w:color w:val="000000"/>
          <w:sz w:val="28"/>
          <w:szCs w:val="28"/>
          <w:lang w:val="en-US" w:eastAsia="zh-CN"/>
        </w:rPr>
        <w:t>460.66</w:t>
      </w:r>
      <w:r>
        <w:rPr>
          <w:rFonts w:hint="eastAsia" w:ascii="仿宋_GB2312" w:hAnsi="仿宋_GB2312" w:eastAsia="仿宋_GB2312" w:cs="仿宋_GB2312"/>
          <w:color w:val="000000"/>
          <w:sz w:val="28"/>
          <w:szCs w:val="28"/>
        </w:rPr>
        <w:t>万元，完成预算</w:t>
      </w:r>
      <w:r>
        <w:rPr>
          <w:rFonts w:hint="eastAsia" w:ascii="仿宋_GB2312" w:hAnsi="仿宋_GB2312" w:eastAsia="仿宋_GB2312" w:cs="仿宋_GB2312"/>
          <w:color w:val="000000"/>
          <w:sz w:val="28"/>
          <w:szCs w:val="28"/>
          <w:lang w:val="en-US" w:eastAsia="zh-CN"/>
        </w:rPr>
        <w:t>100%</w:t>
      </w:r>
      <w:r>
        <w:rPr>
          <w:rFonts w:hint="eastAsia" w:ascii="仿宋_GB2312" w:hAnsi="仿宋_GB2312" w:eastAsia="仿宋_GB2312" w:cs="仿宋_GB2312"/>
          <w:color w:val="000000"/>
          <w:sz w:val="28"/>
          <w:szCs w:val="28"/>
        </w:rPr>
        <w:t>。其中：</w:t>
      </w:r>
      <w:bookmarkEnd w:id="34"/>
      <w:bookmarkEnd w:id="35"/>
      <w:bookmarkEnd w:id="36"/>
    </w:p>
    <w:p w14:paraId="0174C0E6">
      <w:pPr>
        <w:pageBreakBefore w:val="0"/>
        <w:numPr>
          <w:ilvl w:val="0"/>
          <w:numId w:val="0"/>
        </w:numPr>
        <w:kinsoku/>
        <w:wordWrap/>
        <w:overflowPunct/>
        <w:topLinePunct w:val="0"/>
        <w:bidi w:val="0"/>
        <w:spacing w:line="576"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b/>
          <w:bCs/>
          <w:color w:val="000000"/>
          <w:sz w:val="28"/>
          <w:szCs w:val="28"/>
        </w:rPr>
        <w:t>社会保障和就业支出（类）人力资源和社会保障管理事务（款）社会保险业务管理事务（项）</w:t>
      </w:r>
      <w:r>
        <w:rPr>
          <w:rFonts w:hint="eastAsia" w:ascii="仿宋_GB2312" w:hAnsi="仿宋_GB2312" w:eastAsia="仿宋_GB2312" w:cs="仿宋_GB2312"/>
          <w:color w:val="000000"/>
          <w:sz w:val="28"/>
          <w:szCs w:val="28"/>
        </w:rPr>
        <w:t>: 支出决算为</w:t>
      </w:r>
      <w:r>
        <w:rPr>
          <w:rFonts w:hint="eastAsia" w:ascii="仿宋_GB2312" w:hAnsi="仿宋_GB2312" w:eastAsia="仿宋_GB2312" w:cs="仿宋_GB2312"/>
          <w:color w:val="000000"/>
          <w:sz w:val="28"/>
          <w:szCs w:val="28"/>
          <w:lang w:val="en-US" w:eastAsia="zh-CN"/>
        </w:rPr>
        <w:t>308.79</w:t>
      </w:r>
      <w:r>
        <w:rPr>
          <w:rFonts w:hint="eastAsia" w:ascii="仿宋_GB2312" w:hAnsi="仿宋_GB2312" w:eastAsia="仿宋_GB2312" w:cs="仿宋_GB2312"/>
          <w:color w:val="000000"/>
          <w:sz w:val="28"/>
          <w:szCs w:val="28"/>
        </w:rPr>
        <w:t>万元，完成预算</w:t>
      </w:r>
      <w:r>
        <w:rPr>
          <w:rFonts w:hint="eastAsia" w:ascii="仿宋_GB2312" w:hAnsi="仿宋_GB2312" w:eastAsia="仿宋_GB2312" w:cs="仿宋_GB2312"/>
          <w:color w:val="000000"/>
          <w:sz w:val="28"/>
          <w:szCs w:val="28"/>
          <w:lang w:val="en-US" w:eastAsia="zh-CN"/>
        </w:rPr>
        <w:t>100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，原因是保持预决算一致性</w:t>
      </w:r>
      <w:r>
        <w:rPr>
          <w:rFonts w:hint="eastAsia" w:ascii="仿宋_GB2312" w:hAnsi="仿宋_GB2312" w:eastAsia="仿宋_GB2312" w:cs="仿宋_GB2312"/>
          <w:color w:val="000000"/>
          <w:sz w:val="28"/>
          <w:szCs w:val="28"/>
        </w:rPr>
        <w:t>。</w:t>
      </w:r>
    </w:p>
    <w:p w14:paraId="4AEF379A">
      <w:pPr>
        <w:pageBreakBefore w:val="0"/>
        <w:kinsoku/>
        <w:wordWrap/>
        <w:overflowPunct/>
        <w:topLinePunct w:val="0"/>
        <w:bidi w:val="0"/>
        <w:spacing w:line="576" w:lineRule="exact"/>
        <w:ind w:firstLine="562"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2.医疗卫生支出（类）医疗卫生支出（款）医疗卫生支出（项）:</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支出决算为</w:t>
      </w:r>
      <w:r>
        <w:rPr>
          <w:rFonts w:hint="eastAsia" w:ascii="仿宋_GB2312" w:hAnsi="仿宋_GB2312" w:eastAsia="仿宋_GB2312" w:cs="仿宋_GB2312"/>
          <w:color w:val="000000"/>
          <w:sz w:val="28"/>
          <w:szCs w:val="28"/>
          <w:lang w:val="en-US" w:eastAsia="zh-CN"/>
        </w:rPr>
        <w:t>130.61</w:t>
      </w:r>
      <w:r>
        <w:rPr>
          <w:rFonts w:hint="eastAsia" w:ascii="仿宋_GB2312" w:hAnsi="仿宋_GB2312" w:eastAsia="仿宋_GB2312" w:cs="仿宋_GB2312"/>
          <w:color w:val="000000"/>
          <w:sz w:val="28"/>
          <w:szCs w:val="28"/>
        </w:rPr>
        <w:t>万元，完成预算100%</w:t>
      </w:r>
      <w:r>
        <w:rPr>
          <w:rFonts w:hint="eastAsia" w:ascii="仿宋_GB2312" w:hAnsi="仿宋_GB2312" w:eastAsia="仿宋_GB2312" w:cs="仿宋_GB2312"/>
          <w:color w:val="000000"/>
          <w:sz w:val="28"/>
          <w:szCs w:val="28"/>
          <w:lang w:eastAsia="zh-CN"/>
        </w:rPr>
        <w:t>，原因是保持预决算一致性</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 xml:space="preserve"> </w:t>
      </w:r>
    </w:p>
    <w:p w14:paraId="5F862FA1">
      <w:pPr>
        <w:pageBreakBefore w:val="0"/>
        <w:kinsoku/>
        <w:wordWrap/>
        <w:overflowPunct/>
        <w:topLinePunct w:val="0"/>
        <w:bidi w:val="0"/>
        <w:spacing w:line="576" w:lineRule="exact"/>
        <w:ind w:firstLine="562"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3.住房保障支出（类）住房改革支出（款）住房公积金（项）：</w:t>
      </w:r>
      <w:r>
        <w:rPr>
          <w:rFonts w:hint="eastAsia" w:ascii="仿宋_GB2312" w:hAnsi="仿宋_GB2312" w:eastAsia="仿宋_GB2312" w:cs="仿宋_GB2312"/>
          <w:color w:val="000000"/>
          <w:sz w:val="28"/>
          <w:szCs w:val="28"/>
          <w:lang w:val="en-US" w:eastAsia="zh-CN"/>
        </w:rPr>
        <w:t>支出决算为21.26万元，完成预算100%，原因是保持预决算一致性。</w:t>
      </w:r>
    </w:p>
    <w:p w14:paraId="749AF7CE">
      <w:pPr>
        <w:pageBreakBefore w:val="0"/>
        <w:kinsoku/>
        <w:wordWrap/>
        <w:overflowPunct/>
        <w:topLinePunct w:val="0"/>
        <w:bidi w:val="0"/>
        <w:spacing w:line="576" w:lineRule="exact"/>
        <w:ind w:firstLine="640"/>
        <w:textAlignment w:val="auto"/>
        <w:rPr>
          <w:rStyle w:val="21"/>
          <w:rFonts w:hint="eastAsia" w:ascii="黑体" w:hAnsi="黑体" w:eastAsia="黑体"/>
          <w:b w:val="0"/>
          <w:color w:val="auto"/>
          <w:highlight w:val="none"/>
        </w:rPr>
      </w:pPr>
      <w:bookmarkStart w:id="37" w:name="_Toc15377214"/>
      <w:bookmarkStart w:id="38"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37"/>
      <w:bookmarkEnd w:id="38"/>
    </w:p>
    <w:p w14:paraId="023E4DAC">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年一般公共预算财政拨款基本支出</w:t>
      </w:r>
      <w:r>
        <w:rPr>
          <w:rFonts w:hint="eastAsia" w:ascii="仿宋_GB2312" w:hAnsi="仿宋_GB2312" w:eastAsia="仿宋_GB2312" w:cs="仿宋_GB2312"/>
          <w:color w:val="000000"/>
          <w:sz w:val="28"/>
          <w:szCs w:val="28"/>
          <w:lang w:val="en-US" w:eastAsia="zh-CN"/>
        </w:rPr>
        <w:t>340.53</w:t>
      </w:r>
      <w:r>
        <w:rPr>
          <w:rFonts w:hint="eastAsia" w:ascii="仿宋_GB2312" w:hAnsi="仿宋_GB2312" w:eastAsia="仿宋_GB2312" w:cs="仿宋_GB2312"/>
          <w:color w:val="000000"/>
          <w:sz w:val="28"/>
          <w:szCs w:val="28"/>
        </w:rPr>
        <w:t>万元，其中：</w:t>
      </w:r>
    </w:p>
    <w:p w14:paraId="3558E44E">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人员经费</w:t>
      </w:r>
      <w:r>
        <w:rPr>
          <w:rFonts w:hint="eastAsia" w:ascii="仿宋_GB2312" w:hAnsi="仿宋_GB2312" w:eastAsia="仿宋_GB2312" w:cs="仿宋_GB2312"/>
          <w:color w:val="000000"/>
          <w:sz w:val="28"/>
          <w:szCs w:val="28"/>
          <w:lang w:val="en-US" w:eastAsia="zh-CN"/>
        </w:rPr>
        <w:t>214.95</w:t>
      </w:r>
      <w:r>
        <w:rPr>
          <w:rFonts w:hint="eastAsia" w:ascii="仿宋_GB2312" w:hAnsi="仿宋_GB2312" w:eastAsia="仿宋_GB2312" w:cs="仿宋_GB2312"/>
          <w:color w:val="000000"/>
          <w:sz w:val="28"/>
          <w:szCs w:val="28"/>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3D43C19B">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公用经费</w:t>
      </w:r>
      <w:r>
        <w:rPr>
          <w:rFonts w:hint="eastAsia" w:ascii="仿宋_GB2312" w:hAnsi="仿宋_GB2312" w:eastAsia="仿宋_GB2312" w:cs="仿宋_GB2312"/>
          <w:color w:val="000000"/>
          <w:sz w:val="28"/>
          <w:szCs w:val="28"/>
          <w:lang w:val="en-US" w:eastAsia="zh-CN"/>
        </w:rPr>
        <w:t>125.58</w:t>
      </w:r>
      <w:r>
        <w:rPr>
          <w:rFonts w:hint="eastAsia" w:ascii="仿宋_GB2312" w:hAnsi="仿宋_GB2312" w:eastAsia="仿宋_GB2312" w:cs="仿宋_GB2312"/>
          <w:color w:val="000000"/>
          <w:sz w:val="28"/>
          <w:szCs w:val="28"/>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28D9E62">
      <w:pPr>
        <w:spacing w:line="600" w:lineRule="exact"/>
        <w:ind w:firstLine="640"/>
        <w:outlineLvl w:val="1"/>
        <w:rPr>
          <w:rStyle w:val="21"/>
          <w:rFonts w:ascii="黑体" w:hAnsi="黑体" w:eastAsia="黑体"/>
          <w:b w:val="0"/>
          <w:color w:val="auto"/>
          <w:highlight w:val="none"/>
        </w:rPr>
      </w:pPr>
      <w:bookmarkStart w:id="39" w:name="_Toc15396609"/>
      <w:bookmarkStart w:id="40" w:name="_Toc15377215"/>
      <w:bookmarkStart w:id="41" w:name="_Toc15377216"/>
      <w:r>
        <w:rPr>
          <w:rFonts w:hint="eastAsia" w:ascii="黑体" w:eastAsia="黑体"/>
          <w:color w:val="auto"/>
          <w:sz w:val="32"/>
          <w:szCs w:val="32"/>
          <w:highlight w:val="none"/>
        </w:rPr>
        <w:t>七、</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三公”经费财政拨款支出决算情况说明</w:t>
      </w:r>
      <w:bookmarkEnd w:id="39"/>
      <w:bookmarkEnd w:id="40"/>
    </w:p>
    <w:p w14:paraId="40CDEF40">
      <w:pPr>
        <w:pageBreakBefore w:val="0"/>
        <w:kinsoku/>
        <w:wordWrap/>
        <w:overflowPunct/>
        <w:topLinePunct w:val="0"/>
        <w:bidi w:val="0"/>
        <w:spacing w:line="576" w:lineRule="exact"/>
        <w:ind w:firstLine="640"/>
        <w:textAlignment w:val="auto"/>
        <w:outlineLvl w:val="2"/>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（一）“三公”经费财政拨款支出决算总体情况说明</w:t>
      </w:r>
      <w:bookmarkEnd w:id="41"/>
    </w:p>
    <w:p w14:paraId="137623F4">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年“三公”经费财政拨款支出决算为</w:t>
      </w:r>
      <w:r>
        <w:rPr>
          <w:rFonts w:hint="eastAsia" w:ascii="仿宋_GB2312" w:hAnsi="仿宋_GB2312" w:eastAsia="仿宋_GB2312" w:cs="仿宋_GB2312"/>
          <w:color w:val="000000"/>
          <w:sz w:val="28"/>
          <w:szCs w:val="28"/>
          <w:lang w:val="en-US" w:eastAsia="zh-CN"/>
        </w:rPr>
        <w:t>0.45</w:t>
      </w:r>
      <w:r>
        <w:rPr>
          <w:rFonts w:hint="eastAsia" w:ascii="仿宋_GB2312" w:hAnsi="仿宋_GB2312" w:eastAsia="仿宋_GB2312" w:cs="仿宋_GB2312"/>
          <w:color w:val="000000"/>
          <w:sz w:val="28"/>
          <w:szCs w:val="28"/>
        </w:rPr>
        <w:t>万元，完成预算100%。</w:t>
      </w:r>
      <w:r>
        <w:rPr>
          <w:rFonts w:hint="eastAsia" w:ascii="仿宋_GB2312" w:hAnsi="仿宋_GB2312" w:eastAsia="仿宋_GB2312" w:cs="仿宋_GB2312"/>
          <w:color w:val="000000"/>
          <w:sz w:val="28"/>
          <w:szCs w:val="28"/>
          <w:highlight w:val="none"/>
        </w:rPr>
        <w:t>决算数与预算数持平的主要原因是</w:t>
      </w:r>
      <w:r>
        <w:rPr>
          <w:rFonts w:hint="eastAsia" w:ascii="仿宋_GB2312" w:hAnsi="仿宋_GB2312" w:eastAsia="仿宋_GB2312" w:cs="仿宋_GB2312"/>
          <w:color w:val="000000"/>
          <w:sz w:val="28"/>
          <w:szCs w:val="28"/>
          <w:highlight w:val="none"/>
          <w:lang w:val="en-US" w:eastAsia="zh-CN"/>
        </w:rPr>
        <w:t>严控三公经费支出，确保只增不减。</w:t>
      </w:r>
    </w:p>
    <w:p w14:paraId="59E9E417">
      <w:pPr>
        <w:pageBreakBefore w:val="0"/>
        <w:kinsoku/>
        <w:wordWrap/>
        <w:overflowPunct/>
        <w:topLinePunct w:val="0"/>
        <w:bidi w:val="0"/>
        <w:spacing w:line="576" w:lineRule="exact"/>
        <w:ind w:firstLine="640"/>
        <w:textAlignment w:val="auto"/>
        <w:outlineLvl w:val="2"/>
        <w:rPr>
          <w:rFonts w:hint="eastAsia" w:ascii="仿宋_GB2312" w:hAnsi="仿宋_GB2312" w:eastAsia="仿宋_GB2312" w:cs="仿宋_GB2312"/>
          <w:b/>
          <w:color w:val="000000"/>
          <w:sz w:val="28"/>
          <w:szCs w:val="28"/>
        </w:rPr>
      </w:pPr>
      <w:bookmarkStart w:id="42" w:name="_Toc15377217"/>
      <w:r>
        <w:rPr>
          <w:rFonts w:hint="eastAsia" w:ascii="仿宋_GB2312" w:hAnsi="仿宋_GB2312" w:eastAsia="仿宋_GB2312" w:cs="仿宋_GB2312"/>
          <w:b/>
          <w:color w:val="000000"/>
          <w:sz w:val="28"/>
          <w:szCs w:val="28"/>
        </w:rPr>
        <w:t>（二）“三公”经费财政拨款支出决算具体情况说明</w:t>
      </w:r>
      <w:bookmarkEnd w:id="42"/>
    </w:p>
    <w:p w14:paraId="6CE858BB">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年“三公”经费财政拨款支出决算中，因公出国（境）费支出决算0万元</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占</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%；公务用车购置及运行维护费支出决算</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占</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%；公务接待费支出决算</w:t>
      </w:r>
      <w:r>
        <w:rPr>
          <w:rFonts w:hint="eastAsia" w:ascii="仿宋_GB2312" w:hAnsi="仿宋_GB2312" w:eastAsia="仿宋_GB2312" w:cs="仿宋_GB2312"/>
          <w:color w:val="000000"/>
          <w:sz w:val="28"/>
          <w:szCs w:val="28"/>
          <w:lang w:val="en-US" w:eastAsia="zh-CN"/>
        </w:rPr>
        <w:t>0.45</w:t>
      </w:r>
      <w:r>
        <w:rPr>
          <w:rFonts w:hint="eastAsia" w:ascii="仿宋_GB2312" w:hAnsi="仿宋_GB2312" w:eastAsia="仿宋_GB2312" w:cs="仿宋_GB2312"/>
          <w:color w:val="000000"/>
          <w:sz w:val="28"/>
          <w:szCs w:val="28"/>
        </w:rPr>
        <w:t>万元，占100%。具体情况如下：</w:t>
      </w:r>
    </w:p>
    <w:p w14:paraId="6AAEE1EA">
      <w:pPr>
        <w:pStyle w:val="2"/>
        <w:rPr>
          <w:rFonts w:hint="eastAsia" w:ascii="仿宋_GB2312" w:hAnsi="仿宋_GB2312" w:eastAsia="仿宋_GB2312" w:cs="仿宋_GB2312"/>
          <w:color w:val="000000"/>
          <w:sz w:val="28"/>
          <w:szCs w:val="28"/>
        </w:rPr>
      </w:pPr>
    </w:p>
    <w:p w14:paraId="3CDEE804">
      <w:pPr>
        <w:pStyle w:val="2"/>
        <w:rPr>
          <w:rFonts w:hint="eastAsia" w:ascii="仿宋_GB2312" w:hAnsi="仿宋_GB2312" w:eastAsia="仿宋_GB2312" w:cs="仿宋_GB2312"/>
          <w:color w:val="000000"/>
          <w:sz w:val="28"/>
          <w:szCs w:val="28"/>
        </w:rPr>
      </w:pPr>
      <w:r>
        <w:rPr>
          <w:rFonts w:hint="eastAsia"/>
          <w:lang w:val="en-US" w:eastAsia="zh-CN"/>
        </w:rPr>
        <w:t xml:space="preserve">    </w:t>
      </w: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0CA78A">
      <w:pPr>
        <w:spacing w:line="600" w:lineRule="exact"/>
        <w:ind w:firstLine="64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color w:val="000000"/>
          <w:kern w:val="2"/>
          <w:sz w:val="28"/>
          <w:szCs w:val="28"/>
          <w:lang w:val="en-US" w:eastAsia="zh-CN" w:bidi="ar-SA"/>
        </w:rPr>
        <w:t>1、因公出国（境）费支出：</w:t>
      </w:r>
      <w:r>
        <w:rPr>
          <w:rFonts w:hint="eastAsia" w:ascii="仿宋_GB2312" w:hAnsi="仿宋_GB2312" w:eastAsia="仿宋_GB2312" w:cs="仿宋_GB2312"/>
          <w:color w:val="000000"/>
          <w:sz w:val="28"/>
          <w:szCs w:val="28"/>
          <w:lang w:val="en-US" w:eastAsia="zh-CN"/>
        </w:rPr>
        <w:t>0万元。年初未安排预算，全年</w:t>
      </w:r>
      <w:r>
        <w:rPr>
          <w:rFonts w:hint="eastAsia" w:ascii="仿宋_GB2312" w:hAnsi="仿宋_GB2312" w:eastAsia="仿宋_GB2312" w:cs="仿宋_GB2312"/>
          <w:color w:val="000000"/>
          <w:sz w:val="28"/>
          <w:szCs w:val="28"/>
        </w:rPr>
        <w:t>安排因公出国（境）团组</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次，出国（境）</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sz w:val="28"/>
          <w:szCs w:val="28"/>
          <w:lang w:val="en-US" w:eastAsia="zh-CN"/>
        </w:rPr>
        <w:t>因公出国</w:t>
      </w:r>
      <w:r>
        <w:rPr>
          <w:rFonts w:hint="eastAsia" w:ascii="仿宋_GB2312" w:hAnsi="仿宋_GB2312" w:eastAsia="仿宋_GB2312" w:cs="仿宋_GB2312"/>
          <w:color w:val="000000"/>
          <w:sz w:val="28"/>
          <w:szCs w:val="28"/>
        </w:rPr>
        <w:t>（境）</w:t>
      </w:r>
      <w:r>
        <w:rPr>
          <w:rFonts w:hint="eastAsia" w:ascii="仿宋_GB2312" w:hAnsi="仿宋_GB2312" w:eastAsia="仿宋_GB2312" w:cs="仿宋_GB2312"/>
          <w:color w:val="000000"/>
          <w:sz w:val="28"/>
          <w:szCs w:val="28"/>
          <w:lang w:val="en-US" w:eastAsia="zh-CN"/>
        </w:rPr>
        <w:t>支出决算较2020年无变化。</w:t>
      </w:r>
    </w:p>
    <w:p w14:paraId="54A1E00E">
      <w:pPr>
        <w:pageBreakBefore w:val="0"/>
        <w:kinsoku/>
        <w:wordWrap/>
        <w:overflowPunct/>
        <w:topLinePunct w:val="0"/>
        <w:bidi w:val="0"/>
        <w:spacing w:line="576" w:lineRule="exact"/>
        <w:ind w:firstLine="64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2、</w:t>
      </w:r>
      <w:r>
        <w:rPr>
          <w:rFonts w:hint="eastAsia" w:ascii="仿宋_GB2312" w:hAnsi="仿宋_GB2312" w:eastAsia="仿宋_GB2312" w:cs="仿宋_GB2312"/>
          <w:b/>
          <w:color w:val="000000"/>
          <w:sz w:val="28"/>
          <w:szCs w:val="28"/>
        </w:rPr>
        <w:t>公务用车购置及运行维护费支出</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w:t>
      </w:r>
      <w:r>
        <w:rPr>
          <w:rStyle w:val="13"/>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color w:val="000000"/>
          <w:sz w:val="28"/>
          <w:szCs w:val="28"/>
          <w:lang w:val="en-US" w:eastAsia="zh-CN"/>
        </w:rPr>
        <w:t>年初未安排预算，支出决算较2020年无变化。</w:t>
      </w:r>
    </w:p>
    <w:p w14:paraId="3B9059B6">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其中：</w:t>
      </w:r>
      <w:r>
        <w:rPr>
          <w:rFonts w:hint="eastAsia" w:ascii="仿宋_GB2312" w:hAnsi="仿宋_GB2312" w:eastAsia="仿宋_GB2312" w:cs="仿宋_GB2312"/>
          <w:b/>
          <w:color w:val="000000"/>
          <w:sz w:val="28"/>
          <w:szCs w:val="28"/>
        </w:rPr>
        <w:t>公务用车购置支出</w:t>
      </w:r>
      <w:r>
        <w:rPr>
          <w:rFonts w:hint="eastAsia" w:ascii="仿宋_GB2312" w:hAnsi="仿宋_GB2312" w:eastAsia="仿宋_GB2312" w:cs="仿宋_GB2312"/>
          <w:color w:val="000000"/>
          <w:sz w:val="28"/>
          <w:szCs w:val="28"/>
        </w:rPr>
        <w:t>0万元。全年按规定更新购置公务用车0辆，其中：轿车0辆、金额0万元，越野车0辆、金额0万元，载客汽车0辆、金额0万元。截至</w:t>
      </w:r>
      <w:r>
        <w:rPr>
          <w:rFonts w:hint="eastAsia" w:ascii="仿宋_GB2312" w:hAnsi="仿宋_GB2312" w:eastAsia="仿宋_GB2312" w:cs="仿宋_GB2312"/>
          <w:color w:val="000000"/>
          <w:sz w:val="28"/>
          <w:szCs w:val="28"/>
          <w:lang w:eastAsia="zh-CN"/>
        </w:rPr>
        <w:t>2020</w:t>
      </w:r>
      <w:r>
        <w:rPr>
          <w:rFonts w:hint="eastAsia" w:ascii="仿宋_GB2312" w:hAnsi="仿宋_GB2312" w:eastAsia="仿宋_GB2312" w:cs="仿宋_GB2312"/>
          <w:color w:val="000000"/>
          <w:sz w:val="28"/>
          <w:szCs w:val="28"/>
        </w:rPr>
        <w:t>年12月底，单位共有公务用车</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辆，其中：轿车0辆、越野车</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辆、载客汽车0辆。</w:t>
      </w:r>
    </w:p>
    <w:p w14:paraId="4A6D9778">
      <w:pPr>
        <w:pageBreakBefore w:val="0"/>
        <w:kinsoku/>
        <w:wordWrap/>
        <w:overflowPunct/>
        <w:topLinePunct w:val="0"/>
        <w:bidi w:val="0"/>
        <w:spacing w:line="576" w:lineRule="exact"/>
        <w:ind w:firstLine="562" w:firstLineChars="200"/>
        <w:textAlignment w:val="auto"/>
        <w:rPr>
          <w:rFonts w:hint="eastAsia"/>
        </w:rPr>
      </w:pPr>
      <w:r>
        <w:rPr>
          <w:rFonts w:hint="eastAsia" w:ascii="仿宋_GB2312" w:hAnsi="仿宋_GB2312" w:eastAsia="仿宋_GB2312" w:cs="仿宋_GB2312"/>
          <w:b/>
          <w:color w:val="000000"/>
          <w:sz w:val="28"/>
          <w:szCs w:val="28"/>
        </w:rPr>
        <w:t>公务用车运行维护费支出</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eastAsia="zh-CN"/>
        </w:rPr>
        <w:t>，未购置公务用车。</w:t>
      </w:r>
    </w:p>
    <w:p w14:paraId="1BDE2918">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b/>
          <w:color w:val="000000"/>
          <w:sz w:val="28"/>
          <w:szCs w:val="28"/>
          <w:lang w:val="en-US" w:eastAsia="zh-CN"/>
        </w:rPr>
        <w:t>3、</w:t>
      </w:r>
      <w:r>
        <w:rPr>
          <w:rFonts w:hint="eastAsia" w:ascii="仿宋_GB2312" w:hAnsi="仿宋_GB2312" w:eastAsia="仿宋_GB2312" w:cs="仿宋_GB2312"/>
          <w:b/>
          <w:color w:val="000000"/>
          <w:sz w:val="28"/>
          <w:szCs w:val="28"/>
        </w:rPr>
        <w:t>公务接待费支出</w:t>
      </w:r>
      <w:r>
        <w:rPr>
          <w:rFonts w:hint="eastAsia" w:ascii="仿宋_GB2312" w:hAnsi="仿宋_GB2312" w:eastAsia="仿宋_GB2312" w:cs="仿宋_GB2312"/>
          <w:color w:val="000000"/>
          <w:sz w:val="28"/>
          <w:szCs w:val="28"/>
          <w:lang w:val="en-US" w:eastAsia="zh-CN"/>
        </w:rPr>
        <w:t>0.45万元</w:t>
      </w:r>
      <w:r>
        <w:rPr>
          <w:rFonts w:hint="eastAsia" w:ascii="仿宋_GB2312" w:hAnsi="仿宋_GB2312" w:eastAsia="仿宋_GB2312" w:cs="仿宋_GB2312"/>
          <w:color w:val="000000"/>
          <w:sz w:val="28"/>
          <w:szCs w:val="28"/>
        </w:rPr>
        <w:t>，完成预算100%。公务接待费支出决算比</w:t>
      </w:r>
      <w:r>
        <w:rPr>
          <w:rFonts w:hint="eastAsia" w:ascii="仿宋_GB2312" w:hAnsi="仿宋_GB2312" w:eastAsia="仿宋_GB2312" w:cs="仿宋_GB2312"/>
          <w:color w:val="000000"/>
          <w:sz w:val="28"/>
          <w:szCs w:val="28"/>
          <w:lang w:val="en-US" w:eastAsia="zh-CN"/>
        </w:rPr>
        <w:t>2020</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持平，</w:t>
      </w:r>
      <w:r>
        <w:rPr>
          <w:rFonts w:hint="eastAsia" w:ascii="仿宋_GB2312" w:hAnsi="仿宋_GB2312" w:eastAsia="仿宋_GB2312" w:cs="仿宋_GB2312"/>
          <w:color w:val="000000"/>
          <w:sz w:val="28"/>
          <w:szCs w:val="28"/>
        </w:rPr>
        <w:t>主要原因是</w:t>
      </w:r>
      <w:r>
        <w:rPr>
          <w:rFonts w:hint="eastAsia" w:ascii="仿宋_GB2312" w:hAnsi="仿宋_GB2312" w:eastAsia="仿宋_GB2312" w:cs="仿宋_GB2312"/>
          <w:color w:val="000000"/>
          <w:sz w:val="28"/>
          <w:szCs w:val="28"/>
          <w:lang w:val="en-US" w:eastAsia="zh-CN"/>
        </w:rPr>
        <w:t>严控三公经费</w:t>
      </w:r>
      <w:r>
        <w:rPr>
          <w:rFonts w:hint="eastAsia" w:ascii="仿宋_GB2312" w:hAnsi="仿宋_GB2312" w:eastAsia="仿宋_GB2312" w:cs="仿宋_GB2312"/>
          <w:color w:val="000000"/>
          <w:sz w:val="28"/>
          <w:szCs w:val="28"/>
          <w:lang w:eastAsia="zh-CN"/>
        </w:rPr>
        <w:t>，其中：</w:t>
      </w:r>
    </w:p>
    <w:p w14:paraId="1D4AAF69">
      <w:pPr>
        <w:pageBreakBefore w:val="0"/>
        <w:kinsoku/>
        <w:wordWrap/>
        <w:overflowPunct/>
        <w:topLinePunct w:val="0"/>
        <w:bidi w:val="0"/>
        <w:spacing w:line="576" w:lineRule="exact"/>
        <w:ind w:firstLine="56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auto"/>
          <w:sz w:val="28"/>
          <w:szCs w:val="28"/>
          <w:highlight w:val="none"/>
        </w:rPr>
        <w:t>国内公务接待支出</w:t>
      </w:r>
      <w:r>
        <w:rPr>
          <w:rFonts w:hint="eastAsia" w:ascii="仿宋_GB2312" w:hAnsi="仿宋_GB2312" w:eastAsia="仿宋_GB2312" w:cs="仿宋_GB2312"/>
          <w:color w:val="000000"/>
          <w:sz w:val="28"/>
          <w:szCs w:val="28"/>
          <w:lang w:val="en-US" w:eastAsia="zh-CN"/>
        </w:rPr>
        <w:t>0.45万元</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000000"/>
          <w:sz w:val="28"/>
          <w:szCs w:val="28"/>
        </w:rPr>
        <w:t>主要用于执行公务、开展业务活动开支的交通费、住宿费、用餐费等。国内公务接待</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批次</w:t>
      </w:r>
      <w:r>
        <w:rPr>
          <w:rFonts w:hint="eastAsia" w:ascii="仿宋_GB2312" w:hAnsi="仿宋_GB2312" w:eastAsia="仿宋_GB2312" w:cs="仿宋_GB2312"/>
          <w:color w:val="000000"/>
          <w:sz w:val="28"/>
          <w:szCs w:val="28"/>
          <w:lang w:val="en-US" w:eastAsia="zh-CN"/>
        </w:rPr>
        <w:t>60</w:t>
      </w:r>
      <w:r>
        <w:rPr>
          <w:rFonts w:hint="eastAsia" w:ascii="仿宋_GB2312" w:hAnsi="仿宋_GB2312" w:eastAsia="仿宋_GB2312" w:cs="仿宋_GB2312"/>
          <w:color w:val="000000"/>
          <w:sz w:val="28"/>
          <w:szCs w:val="28"/>
        </w:rPr>
        <w:t>人次（不包括陪同人员），共计支出</w:t>
      </w:r>
      <w:r>
        <w:rPr>
          <w:rFonts w:hint="eastAsia" w:ascii="仿宋_GB2312" w:hAnsi="仿宋_GB2312" w:eastAsia="仿宋_GB2312" w:cs="仿宋_GB2312"/>
          <w:color w:val="000000"/>
          <w:sz w:val="28"/>
          <w:szCs w:val="28"/>
          <w:lang w:val="en-US" w:eastAsia="zh-CN"/>
        </w:rPr>
        <w:t>0.45</w:t>
      </w:r>
      <w:r>
        <w:rPr>
          <w:rFonts w:hint="eastAsia" w:ascii="仿宋_GB2312" w:hAnsi="仿宋_GB2312" w:eastAsia="仿宋_GB2312" w:cs="仿宋_GB2312"/>
          <w:color w:val="000000"/>
          <w:sz w:val="28"/>
          <w:szCs w:val="28"/>
        </w:rPr>
        <w:t>万元，具体内容包括：</w:t>
      </w:r>
      <w:r>
        <w:rPr>
          <w:rFonts w:hint="eastAsia" w:ascii="仿宋_GB2312" w:hAnsi="仿宋_GB2312" w:eastAsia="仿宋_GB2312" w:cs="仿宋_GB2312"/>
          <w:color w:val="000000"/>
          <w:sz w:val="28"/>
          <w:szCs w:val="28"/>
          <w:lang w:eastAsia="zh-CN"/>
        </w:rPr>
        <w:t>其他单位调研等</w:t>
      </w:r>
      <w:r>
        <w:rPr>
          <w:rFonts w:hint="eastAsia" w:ascii="仿宋_GB2312" w:hAnsi="仿宋_GB2312" w:eastAsia="仿宋_GB2312" w:cs="仿宋_GB2312"/>
          <w:color w:val="000000"/>
          <w:sz w:val="28"/>
          <w:szCs w:val="28"/>
        </w:rPr>
        <w:t>接待开支</w:t>
      </w:r>
      <w:r>
        <w:rPr>
          <w:rFonts w:hint="eastAsia" w:ascii="仿宋_GB2312" w:hAnsi="仿宋_GB2312" w:eastAsia="仿宋_GB2312" w:cs="仿宋_GB2312"/>
          <w:color w:val="000000"/>
          <w:sz w:val="28"/>
          <w:szCs w:val="28"/>
          <w:lang w:val="en-US" w:eastAsia="zh-CN"/>
        </w:rPr>
        <w:t>0.45</w:t>
      </w:r>
      <w:r>
        <w:rPr>
          <w:rFonts w:hint="eastAsia" w:ascii="仿宋_GB2312" w:hAnsi="仿宋_GB2312" w:eastAsia="仿宋_GB2312" w:cs="仿宋_GB2312"/>
          <w:color w:val="000000"/>
          <w:sz w:val="28"/>
          <w:szCs w:val="28"/>
        </w:rPr>
        <w:t>万元。</w:t>
      </w:r>
    </w:p>
    <w:p w14:paraId="56236E79">
      <w:pPr>
        <w:pageBreakBefore w:val="0"/>
        <w:kinsoku/>
        <w:wordWrap/>
        <w:overflowPunct/>
        <w:topLinePunct w:val="0"/>
        <w:bidi w:val="0"/>
        <w:spacing w:line="576" w:lineRule="exact"/>
        <w:ind w:firstLine="640"/>
        <w:textAlignment w:val="auto"/>
        <w:rPr>
          <w:rFonts w:hint="eastAsia"/>
          <w:lang w:eastAsia="zh-CN"/>
        </w:rPr>
      </w:pPr>
      <w:r>
        <w:rPr>
          <w:rFonts w:hint="eastAsia" w:ascii="仿宋" w:hAnsi="仿宋" w:eastAsia="仿宋"/>
          <w:b/>
          <w:color w:val="auto"/>
          <w:sz w:val="28"/>
          <w:szCs w:val="28"/>
          <w:highlight w:val="none"/>
        </w:rPr>
        <w:t>外事接待支出</w:t>
      </w:r>
      <w:r>
        <w:rPr>
          <w:rFonts w:hint="eastAsia" w:ascii="仿宋" w:hAnsi="仿宋" w:eastAsia="仿宋"/>
          <w:color w:val="auto"/>
          <w:sz w:val="28"/>
          <w:szCs w:val="28"/>
          <w:highlight w:val="none"/>
          <w:lang w:val="en-US" w:eastAsia="zh-CN"/>
        </w:rPr>
        <w:t>0</w:t>
      </w:r>
      <w:r>
        <w:rPr>
          <w:rFonts w:hint="eastAsia" w:ascii="仿宋_GB2312" w:eastAsia="仿宋_GB2312"/>
          <w:color w:val="auto"/>
          <w:sz w:val="28"/>
          <w:szCs w:val="28"/>
          <w:highlight w:val="none"/>
        </w:rPr>
        <w:t>万元，</w:t>
      </w:r>
      <w:r>
        <w:rPr>
          <w:rFonts w:hint="eastAsia" w:ascii="仿宋_GB2312" w:hAnsi="仿宋_GB2312" w:eastAsia="仿宋_GB2312" w:cs="仿宋_GB2312"/>
          <w:color w:val="000000"/>
          <w:sz w:val="28"/>
          <w:szCs w:val="28"/>
          <w:lang w:val="en-US" w:eastAsia="zh-CN"/>
        </w:rPr>
        <w:t>年初未安排预算，支出决算较2020年无变化。</w:t>
      </w:r>
    </w:p>
    <w:p w14:paraId="58BBE619">
      <w:pPr>
        <w:spacing w:line="600" w:lineRule="exact"/>
        <w:ind w:firstLine="640"/>
        <w:outlineLvl w:val="1"/>
        <w:rPr>
          <w:rStyle w:val="21"/>
          <w:rFonts w:ascii="黑体" w:hAnsi="黑体" w:eastAsia="黑体"/>
          <w:color w:val="auto"/>
          <w:highlight w:val="none"/>
        </w:rPr>
      </w:pPr>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p>
    <w:p w14:paraId="5779A473">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年政府性基金预算拨款支出0万元。</w:t>
      </w:r>
    </w:p>
    <w:p w14:paraId="420A0701">
      <w:pPr>
        <w:numPr>
          <w:ilvl w:val="0"/>
          <w:numId w:val="2"/>
        </w:numPr>
        <w:spacing w:line="600" w:lineRule="exact"/>
        <w:ind w:firstLine="640"/>
        <w:outlineLvl w:val="1"/>
        <w:rPr>
          <w:rStyle w:val="21"/>
          <w:rFonts w:ascii="黑体" w:hAnsi="黑体" w:eastAsia="黑体"/>
          <w:b w:val="0"/>
          <w:color w:val="auto"/>
          <w:highlight w:val="none"/>
        </w:rPr>
      </w:pPr>
      <w:bookmarkStart w:id="43" w:name="_Toc15377219"/>
      <w:bookmarkStart w:id="44" w:name="_Toc15396611"/>
      <w:r>
        <w:rPr>
          <w:rStyle w:val="21"/>
          <w:rFonts w:hint="eastAsia" w:ascii="黑体" w:hAnsi="黑体" w:eastAsia="黑体"/>
          <w:b w:val="0"/>
          <w:color w:val="auto"/>
          <w:highlight w:val="none"/>
        </w:rPr>
        <w:t>国有资本经营预算支出决算情况说明</w:t>
      </w:r>
      <w:bookmarkEnd w:id="43"/>
      <w:bookmarkEnd w:id="44"/>
    </w:p>
    <w:p w14:paraId="73DC3471">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年国有资本经营预算拨款支出0万元。</w:t>
      </w:r>
    </w:p>
    <w:p w14:paraId="0B629D99">
      <w:pPr>
        <w:numPr>
          <w:ilvl w:val="0"/>
          <w:numId w:val="2"/>
        </w:numPr>
        <w:spacing w:line="600" w:lineRule="exact"/>
        <w:ind w:firstLine="640"/>
        <w:outlineLvl w:val="1"/>
        <w:rPr>
          <w:rStyle w:val="21"/>
          <w:rFonts w:hint="eastAsia" w:ascii="黑体" w:hAnsi="黑体" w:eastAsia="黑体"/>
          <w:b w:val="0"/>
          <w:color w:val="auto"/>
          <w:highlight w:val="none"/>
        </w:rPr>
      </w:pPr>
      <w:bookmarkStart w:id="45" w:name="_Toc15396612"/>
      <w:bookmarkStart w:id="46" w:name="_Toc15377221"/>
      <w:r>
        <w:rPr>
          <w:rStyle w:val="21"/>
          <w:rFonts w:hint="eastAsia" w:ascii="黑体" w:hAnsi="黑体" w:eastAsia="黑体"/>
          <w:b w:val="0"/>
          <w:color w:val="auto"/>
          <w:highlight w:val="none"/>
          <w:lang w:val="en-US" w:eastAsia="zh-CN"/>
        </w:rPr>
        <w:t>预算绩效管理情况</w:t>
      </w:r>
    </w:p>
    <w:p w14:paraId="43F86ACD">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根据预算绩效管理要求，本单位在</w:t>
      </w:r>
      <w:r>
        <w:rPr>
          <w:rFonts w:hint="eastAsia" w:ascii="仿宋_GB2312" w:hAnsi="仿宋_GB2312" w:eastAsia="仿宋_GB2312" w:cs="仿宋_GB2312"/>
          <w:color w:val="000000"/>
          <w:sz w:val="28"/>
          <w:szCs w:val="28"/>
          <w:lang w:val="en-US" w:eastAsia="zh-CN"/>
        </w:rPr>
        <w:t>2021年度</w:t>
      </w:r>
      <w:r>
        <w:rPr>
          <w:rFonts w:hint="eastAsia" w:ascii="仿宋_GB2312" w:hAnsi="仿宋_GB2312" w:eastAsia="仿宋_GB2312" w:cs="仿宋_GB2312"/>
          <w:color w:val="000000"/>
          <w:sz w:val="28"/>
          <w:szCs w:val="28"/>
        </w:rPr>
        <w:t>预算编制阶段，组织对</w:t>
      </w:r>
      <w:r>
        <w:rPr>
          <w:rFonts w:hint="eastAsia" w:ascii="仿宋_GB2312" w:hAnsi="仿宋_GB2312" w:eastAsia="仿宋_GB2312" w:cs="仿宋_GB2312"/>
          <w:color w:val="000000"/>
          <w:sz w:val="28"/>
          <w:szCs w:val="28"/>
          <w:lang w:eastAsia="zh-CN"/>
        </w:rPr>
        <w:t>医疗保障与服务能力提升</w:t>
      </w:r>
      <w:r>
        <w:rPr>
          <w:rFonts w:hint="eastAsia" w:ascii="仿宋_GB2312" w:hAnsi="仿宋_GB2312" w:eastAsia="仿宋_GB2312" w:cs="仿宋_GB2312"/>
          <w:color w:val="000000"/>
          <w:sz w:val="28"/>
          <w:szCs w:val="28"/>
          <w:lang w:val="en-US" w:eastAsia="zh-CN"/>
        </w:rPr>
        <w:t>1个项目</w:t>
      </w:r>
      <w:r>
        <w:rPr>
          <w:rFonts w:hint="eastAsia" w:ascii="仿宋_GB2312" w:hAnsi="仿宋_GB2312" w:eastAsia="仿宋_GB2312" w:cs="仿宋_GB2312"/>
          <w:color w:val="000000"/>
          <w:sz w:val="28"/>
          <w:szCs w:val="28"/>
        </w:rPr>
        <w:t>开展了预算事前绩效评估，对</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个项目编制了绩效目标，预算执行过程中，选取</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个项目开展绩效监控，年终执行完毕后，对</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个项目开展了绩效自评</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2021年部门预算项目绩效目标自评表见附件。</w:t>
      </w:r>
    </w:p>
    <w:p w14:paraId="2B16F4D6">
      <w:pPr>
        <w:numPr>
          <w:ilvl w:val="0"/>
          <w:numId w:val="2"/>
        </w:numPr>
        <w:spacing w:line="600" w:lineRule="exact"/>
        <w:ind w:firstLine="640"/>
        <w:outlineLvl w:val="1"/>
        <w:rPr>
          <w:rStyle w:val="21"/>
          <w:rFonts w:hint="eastAsia" w:ascii="黑体" w:hAnsi="黑体" w:eastAsia="黑体"/>
          <w:b w:val="0"/>
          <w:color w:val="auto"/>
          <w:highlight w:val="none"/>
        </w:rPr>
      </w:pPr>
      <w:r>
        <w:rPr>
          <w:rStyle w:val="21"/>
          <w:rFonts w:hint="eastAsia" w:ascii="黑体" w:hAnsi="黑体" w:eastAsia="黑体"/>
          <w:b w:val="0"/>
          <w:color w:val="auto"/>
          <w:highlight w:val="none"/>
        </w:rPr>
        <w:t>其他重要事项的情况说明</w:t>
      </w:r>
      <w:bookmarkEnd w:id="45"/>
      <w:bookmarkEnd w:id="46"/>
    </w:p>
    <w:p w14:paraId="4BBFB971">
      <w:pPr>
        <w:pageBreakBefore w:val="0"/>
        <w:kinsoku/>
        <w:wordWrap/>
        <w:overflowPunct/>
        <w:topLinePunct w:val="0"/>
        <w:bidi w:val="0"/>
        <w:spacing w:line="576" w:lineRule="exact"/>
        <w:ind w:firstLine="562" w:firstLineChars="200"/>
        <w:textAlignment w:val="auto"/>
        <w:outlineLvl w:val="2"/>
        <w:rPr>
          <w:rFonts w:hint="eastAsia" w:ascii="仿宋_GB2312" w:hAnsi="仿宋_GB2312" w:eastAsia="仿宋_GB2312" w:cs="仿宋_GB2312"/>
          <w:color w:val="000000"/>
          <w:sz w:val="28"/>
          <w:szCs w:val="28"/>
        </w:rPr>
      </w:pPr>
      <w:bookmarkStart w:id="47" w:name="_Toc15377222"/>
      <w:r>
        <w:rPr>
          <w:rFonts w:hint="eastAsia" w:ascii="仿宋_GB2312" w:hAnsi="仿宋_GB2312" w:eastAsia="仿宋_GB2312" w:cs="仿宋_GB2312"/>
          <w:b/>
          <w:color w:val="000000"/>
          <w:sz w:val="28"/>
          <w:szCs w:val="28"/>
        </w:rPr>
        <w:t>（一）机关运行经费支出情况</w:t>
      </w:r>
      <w:bookmarkEnd w:id="47"/>
    </w:p>
    <w:p w14:paraId="3CBCAE86">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年，昭化区医保局机关运行经费支出</w:t>
      </w:r>
      <w:r>
        <w:rPr>
          <w:rFonts w:hint="eastAsia" w:ascii="仿宋_GB2312" w:hAnsi="仿宋_GB2312" w:eastAsia="仿宋_GB2312" w:cs="仿宋_GB2312"/>
          <w:color w:val="000000"/>
          <w:sz w:val="28"/>
          <w:szCs w:val="28"/>
          <w:lang w:val="en-US" w:eastAsia="zh-CN"/>
        </w:rPr>
        <w:t>125.58</w:t>
      </w:r>
      <w:r>
        <w:rPr>
          <w:rFonts w:hint="eastAsia" w:ascii="仿宋_GB2312" w:hAnsi="仿宋_GB2312" w:eastAsia="仿宋_GB2312" w:cs="仿宋_GB2312"/>
          <w:color w:val="000000"/>
          <w:sz w:val="28"/>
          <w:szCs w:val="28"/>
        </w:rPr>
        <w:t>元，比</w:t>
      </w:r>
      <w:r>
        <w:rPr>
          <w:rFonts w:hint="eastAsia" w:ascii="仿宋_GB2312" w:hAnsi="仿宋_GB2312" w:eastAsia="仿宋_GB2312" w:cs="仿宋_GB2312"/>
          <w:color w:val="000000"/>
          <w:sz w:val="28"/>
          <w:szCs w:val="28"/>
          <w:lang w:val="en-US" w:eastAsia="zh-CN"/>
        </w:rPr>
        <w:t>2020</w:t>
      </w:r>
      <w:r>
        <w:rPr>
          <w:rFonts w:hint="eastAsia" w:ascii="仿宋_GB2312" w:hAnsi="仿宋_GB2312" w:eastAsia="仿宋_GB2312" w:cs="仿宋_GB2312"/>
          <w:color w:val="000000"/>
          <w:sz w:val="28"/>
          <w:szCs w:val="28"/>
        </w:rPr>
        <w:t>年增加</w:t>
      </w:r>
      <w:r>
        <w:rPr>
          <w:rFonts w:hint="eastAsia" w:ascii="仿宋_GB2312" w:hAnsi="仿宋_GB2312" w:eastAsia="仿宋_GB2312" w:cs="仿宋_GB2312"/>
          <w:color w:val="000000"/>
          <w:sz w:val="28"/>
          <w:szCs w:val="28"/>
          <w:lang w:val="en-US" w:eastAsia="zh-CN"/>
        </w:rPr>
        <w:t>9.59</w:t>
      </w:r>
      <w:r>
        <w:rPr>
          <w:rFonts w:hint="eastAsia" w:ascii="仿宋_GB2312" w:hAnsi="仿宋_GB2312" w:eastAsia="仿宋_GB2312" w:cs="仿宋_GB2312"/>
          <w:color w:val="000000"/>
          <w:sz w:val="28"/>
          <w:szCs w:val="28"/>
        </w:rPr>
        <w:t>万元，增长</w:t>
      </w:r>
      <w:r>
        <w:rPr>
          <w:rFonts w:hint="eastAsia" w:ascii="仿宋_GB2312" w:hAnsi="仿宋_GB2312" w:eastAsia="仿宋_GB2312" w:cs="仿宋_GB2312"/>
          <w:color w:val="000000"/>
          <w:sz w:val="28"/>
          <w:szCs w:val="28"/>
          <w:lang w:val="en-US" w:eastAsia="zh-CN"/>
        </w:rPr>
        <w:t>12.46</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主要原因是</w:t>
      </w:r>
      <w:r>
        <w:rPr>
          <w:rFonts w:hint="eastAsia" w:ascii="仿宋_GB2312" w:hAnsi="仿宋_GB2312" w:eastAsia="仿宋_GB2312" w:cs="仿宋_GB2312"/>
          <w:color w:val="000000"/>
          <w:sz w:val="28"/>
          <w:szCs w:val="28"/>
          <w:lang w:eastAsia="zh-CN"/>
        </w:rPr>
        <w:t>增加了医疗服务保障能力提升补助资金等</w:t>
      </w:r>
      <w:r>
        <w:rPr>
          <w:rFonts w:hint="eastAsia" w:ascii="仿宋_GB2312" w:hAnsi="仿宋_GB2312" w:eastAsia="仿宋_GB2312" w:cs="仿宋_GB2312"/>
          <w:color w:val="000000"/>
          <w:sz w:val="28"/>
          <w:szCs w:val="28"/>
        </w:rPr>
        <w:t>。</w:t>
      </w:r>
    </w:p>
    <w:p w14:paraId="38590C0C">
      <w:pPr>
        <w:pageBreakBefore w:val="0"/>
        <w:numPr>
          <w:ilvl w:val="0"/>
          <w:numId w:val="0"/>
        </w:numPr>
        <w:kinsoku/>
        <w:wordWrap/>
        <w:overflowPunct/>
        <w:topLinePunct w:val="0"/>
        <w:autoSpaceDE w:val="0"/>
        <w:autoSpaceDN w:val="0"/>
        <w:bidi w:val="0"/>
        <w:adjustRightInd w:val="0"/>
        <w:spacing w:line="576" w:lineRule="exact"/>
        <w:ind w:leftChars="200" w:firstLine="281" w:firstLineChars="100"/>
        <w:jc w:val="left"/>
        <w:textAlignment w:val="auto"/>
        <w:outlineLvl w:val="2"/>
        <w:rPr>
          <w:rFonts w:hint="eastAsia" w:ascii="仿宋_GB2312" w:hAnsi="仿宋_GB2312" w:eastAsia="仿宋_GB2312" w:cs="仿宋_GB2312"/>
          <w:b/>
          <w:color w:val="000000"/>
          <w:sz w:val="28"/>
          <w:szCs w:val="28"/>
          <w:highlight w:val="none"/>
        </w:rPr>
      </w:pPr>
      <w:bookmarkStart w:id="48" w:name="_Toc15377223"/>
      <w:r>
        <w:rPr>
          <w:rFonts w:hint="eastAsia" w:ascii="仿宋_GB2312" w:hAnsi="仿宋_GB2312" w:eastAsia="仿宋_GB2312" w:cs="仿宋_GB2312"/>
          <w:b/>
          <w:color w:val="000000"/>
          <w:sz w:val="28"/>
          <w:szCs w:val="28"/>
          <w:highlight w:val="none"/>
          <w:lang w:eastAsia="zh-CN"/>
        </w:rPr>
        <w:t>（二）</w:t>
      </w:r>
      <w:r>
        <w:rPr>
          <w:rFonts w:hint="eastAsia" w:ascii="仿宋_GB2312" w:hAnsi="仿宋_GB2312" w:eastAsia="仿宋_GB2312" w:cs="仿宋_GB2312"/>
          <w:b/>
          <w:color w:val="000000"/>
          <w:sz w:val="28"/>
          <w:szCs w:val="28"/>
          <w:highlight w:val="none"/>
        </w:rPr>
        <w:t>政府采购支出情况</w:t>
      </w:r>
      <w:bookmarkEnd w:id="48"/>
    </w:p>
    <w:p w14:paraId="10C6C5C6">
      <w:pPr>
        <w:pStyle w:val="2"/>
        <w:pageBreakBefore w:val="0"/>
        <w:numPr>
          <w:ilvl w:val="0"/>
          <w:numId w:val="0"/>
        </w:numPr>
        <w:kinsoku/>
        <w:wordWrap/>
        <w:overflowPunct/>
        <w:topLinePunct w:val="0"/>
        <w:bidi w:val="0"/>
        <w:spacing w:line="576" w:lineRule="exact"/>
        <w:ind w:firstLine="560" w:firstLineChars="200"/>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2021年，政府采购支出总额10.05万元，其中：政府采购货物支出10.05万元、政府采购工程支出0万元、政府采购服务支出0万元。主要用于电脑、打印机等办公设备采购。授予中小企业合同金额</w:t>
      </w:r>
      <w:r>
        <w:rPr>
          <w:rFonts w:hint="eastAsia" w:hAnsi="仿宋_GB2312" w:cs="仿宋_GB2312"/>
          <w:color w:val="000000"/>
          <w:kern w:val="2"/>
          <w:sz w:val="28"/>
          <w:szCs w:val="28"/>
          <w:lang w:val="en-US" w:eastAsia="zh-CN" w:bidi="ar-SA"/>
        </w:rPr>
        <w:t>0</w:t>
      </w:r>
      <w:r>
        <w:rPr>
          <w:rFonts w:hint="eastAsia" w:ascii="仿宋_GB2312" w:hAnsi="仿宋_GB2312" w:eastAsia="仿宋_GB2312" w:cs="仿宋_GB2312"/>
          <w:color w:val="000000"/>
          <w:kern w:val="2"/>
          <w:sz w:val="28"/>
          <w:szCs w:val="28"/>
          <w:lang w:val="en-US" w:eastAsia="zh-CN" w:bidi="ar-SA"/>
        </w:rPr>
        <w:t>万元，占政府采购支出总额的0%，其中：授予小微企业合同金额</w:t>
      </w:r>
      <w:r>
        <w:rPr>
          <w:rFonts w:hint="eastAsia" w:hAnsi="仿宋_GB2312" w:cs="仿宋_GB2312"/>
          <w:color w:val="000000"/>
          <w:kern w:val="2"/>
          <w:sz w:val="28"/>
          <w:szCs w:val="28"/>
          <w:lang w:val="en-US" w:eastAsia="zh-CN" w:bidi="ar-SA"/>
        </w:rPr>
        <w:t>10.05</w:t>
      </w:r>
      <w:r>
        <w:rPr>
          <w:rFonts w:hint="eastAsia" w:ascii="仿宋_GB2312" w:hAnsi="仿宋_GB2312" w:eastAsia="仿宋_GB2312" w:cs="仿宋_GB2312"/>
          <w:color w:val="000000"/>
          <w:kern w:val="2"/>
          <w:sz w:val="28"/>
          <w:szCs w:val="28"/>
          <w:lang w:val="en-US" w:eastAsia="zh-CN" w:bidi="ar-SA"/>
        </w:rPr>
        <w:t>万元，占政府采购支出总额的</w:t>
      </w:r>
      <w:r>
        <w:rPr>
          <w:rFonts w:hint="eastAsia" w:hAnsi="仿宋_GB2312" w:cs="仿宋_GB2312"/>
          <w:color w:val="000000"/>
          <w:kern w:val="2"/>
          <w:sz w:val="28"/>
          <w:szCs w:val="28"/>
          <w:lang w:val="en-US" w:eastAsia="zh-CN" w:bidi="ar-SA"/>
        </w:rPr>
        <w:t>100</w:t>
      </w:r>
      <w:r>
        <w:rPr>
          <w:rFonts w:hint="eastAsia" w:ascii="仿宋_GB2312" w:hAnsi="仿宋_GB2312" w:eastAsia="仿宋_GB2312" w:cs="仿宋_GB2312"/>
          <w:color w:val="000000"/>
          <w:kern w:val="2"/>
          <w:sz w:val="28"/>
          <w:szCs w:val="28"/>
          <w:lang w:val="en-US" w:eastAsia="zh-CN" w:bidi="ar-SA"/>
        </w:rPr>
        <w:t>%。</w:t>
      </w:r>
    </w:p>
    <w:p w14:paraId="1097BCD8">
      <w:pPr>
        <w:pageBreakBefore w:val="0"/>
        <w:kinsoku/>
        <w:wordWrap/>
        <w:overflowPunct/>
        <w:topLinePunct w:val="0"/>
        <w:autoSpaceDE w:val="0"/>
        <w:autoSpaceDN w:val="0"/>
        <w:bidi w:val="0"/>
        <w:adjustRightInd w:val="0"/>
        <w:spacing w:line="576" w:lineRule="exact"/>
        <w:ind w:firstLine="562" w:firstLineChars="200"/>
        <w:jc w:val="left"/>
        <w:textAlignment w:val="auto"/>
        <w:outlineLvl w:val="2"/>
        <w:rPr>
          <w:rFonts w:hint="eastAsia" w:ascii="仿宋_GB2312" w:hAnsi="仿宋_GB2312" w:eastAsia="仿宋_GB2312" w:cs="仿宋_GB2312"/>
          <w:b/>
          <w:color w:val="000000"/>
          <w:sz w:val="28"/>
          <w:szCs w:val="28"/>
        </w:rPr>
      </w:pPr>
      <w:bookmarkStart w:id="49" w:name="_Toc15377224"/>
      <w:r>
        <w:rPr>
          <w:rFonts w:hint="eastAsia" w:ascii="仿宋_GB2312" w:hAnsi="仿宋_GB2312" w:eastAsia="仿宋_GB2312" w:cs="仿宋_GB2312"/>
          <w:b/>
          <w:color w:val="000000"/>
          <w:sz w:val="28"/>
          <w:szCs w:val="28"/>
        </w:rPr>
        <w:t>（三）国有资产占有使用情况</w:t>
      </w:r>
      <w:bookmarkEnd w:id="49"/>
    </w:p>
    <w:p w14:paraId="66940D59">
      <w:pPr>
        <w:pageBreakBefore w:val="0"/>
        <w:kinsoku/>
        <w:wordWrap/>
        <w:overflowPunct/>
        <w:topLinePunct w:val="0"/>
        <w:autoSpaceDE w:val="0"/>
        <w:autoSpaceDN w:val="0"/>
        <w:bidi w:val="0"/>
        <w:adjustRightInd w:val="0"/>
        <w:spacing w:line="576"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截至</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年12月31日，昭化区医疗保险管理局共有车辆</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辆，其中：部级领导干部用车0辆、一般公务用车0辆、一般执法执勤用车0辆、特种专业技术用车0辆、其他用车</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辆，其他用车主要是用于对医保定点医药机构监管、稽核和脱贫攻坚下乡帮扶。单价50万元以上通用设备0台（套），单价100万元以上专用设备0台（套）。</w:t>
      </w:r>
    </w:p>
    <w:p w14:paraId="1B5D6492">
      <w:pPr>
        <w:numPr>
          <w:ilvl w:val="0"/>
          <w:numId w:val="0"/>
        </w:numPr>
        <w:spacing w:line="600" w:lineRule="exact"/>
        <w:jc w:val="center"/>
        <w:outlineLvl w:val="0"/>
        <w:rPr>
          <w:rStyle w:val="15"/>
          <w:rFonts w:hint="eastAsia" w:ascii="仿宋_GB2312" w:hAnsi="仿宋_GB2312" w:eastAsia="仿宋_GB2312" w:cs="仿宋_GB2312"/>
          <w:b w:val="0"/>
          <w:sz w:val="28"/>
          <w:szCs w:val="28"/>
        </w:rPr>
      </w:pPr>
      <w:r>
        <w:rPr>
          <w:rFonts w:hint="eastAsia" w:ascii="仿宋_GB2312" w:hAnsi="仿宋_GB2312" w:eastAsia="仿宋_GB2312" w:cs="仿宋_GB2312"/>
          <w:b/>
          <w:color w:val="000000"/>
          <w:sz w:val="28"/>
          <w:szCs w:val="28"/>
        </w:rPr>
        <w:br w:type="page"/>
      </w:r>
      <w:bookmarkStart w:id="50" w:name="_Toc15377225"/>
      <w:bookmarkStart w:id="51" w:name="_Toc15396613"/>
      <w:r>
        <w:rPr>
          <w:rStyle w:val="22"/>
          <w:rFonts w:hint="eastAsia" w:ascii="黑体" w:hAnsi="黑体" w:eastAsia="黑体" w:cs="Times New Roman"/>
          <w:b w:val="0"/>
          <w:color w:val="auto"/>
          <w:highlight w:val="none"/>
          <w:lang w:eastAsia="zh-CN"/>
        </w:rPr>
        <w:t>第三部分</w:t>
      </w:r>
      <w:r>
        <w:rPr>
          <w:rStyle w:val="22"/>
          <w:rFonts w:hint="eastAsia" w:ascii="黑体" w:hAnsi="黑体" w:eastAsia="黑体" w:cs="Times New Roman"/>
          <w:b w:val="0"/>
          <w:color w:val="auto"/>
          <w:highlight w:val="none"/>
          <w:lang w:val="en-US" w:eastAsia="zh-CN"/>
        </w:rPr>
        <w:t xml:space="preserve"> </w:t>
      </w:r>
      <w:r>
        <w:rPr>
          <w:rStyle w:val="22"/>
          <w:rFonts w:hint="eastAsia" w:ascii="黑体" w:hAnsi="黑体" w:eastAsia="黑体" w:cs="Times New Roman"/>
          <w:b w:val="0"/>
          <w:color w:val="auto"/>
          <w:highlight w:val="none"/>
        </w:rPr>
        <w:t>名词</w:t>
      </w:r>
      <w:r>
        <w:rPr>
          <w:rStyle w:val="22"/>
          <w:rFonts w:hint="eastAsia" w:ascii="黑体" w:hAnsi="黑体" w:eastAsia="黑体"/>
          <w:b w:val="0"/>
          <w:color w:val="auto"/>
          <w:highlight w:val="none"/>
        </w:rPr>
        <w:t>解释</w:t>
      </w:r>
      <w:bookmarkEnd w:id="50"/>
      <w:bookmarkEnd w:id="51"/>
    </w:p>
    <w:p w14:paraId="0B25AE05">
      <w:pPr>
        <w:pageBreakBefore w:val="0"/>
        <w:kinsoku/>
        <w:wordWrap/>
        <w:overflowPunct/>
        <w:topLinePunct w:val="0"/>
        <w:bidi w:val="0"/>
        <w:spacing w:line="576" w:lineRule="exact"/>
        <w:jc w:val="left"/>
        <w:textAlignment w:val="auto"/>
        <w:rPr>
          <w:rFonts w:hint="eastAsia" w:ascii="仿宋_GB2312" w:hAnsi="仿宋_GB2312" w:eastAsia="仿宋_GB2312" w:cs="仿宋_GB2312"/>
          <w:b/>
          <w:color w:val="000000"/>
          <w:sz w:val="28"/>
          <w:szCs w:val="28"/>
        </w:rPr>
      </w:pPr>
    </w:p>
    <w:p w14:paraId="229455D0">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1.财政拨款收入：指单位从同级财政部门取得的财政预算资金。</w:t>
      </w:r>
    </w:p>
    <w:p w14:paraId="38800C2E">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2.事业收入：指事业单位开展专业业务活动及辅助活动取得的收入。</w:t>
      </w:r>
    </w:p>
    <w:p w14:paraId="5098889D">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3.经营收入：指事业单位在专业业务活动及其辅助活动之外开展非独立核算经营活动取得的收入。</w:t>
      </w:r>
    </w:p>
    <w:p w14:paraId="1182A24E">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4.其他收入：指单位取得的除上述收入以外的各项收入。</w:t>
      </w:r>
    </w:p>
    <w:p w14:paraId="5FE58CD8">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B19E297">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6.年初结转和结余：指以前年度尚未完成、结转到本年按有关规定继续使用的资金。 </w:t>
      </w:r>
    </w:p>
    <w:p w14:paraId="2374CDAA">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7.结余分配：指事业单位按照事业单位会计制度的规定从非财政补助结余中分配的事业基金和职工福利基金等。</w:t>
      </w:r>
    </w:p>
    <w:p w14:paraId="2BE91179">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年末结转和结余：指单位按有关规定结转到下年或以后年度继续使用的资金。</w:t>
      </w:r>
    </w:p>
    <w:p w14:paraId="37D99CD1">
      <w:p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9.社会保障和就业支出（类）人力资源和社会保障管理事务（款）社会保险业务管理事务（项）：指单位用于支付职工社保及工作经费等资金。</w:t>
      </w:r>
    </w:p>
    <w:p w14:paraId="5781EA7F">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10.医疗卫生支出（类）医疗卫生支出（款）医疗卫生支出（项）：指单位用于支付职工医疗保险费用资金。</w:t>
      </w:r>
    </w:p>
    <w:p w14:paraId="45F396BB">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11.住房保障支出（类）住房改革支出（款）住房公积金（项）：</w:t>
      </w:r>
      <w:r>
        <w:rPr>
          <w:rFonts w:hint="eastAsia" w:ascii="仿宋_GB2312" w:eastAsia="仿宋_GB2312"/>
          <w:color w:val="auto"/>
          <w:sz w:val="32"/>
          <w:szCs w:val="32"/>
          <w:highlight w:val="none"/>
        </w:rPr>
        <w:t>指</w:t>
      </w:r>
      <w:r>
        <w:rPr>
          <w:rFonts w:hint="eastAsia" w:ascii="仿宋_GB2312" w:hAnsi="仿宋_GB2312" w:eastAsia="仿宋_GB2312" w:cs="仿宋_GB2312"/>
          <w:color w:val="000000"/>
          <w:kern w:val="0"/>
          <w:sz w:val="28"/>
          <w:szCs w:val="28"/>
          <w:lang w:val="en-US" w:eastAsia="zh-CN" w:bidi="ar-SA"/>
        </w:rPr>
        <w:t>单位用于支付职工住房公积金费用资金</w:t>
      </w:r>
      <w:r>
        <w:rPr>
          <w:rFonts w:hint="eastAsia" w:ascii="仿宋_GB2312" w:eastAsia="仿宋_GB2312"/>
          <w:color w:val="auto"/>
          <w:sz w:val="32"/>
          <w:szCs w:val="32"/>
          <w:highlight w:val="none"/>
        </w:rPr>
        <w:t>。</w:t>
      </w:r>
    </w:p>
    <w:p w14:paraId="2A762D59">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基本支出：指为保障机构正常运转、完成日常工作任务而发生的人员支出和公用支出。</w:t>
      </w:r>
    </w:p>
    <w:p w14:paraId="1309466D">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13.</w:t>
      </w:r>
      <w:r>
        <w:rPr>
          <w:rFonts w:hint="eastAsia" w:ascii="仿宋_GB2312" w:hAnsi="仿宋_GB2312" w:eastAsia="仿宋_GB2312" w:cs="仿宋_GB2312"/>
          <w:color w:val="000000"/>
          <w:sz w:val="28"/>
          <w:szCs w:val="28"/>
        </w:rPr>
        <w:t xml:space="preserve">项目支出：指在基本支出之外为完成特定行政任务和事业发展目标所发生的支出。 </w:t>
      </w:r>
    </w:p>
    <w:p w14:paraId="02EBBB12">
      <w:pPr>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经营支出：指事业单位在专业业务活动及其辅助活动之外开展非独立核算经营活动发生的支出。</w:t>
      </w:r>
    </w:p>
    <w:p w14:paraId="428B9A93">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1C25CBE">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63D98B2">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p>
    <w:p w14:paraId="11BDDB0C">
      <w:pPr>
        <w:pStyle w:val="18"/>
        <w:pageBreakBefore w:val="0"/>
        <w:kinsoku/>
        <w:wordWrap/>
        <w:overflowPunct/>
        <w:topLinePunct w:val="0"/>
        <w:bidi w:val="0"/>
        <w:spacing w:line="576" w:lineRule="exact"/>
        <w:ind w:firstLine="560" w:firstLineChars="200"/>
        <w:textAlignment w:val="auto"/>
        <w:rPr>
          <w:rFonts w:hint="eastAsia" w:ascii="仿宋_GB2312" w:hAnsi="仿宋_GB2312" w:eastAsia="仿宋_GB2312" w:cs="仿宋_GB2312"/>
          <w:sz w:val="28"/>
          <w:szCs w:val="28"/>
        </w:rPr>
      </w:pPr>
    </w:p>
    <w:p w14:paraId="3DB81983">
      <w:pPr>
        <w:pageBreakBefore w:val="0"/>
        <w:numPr>
          <w:ilvl w:val="0"/>
          <w:numId w:val="3"/>
        </w:numPr>
        <w:kinsoku/>
        <w:wordWrap/>
        <w:overflowPunct/>
        <w:topLinePunct w:val="0"/>
        <w:bidi w:val="0"/>
        <w:spacing w:line="576" w:lineRule="exact"/>
        <w:jc w:val="center"/>
        <w:textAlignment w:val="auto"/>
        <w:outlineLvl w:val="0"/>
        <w:rPr>
          <w:rFonts w:hint="eastAsia" w:ascii="黑体" w:hAnsi="黑体" w:eastAsia="黑体" w:cs="Times New Roman"/>
          <w:color w:val="auto"/>
          <w:sz w:val="44"/>
          <w:szCs w:val="44"/>
          <w:highlight w:val="none"/>
        </w:rPr>
      </w:pPr>
      <w:r>
        <w:rPr>
          <w:rFonts w:hint="eastAsia" w:ascii="仿宋_GB2312" w:hAnsi="仿宋_GB2312" w:eastAsia="仿宋_GB2312" w:cs="仿宋_GB2312"/>
          <w:b/>
          <w:color w:val="000000"/>
          <w:sz w:val="28"/>
          <w:szCs w:val="28"/>
        </w:rPr>
        <w:br w:type="page"/>
      </w:r>
      <w:bookmarkStart w:id="52" w:name="_Toc15396614"/>
      <w:r>
        <w:rPr>
          <w:rFonts w:hint="eastAsia" w:ascii="黑体" w:hAnsi="黑体" w:eastAsia="黑体" w:cs="Times New Roman"/>
          <w:color w:val="auto"/>
          <w:sz w:val="44"/>
          <w:szCs w:val="44"/>
          <w:highlight w:val="none"/>
        </w:rPr>
        <w:t>附件</w:t>
      </w:r>
      <w:bookmarkEnd w:id="52"/>
    </w:p>
    <w:p w14:paraId="605E7401">
      <w:pPr>
        <w:pStyle w:val="2"/>
        <w:numPr>
          <w:ilvl w:val="0"/>
          <w:numId w:val="0"/>
        </w:numPr>
        <w:rPr>
          <w:rFonts w:hint="eastAsia"/>
        </w:rPr>
      </w:pPr>
    </w:p>
    <w:tbl>
      <w:tblPr>
        <w:tblStyle w:val="11"/>
        <w:tblW w:w="8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416"/>
        <w:gridCol w:w="928"/>
        <w:gridCol w:w="1738"/>
        <w:gridCol w:w="1318"/>
        <w:gridCol w:w="1462"/>
        <w:gridCol w:w="816"/>
        <w:gridCol w:w="1649"/>
      </w:tblGrid>
      <w:tr w14:paraId="71AD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855" w:type="dxa"/>
            <w:gridSpan w:val="8"/>
            <w:tcBorders>
              <w:top w:val="nil"/>
              <w:left w:val="nil"/>
              <w:bottom w:val="nil"/>
              <w:right w:val="nil"/>
            </w:tcBorders>
            <w:shd w:val="clear" w:color="auto" w:fill="auto"/>
            <w:vAlign w:val="center"/>
          </w:tcPr>
          <w:p w14:paraId="233BD40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中央财政医疗服务与保障能力提升补助资金（医疗保障能力建设部分）区域转移支付区域（项目）绩效目标自评表 </w:t>
            </w:r>
          </w:p>
        </w:tc>
      </w:tr>
      <w:tr w14:paraId="6947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855" w:type="dxa"/>
            <w:gridSpan w:val="8"/>
            <w:tcBorders>
              <w:top w:val="nil"/>
              <w:left w:val="nil"/>
              <w:bottom w:val="single" w:color="000000" w:sz="4" w:space="0"/>
              <w:right w:val="nil"/>
            </w:tcBorders>
            <w:shd w:val="clear" w:color="auto" w:fill="auto"/>
            <w:vAlign w:val="top"/>
          </w:tcPr>
          <w:p w14:paraId="2B90C37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r>
      <w:tr w14:paraId="2286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35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6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94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中央财政医疗服务与保障能力提升补助资金（医疗保障能力建设部分）    </w:t>
            </w:r>
          </w:p>
        </w:tc>
      </w:tr>
      <w:tr w14:paraId="0232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3D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6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9994E">
            <w:pPr>
              <w:jc w:val="center"/>
              <w:rPr>
                <w:rFonts w:hint="eastAsia" w:ascii="宋体" w:hAnsi="宋体" w:eastAsia="宋体" w:cs="宋体"/>
                <w:i w:val="0"/>
                <w:iCs w:val="0"/>
                <w:color w:val="000000"/>
                <w:sz w:val="20"/>
                <w:szCs w:val="20"/>
                <w:u w:val="none"/>
              </w:rPr>
            </w:pPr>
          </w:p>
        </w:tc>
      </w:tr>
      <w:tr w14:paraId="08AF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CE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454F3">
            <w:pPr>
              <w:jc w:val="center"/>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2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2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08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广元市昭化区医疗保障局</w:t>
            </w:r>
          </w:p>
        </w:tc>
      </w:tr>
      <w:tr w14:paraId="56E5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8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53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98E4">
            <w:pP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7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A1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2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w:t>
            </w:r>
          </w:p>
        </w:tc>
      </w:tr>
      <w:tr w14:paraId="38E2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8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FCF8">
            <w:pPr>
              <w:jc w:val="center"/>
              <w:rPr>
                <w:rFonts w:hint="eastAsia" w:ascii="宋体" w:hAnsi="宋体" w:eastAsia="宋体" w:cs="宋体"/>
                <w:i w:val="0"/>
                <w:iCs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FB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8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C0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4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94.30%</w:t>
            </w:r>
          </w:p>
        </w:tc>
      </w:tr>
      <w:tr w14:paraId="1FE6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8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2C26D">
            <w:pPr>
              <w:jc w:val="center"/>
              <w:rPr>
                <w:rFonts w:hint="eastAsia" w:ascii="宋体" w:hAnsi="宋体" w:eastAsia="宋体" w:cs="宋体"/>
                <w:i w:val="0"/>
                <w:iCs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3C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9"/>
                <w:rFonts w:ascii="宋体" w:hAnsi="宋体" w:eastAsia="宋体" w:cs="宋体"/>
                <w:sz w:val="24"/>
                <w:szCs w:val="24"/>
                <w:lang w:val="en-US" w:eastAsia="zh-CN" w:bidi="ar"/>
              </w:rPr>
              <w:t>其中：中央财政资金</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4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2A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C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94.30%</w:t>
            </w:r>
          </w:p>
        </w:tc>
      </w:tr>
      <w:tr w14:paraId="0412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8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1651">
            <w:pPr>
              <w:jc w:val="center"/>
              <w:rPr>
                <w:rFonts w:hint="eastAsia" w:ascii="宋体" w:hAnsi="宋体" w:eastAsia="宋体" w:cs="宋体"/>
                <w:i w:val="0"/>
                <w:iCs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9B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9"/>
                <w:rFonts w:ascii="宋体" w:hAnsi="宋体" w:eastAsia="宋体" w:cs="宋体"/>
                <w:sz w:val="24"/>
                <w:szCs w:val="24"/>
                <w:lang w:val="en-US" w:eastAsia="zh-CN" w:bidi="ar"/>
              </w:rPr>
              <w:t>地方资金</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88E2">
            <w:pPr>
              <w:jc w:val="center"/>
              <w:rPr>
                <w:rFonts w:hint="eastAsia" w:ascii="宋体" w:hAnsi="宋体" w:eastAsia="宋体" w:cs="宋体"/>
                <w:i w:val="0"/>
                <w:iCs w:val="0"/>
                <w:color w:val="000000"/>
                <w:sz w:val="20"/>
                <w:szCs w:val="20"/>
                <w:u w:val="none"/>
              </w:rPr>
            </w:pP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DC682">
            <w:pPr>
              <w:jc w:val="center"/>
              <w:rPr>
                <w:rFonts w:hint="eastAsia" w:ascii="宋体" w:hAnsi="宋体" w:eastAsia="宋体" w:cs="宋体"/>
                <w:i w:val="0"/>
                <w:iCs w:val="0"/>
                <w:color w:val="000000"/>
                <w:sz w:val="20"/>
                <w:szCs w:val="20"/>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9145">
            <w:pPr>
              <w:jc w:val="left"/>
              <w:rPr>
                <w:rFonts w:hint="eastAsia" w:ascii="宋体" w:hAnsi="宋体" w:eastAsia="宋体" w:cs="宋体"/>
                <w:i w:val="0"/>
                <w:iCs w:val="0"/>
                <w:color w:val="000000"/>
                <w:sz w:val="20"/>
                <w:szCs w:val="20"/>
                <w:u w:val="none"/>
              </w:rPr>
            </w:pPr>
          </w:p>
        </w:tc>
      </w:tr>
      <w:tr w14:paraId="4EAB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8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E7328">
            <w:pPr>
              <w:jc w:val="center"/>
              <w:rPr>
                <w:rFonts w:hint="eastAsia" w:ascii="宋体" w:hAnsi="宋体" w:eastAsia="宋体" w:cs="宋体"/>
                <w:i w:val="0"/>
                <w:iCs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2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9"/>
                <w:rFonts w:ascii="宋体" w:hAnsi="宋体" w:eastAsia="宋体" w:cs="宋体"/>
                <w:sz w:val="24"/>
                <w:szCs w:val="24"/>
                <w:lang w:val="en-US" w:eastAsia="zh-CN" w:bidi="ar"/>
              </w:rPr>
              <w:t>其他资金</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3CEC">
            <w:pPr>
              <w:jc w:val="center"/>
              <w:rPr>
                <w:rFonts w:hint="eastAsia" w:ascii="宋体" w:hAnsi="宋体" w:eastAsia="宋体" w:cs="宋体"/>
                <w:i w:val="0"/>
                <w:iCs w:val="0"/>
                <w:color w:val="000000"/>
                <w:sz w:val="20"/>
                <w:szCs w:val="20"/>
                <w:u w:val="none"/>
              </w:rPr>
            </w:pP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1BCBE">
            <w:pPr>
              <w:jc w:val="center"/>
              <w:rPr>
                <w:rFonts w:hint="eastAsia" w:ascii="宋体" w:hAnsi="宋体" w:eastAsia="宋体" w:cs="宋体"/>
                <w:i w:val="0"/>
                <w:iCs w:val="0"/>
                <w:color w:val="000000"/>
                <w:sz w:val="20"/>
                <w:szCs w:val="20"/>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6882">
            <w:pPr>
              <w:jc w:val="left"/>
              <w:rPr>
                <w:rFonts w:hint="eastAsia" w:ascii="宋体" w:hAnsi="宋体" w:eastAsia="宋体" w:cs="宋体"/>
                <w:i w:val="0"/>
                <w:iCs w:val="0"/>
                <w:color w:val="000000"/>
                <w:sz w:val="20"/>
                <w:szCs w:val="20"/>
                <w:u w:val="none"/>
              </w:rPr>
            </w:pPr>
          </w:p>
        </w:tc>
      </w:tr>
      <w:tr w14:paraId="16A3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F6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4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D9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25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2451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1"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D28B5">
            <w:pPr>
              <w:jc w:val="center"/>
              <w:rPr>
                <w:rFonts w:hint="eastAsia" w:ascii="宋体" w:hAnsi="宋体" w:eastAsia="宋体" w:cs="宋体"/>
                <w:i w:val="0"/>
                <w:iCs w:val="0"/>
                <w:color w:val="000000"/>
                <w:sz w:val="20"/>
                <w:szCs w:val="20"/>
                <w:u w:val="none"/>
              </w:rPr>
            </w:pPr>
          </w:p>
        </w:tc>
        <w:tc>
          <w:tcPr>
            <w:tcW w:w="4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45F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目标1：提升医保信息化水平，加强网络、信息安全、基础设施等方面建设，进一步夯实技术基础，切实保障医保信息系统高效、安全运行，提高数据采集质量和速度。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目标2：加强打击欺诈骗保工作力度，重点“三假”工作整治。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目标3：国家医保平台平稳上线，网络运行畅通。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目标4：有效提升综合监管、宣传引导、经办服务、人才队伍建设等医疗保障服务能力。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目标5：有效控制医保基金增长，减轻参保人员医疗支付负担，提高基金使用效率。</w:t>
            </w:r>
          </w:p>
        </w:tc>
        <w:tc>
          <w:tcPr>
            <w:tcW w:w="3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589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了网络、信息安全、基础设施等方面建设，切实保障了医保信息系统高效、安全运行，提高数据采集质量和速度。打击欺诈骗保工作力度加强，重点整治了“三假”工作。完成了国家医保平台平稳上线，网络运行畅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有效提升综合监管、宣传引导、经办服务、人才队伍建设等医疗保障服务能力。有效控制医保基金增长，减轻参保人员医疗支付负担，提高基金使用效率。</w:t>
            </w:r>
          </w:p>
        </w:tc>
      </w:tr>
      <w:tr w14:paraId="5CA0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8C0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1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D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FE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0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9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8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5BDE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212A92">
            <w:pPr>
              <w:jc w:val="center"/>
              <w:rPr>
                <w:rFonts w:hint="eastAsia" w:ascii="宋体" w:hAnsi="宋体" w:eastAsia="宋体" w:cs="宋体"/>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F6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24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62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镇、村医保服务能力提升试点建设个数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9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8B37">
            <w:pPr>
              <w:jc w:val="center"/>
              <w:rPr>
                <w:rFonts w:hint="eastAsia" w:ascii="宋体" w:hAnsi="宋体" w:eastAsia="宋体" w:cs="宋体"/>
                <w:i w:val="0"/>
                <w:iCs w:val="0"/>
                <w:color w:val="000000"/>
                <w:sz w:val="20"/>
                <w:szCs w:val="20"/>
                <w:u w:val="none"/>
              </w:rPr>
            </w:pPr>
          </w:p>
        </w:tc>
      </w:tr>
      <w:tr w14:paraId="3456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3CFC71">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2AE9B">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7495">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C3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全区职工和城乡居民医保受益群众人数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8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24万人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0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24万人</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1B28">
            <w:pPr>
              <w:jc w:val="center"/>
              <w:rPr>
                <w:rFonts w:hint="eastAsia" w:ascii="宋体" w:hAnsi="宋体" w:eastAsia="宋体" w:cs="宋体"/>
                <w:i w:val="0"/>
                <w:iCs w:val="0"/>
                <w:color w:val="000000"/>
                <w:sz w:val="20"/>
                <w:szCs w:val="20"/>
                <w:u w:val="none"/>
              </w:rPr>
            </w:pPr>
          </w:p>
        </w:tc>
      </w:tr>
      <w:tr w14:paraId="5FB5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1BD978">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BD0FE">
            <w:pPr>
              <w:jc w:val="center"/>
              <w:rPr>
                <w:rFonts w:hint="eastAsia" w:ascii="宋体" w:hAnsi="宋体" w:eastAsia="宋体" w:cs="宋体"/>
                <w:i w:val="0"/>
                <w:iCs w:val="0"/>
                <w:color w:val="000000"/>
                <w:sz w:val="20"/>
                <w:szCs w:val="20"/>
                <w:u w:val="none"/>
              </w:rPr>
            </w:pP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0A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E1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医保信息化能力提升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0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优良中差</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6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D7E1">
            <w:pPr>
              <w:jc w:val="center"/>
              <w:rPr>
                <w:rFonts w:hint="eastAsia" w:ascii="宋体" w:hAnsi="宋体" w:eastAsia="宋体" w:cs="宋体"/>
                <w:i w:val="0"/>
                <w:iCs w:val="0"/>
                <w:color w:val="000000"/>
                <w:sz w:val="20"/>
                <w:szCs w:val="20"/>
                <w:u w:val="none"/>
              </w:rPr>
            </w:pPr>
          </w:p>
        </w:tc>
      </w:tr>
      <w:tr w14:paraId="0B9C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F5AC30">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E4F2B">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5447">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AE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医保服务能力提升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F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优良中差</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F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A518">
            <w:pPr>
              <w:jc w:val="center"/>
              <w:rPr>
                <w:rFonts w:hint="eastAsia" w:ascii="宋体" w:hAnsi="宋体" w:eastAsia="宋体" w:cs="宋体"/>
                <w:i w:val="0"/>
                <w:iCs w:val="0"/>
                <w:color w:val="000000"/>
                <w:sz w:val="20"/>
                <w:szCs w:val="20"/>
                <w:u w:val="none"/>
              </w:rPr>
            </w:pPr>
          </w:p>
        </w:tc>
      </w:tr>
      <w:tr w14:paraId="521E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7EAE78">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FCE3">
            <w:pPr>
              <w:jc w:val="center"/>
              <w:rPr>
                <w:rFonts w:hint="eastAsia" w:ascii="宋体" w:hAnsi="宋体" w:eastAsia="宋体" w:cs="宋体"/>
                <w:i w:val="0"/>
                <w:iCs w:val="0"/>
                <w:color w:val="000000"/>
                <w:sz w:val="20"/>
                <w:szCs w:val="20"/>
                <w:u w:val="none"/>
              </w:rPr>
            </w:pP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CB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EA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资金兑付及时性</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7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5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56E6">
            <w:pPr>
              <w:jc w:val="center"/>
              <w:rPr>
                <w:rFonts w:hint="eastAsia" w:ascii="宋体" w:hAnsi="宋体" w:eastAsia="宋体" w:cs="宋体"/>
                <w:i w:val="0"/>
                <w:iCs w:val="0"/>
                <w:color w:val="000000"/>
                <w:sz w:val="20"/>
                <w:szCs w:val="20"/>
                <w:u w:val="none"/>
              </w:rPr>
            </w:pPr>
          </w:p>
        </w:tc>
      </w:tr>
      <w:tr w14:paraId="1F9C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43A5B4">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4B8FB">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62F5">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96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医疗保障信息化建设及时性</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6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E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0595">
            <w:pPr>
              <w:jc w:val="center"/>
              <w:rPr>
                <w:rFonts w:hint="eastAsia" w:ascii="宋体" w:hAnsi="宋体" w:eastAsia="宋体" w:cs="宋体"/>
                <w:i w:val="0"/>
                <w:iCs w:val="0"/>
                <w:color w:val="000000"/>
                <w:sz w:val="20"/>
                <w:szCs w:val="20"/>
                <w:u w:val="none"/>
              </w:rPr>
            </w:pPr>
          </w:p>
        </w:tc>
      </w:tr>
      <w:tr w14:paraId="47ECC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9626D3">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4F690">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3C78">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9A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经办人员业务培训及时性</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4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4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68BB">
            <w:pPr>
              <w:jc w:val="center"/>
              <w:rPr>
                <w:rFonts w:hint="eastAsia" w:ascii="宋体" w:hAnsi="宋体" w:eastAsia="宋体" w:cs="宋体"/>
                <w:i w:val="0"/>
                <w:iCs w:val="0"/>
                <w:color w:val="000000"/>
                <w:sz w:val="20"/>
                <w:szCs w:val="20"/>
                <w:u w:val="none"/>
              </w:rPr>
            </w:pPr>
          </w:p>
        </w:tc>
      </w:tr>
      <w:tr w14:paraId="5036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C07431">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AB5AC">
            <w:pPr>
              <w:jc w:val="center"/>
              <w:rPr>
                <w:rFonts w:hint="eastAsia" w:ascii="宋体" w:hAnsi="宋体" w:eastAsia="宋体" w:cs="宋体"/>
                <w:i w:val="0"/>
                <w:iCs w:val="0"/>
                <w:color w:val="000000"/>
                <w:sz w:val="20"/>
                <w:szCs w:val="20"/>
                <w:u w:val="none"/>
              </w:rPr>
            </w:pPr>
          </w:p>
        </w:tc>
        <w:tc>
          <w:tcPr>
            <w:tcW w:w="928" w:type="dxa"/>
            <w:vMerge w:val="restart"/>
            <w:tcBorders>
              <w:top w:val="single" w:color="000000" w:sz="4" w:space="0"/>
              <w:left w:val="single" w:color="000000" w:sz="4" w:space="0"/>
              <w:bottom w:val="nil"/>
              <w:right w:val="single" w:color="000000" w:sz="4" w:space="0"/>
            </w:tcBorders>
            <w:shd w:val="clear" w:color="auto" w:fill="auto"/>
            <w:vAlign w:val="center"/>
          </w:tcPr>
          <w:p w14:paraId="1D1EB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B9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医保基金监管条例、医保政策等宣传费用</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3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2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5.94万元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3BCA">
            <w:pPr>
              <w:jc w:val="center"/>
              <w:rPr>
                <w:rFonts w:hint="eastAsia" w:ascii="宋体" w:hAnsi="宋体" w:eastAsia="宋体" w:cs="宋体"/>
                <w:i w:val="0"/>
                <w:iCs w:val="0"/>
                <w:color w:val="000000"/>
                <w:sz w:val="20"/>
                <w:szCs w:val="20"/>
                <w:u w:val="none"/>
              </w:rPr>
            </w:pPr>
          </w:p>
        </w:tc>
      </w:tr>
      <w:tr w14:paraId="4150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F1063F">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6FDB">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nil"/>
              <w:right w:val="single" w:color="000000" w:sz="4" w:space="0"/>
            </w:tcBorders>
            <w:shd w:val="clear" w:color="auto" w:fill="auto"/>
            <w:vAlign w:val="center"/>
          </w:tcPr>
          <w:p w14:paraId="439ECDB3">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A1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镇、村医保服务能力提升试点建设费用</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D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5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9.5万元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427A">
            <w:pPr>
              <w:jc w:val="center"/>
              <w:rPr>
                <w:rFonts w:hint="eastAsia" w:ascii="宋体" w:hAnsi="宋体" w:eastAsia="宋体" w:cs="宋体"/>
                <w:i w:val="0"/>
                <w:iCs w:val="0"/>
                <w:color w:val="000000"/>
                <w:sz w:val="20"/>
                <w:szCs w:val="20"/>
                <w:u w:val="none"/>
              </w:rPr>
            </w:pPr>
          </w:p>
        </w:tc>
      </w:tr>
      <w:tr w14:paraId="7B52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AEED77">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F8C5">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nil"/>
              <w:right w:val="single" w:color="000000" w:sz="4" w:space="0"/>
            </w:tcBorders>
            <w:shd w:val="clear" w:color="auto" w:fill="auto"/>
            <w:vAlign w:val="center"/>
          </w:tcPr>
          <w:p w14:paraId="2D4F7F52">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1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镇村医保服务能力建设下乡车辆租赁费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E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0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2.03万元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D543">
            <w:pPr>
              <w:jc w:val="center"/>
              <w:rPr>
                <w:rFonts w:hint="eastAsia" w:ascii="宋体" w:hAnsi="宋体" w:eastAsia="宋体" w:cs="宋体"/>
                <w:i w:val="0"/>
                <w:iCs w:val="0"/>
                <w:color w:val="000000"/>
                <w:sz w:val="20"/>
                <w:szCs w:val="20"/>
                <w:u w:val="none"/>
              </w:rPr>
            </w:pPr>
          </w:p>
        </w:tc>
      </w:tr>
      <w:tr w14:paraId="4CBF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59C331">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B49E">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nil"/>
              <w:right w:val="single" w:color="000000" w:sz="4" w:space="0"/>
            </w:tcBorders>
            <w:shd w:val="clear" w:color="auto" w:fill="auto"/>
            <w:vAlign w:val="center"/>
          </w:tcPr>
          <w:p w14:paraId="29AD750D">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8B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网络运行服务费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E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6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0万元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E615">
            <w:pPr>
              <w:jc w:val="center"/>
              <w:rPr>
                <w:rFonts w:hint="eastAsia" w:ascii="宋体" w:hAnsi="宋体" w:eastAsia="宋体" w:cs="宋体"/>
                <w:i w:val="0"/>
                <w:iCs w:val="0"/>
                <w:color w:val="000000"/>
                <w:sz w:val="20"/>
                <w:szCs w:val="20"/>
                <w:u w:val="none"/>
              </w:rPr>
            </w:pPr>
          </w:p>
        </w:tc>
      </w:tr>
      <w:tr w14:paraId="3099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105D31">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B1F5E">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nil"/>
              <w:right w:val="single" w:color="000000" w:sz="4" w:space="0"/>
            </w:tcBorders>
            <w:shd w:val="clear" w:color="auto" w:fill="auto"/>
            <w:vAlign w:val="center"/>
          </w:tcPr>
          <w:p w14:paraId="7F846429">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04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贯标对码工作、国家医保服务平台上线业务等培训及会议费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B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9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1.39万元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01DF">
            <w:pPr>
              <w:jc w:val="center"/>
              <w:rPr>
                <w:rFonts w:hint="eastAsia" w:ascii="宋体" w:hAnsi="宋体" w:eastAsia="宋体" w:cs="宋体"/>
                <w:i w:val="0"/>
                <w:iCs w:val="0"/>
                <w:color w:val="000000"/>
                <w:sz w:val="20"/>
                <w:szCs w:val="20"/>
                <w:u w:val="none"/>
              </w:rPr>
            </w:pPr>
          </w:p>
        </w:tc>
      </w:tr>
      <w:tr w14:paraId="223C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F28B8D">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95B6">
            <w:pPr>
              <w:jc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4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D5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受益群众覆盖率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4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3A90">
            <w:pPr>
              <w:jc w:val="center"/>
              <w:rPr>
                <w:rFonts w:hint="eastAsia" w:ascii="宋体" w:hAnsi="宋体" w:eastAsia="宋体" w:cs="宋体"/>
                <w:i w:val="0"/>
                <w:iCs w:val="0"/>
                <w:color w:val="000000"/>
                <w:sz w:val="20"/>
                <w:szCs w:val="20"/>
                <w:u w:val="none"/>
              </w:rPr>
            </w:pPr>
          </w:p>
        </w:tc>
      </w:tr>
      <w:tr w14:paraId="3CCB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2BE17E">
            <w:pPr>
              <w:jc w:val="center"/>
              <w:rPr>
                <w:rFonts w:hint="eastAsia" w:ascii="宋体" w:hAnsi="宋体" w:eastAsia="宋体" w:cs="宋体"/>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8D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E6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2A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单位医保经办人员满意度</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6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F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9FCE">
            <w:pPr>
              <w:jc w:val="center"/>
              <w:rPr>
                <w:rFonts w:hint="eastAsia" w:ascii="宋体" w:hAnsi="宋体" w:eastAsia="宋体" w:cs="宋体"/>
                <w:i w:val="0"/>
                <w:iCs w:val="0"/>
                <w:color w:val="000000"/>
                <w:sz w:val="20"/>
                <w:szCs w:val="20"/>
                <w:u w:val="none"/>
              </w:rPr>
            </w:pPr>
          </w:p>
        </w:tc>
      </w:tr>
      <w:tr w14:paraId="7814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DD0A48">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D6B3A">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67A08">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09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社会公众满意度</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2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4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9613">
            <w:pPr>
              <w:jc w:val="center"/>
              <w:rPr>
                <w:rFonts w:hint="eastAsia" w:ascii="宋体" w:hAnsi="宋体" w:eastAsia="宋体" w:cs="宋体"/>
                <w:i w:val="0"/>
                <w:iCs w:val="0"/>
                <w:color w:val="000000"/>
                <w:sz w:val="20"/>
                <w:szCs w:val="20"/>
                <w:u w:val="none"/>
              </w:rPr>
            </w:pPr>
          </w:p>
        </w:tc>
      </w:tr>
      <w:tr w14:paraId="4DF1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F02282">
            <w:pPr>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D671">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B7C0C">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A0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定点医疗机构满意度</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C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F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B8E0">
            <w:pPr>
              <w:jc w:val="center"/>
              <w:rPr>
                <w:rFonts w:hint="eastAsia" w:ascii="宋体" w:hAnsi="宋体" w:eastAsia="宋体" w:cs="宋体"/>
                <w:i w:val="0"/>
                <w:iCs w:val="0"/>
                <w:color w:val="000000"/>
                <w:sz w:val="20"/>
                <w:szCs w:val="20"/>
                <w:u w:val="none"/>
              </w:rPr>
            </w:pPr>
          </w:p>
        </w:tc>
      </w:tr>
      <w:tr w14:paraId="6580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1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83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A20D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无中央巡视、各级审计和财政监督中发现的问题及其所涉及的金额。</w:t>
            </w:r>
          </w:p>
        </w:tc>
      </w:tr>
      <w:tr w14:paraId="5F2D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855" w:type="dxa"/>
            <w:gridSpan w:val="8"/>
            <w:tcBorders>
              <w:top w:val="nil"/>
              <w:left w:val="nil"/>
              <w:bottom w:val="nil"/>
              <w:right w:val="nil"/>
            </w:tcBorders>
            <w:shd w:val="clear" w:color="auto" w:fill="auto"/>
            <w:vAlign w:val="bottom"/>
          </w:tcPr>
          <w:p w14:paraId="2526D6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注：1.资金使用单位按项目绩效目标填报，主管部门汇总时按区域绩效目标填报。</w:t>
            </w:r>
          </w:p>
        </w:tc>
      </w:tr>
      <w:tr w14:paraId="4B5C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855" w:type="dxa"/>
            <w:gridSpan w:val="8"/>
            <w:tcBorders>
              <w:top w:val="nil"/>
              <w:left w:val="nil"/>
              <w:bottom w:val="nil"/>
              <w:right w:val="nil"/>
            </w:tcBorders>
            <w:shd w:val="clear" w:color="auto" w:fill="auto"/>
            <w:vAlign w:val="bottom"/>
          </w:tcPr>
          <w:p w14:paraId="2766B6D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2.其他资金包括与中央财政资金、地方财政资金共同投入到同一项目的自有资金、社会资金，以及以前年度的结转结余资金等。</w:t>
            </w:r>
          </w:p>
        </w:tc>
      </w:tr>
      <w:tr w14:paraId="5A14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855" w:type="dxa"/>
            <w:gridSpan w:val="8"/>
            <w:tcBorders>
              <w:top w:val="nil"/>
              <w:left w:val="nil"/>
              <w:bottom w:val="nil"/>
              <w:right w:val="nil"/>
            </w:tcBorders>
            <w:shd w:val="clear" w:color="auto" w:fill="auto"/>
            <w:vAlign w:val="bottom"/>
          </w:tcPr>
          <w:p w14:paraId="2B4613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3.全年执行数是指按照国库集中支付制度要求所形成的实际支出。</w:t>
            </w:r>
          </w:p>
        </w:tc>
      </w:tr>
      <w:tr w14:paraId="3FE6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855" w:type="dxa"/>
            <w:gridSpan w:val="8"/>
            <w:tcBorders>
              <w:top w:val="nil"/>
              <w:left w:val="nil"/>
              <w:bottom w:val="nil"/>
              <w:right w:val="nil"/>
            </w:tcBorders>
            <w:shd w:val="clear" w:color="auto" w:fill="auto"/>
            <w:vAlign w:val="bottom"/>
          </w:tcPr>
          <w:p w14:paraId="344901A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20"/>
                <w:lang w:val="en-US" w:eastAsia="zh-CN" w:bidi="ar"/>
              </w:rPr>
              <w:t xml:space="preserve">   4.定量指标。地方各级主管部门对资金使用单位填写的实际完成值汇总时，绝对值直接累加计算，相对值按照资金额度加权平均计算。</w:t>
            </w:r>
          </w:p>
        </w:tc>
      </w:tr>
      <w:tr w14:paraId="4BF9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55" w:type="dxa"/>
            <w:gridSpan w:val="8"/>
            <w:tcBorders>
              <w:top w:val="nil"/>
              <w:left w:val="nil"/>
              <w:bottom w:val="nil"/>
              <w:right w:val="nil"/>
            </w:tcBorders>
            <w:shd w:val="clear" w:color="auto" w:fill="auto"/>
            <w:vAlign w:val="bottom"/>
          </w:tcPr>
          <w:p w14:paraId="7111E1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5、定性指标。资金使用单位分别按100%-80%(含)、80%-60%(含)、60%-0%填写实际完成情况值，地方各级主管部门汇总时，按照资金额度加权平均计算。</w:t>
            </w:r>
          </w:p>
        </w:tc>
      </w:tr>
    </w:tbl>
    <w:p w14:paraId="577A485F">
      <w:pPr>
        <w:pageBreakBefore w:val="0"/>
        <w:kinsoku/>
        <w:wordWrap/>
        <w:overflowPunct/>
        <w:topLinePunct w:val="0"/>
        <w:bidi w:val="0"/>
        <w:spacing w:line="576" w:lineRule="exact"/>
        <w:jc w:val="center"/>
        <w:textAlignment w:val="auto"/>
        <w:outlineLvl w:val="0"/>
        <w:rPr>
          <w:rStyle w:val="15"/>
          <w:rFonts w:hint="eastAsia" w:ascii="仿宋_GB2312" w:hAnsi="仿宋_GB2312" w:eastAsia="仿宋_GB2312" w:cs="仿宋_GB2312"/>
          <w:sz w:val="28"/>
          <w:szCs w:val="28"/>
        </w:rPr>
      </w:pPr>
    </w:p>
    <w:p w14:paraId="46235D9F">
      <w:pPr>
        <w:pStyle w:val="2"/>
        <w:rPr>
          <w:rStyle w:val="15"/>
          <w:rFonts w:hint="eastAsia" w:ascii="仿宋_GB2312" w:hAnsi="仿宋_GB2312" w:eastAsia="仿宋_GB2312" w:cs="仿宋_GB2312"/>
          <w:sz w:val="28"/>
          <w:szCs w:val="28"/>
        </w:rPr>
      </w:pPr>
    </w:p>
    <w:p w14:paraId="1338AD7E">
      <w:pPr>
        <w:pStyle w:val="2"/>
        <w:rPr>
          <w:rStyle w:val="15"/>
          <w:rFonts w:hint="eastAsia" w:ascii="仿宋_GB2312" w:hAnsi="仿宋_GB2312" w:eastAsia="仿宋_GB2312" w:cs="仿宋_GB2312"/>
          <w:sz w:val="28"/>
          <w:szCs w:val="28"/>
        </w:rPr>
      </w:pPr>
    </w:p>
    <w:p w14:paraId="1E23BE3F">
      <w:pPr>
        <w:pStyle w:val="2"/>
        <w:rPr>
          <w:rStyle w:val="15"/>
          <w:rFonts w:hint="eastAsia" w:ascii="仿宋_GB2312" w:hAnsi="仿宋_GB2312" w:eastAsia="仿宋_GB2312" w:cs="仿宋_GB2312"/>
          <w:sz w:val="28"/>
          <w:szCs w:val="28"/>
        </w:rPr>
      </w:pPr>
    </w:p>
    <w:p w14:paraId="4544F3D5">
      <w:pPr>
        <w:pStyle w:val="2"/>
        <w:rPr>
          <w:rStyle w:val="15"/>
          <w:rFonts w:hint="eastAsia" w:ascii="仿宋_GB2312" w:hAnsi="仿宋_GB2312" w:eastAsia="仿宋_GB2312" w:cs="仿宋_GB2312"/>
          <w:sz w:val="28"/>
          <w:szCs w:val="28"/>
        </w:rPr>
      </w:pPr>
    </w:p>
    <w:p w14:paraId="7D2431C3">
      <w:pPr>
        <w:pStyle w:val="2"/>
        <w:rPr>
          <w:rStyle w:val="15"/>
          <w:rFonts w:hint="eastAsia" w:ascii="仿宋_GB2312" w:hAnsi="仿宋_GB2312" w:eastAsia="仿宋_GB2312" w:cs="仿宋_GB2312"/>
          <w:sz w:val="28"/>
          <w:szCs w:val="28"/>
        </w:rPr>
      </w:pPr>
    </w:p>
    <w:p w14:paraId="52FF691E">
      <w:pPr>
        <w:pStyle w:val="2"/>
        <w:rPr>
          <w:rStyle w:val="15"/>
          <w:rFonts w:hint="eastAsia" w:ascii="仿宋_GB2312" w:hAnsi="仿宋_GB2312" w:eastAsia="仿宋_GB2312" w:cs="仿宋_GB2312"/>
          <w:sz w:val="28"/>
          <w:szCs w:val="28"/>
        </w:rPr>
      </w:pPr>
    </w:p>
    <w:p w14:paraId="7588C5B9">
      <w:pPr>
        <w:spacing w:line="600" w:lineRule="exact"/>
        <w:jc w:val="center"/>
        <w:outlineLvl w:val="0"/>
        <w:rPr>
          <w:rFonts w:hint="eastAsia" w:ascii="黑体" w:hAnsi="黑体" w:eastAsia="黑体" w:cs="Times New Roman"/>
          <w:color w:val="auto"/>
          <w:sz w:val="44"/>
          <w:szCs w:val="44"/>
          <w:highlight w:val="none"/>
          <w:lang w:val="en-US" w:eastAsia="zh-CN"/>
        </w:rPr>
      </w:pPr>
      <w:r>
        <w:rPr>
          <w:rFonts w:hint="eastAsia" w:ascii="黑体" w:hAnsi="黑体" w:eastAsia="黑体" w:cs="Times New Roman"/>
          <w:color w:val="auto"/>
          <w:sz w:val="44"/>
          <w:szCs w:val="44"/>
          <w:highlight w:val="none"/>
        </w:rPr>
        <w:t>第五部分 附表</w:t>
      </w:r>
    </w:p>
    <w:p w14:paraId="673A2903">
      <w:pPr>
        <w:pageBreakBefore w:val="0"/>
        <w:tabs>
          <w:tab w:val="left" w:pos="1068"/>
        </w:tabs>
        <w:kinsoku/>
        <w:wordWrap/>
        <w:overflowPunct/>
        <w:topLinePunct w:val="0"/>
        <w:bidi w:val="0"/>
        <w:spacing w:line="576" w:lineRule="exact"/>
        <w:jc w:val="left"/>
        <w:textAlignment w:val="auto"/>
        <w:rPr>
          <w:rFonts w:hint="eastAsia" w:ascii="仿宋_GB2312" w:hAnsi="仿宋_GB2312" w:eastAsia="仿宋_GB2312" w:cs="仿宋_GB2312"/>
          <w:sz w:val="28"/>
          <w:szCs w:val="28"/>
          <w:lang w:val="en-US" w:eastAsia="zh-CN"/>
        </w:rPr>
      </w:pPr>
    </w:p>
    <w:p w14:paraId="103CE8A3">
      <w:pPr>
        <w:pStyle w:val="4"/>
        <w:rPr>
          <w:rFonts w:ascii="仿宋" w:hAnsi="仿宋" w:eastAsia="仿宋"/>
          <w:color w:val="auto"/>
          <w:sz w:val="28"/>
          <w:szCs w:val="28"/>
          <w:highlight w:val="none"/>
        </w:rPr>
      </w:pPr>
      <w:r>
        <w:rPr>
          <w:rFonts w:hint="eastAsia" w:ascii="仿宋" w:hAnsi="仿宋" w:eastAsia="仿宋"/>
          <w:b w:val="0"/>
          <w:color w:val="auto"/>
          <w:sz w:val="28"/>
          <w:szCs w:val="28"/>
          <w:highlight w:val="none"/>
        </w:rPr>
        <w:t>一、收</w:t>
      </w:r>
      <w:r>
        <w:rPr>
          <w:rStyle w:val="21"/>
          <w:rFonts w:hint="eastAsia" w:ascii="仿宋" w:hAnsi="仿宋" w:eastAsia="仿宋"/>
          <w:b w:val="0"/>
          <w:bCs w:val="0"/>
          <w:color w:val="auto"/>
          <w:sz w:val="28"/>
          <w:szCs w:val="28"/>
          <w:highlight w:val="none"/>
        </w:rPr>
        <w:t>入支出决算总表</w:t>
      </w:r>
    </w:p>
    <w:p w14:paraId="43D33300">
      <w:pPr>
        <w:pStyle w:val="4"/>
        <w:rPr>
          <w:rFonts w:ascii="仿宋" w:hAnsi="仿宋" w:eastAsia="仿宋"/>
          <w:color w:val="auto"/>
          <w:sz w:val="28"/>
          <w:szCs w:val="28"/>
          <w:highlight w:val="none"/>
        </w:rPr>
      </w:pPr>
      <w:bookmarkStart w:id="53" w:name="_Toc15396620"/>
      <w:r>
        <w:rPr>
          <w:rFonts w:hint="eastAsia" w:ascii="仿宋" w:hAnsi="仿宋" w:eastAsia="仿宋"/>
          <w:b w:val="0"/>
          <w:color w:val="auto"/>
          <w:sz w:val="28"/>
          <w:szCs w:val="28"/>
          <w:highlight w:val="none"/>
        </w:rPr>
        <w:t>二、收</w:t>
      </w:r>
      <w:r>
        <w:rPr>
          <w:rStyle w:val="21"/>
          <w:rFonts w:hint="eastAsia" w:ascii="仿宋" w:hAnsi="仿宋" w:eastAsia="仿宋"/>
          <w:b w:val="0"/>
          <w:bCs w:val="0"/>
          <w:color w:val="auto"/>
          <w:sz w:val="28"/>
          <w:szCs w:val="28"/>
          <w:highlight w:val="none"/>
        </w:rPr>
        <w:t>入决算表</w:t>
      </w:r>
      <w:bookmarkEnd w:id="53"/>
    </w:p>
    <w:p w14:paraId="46EEAC3F">
      <w:pPr>
        <w:pStyle w:val="4"/>
        <w:rPr>
          <w:rFonts w:ascii="仿宋" w:hAnsi="仿宋" w:eastAsia="仿宋"/>
          <w:color w:val="auto"/>
          <w:sz w:val="28"/>
          <w:szCs w:val="28"/>
          <w:highlight w:val="none"/>
        </w:rPr>
      </w:pPr>
      <w:bookmarkStart w:id="54" w:name="_Toc15396621"/>
      <w:r>
        <w:rPr>
          <w:rStyle w:val="21"/>
          <w:rFonts w:hint="eastAsia" w:ascii="仿宋" w:hAnsi="仿宋" w:eastAsia="仿宋"/>
          <w:b w:val="0"/>
          <w:bCs w:val="0"/>
          <w:color w:val="auto"/>
          <w:sz w:val="28"/>
          <w:szCs w:val="28"/>
          <w:highlight w:val="none"/>
        </w:rPr>
        <w:t>三、</w:t>
      </w:r>
      <w:r>
        <w:rPr>
          <w:rFonts w:hint="eastAsia" w:ascii="仿宋" w:hAnsi="仿宋" w:eastAsia="仿宋"/>
          <w:b w:val="0"/>
          <w:color w:val="auto"/>
          <w:sz w:val="28"/>
          <w:szCs w:val="28"/>
          <w:highlight w:val="none"/>
        </w:rPr>
        <w:t>支</w:t>
      </w:r>
      <w:r>
        <w:rPr>
          <w:rStyle w:val="21"/>
          <w:rFonts w:hint="eastAsia" w:ascii="仿宋" w:hAnsi="仿宋" w:eastAsia="仿宋"/>
          <w:b w:val="0"/>
          <w:bCs w:val="0"/>
          <w:color w:val="auto"/>
          <w:sz w:val="28"/>
          <w:szCs w:val="28"/>
          <w:highlight w:val="none"/>
        </w:rPr>
        <w:t>出决算表</w:t>
      </w:r>
      <w:bookmarkEnd w:id="54"/>
    </w:p>
    <w:p w14:paraId="5D9DFD50">
      <w:pPr>
        <w:pStyle w:val="4"/>
        <w:rPr>
          <w:rFonts w:ascii="仿宋" w:hAnsi="仿宋" w:eastAsia="仿宋"/>
          <w:b w:val="0"/>
          <w:color w:val="auto"/>
          <w:sz w:val="28"/>
          <w:szCs w:val="28"/>
          <w:highlight w:val="none"/>
        </w:rPr>
      </w:pPr>
      <w:bookmarkStart w:id="55" w:name="_Toc15396622"/>
      <w:r>
        <w:rPr>
          <w:rStyle w:val="21"/>
          <w:rFonts w:hint="eastAsia" w:ascii="仿宋" w:hAnsi="仿宋" w:eastAsia="仿宋"/>
          <w:b w:val="0"/>
          <w:bCs w:val="0"/>
          <w:color w:val="auto"/>
          <w:sz w:val="28"/>
          <w:szCs w:val="28"/>
          <w:highlight w:val="none"/>
        </w:rPr>
        <w:t>四、</w:t>
      </w:r>
      <w:r>
        <w:rPr>
          <w:rFonts w:hint="eastAsia" w:ascii="仿宋" w:hAnsi="仿宋" w:eastAsia="仿宋"/>
          <w:b w:val="0"/>
          <w:color w:val="auto"/>
          <w:sz w:val="28"/>
          <w:szCs w:val="28"/>
          <w:highlight w:val="none"/>
        </w:rPr>
        <w:t>财</w:t>
      </w:r>
      <w:r>
        <w:rPr>
          <w:rStyle w:val="21"/>
          <w:rFonts w:hint="eastAsia" w:ascii="仿宋" w:hAnsi="仿宋" w:eastAsia="仿宋"/>
          <w:b w:val="0"/>
          <w:bCs w:val="0"/>
          <w:color w:val="auto"/>
          <w:sz w:val="28"/>
          <w:szCs w:val="28"/>
          <w:highlight w:val="none"/>
        </w:rPr>
        <w:t>政拨款收入支出决算总表</w:t>
      </w:r>
      <w:bookmarkEnd w:id="55"/>
    </w:p>
    <w:p w14:paraId="5876070B">
      <w:pPr>
        <w:pStyle w:val="4"/>
        <w:rPr>
          <w:rStyle w:val="21"/>
          <w:rFonts w:ascii="仿宋" w:hAnsi="仿宋" w:eastAsia="仿宋"/>
          <w:b w:val="0"/>
          <w:bCs w:val="0"/>
          <w:color w:val="auto"/>
          <w:sz w:val="28"/>
          <w:szCs w:val="28"/>
          <w:highlight w:val="none"/>
        </w:rPr>
      </w:pPr>
      <w:bookmarkStart w:id="56" w:name="_Toc15396623"/>
      <w:r>
        <w:rPr>
          <w:rStyle w:val="21"/>
          <w:rFonts w:hint="eastAsia" w:ascii="仿宋" w:hAnsi="仿宋" w:eastAsia="仿宋"/>
          <w:b w:val="0"/>
          <w:bCs w:val="0"/>
          <w:color w:val="auto"/>
          <w:sz w:val="28"/>
          <w:szCs w:val="28"/>
          <w:highlight w:val="none"/>
        </w:rPr>
        <w:t>五、</w:t>
      </w:r>
      <w:r>
        <w:rPr>
          <w:rFonts w:hint="eastAsia" w:ascii="仿宋" w:hAnsi="仿宋" w:eastAsia="仿宋"/>
          <w:b w:val="0"/>
          <w:color w:val="auto"/>
          <w:sz w:val="28"/>
          <w:szCs w:val="28"/>
          <w:highlight w:val="none"/>
        </w:rPr>
        <w:t>财</w:t>
      </w:r>
      <w:r>
        <w:rPr>
          <w:rStyle w:val="21"/>
          <w:rFonts w:hint="eastAsia" w:ascii="仿宋" w:hAnsi="仿宋" w:eastAsia="仿宋"/>
          <w:b w:val="0"/>
          <w:bCs w:val="0"/>
          <w:color w:val="auto"/>
          <w:sz w:val="28"/>
          <w:szCs w:val="28"/>
          <w:highlight w:val="none"/>
        </w:rPr>
        <w:t>政拨款支出决算明细表</w:t>
      </w:r>
      <w:bookmarkEnd w:id="56"/>
      <w:bookmarkStart w:id="57" w:name="_Toc15396624"/>
    </w:p>
    <w:p w14:paraId="4432491E">
      <w:pPr>
        <w:pStyle w:val="4"/>
        <w:rPr>
          <w:rFonts w:ascii="仿宋" w:hAnsi="仿宋" w:eastAsia="仿宋"/>
          <w:color w:val="auto"/>
          <w:sz w:val="28"/>
          <w:szCs w:val="28"/>
          <w:highlight w:val="none"/>
        </w:rPr>
      </w:pPr>
      <w:r>
        <w:rPr>
          <w:rStyle w:val="21"/>
          <w:rFonts w:hint="eastAsia" w:ascii="仿宋" w:hAnsi="仿宋" w:eastAsia="仿宋"/>
          <w:b w:val="0"/>
          <w:bCs w:val="0"/>
          <w:color w:val="auto"/>
          <w:sz w:val="28"/>
          <w:szCs w:val="28"/>
          <w:highlight w:val="none"/>
        </w:rPr>
        <w:t>六、</w:t>
      </w:r>
      <w:r>
        <w:rPr>
          <w:rFonts w:hint="eastAsia" w:ascii="仿宋" w:hAnsi="仿宋" w:eastAsia="仿宋"/>
          <w:b w:val="0"/>
          <w:color w:val="auto"/>
          <w:sz w:val="28"/>
          <w:szCs w:val="28"/>
          <w:highlight w:val="none"/>
        </w:rPr>
        <w:t>一</w:t>
      </w:r>
      <w:r>
        <w:rPr>
          <w:rStyle w:val="21"/>
          <w:rFonts w:hint="eastAsia" w:ascii="仿宋" w:hAnsi="仿宋" w:eastAsia="仿宋"/>
          <w:b w:val="0"/>
          <w:bCs w:val="0"/>
          <w:color w:val="auto"/>
          <w:sz w:val="28"/>
          <w:szCs w:val="28"/>
          <w:highlight w:val="none"/>
        </w:rPr>
        <w:t>般公共预算财政拨款支出决算表</w:t>
      </w:r>
      <w:bookmarkEnd w:id="57"/>
    </w:p>
    <w:p w14:paraId="19FF2E34">
      <w:pPr>
        <w:pStyle w:val="4"/>
        <w:rPr>
          <w:rFonts w:ascii="仿宋" w:hAnsi="仿宋" w:eastAsia="仿宋"/>
          <w:color w:val="auto"/>
          <w:sz w:val="28"/>
          <w:szCs w:val="28"/>
          <w:highlight w:val="none"/>
        </w:rPr>
      </w:pPr>
      <w:bookmarkStart w:id="58" w:name="_Toc15396625"/>
      <w:r>
        <w:rPr>
          <w:rStyle w:val="21"/>
          <w:rFonts w:hint="eastAsia" w:ascii="仿宋" w:hAnsi="仿宋" w:eastAsia="仿宋"/>
          <w:b w:val="0"/>
          <w:bCs w:val="0"/>
          <w:color w:val="auto"/>
          <w:sz w:val="28"/>
          <w:szCs w:val="28"/>
          <w:highlight w:val="none"/>
        </w:rPr>
        <w:t>七、</w:t>
      </w:r>
      <w:r>
        <w:rPr>
          <w:rFonts w:hint="eastAsia" w:ascii="仿宋" w:hAnsi="仿宋" w:eastAsia="仿宋"/>
          <w:b w:val="0"/>
          <w:color w:val="auto"/>
          <w:sz w:val="28"/>
          <w:szCs w:val="28"/>
          <w:highlight w:val="none"/>
        </w:rPr>
        <w:t>一</w:t>
      </w:r>
      <w:r>
        <w:rPr>
          <w:rStyle w:val="21"/>
          <w:rFonts w:hint="eastAsia" w:ascii="仿宋" w:hAnsi="仿宋" w:eastAsia="仿宋"/>
          <w:b w:val="0"/>
          <w:bCs w:val="0"/>
          <w:color w:val="auto"/>
          <w:sz w:val="28"/>
          <w:szCs w:val="28"/>
          <w:highlight w:val="none"/>
        </w:rPr>
        <w:t>般公共预算财政拨款支出决算明细表</w:t>
      </w:r>
      <w:bookmarkEnd w:id="58"/>
    </w:p>
    <w:p w14:paraId="4CCB2F69">
      <w:pPr>
        <w:pStyle w:val="4"/>
        <w:rPr>
          <w:rFonts w:ascii="仿宋" w:hAnsi="仿宋" w:eastAsia="仿宋"/>
          <w:color w:val="auto"/>
          <w:sz w:val="28"/>
          <w:szCs w:val="28"/>
          <w:highlight w:val="none"/>
        </w:rPr>
      </w:pPr>
      <w:bookmarkStart w:id="59" w:name="_Toc15396626"/>
      <w:r>
        <w:rPr>
          <w:rStyle w:val="21"/>
          <w:rFonts w:hint="eastAsia" w:ascii="仿宋" w:hAnsi="仿宋" w:eastAsia="仿宋"/>
          <w:b w:val="0"/>
          <w:bCs w:val="0"/>
          <w:color w:val="auto"/>
          <w:sz w:val="28"/>
          <w:szCs w:val="28"/>
          <w:highlight w:val="none"/>
        </w:rPr>
        <w:t>八、</w:t>
      </w:r>
      <w:r>
        <w:rPr>
          <w:rFonts w:hint="eastAsia" w:ascii="仿宋" w:hAnsi="仿宋" w:eastAsia="仿宋"/>
          <w:b w:val="0"/>
          <w:color w:val="auto"/>
          <w:sz w:val="28"/>
          <w:szCs w:val="28"/>
          <w:highlight w:val="none"/>
        </w:rPr>
        <w:t>一</w:t>
      </w:r>
      <w:r>
        <w:rPr>
          <w:rStyle w:val="21"/>
          <w:rFonts w:hint="eastAsia" w:ascii="仿宋" w:hAnsi="仿宋" w:eastAsia="仿宋"/>
          <w:b w:val="0"/>
          <w:bCs w:val="0"/>
          <w:color w:val="auto"/>
          <w:sz w:val="28"/>
          <w:szCs w:val="28"/>
          <w:highlight w:val="none"/>
        </w:rPr>
        <w:t>般公共预算财政拨款基本支出决算表</w:t>
      </w:r>
      <w:bookmarkEnd w:id="59"/>
    </w:p>
    <w:p w14:paraId="701F0C50">
      <w:pPr>
        <w:pStyle w:val="4"/>
        <w:rPr>
          <w:rFonts w:ascii="仿宋" w:hAnsi="仿宋" w:eastAsia="仿宋"/>
          <w:color w:val="auto"/>
          <w:sz w:val="28"/>
          <w:szCs w:val="28"/>
          <w:highlight w:val="none"/>
        </w:rPr>
      </w:pPr>
      <w:bookmarkStart w:id="60" w:name="_Toc15396627"/>
      <w:r>
        <w:rPr>
          <w:rStyle w:val="21"/>
          <w:rFonts w:hint="eastAsia" w:ascii="仿宋" w:hAnsi="仿宋" w:eastAsia="仿宋"/>
          <w:b w:val="0"/>
          <w:bCs w:val="0"/>
          <w:color w:val="auto"/>
          <w:sz w:val="28"/>
          <w:szCs w:val="28"/>
          <w:highlight w:val="none"/>
        </w:rPr>
        <w:t>九、</w:t>
      </w:r>
      <w:r>
        <w:rPr>
          <w:rFonts w:hint="eastAsia" w:ascii="仿宋" w:hAnsi="仿宋" w:eastAsia="仿宋"/>
          <w:b w:val="0"/>
          <w:color w:val="auto"/>
          <w:sz w:val="28"/>
          <w:szCs w:val="28"/>
          <w:highlight w:val="none"/>
        </w:rPr>
        <w:t>一</w:t>
      </w:r>
      <w:r>
        <w:rPr>
          <w:rStyle w:val="21"/>
          <w:rFonts w:hint="eastAsia" w:ascii="仿宋" w:hAnsi="仿宋" w:eastAsia="仿宋"/>
          <w:b w:val="0"/>
          <w:bCs w:val="0"/>
          <w:color w:val="auto"/>
          <w:sz w:val="28"/>
          <w:szCs w:val="28"/>
          <w:highlight w:val="none"/>
        </w:rPr>
        <w:t>般公共预算财政拨款项目支出决算表</w:t>
      </w:r>
      <w:bookmarkEnd w:id="60"/>
    </w:p>
    <w:p w14:paraId="034C6248">
      <w:pPr>
        <w:pStyle w:val="4"/>
        <w:rPr>
          <w:rFonts w:ascii="仿宋" w:hAnsi="仿宋" w:eastAsia="仿宋"/>
          <w:color w:val="auto"/>
          <w:sz w:val="28"/>
          <w:szCs w:val="28"/>
          <w:highlight w:val="none"/>
        </w:rPr>
      </w:pPr>
      <w:bookmarkStart w:id="61" w:name="_Toc15396628"/>
      <w:r>
        <w:rPr>
          <w:rStyle w:val="21"/>
          <w:rFonts w:hint="eastAsia" w:ascii="仿宋" w:hAnsi="仿宋" w:eastAsia="仿宋"/>
          <w:b w:val="0"/>
          <w:bCs w:val="0"/>
          <w:color w:val="auto"/>
          <w:sz w:val="28"/>
          <w:szCs w:val="28"/>
          <w:highlight w:val="none"/>
        </w:rPr>
        <w:t>十、</w:t>
      </w:r>
      <w:r>
        <w:rPr>
          <w:rFonts w:hint="eastAsia" w:ascii="仿宋" w:hAnsi="仿宋" w:eastAsia="仿宋"/>
          <w:b w:val="0"/>
          <w:color w:val="auto"/>
          <w:sz w:val="28"/>
          <w:szCs w:val="28"/>
          <w:highlight w:val="none"/>
        </w:rPr>
        <w:t>一</w:t>
      </w:r>
      <w:r>
        <w:rPr>
          <w:rStyle w:val="21"/>
          <w:rFonts w:hint="eastAsia" w:ascii="仿宋" w:hAnsi="仿宋" w:eastAsia="仿宋"/>
          <w:b w:val="0"/>
          <w:bCs w:val="0"/>
          <w:color w:val="auto"/>
          <w:sz w:val="28"/>
          <w:szCs w:val="28"/>
          <w:highlight w:val="none"/>
        </w:rPr>
        <w:t>般公共预算财政拨款“三公”经费支出决算表</w:t>
      </w:r>
      <w:bookmarkEnd w:id="61"/>
    </w:p>
    <w:p w14:paraId="0C21E39F">
      <w:pPr>
        <w:pStyle w:val="4"/>
        <w:rPr>
          <w:rFonts w:ascii="仿宋" w:hAnsi="仿宋" w:eastAsia="仿宋"/>
          <w:color w:val="auto"/>
          <w:sz w:val="28"/>
          <w:szCs w:val="28"/>
          <w:highlight w:val="none"/>
        </w:rPr>
      </w:pPr>
      <w:bookmarkStart w:id="62" w:name="_Toc15396629"/>
      <w:r>
        <w:rPr>
          <w:rStyle w:val="21"/>
          <w:rFonts w:hint="eastAsia" w:ascii="仿宋" w:hAnsi="仿宋" w:eastAsia="仿宋"/>
          <w:b w:val="0"/>
          <w:bCs w:val="0"/>
          <w:color w:val="auto"/>
          <w:sz w:val="28"/>
          <w:szCs w:val="28"/>
          <w:highlight w:val="none"/>
        </w:rPr>
        <w:t>十一、</w:t>
      </w:r>
      <w:r>
        <w:rPr>
          <w:rFonts w:hint="eastAsia" w:ascii="仿宋" w:hAnsi="仿宋" w:eastAsia="仿宋"/>
          <w:b w:val="0"/>
          <w:color w:val="auto"/>
          <w:sz w:val="28"/>
          <w:szCs w:val="28"/>
          <w:highlight w:val="none"/>
        </w:rPr>
        <w:t>政</w:t>
      </w:r>
      <w:r>
        <w:rPr>
          <w:rStyle w:val="21"/>
          <w:rFonts w:hint="eastAsia" w:ascii="仿宋" w:hAnsi="仿宋" w:eastAsia="仿宋"/>
          <w:b w:val="0"/>
          <w:bCs w:val="0"/>
          <w:color w:val="auto"/>
          <w:sz w:val="28"/>
          <w:szCs w:val="28"/>
          <w:highlight w:val="none"/>
        </w:rPr>
        <w:t>府性基金预算财政拨款收入支出决算表</w:t>
      </w:r>
      <w:bookmarkEnd w:id="62"/>
    </w:p>
    <w:p w14:paraId="285B6462">
      <w:pPr>
        <w:pStyle w:val="4"/>
        <w:rPr>
          <w:rFonts w:ascii="仿宋" w:hAnsi="仿宋" w:eastAsia="仿宋"/>
          <w:color w:val="auto"/>
          <w:sz w:val="28"/>
          <w:szCs w:val="28"/>
          <w:highlight w:val="none"/>
        </w:rPr>
      </w:pPr>
      <w:bookmarkStart w:id="63" w:name="_Toc15396630"/>
      <w:r>
        <w:rPr>
          <w:rStyle w:val="21"/>
          <w:rFonts w:hint="eastAsia" w:ascii="仿宋" w:hAnsi="仿宋" w:eastAsia="仿宋"/>
          <w:b w:val="0"/>
          <w:bCs w:val="0"/>
          <w:color w:val="auto"/>
          <w:sz w:val="28"/>
          <w:szCs w:val="28"/>
          <w:highlight w:val="none"/>
        </w:rPr>
        <w:t>十二、</w:t>
      </w:r>
      <w:r>
        <w:rPr>
          <w:rFonts w:hint="eastAsia" w:ascii="仿宋" w:hAnsi="仿宋" w:eastAsia="仿宋"/>
          <w:b w:val="0"/>
          <w:color w:val="auto"/>
          <w:sz w:val="28"/>
          <w:szCs w:val="28"/>
          <w:highlight w:val="none"/>
        </w:rPr>
        <w:t>政</w:t>
      </w:r>
      <w:r>
        <w:rPr>
          <w:rStyle w:val="21"/>
          <w:rFonts w:hint="eastAsia" w:ascii="仿宋" w:hAnsi="仿宋" w:eastAsia="仿宋"/>
          <w:b w:val="0"/>
          <w:bCs w:val="0"/>
          <w:color w:val="auto"/>
          <w:sz w:val="28"/>
          <w:szCs w:val="28"/>
          <w:highlight w:val="none"/>
        </w:rPr>
        <w:t>府性基金预算财政拨款“三公”经费支出决算表</w:t>
      </w:r>
      <w:bookmarkEnd w:id="63"/>
    </w:p>
    <w:p w14:paraId="355EE567">
      <w:pPr>
        <w:pStyle w:val="4"/>
        <w:rPr>
          <w:rStyle w:val="21"/>
          <w:rFonts w:hint="eastAsia" w:ascii="仿宋" w:hAnsi="仿宋" w:eastAsia="仿宋"/>
          <w:b w:val="0"/>
          <w:bCs w:val="0"/>
          <w:color w:val="auto"/>
          <w:sz w:val="28"/>
          <w:szCs w:val="28"/>
          <w:highlight w:val="none"/>
        </w:rPr>
      </w:pPr>
      <w:bookmarkStart w:id="64" w:name="_Toc15396631"/>
      <w:r>
        <w:rPr>
          <w:rStyle w:val="21"/>
          <w:rFonts w:hint="eastAsia" w:ascii="仿宋" w:hAnsi="仿宋" w:eastAsia="仿宋"/>
          <w:b w:val="0"/>
          <w:bCs w:val="0"/>
          <w:color w:val="auto"/>
          <w:sz w:val="28"/>
          <w:szCs w:val="28"/>
          <w:highlight w:val="none"/>
        </w:rPr>
        <w:t>十三、</w:t>
      </w:r>
      <w:r>
        <w:rPr>
          <w:rFonts w:hint="eastAsia" w:ascii="仿宋" w:hAnsi="仿宋" w:eastAsia="仿宋"/>
          <w:b w:val="0"/>
          <w:color w:val="auto"/>
          <w:sz w:val="28"/>
          <w:szCs w:val="28"/>
          <w:highlight w:val="none"/>
        </w:rPr>
        <w:t>国</w:t>
      </w:r>
      <w:r>
        <w:rPr>
          <w:rStyle w:val="21"/>
          <w:rFonts w:hint="eastAsia" w:ascii="仿宋" w:hAnsi="仿宋" w:eastAsia="仿宋"/>
          <w:b w:val="0"/>
          <w:bCs w:val="0"/>
          <w:color w:val="auto"/>
          <w:sz w:val="28"/>
          <w:szCs w:val="28"/>
          <w:highlight w:val="none"/>
        </w:rPr>
        <w:t>有资本经营预算</w:t>
      </w:r>
      <w:r>
        <w:rPr>
          <w:rStyle w:val="21"/>
          <w:rFonts w:hint="eastAsia" w:ascii="仿宋" w:hAnsi="仿宋" w:eastAsia="仿宋"/>
          <w:b w:val="0"/>
          <w:bCs w:val="0"/>
          <w:color w:val="auto"/>
          <w:sz w:val="28"/>
          <w:szCs w:val="28"/>
          <w:highlight w:val="none"/>
          <w:lang w:eastAsia="zh-CN"/>
        </w:rPr>
        <w:t>财政拨款收入</w:t>
      </w:r>
      <w:r>
        <w:rPr>
          <w:rStyle w:val="21"/>
          <w:rFonts w:hint="eastAsia" w:ascii="仿宋" w:hAnsi="仿宋" w:eastAsia="仿宋"/>
          <w:b w:val="0"/>
          <w:bCs w:val="0"/>
          <w:color w:val="auto"/>
          <w:sz w:val="28"/>
          <w:szCs w:val="28"/>
          <w:highlight w:val="none"/>
        </w:rPr>
        <w:t>支出决算表</w:t>
      </w:r>
      <w:bookmarkEnd w:id="64"/>
    </w:p>
    <w:p w14:paraId="1054F920">
      <w:pPr>
        <w:rPr>
          <w:rFonts w:hint="eastAsia" w:ascii="仿宋_GB2312" w:hAnsi="仿宋_GB2312" w:eastAsia="仿宋_GB2312" w:cs="仿宋_GB2312"/>
          <w:sz w:val="28"/>
          <w:szCs w:val="28"/>
          <w:lang w:val="en-US" w:eastAsia="zh-CN"/>
        </w:rPr>
      </w:pPr>
      <w:r>
        <w:rPr>
          <w:rStyle w:val="21"/>
          <w:rFonts w:hint="eastAsia" w:ascii="仿宋" w:hAnsi="仿宋" w:eastAsia="仿宋"/>
          <w:b w:val="0"/>
          <w:bCs w:val="0"/>
          <w:color w:val="auto"/>
          <w:sz w:val="28"/>
          <w:szCs w:val="28"/>
          <w:highlight w:val="none"/>
          <w:lang w:eastAsia="zh-CN"/>
        </w:rPr>
        <w:t>十四、国有资本经营预算财政拨款支出决算表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C89973-5059-4C9B-8AC9-B6A190BF6D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69C0AAE7-A02C-4A4F-BFDF-BC96501199F1}"/>
  </w:font>
  <w:font w:name="仿宋">
    <w:panose1 w:val="02010609060101010101"/>
    <w:charset w:val="86"/>
    <w:family w:val="auto"/>
    <w:pitch w:val="default"/>
    <w:sig w:usb0="800002BF" w:usb1="38CF7CFA" w:usb2="00000016" w:usb3="00000000" w:csb0="00040001" w:csb1="00000000"/>
    <w:embedRegular r:id="rId3" w:fontKey="{946C5DA1-2E35-4099-B454-D33E7F13D535}"/>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4" w:fontKey="{A1A6D3CA-804D-4A51-90CC-10498294F0F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2EF88AD2"/>
    <w:multiLevelType w:val="singleLevel"/>
    <w:tmpl w:val="2EF88AD2"/>
    <w:lvl w:ilvl="0" w:tentative="0">
      <w:start w:val="4"/>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34EE591F"/>
    <w:rsid w:val="029D4FCD"/>
    <w:rsid w:val="07AE6017"/>
    <w:rsid w:val="0813229A"/>
    <w:rsid w:val="0A0D2982"/>
    <w:rsid w:val="0B5F7EB5"/>
    <w:rsid w:val="102052B2"/>
    <w:rsid w:val="18065016"/>
    <w:rsid w:val="1A5259B4"/>
    <w:rsid w:val="1AC92A69"/>
    <w:rsid w:val="1CAE141C"/>
    <w:rsid w:val="1E665D93"/>
    <w:rsid w:val="204223A7"/>
    <w:rsid w:val="222F179D"/>
    <w:rsid w:val="230A1AFC"/>
    <w:rsid w:val="23E7052A"/>
    <w:rsid w:val="2E752C0C"/>
    <w:rsid w:val="2EDA4EED"/>
    <w:rsid w:val="2FE23D01"/>
    <w:rsid w:val="326844C0"/>
    <w:rsid w:val="32BF3665"/>
    <w:rsid w:val="34EE591F"/>
    <w:rsid w:val="360D7478"/>
    <w:rsid w:val="3825021D"/>
    <w:rsid w:val="3AC11EF2"/>
    <w:rsid w:val="3ACB1894"/>
    <w:rsid w:val="3AD77FFC"/>
    <w:rsid w:val="3E327364"/>
    <w:rsid w:val="407B7791"/>
    <w:rsid w:val="4297679E"/>
    <w:rsid w:val="462E4599"/>
    <w:rsid w:val="4BA50F02"/>
    <w:rsid w:val="4F473291"/>
    <w:rsid w:val="4FE40C8A"/>
    <w:rsid w:val="51D74B95"/>
    <w:rsid w:val="56FC3747"/>
    <w:rsid w:val="590A2A62"/>
    <w:rsid w:val="59F22FE1"/>
    <w:rsid w:val="5E1E3436"/>
    <w:rsid w:val="60B766E2"/>
    <w:rsid w:val="61110833"/>
    <w:rsid w:val="648D0B02"/>
    <w:rsid w:val="657A3199"/>
    <w:rsid w:val="6D026DE8"/>
    <w:rsid w:val="6D3F7C4E"/>
    <w:rsid w:val="723B7031"/>
    <w:rsid w:val="747910DA"/>
    <w:rsid w:val="74EE76EC"/>
    <w:rsid w:val="799A35AD"/>
    <w:rsid w:val="7A0C282C"/>
    <w:rsid w:val="7EF3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99"/>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rPr>
  </w:style>
  <w:style w:type="paragraph" w:styleId="5">
    <w:name w:val="caption"/>
    <w:basedOn w:val="1"/>
    <w:next w:val="1"/>
    <w:semiHidden/>
    <w:unhideWhenUsed/>
    <w:qFormat/>
    <w:uiPriority w:val="0"/>
    <w:rPr>
      <w:rFonts w:ascii="Arial" w:hAnsi="Arial" w:eastAsia="黑体"/>
      <w:sz w:val="20"/>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8">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9">
    <w:name w:val="toc 2"/>
    <w:basedOn w:val="1"/>
    <w:next w:val="1"/>
    <w:qFormat/>
    <w:uiPriority w:val="99"/>
    <w:pPr>
      <w:tabs>
        <w:tab w:val="right" w:leader="dot" w:pos="8296"/>
      </w:tabs>
      <w:ind w:left="420" w:leftChars="200"/>
    </w:p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3">
    <w:name w:val="Strong"/>
    <w:basedOn w:val="12"/>
    <w:qFormat/>
    <w:uiPriority w:val="99"/>
    <w:rPr>
      <w:rFonts w:cs="Times New Roman"/>
      <w:b/>
    </w:rPr>
  </w:style>
  <w:style w:type="character" w:styleId="14">
    <w:name w:val="Hyperlink"/>
    <w:qFormat/>
    <w:uiPriority w:val="99"/>
    <w:rPr>
      <w:rFonts w:cs="Times New Roman"/>
      <w:color w:val="0000FF"/>
      <w:u w:val="single"/>
    </w:rPr>
  </w:style>
  <w:style w:type="character" w:customStyle="1" w:styleId="15">
    <w:name w:val="标题 1 字符"/>
    <w:link w:val="3"/>
    <w:qFormat/>
    <w:locked/>
    <w:uiPriority w:val="99"/>
    <w:rPr>
      <w:b/>
      <w:bCs/>
      <w:kern w:val="44"/>
      <w:sz w:val="44"/>
      <w:szCs w:val="44"/>
    </w:rPr>
  </w:style>
  <w:style w:type="character" w:customStyle="1" w:styleId="16">
    <w:name w:val="标题 2 字符"/>
    <w:link w:val="4"/>
    <w:qFormat/>
    <w:locked/>
    <w:uiPriority w:val="99"/>
    <w:rPr>
      <w:rFonts w:ascii="Cambria" w:hAnsi="Cambria"/>
      <w:b/>
      <w:bCs/>
      <w:sz w:val="32"/>
      <w:szCs w:val="32"/>
    </w:rPr>
  </w:style>
  <w:style w:type="paragraph" w:styleId="17">
    <w:name w:val="List Paragraph"/>
    <w:basedOn w:val="1"/>
    <w:qFormat/>
    <w:uiPriority w:val="99"/>
    <w:pPr>
      <w:ind w:firstLine="420" w:firstLineChars="200"/>
    </w:p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9">
    <w:name w:val="font112"/>
    <w:basedOn w:val="12"/>
    <w:qFormat/>
    <w:uiPriority w:val="0"/>
    <w:rPr>
      <w:rFonts w:hint="eastAsia" w:ascii="宋体" w:hAnsi="宋体" w:eastAsia="宋体" w:cs="宋体"/>
      <w:color w:val="000000"/>
      <w:sz w:val="20"/>
      <w:szCs w:val="20"/>
      <w:u w:val="none"/>
    </w:rPr>
  </w:style>
  <w:style w:type="character" w:customStyle="1" w:styleId="20">
    <w:name w:val="font121"/>
    <w:basedOn w:val="12"/>
    <w:qFormat/>
    <w:uiPriority w:val="0"/>
    <w:rPr>
      <w:rFonts w:hint="eastAsia" w:ascii="宋体" w:hAnsi="宋体" w:eastAsia="宋体" w:cs="宋体"/>
      <w:color w:val="000000"/>
      <w:sz w:val="18"/>
      <w:szCs w:val="18"/>
      <w:u w:val="none"/>
    </w:rPr>
  </w:style>
  <w:style w:type="character" w:customStyle="1" w:styleId="21">
    <w:name w:val="标题 2 Char"/>
    <w:basedOn w:val="12"/>
    <w:link w:val="4"/>
    <w:qFormat/>
    <w:uiPriority w:val="9"/>
    <w:rPr>
      <w:rFonts w:asciiTheme="majorHAnsi" w:hAnsiTheme="majorHAnsi" w:eastAsiaTheme="majorEastAsia" w:cstheme="majorBidi"/>
      <w:b/>
      <w:bCs/>
      <w:kern w:val="2"/>
      <w:sz w:val="32"/>
      <w:szCs w:val="32"/>
    </w:rPr>
  </w:style>
  <w:style w:type="character" w:customStyle="1" w:styleId="22">
    <w:name w:val="标题 1 Char"/>
    <w:basedOn w:val="12"/>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a:t>
            </a:r>
            <a:r>
              <a:t>收、支决算总计变动情况图</a:t>
            </a:r>
            <a:r>
              <a:rPr lang="en-US" altLang="zh-CN"/>
              <a:t>    </a:t>
            </a:r>
            <a:endParaRPr lang="en-US" altLang="zh-CN"/>
          </a:p>
        </c:rich>
      </c:tx>
      <c:layout>
        <c:manualLayout>
          <c:xMode val="edge"/>
          <c:yMode val="edge"/>
          <c:x val="0.137189793778399"/>
          <c:y val="0.0395292697646349"/>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[工作簿1]Sheet1!$A$1:$B$1</c:f>
              <c:strCache>
                <c:ptCount val="2"/>
                <c:pt idx="0">
                  <c:v>2020年</c:v>
                </c:pt>
                <c:pt idx="1">
                  <c:v>2021年</c:v>
                </c:pt>
              </c:strCache>
            </c:strRef>
          </c:cat>
          <c:val>
            <c:numRef>
              <c:f>[工作簿1]Sheet1!$A$2:$B$2</c:f>
              <c:numCache>
                <c:formatCode>General</c:formatCode>
                <c:ptCount val="2"/>
                <c:pt idx="0">
                  <c:v>329.27</c:v>
                </c:pt>
                <c:pt idx="1">
                  <c:v>460.66</c:v>
                </c:pt>
              </c:numCache>
            </c:numRef>
          </c:val>
        </c:ser>
        <c:dLbls>
          <c:showLegendKey val="0"/>
          <c:showVal val="1"/>
          <c:showCatName val="0"/>
          <c:showSerName val="0"/>
          <c:showPercent val="0"/>
          <c:showBubbleSize val="0"/>
        </c:dLbls>
        <c:gapWidth val="219"/>
        <c:overlap val="-27"/>
        <c:axId val="288960801"/>
        <c:axId val="444143952"/>
      </c:barChart>
      <c:catAx>
        <c:axId val="2889608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4143952"/>
        <c:crosses val="autoZero"/>
        <c:auto val="1"/>
        <c:lblAlgn val="ctr"/>
        <c:lblOffset val="100"/>
        <c:noMultiLvlLbl val="0"/>
      </c:catAx>
      <c:valAx>
        <c:axId val="444143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9608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[工作簿1]Sheet1!$A$1:$G$1</c:f>
              <c:strCache>
                <c:ptCount val="7"/>
                <c:pt idx="0">
                  <c:v>一般公共预算财政拨款收入</c:v>
                </c:pt>
                <c:pt idx="1">
                  <c:v>政府性基金预算财政拨款</c:v>
                </c:pt>
                <c:pt idx="2">
                  <c:v>国有资本经营预算财政拨款收入</c:v>
                </c:pt>
                <c:pt idx="3">
                  <c:v>事业收入</c:v>
                </c:pt>
                <c:pt idx="4">
                  <c:v>经营收入</c:v>
                </c:pt>
                <c:pt idx="5">
                  <c:v>附属单位上缴收入</c:v>
                </c:pt>
                <c:pt idx="6">
                  <c:v>其他收入</c:v>
                </c:pt>
              </c:strCache>
            </c:strRef>
          </c:cat>
          <c:val>
            <c:numRef>
              <c:f>[工作簿1]Sheet1!$A$2:$G$2</c:f>
              <c:numCache>
                <c:formatCode>General</c:formatCode>
                <c:ptCount val="7"/>
                <c:pt idx="0">
                  <c:v>460.66</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[工作簿1]Sheet1!$A$1:$E$1</c:f>
              <c:strCache>
                <c:ptCount val="5"/>
                <c:pt idx="0">
                  <c:v>基本支出</c:v>
                </c:pt>
                <c:pt idx="1">
                  <c:v>项目支出</c:v>
                </c:pt>
                <c:pt idx="2">
                  <c:v>上缴上级支出</c:v>
                </c:pt>
                <c:pt idx="3">
                  <c:v>经营支出</c:v>
                </c:pt>
                <c:pt idx="4">
                  <c:v>对附属单位补助支出</c:v>
                </c:pt>
              </c:strCache>
            </c:strRef>
          </c:cat>
          <c:val>
            <c:numRef>
              <c:f>[工作簿1]Sheet1!$A$2:$E$2</c:f>
              <c:numCache>
                <c:formatCode>General</c:formatCode>
                <c:ptCount val="5"/>
                <c:pt idx="0">
                  <c:v>340.53</c:v>
                </c:pt>
                <c:pt idx="1">
                  <c:v>120.13</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图4：财政拨款收、支决算总计变动情况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[工作簿1]Sheet1!$A$1:$B$1</c:f>
              <c:strCache>
                <c:ptCount val="2"/>
                <c:pt idx="0">
                  <c:v>2020年</c:v>
                </c:pt>
                <c:pt idx="1">
                  <c:v>2021年</c:v>
                </c:pt>
              </c:strCache>
            </c:strRef>
          </c:cat>
          <c:val>
            <c:numRef>
              <c:f>[工作簿1]Sheet1!$A$2:$B$2</c:f>
              <c:numCache>
                <c:formatCode>General</c:formatCode>
                <c:ptCount val="2"/>
                <c:pt idx="0">
                  <c:v>329.27</c:v>
                </c:pt>
                <c:pt idx="1">
                  <c:v>460.66</c:v>
                </c:pt>
              </c:numCache>
            </c:numRef>
          </c:val>
        </c:ser>
        <c:dLbls>
          <c:showLegendKey val="0"/>
          <c:showVal val="1"/>
          <c:showCatName val="0"/>
          <c:showSerName val="0"/>
          <c:showPercent val="0"/>
          <c:showBubbleSize val="0"/>
        </c:dLbls>
        <c:gapWidth val="219"/>
        <c:overlap val="-27"/>
        <c:axId val="12050342"/>
        <c:axId val="705233261"/>
      </c:barChart>
      <c:catAx>
        <c:axId val="120503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5233261"/>
        <c:crosses val="autoZero"/>
        <c:auto val="1"/>
        <c:lblAlgn val="ctr"/>
        <c:lblOffset val="100"/>
        <c:noMultiLvlLbl val="0"/>
      </c:catAx>
      <c:valAx>
        <c:axId val="7052332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503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图5：一般公共预算财政拨款支出决算变动情况</a:t>
            </a:r>
            <a:endParaRPr sz="12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[工作簿1]Sheet1!$A$1:$B$1</c:f>
              <c:strCache>
                <c:ptCount val="2"/>
                <c:pt idx="0">
                  <c:v>2020年</c:v>
                </c:pt>
                <c:pt idx="1">
                  <c:v>2021年</c:v>
                </c:pt>
              </c:strCache>
            </c:strRef>
          </c:cat>
          <c:val>
            <c:numRef>
              <c:f>[工作簿1]Sheet1!$A$2:$B$2</c:f>
              <c:numCache>
                <c:formatCode>General</c:formatCode>
                <c:ptCount val="2"/>
                <c:pt idx="0">
                  <c:v>329.27</c:v>
                </c:pt>
                <c:pt idx="1">
                  <c:v>460.66</c:v>
                </c:pt>
              </c:numCache>
            </c:numRef>
          </c:val>
        </c:ser>
        <c:dLbls>
          <c:showLegendKey val="0"/>
          <c:showVal val="1"/>
          <c:showCatName val="0"/>
          <c:showSerName val="0"/>
          <c:showPercent val="0"/>
          <c:showBubbleSize val="0"/>
        </c:dLbls>
        <c:gapWidth val="219"/>
        <c:overlap val="-27"/>
        <c:axId val="12050342"/>
        <c:axId val="705233261"/>
      </c:barChart>
      <c:catAx>
        <c:axId val="120503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5233261"/>
        <c:crosses val="autoZero"/>
        <c:auto val="1"/>
        <c:lblAlgn val="ctr"/>
        <c:lblOffset val="100"/>
        <c:noMultiLvlLbl val="0"/>
      </c:catAx>
      <c:valAx>
        <c:axId val="7052332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503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5"/>
              <c:layout>
                <c:manualLayout>
                  <c:x val="0.0117127342164192"/>
                  <c:y val="0.12813641242924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[工作簿1]Sheet1!$A$1:$F$1</c:f>
              <c:strCache>
                <c:ptCount val="6"/>
                <c:pt idx="0">
                  <c:v>一般公共服务（类）</c:v>
                </c:pt>
                <c:pt idx="1">
                  <c:v>教育支出（类）</c:v>
                </c:pt>
                <c:pt idx="2">
                  <c:v>科学技术（类）</c:v>
                </c:pt>
                <c:pt idx="3">
                  <c:v>社会保障和就业（类）</c:v>
                </c:pt>
                <c:pt idx="4">
                  <c:v>医疗卫生支出(类）</c:v>
                </c:pt>
                <c:pt idx="5">
                  <c:v>住房保障支出(类）</c:v>
                </c:pt>
              </c:strCache>
            </c:strRef>
          </c:cat>
          <c:val>
            <c:numRef>
              <c:f>[工作簿1]Sheet1!$A$2:$F$2</c:f>
              <c:numCache>
                <c:formatCode>General</c:formatCode>
                <c:ptCount val="6"/>
                <c:pt idx="0">
                  <c:v>0</c:v>
                </c:pt>
                <c:pt idx="1">
                  <c:v>0</c:v>
                </c:pt>
                <c:pt idx="2">
                  <c:v>0</c:v>
                </c:pt>
                <c:pt idx="3">
                  <c:v>308.79</c:v>
                </c:pt>
                <c:pt idx="4">
                  <c:v>130.61</c:v>
                </c:pt>
                <c:pt idx="5">
                  <c:v>21.26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图7：“三公”经费财政拨款支出结构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[工作簿1]Sheet1!$A$1:$C$1</c:f>
              <c:strCache>
                <c:ptCount val="3"/>
                <c:pt idx="0">
                  <c:v>公务接待费支出决算</c:v>
                </c:pt>
                <c:pt idx="1">
                  <c:v>公务用车购置及运行维护费支出决算</c:v>
                </c:pt>
                <c:pt idx="2">
                  <c:v>因公出国（境）费支出决算</c:v>
                </c:pt>
              </c:strCache>
            </c:strRef>
          </c:cat>
          <c:val>
            <c:numRef>
              <c:f>[工作簿1]Sheet1!$A$2:$C$2</c:f>
              <c:numCache>
                <c:formatCode>General</c:formatCode>
                <c:ptCount val="3"/>
                <c:pt idx="0">
                  <c:v>0.45</c:v>
                </c:pt>
                <c:pt idx="1">
                  <c:v>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9895</Words>
  <Characters>10615</Characters>
  <Lines>0</Lines>
  <Paragraphs>0</Paragraphs>
  <TotalTime>0</TotalTime>
  <ScaleCrop>false</ScaleCrop>
  <LinksUpToDate>false</LinksUpToDate>
  <CharactersWithSpaces>10700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点子〰</dc:creator>
  <cp:lastModifiedBy>昭化融媒体</cp:lastModifiedBy>
  <dcterms:modified xsi:type="dcterms:W3CDTF">2024-08-02T02:47:51Z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2F95F93F0DF74658AD8F023E7A3CD45C</vt:lpwstr>
  </property>
</Properties>
</file>