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96597"/>
      <w:bookmarkStart w:id="1" w:name="_Toc15377193"/>
      <w:bookmarkStart w:id="2" w:name="_Toc15377425"/>
      <w:bookmarkStart w:id="3" w:name="_Toc15396475"/>
      <w:bookmarkStart w:id="4" w:name="_Toc15378441"/>
      <w:bookmarkStart w:id="5" w:name="_Toc15306267"/>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2377D5C8">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202</w:t>
      </w:r>
      <w:r>
        <w:rPr>
          <w:rFonts w:hint="eastAsia" w:ascii="方正小标宋简体" w:hAnsi="方正小标宋简体" w:eastAsia="方正小标宋简体" w:cs="方正小标宋简体"/>
          <w:color w:val="000000"/>
          <w:kern w:val="2"/>
          <w:sz w:val="72"/>
          <w:szCs w:val="24"/>
          <w:lang w:val="en-US" w:eastAsia="zh-CN"/>
        </w:rPr>
        <w:t>4</w:t>
      </w:r>
      <w:r>
        <w:rPr>
          <w:rFonts w:hint="eastAsia" w:ascii="方正小标宋简体" w:hAnsi="方正小标宋简体" w:eastAsia="方正小标宋简体" w:cs="方正小标宋简体"/>
          <w:color w:val="000000"/>
          <w:kern w:val="2"/>
          <w:sz w:val="72"/>
          <w:szCs w:val="24"/>
          <w:lang w:val="zh-CN"/>
        </w:rPr>
        <w:t>年度</w:t>
      </w:r>
    </w:p>
    <w:p w14:paraId="12C36C28">
      <w:pPr>
        <w:keepNext w:val="0"/>
        <w:keepLines w:val="0"/>
        <w:pageBreakBefore w:val="0"/>
        <w:widowControl w:val="0"/>
        <w:kinsoku/>
        <w:wordWrap/>
        <w:overflowPunct w:val="0"/>
        <w:topLinePunct/>
        <w:autoSpaceDE w:val="0"/>
        <w:autoSpaceDN w:val="0"/>
        <w:bidi w:val="0"/>
        <w:snapToGrid w:val="0"/>
        <w:spacing w:beforeLines="0" w:afterLines="0" w:line="360" w:lineRule="auto"/>
        <w:jc w:val="center"/>
        <w:textAlignment w:val="auto"/>
        <w:outlineLvl w:val="0"/>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sz w:val="72"/>
          <w:szCs w:val="72"/>
          <w:lang w:val="en-US" w:eastAsia="zh-CN"/>
        </w:rPr>
        <w:t>广元市昭化区发展和改革局</w:t>
      </w:r>
      <w:r>
        <w:rPr>
          <w:rFonts w:hint="eastAsia" w:ascii="方正小标宋简体" w:hAnsi="方正小标宋简体" w:eastAsia="方正小标宋简体" w:cs="方正小标宋简体"/>
          <w:color w:val="000000"/>
          <w:kern w:val="2"/>
          <w:sz w:val="72"/>
          <w:szCs w:val="24"/>
          <w:lang w:val="zh-CN"/>
        </w:rPr>
        <w:t>部门决算</w:t>
      </w:r>
    </w:p>
    <w:p w14:paraId="1F8507B7">
      <w:pPr>
        <w:keepNext w:val="0"/>
        <w:keepLines w:val="0"/>
        <w:pageBreakBefore w:val="0"/>
        <w:widowControl w:val="0"/>
        <w:kinsoku/>
        <w:wordWrap/>
        <w:overflowPunct w:val="0"/>
        <w:topLinePunct/>
        <w:autoSpaceDE w:val="0"/>
        <w:autoSpaceDN w:val="0"/>
        <w:bidi w:val="0"/>
        <w:spacing w:line="600" w:lineRule="exact"/>
        <w:jc w:val="center"/>
        <w:textAlignment w:val="auto"/>
        <w:outlineLvl w:val="0"/>
        <w:rPr>
          <w:rFonts w:ascii="Times New Roman" w:hAnsi="Times New Roman" w:eastAsia="方正小标宋简体"/>
          <w:color w:val="auto"/>
          <w:sz w:val="72"/>
          <w:szCs w:val="72"/>
          <w:highlight w:val="none"/>
        </w:rPr>
      </w:pPr>
    </w:p>
    <w:p w14:paraId="11001A65">
      <w:pPr>
        <w:pStyle w:val="22"/>
        <w:keepNext w:val="0"/>
        <w:keepLines w:val="0"/>
        <w:pageBreakBefore w:val="0"/>
        <w:widowControl w:val="0"/>
        <w:kinsoku/>
        <w:wordWrap/>
        <w:overflowPunct w:val="0"/>
        <w:topLinePunct/>
        <w:autoSpaceDE w:val="0"/>
        <w:autoSpaceDN w:val="0"/>
        <w:bidi w:val="0"/>
        <w:textAlignment w:val="auto"/>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252C9467">
      <w:pPr>
        <w:pStyle w:val="14"/>
        <w:keepNext w:val="0"/>
        <w:keepLines w:val="0"/>
        <w:pageBreakBefore w:val="0"/>
        <w:widowControl w:val="0"/>
        <w:kinsoku/>
        <w:wordWrap/>
        <w:overflowPunct w:val="0"/>
        <w:topLinePunct/>
        <w:autoSpaceDE w:val="0"/>
        <w:autoSpaceDN w:val="0"/>
        <w:bidi w:val="0"/>
        <w:adjustRightInd/>
        <w:snapToGrid/>
        <w:spacing w:before="313" w:beforeLines="100" w:after="625" w:afterLines="200"/>
        <w:textAlignment w:val="auto"/>
        <w:rPr>
          <w:rFonts w:hint="default" w:ascii="Times New Roman" w:hAnsi="Times New Roman" w:eastAsia="楷体_GB2312" w:cs="Times New Roman"/>
          <w:color w:val="auto"/>
          <w:sz w:val="32"/>
          <w:szCs w:val="32"/>
          <w:highlight w:val="yellow"/>
        </w:rPr>
      </w:pPr>
      <w:r>
        <w:rPr>
          <w:rFonts w:hint="default" w:ascii="Times New Roman" w:hAnsi="Times New Roman" w:eastAsia="楷体_GB2312" w:cs="Times New Roman"/>
          <w:color w:val="auto"/>
          <w:sz w:val="32"/>
          <w:szCs w:val="32"/>
          <w:highlight w:val="none"/>
        </w:rPr>
        <w:t>公开时间：</w:t>
      </w:r>
      <w:r>
        <w:rPr>
          <w:rFonts w:hint="default" w:ascii="Times New Roman" w:hAnsi="Times New Roman" w:eastAsia="楷体_GB2312" w:cs="Times New Roman"/>
          <w:color w:val="0000FF"/>
          <w:sz w:val="32"/>
          <w:szCs w:val="32"/>
          <w:highlight w:val="none"/>
        </w:rPr>
        <w:t>20</w:t>
      </w:r>
      <w:r>
        <w:rPr>
          <w:rFonts w:hint="default" w:ascii="Times New Roman" w:hAnsi="Times New Roman" w:eastAsia="楷体_GB2312" w:cs="Times New Roman"/>
          <w:color w:val="0000FF"/>
          <w:sz w:val="32"/>
          <w:szCs w:val="32"/>
          <w:highlight w:val="none"/>
          <w:lang w:val="en-US" w:eastAsia="zh-CN"/>
        </w:rPr>
        <w:t>25</w:t>
      </w:r>
      <w:r>
        <w:rPr>
          <w:rFonts w:hint="default" w:ascii="Times New Roman" w:hAnsi="Times New Roman" w:eastAsia="楷体_GB2312" w:cs="Times New Roman"/>
          <w:color w:val="0000FF"/>
          <w:sz w:val="32"/>
          <w:szCs w:val="32"/>
          <w:highlight w:val="none"/>
        </w:rPr>
        <w:t>年</w:t>
      </w:r>
      <w:r>
        <w:rPr>
          <w:rFonts w:hint="default" w:ascii="Times New Roman" w:hAnsi="Times New Roman" w:eastAsia="楷体_GB2312" w:cs="Times New Roman"/>
          <w:color w:val="0000FF"/>
          <w:sz w:val="32"/>
          <w:szCs w:val="32"/>
          <w:highlight w:val="none"/>
          <w:lang w:val="en-US" w:eastAsia="zh-CN"/>
        </w:rPr>
        <w:t>9</w:t>
      </w:r>
      <w:r>
        <w:rPr>
          <w:rFonts w:hint="default" w:ascii="Times New Roman" w:hAnsi="Times New Roman" w:eastAsia="楷体_GB2312" w:cs="Times New Roman"/>
          <w:color w:val="0000FF"/>
          <w:sz w:val="32"/>
          <w:szCs w:val="32"/>
          <w:highlight w:val="none"/>
        </w:rPr>
        <w:t>月</w:t>
      </w:r>
      <w:r>
        <w:rPr>
          <w:rFonts w:hint="default" w:ascii="Times New Roman" w:hAnsi="Times New Roman" w:eastAsia="楷体_GB2312" w:cs="Times New Roman"/>
          <w:color w:val="0000FF"/>
          <w:sz w:val="32"/>
          <w:szCs w:val="32"/>
          <w:highlight w:val="none"/>
          <w:lang w:val="en-US" w:eastAsia="zh-CN"/>
        </w:rPr>
        <w:t>28</w:t>
      </w:r>
      <w:r>
        <w:rPr>
          <w:rFonts w:hint="default" w:ascii="Times New Roman" w:hAnsi="Times New Roman" w:eastAsia="楷体_GB2312" w:cs="Times New Roman"/>
          <w:color w:val="0000FF"/>
          <w:sz w:val="32"/>
          <w:szCs w:val="32"/>
          <w:highlight w:val="none"/>
        </w:rPr>
        <w:t>日</w:t>
      </w:r>
    </w:p>
    <w:p w14:paraId="3D87F6CE">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第一部分 部门概况</w:t>
      </w:r>
    </w:p>
    <w:p w14:paraId="4567EA52">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default" w:ascii="Times New Roman" w:hAnsi="Times New Roman" w:eastAsia="仿宋_GB2312" w:cs="Times New Roman"/>
          <w:color w:val="auto"/>
          <w:sz w:val="32"/>
          <w:szCs w:val="32"/>
          <w:highlight w:val="none"/>
          <w:lang w:val="en-US" w:eastAsia="zh-CN"/>
        </w:rPr>
        <w:t xml:space="preserve">                        </w:t>
      </w:r>
    </w:p>
    <w:p w14:paraId="7734357E">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二、机构设置</w:t>
      </w:r>
    </w:p>
    <w:p w14:paraId="58E20A83">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default" w:ascii="Times New Roman" w:hAnsi="Times New Roman" w:eastAsia="黑体" w:cs="Times New Roman"/>
          <w:color w:val="auto"/>
          <w:sz w:val="32"/>
          <w:szCs w:val="32"/>
          <w:highlight w:val="none"/>
        </w:rPr>
        <w:t>部门决算情况说明</w:t>
      </w:r>
    </w:p>
    <w:p w14:paraId="15AACBF7">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一、收入支出决算总体情况说明</w:t>
      </w:r>
    </w:p>
    <w:p w14:paraId="252A7682">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二、收入决算情况说明</w:t>
      </w:r>
    </w:p>
    <w:p w14:paraId="1F229D53">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三、支出决算情况说明</w:t>
      </w:r>
    </w:p>
    <w:p w14:paraId="0158DEEE">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四、财政拨款收入支出决算总体情况说明</w:t>
      </w:r>
    </w:p>
    <w:p w14:paraId="22D43FE4">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五、一般公共预算财政拨款支出决算情况说明</w:t>
      </w:r>
    </w:p>
    <w:p w14:paraId="57EB864E">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六、一般公共预算财政拨款基本支出决算情况说明</w:t>
      </w:r>
    </w:p>
    <w:p w14:paraId="20CC1799">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p>
    <w:p w14:paraId="70386AE9">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八、政府性基金预算支出决算情况说明</w:t>
      </w:r>
    </w:p>
    <w:p w14:paraId="7A563158">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p>
    <w:p w14:paraId="2BBF9683">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p>
    <w:p w14:paraId="07B34DCF">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第三部分 名词解释</w:t>
      </w:r>
    </w:p>
    <w:p w14:paraId="668676B1">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第四部分 附件</w:t>
      </w:r>
    </w:p>
    <w:p w14:paraId="637E5BDB">
      <w:pPr>
        <w:pStyle w:val="14"/>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第五部分 附表</w:t>
      </w:r>
    </w:p>
    <w:p w14:paraId="7F2E6327">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p>
    <w:p w14:paraId="57639DC6">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sectPr>
          <w:footerReference r:id="rId6" w:type="first"/>
          <w:footerReference r:id="rId5" w:type="default"/>
          <w:pgSz w:w="11906" w:h="16838"/>
          <w:pgMar w:top="2098" w:right="1474" w:bottom="1984" w:left="1587" w:header="851" w:footer="1304" w:gutter="0"/>
          <w:pgNumType w:fmt="decimal" w:start="1"/>
          <w:cols w:space="0" w:num="1"/>
          <w:titlePg/>
          <w:rtlGutter w:val="0"/>
          <w:docGrid w:type="lines" w:linePitch="312" w:charSpace="0"/>
        </w:sectPr>
      </w:pPr>
    </w:p>
    <w:p w14:paraId="379D51DA">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二、收入决算表</w:t>
      </w:r>
    </w:p>
    <w:p w14:paraId="00F98FDE">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三、支出决算表</w:t>
      </w:r>
    </w:p>
    <w:p w14:paraId="4CCECA5E">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四、财政拨款收入支出决算总表</w:t>
      </w:r>
    </w:p>
    <w:p w14:paraId="2AFAD331">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五、财政拨款支出决算明细表</w:t>
      </w:r>
    </w:p>
    <w:p w14:paraId="13F92F24">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p>
    <w:p w14:paraId="3DC996D8">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七、一般公共预算财政拨款支出决算明细表</w:t>
      </w:r>
    </w:p>
    <w:p w14:paraId="4F7D893F">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p>
    <w:p w14:paraId="0D90CAFC">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九、一般公共预算财政拨款项目支出决算表</w:t>
      </w:r>
    </w:p>
    <w:p w14:paraId="7E80B9B7">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十、政府性基金预算财政拨款收入支出决算表</w:t>
      </w:r>
    </w:p>
    <w:p w14:paraId="55038CE6">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十一、国有资本经营预算财政拨款收入支出决算表</w:t>
      </w:r>
    </w:p>
    <w:p w14:paraId="33A24D16">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p>
    <w:p w14:paraId="7B4CDE5A">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十三、财政拨款“三公”经费支出决算表</w:t>
      </w:r>
    </w:p>
    <w:p w14:paraId="5B2EE203">
      <w:pPr>
        <w:keepNext w:val="0"/>
        <w:keepLines w:val="0"/>
        <w:pageBreakBefore w:val="0"/>
        <w:widowControl w:val="0"/>
        <w:kinsoku/>
        <w:wordWrap/>
        <w:overflowPunct w:val="0"/>
        <w:topLinePunct/>
        <w:autoSpaceDE w:val="0"/>
        <w:autoSpaceDN w:val="0"/>
        <w:bidi w:val="0"/>
        <w:spacing w:line="560" w:lineRule="exact"/>
        <w:jc w:val="left"/>
        <w:textAlignment w:val="auto"/>
        <w:rPr>
          <w:rFonts w:hint="default" w:ascii="Times New Roman" w:hAnsi="Times New Roman" w:eastAsia="仿宋_GB2312" w:cs="Times New Roman"/>
          <w:b/>
          <w:color w:val="FF0000"/>
          <w:sz w:val="32"/>
          <w:szCs w:val="32"/>
          <w:highlight w:val="none"/>
        </w:rPr>
        <w:sectPr>
          <w:footerReference r:id="rId8" w:type="first"/>
          <w:footerReference r:id="rId7" w:type="default"/>
          <w:pgSz w:w="11906" w:h="16838"/>
          <w:pgMar w:top="2098" w:right="1474" w:bottom="1984" w:left="1587" w:header="851" w:footer="1304" w:gutter="0"/>
          <w:pgNumType w:fmt="decimal" w:start="1"/>
          <w:cols w:space="0" w:num="1"/>
          <w:rtlGutter w:val="0"/>
          <w:docGrid w:type="lines" w:linePitch="312" w:charSpace="0"/>
        </w:sectPr>
      </w:pPr>
      <w:bookmarkStart w:id="6" w:name="_Toc15396599"/>
      <w:bookmarkStart w:id="7" w:name="_Toc15377196"/>
      <w:r>
        <w:rPr>
          <w:rFonts w:hint="default" w:ascii="Times New Roman" w:hAnsi="Times New Roman" w:eastAsia="仿宋_GB2312" w:cs="Times New Roman"/>
          <w:b/>
          <w:color w:val="FF0000"/>
          <w:sz w:val="32"/>
          <w:szCs w:val="32"/>
          <w:highlight w:val="none"/>
        </w:rPr>
        <w:br w:type="page"/>
      </w:r>
    </w:p>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第一部分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 xml:space="preserve"> 部门概况</w:t>
      </w:r>
      <w:bookmarkEnd w:id="6"/>
      <w:bookmarkEnd w:id="7"/>
    </w:p>
    <w:p w14:paraId="3DEC849B">
      <w:pPr>
        <w:keepNext w:val="0"/>
        <w:keepLines w:val="0"/>
        <w:pageBreakBefore w:val="0"/>
        <w:widowControl w:val="0"/>
        <w:kinsoku/>
        <w:wordWrap/>
        <w:overflowPunct w:val="0"/>
        <w:topLinePunct/>
        <w:autoSpaceDE w:val="0"/>
        <w:autoSpaceDN w:val="0"/>
        <w:bidi w:val="0"/>
        <w:textAlignment w:val="auto"/>
        <w:rPr>
          <w:rFonts w:hint="default" w:ascii="Times New Roman" w:hAnsi="Times New Roman" w:cs="Times New Roman"/>
        </w:rPr>
      </w:pPr>
    </w:p>
    <w:p w14:paraId="7E8F20BB">
      <w:pPr>
        <w:keepNext w:val="0"/>
        <w:keepLines w:val="0"/>
        <w:pageBreakBefore w:val="0"/>
        <w:widowControl w:val="0"/>
        <w:numPr>
          <w:ilvl w:val="0"/>
          <w:numId w:val="1"/>
        </w:numPr>
        <w:kinsoku/>
        <w:wordWrap/>
        <w:overflowPunct w:val="0"/>
        <w:topLinePunct/>
        <w:autoSpaceDE w:val="0"/>
        <w:autoSpaceDN w:val="0"/>
        <w:bidi w:val="0"/>
        <w:spacing w:before="0" w:after="0" w:line="576" w:lineRule="exact"/>
        <w:ind w:firstLine="640" w:firstLineChars="200"/>
        <w:textAlignment w:val="auto"/>
        <w:outlineLvl w:val="9"/>
        <w:rPr>
          <w:rFonts w:hint="default" w:ascii="Times New Roman" w:hAnsi="Times New Roman" w:eastAsia="黑体" w:cs="Times New Roman"/>
          <w:b w:val="0"/>
          <w:color w:val="auto"/>
          <w:sz w:val="32"/>
          <w:szCs w:val="32"/>
          <w:highlight w:val="none"/>
          <w:lang w:eastAsia="zh-CN"/>
        </w:rPr>
      </w:pPr>
      <w:r>
        <w:rPr>
          <w:rFonts w:hint="default" w:ascii="Times New Roman" w:hAnsi="Times New Roman" w:eastAsia="黑体" w:cs="Times New Roman"/>
          <w:b w:val="0"/>
          <w:color w:val="auto"/>
          <w:sz w:val="32"/>
          <w:szCs w:val="32"/>
          <w:highlight w:val="none"/>
          <w:lang w:eastAsia="zh-CN"/>
        </w:rPr>
        <w:t>部门职责</w:t>
      </w:r>
    </w:p>
    <w:p w14:paraId="3F35D706">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rPr>
        <w:t>（一）主要职能。</w:t>
      </w:r>
    </w:p>
    <w:p w14:paraId="234CC4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rPr>
      </w:pPr>
      <w:r>
        <w:rPr>
          <w:rFonts w:hint="default" w:ascii="Times New Roman" w:hAnsi="Times New Roman" w:eastAsia="仿宋_GB2312" w:cs="Times New Roman"/>
          <w:sz w:val="32"/>
          <w:szCs w:val="32"/>
          <w:lang w:val="en-US" w:eastAsia="zh-CN"/>
        </w:rPr>
        <w:t>1.贯彻实施国家有关国民经济和社会发展、经济体制改革的方针、政策和法律、法规。拟订全区有关国民经济和社会发展、经济体制改革的政策措施，负责本</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rPr>
        <w:t>系统、本部门依法行政工作，落实行政执法责任制。</w:t>
      </w:r>
    </w:p>
    <w:p w14:paraId="42ACCF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1E55BC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3.负责监测宏观经济和社会发展态势，承担预测预警和信息引导的责任，研究宏观调控重大问题并提出政策建议，搞好总量平衡，综合协调经济社会发展中的重大问题。</w:t>
      </w:r>
    </w:p>
    <w:p w14:paraId="13298F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62F089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125244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4A1F51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2"/>
          <w:szCs w:val="32"/>
          <w:lang w:val="en-US" w:eastAsia="zh-CN"/>
        </w:rPr>
        <w:t>7.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w:t>
      </w:r>
      <w:r>
        <w:rPr>
          <w:rFonts w:hint="default" w:ascii="Times New Roman" w:hAnsi="Times New Roman" w:eastAsia="仿宋_GB2312" w:cs="Times New Roman"/>
          <w:sz w:val="30"/>
          <w:szCs w:val="30"/>
          <w:lang w:val="en-US" w:eastAsia="zh-CN"/>
        </w:rPr>
        <w:t>组织有关部门搞好以工代赈项目的规划、论证和可行性研究；组织工程主管部门对全区以工代赈项目工程进行检查、验收和管理。</w:t>
      </w:r>
    </w:p>
    <w:p w14:paraId="6757B8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rPr>
        <w:t>外投资项目。引导民间投资方向，研究提出利用外资和境外投资的规划、总量平衡和结构优化的目标和政策，指导和协调国外贷款项目实施。组织开展重大建设项目稽察。指</w:t>
      </w:r>
      <w:r>
        <w:rPr>
          <w:rFonts w:hint="default" w:ascii="Times New Roman" w:hAnsi="Times New Roman" w:eastAsia="仿宋_GB2312" w:cs="Times New Roman"/>
          <w:sz w:val="32"/>
          <w:szCs w:val="32"/>
          <w:lang w:val="en-US" w:eastAsia="zh-CN"/>
        </w:rPr>
        <w:t>导工程咨询业发展。</w:t>
      </w:r>
    </w:p>
    <w:p w14:paraId="172C3E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推进经济结构战略性调整。组织拟订全区综合性产业政策，负责协调第一、二、三产业发展的重大问题，衔接平衡相关发展规划和重大政策，协调农业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185CC9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6D5E70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48701C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0C7E01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12C0B1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14.会同有关部门拟定革命老区、贫困地区经济发展规划，会同有关部门制定加快革命老区、贫困地区经济发展的重大政策，协调推进重大项目建设，促进经济社会持续、稳定、协调发展。</w:t>
      </w:r>
    </w:p>
    <w:p w14:paraId="74F4CA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15.指导、协调并综合管理全区招标投标工作，按照职责权限对国家、省和市重大建设项目建设过程中的工程招标投标活动实施监督检查。</w:t>
      </w:r>
    </w:p>
    <w:p w14:paraId="395293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2B6CF6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17.负责组织编制全区国民经济动员与装备动员规划、计划，研究国民经济动员与装备动员和国民经济、国防建设的关系，协调相关重大问题，组织实施国民经济动员与装备动员有关工作。</w:t>
      </w:r>
    </w:p>
    <w:p w14:paraId="33CDF0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360BEE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19.承担区创新政府投融资体制和项目融资工作领导小组、区实施西部大开发领导小组、区低碳发展领导小组、区经济动员领导小组的具体工作。</w:t>
      </w:r>
    </w:p>
    <w:p w14:paraId="1C0096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20.承办区政府公布的有关行政审批事项。</w:t>
      </w:r>
    </w:p>
    <w:p w14:paraId="515D84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21.承办区政府交办的其他事项。</w:t>
      </w:r>
    </w:p>
    <w:p w14:paraId="526B2D3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rPr>
        <w:t>（二）202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rPr>
        <w:t>年重点工作完成情况。</w:t>
      </w:r>
    </w:p>
    <w:p w14:paraId="6359BFA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bookmarkStart w:id="8" w:name="_Toc15377200"/>
      <w:bookmarkStart w:id="9" w:name="_Toc15396601"/>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起草2024年度国民经济和社会发展计划执行情况并报区人大常委会审议通过，完成半年计划执行情况报告并报人大审查。</w:t>
      </w:r>
      <w:r>
        <w:rPr>
          <w:rFonts w:hint="default" w:ascii="Times New Roman" w:hAnsi="Times New Roman" w:eastAsia="仿宋_GB2312" w:cs="Times New Roman"/>
          <w:b w:val="0"/>
          <w:bCs/>
          <w:color w:val="000000"/>
          <w:sz w:val="32"/>
          <w:szCs w:val="32"/>
          <w:lang w:val="en-US" w:eastAsia="zh-CN"/>
        </w:rPr>
        <w:t>全面启动“十五五”规划前期，确定“十五五”前期研究重大课题16个，已形成课题成果4个，与省经发院达成合作关系推进“十五五”基本思路起草，已形成初步提纲；</w:t>
      </w:r>
      <w:r>
        <w:rPr>
          <w:rFonts w:hint="default" w:ascii="Times New Roman" w:hAnsi="Times New Roman" w:eastAsia="楷体_GB2312" w:cs="Times New Roman"/>
          <w:sz w:val="32"/>
          <w:szCs w:val="32"/>
          <w:highlight w:val="none"/>
          <w:shd w:val="clear" w:color="auto" w:fill="auto"/>
          <w:lang w:val="en-US" w:eastAsia="zh-CN"/>
        </w:rPr>
        <w:t>二是</w:t>
      </w:r>
      <w:r>
        <w:rPr>
          <w:rFonts w:hint="default" w:ascii="Times New Roman" w:hAnsi="Times New Roman" w:eastAsia="仿宋_GB2312" w:cs="Times New Roman"/>
          <w:b w:val="0"/>
          <w:bCs w:val="0"/>
          <w:kern w:val="2"/>
          <w:sz w:val="32"/>
          <w:szCs w:val="32"/>
          <w:highlight w:val="none"/>
          <w:lang w:val="en-US" w:eastAsia="zh-CN" w:bidi="ar-SA"/>
        </w:rPr>
        <w:t>全区共新入库项目76个，总投资31.3亿元。</w:t>
      </w:r>
      <w:r>
        <w:rPr>
          <w:rFonts w:hint="default" w:ascii="Times New Roman" w:hAnsi="Times New Roman" w:eastAsia="仿宋_GB2312" w:cs="Times New Roman"/>
          <w:color w:val="auto"/>
          <w:sz w:val="32"/>
          <w:szCs w:val="32"/>
          <w:highlight w:val="none"/>
          <w:lang w:val="en-US" w:eastAsia="zh-CN"/>
        </w:rPr>
        <w:t>共争取到位“四类项目”26个，到位资金9.24亿元。</w:t>
      </w:r>
      <w:r>
        <w:rPr>
          <w:rFonts w:hint="default" w:ascii="Times New Roman" w:hAnsi="Times New Roman" w:eastAsia="仿宋_GB2312" w:cs="Times New Roman"/>
          <w:color w:val="000000"/>
          <w:sz w:val="32"/>
          <w:szCs w:val="32"/>
          <w:highlight w:val="none"/>
          <w:lang w:val="en-US" w:eastAsia="zh-CN"/>
        </w:rPr>
        <w:t>30个省市重点项目完成投资27亿元、投资完成率73.5%、入统占比55%。</w:t>
      </w:r>
      <w:r>
        <w:rPr>
          <w:rFonts w:hint="default" w:ascii="Times New Roman" w:hAnsi="Times New Roman" w:eastAsia="仿宋_GB2312" w:cs="Times New Roman"/>
          <w:b w:val="0"/>
          <w:bCs w:val="0"/>
          <w:color w:val="auto"/>
          <w:sz w:val="32"/>
          <w:szCs w:val="32"/>
          <w:highlight w:val="none"/>
          <w:u w:val="none"/>
          <w:lang w:val="en-US" w:eastAsia="zh-CN"/>
        </w:rPr>
        <w:t>参加重大项目现场推进活动3批次，开工项目94个、计划总投资84.7亿元、年度计划投资29.8亿元；</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b w:val="0"/>
          <w:bCs w:val="0"/>
          <w:color w:val="000000"/>
          <w:sz w:val="32"/>
          <w:szCs w:val="32"/>
          <w:highlight w:val="none"/>
          <w:lang w:val="en-US" w:eastAsia="zh-CN"/>
        </w:rPr>
        <w:t>制</w:t>
      </w:r>
      <w:r>
        <w:rPr>
          <w:rFonts w:hint="default" w:ascii="Times New Roman" w:hAnsi="Times New Roman" w:eastAsia="仿宋_GB2312" w:cs="Times New Roman"/>
          <w:b w:val="0"/>
          <w:bCs/>
          <w:color w:val="000000"/>
          <w:sz w:val="32"/>
          <w:szCs w:val="32"/>
          <w:highlight w:val="none"/>
          <w:lang w:val="en-US" w:eastAsia="zh-CN"/>
        </w:rPr>
        <w:t>定《2024年度广元市昭化区领导班子及成员耕地保护和粮食安全重点工作职责清单》，将耕地保护和粮食安全党政同责考核落实到具体部门、明确工作任务。</w:t>
      </w:r>
      <w:r>
        <w:rPr>
          <w:rFonts w:hint="default" w:ascii="Times New Roman" w:hAnsi="Times New Roman" w:eastAsia="仿宋_GB2312" w:cs="Times New Roman"/>
          <w:b w:val="0"/>
          <w:bCs w:val="0"/>
          <w:color w:val="000000"/>
          <w:sz w:val="32"/>
          <w:szCs w:val="32"/>
          <w:highlight w:val="none"/>
          <w:lang w:val="en-US" w:eastAsia="zh-CN"/>
        </w:rPr>
        <w:t>投资3.85亿元建设川北红岩港粮食</w:t>
      </w:r>
      <w:r>
        <w:rPr>
          <w:rFonts w:hint="default" w:ascii="Times New Roman" w:hAnsi="Times New Roman" w:eastAsia="仿宋_GB2312" w:cs="Times New Roman"/>
          <w:b w:val="0"/>
          <w:bCs/>
          <w:color w:val="000000"/>
          <w:sz w:val="32"/>
          <w:szCs w:val="32"/>
          <w:highlight w:val="none"/>
          <w:lang w:val="en-US" w:eastAsia="zh-CN"/>
        </w:rPr>
        <w:t>现代物流中心项目，占地面积167亩，一期已完成5.3万吨平房仓、信息化综合楼。11月中旬，区级储备粮轮换开始入库。</w:t>
      </w:r>
      <w:r>
        <w:rPr>
          <w:rFonts w:hint="default" w:ascii="Times New Roman" w:hAnsi="Times New Roman" w:eastAsia="仿宋_GB2312" w:cs="Times New Roman"/>
          <w:b w:val="0"/>
          <w:bCs w:val="0"/>
          <w:color w:val="000000"/>
          <w:sz w:val="32"/>
          <w:szCs w:val="32"/>
          <w:highlight w:val="none"/>
          <w:lang w:val="en-US" w:eastAsia="zh-CN"/>
        </w:rPr>
        <w:t>完成省市区级产新粮食品质扦样57个，收购超</w:t>
      </w:r>
      <w:r>
        <w:rPr>
          <w:rFonts w:hint="default" w:ascii="Times New Roman" w:hAnsi="Times New Roman" w:eastAsia="仿宋_GB2312" w:cs="Times New Roman"/>
          <w:b w:val="0"/>
          <w:bCs/>
          <w:color w:val="000000"/>
          <w:sz w:val="32"/>
          <w:szCs w:val="32"/>
          <w:highlight w:val="none"/>
          <w:lang w:val="en-US" w:eastAsia="zh-CN"/>
        </w:rPr>
        <w:t>标小麦941公斤。开展政策性粮食储备定期巡查、夏粮、秋粮收购等监督检查11次、部门联合执法2次。2024年无粮食流通储备领域投诉举报，辖区内未发生地方储备粮重大储粮事故、亏库和质量安全等问题；</w:t>
      </w:r>
      <w:r>
        <w:rPr>
          <w:rFonts w:hint="default" w:ascii="Times New Roman" w:hAnsi="Times New Roman" w:eastAsia="仿宋_GB2312" w:cs="Times New Roman"/>
          <w:b/>
          <w:bCs w:val="0"/>
          <w:color w:val="000000"/>
          <w:sz w:val="32"/>
          <w:szCs w:val="32"/>
          <w:highlight w:val="none"/>
          <w:lang w:val="en-US" w:eastAsia="zh-CN"/>
        </w:rPr>
        <w:t>四是</w:t>
      </w:r>
      <w:r>
        <w:rPr>
          <w:rFonts w:hint="default" w:ascii="Times New Roman" w:hAnsi="Times New Roman" w:eastAsia="仿宋_GB2312" w:cs="Times New Roman"/>
          <w:b w:val="0"/>
          <w:bCs/>
          <w:color w:val="000000"/>
          <w:sz w:val="32"/>
          <w:szCs w:val="32"/>
          <w:lang w:val="en-US" w:eastAsia="zh-CN"/>
        </w:rPr>
        <w:t>完成《广元市昭化区碳达峰碳中和实施方案》编印，推进昭化区“十五五”碳达峰碳中和背景下的绿色转型路径、昭化区“十五五”时期构建多能互补新能源建设体系等课题研究编制。完成新能源充电桩项目，11月底已建成投运，新增景区公共充电桩52个、智慧小区85个。积极争取60兆瓦鲁丽生物质热电联产项目纳入省级规划并通过核准；</w:t>
      </w:r>
      <w:r>
        <w:rPr>
          <w:rFonts w:hint="default" w:ascii="Times New Roman" w:hAnsi="Times New Roman" w:eastAsia="仿宋_GB2312" w:cs="Times New Roman"/>
          <w:b/>
          <w:bCs/>
          <w:color w:val="auto"/>
          <w:sz w:val="32"/>
          <w:szCs w:val="32"/>
          <w:highlight w:val="none"/>
          <w:lang w:val="en-US" w:eastAsia="zh-CN"/>
        </w:rPr>
        <w:t>五是</w:t>
      </w:r>
      <w:r>
        <w:rPr>
          <w:rFonts w:hint="default" w:ascii="Times New Roman" w:hAnsi="Times New Roman" w:eastAsia="仿宋_GB2312" w:cs="Times New Roman"/>
          <w:b w:val="0"/>
          <w:bCs w:val="0"/>
          <w:kern w:val="2"/>
          <w:sz w:val="32"/>
          <w:szCs w:val="32"/>
          <w:lang w:val="en-US" w:eastAsia="zh-CN" w:bidi="ar-SA"/>
        </w:rPr>
        <w:t>在农业农村基础设施领域实施以</w:t>
      </w:r>
      <w:r>
        <w:rPr>
          <w:rFonts w:hint="default" w:ascii="Times New Roman" w:hAnsi="Times New Roman" w:eastAsia="仿宋_GB2312" w:cs="Times New Roman"/>
          <w:kern w:val="2"/>
          <w:sz w:val="32"/>
          <w:szCs w:val="32"/>
          <w:lang w:val="en-US" w:eastAsia="zh-CN" w:bidi="ar-SA"/>
        </w:rPr>
        <w:t>工代赈方式项目23个，总投资3807.09万元，</w:t>
      </w:r>
      <w:r>
        <w:rPr>
          <w:rFonts w:hint="default" w:ascii="Times New Roman" w:hAnsi="Times New Roman" w:eastAsia="仿宋_GB2312" w:cs="Times New Roman"/>
          <w:color w:val="auto"/>
          <w:sz w:val="32"/>
          <w:szCs w:val="32"/>
          <w:highlight w:val="none"/>
          <w:lang w:val="en-US" w:eastAsia="zh-CN"/>
        </w:rPr>
        <w:t>累计带动群众约2500余人次实现就业，推广以工代赈方式项目赈济面进一步提高。</w:t>
      </w:r>
      <w:r>
        <w:rPr>
          <w:rFonts w:hint="default" w:ascii="Times New Roman" w:hAnsi="Times New Roman" w:eastAsia="仿宋_GB2312" w:cs="Times New Roman"/>
          <w:kern w:val="2"/>
          <w:sz w:val="32"/>
          <w:szCs w:val="32"/>
          <w:lang w:val="en-US" w:eastAsia="zh-CN" w:bidi="ar-SA"/>
        </w:rPr>
        <w:t>全区74个易地搬迁集中安置点（区）进行全面排查；</w:t>
      </w:r>
      <w:r>
        <w:rPr>
          <w:rFonts w:hint="default" w:ascii="Times New Roman" w:hAnsi="Times New Roman" w:eastAsia="仿宋_GB2312" w:cs="Times New Roman"/>
          <w:b/>
          <w:bCs/>
          <w:kern w:val="2"/>
          <w:sz w:val="32"/>
          <w:szCs w:val="32"/>
          <w:lang w:val="en-US" w:eastAsia="zh-CN" w:bidi="ar-SA"/>
        </w:rPr>
        <w:t>六是</w:t>
      </w:r>
      <w:r>
        <w:rPr>
          <w:rFonts w:hint="default" w:ascii="Times New Roman" w:hAnsi="Times New Roman" w:eastAsia="仿宋_GB2312" w:cs="Times New Roman"/>
          <w:b w:val="0"/>
          <w:bCs w:val="0"/>
          <w:spacing w:val="0"/>
          <w:kern w:val="2"/>
          <w:sz w:val="32"/>
          <w:szCs w:val="32"/>
          <w:highlight w:val="none"/>
          <w:lang w:val="en-US" w:eastAsia="zh-CN" w:bidi="ar-SA"/>
        </w:rPr>
        <w:t>完成2024年中央财政衔接资金以工代赈项目（卫子镇狮子村）扫尾工作，加快清水镇2024年以工代赈示范工程和柏林沟镇2024年以工代赈示范工程建设进度，确保按时完工。</w:t>
      </w:r>
    </w:p>
    <w:p w14:paraId="2FF1690D">
      <w:pPr>
        <w:keepNext w:val="0"/>
        <w:keepLines w:val="0"/>
        <w:pageBreakBefore w:val="0"/>
        <w:widowControl w:val="0"/>
        <w:kinsoku/>
        <w:wordWrap/>
        <w:overflowPunct w:val="0"/>
        <w:topLinePunct/>
        <w:autoSpaceDE w:val="0"/>
        <w:autoSpaceDN w:val="0"/>
        <w:bidi w:val="0"/>
        <w:spacing w:before="0" w:after="0" w:line="576" w:lineRule="exact"/>
        <w:ind w:firstLine="640" w:firstLineChars="200"/>
        <w:textAlignment w:val="auto"/>
        <w:outlineLvl w:val="9"/>
        <w:rPr>
          <w:rStyle w:val="32"/>
          <w:rFonts w:hint="default" w:ascii="Times New Roman" w:hAnsi="Times New Roman" w:cs="Times New Roman"/>
          <w:b w:val="0"/>
          <w:bCs w:val="0"/>
          <w:color w:val="auto"/>
          <w:sz w:val="32"/>
          <w:szCs w:val="32"/>
          <w:highlight w:val="none"/>
        </w:rPr>
      </w:pPr>
      <w:r>
        <w:rPr>
          <w:rFonts w:hint="default" w:ascii="Times New Roman" w:hAnsi="Times New Roman" w:eastAsia="黑体" w:cs="Times New Roman"/>
          <w:b w:val="0"/>
          <w:color w:val="auto"/>
          <w:sz w:val="32"/>
          <w:szCs w:val="32"/>
          <w:highlight w:val="none"/>
        </w:rPr>
        <w:t>二、机</w:t>
      </w:r>
      <w:r>
        <w:rPr>
          <w:rStyle w:val="32"/>
          <w:rFonts w:hint="default" w:ascii="Times New Roman" w:hAnsi="Times New Roman" w:eastAsia="黑体" w:cs="Times New Roman"/>
          <w:b w:val="0"/>
          <w:bCs w:val="0"/>
          <w:color w:val="auto"/>
          <w:sz w:val="32"/>
          <w:szCs w:val="32"/>
          <w:highlight w:val="none"/>
        </w:rPr>
        <w:t>构设置</w:t>
      </w:r>
      <w:bookmarkEnd w:id="8"/>
      <w:bookmarkEnd w:id="9"/>
    </w:p>
    <w:p w14:paraId="184BBB94">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kern w:val="2"/>
          <w:sz w:val="32"/>
          <w:szCs w:val="24"/>
        </w:rPr>
      </w:pPr>
      <w:bookmarkStart w:id="10" w:name="_Toc15396602"/>
      <w:bookmarkStart w:id="11" w:name="_Toc15377204"/>
      <w:r>
        <w:rPr>
          <w:rFonts w:hint="default" w:ascii="Times New Roman" w:hAnsi="Times New Roman" w:eastAsia="仿宋_GB2312" w:cs="Times New Roman"/>
          <w:kern w:val="2"/>
          <w:sz w:val="32"/>
          <w:szCs w:val="24"/>
        </w:rPr>
        <w:t>广元市昭化区发展和改革局属于一级预算单位，无下属二级预算单位，下设独立编制机构0个，其中行政机构0个，参照公务员法管理的事业机构0个，其他事业机构0个。</w:t>
      </w:r>
    </w:p>
    <w:p w14:paraId="1F61D612">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p>
    <w:p w14:paraId="25302D5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第二部分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2024年度</w:t>
      </w:r>
      <w:r>
        <w:rPr>
          <w:rFonts w:hint="default" w:ascii="Times New Roman" w:hAnsi="Times New Roman" w:eastAsia="方正小标宋简体" w:cs="Times New Roman"/>
          <w:color w:val="auto"/>
          <w:sz w:val="44"/>
          <w:szCs w:val="44"/>
          <w:highlight w:val="none"/>
        </w:rPr>
        <w:t>部门决算情况说明</w:t>
      </w:r>
      <w:bookmarkEnd w:id="10"/>
      <w:bookmarkEnd w:id="11"/>
    </w:p>
    <w:p w14:paraId="49C34A8C">
      <w:pPr>
        <w:pStyle w:val="7"/>
        <w:keepNext w:val="0"/>
        <w:keepLines w:val="0"/>
        <w:pageBreakBefore w:val="0"/>
        <w:widowControl w:val="0"/>
        <w:kinsoku/>
        <w:wordWrap/>
        <w:overflowPunct w:val="0"/>
        <w:topLinePunct/>
        <w:autoSpaceDE w:val="0"/>
        <w:autoSpaceDN w:val="0"/>
        <w:bidi w:val="0"/>
        <w:textAlignment w:val="auto"/>
        <w:rPr>
          <w:rFonts w:hint="default" w:ascii="Times New Roman" w:hAnsi="Times New Roman" w:cs="Times New Roman"/>
        </w:rPr>
      </w:pPr>
    </w:p>
    <w:p w14:paraId="6E1912FE">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default" w:ascii="Times New Roman" w:hAnsi="Times New Roman" w:eastAsia="黑体" w:cs="Times New Roman"/>
          <w:b w:val="0"/>
          <w:color w:val="auto"/>
          <w:sz w:val="32"/>
          <w:szCs w:val="32"/>
          <w:highlight w:val="none"/>
        </w:rPr>
      </w:pPr>
      <w:bookmarkStart w:id="12" w:name="_Toc15396603"/>
      <w:bookmarkStart w:id="13"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2"/>
          <w:rFonts w:hint="default" w:ascii="Times New Roman" w:hAnsi="Times New Roman" w:eastAsia="黑体" w:cs="Times New Roman"/>
          <w:b w:val="0"/>
          <w:color w:val="auto"/>
          <w:sz w:val="32"/>
          <w:szCs w:val="32"/>
          <w:highlight w:val="none"/>
        </w:rPr>
        <w:t>入支出决算总体情况说明</w:t>
      </w:r>
      <w:bookmarkEnd w:id="12"/>
      <w:bookmarkEnd w:id="13"/>
    </w:p>
    <w:p w14:paraId="7592D050">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bookmarkStart w:id="14" w:name="_Toc15377206"/>
      <w:bookmarkStart w:id="15" w:name="_Toc15396604"/>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年度收、支总计均为</w:t>
      </w:r>
      <w:r>
        <w:rPr>
          <w:rFonts w:hint="default" w:ascii="Times New Roman" w:hAnsi="Times New Roman" w:eastAsia="仿宋_GB2312" w:cs="Times New Roman"/>
          <w:color w:val="000000"/>
          <w:kern w:val="2"/>
          <w:sz w:val="32"/>
          <w:szCs w:val="24"/>
          <w:lang w:val="en-US" w:eastAsia="zh-CN"/>
        </w:rPr>
        <w:t>15198.61</w:t>
      </w:r>
      <w:r>
        <w:rPr>
          <w:rFonts w:hint="default" w:ascii="Times New Roman" w:hAnsi="Times New Roman" w:eastAsia="仿宋_GB2312" w:cs="Times New Roman"/>
          <w:color w:val="000000"/>
          <w:kern w:val="2"/>
          <w:sz w:val="32"/>
          <w:szCs w:val="24"/>
          <w:lang w:val="en-US"/>
        </w:rPr>
        <w:t>万元。与202</w:t>
      </w:r>
      <w:r>
        <w:rPr>
          <w:rFonts w:hint="default" w:ascii="Times New Roman" w:hAnsi="Times New Roman"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相比，收、支总计各增加</w:t>
      </w:r>
      <w:r>
        <w:rPr>
          <w:rFonts w:hint="default" w:ascii="Times New Roman" w:hAnsi="Times New Roman" w:eastAsia="仿宋_GB2312" w:cs="Times New Roman"/>
          <w:color w:val="000000"/>
          <w:kern w:val="2"/>
          <w:sz w:val="32"/>
          <w:szCs w:val="24"/>
          <w:lang w:val="en-US" w:eastAsia="zh-CN"/>
        </w:rPr>
        <w:t>8730</w:t>
      </w:r>
      <w:r>
        <w:rPr>
          <w:rFonts w:hint="default" w:ascii="Times New Roman" w:hAnsi="Times New Roman" w:eastAsia="仿宋_GB2312" w:cs="Times New Roman"/>
          <w:color w:val="000000"/>
          <w:kern w:val="2"/>
          <w:sz w:val="32"/>
          <w:szCs w:val="24"/>
          <w:lang w:val="en-US"/>
        </w:rPr>
        <w:t>万元，增长</w:t>
      </w:r>
      <w:r>
        <w:rPr>
          <w:rFonts w:hint="default" w:ascii="Times New Roman" w:hAnsi="Times New Roman" w:eastAsia="仿宋_GB2312" w:cs="Times New Roman"/>
          <w:color w:val="000000"/>
          <w:kern w:val="2"/>
          <w:sz w:val="32"/>
          <w:szCs w:val="24"/>
          <w:lang w:val="en-US" w:eastAsia="zh-CN"/>
        </w:rPr>
        <w:t>57.4</w:t>
      </w:r>
      <w:r>
        <w:rPr>
          <w:rFonts w:hint="default" w:ascii="Times New Roman" w:hAnsi="Times New Roman" w:eastAsia="仿宋_GB2312" w:cs="Times New Roman"/>
          <w:color w:val="000000"/>
          <w:kern w:val="2"/>
          <w:sz w:val="32"/>
          <w:szCs w:val="24"/>
          <w:lang w:val="en-US"/>
        </w:rPr>
        <w:t>%。主要变动原因是</w:t>
      </w:r>
      <w:r>
        <w:rPr>
          <w:rFonts w:hint="default" w:ascii="Times New Roman" w:hAnsi="Times New Roman" w:eastAsia="仿宋_GB2312" w:cs="Times New Roman"/>
          <w:color w:val="000000"/>
          <w:kern w:val="2"/>
          <w:sz w:val="32"/>
          <w:szCs w:val="24"/>
          <w:lang w:val="en-US" w:eastAsia="zh-CN"/>
        </w:rPr>
        <w:t>转移性项目增加</w:t>
      </w:r>
      <w:r>
        <w:rPr>
          <w:rFonts w:hint="default" w:ascii="Times New Roman" w:hAnsi="Times New Roman" w:eastAsia="仿宋_GB2312" w:cs="Times New Roman"/>
          <w:color w:val="000000"/>
          <w:kern w:val="2"/>
          <w:sz w:val="32"/>
          <w:szCs w:val="24"/>
          <w:lang w:val="en-US"/>
        </w:rPr>
        <w:t>。</w:t>
      </w:r>
    </w:p>
    <w:p w14:paraId="043CFDE9">
      <w:pPr>
        <w:keepNext w:val="0"/>
        <w:keepLines w:val="0"/>
        <w:pageBreakBefore w:val="0"/>
        <w:widowControl w:val="0"/>
        <w:kinsoku/>
        <w:wordWrap/>
        <w:overflowPunct w:val="0"/>
        <w:topLinePunct/>
        <w:bidi w:val="0"/>
        <w:snapToGrid/>
        <w:spacing w:beforeLines="0" w:afterLines="0" w:line="576" w:lineRule="exact"/>
        <w:ind w:firstLine="420" w:firstLineChars="200"/>
        <w:jc w:val="both"/>
        <w:textAlignment w:val="auto"/>
      </w:pPr>
      <w:r>
        <w:drawing>
          <wp:anchor distT="0" distB="0" distL="114300" distR="114300" simplePos="0" relativeHeight="251659264" behindDoc="1" locked="0" layoutInCell="1" allowOverlap="1">
            <wp:simplePos x="0" y="0"/>
            <wp:positionH relativeFrom="column">
              <wp:posOffset>723265</wp:posOffset>
            </wp:positionH>
            <wp:positionV relativeFrom="paragraph">
              <wp:posOffset>141605</wp:posOffset>
            </wp:positionV>
            <wp:extent cx="4819650" cy="2743200"/>
            <wp:effectExtent l="4445" t="4445" r="14605" b="14605"/>
            <wp:wrapTight wrapText="bothSides">
              <wp:wrapPolygon>
                <wp:start x="-20" y="-35"/>
                <wp:lineTo x="-20" y="21565"/>
                <wp:lineTo x="21580" y="21565"/>
                <wp:lineTo x="21580" y="-35"/>
                <wp:lineTo x="-20" y="-3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0EC81A5">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二、收入决算情况说明</w:t>
      </w:r>
      <w:bookmarkEnd w:id="14"/>
      <w:bookmarkEnd w:id="15"/>
    </w:p>
    <w:p w14:paraId="181FD18B">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highlight w:val="yellow"/>
          <w:lang w:val="en-US" w:eastAsia="zh-CN"/>
        </w:rPr>
      </w:pPr>
      <w:bookmarkStart w:id="16" w:name="_Toc15377207"/>
      <w:bookmarkStart w:id="17" w:name="_Toc15396605"/>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年本年收入合计</w:t>
      </w:r>
      <w:r>
        <w:rPr>
          <w:rFonts w:hint="default" w:ascii="Times New Roman" w:hAnsi="Times New Roman" w:eastAsia="仿宋_GB2312" w:cs="Times New Roman"/>
          <w:color w:val="000000"/>
          <w:kern w:val="2"/>
          <w:sz w:val="32"/>
          <w:szCs w:val="24"/>
          <w:lang w:val="en-US" w:eastAsia="zh-CN"/>
        </w:rPr>
        <w:t>15198.61</w:t>
      </w:r>
      <w:r>
        <w:rPr>
          <w:rFonts w:hint="default" w:ascii="Times New Roman" w:hAnsi="Times New Roman" w:eastAsia="仿宋_GB2312" w:cs="Times New Roman"/>
          <w:color w:val="000000"/>
          <w:kern w:val="2"/>
          <w:sz w:val="32"/>
          <w:szCs w:val="24"/>
          <w:lang w:val="en-US"/>
        </w:rPr>
        <w:t>万元，其中：一般公共预算财政拨款收入</w:t>
      </w:r>
      <w:r>
        <w:rPr>
          <w:rFonts w:hint="default" w:ascii="Times New Roman" w:hAnsi="Times New Roman" w:eastAsia="仿宋_GB2312" w:cs="Times New Roman"/>
          <w:color w:val="000000"/>
          <w:kern w:val="2"/>
          <w:sz w:val="32"/>
          <w:szCs w:val="24"/>
          <w:lang w:val="en-US" w:eastAsia="zh-CN"/>
        </w:rPr>
        <w:t>7298.61</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48%</w:t>
      </w:r>
      <w:r>
        <w:rPr>
          <w:rFonts w:hint="default" w:ascii="Times New Roman" w:hAnsi="Times New Roman" w:eastAsia="仿宋_GB2312" w:cs="Times New Roman"/>
          <w:color w:val="000000"/>
          <w:kern w:val="2"/>
          <w:sz w:val="32"/>
          <w:szCs w:val="24"/>
          <w:lang w:val="en-US"/>
        </w:rPr>
        <w:t>；政府性基金预算财政拨款收入</w:t>
      </w:r>
      <w:r>
        <w:rPr>
          <w:rFonts w:hint="default" w:ascii="Times New Roman" w:hAnsi="Times New Roman" w:eastAsia="仿宋_GB2312" w:cs="Times New Roman"/>
          <w:color w:val="000000"/>
          <w:kern w:val="2"/>
          <w:sz w:val="32"/>
          <w:szCs w:val="24"/>
          <w:lang w:val="en-US" w:eastAsia="zh-CN"/>
        </w:rPr>
        <w:t>7900</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52</w:t>
      </w:r>
      <w:r>
        <w:rPr>
          <w:rFonts w:hint="default" w:ascii="Times New Roman" w:hAnsi="Times New Roman" w:eastAsia="仿宋_GB2312" w:cs="Times New Roman"/>
          <w:color w:val="000000"/>
          <w:kern w:val="2"/>
          <w:sz w:val="32"/>
          <w:szCs w:val="24"/>
          <w:lang w:val="en-US"/>
        </w:rPr>
        <w:t>%</w:t>
      </w:r>
      <w:r>
        <w:rPr>
          <w:rFonts w:hint="default" w:ascii="Times New Roman" w:hAnsi="Times New Roman" w:eastAsia="仿宋_GB2312" w:cs="Times New Roman"/>
          <w:color w:val="000000"/>
          <w:kern w:val="2"/>
          <w:sz w:val="32"/>
          <w:szCs w:val="24"/>
          <w:lang w:val="en-US" w:eastAsia="zh-CN"/>
        </w:rPr>
        <w:t>。</w:t>
      </w:r>
    </w:p>
    <w:p w14:paraId="664DB5E2">
      <w:pPr>
        <w:keepNext w:val="0"/>
        <w:keepLines w:val="0"/>
        <w:pageBreakBefore w:val="0"/>
        <w:widowControl w:val="0"/>
        <w:kinsoku/>
        <w:wordWrap/>
        <w:overflowPunct w:val="0"/>
        <w:topLinePunct/>
        <w:bidi w:val="0"/>
        <w:snapToGrid/>
        <w:spacing w:beforeLines="0" w:afterLines="0" w:line="576" w:lineRule="exact"/>
        <w:ind w:firstLine="420" w:firstLineChars="200"/>
        <w:jc w:val="both"/>
        <w:textAlignment w:val="auto"/>
        <w:rPr>
          <w:rFonts w:hint="default" w:ascii="Times New Roman" w:hAnsi="Times New Roman" w:eastAsia="仿宋_GB2312" w:cs="Times New Roman"/>
          <w:color w:val="000000"/>
          <w:kern w:val="2"/>
          <w:sz w:val="32"/>
          <w:szCs w:val="24"/>
          <w:lang w:val="en-US" w:eastAsia="zh-CN"/>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544195</wp:posOffset>
            </wp:positionH>
            <wp:positionV relativeFrom="paragraph">
              <wp:posOffset>210820</wp:posOffset>
            </wp:positionV>
            <wp:extent cx="4819650" cy="2571750"/>
            <wp:effectExtent l="4445" t="4445" r="14605" b="14605"/>
            <wp:wrapTight wrapText="bothSides">
              <wp:wrapPolygon>
                <wp:start x="-20" y="-37"/>
                <wp:lineTo x="-20" y="21563"/>
                <wp:lineTo x="21580" y="21563"/>
                <wp:lineTo x="21580" y="-37"/>
                <wp:lineTo x="-20" y="-37"/>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4FD6DB7">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p>
    <w:p w14:paraId="22BC7B05">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p>
    <w:p w14:paraId="11B9A306">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p>
    <w:p w14:paraId="2A4F8E1A">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p>
    <w:p w14:paraId="243EAA2B">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p>
    <w:p w14:paraId="40397577">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p>
    <w:p w14:paraId="63D97FBB">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2"/>
          <w:rFonts w:hint="default" w:ascii="Times New Roman" w:hAnsi="Times New Roman" w:eastAsia="黑体" w:cs="Times New Roman"/>
          <w:b w:val="0"/>
          <w:color w:val="auto"/>
          <w:sz w:val="32"/>
          <w:szCs w:val="32"/>
          <w:highlight w:val="none"/>
        </w:rPr>
        <w:t>出决算情况说明</w:t>
      </w:r>
      <w:bookmarkEnd w:id="16"/>
      <w:bookmarkEnd w:id="17"/>
    </w:p>
    <w:p w14:paraId="187826AF">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bookmarkStart w:id="18" w:name="_Toc15396606"/>
      <w:bookmarkStart w:id="19" w:name="_Toc15377208"/>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年本年支出合计</w:t>
      </w:r>
      <w:r>
        <w:rPr>
          <w:rFonts w:hint="default" w:ascii="Times New Roman" w:hAnsi="Times New Roman" w:eastAsia="仿宋_GB2312" w:cs="Times New Roman"/>
          <w:color w:val="000000"/>
          <w:kern w:val="2"/>
          <w:sz w:val="32"/>
          <w:szCs w:val="24"/>
          <w:lang w:val="en-US" w:eastAsia="zh-CN"/>
        </w:rPr>
        <w:t>15198.61</w:t>
      </w:r>
      <w:r>
        <w:rPr>
          <w:rFonts w:hint="default" w:ascii="Times New Roman" w:hAnsi="Times New Roman" w:eastAsia="仿宋_GB2312" w:cs="Times New Roman"/>
          <w:color w:val="000000"/>
          <w:kern w:val="2"/>
          <w:sz w:val="32"/>
          <w:szCs w:val="24"/>
          <w:lang w:val="en-US"/>
        </w:rPr>
        <w:t>万元，其中：基本支出</w:t>
      </w:r>
      <w:r>
        <w:rPr>
          <w:rFonts w:hint="default" w:ascii="Times New Roman" w:hAnsi="Times New Roman" w:eastAsia="仿宋_GB2312" w:cs="Times New Roman"/>
          <w:color w:val="000000"/>
          <w:kern w:val="2"/>
          <w:sz w:val="32"/>
          <w:szCs w:val="24"/>
          <w:lang w:val="en-US" w:eastAsia="zh-CN"/>
        </w:rPr>
        <w:t>1016.83</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6.7</w:t>
      </w:r>
      <w:r>
        <w:rPr>
          <w:rFonts w:hint="default" w:ascii="Times New Roman" w:hAnsi="Times New Roman" w:eastAsia="仿宋_GB2312" w:cs="Times New Roman"/>
          <w:color w:val="000000"/>
          <w:kern w:val="2"/>
          <w:sz w:val="32"/>
          <w:szCs w:val="24"/>
          <w:lang w:val="en-US"/>
        </w:rPr>
        <w:t>%；项目支出</w:t>
      </w:r>
      <w:r>
        <w:rPr>
          <w:rFonts w:hint="default" w:ascii="Times New Roman" w:hAnsi="Times New Roman" w:eastAsia="仿宋_GB2312" w:cs="Times New Roman"/>
          <w:color w:val="000000"/>
          <w:kern w:val="2"/>
          <w:sz w:val="32"/>
          <w:szCs w:val="24"/>
          <w:lang w:val="en-US" w:eastAsia="zh-CN"/>
        </w:rPr>
        <w:t>14181.78</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93.3</w:t>
      </w:r>
      <w:r>
        <w:rPr>
          <w:rFonts w:hint="default" w:ascii="Times New Roman" w:hAnsi="Times New Roman" w:eastAsia="仿宋_GB2312" w:cs="Times New Roman"/>
          <w:color w:val="000000"/>
          <w:kern w:val="2"/>
          <w:sz w:val="32"/>
          <w:szCs w:val="24"/>
          <w:lang w:val="en-US"/>
        </w:rPr>
        <w:t>%</w:t>
      </w:r>
      <w:r>
        <w:rPr>
          <w:rFonts w:hint="default" w:ascii="Times New Roman" w:hAnsi="Times New Roman" w:eastAsia="仿宋_GB2312" w:cs="Times New Roman"/>
          <w:color w:val="000000"/>
          <w:kern w:val="2"/>
          <w:sz w:val="32"/>
          <w:szCs w:val="24"/>
          <w:lang w:val="en-US" w:eastAsia="zh-CN"/>
        </w:rPr>
        <w:t>。</w:t>
      </w:r>
    </w:p>
    <w:p w14:paraId="170CD8E2">
      <w:pPr>
        <w:keepNext w:val="0"/>
        <w:keepLines w:val="0"/>
        <w:pageBreakBefore w:val="0"/>
        <w:widowControl w:val="0"/>
        <w:kinsoku/>
        <w:wordWrap/>
        <w:overflowPunct w:val="0"/>
        <w:topLinePunct/>
        <w:bidi w:val="0"/>
        <w:snapToGrid/>
        <w:spacing w:beforeLines="0" w:afterLines="0" w:line="576" w:lineRule="exact"/>
        <w:ind w:firstLine="420" w:firstLineChars="200"/>
        <w:jc w:val="both"/>
        <w:textAlignment w:val="auto"/>
        <w:rPr>
          <w:rFonts w:hint="default" w:ascii="Times New Roman" w:hAnsi="Times New Roman" w:eastAsia="仿宋_GB2312" w:cs="Times New Roman"/>
          <w:color w:val="FF0000"/>
          <w:kern w:val="2"/>
          <w:sz w:val="32"/>
          <w:szCs w:val="24"/>
          <w:lang w:val="en-US"/>
        </w:rPr>
      </w:pPr>
      <w:r>
        <w:rPr>
          <w:rFonts w:hint="default" w:ascii="Times New Roman" w:hAnsi="Times New Roman" w:cs="Times New Roman"/>
        </w:rPr>
        <w:drawing>
          <wp:anchor distT="0" distB="0" distL="114300" distR="114300" simplePos="0" relativeHeight="251661312" behindDoc="1" locked="0" layoutInCell="1" allowOverlap="1">
            <wp:simplePos x="0" y="0"/>
            <wp:positionH relativeFrom="column">
              <wp:posOffset>208915</wp:posOffset>
            </wp:positionH>
            <wp:positionV relativeFrom="paragraph">
              <wp:posOffset>78105</wp:posOffset>
            </wp:positionV>
            <wp:extent cx="4819650" cy="2743200"/>
            <wp:effectExtent l="4445" t="4445" r="14605" b="14605"/>
            <wp:wrapTight wrapText="bothSides">
              <wp:wrapPolygon>
                <wp:start x="-20" y="-35"/>
                <wp:lineTo x="-20" y="21565"/>
                <wp:lineTo x="21580" y="21565"/>
                <wp:lineTo x="21580" y="-35"/>
                <wp:lineTo x="-20" y="-35"/>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B2CE45D">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黑体" w:cs="Times New Roman"/>
          <w:color w:val="000000"/>
          <w:kern w:val="2"/>
          <w:sz w:val="32"/>
          <w:szCs w:val="24"/>
          <w:lang w:val="en-US"/>
        </w:rPr>
      </w:pPr>
    </w:p>
    <w:p w14:paraId="437F4B0B">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黑体" w:cs="Times New Roman"/>
          <w:color w:val="000000"/>
          <w:kern w:val="2"/>
          <w:sz w:val="32"/>
          <w:szCs w:val="24"/>
          <w:lang w:val="en-US"/>
        </w:rPr>
      </w:pPr>
    </w:p>
    <w:p w14:paraId="4E7528B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32"/>
          <w:szCs w:val="32"/>
          <w:highlight w:val="none"/>
        </w:rPr>
        <w:t>四、财</w:t>
      </w:r>
      <w:r>
        <w:rPr>
          <w:rStyle w:val="32"/>
          <w:rFonts w:hint="default" w:ascii="Times New Roman" w:hAnsi="Times New Roman" w:eastAsia="黑体" w:cs="Times New Roman"/>
          <w:b w:val="0"/>
          <w:color w:val="auto"/>
          <w:sz w:val="32"/>
          <w:szCs w:val="32"/>
          <w:highlight w:val="none"/>
        </w:rPr>
        <w:t>政拨款收入支出决算总体情况说明</w:t>
      </w:r>
      <w:bookmarkEnd w:id="18"/>
      <w:bookmarkEnd w:id="19"/>
    </w:p>
    <w:p w14:paraId="1D8932CF">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eastAsia="zh-CN"/>
        </w:rPr>
      </w:pPr>
      <w:bookmarkStart w:id="20" w:name="_Toc15396607"/>
      <w:bookmarkStart w:id="21" w:name="_Toc15377209"/>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财政拨款收、支总计均为</w:t>
      </w:r>
      <w:r>
        <w:rPr>
          <w:rFonts w:hint="default" w:ascii="Times New Roman" w:hAnsi="Times New Roman" w:eastAsia="仿宋_GB2312" w:cs="Times New Roman"/>
          <w:color w:val="000000"/>
          <w:kern w:val="2"/>
          <w:sz w:val="32"/>
          <w:szCs w:val="24"/>
          <w:lang w:val="en-US" w:eastAsia="zh-CN"/>
        </w:rPr>
        <w:t>15198.61</w:t>
      </w:r>
      <w:r>
        <w:rPr>
          <w:rFonts w:hint="default" w:ascii="Times New Roman" w:hAnsi="Times New Roman" w:eastAsia="仿宋_GB2312" w:cs="Times New Roman"/>
          <w:color w:val="000000"/>
          <w:kern w:val="2"/>
          <w:sz w:val="32"/>
          <w:szCs w:val="24"/>
          <w:lang w:val="en-US"/>
        </w:rPr>
        <w:t>万元。与202</w:t>
      </w:r>
      <w:r>
        <w:rPr>
          <w:rFonts w:hint="default" w:ascii="Times New Roman" w:hAnsi="Times New Roman"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相比，财政拨款收、支总计各增加</w:t>
      </w:r>
      <w:r>
        <w:rPr>
          <w:rFonts w:hint="default" w:ascii="Times New Roman" w:hAnsi="Times New Roman" w:eastAsia="仿宋_GB2312" w:cs="Times New Roman"/>
          <w:color w:val="000000"/>
          <w:kern w:val="2"/>
          <w:sz w:val="32"/>
          <w:szCs w:val="24"/>
          <w:lang w:val="en-US" w:eastAsia="zh-CN"/>
        </w:rPr>
        <w:t>9730</w:t>
      </w:r>
      <w:r>
        <w:rPr>
          <w:rFonts w:hint="default" w:ascii="Times New Roman" w:hAnsi="Times New Roman" w:eastAsia="仿宋_GB2312" w:cs="Times New Roman"/>
          <w:color w:val="000000"/>
          <w:kern w:val="2"/>
          <w:sz w:val="32"/>
          <w:szCs w:val="24"/>
          <w:lang w:val="en-US"/>
        </w:rPr>
        <w:t>万元，增长</w:t>
      </w:r>
      <w:r>
        <w:rPr>
          <w:rFonts w:hint="default" w:ascii="Times New Roman" w:hAnsi="Times New Roman" w:eastAsia="仿宋_GB2312" w:cs="Times New Roman"/>
          <w:color w:val="000000"/>
          <w:kern w:val="2"/>
          <w:sz w:val="32"/>
          <w:szCs w:val="24"/>
          <w:lang w:val="en-US" w:eastAsia="zh-CN"/>
        </w:rPr>
        <w:t>57.4</w:t>
      </w:r>
      <w:r>
        <w:rPr>
          <w:rFonts w:hint="default" w:ascii="Times New Roman" w:hAnsi="Times New Roman" w:eastAsia="仿宋_GB2312" w:cs="Times New Roman"/>
          <w:color w:val="000000"/>
          <w:kern w:val="2"/>
          <w:sz w:val="32"/>
          <w:szCs w:val="24"/>
          <w:lang w:val="en-US"/>
        </w:rPr>
        <w:t>%。主要变动原因是</w:t>
      </w:r>
      <w:r>
        <w:rPr>
          <w:rFonts w:hint="default" w:ascii="Times New Roman" w:hAnsi="Times New Roman" w:eastAsia="仿宋_GB2312" w:cs="Times New Roman"/>
          <w:color w:val="000000"/>
          <w:kern w:val="2"/>
          <w:sz w:val="32"/>
          <w:szCs w:val="24"/>
          <w:lang w:val="en-US" w:eastAsia="zh-CN"/>
        </w:rPr>
        <w:t>转移性项目增加。</w:t>
      </w:r>
    </w:p>
    <w:p w14:paraId="56BF4F1C">
      <w:pPr>
        <w:keepNext w:val="0"/>
        <w:keepLines w:val="0"/>
        <w:pageBreakBefore w:val="0"/>
        <w:widowControl w:val="0"/>
        <w:kinsoku/>
        <w:wordWrap/>
        <w:overflowPunct w:val="0"/>
        <w:topLinePunct/>
        <w:bidi w:val="0"/>
        <w:snapToGrid/>
        <w:spacing w:beforeLines="0" w:afterLines="0" w:line="576" w:lineRule="exact"/>
        <w:ind w:firstLine="420" w:firstLineChars="200"/>
        <w:jc w:val="both"/>
        <w:textAlignment w:val="auto"/>
        <w:rPr>
          <w:rFonts w:hint="default" w:ascii="Times New Roman" w:hAnsi="Times New Roman" w:eastAsia="黑体" w:cs="Times New Roman"/>
          <w:color w:val="000000"/>
          <w:kern w:val="2"/>
          <w:sz w:val="32"/>
          <w:szCs w:val="24"/>
          <w:lang w:val="en-US"/>
        </w:rPr>
      </w:pPr>
      <w:r>
        <w:rPr>
          <w:rFonts w:hint="default" w:ascii="Times New Roman" w:hAnsi="Times New Roman" w:cs="Times New Roman"/>
        </w:rPr>
        <w:drawing>
          <wp:anchor distT="0" distB="0" distL="114300" distR="114300" simplePos="0" relativeHeight="251662336" behindDoc="1" locked="0" layoutInCell="1" allowOverlap="1">
            <wp:simplePos x="0" y="0"/>
            <wp:positionH relativeFrom="column">
              <wp:posOffset>258445</wp:posOffset>
            </wp:positionH>
            <wp:positionV relativeFrom="paragraph">
              <wp:posOffset>114300</wp:posOffset>
            </wp:positionV>
            <wp:extent cx="4819650" cy="2743200"/>
            <wp:effectExtent l="4445" t="4445" r="14605" b="14605"/>
            <wp:wrapTight wrapText="bothSides">
              <wp:wrapPolygon>
                <wp:start x="-20" y="-35"/>
                <wp:lineTo x="-20" y="21565"/>
                <wp:lineTo x="21580" y="21565"/>
                <wp:lineTo x="21580" y="-35"/>
                <wp:lineTo x="-20" y="-35"/>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A248A34">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黑体" w:cs="Times New Roman"/>
          <w:color w:val="000000"/>
          <w:kern w:val="2"/>
          <w:sz w:val="32"/>
          <w:szCs w:val="24"/>
          <w:lang w:val="en-US"/>
        </w:rPr>
      </w:pPr>
    </w:p>
    <w:p w14:paraId="0CCFEFE1">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黑体" w:cs="Times New Roman"/>
          <w:color w:val="000000"/>
          <w:kern w:val="2"/>
          <w:sz w:val="32"/>
          <w:szCs w:val="24"/>
          <w:lang w:val="en-US"/>
        </w:rPr>
      </w:pPr>
    </w:p>
    <w:p w14:paraId="0D5776CA">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黑体" w:cs="Times New Roman"/>
          <w:color w:val="000000"/>
          <w:kern w:val="2"/>
          <w:sz w:val="32"/>
          <w:szCs w:val="24"/>
          <w:lang w:val="en-US"/>
        </w:rPr>
      </w:pPr>
    </w:p>
    <w:p w14:paraId="28116889">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黑体" w:cs="Times New Roman"/>
          <w:color w:val="000000"/>
          <w:kern w:val="2"/>
          <w:sz w:val="32"/>
          <w:szCs w:val="24"/>
          <w:lang w:val="en-US"/>
        </w:rPr>
      </w:pPr>
    </w:p>
    <w:p w14:paraId="3E51EE95">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黑体" w:cs="Times New Roman"/>
          <w:color w:val="000000"/>
          <w:kern w:val="2"/>
          <w:sz w:val="32"/>
          <w:szCs w:val="24"/>
          <w:lang w:val="en-US"/>
        </w:rPr>
      </w:pPr>
    </w:p>
    <w:p w14:paraId="1E128A2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sz w:val="32"/>
          <w:szCs w:val="32"/>
          <w:highlight w:val="none"/>
        </w:rPr>
        <w:t>般公共预算财政拨款支出决算情况说明</w:t>
      </w:r>
      <w:bookmarkEnd w:id="20"/>
      <w:bookmarkEnd w:id="21"/>
    </w:p>
    <w:p w14:paraId="4E9C659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bookmarkStart w:id="22"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2"/>
    </w:p>
    <w:p w14:paraId="1C29B3C4">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bookmarkStart w:id="23" w:name="_Toc15377211"/>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一般公共预算财政拨款支出</w:t>
      </w:r>
      <w:r>
        <w:rPr>
          <w:rFonts w:hint="default" w:ascii="Times New Roman" w:hAnsi="Times New Roman" w:eastAsia="仿宋_GB2312" w:cs="Times New Roman"/>
          <w:color w:val="000000"/>
          <w:kern w:val="2"/>
          <w:sz w:val="32"/>
          <w:szCs w:val="24"/>
          <w:lang w:val="en-US" w:eastAsia="zh-CN"/>
        </w:rPr>
        <w:t>7298.61</w:t>
      </w:r>
      <w:r>
        <w:rPr>
          <w:rFonts w:hint="default" w:ascii="Times New Roman" w:hAnsi="Times New Roman" w:eastAsia="仿宋_GB2312" w:cs="Times New Roman"/>
          <w:color w:val="000000"/>
          <w:kern w:val="2"/>
          <w:sz w:val="32"/>
          <w:szCs w:val="24"/>
          <w:lang w:val="en-US"/>
        </w:rPr>
        <w:t>万元，占本年支出合计的</w:t>
      </w:r>
      <w:r>
        <w:rPr>
          <w:rFonts w:hint="default" w:ascii="Times New Roman" w:hAnsi="Times New Roman" w:eastAsia="仿宋_GB2312" w:cs="Times New Roman"/>
          <w:color w:val="000000"/>
          <w:kern w:val="2"/>
          <w:sz w:val="32"/>
          <w:szCs w:val="24"/>
          <w:lang w:val="en-US" w:eastAsia="zh-CN"/>
        </w:rPr>
        <w:t>48</w:t>
      </w:r>
      <w:r>
        <w:rPr>
          <w:rFonts w:hint="default" w:ascii="Times New Roman" w:hAnsi="Times New Roman" w:eastAsia="仿宋_GB2312" w:cs="Times New Roman"/>
          <w:color w:val="000000"/>
          <w:kern w:val="2"/>
          <w:sz w:val="32"/>
          <w:szCs w:val="24"/>
          <w:lang w:val="en-US"/>
        </w:rPr>
        <w:t>%。与202</w:t>
      </w:r>
      <w:r>
        <w:rPr>
          <w:rFonts w:hint="default" w:ascii="Times New Roman" w:hAnsi="Times New Roman"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相比，一般公共预算财政拨款支出增加</w:t>
      </w:r>
      <w:r>
        <w:rPr>
          <w:rFonts w:hint="default" w:ascii="Times New Roman" w:hAnsi="Times New Roman" w:eastAsia="仿宋_GB2312" w:cs="Times New Roman"/>
          <w:color w:val="000000"/>
          <w:kern w:val="2"/>
          <w:sz w:val="32"/>
          <w:szCs w:val="24"/>
          <w:lang w:val="en-US" w:eastAsia="zh-CN"/>
        </w:rPr>
        <w:t>930</w:t>
      </w:r>
      <w:r>
        <w:rPr>
          <w:rFonts w:hint="default" w:ascii="Times New Roman" w:hAnsi="Times New Roman" w:eastAsia="仿宋_GB2312" w:cs="Times New Roman"/>
          <w:color w:val="000000"/>
          <w:kern w:val="2"/>
          <w:sz w:val="32"/>
          <w:szCs w:val="24"/>
          <w:lang w:val="en-US"/>
        </w:rPr>
        <w:t>万元，增长</w:t>
      </w:r>
      <w:r>
        <w:rPr>
          <w:rFonts w:hint="default" w:ascii="Times New Roman" w:hAnsi="Times New Roman" w:eastAsia="仿宋_GB2312" w:cs="Times New Roman"/>
          <w:color w:val="000000"/>
          <w:kern w:val="2"/>
          <w:sz w:val="32"/>
          <w:szCs w:val="24"/>
          <w:lang w:val="en-US" w:eastAsia="zh-CN"/>
        </w:rPr>
        <w:t>14.6</w:t>
      </w:r>
      <w:r>
        <w:rPr>
          <w:rFonts w:hint="default" w:ascii="Times New Roman" w:hAnsi="Times New Roman" w:eastAsia="仿宋_GB2312" w:cs="Times New Roman"/>
          <w:color w:val="000000"/>
          <w:kern w:val="2"/>
          <w:sz w:val="32"/>
          <w:szCs w:val="24"/>
          <w:lang w:val="en-US"/>
        </w:rPr>
        <w:t>%。主要变动原因是</w:t>
      </w:r>
      <w:r>
        <w:rPr>
          <w:rFonts w:hint="default" w:ascii="Times New Roman" w:hAnsi="Times New Roman" w:eastAsia="仿宋_GB2312" w:cs="Times New Roman"/>
          <w:color w:val="000000"/>
          <w:kern w:val="2"/>
          <w:sz w:val="32"/>
          <w:szCs w:val="24"/>
          <w:lang w:val="en-US" w:eastAsia="zh-CN"/>
        </w:rPr>
        <w:t>转移性项目增加</w:t>
      </w:r>
      <w:r>
        <w:rPr>
          <w:rFonts w:hint="default" w:ascii="Times New Roman" w:hAnsi="Times New Roman" w:eastAsia="仿宋_GB2312" w:cs="Times New Roman"/>
          <w:color w:val="000000"/>
          <w:kern w:val="2"/>
          <w:sz w:val="32"/>
          <w:szCs w:val="24"/>
          <w:lang w:val="en-US"/>
        </w:rPr>
        <w:t>。</w:t>
      </w:r>
    </w:p>
    <w:p w14:paraId="3ECED46A">
      <w:pPr>
        <w:keepNext w:val="0"/>
        <w:keepLines w:val="0"/>
        <w:pageBreakBefore w:val="0"/>
        <w:widowControl w:val="0"/>
        <w:kinsoku/>
        <w:wordWrap/>
        <w:overflowPunct w:val="0"/>
        <w:topLinePunct/>
        <w:bidi w:val="0"/>
        <w:snapToGrid/>
        <w:spacing w:beforeLines="0" w:afterLines="0" w:line="576" w:lineRule="exact"/>
        <w:ind w:firstLine="420" w:firstLineChars="200"/>
        <w:jc w:val="both"/>
        <w:textAlignment w:val="auto"/>
        <w:rPr>
          <w:rFonts w:hint="default" w:ascii="Times New Roman" w:hAnsi="Times New Roman" w:eastAsia="仿宋_GB2312" w:cs="Times New Roman"/>
          <w:b/>
          <w:color w:val="000000"/>
          <w:kern w:val="2"/>
          <w:sz w:val="32"/>
          <w:szCs w:val="24"/>
          <w:lang w:val="en-US"/>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column">
              <wp:posOffset>655320</wp:posOffset>
            </wp:positionH>
            <wp:positionV relativeFrom="paragraph">
              <wp:posOffset>18415</wp:posOffset>
            </wp:positionV>
            <wp:extent cx="4819650" cy="2743200"/>
            <wp:effectExtent l="4445" t="4445" r="14605" b="14605"/>
            <wp:wrapTight wrapText="bothSides">
              <wp:wrapPolygon>
                <wp:start x="-20" y="-35"/>
                <wp:lineTo x="-20" y="21565"/>
                <wp:lineTo x="21580" y="21565"/>
                <wp:lineTo x="21580" y="-35"/>
                <wp:lineTo x="-20" y="-35"/>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717B49F">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lang w:val="en-US"/>
        </w:rPr>
      </w:pPr>
    </w:p>
    <w:p w14:paraId="0BE3F499">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lang w:val="en-US"/>
        </w:rPr>
      </w:pPr>
    </w:p>
    <w:p w14:paraId="6C42322B">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lang w:val="en-US"/>
        </w:rPr>
      </w:pPr>
    </w:p>
    <w:p w14:paraId="74932A34">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b/>
          <w:color w:val="000000"/>
          <w:kern w:val="2"/>
          <w:sz w:val="32"/>
          <w:szCs w:val="24"/>
          <w:lang w:val="en-US"/>
        </w:rPr>
      </w:pPr>
    </w:p>
    <w:p w14:paraId="41C688D2">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23"/>
    </w:p>
    <w:p w14:paraId="1604A9BE">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b/>
          <w:color w:val="000000"/>
          <w:kern w:val="2"/>
          <w:sz w:val="32"/>
          <w:szCs w:val="24"/>
          <w:lang w:val="en-US"/>
        </w:rPr>
      </w:pPr>
      <w:bookmarkStart w:id="24" w:name="_Toc15377212"/>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一般公共预算财政拨款支出</w:t>
      </w:r>
      <w:r>
        <w:rPr>
          <w:rFonts w:hint="default" w:ascii="Times New Roman" w:hAnsi="Times New Roman" w:eastAsia="仿宋_GB2312" w:cs="Times New Roman"/>
          <w:color w:val="000000"/>
          <w:kern w:val="2"/>
          <w:sz w:val="32"/>
          <w:szCs w:val="24"/>
          <w:lang w:val="en-US" w:eastAsia="zh-CN"/>
        </w:rPr>
        <w:t>7298.61</w:t>
      </w:r>
      <w:r>
        <w:rPr>
          <w:rFonts w:hint="default" w:ascii="Times New Roman" w:hAnsi="Times New Roman" w:eastAsia="仿宋_GB2312" w:cs="Times New Roman"/>
          <w:color w:val="000000"/>
          <w:kern w:val="2"/>
          <w:sz w:val="32"/>
          <w:szCs w:val="24"/>
          <w:lang w:val="en-US"/>
        </w:rPr>
        <w:t>万元，主要用于以下方面: 一般公共服务支出</w:t>
      </w:r>
      <w:r>
        <w:rPr>
          <w:rFonts w:hint="default" w:ascii="Times New Roman" w:hAnsi="Times New Roman" w:eastAsia="仿宋_GB2312" w:cs="Times New Roman"/>
          <w:color w:val="000000"/>
          <w:kern w:val="2"/>
          <w:sz w:val="32"/>
          <w:szCs w:val="24"/>
          <w:lang w:val="en-US" w:eastAsia="zh-CN"/>
        </w:rPr>
        <w:t>1169.33</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16</w:t>
      </w:r>
      <w:r>
        <w:rPr>
          <w:rFonts w:hint="default" w:ascii="Times New Roman" w:hAnsi="Times New Roman" w:eastAsia="仿宋_GB2312" w:cs="Times New Roman"/>
          <w:color w:val="000000"/>
          <w:kern w:val="2"/>
          <w:sz w:val="32"/>
          <w:szCs w:val="24"/>
          <w:lang w:val="en-US"/>
        </w:rPr>
        <w:t>%；文化</w:t>
      </w:r>
      <w:r>
        <w:rPr>
          <w:rFonts w:hint="default" w:ascii="Times New Roman" w:hAnsi="Times New Roman" w:eastAsia="仿宋_GB2312" w:cs="Times New Roman"/>
          <w:color w:val="000000"/>
          <w:kern w:val="2"/>
          <w:sz w:val="32"/>
          <w:szCs w:val="24"/>
          <w:lang w:val="en-US" w:eastAsia="zh-CN"/>
        </w:rPr>
        <w:t>旅游</w:t>
      </w:r>
      <w:r>
        <w:rPr>
          <w:rFonts w:hint="default" w:ascii="Times New Roman" w:hAnsi="Times New Roman" w:eastAsia="仿宋_GB2312" w:cs="Times New Roman"/>
          <w:color w:val="000000"/>
          <w:kern w:val="2"/>
          <w:sz w:val="32"/>
          <w:szCs w:val="24"/>
          <w:lang w:val="en-US"/>
        </w:rPr>
        <w:t>体育与传媒支出</w:t>
      </w:r>
      <w:r>
        <w:rPr>
          <w:rFonts w:hint="default" w:ascii="Times New Roman" w:hAnsi="Times New Roman" w:eastAsia="仿宋_GB2312" w:cs="Times New Roman"/>
          <w:color w:val="000000"/>
          <w:kern w:val="2"/>
          <w:sz w:val="32"/>
          <w:szCs w:val="24"/>
          <w:lang w:val="en-US" w:eastAsia="zh-CN"/>
        </w:rPr>
        <w:t>997</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13.7</w:t>
      </w:r>
      <w:r>
        <w:rPr>
          <w:rFonts w:hint="default" w:ascii="Times New Roman" w:hAnsi="Times New Roman" w:eastAsia="仿宋_GB2312" w:cs="Times New Roman"/>
          <w:color w:val="000000"/>
          <w:kern w:val="2"/>
          <w:sz w:val="32"/>
          <w:szCs w:val="24"/>
          <w:lang w:val="en-US"/>
        </w:rPr>
        <w:t>%；社会保障和就业支出</w:t>
      </w:r>
      <w:r>
        <w:rPr>
          <w:rFonts w:hint="default" w:ascii="Times New Roman" w:hAnsi="Times New Roman" w:eastAsia="仿宋_GB2312" w:cs="Times New Roman"/>
          <w:color w:val="000000"/>
          <w:kern w:val="2"/>
          <w:sz w:val="32"/>
          <w:szCs w:val="24"/>
          <w:lang w:val="en-US" w:eastAsia="zh-CN"/>
        </w:rPr>
        <w:t>123.42</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1.7</w:t>
      </w:r>
      <w:r>
        <w:rPr>
          <w:rFonts w:hint="default" w:ascii="Times New Roman" w:hAnsi="Times New Roman" w:eastAsia="仿宋_GB2312" w:cs="Times New Roman"/>
          <w:color w:val="000000"/>
          <w:kern w:val="2"/>
          <w:sz w:val="32"/>
          <w:szCs w:val="24"/>
          <w:lang w:val="en-US"/>
        </w:rPr>
        <w:t>%；卫生健康支出</w:t>
      </w:r>
      <w:r>
        <w:rPr>
          <w:rFonts w:hint="default" w:ascii="Times New Roman" w:hAnsi="Times New Roman" w:eastAsia="仿宋_GB2312" w:cs="Times New Roman"/>
          <w:color w:val="000000"/>
          <w:kern w:val="2"/>
          <w:sz w:val="32"/>
          <w:szCs w:val="24"/>
          <w:lang w:val="en-US" w:eastAsia="zh-CN"/>
        </w:rPr>
        <w:t>691.98</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9.5</w:t>
      </w:r>
      <w:r>
        <w:rPr>
          <w:rFonts w:hint="default" w:ascii="Times New Roman" w:hAnsi="Times New Roman" w:eastAsia="仿宋_GB2312" w:cs="Times New Roman"/>
          <w:color w:val="000000"/>
          <w:kern w:val="2"/>
          <w:sz w:val="32"/>
          <w:szCs w:val="24"/>
          <w:lang w:val="en-US"/>
        </w:rPr>
        <w:t>%；节能环保支出</w:t>
      </w:r>
      <w:r>
        <w:rPr>
          <w:rFonts w:hint="default" w:ascii="Times New Roman" w:hAnsi="Times New Roman" w:eastAsia="仿宋_GB2312" w:cs="Times New Roman"/>
          <w:color w:val="000000"/>
          <w:kern w:val="2"/>
          <w:sz w:val="32"/>
          <w:szCs w:val="24"/>
          <w:lang w:val="en-US" w:eastAsia="zh-CN"/>
        </w:rPr>
        <w:t>14</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0.2</w:t>
      </w:r>
      <w:r>
        <w:rPr>
          <w:rFonts w:hint="default" w:ascii="Times New Roman" w:hAnsi="Times New Roman" w:eastAsia="仿宋_GB2312" w:cs="Times New Roman"/>
          <w:color w:val="000000"/>
          <w:kern w:val="2"/>
          <w:sz w:val="32"/>
          <w:szCs w:val="24"/>
          <w:lang w:val="en-US"/>
        </w:rPr>
        <w:t>%；城乡社区支出</w:t>
      </w:r>
      <w:r>
        <w:rPr>
          <w:rFonts w:hint="default" w:ascii="Times New Roman" w:hAnsi="Times New Roman" w:eastAsia="仿宋_GB2312" w:cs="Times New Roman"/>
          <w:color w:val="000000"/>
          <w:kern w:val="2"/>
          <w:sz w:val="32"/>
          <w:szCs w:val="24"/>
          <w:lang w:val="en-US" w:eastAsia="zh-CN"/>
        </w:rPr>
        <w:t>145</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2</w:t>
      </w:r>
      <w:r>
        <w:rPr>
          <w:rFonts w:hint="default" w:ascii="Times New Roman" w:hAnsi="Times New Roman" w:eastAsia="仿宋_GB2312" w:cs="Times New Roman"/>
          <w:color w:val="000000"/>
          <w:kern w:val="2"/>
          <w:sz w:val="32"/>
          <w:szCs w:val="24"/>
          <w:lang w:val="en-US"/>
        </w:rPr>
        <w:t>%；农林水支出</w:t>
      </w:r>
      <w:r>
        <w:rPr>
          <w:rFonts w:hint="default" w:ascii="Times New Roman" w:hAnsi="Times New Roman" w:eastAsia="仿宋_GB2312" w:cs="Times New Roman"/>
          <w:color w:val="000000"/>
          <w:kern w:val="2"/>
          <w:sz w:val="32"/>
          <w:szCs w:val="24"/>
          <w:lang w:val="en-US" w:eastAsia="zh-CN"/>
        </w:rPr>
        <w:t>2988</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41</w:t>
      </w:r>
      <w:r>
        <w:rPr>
          <w:rFonts w:hint="default" w:ascii="Times New Roman" w:hAnsi="Times New Roman" w:eastAsia="仿宋_GB2312" w:cs="Times New Roman"/>
          <w:color w:val="000000"/>
          <w:kern w:val="2"/>
          <w:sz w:val="32"/>
          <w:szCs w:val="24"/>
          <w:lang w:val="en-US"/>
        </w:rPr>
        <w:t>%；住房保障支出</w:t>
      </w:r>
      <w:r>
        <w:rPr>
          <w:rFonts w:hint="default" w:ascii="Times New Roman" w:hAnsi="Times New Roman" w:eastAsia="仿宋_GB2312" w:cs="Times New Roman"/>
          <w:color w:val="000000"/>
          <w:kern w:val="2"/>
          <w:sz w:val="32"/>
          <w:szCs w:val="24"/>
          <w:lang w:val="en-US" w:eastAsia="zh-CN"/>
        </w:rPr>
        <w:t>50.1</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0.7</w:t>
      </w:r>
      <w:r>
        <w:rPr>
          <w:rFonts w:hint="default" w:ascii="Times New Roman" w:hAnsi="Times New Roman" w:eastAsia="仿宋_GB2312" w:cs="Times New Roman"/>
          <w:color w:val="000000"/>
          <w:kern w:val="2"/>
          <w:sz w:val="32"/>
          <w:szCs w:val="24"/>
          <w:lang w:val="en-US"/>
        </w:rPr>
        <w:t>%；粮油物资储备支出</w:t>
      </w:r>
      <w:r>
        <w:rPr>
          <w:rFonts w:hint="default" w:ascii="Times New Roman" w:hAnsi="Times New Roman" w:eastAsia="仿宋_GB2312" w:cs="Times New Roman"/>
          <w:color w:val="000000"/>
          <w:kern w:val="2"/>
          <w:sz w:val="32"/>
          <w:szCs w:val="24"/>
          <w:lang w:val="en-US" w:eastAsia="zh-CN"/>
        </w:rPr>
        <w:t>1119.78</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15.3</w:t>
      </w:r>
      <w:r>
        <w:rPr>
          <w:rFonts w:hint="default" w:ascii="Times New Roman" w:hAnsi="Times New Roman" w:eastAsia="仿宋_GB2312" w:cs="Times New Roman"/>
          <w:color w:val="000000"/>
          <w:kern w:val="2"/>
          <w:sz w:val="32"/>
          <w:szCs w:val="24"/>
          <w:lang w:val="en-US"/>
        </w:rPr>
        <w:t>%。</w:t>
      </w:r>
    </w:p>
    <w:p w14:paraId="545F6593">
      <w:pPr>
        <w:keepNext w:val="0"/>
        <w:keepLines w:val="0"/>
        <w:pageBreakBefore w:val="0"/>
        <w:widowControl w:val="0"/>
        <w:kinsoku/>
        <w:wordWrap/>
        <w:overflowPunct w:val="0"/>
        <w:topLinePunct/>
        <w:bidi w:val="0"/>
        <w:snapToGrid/>
        <w:spacing w:beforeLines="0" w:afterLines="0" w:line="576" w:lineRule="exact"/>
        <w:ind w:firstLine="420" w:firstLineChars="200"/>
        <w:jc w:val="both"/>
        <w:textAlignment w:val="auto"/>
        <w:rPr>
          <w:rFonts w:hint="eastAsia" w:ascii="仿宋_GB2312" w:hAnsi="仿宋_GB2312" w:eastAsia="仿宋_GB2312"/>
          <w:b/>
          <w:color w:val="000000"/>
          <w:kern w:val="2"/>
          <w:sz w:val="32"/>
          <w:szCs w:val="24"/>
          <w:lang w:val="en-US"/>
        </w:rPr>
      </w:pPr>
      <w:r>
        <w:drawing>
          <wp:anchor distT="0" distB="0" distL="114300" distR="114300" simplePos="0" relativeHeight="251664384" behindDoc="1" locked="0" layoutInCell="1" allowOverlap="1">
            <wp:simplePos x="0" y="0"/>
            <wp:positionH relativeFrom="column">
              <wp:posOffset>325755</wp:posOffset>
            </wp:positionH>
            <wp:positionV relativeFrom="paragraph">
              <wp:posOffset>191135</wp:posOffset>
            </wp:positionV>
            <wp:extent cx="4857750" cy="2762250"/>
            <wp:effectExtent l="4445" t="4445" r="14605" b="14605"/>
            <wp:wrapTight wrapText="bothSides">
              <wp:wrapPolygon>
                <wp:start x="-20" y="-35"/>
                <wp:lineTo x="-20" y="21565"/>
                <wp:lineTo x="21580" y="21565"/>
                <wp:lineTo x="21580" y="-35"/>
                <wp:lineTo x="-20" y="-35"/>
              </wp:wrapPolygon>
            </wp:wrapTight>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F2D210D">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43691D6E">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3F446E94">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5E2CE711">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0040DF6A">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3BF2ED65">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31027C74">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5504795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24"/>
    </w:p>
    <w:p w14:paraId="462C607D">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bookmarkStart w:id="25" w:name="_Toc15396608"/>
      <w:bookmarkStart w:id="26" w:name="_Toc15377214"/>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一般公共预算支出全年预算数为</w:t>
      </w:r>
      <w:r>
        <w:rPr>
          <w:rFonts w:hint="default" w:ascii="Times New Roman" w:hAnsi="Times New Roman" w:eastAsia="仿宋_GB2312" w:cs="Times New Roman"/>
          <w:color w:val="000000"/>
          <w:kern w:val="2"/>
          <w:sz w:val="32"/>
          <w:szCs w:val="24"/>
          <w:lang w:val="en-US" w:eastAsia="zh-CN"/>
        </w:rPr>
        <w:t>7298.61</w:t>
      </w:r>
      <w:r>
        <w:rPr>
          <w:rFonts w:hint="default" w:ascii="Times New Roman" w:hAnsi="Times New Roman" w:eastAsia="仿宋_GB2312" w:cs="Times New Roman"/>
          <w:color w:val="000000"/>
          <w:kern w:val="2"/>
          <w:sz w:val="32"/>
          <w:szCs w:val="24"/>
          <w:lang w:val="en-US"/>
        </w:rPr>
        <w:t>万元，支出决算数为</w:t>
      </w:r>
      <w:r>
        <w:rPr>
          <w:rFonts w:hint="default" w:ascii="Times New Roman" w:hAnsi="Times New Roman" w:eastAsia="仿宋_GB2312" w:cs="Times New Roman"/>
          <w:color w:val="000000"/>
          <w:kern w:val="2"/>
          <w:sz w:val="32"/>
          <w:szCs w:val="24"/>
          <w:lang w:val="en-US" w:eastAsia="zh-CN"/>
        </w:rPr>
        <w:t>7298.61</w:t>
      </w:r>
      <w:r>
        <w:rPr>
          <w:rFonts w:hint="default" w:ascii="Times New Roman" w:hAnsi="Times New Roman" w:eastAsia="仿宋_GB2312" w:cs="Times New Roman"/>
          <w:color w:val="000000"/>
          <w:kern w:val="2"/>
          <w:sz w:val="32"/>
          <w:szCs w:val="24"/>
          <w:lang w:val="en-US"/>
        </w:rPr>
        <w:t>万元，完成全年预算数的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%。其中：</w:t>
      </w:r>
    </w:p>
    <w:p w14:paraId="3624B0DA">
      <w:pPr>
        <w:keepNext w:val="0"/>
        <w:keepLines w:val="0"/>
        <w:pageBreakBefore w:val="0"/>
        <w:widowControl w:val="0"/>
        <w:numPr>
          <w:ilvl w:val="0"/>
          <w:numId w:val="2"/>
        </w:numPr>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rPr>
        <w:t>一般公共服务支出（类）</w:t>
      </w:r>
      <w:r>
        <w:rPr>
          <w:rFonts w:hint="default" w:ascii="Times New Roman" w:hAnsi="Times New Roman" w:eastAsia="仿宋_GB2312" w:cs="Times New Roman"/>
          <w:b/>
          <w:color w:val="000000"/>
          <w:kern w:val="2"/>
          <w:sz w:val="32"/>
          <w:szCs w:val="24"/>
          <w:lang w:val="en-US" w:eastAsia="zh-CN"/>
        </w:rPr>
        <w:t>发展与改革事务（</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行政运行</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581.84</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581.54</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6C629745">
      <w:pPr>
        <w:keepNext w:val="0"/>
        <w:keepLines w:val="0"/>
        <w:pageBreakBefore w:val="0"/>
        <w:widowControl w:val="0"/>
        <w:numPr>
          <w:ilvl w:val="0"/>
          <w:numId w:val="0"/>
        </w:numPr>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2.</w:t>
      </w:r>
      <w:r>
        <w:rPr>
          <w:rFonts w:hint="default" w:ascii="Times New Roman" w:hAnsi="Times New Roman" w:eastAsia="仿宋_GB2312" w:cs="Times New Roman"/>
          <w:b/>
          <w:color w:val="000000"/>
          <w:kern w:val="2"/>
          <w:sz w:val="32"/>
          <w:szCs w:val="24"/>
          <w:lang w:val="en-US"/>
        </w:rPr>
        <w:t>一般公共服务支出（类）</w:t>
      </w:r>
      <w:r>
        <w:rPr>
          <w:rFonts w:hint="default" w:ascii="Times New Roman" w:hAnsi="Times New Roman" w:eastAsia="仿宋_GB2312" w:cs="Times New Roman"/>
          <w:b/>
          <w:color w:val="000000"/>
          <w:kern w:val="2"/>
          <w:sz w:val="32"/>
          <w:szCs w:val="24"/>
        </w:rPr>
        <w:t>发展与改革事务（款）事业运行（项）</w:t>
      </w:r>
      <w:r>
        <w:rPr>
          <w:rFonts w:hint="default" w:ascii="Times New Roman" w:hAnsi="Times New Roman" w:eastAsia="仿宋_GB2312" w:cs="Times New Roman"/>
          <w:b/>
          <w:color w:val="000000"/>
          <w:kern w:val="2"/>
          <w:sz w:val="32"/>
          <w:szCs w:val="24"/>
          <w:lang w:eastAsia="zh-CN"/>
        </w:rPr>
        <w:t>：</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237.49万元，</w:t>
      </w:r>
      <w:r>
        <w:rPr>
          <w:rFonts w:hint="default" w:ascii="Times New Roman" w:hAnsi="Times New Roman" w:eastAsia="仿宋_GB2312" w:cs="Times New Roman"/>
          <w:color w:val="000000"/>
          <w:kern w:val="2"/>
          <w:sz w:val="32"/>
          <w:szCs w:val="24"/>
          <w:lang w:val="en-US"/>
        </w:rPr>
        <w:t>支出决算为</w:t>
      </w:r>
      <w:r>
        <w:rPr>
          <w:rFonts w:hint="default" w:ascii="Times New Roman" w:hAnsi="Times New Roman" w:eastAsia="仿宋_GB2312" w:cs="Times New Roman"/>
          <w:color w:val="000000"/>
          <w:kern w:val="2"/>
          <w:sz w:val="32"/>
          <w:szCs w:val="24"/>
          <w:lang w:val="en-US" w:eastAsia="zh-CN"/>
        </w:rPr>
        <w:t>237.49</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6F990D21">
      <w:pPr>
        <w:keepNext w:val="0"/>
        <w:keepLines w:val="0"/>
        <w:pageBreakBefore w:val="0"/>
        <w:widowControl w:val="0"/>
        <w:numPr>
          <w:ilvl w:val="0"/>
          <w:numId w:val="0"/>
        </w:numPr>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3.一般公共服务支出（类）发展与改革事务（款）其他发展与改革事务支出（项）:</w:t>
      </w:r>
      <w:r>
        <w:rPr>
          <w:rFonts w:hint="default" w:ascii="Times New Roman" w:hAnsi="Times New Roman" w:eastAsia="仿宋_GB2312" w:cs="Times New Roman"/>
          <w:color w:val="000000"/>
          <w:kern w:val="2"/>
          <w:sz w:val="32"/>
          <w:szCs w:val="24"/>
        </w:rPr>
        <w:t>全年预算为</w:t>
      </w:r>
      <w:r>
        <w:rPr>
          <w:rFonts w:hint="default" w:ascii="Times New Roman" w:hAnsi="Times New Roman" w:eastAsia="仿宋_GB2312" w:cs="Times New Roman"/>
          <w:color w:val="000000"/>
          <w:kern w:val="2"/>
          <w:sz w:val="32"/>
          <w:szCs w:val="24"/>
          <w:lang w:val="en-US" w:eastAsia="zh-CN"/>
        </w:rPr>
        <w:t>350</w:t>
      </w:r>
      <w:r>
        <w:rPr>
          <w:rFonts w:hint="default" w:ascii="Times New Roman" w:hAnsi="Times New Roman" w:eastAsia="仿宋_GB2312" w:cs="Times New Roman"/>
          <w:color w:val="000000"/>
          <w:kern w:val="2"/>
          <w:sz w:val="32"/>
          <w:szCs w:val="24"/>
        </w:rPr>
        <w:t>万元，支出决算为</w:t>
      </w:r>
      <w:r>
        <w:rPr>
          <w:rFonts w:hint="default" w:ascii="Times New Roman" w:hAnsi="Times New Roman" w:eastAsia="仿宋_GB2312" w:cs="Times New Roman"/>
          <w:color w:val="000000"/>
          <w:kern w:val="2"/>
          <w:sz w:val="32"/>
          <w:szCs w:val="24"/>
          <w:lang w:val="en-US" w:eastAsia="zh-CN"/>
        </w:rPr>
        <w:t>350</w:t>
      </w:r>
      <w:r>
        <w:rPr>
          <w:rFonts w:hint="default" w:ascii="Times New Roman" w:hAnsi="Times New Roman" w:eastAsia="仿宋_GB2312" w:cs="Times New Roman"/>
          <w:color w:val="000000"/>
          <w:kern w:val="2"/>
          <w:sz w:val="32"/>
          <w:szCs w:val="24"/>
        </w:rPr>
        <w:t>万元，完成全年预算的100%。</w:t>
      </w:r>
    </w:p>
    <w:p w14:paraId="7CA42331">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4</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文化旅游体育与传媒支出</w:t>
      </w:r>
      <w:r>
        <w:rPr>
          <w:rFonts w:hint="default" w:ascii="Times New Roman" w:hAnsi="Times New Roman" w:eastAsia="仿宋_GB2312" w:cs="Times New Roman"/>
          <w:b/>
          <w:color w:val="000000"/>
          <w:kern w:val="2"/>
          <w:sz w:val="32"/>
          <w:szCs w:val="24"/>
          <w:lang w:val="en-US"/>
        </w:rPr>
        <w:t>（类）</w:t>
      </w:r>
      <w:r>
        <w:rPr>
          <w:rFonts w:hint="default" w:ascii="Times New Roman" w:hAnsi="Times New Roman" w:eastAsia="仿宋_GB2312" w:cs="Times New Roman"/>
          <w:b/>
          <w:color w:val="000000"/>
          <w:kern w:val="2"/>
          <w:sz w:val="32"/>
          <w:szCs w:val="24"/>
          <w:lang w:val="en-US" w:eastAsia="zh-CN"/>
        </w:rPr>
        <w:t>其他文化旅游体育与传媒支出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其他文化旅游体育与传媒支出</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997</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997万</w:t>
      </w:r>
      <w:r>
        <w:rPr>
          <w:rFonts w:hint="default" w:ascii="Times New Roman" w:hAnsi="Times New Roman" w:eastAsia="仿宋_GB2312" w:cs="Times New Roman"/>
          <w:color w:val="000000"/>
          <w:kern w:val="2"/>
          <w:sz w:val="32"/>
          <w:szCs w:val="24"/>
          <w:lang w:val="en-US"/>
        </w:rPr>
        <w:t>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01FBB1C7">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rPr>
        <w:t>5.社会保障和就业支出（类）</w:t>
      </w:r>
      <w:r>
        <w:rPr>
          <w:rFonts w:hint="default" w:ascii="Times New Roman" w:hAnsi="Times New Roman" w:eastAsia="仿宋_GB2312" w:cs="Times New Roman"/>
          <w:b/>
          <w:color w:val="000000"/>
          <w:kern w:val="2"/>
          <w:sz w:val="32"/>
          <w:szCs w:val="24"/>
          <w:lang w:val="en-US" w:eastAsia="zh-CN"/>
        </w:rPr>
        <w:t>行政事业单位养老支出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行政单位离退休</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53.67</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53.67</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0B34A75F">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rPr>
        <w:t>6.社会保障和就业支出（类）</w:t>
      </w:r>
      <w:r>
        <w:rPr>
          <w:rFonts w:hint="default" w:ascii="Times New Roman" w:hAnsi="Times New Roman" w:eastAsia="仿宋_GB2312" w:cs="Times New Roman"/>
          <w:b/>
          <w:color w:val="000000"/>
          <w:kern w:val="2"/>
          <w:sz w:val="32"/>
          <w:szCs w:val="24"/>
          <w:lang w:val="en-US" w:eastAsia="zh-CN"/>
        </w:rPr>
        <w:t>行政事业单位养老支出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机关事业单位基本养老保险缴费支出</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67.33</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67.33</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48B36A65">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7</w:t>
      </w:r>
      <w:r>
        <w:rPr>
          <w:rFonts w:hint="default" w:ascii="Times New Roman" w:hAnsi="Times New Roman" w:eastAsia="仿宋_GB2312" w:cs="Times New Roman"/>
          <w:b/>
          <w:color w:val="000000"/>
          <w:kern w:val="2"/>
          <w:sz w:val="32"/>
          <w:szCs w:val="24"/>
          <w:lang w:val="en-US"/>
        </w:rPr>
        <w:t>.社会保障和就业支出（类）</w:t>
      </w:r>
      <w:r>
        <w:rPr>
          <w:rFonts w:hint="default" w:ascii="Times New Roman" w:hAnsi="Times New Roman" w:eastAsia="仿宋_GB2312" w:cs="Times New Roman"/>
          <w:b/>
          <w:color w:val="000000"/>
          <w:kern w:val="2"/>
          <w:sz w:val="32"/>
          <w:szCs w:val="24"/>
          <w:lang w:val="en-US" w:eastAsia="zh-CN"/>
        </w:rPr>
        <w:t>其他社会保障和就业支出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其他社会保障和就业支出</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2.42</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2.42</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3BBE0B3B">
      <w:pPr>
        <w:pStyle w:val="2"/>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8</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卫生健康</w:t>
      </w:r>
      <w:r>
        <w:rPr>
          <w:rFonts w:hint="default" w:ascii="Times New Roman" w:hAnsi="Times New Roman" w:eastAsia="仿宋_GB2312" w:cs="Times New Roman"/>
          <w:b/>
          <w:color w:val="000000"/>
          <w:kern w:val="2"/>
          <w:sz w:val="32"/>
          <w:szCs w:val="24"/>
          <w:lang w:val="en-US"/>
        </w:rPr>
        <w:t>支出（类）</w:t>
      </w:r>
      <w:r>
        <w:rPr>
          <w:rFonts w:hint="default" w:ascii="Times New Roman" w:hAnsi="Times New Roman" w:eastAsia="仿宋_GB2312" w:cs="Times New Roman"/>
          <w:b/>
          <w:color w:val="000000"/>
          <w:kern w:val="2"/>
          <w:sz w:val="32"/>
          <w:szCs w:val="24"/>
          <w:lang w:val="en-US" w:eastAsia="zh-CN"/>
        </w:rPr>
        <w:t>行政事业单位医疗</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行政单位医疗</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10.88</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10.88</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0A1504A5">
      <w:pPr>
        <w:pStyle w:val="2"/>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9</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卫生健康</w:t>
      </w:r>
      <w:r>
        <w:rPr>
          <w:rFonts w:hint="default" w:ascii="Times New Roman" w:hAnsi="Times New Roman" w:eastAsia="仿宋_GB2312" w:cs="Times New Roman"/>
          <w:b/>
          <w:color w:val="000000"/>
          <w:kern w:val="2"/>
          <w:sz w:val="32"/>
          <w:szCs w:val="24"/>
          <w:lang w:val="en-US"/>
        </w:rPr>
        <w:t>支出（类）</w:t>
      </w:r>
      <w:r>
        <w:rPr>
          <w:rFonts w:hint="default" w:ascii="Times New Roman" w:hAnsi="Times New Roman" w:eastAsia="仿宋_GB2312" w:cs="Times New Roman"/>
          <w:b/>
          <w:color w:val="000000"/>
          <w:kern w:val="2"/>
          <w:sz w:val="32"/>
          <w:szCs w:val="24"/>
          <w:lang w:val="en-US" w:eastAsia="zh-CN"/>
        </w:rPr>
        <w:t>行政事业单位医疗</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事业单位医疗</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13.1</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13.1</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5F0983AB">
      <w:pPr>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10</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卫生健康</w:t>
      </w:r>
      <w:r>
        <w:rPr>
          <w:rFonts w:hint="default" w:ascii="Times New Roman" w:hAnsi="Times New Roman" w:eastAsia="仿宋_GB2312" w:cs="Times New Roman"/>
          <w:b/>
          <w:color w:val="000000"/>
          <w:kern w:val="2"/>
          <w:sz w:val="32"/>
          <w:szCs w:val="24"/>
          <w:lang w:val="en-US"/>
        </w:rPr>
        <w:t>支出（类）</w:t>
      </w:r>
      <w:r>
        <w:rPr>
          <w:rFonts w:hint="default" w:ascii="Times New Roman" w:hAnsi="Times New Roman" w:eastAsia="仿宋_GB2312" w:cs="Times New Roman"/>
          <w:b/>
          <w:color w:val="000000"/>
          <w:kern w:val="2"/>
          <w:sz w:val="32"/>
          <w:szCs w:val="24"/>
          <w:lang w:val="en-US" w:eastAsia="zh-CN"/>
        </w:rPr>
        <w:t>其他卫生健康支出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其他卫生健康支出</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668</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668</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55F64737">
      <w:pPr>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11</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节能环保</w:t>
      </w:r>
      <w:r>
        <w:rPr>
          <w:rFonts w:hint="default" w:ascii="Times New Roman" w:hAnsi="Times New Roman" w:eastAsia="仿宋_GB2312" w:cs="Times New Roman"/>
          <w:b/>
          <w:color w:val="000000"/>
          <w:kern w:val="2"/>
          <w:sz w:val="32"/>
          <w:szCs w:val="24"/>
          <w:lang w:val="en-US"/>
        </w:rPr>
        <w:t>支出（类）</w:t>
      </w:r>
      <w:r>
        <w:rPr>
          <w:rFonts w:hint="default" w:ascii="Times New Roman" w:hAnsi="Times New Roman" w:eastAsia="仿宋_GB2312" w:cs="Times New Roman"/>
          <w:b/>
          <w:color w:val="000000"/>
          <w:kern w:val="2"/>
          <w:sz w:val="32"/>
          <w:szCs w:val="24"/>
          <w:lang w:val="en-US" w:eastAsia="zh-CN"/>
        </w:rPr>
        <w:t>其他节能环保支出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其他节能环保支出</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14</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14</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18C7B09E">
      <w:pPr>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12</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城乡社区</w:t>
      </w:r>
      <w:r>
        <w:rPr>
          <w:rFonts w:hint="default" w:ascii="Times New Roman" w:hAnsi="Times New Roman" w:eastAsia="仿宋_GB2312" w:cs="Times New Roman"/>
          <w:b/>
          <w:color w:val="000000"/>
          <w:kern w:val="2"/>
          <w:sz w:val="32"/>
          <w:szCs w:val="24"/>
          <w:lang w:val="en-US"/>
        </w:rPr>
        <w:t>支出（类）</w:t>
      </w:r>
      <w:r>
        <w:rPr>
          <w:rFonts w:hint="default" w:ascii="Times New Roman" w:hAnsi="Times New Roman" w:eastAsia="仿宋_GB2312" w:cs="Times New Roman"/>
          <w:b/>
          <w:color w:val="000000"/>
          <w:kern w:val="2"/>
          <w:sz w:val="32"/>
          <w:szCs w:val="24"/>
          <w:lang w:val="en-US" w:eastAsia="zh-CN"/>
        </w:rPr>
        <w:t>其他城乡社区支出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其他城乡社区支出</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145</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145</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2878BBCE">
      <w:pPr>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13</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农林水</w:t>
      </w:r>
      <w:r>
        <w:rPr>
          <w:rFonts w:hint="default" w:ascii="Times New Roman" w:hAnsi="Times New Roman" w:eastAsia="仿宋_GB2312" w:cs="Times New Roman"/>
          <w:b/>
          <w:color w:val="000000"/>
          <w:kern w:val="2"/>
          <w:sz w:val="32"/>
          <w:szCs w:val="24"/>
          <w:lang w:val="en-US"/>
        </w:rPr>
        <w:t>支出（类）</w:t>
      </w:r>
      <w:r>
        <w:rPr>
          <w:rFonts w:hint="default" w:ascii="Times New Roman" w:hAnsi="Times New Roman" w:eastAsia="仿宋_GB2312" w:cs="Times New Roman"/>
          <w:b/>
          <w:color w:val="000000"/>
          <w:kern w:val="2"/>
          <w:sz w:val="32"/>
          <w:szCs w:val="24"/>
          <w:lang w:val="en-US" w:eastAsia="zh-CN"/>
        </w:rPr>
        <w:t>巩固脱贫攻坚成活衔接乡村振兴</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其他巩固脱贫攻坚成活衔接乡村振兴</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1588</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1588</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3C1C1DDB">
      <w:pPr>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14</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农林水</w:t>
      </w:r>
      <w:r>
        <w:rPr>
          <w:rFonts w:hint="default" w:ascii="Times New Roman" w:hAnsi="Times New Roman" w:eastAsia="仿宋_GB2312" w:cs="Times New Roman"/>
          <w:b/>
          <w:color w:val="000000"/>
          <w:kern w:val="2"/>
          <w:sz w:val="32"/>
          <w:szCs w:val="24"/>
          <w:lang w:val="en-US"/>
        </w:rPr>
        <w:t>支出（类）</w:t>
      </w:r>
      <w:r>
        <w:rPr>
          <w:rFonts w:hint="default" w:ascii="Times New Roman" w:hAnsi="Times New Roman" w:eastAsia="仿宋_GB2312" w:cs="Times New Roman"/>
          <w:b/>
          <w:color w:val="000000"/>
          <w:kern w:val="2"/>
          <w:sz w:val="32"/>
          <w:szCs w:val="24"/>
          <w:lang w:val="en-US" w:eastAsia="zh-CN"/>
        </w:rPr>
        <w:t>其他农林水支出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其他农林水支出</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1400</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1400</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762516D2">
      <w:pPr>
        <w:keepNext w:val="0"/>
        <w:keepLines w:val="0"/>
        <w:pageBreakBefore w:val="0"/>
        <w:widowControl w:val="0"/>
        <w:kinsoku/>
        <w:wordWrap/>
        <w:bidi w:val="0"/>
        <w:snapToGrid/>
        <w:spacing w:line="576" w:lineRule="exact"/>
        <w:ind w:firstLine="643" w:firstLineChars="200"/>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15</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住房保障支出</w:t>
      </w:r>
      <w:r>
        <w:rPr>
          <w:rFonts w:hint="default" w:ascii="Times New Roman" w:hAnsi="Times New Roman" w:eastAsia="仿宋_GB2312" w:cs="Times New Roman"/>
          <w:b/>
          <w:color w:val="000000"/>
          <w:kern w:val="2"/>
          <w:sz w:val="32"/>
          <w:szCs w:val="24"/>
          <w:lang w:val="en-US"/>
        </w:rPr>
        <w:t>（类）</w:t>
      </w:r>
      <w:r>
        <w:rPr>
          <w:rFonts w:hint="default" w:ascii="Times New Roman" w:hAnsi="Times New Roman" w:eastAsia="仿宋_GB2312" w:cs="Times New Roman"/>
          <w:b/>
          <w:color w:val="000000"/>
          <w:kern w:val="2"/>
          <w:sz w:val="32"/>
          <w:szCs w:val="24"/>
          <w:lang w:val="en-US" w:eastAsia="zh-CN"/>
        </w:rPr>
        <w:t>住房改革支出</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住房公积金</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50.1</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50.10</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70A16E8B">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eastAsia="zh-CN"/>
        </w:rPr>
        <w:t>16</w:t>
      </w:r>
      <w:r>
        <w:rPr>
          <w:rFonts w:hint="default" w:ascii="Times New Roman" w:hAnsi="Times New Roman" w:eastAsia="仿宋_GB2312" w:cs="Times New Roman"/>
          <w:b/>
          <w:color w:val="000000"/>
          <w:kern w:val="2"/>
          <w:sz w:val="32"/>
          <w:szCs w:val="24"/>
          <w:lang w:val="en-US"/>
        </w:rPr>
        <w:t>.</w:t>
      </w:r>
      <w:r>
        <w:rPr>
          <w:rFonts w:hint="default" w:ascii="Times New Roman" w:hAnsi="Times New Roman" w:eastAsia="仿宋_GB2312" w:cs="Times New Roman"/>
          <w:b/>
          <w:color w:val="000000"/>
          <w:kern w:val="2"/>
          <w:sz w:val="32"/>
          <w:szCs w:val="24"/>
          <w:lang w:val="en-US" w:eastAsia="zh-CN"/>
        </w:rPr>
        <w:t>粮油物资储备支出</w:t>
      </w:r>
      <w:r>
        <w:rPr>
          <w:rFonts w:hint="default" w:ascii="Times New Roman" w:hAnsi="Times New Roman" w:eastAsia="仿宋_GB2312" w:cs="Times New Roman"/>
          <w:b/>
          <w:color w:val="000000"/>
          <w:kern w:val="2"/>
          <w:sz w:val="32"/>
          <w:szCs w:val="24"/>
          <w:lang w:val="en-US"/>
        </w:rPr>
        <w:t>（类）</w:t>
      </w:r>
      <w:r>
        <w:rPr>
          <w:rFonts w:hint="default" w:ascii="Times New Roman" w:hAnsi="Times New Roman" w:eastAsia="仿宋_GB2312" w:cs="Times New Roman"/>
          <w:b/>
          <w:color w:val="000000"/>
          <w:kern w:val="2"/>
          <w:sz w:val="32"/>
          <w:szCs w:val="24"/>
          <w:lang w:val="en-US" w:eastAsia="zh-CN"/>
        </w:rPr>
        <w:t>粮油物质事务</w:t>
      </w:r>
      <w:r>
        <w:rPr>
          <w:rFonts w:hint="default" w:ascii="Times New Roman" w:hAnsi="Times New Roman" w:eastAsia="仿宋_GB2312" w:cs="Times New Roman"/>
          <w:b/>
          <w:color w:val="000000"/>
          <w:kern w:val="2"/>
          <w:sz w:val="32"/>
          <w:szCs w:val="24"/>
          <w:lang w:val="en-US"/>
        </w:rPr>
        <w:t>（款）</w:t>
      </w:r>
      <w:r>
        <w:rPr>
          <w:rFonts w:hint="default" w:ascii="Times New Roman" w:hAnsi="Times New Roman" w:eastAsia="仿宋_GB2312" w:cs="Times New Roman"/>
          <w:b/>
          <w:color w:val="000000"/>
          <w:kern w:val="2"/>
          <w:sz w:val="32"/>
          <w:szCs w:val="24"/>
          <w:lang w:val="en-US" w:eastAsia="zh-CN"/>
        </w:rPr>
        <w:t>其他粮油物质事务</w:t>
      </w:r>
      <w:r>
        <w:rPr>
          <w:rFonts w:hint="default" w:ascii="Times New Roman" w:hAnsi="Times New Roman" w:eastAsia="仿宋_GB2312" w:cs="Times New Roman"/>
          <w:b/>
          <w:color w:val="000000"/>
          <w:kern w:val="2"/>
          <w:sz w:val="32"/>
          <w:szCs w:val="24"/>
          <w:lang w:val="en-US"/>
        </w:rPr>
        <w:t>（项）:</w:t>
      </w:r>
      <w:r>
        <w:rPr>
          <w:rFonts w:hint="default" w:ascii="Times New Roman" w:hAnsi="Times New Roman" w:eastAsia="仿宋_GB2312" w:cs="Times New Roman"/>
          <w:color w:val="000000"/>
          <w:kern w:val="2"/>
          <w:sz w:val="32"/>
          <w:szCs w:val="24"/>
          <w:lang w:val="en-US"/>
        </w:rPr>
        <w:t>全年预算为</w:t>
      </w:r>
      <w:r>
        <w:rPr>
          <w:rFonts w:hint="default" w:ascii="Times New Roman" w:hAnsi="Times New Roman" w:eastAsia="仿宋_GB2312" w:cs="Times New Roman"/>
          <w:color w:val="000000"/>
          <w:kern w:val="2"/>
          <w:sz w:val="32"/>
          <w:szCs w:val="24"/>
          <w:lang w:val="en-US" w:eastAsia="zh-CN"/>
        </w:rPr>
        <w:t>1119.78</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1119.78</w:t>
      </w:r>
      <w:r>
        <w:rPr>
          <w:rFonts w:hint="default" w:ascii="Times New Roman" w:hAnsi="Times New Roman" w:eastAsia="仿宋_GB2312" w:cs="Times New Roman"/>
          <w:color w:val="000000"/>
          <w:kern w:val="2"/>
          <w:sz w:val="32"/>
          <w:szCs w:val="24"/>
          <w:lang w:val="en-US"/>
        </w:rPr>
        <w:t>万元，完成全年预算的</w:t>
      </w:r>
      <w:r>
        <w:rPr>
          <w:rFonts w:hint="default" w:ascii="Times New Roman" w:hAnsi="Times New Roman" w:eastAsia="仿宋_GB2312" w:cs="Times New Roman"/>
          <w:color w:val="000000"/>
          <w:kern w:val="2"/>
          <w:sz w:val="32"/>
          <w:szCs w:val="24"/>
          <w:lang w:val="en-US" w:eastAsia="zh-CN"/>
        </w:rPr>
        <w:t>100</w:t>
      </w:r>
      <w:r>
        <w:rPr>
          <w:rFonts w:hint="default" w:ascii="Times New Roman" w:hAnsi="Times New Roman" w:eastAsia="仿宋_GB2312" w:cs="Times New Roman"/>
          <w:color w:val="000000"/>
          <w:kern w:val="2"/>
          <w:sz w:val="32"/>
          <w:szCs w:val="24"/>
          <w:lang w:val="en-US"/>
        </w:rPr>
        <w:t>%。</w:t>
      </w:r>
    </w:p>
    <w:p w14:paraId="4F51BD42">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sz w:val="32"/>
          <w:szCs w:val="32"/>
          <w:highlight w:val="none"/>
        </w:rPr>
        <w:t>般公共预算财政拨款基本支出决算情况说明</w:t>
      </w:r>
      <w:bookmarkEnd w:id="25"/>
      <w:bookmarkEnd w:id="26"/>
      <w:r>
        <w:rPr>
          <w:rStyle w:val="32"/>
          <w:rFonts w:hint="default" w:ascii="Times New Roman" w:hAnsi="Times New Roman" w:eastAsia="黑体" w:cs="Times New Roman"/>
          <w:b w:val="0"/>
          <w:color w:val="auto"/>
          <w:sz w:val="32"/>
          <w:szCs w:val="32"/>
          <w:highlight w:val="none"/>
        </w:rPr>
        <w:tab/>
      </w:r>
    </w:p>
    <w:p w14:paraId="083A5260">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bookmarkStart w:id="27" w:name="_Toc15377215"/>
      <w:bookmarkStart w:id="28" w:name="_Toc15396609"/>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一般公共预算财政拨款基本支出</w:t>
      </w:r>
      <w:r>
        <w:rPr>
          <w:rFonts w:hint="default" w:ascii="Times New Roman" w:hAnsi="Times New Roman" w:eastAsia="仿宋_GB2312" w:cs="Times New Roman"/>
          <w:color w:val="000000"/>
          <w:kern w:val="2"/>
          <w:sz w:val="32"/>
          <w:szCs w:val="24"/>
          <w:lang w:val="en-US" w:eastAsia="zh-CN"/>
        </w:rPr>
        <w:t>1016.83</w:t>
      </w:r>
      <w:r>
        <w:rPr>
          <w:rFonts w:hint="default" w:ascii="Times New Roman" w:hAnsi="Times New Roman" w:eastAsia="仿宋_GB2312" w:cs="Times New Roman"/>
          <w:color w:val="000000"/>
          <w:kern w:val="2"/>
          <w:sz w:val="32"/>
          <w:szCs w:val="24"/>
          <w:lang w:val="en-US"/>
        </w:rPr>
        <w:t>万元，其中：</w:t>
      </w:r>
    </w:p>
    <w:p w14:paraId="6A4A84CE">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rPr>
        <w:t>人员经费</w:t>
      </w:r>
      <w:r>
        <w:rPr>
          <w:rFonts w:hint="default" w:ascii="Times New Roman" w:hAnsi="Times New Roman" w:eastAsia="仿宋_GB2312" w:cs="Times New Roman"/>
          <w:color w:val="000000"/>
          <w:kern w:val="2"/>
          <w:sz w:val="32"/>
          <w:szCs w:val="24"/>
          <w:lang w:val="en-US" w:eastAsia="zh-CN"/>
        </w:rPr>
        <w:t>689.51</w:t>
      </w:r>
      <w:r>
        <w:rPr>
          <w:rFonts w:hint="default" w:ascii="Times New Roman" w:hAnsi="Times New Roman" w:eastAsia="仿宋_GB2312" w:cs="Times New Roman"/>
          <w:color w:val="000000"/>
          <w:kern w:val="2"/>
          <w:sz w:val="32"/>
          <w:szCs w:val="24"/>
          <w:lang w:val="en-US"/>
        </w:rPr>
        <w:t>万元，主要包括：基本工资</w:t>
      </w:r>
      <w:r>
        <w:rPr>
          <w:rFonts w:hint="default" w:ascii="Times New Roman" w:hAnsi="Times New Roman" w:eastAsia="仿宋_GB2312" w:cs="Times New Roman"/>
          <w:color w:val="000000"/>
          <w:kern w:val="2"/>
          <w:sz w:val="32"/>
          <w:szCs w:val="24"/>
          <w:lang w:val="en-US" w:eastAsia="zh-CN"/>
        </w:rPr>
        <w:t>206.25</w:t>
      </w:r>
      <w:r>
        <w:rPr>
          <w:rFonts w:hint="default" w:ascii="Times New Roman" w:hAnsi="Times New Roman" w:eastAsia="仿宋_GB2312" w:cs="Times New Roman"/>
          <w:color w:val="000000"/>
          <w:kern w:val="2"/>
          <w:sz w:val="32"/>
          <w:szCs w:val="24"/>
          <w:lang w:val="en-US"/>
        </w:rPr>
        <w:t>万元、津贴补贴</w:t>
      </w:r>
      <w:r>
        <w:rPr>
          <w:rFonts w:hint="default" w:ascii="Times New Roman" w:hAnsi="Times New Roman" w:eastAsia="仿宋_GB2312" w:cs="Times New Roman"/>
          <w:color w:val="000000"/>
          <w:kern w:val="2"/>
          <w:sz w:val="32"/>
          <w:szCs w:val="24"/>
          <w:lang w:val="en-US" w:eastAsia="zh-CN"/>
        </w:rPr>
        <w:t>50.62</w:t>
      </w:r>
      <w:r>
        <w:rPr>
          <w:rFonts w:hint="default" w:ascii="Times New Roman" w:hAnsi="Times New Roman" w:eastAsia="仿宋_GB2312" w:cs="Times New Roman"/>
          <w:color w:val="000000"/>
          <w:kern w:val="2"/>
          <w:sz w:val="32"/>
          <w:szCs w:val="24"/>
          <w:lang w:val="en-US"/>
        </w:rPr>
        <w:t>万元、奖金</w:t>
      </w:r>
      <w:r>
        <w:rPr>
          <w:rFonts w:hint="default" w:ascii="Times New Roman" w:hAnsi="Times New Roman" w:eastAsia="仿宋_GB2312" w:cs="Times New Roman"/>
          <w:color w:val="000000"/>
          <w:kern w:val="2"/>
          <w:sz w:val="32"/>
          <w:szCs w:val="24"/>
          <w:lang w:val="en-US" w:eastAsia="zh-CN"/>
        </w:rPr>
        <w:t>156.23</w:t>
      </w:r>
      <w:r>
        <w:rPr>
          <w:rFonts w:hint="default" w:ascii="Times New Roman" w:hAnsi="Times New Roman" w:eastAsia="仿宋_GB2312" w:cs="Times New Roman"/>
          <w:color w:val="000000"/>
          <w:kern w:val="2"/>
          <w:sz w:val="32"/>
          <w:szCs w:val="24"/>
          <w:lang w:val="en-US"/>
        </w:rPr>
        <w:t>万元、绩效工资</w:t>
      </w:r>
      <w:r>
        <w:rPr>
          <w:rFonts w:hint="default" w:ascii="Times New Roman" w:hAnsi="Times New Roman" w:eastAsia="仿宋_GB2312" w:cs="Times New Roman"/>
          <w:color w:val="000000"/>
          <w:kern w:val="2"/>
          <w:sz w:val="32"/>
          <w:szCs w:val="24"/>
          <w:lang w:val="en-US" w:eastAsia="zh-CN"/>
        </w:rPr>
        <w:t>69.4</w:t>
      </w:r>
      <w:r>
        <w:rPr>
          <w:rFonts w:hint="default" w:ascii="Times New Roman" w:hAnsi="Times New Roman" w:eastAsia="仿宋_GB2312" w:cs="Times New Roman"/>
          <w:color w:val="000000"/>
          <w:kern w:val="2"/>
          <w:sz w:val="32"/>
          <w:szCs w:val="24"/>
          <w:lang w:val="en-US"/>
        </w:rPr>
        <w:t>万元、机关事业单位基本养老保险缴费</w:t>
      </w:r>
      <w:r>
        <w:rPr>
          <w:rFonts w:hint="default" w:ascii="Times New Roman" w:hAnsi="Times New Roman" w:eastAsia="仿宋_GB2312" w:cs="Times New Roman"/>
          <w:color w:val="000000"/>
          <w:kern w:val="2"/>
          <w:sz w:val="32"/>
          <w:szCs w:val="24"/>
          <w:lang w:val="en-US" w:eastAsia="zh-CN"/>
        </w:rPr>
        <w:t>67.33</w:t>
      </w:r>
      <w:r>
        <w:rPr>
          <w:rFonts w:hint="default" w:ascii="Times New Roman" w:hAnsi="Times New Roman" w:eastAsia="仿宋_GB2312" w:cs="Times New Roman"/>
          <w:color w:val="000000"/>
          <w:kern w:val="2"/>
          <w:sz w:val="32"/>
          <w:szCs w:val="24"/>
          <w:lang w:val="en-US"/>
        </w:rPr>
        <w:t>万元、职工基本医疗保险缴费</w:t>
      </w:r>
      <w:r>
        <w:rPr>
          <w:rFonts w:hint="default" w:ascii="Times New Roman" w:hAnsi="Times New Roman" w:eastAsia="仿宋_GB2312" w:cs="Times New Roman"/>
          <w:color w:val="000000"/>
          <w:kern w:val="2"/>
          <w:sz w:val="32"/>
          <w:szCs w:val="24"/>
          <w:lang w:val="en-US" w:eastAsia="zh-CN"/>
        </w:rPr>
        <w:t>23.98</w:t>
      </w:r>
      <w:r>
        <w:rPr>
          <w:rFonts w:hint="default" w:ascii="Times New Roman" w:hAnsi="Times New Roman" w:eastAsia="仿宋_GB2312" w:cs="Times New Roman"/>
          <w:color w:val="000000"/>
          <w:kern w:val="2"/>
          <w:sz w:val="32"/>
          <w:szCs w:val="24"/>
          <w:lang w:val="en-US"/>
        </w:rPr>
        <w:t>万元、其他社会保障缴费</w:t>
      </w:r>
      <w:r>
        <w:rPr>
          <w:rFonts w:hint="default" w:ascii="Times New Roman" w:hAnsi="Times New Roman" w:eastAsia="仿宋_GB2312" w:cs="Times New Roman"/>
          <w:color w:val="000000"/>
          <w:kern w:val="2"/>
          <w:sz w:val="32"/>
          <w:szCs w:val="24"/>
          <w:lang w:val="en-US" w:eastAsia="zh-CN"/>
        </w:rPr>
        <w:t>2.42</w:t>
      </w:r>
      <w:r>
        <w:rPr>
          <w:rFonts w:hint="default" w:ascii="Times New Roman" w:hAnsi="Times New Roman" w:eastAsia="仿宋_GB2312" w:cs="Times New Roman"/>
          <w:color w:val="000000"/>
          <w:kern w:val="2"/>
          <w:sz w:val="32"/>
          <w:szCs w:val="24"/>
          <w:lang w:val="en-US"/>
        </w:rPr>
        <w:t>万元、住房公积金</w:t>
      </w:r>
      <w:r>
        <w:rPr>
          <w:rFonts w:hint="default" w:ascii="Times New Roman" w:hAnsi="Times New Roman" w:eastAsia="仿宋_GB2312" w:cs="Times New Roman"/>
          <w:color w:val="000000"/>
          <w:kern w:val="2"/>
          <w:sz w:val="32"/>
          <w:szCs w:val="24"/>
          <w:lang w:val="en-US" w:eastAsia="zh-CN"/>
        </w:rPr>
        <w:t>50.1</w:t>
      </w:r>
      <w:r>
        <w:rPr>
          <w:rFonts w:hint="default" w:ascii="Times New Roman" w:hAnsi="Times New Roman" w:eastAsia="仿宋_GB2312" w:cs="Times New Roman"/>
          <w:color w:val="000000"/>
          <w:kern w:val="2"/>
          <w:sz w:val="32"/>
          <w:szCs w:val="24"/>
          <w:lang w:val="en-US"/>
        </w:rPr>
        <w:t>万元、生活补助</w:t>
      </w:r>
      <w:r>
        <w:rPr>
          <w:rFonts w:hint="default" w:ascii="Times New Roman" w:hAnsi="Times New Roman" w:eastAsia="仿宋_GB2312" w:cs="Times New Roman"/>
          <w:color w:val="000000"/>
          <w:kern w:val="2"/>
          <w:sz w:val="32"/>
          <w:szCs w:val="24"/>
          <w:lang w:val="en-US" w:eastAsia="zh-CN"/>
        </w:rPr>
        <w:t>63.17</w:t>
      </w:r>
      <w:r>
        <w:rPr>
          <w:rFonts w:hint="default" w:ascii="Times New Roman" w:hAnsi="Times New Roman" w:eastAsia="仿宋_GB2312" w:cs="Times New Roman"/>
          <w:color w:val="000000"/>
          <w:kern w:val="2"/>
          <w:sz w:val="32"/>
          <w:szCs w:val="24"/>
          <w:lang w:val="en-US"/>
        </w:rPr>
        <w:t>万元。</w:t>
      </w:r>
    </w:p>
    <w:p w14:paraId="303A66DD">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rPr>
        <w:t>公用经费</w:t>
      </w:r>
      <w:r>
        <w:rPr>
          <w:rFonts w:hint="default" w:ascii="Times New Roman" w:hAnsi="Times New Roman" w:eastAsia="仿宋_GB2312" w:cs="Times New Roman"/>
          <w:b/>
          <w:color w:val="000000"/>
          <w:kern w:val="2"/>
          <w:sz w:val="32"/>
          <w:szCs w:val="24"/>
          <w:lang w:val="en-US" w:eastAsia="zh-CN"/>
        </w:rPr>
        <w:t>327.33</w:t>
      </w:r>
      <w:r>
        <w:rPr>
          <w:rFonts w:hint="default" w:ascii="Times New Roman" w:hAnsi="Times New Roman" w:eastAsia="仿宋_GB2312" w:cs="Times New Roman"/>
          <w:color w:val="000000"/>
          <w:kern w:val="2"/>
          <w:sz w:val="32"/>
          <w:szCs w:val="24"/>
          <w:lang w:val="en-US"/>
        </w:rPr>
        <w:t>万元，主要包括：办公费</w:t>
      </w:r>
      <w:r>
        <w:rPr>
          <w:rFonts w:hint="default" w:ascii="Times New Roman" w:hAnsi="Times New Roman" w:eastAsia="仿宋_GB2312" w:cs="Times New Roman"/>
          <w:color w:val="000000"/>
          <w:kern w:val="2"/>
          <w:sz w:val="32"/>
          <w:szCs w:val="24"/>
          <w:lang w:val="en-US" w:eastAsia="zh-CN"/>
        </w:rPr>
        <w:t>153.92</w:t>
      </w:r>
      <w:r>
        <w:rPr>
          <w:rFonts w:hint="default" w:ascii="Times New Roman" w:hAnsi="Times New Roman" w:eastAsia="仿宋_GB2312" w:cs="Times New Roman"/>
          <w:color w:val="000000"/>
          <w:kern w:val="2"/>
          <w:sz w:val="32"/>
          <w:szCs w:val="24"/>
          <w:lang w:val="en-US"/>
        </w:rPr>
        <w:t>万元、印刷费</w:t>
      </w:r>
      <w:r>
        <w:rPr>
          <w:rFonts w:hint="default" w:ascii="Times New Roman" w:hAnsi="Times New Roman" w:eastAsia="仿宋_GB2312" w:cs="Times New Roman"/>
          <w:color w:val="000000"/>
          <w:kern w:val="2"/>
          <w:sz w:val="32"/>
          <w:szCs w:val="24"/>
          <w:lang w:val="en-US" w:eastAsia="zh-CN"/>
        </w:rPr>
        <w:t>61</w:t>
      </w:r>
      <w:r>
        <w:rPr>
          <w:rFonts w:hint="default" w:ascii="Times New Roman" w:hAnsi="Times New Roman" w:eastAsia="仿宋_GB2312" w:cs="Times New Roman"/>
          <w:color w:val="000000"/>
          <w:kern w:val="2"/>
          <w:sz w:val="32"/>
          <w:szCs w:val="24"/>
          <w:lang w:val="en-US"/>
        </w:rPr>
        <w:t>万元、咨询费</w:t>
      </w:r>
      <w:r>
        <w:rPr>
          <w:rFonts w:hint="default" w:ascii="Times New Roman" w:hAnsi="Times New Roman" w:eastAsia="仿宋_GB2312" w:cs="Times New Roman"/>
          <w:color w:val="000000"/>
          <w:kern w:val="2"/>
          <w:sz w:val="32"/>
          <w:szCs w:val="24"/>
          <w:lang w:val="en-US" w:eastAsia="zh-CN"/>
        </w:rPr>
        <w:t>0.4</w:t>
      </w:r>
      <w:r>
        <w:rPr>
          <w:rFonts w:hint="default" w:ascii="Times New Roman" w:hAnsi="Times New Roman" w:eastAsia="仿宋_GB2312" w:cs="Times New Roman"/>
          <w:color w:val="000000"/>
          <w:kern w:val="2"/>
          <w:sz w:val="32"/>
          <w:szCs w:val="24"/>
          <w:lang w:val="en-US"/>
        </w:rPr>
        <w:t>万元、手续费</w:t>
      </w:r>
      <w:r>
        <w:rPr>
          <w:rFonts w:hint="default" w:ascii="Times New Roman" w:hAnsi="Times New Roman" w:eastAsia="仿宋_GB2312" w:cs="Times New Roman"/>
          <w:color w:val="000000"/>
          <w:kern w:val="2"/>
          <w:sz w:val="32"/>
          <w:szCs w:val="24"/>
          <w:lang w:val="en-US" w:eastAsia="zh-CN"/>
        </w:rPr>
        <w:t>0.1</w:t>
      </w:r>
      <w:r>
        <w:rPr>
          <w:rFonts w:hint="default" w:ascii="Times New Roman" w:hAnsi="Times New Roman" w:eastAsia="仿宋_GB2312" w:cs="Times New Roman"/>
          <w:color w:val="000000"/>
          <w:kern w:val="2"/>
          <w:sz w:val="32"/>
          <w:szCs w:val="24"/>
          <w:lang w:val="en-US"/>
        </w:rPr>
        <w:t>万元、水费</w:t>
      </w:r>
      <w:r>
        <w:rPr>
          <w:rFonts w:hint="default" w:ascii="Times New Roman" w:hAnsi="Times New Roman" w:eastAsia="仿宋_GB2312" w:cs="Times New Roman"/>
          <w:color w:val="000000"/>
          <w:kern w:val="2"/>
          <w:sz w:val="32"/>
          <w:szCs w:val="24"/>
          <w:lang w:val="en-US" w:eastAsia="zh-CN"/>
        </w:rPr>
        <w:t>1</w:t>
      </w:r>
      <w:r>
        <w:rPr>
          <w:rFonts w:hint="default" w:ascii="Times New Roman" w:hAnsi="Times New Roman" w:eastAsia="仿宋_GB2312" w:cs="Times New Roman"/>
          <w:color w:val="000000"/>
          <w:kern w:val="2"/>
          <w:sz w:val="32"/>
          <w:szCs w:val="24"/>
          <w:lang w:val="en-US"/>
        </w:rPr>
        <w:t>万元、电费</w:t>
      </w:r>
      <w:r>
        <w:rPr>
          <w:rFonts w:hint="default" w:ascii="Times New Roman" w:hAnsi="Times New Roman" w:eastAsia="仿宋_GB2312" w:cs="Times New Roman"/>
          <w:color w:val="000000"/>
          <w:kern w:val="2"/>
          <w:sz w:val="32"/>
          <w:szCs w:val="24"/>
          <w:lang w:val="en-US" w:eastAsia="zh-CN"/>
        </w:rPr>
        <w:t>3.38</w:t>
      </w:r>
      <w:r>
        <w:rPr>
          <w:rFonts w:hint="default" w:ascii="Times New Roman" w:hAnsi="Times New Roman" w:eastAsia="仿宋_GB2312" w:cs="Times New Roman"/>
          <w:color w:val="000000"/>
          <w:kern w:val="2"/>
          <w:sz w:val="32"/>
          <w:szCs w:val="24"/>
          <w:lang w:val="en-US"/>
        </w:rPr>
        <w:t>万元、邮电费</w:t>
      </w:r>
      <w:r>
        <w:rPr>
          <w:rFonts w:hint="default" w:ascii="Times New Roman" w:hAnsi="Times New Roman" w:eastAsia="仿宋_GB2312" w:cs="Times New Roman"/>
          <w:color w:val="000000"/>
          <w:kern w:val="2"/>
          <w:sz w:val="32"/>
          <w:szCs w:val="24"/>
          <w:lang w:val="en-US" w:eastAsia="zh-CN"/>
        </w:rPr>
        <w:t>8.2</w:t>
      </w:r>
      <w:r>
        <w:rPr>
          <w:rFonts w:hint="default" w:ascii="Times New Roman" w:hAnsi="Times New Roman" w:eastAsia="仿宋_GB2312" w:cs="Times New Roman"/>
          <w:color w:val="000000"/>
          <w:kern w:val="2"/>
          <w:sz w:val="32"/>
          <w:szCs w:val="24"/>
          <w:lang w:val="en-US"/>
        </w:rPr>
        <w:t>万元、物业管理费</w:t>
      </w:r>
      <w:r>
        <w:rPr>
          <w:rFonts w:hint="default" w:ascii="Times New Roman" w:hAnsi="Times New Roman" w:eastAsia="仿宋_GB2312" w:cs="Times New Roman"/>
          <w:color w:val="000000"/>
          <w:kern w:val="2"/>
          <w:sz w:val="32"/>
          <w:szCs w:val="24"/>
          <w:lang w:val="en-US" w:eastAsia="zh-CN"/>
        </w:rPr>
        <w:t>1</w:t>
      </w:r>
      <w:r>
        <w:rPr>
          <w:rFonts w:hint="default" w:ascii="Times New Roman" w:hAnsi="Times New Roman" w:eastAsia="仿宋_GB2312" w:cs="Times New Roman"/>
          <w:color w:val="000000"/>
          <w:kern w:val="2"/>
          <w:sz w:val="32"/>
          <w:szCs w:val="24"/>
          <w:lang w:val="en-US"/>
        </w:rPr>
        <w:t>万元、差旅费</w:t>
      </w:r>
      <w:r>
        <w:rPr>
          <w:rFonts w:hint="default" w:ascii="Times New Roman" w:hAnsi="Times New Roman" w:eastAsia="仿宋_GB2312" w:cs="Times New Roman"/>
          <w:color w:val="000000"/>
          <w:kern w:val="2"/>
          <w:sz w:val="32"/>
          <w:szCs w:val="24"/>
          <w:lang w:val="en-US" w:eastAsia="zh-CN"/>
        </w:rPr>
        <w:t>7.5</w:t>
      </w:r>
      <w:r>
        <w:rPr>
          <w:rFonts w:hint="default" w:ascii="Times New Roman" w:hAnsi="Times New Roman" w:eastAsia="仿宋_GB2312" w:cs="Times New Roman"/>
          <w:color w:val="000000"/>
          <w:kern w:val="2"/>
          <w:sz w:val="32"/>
          <w:szCs w:val="24"/>
          <w:lang w:val="en-US"/>
        </w:rPr>
        <w:t>万元、维修（护）费</w:t>
      </w:r>
      <w:r>
        <w:rPr>
          <w:rFonts w:hint="default" w:ascii="Times New Roman" w:hAnsi="Times New Roman" w:eastAsia="仿宋_GB2312" w:cs="Times New Roman"/>
          <w:color w:val="000000"/>
          <w:kern w:val="2"/>
          <w:sz w:val="32"/>
          <w:szCs w:val="24"/>
          <w:lang w:val="en-US" w:eastAsia="zh-CN"/>
        </w:rPr>
        <w:t>0.5</w:t>
      </w:r>
      <w:r>
        <w:rPr>
          <w:rFonts w:hint="default" w:ascii="Times New Roman" w:hAnsi="Times New Roman" w:eastAsia="仿宋_GB2312" w:cs="Times New Roman"/>
          <w:color w:val="000000"/>
          <w:kern w:val="2"/>
          <w:sz w:val="32"/>
          <w:szCs w:val="24"/>
          <w:lang w:val="en-US"/>
        </w:rPr>
        <w:t>万元、租赁费</w:t>
      </w:r>
      <w:r>
        <w:rPr>
          <w:rFonts w:hint="default" w:ascii="Times New Roman" w:hAnsi="Times New Roman" w:eastAsia="仿宋_GB2312" w:cs="Times New Roman"/>
          <w:color w:val="000000"/>
          <w:kern w:val="2"/>
          <w:sz w:val="32"/>
          <w:szCs w:val="24"/>
          <w:lang w:val="en-US" w:eastAsia="zh-CN"/>
        </w:rPr>
        <w:t>1.1</w:t>
      </w:r>
      <w:r>
        <w:rPr>
          <w:rFonts w:hint="default" w:ascii="Times New Roman" w:hAnsi="Times New Roman" w:eastAsia="仿宋_GB2312" w:cs="Times New Roman"/>
          <w:color w:val="000000"/>
          <w:kern w:val="2"/>
          <w:sz w:val="32"/>
          <w:szCs w:val="24"/>
          <w:lang w:val="en-US"/>
        </w:rPr>
        <w:t>万元、会议费</w:t>
      </w:r>
      <w:r>
        <w:rPr>
          <w:rFonts w:hint="default" w:ascii="Times New Roman" w:hAnsi="Times New Roman" w:eastAsia="仿宋_GB2312" w:cs="Times New Roman"/>
          <w:color w:val="000000"/>
          <w:kern w:val="2"/>
          <w:sz w:val="32"/>
          <w:szCs w:val="24"/>
          <w:lang w:val="en-US" w:eastAsia="zh-CN"/>
        </w:rPr>
        <w:t>11.5</w:t>
      </w:r>
      <w:r>
        <w:rPr>
          <w:rFonts w:hint="default" w:ascii="Times New Roman" w:hAnsi="Times New Roman" w:eastAsia="仿宋_GB2312" w:cs="Times New Roman"/>
          <w:color w:val="000000"/>
          <w:kern w:val="2"/>
          <w:sz w:val="32"/>
          <w:szCs w:val="24"/>
          <w:lang w:val="en-US"/>
        </w:rPr>
        <w:t>万元、培训费</w:t>
      </w:r>
      <w:r>
        <w:rPr>
          <w:rFonts w:hint="default" w:ascii="Times New Roman" w:hAnsi="Times New Roman" w:eastAsia="仿宋_GB2312" w:cs="Times New Roman"/>
          <w:color w:val="000000"/>
          <w:kern w:val="2"/>
          <w:sz w:val="32"/>
          <w:szCs w:val="24"/>
          <w:lang w:val="en-US" w:eastAsia="zh-CN"/>
        </w:rPr>
        <w:t>9.7</w:t>
      </w:r>
      <w:r>
        <w:rPr>
          <w:rFonts w:hint="default" w:ascii="Times New Roman" w:hAnsi="Times New Roman" w:eastAsia="仿宋_GB2312" w:cs="Times New Roman"/>
          <w:color w:val="000000"/>
          <w:kern w:val="2"/>
          <w:sz w:val="32"/>
          <w:szCs w:val="24"/>
          <w:lang w:val="en-US"/>
        </w:rPr>
        <w:t>万元、公务接待费</w:t>
      </w:r>
      <w:r>
        <w:rPr>
          <w:rFonts w:hint="default" w:ascii="Times New Roman" w:hAnsi="Times New Roman" w:eastAsia="仿宋_GB2312" w:cs="Times New Roman"/>
          <w:color w:val="000000"/>
          <w:kern w:val="2"/>
          <w:sz w:val="32"/>
          <w:szCs w:val="24"/>
          <w:lang w:val="en-US" w:eastAsia="zh-CN"/>
        </w:rPr>
        <w:t>7.43</w:t>
      </w:r>
      <w:r>
        <w:rPr>
          <w:rFonts w:hint="default" w:ascii="Times New Roman" w:hAnsi="Times New Roman" w:eastAsia="仿宋_GB2312" w:cs="Times New Roman"/>
          <w:color w:val="000000"/>
          <w:kern w:val="2"/>
          <w:sz w:val="32"/>
          <w:szCs w:val="24"/>
          <w:lang w:val="en-US"/>
        </w:rPr>
        <w:t>万元、劳务费</w:t>
      </w:r>
      <w:r>
        <w:rPr>
          <w:rFonts w:hint="default" w:ascii="Times New Roman" w:hAnsi="Times New Roman" w:eastAsia="仿宋_GB2312" w:cs="Times New Roman"/>
          <w:color w:val="000000"/>
          <w:kern w:val="2"/>
          <w:sz w:val="32"/>
          <w:szCs w:val="24"/>
          <w:lang w:val="en-US" w:eastAsia="zh-CN"/>
        </w:rPr>
        <w:t>6.2</w:t>
      </w:r>
      <w:r>
        <w:rPr>
          <w:rFonts w:hint="default" w:ascii="Times New Roman" w:hAnsi="Times New Roman" w:eastAsia="仿宋_GB2312" w:cs="Times New Roman"/>
          <w:color w:val="000000"/>
          <w:kern w:val="2"/>
          <w:sz w:val="32"/>
          <w:szCs w:val="24"/>
          <w:lang w:val="en-US"/>
        </w:rPr>
        <w:t>万元、工会经费</w:t>
      </w:r>
      <w:r>
        <w:rPr>
          <w:rFonts w:hint="default" w:ascii="Times New Roman" w:hAnsi="Times New Roman" w:eastAsia="仿宋_GB2312" w:cs="Times New Roman"/>
          <w:color w:val="000000"/>
          <w:kern w:val="2"/>
          <w:sz w:val="32"/>
          <w:szCs w:val="24"/>
          <w:lang w:val="en-US" w:eastAsia="zh-CN"/>
        </w:rPr>
        <w:t>6</w:t>
      </w:r>
      <w:r>
        <w:rPr>
          <w:rFonts w:hint="default" w:ascii="Times New Roman" w:hAnsi="Times New Roman" w:eastAsia="仿宋_GB2312" w:cs="Times New Roman"/>
          <w:color w:val="000000"/>
          <w:kern w:val="2"/>
          <w:sz w:val="32"/>
          <w:szCs w:val="24"/>
          <w:lang w:val="en-US"/>
        </w:rPr>
        <w:t>万元、其他交通费</w:t>
      </w:r>
      <w:r>
        <w:rPr>
          <w:rFonts w:hint="default" w:ascii="Times New Roman" w:hAnsi="Times New Roman" w:eastAsia="仿宋_GB2312" w:cs="Times New Roman"/>
          <w:color w:val="000000"/>
          <w:kern w:val="2"/>
          <w:sz w:val="32"/>
          <w:szCs w:val="24"/>
          <w:lang w:val="en-US" w:eastAsia="zh-CN"/>
        </w:rPr>
        <w:t>13.59</w:t>
      </w:r>
      <w:r>
        <w:rPr>
          <w:rFonts w:hint="default" w:ascii="Times New Roman" w:hAnsi="Times New Roman" w:eastAsia="仿宋_GB2312" w:cs="Times New Roman"/>
          <w:color w:val="000000"/>
          <w:kern w:val="2"/>
          <w:sz w:val="32"/>
          <w:szCs w:val="24"/>
          <w:lang w:val="en-US"/>
        </w:rPr>
        <w:t>万元</w:t>
      </w:r>
      <w:r>
        <w:rPr>
          <w:rFonts w:hint="default" w:ascii="Times New Roman" w:hAnsi="Times New Roman" w:eastAsia="仿宋_GB2312" w:cs="Times New Roman"/>
          <w:color w:val="000000"/>
          <w:kern w:val="2"/>
          <w:sz w:val="32"/>
          <w:szCs w:val="24"/>
          <w:lang w:val="en-US" w:eastAsia="zh-CN"/>
        </w:rPr>
        <w:t>、</w:t>
      </w:r>
      <w:r>
        <w:rPr>
          <w:rFonts w:hint="default" w:ascii="Times New Roman" w:hAnsi="Times New Roman" w:eastAsia="仿宋_GB2312" w:cs="Times New Roman"/>
          <w:color w:val="000000"/>
          <w:kern w:val="2"/>
          <w:sz w:val="32"/>
          <w:szCs w:val="24"/>
          <w:lang w:val="en-US"/>
        </w:rPr>
        <w:t>其他商品和服务支出</w:t>
      </w:r>
      <w:r>
        <w:rPr>
          <w:rFonts w:hint="default" w:ascii="Times New Roman" w:hAnsi="Times New Roman" w:eastAsia="仿宋_GB2312" w:cs="Times New Roman"/>
          <w:color w:val="000000"/>
          <w:kern w:val="2"/>
          <w:sz w:val="32"/>
          <w:szCs w:val="24"/>
          <w:lang w:val="en-US" w:eastAsia="zh-CN"/>
        </w:rPr>
        <w:t>34.8</w:t>
      </w:r>
      <w:r>
        <w:rPr>
          <w:rFonts w:hint="default" w:ascii="Times New Roman" w:hAnsi="Times New Roman" w:eastAsia="仿宋_GB2312" w:cs="Times New Roman"/>
          <w:color w:val="000000"/>
          <w:kern w:val="2"/>
          <w:sz w:val="32"/>
          <w:szCs w:val="24"/>
          <w:lang w:val="en-US"/>
        </w:rPr>
        <w:t>万元。</w:t>
      </w:r>
    </w:p>
    <w:p w14:paraId="38D020C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32"/>
          <w:szCs w:val="32"/>
          <w:highlight w:val="none"/>
        </w:rPr>
        <w:t>七、</w:t>
      </w:r>
      <w:r>
        <w:rPr>
          <w:rStyle w:val="32"/>
          <w:rFonts w:hint="default" w:ascii="Times New Roman" w:hAnsi="Times New Roman" w:eastAsia="黑体" w:cs="Times New Roman"/>
          <w:b w:val="0"/>
          <w:color w:val="auto"/>
          <w:sz w:val="32"/>
          <w:szCs w:val="32"/>
          <w:highlight w:val="none"/>
        </w:rPr>
        <w:t>财政拨款</w:t>
      </w:r>
      <w:r>
        <w:rPr>
          <w:rStyle w:val="32"/>
          <w:rFonts w:hint="default" w:ascii="Times New Roman" w:hAnsi="Times New Roman" w:eastAsia="黑体" w:cs="Times New Roman"/>
          <w:color w:val="auto"/>
          <w:sz w:val="32"/>
          <w:szCs w:val="32"/>
          <w:highlight w:val="none"/>
        </w:rPr>
        <w:t>“</w:t>
      </w:r>
      <w:r>
        <w:rPr>
          <w:rStyle w:val="32"/>
          <w:rFonts w:hint="default" w:ascii="Times New Roman" w:hAnsi="Times New Roman" w:eastAsia="黑体" w:cs="Times New Roman"/>
          <w:b w:val="0"/>
          <w:color w:val="auto"/>
          <w:sz w:val="32"/>
          <w:szCs w:val="32"/>
          <w:highlight w:val="none"/>
        </w:rPr>
        <w:t>三公”经费支出决算情况说明</w:t>
      </w:r>
      <w:bookmarkEnd w:id="27"/>
      <w:bookmarkEnd w:id="28"/>
    </w:p>
    <w:p w14:paraId="4612A5D7">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bookmarkStart w:id="29"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29"/>
    </w:p>
    <w:p w14:paraId="09190558">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b/>
          <w:color w:val="FF0000"/>
          <w:kern w:val="2"/>
          <w:sz w:val="32"/>
          <w:szCs w:val="24"/>
          <w:lang w:val="en-US"/>
        </w:rPr>
      </w:pPr>
      <w:bookmarkStart w:id="30" w:name="_Toc15377217"/>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“三公”经费财政拨款支出预算为</w:t>
      </w:r>
      <w:r>
        <w:rPr>
          <w:rFonts w:hint="default" w:ascii="Times New Roman" w:hAnsi="Times New Roman" w:eastAsia="仿宋_GB2312" w:cs="Times New Roman"/>
          <w:color w:val="000000"/>
          <w:kern w:val="2"/>
          <w:sz w:val="32"/>
          <w:szCs w:val="24"/>
          <w:lang w:val="en-US" w:eastAsia="zh-CN"/>
        </w:rPr>
        <w:t>10.6</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7.43</w:t>
      </w:r>
      <w:r>
        <w:rPr>
          <w:rFonts w:hint="default" w:ascii="Times New Roman" w:hAnsi="Times New Roman" w:eastAsia="仿宋_GB2312" w:cs="Times New Roman"/>
          <w:color w:val="000000"/>
          <w:kern w:val="2"/>
          <w:sz w:val="32"/>
          <w:szCs w:val="24"/>
          <w:lang w:val="en-US"/>
        </w:rPr>
        <w:t>万元，完成预算的</w:t>
      </w:r>
      <w:r>
        <w:rPr>
          <w:rFonts w:hint="default" w:ascii="Times New Roman" w:hAnsi="Times New Roman" w:eastAsia="仿宋_GB2312" w:cs="Times New Roman"/>
          <w:color w:val="000000"/>
          <w:kern w:val="2"/>
          <w:sz w:val="32"/>
          <w:szCs w:val="24"/>
          <w:lang w:val="en-US" w:eastAsia="zh-CN"/>
        </w:rPr>
        <w:t>70.1</w:t>
      </w:r>
      <w:r>
        <w:rPr>
          <w:rFonts w:hint="default" w:ascii="Times New Roman" w:hAnsi="Times New Roman" w:eastAsia="仿宋_GB2312" w:cs="Times New Roman"/>
          <w:color w:val="000000"/>
          <w:kern w:val="2"/>
          <w:sz w:val="32"/>
          <w:szCs w:val="24"/>
          <w:lang w:val="en-US"/>
        </w:rPr>
        <w:t>%；较上年增加</w:t>
      </w:r>
      <w:r>
        <w:rPr>
          <w:rFonts w:hint="default" w:ascii="Times New Roman" w:hAnsi="Times New Roman" w:eastAsia="仿宋_GB2312" w:cs="Times New Roman"/>
          <w:color w:val="000000"/>
          <w:kern w:val="2"/>
          <w:sz w:val="32"/>
          <w:szCs w:val="24"/>
          <w:lang w:val="en-US" w:eastAsia="zh-CN"/>
        </w:rPr>
        <w:t>0.1</w:t>
      </w:r>
      <w:r>
        <w:rPr>
          <w:rFonts w:hint="default" w:ascii="Times New Roman" w:hAnsi="Times New Roman" w:eastAsia="仿宋_GB2312" w:cs="Times New Roman"/>
          <w:color w:val="000000"/>
          <w:kern w:val="2"/>
          <w:sz w:val="32"/>
          <w:szCs w:val="24"/>
          <w:lang w:val="en-US"/>
        </w:rPr>
        <w:t>万元，增长</w:t>
      </w:r>
      <w:r>
        <w:rPr>
          <w:rFonts w:hint="default" w:ascii="Times New Roman" w:hAnsi="Times New Roman" w:eastAsia="仿宋_GB2312" w:cs="Times New Roman"/>
          <w:color w:val="000000"/>
          <w:kern w:val="2"/>
          <w:sz w:val="32"/>
          <w:szCs w:val="24"/>
          <w:lang w:val="en-US" w:eastAsia="zh-CN"/>
        </w:rPr>
        <w:t>增加0.9</w:t>
      </w:r>
      <w:r>
        <w:rPr>
          <w:rFonts w:hint="default" w:ascii="Times New Roman" w:hAnsi="Times New Roman" w:eastAsia="仿宋_GB2312" w:cs="Times New Roman"/>
          <w:color w:val="000000"/>
          <w:kern w:val="2"/>
          <w:sz w:val="32"/>
          <w:szCs w:val="24"/>
          <w:lang w:val="en-US"/>
        </w:rPr>
        <w:t>%。决算数小于预算数的主要原因是</w:t>
      </w:r>
      <w:bookmarkStart w:id="58" w:name="_GoBack"/>
      <w:bookmarkEnd w:id="58"/>
      <w:r>
        <w:rPr>
          <w:rFonts w:hint="default" w:ascii="Times New Roman" w:hAnsi="Times New Roman" w:eastAsia="仿宋_GB2312" w:cs="Times New Roman"/>
          <w:color w:val="auto"/>
          <w:sz w:val="32"/>
          <w:szCs w:val="32"/>
        </w:rPr>
        <w:t>严格执行</w:t>
      </w:r>
      <w:r>
        <w:rPr>
          <w:rFonts w:hint="eastAsia" w:eastAsia="仿宋_GB2312" w:cs="Times New Roman"/>
          <w:color w:val="auto"/>
          <w:sz w:val="32"/>
          <w:szCs w:val="32"/>
          <w:lang w:eastAsia="zh-CN"/>
        </w:rPr>
        <w:t>中央八项规定</w:t>
      </w:r>
      <w:r>
        <w:rPr>
          <w:rFonts w:hint="default" w:ascii="Times New Roman" w:hAnsi="Times New Roman" w:eastAsia="仿宋_GB2312" w:cs="Times New Roman"/>
          <w:color w:val="auto"/>
          <w:sz w:val="32"/>
          <w:szCs w:val="32"/>
        </w:rPr>
        <w:t>，厉行节约，同时接待检查、督查工作减少</w:t>
      </w:r>
      <w:r>
        <w:rPr>
          <w:rFonts w:hint="default" w:ascii="Times New Roman" w:hAnsi="Times New Roman" w:eastAsia="仿宋_GB2312" w:cs="Times New Roman"/>
          <w:color w:val="000000"/>
          <w:kern w:val="2"/>
          <w:sz w:val="32"/>
          <w:szCs w:val="24"/>
        </w:rPr>
        <w:t>。</w:t>
      </w:r>
    </w:p>
    <w:p w14:paraId="3EC6DECD">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（二）“三公”经费财政拨款支出决算具体情况说明</w:t>
      </w:r>
      <w:bookmarkEnd w:id="30"/>
    </w:p>
    <w:p w14:paraId="31386DCC">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bookmarkStart w:id="31" w:name="_Toc15396610"/>
      <w:bookmarkStart w:id="32" w:name="_Toc15377218"/>
      <w:r>
        <w:rPr>
          <w:rFonts w:hint="default" w:ascii="Times New Roman" w:hAnsi="Times New Roman" w:eastAsia="仿宋_GB2312" w:cs="Times New Roman"/>
          <w:color w:val="000000"/>
          <w:kern w:val="2"/>
          <w:sz w:val="32"/>
          <w:szCs w:val="24"/>
          <w:lang w:val="en-US"/>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“三公”经费财政拨款支出决算中，因公出国（境）费支出决算</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%；公务用车购置及运行维护费支出决算</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%；公务接待费支出决算</w:t>
      </w:r>
      <w:r>
        <w:rPr>
          <w:rFonts w:hint="default" w:ascii="Times New Roman" w:hAnsi="Times New Roman" w:eastAsia="仿宋_GB2312" w:cs="Times New Roman"/>
          <w:color w:val="000000"/>
          <w:kern w:val="2"/>
          <w:sz w:val="32"/>
          <w:szCs w:val="24"/>
          <w:lang w:val="en-US" w:eastAsia="zh-CN"/>
        </w:rPr>
        <w:t>7.43</w:t>
      </w:r>
      <w:r>
        <w:rPr>
          <w:rFonts w:hint="default" w:ascii="Times New Roman" w:hAnsi="Times New Roman" w:eastAsia="仿宋_GB2312" w:cs="Times New Roman"/>
          <w:color w:val="000000"/>
          <w:kern w:val="2"/>
          <w:sz w:val="32"/>
          <w:szCs w:val="24"/>
          <w:lang w:val="en-US"/>
        </w:rPr>
        <w:t>万元，占</w:t>
      </w:r>
      <w:r>
        <w:rPr>
          <w:rFonts w:hint="default" w:ascii="Times New Roman" w:hAnsi="Times New Roman" w:eastAsia="仿宋_GB2312" w:cs="Times New Roman"/>
          <w:color w:val="000000"/>
          <w:kern w:val="2"/>
          <w:sz w:val="32"/>
          <w:szCs w:val="24"/>
          <w:lang w:val="en-US" w:eastAsia="zh-CN"/>
        </w:rPr>
        <w:t>70.1</w:t>
      </w:r>
      <w:r>
        <w:rPr>
          <w:rFonts w:hint="default" w:ascii="Times New Roman" w:hAnsi="Times New Roman" w:eastAsia="仿宋_GB2312" w:cs="Times New Roman"/>
          <w:color w:val="000000"/>
          <w:kern w:val="2"/>
          <w:sz w:val="32"/>
          <w:szCs w:val="24"/>
          <w:lang w:val="en-US"/>
        </w:rPr>
        <w:t>%。具体情况如下：</w:t>
      </w:r>
    </w:p>
    <w:p w14:paraId="593E8F21">
      <w:pPr>
        <w:keepNext w:val="0"/>
        <w:keepLines w:val="0"/>
        <w:pageBreakBefore w:val="0"/>
        <w:widowControl w:val="0"/>
        <w:kinsoku/>
        <w:wordWrap/>
        <w:overflowPunct w:val="0"/>
        <w:topLinePunct/>
        <w:bidi w:val="0"/>
        <w:snapToGrid/>
        <w:spacing w:beforeLines="0" w:afterLines="0" w:line="576" w:lineRule="exact"/>
        <w:ind w:firstLine="420" w:firstLineChars="200"/>
        <w:jc w:val="both"/>
        <w:textAlignment w:val="auto"/>
        <w:rPr>
          <w:rFonts w:hint="eastAsia" w:ascii="仿宋_GB2312" w:hAnsi="仿宋_GB2312" w:eastAsia="仿宋_GB2312"/>
          <w:b/>
          <w:color w:val="000000"/>
          <w:kern w:val="2"/>
          <w:sz w:val="32"/>
          <w:szCs w:val="24"/>
          <w:lang w:val="en-US"/>
        </w:rPr>
      </w:pPr>
      <w:r>
        <w:drawing>
          <wp:anchor distT="0" distB="0" distL="114300" distR="114300" simplePos="0" relativeHeight="251665408" behindDoc="1" locked="0" layoutInCell="1" allowOverlap="1">
            <wp:simplePos x="0" y="0"/>
            <wp:positionH relativeFrom="column">
              <wp:posOffset>195580</wp:posOffset>
            </wp:positionH>
            <wp:positionV relativeFrom="paragraph">
              <wp:posOffset>162560</wp:posOffset>
            </wp:positionV>
            <wp:extent cx="4857750" cy="2743200"/>
            <wp:effectExtent l="4445" t="4445" r="14605" b="14605"/>
            <wp:wrapTight wrapText="bothSides">
              <wp:wrapPolygon>
                <wp:start x="-20" y="-35"/>
                <wp:lineTo x="-20" y="21565"/>
                <wp:lineTo x="21580" y="21565"/>
                <wp:lineTo x="21580" y="-35"/>
                <wp:lineTo x="-20" y="-35"/>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2F3533D">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69B0D7E2">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7938CF26">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lang w:val="en-US"/>
        </w:rPr>
      </w:pPr>
    </w:p>
    <w:p w14:paraId="71A33FCF">
      <w:pPr>
        <w:spacing w:beforeLines="0" w:afterLines="0" w:line="576"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kern w:val="2"/>
          <w:sz w:val="32"/>
          <w:szCs w:val="24"/>
          <w:lang w:val="en-US"/>
        </w:rPr>
        <w:t>1.因公出国（境）经费</w:t>
      </w:r>
      <w:r>
        <w:rPr>
          <w:rFonts w:hint="default" w:ascii="Times New Roman" w:hAnsi="Times New Roman" w:eastAsia="仿宋_GB2312" w:cs="Times New Roman"/>
          <w:color w:val="000000"/>
          <w:kern w:val="2"/>
          <w:sz w:val="32"/>
          <w:szCs w:val="24"/>
        </w:rPr>
        <w:t>支出0万元，年初未安排预算。</w:t>
      </w:r>
      <w:r>
        <w:rPr>
          <w:rFonts w:hint="default" w:ascii="Times New Roman" w:hAnsi="Times New Roman" w:eastAsia="仿宋_GB2312" w:cs="Times New Roman"/>
          <w:color w:val="auto"/>
          <w:sz w:val="32"/>
          <w:szCs w:val="32"/>
        </w:rPr>
        <w:t>因公出国（境）支出决算较202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年无变化。</w:t>
      </w:r>
    </w:p>
    <w:p w14:paraId="19B6A7CA">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2.公务用车购置及运行维护费</w:t>
      </w:r>
      <w:r>
        <w:rPr>
          <w:rFonts w:hint="default" w:ascii="Times New Roman" w:hAnsi="Times New Roman" w:eastAsia="仿宋_GB2312" w:cs="Times New Roman"/>
          <w:color w:val="000000"/>
          <w:kern w:val="2"/>
          <w:sz w:val="32"/>
          <w:szCs w:val="24"/>
        </w:rPr>
        <w:t>支出0万元，年初未安排预算。公务用车购置及运行维护费支出决算较202</w:t>
      </w:r>
      <w:r>
        <w:rPr>
          <w:rFonts w:hint="default" w:ascii="Times New Roman" w:hAnsi="Times New Roman"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rPr>
        <w:t>年无变化。</w:t>
      </w:r>
    </w:p>
    <w:p w14:paraId="776A3C5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rPr>
        <w:t>其中：</w:t>
      </w:r>
      <w:r>
        <w:rPr>
          <w:rFonts w:hint="default" w:ascii="Times New Roman" w:hAnsi="Times New Roman" w:eastAsia="仿宋_GB2312" w:cs="Times New Roman"/>
          <w:b/>
          <w:color w:val="000000"/>
          <w:kern w:val="2"/>
          <w:sz w:val="32"/>
          <w:szCs w:val="24"/>
          <w:lang w:val="en-US"/>
        </w:rPr>
        <w:t>公务用车购置费</w:t>
      </w:r>
      <w:r>
        <w:rPr>
          <w:rFonts w:hint="default" w:ascii="Times New Roman" w:hAnsi="Times New Roman" w:eastAsia="仿宋_GB2312" w:cs="Times New Roman"/>
          <w:color w:val="000000"/>
          <w:kern w:val="2"/>
          <w:sz w:val="32"/>
          <w:szCs w:val="24"/>
          <w:lang w:val="en-US"/>
        </w:rPr>
        <w:t>支出</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万元。全年按规定更新购置公务用车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辆，其中：轿车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辆、金额</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万元，越野车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辆、金额</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万元，小型客车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辆、金额</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万元，中型客车和大型客车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辆、金额</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万元，其他车型</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辆、金额</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万元</w:t>
      </w:r>
      <w:r>
        <w:rPr>
          <w:rFonts w:hint="default" w:ascii="Times New Roman" w:hAnsi="Times New Roman" w:eastAsia="仿宋_GB2312" w:cs="Times New Roman"/>
          <w:color w:val="000000"/>
          <w:kern w:val="2"/>
          <w:sz w:val="32"/>
          <w:szCs w:val="24"/>
          <w:lang w:val="en-US" w:eastAsia="zh-CN"/>
        </w:rPr>
        <w:t>。</w:t>
      </w:r>
      <w:r>
        <w:rPr>
          <w:rFonts w:hint="default" w:ascii="Times New Roman" w:hAnsi="Times New Roman" w:eastAsia="仿宋_GB2312" w:cs="Times New Roman"/>
          <w:color w:val="000000"/>
          <w:kern w:val="2"/>
          <w:sz w:val="32"/>
          <w:szCs w:val="24"/>
          <w:lang w:val="en-US"/>
        </w:rPr>
        <w:t>截至202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lang w:val="en-US"/>
        </w:rPr>
        <w:t>年12月31日，本部门共有公务用车</w:t>
      </w:r>
      <w:r>
        <w:rPr>
          <w:rFonts w:hint="default" w:ascii="Times New Roman" w:hAnsi="Times New Roman" w:eastAsia="仿宋_GB2312" w:cs="Times New Roman"/>
          <w:color w:val="000000"/>
          <w:kern w:val="2"/>
          <w:sz w:val="32"/>
          <w:szCs w:val="24"/>
          <w:lang w:val="en-US" w:eastAsia="zh-CN"/>
        </w:rPr>
        <w:t>0</w:t>
      </w:r>
      <w:r>
        <w:rPr>
          <w:rFonts w:hint="default" w:ascii="Times New Roman" w:hAnsi="Times New Roman" w:eastAsia="仿宋_GB2312" w:cs="Times New Roman"/>
          <w:color w:val="000000"/>
          <w:kern w:val="2"/>
          <w:sz w:val="32"/>
          <w:szCs w:val="24"/>
          <w:lang w:val="en-US"/>
        </w:rPr>
        <w:t>辆。</w:t>
      </w:r>
    </w:p>
    <w:p w14:paraId="65C698D8">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公务用车运行维护费</w:t>
      </w:r>
      <w:r>
        <w:rPr>
          <w:rFonts w:hint="default" w:ascii="Times New Roman" w:hAnsi="Times New Roman" w:eastAsia="仿宋_GB2312" w:cs="Times New Roman"/>
          <w:color w:val="000000"/>
          <w:kern w:val="2"/>
          <w:sz w:val="32"/>
          <w:szCs w:val="24"/>
        </w:rPr>
        <w:t>支出0万元。</w:t>
      </w:r>
    </w:p>
    <w:p w14:paraId="0E742759">
      <w:pPr>
        <w:keepNext w:val="0"/>
        <w:keepLines w:val="0"/>
        <w:pageBreakBefore w:val="0"/>
        <w:widowControl w:val="0"/>
        <w:kinsoku/>
        <w:wordWrap/>
        <w:overflowPunct w:val="0"/>
        <w:topLinePunct/>
        <w:bidi w:val="0"/>
        <w:snapToGrid/>
        <w:spacing w:beforeLines="0" w:afterLines="0" w:line="576" w:lineRule="exact"/>
        <w:ind w:firstLine="643"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b/>
          <w:color w:val="000000"/>
          <w:kern w:val="2"/>
          <w:sz w:val="32"/>
          <w:szCs w:val="24"/>
          <w:lang w:val="en-US"/>
        </w:rPr>
        <w:t>3.公务接待费</w:t>
      </w:r>
      <w:r>
        <w:rPr>
          <w:rFonts w:hint="default" w:ascii="Times New Roman" w:hAnsi="Times New Roman" w:eastAsia="仿宋_GB2312" w:cs="Times New Roman"/>
          <w:color w:val="000000"/>
          <w:kern w:val="2"/>
          <w:sz w:val="32"/>
          <w:szCs w:val="24"/>
          <w:lang w:val="en-US"/>
        </w:rPr>
        <w:t>预算为</w:t>
      </w:r>
      <w:r>
        <w:rPr>
          <w:rFonts w:hint="default" w:ascii="Times New Roman" w:hAnsi="Times New Roman" w:eastAsia="仿宋_GB2312" w:cs="Times New Roman"/>
          <w:color w:val="000000"/>
          <w:kern w:val="2"/>
          <w:sz w:val="32"/>
          <w:szCs w:val="24"/>
          <w:lang w:val="en-US" w:eastAsia="zh-CN"/>
        </w:rPr>
        <w:t>10.6</w:t>
      </w:r>
      <w:r>
        <w:rPr>
          <w:rFonts w:hint="default" w:ascii="Times New Roman" w:hAnsi="Times New Roman" w:eastAsia="仿宋_GB2312" w:cs="Times New Roman"/>
          <w:color w:val="000000"/>
          <w:kern w:val="2"/>
          <w:sz w:val="32"/>
          <w:szCs w:val="24"/>
          <w:lang w:val="en-US"/>
        </w:rPr>
        <w:t>万元，支出决算为</w:t>
      </w:r>
      <w:r>
        <w:rPr>
          <w:rFonts w:hint="default" w:ascii="Times New Roman" w:hAnsi="Times New Roman" w:eastAsia="仿宋_GB2312" w:cs="Times New Roman"/>
          <w:color w:val="000000"/>
          <w:kern w:val="2"/>
          <w:sz w:val="32"/>
          <w:szCs w:val="24"/>
          <w:lang w:val="en-US" w:eastAsia="zh-CN"/>
        </w:rPr>
        <w:t>7.43</w:t>
      </w:r>
      <w:r>
        <w:rPr>
          <w:rFonts w:hint="default" w:ascii="Times New Roman" w:hAnsi="Times New Roman" w:eastAsia="仿宋_GB2312" w:cs="Times New Roman"/>
          <w:color w:val="000000"/>
          <w:kern w:val="2"/>
          <w:sz w:val="32"/>
          <w:szCs w:val="24"/>
          <w:lang w:val="en-US"/>
        </w:rPr>
        <w:t>万元，完成预算的</w:t>
      </w:r>
      <w:r>
        <w:rPr>
          <w:rFonts w:hint="default" w:ascii="Times New Roman" w:hAnsi="Times New Roman" w:eastAsia="仿宋_GB2312" w:cs="Times New Roman"/>
          <w:color w:val="000000"/>
          <w:kern w:val="2"/>
          <w:sz w:val="32"/>
          <w:szCs w:val="24"/>
          <w:lang w:val="en-US" w:eastAsia="zh-CN"/>
        </w:rPr>
        <w:t>70.1</w:t>
      </w:r>
      <w:r>
        <w:rPr>
          <w:rFonts w:hint="default" w:ascii="Times New Roman" w:hAnsi="Times New Roman" w:eastAsia="仿宋_GB2312" w:cs="Times New Roman"/>
          <w:color w:val="000000"/>
          <w:kern w:val="2"/>
          <w:sz w:val="32"/>
          <w:szCs w:val="24"/>
          <w:lang w:val="en-US"/>
        </w:rPr>
        <w:t>%。公务接待费支出决算比202</w:t>
      </w:r>
      <w:r>
        <w:rPr>
          <w:rFonts w:hint="default" w:ascii="Times New Roman" w:hAnsi="Times New Roman" w:eastAsia="仿宋_GB2312" w:cs="Times New Roman"/>
          <w:color w:val="000000"/>
          <w:kern w:val="2"/>
          <w:sz w:val="32"/>
          <w:szCs w:val="24"/>
          <w:lang w:val="en-US" w:eastAsia="zh-CN"/>
        </w:rPr>
        <w:t>3</w:t>
      </w:r>
      <w:r>
        <w:rPr>
          <w:rFonts w:hint="default" w:ascii="Times New Roman" w:hAnsi="Times New Roman" w:eastAsia="仿宋_GB2312" w:cs="Times New Roman"/>
          <w:color w:val="000000"/>
          <w:kern w:val="2"/>
          <w:sz w:val="32"/>
          <w:szCs w:val="24"/>
          <w:lang w:val="en-US"/>
        </w:rPr>
        <w:t>年</w:t>
      </w:r>
      <w:r>
        <w:rPr>
          <w:rFonts w:hint="default" w:ascii="Times New Roman" w:hAnsi="Times New Roman" w:eastAsia="仿宋_GB2312" w:cs="Times New Roman"/>
          <w:color w:val="000000"/>
          <w:kern w:val="2"/>
          <w:sz w:val="32"/>
          <w:szCs w:val="24"/>
          <w:lang w:val="en-US" w:eastAsia="zh-CN"/>
        </w:rPr>
        <w:t>度</w:t>
      </w:r>
      <w:r>
        <w:rPr>
          <w:rFonts w:hint="default" w:ascii="Times New Roman" w:hAnsi="Times New Roman" w:eastAsia="仿宋_GB2312" w:cs="Times New Roman"/>
          <w:color w:val="000000"/>
          <w:kern w:val="2"/>
          <w:sz w:val="32"/>
          <w:szCs w:val="24"/>
          <w:lang w:val="en-US"/>
        </w:rPr>
        <w:t>增加</w:t>
      </w:r>
      <w:r>
        <w:rPr>
          <w:rFonts w:hint="default" w:ascii="Times New Roman" w:hAnsi="Times New Roman" w:eastAsia="仿宋_GB2312" w:cs="Times New Roman"/>
          <w:color w:val="000000"/>
          <w:kern w:val="2"/>
          <w:sz w:val="32"/>
          <w:szCs w:val="24"/>
          <w:lang w:val="en-US" w:eastAsia="zh-CN"/>
        </w:rPr>
        <w:t>1.43</w:t>
      </w:r>
      <w:r>
        <w:rPr>
          <w:rFonts w:hint="default" w:ascii="Times New Roman" w:hAnsi="Times New Roman" w:eastAsia="仿宋_GB2312" w:cs="Times New Roman"/>
          <w:color w:val="000000"/>
          <w:kern w:val="2"/>
          <w:sz w:val="32"/>
          <w:szCs w:val="24"/>
          <w:lang w:val="en-US"/>
        </w:rPr>
        <w:t>万元，增长</w:t>
      </w:r>
      <w:r>
        <w:rPr>
          <w:rFonts w:hint="default" w:ascii="Times New Roman" w:hAnsi="Times New Roman" w:eastAsia="仿宋_GB2312" w:cs="Times New Roman"/>
          <w:color w:val="000000"/>
          <w:kern w:val="2"/>
          <w:sz w:val="32"/>
          <w:szCs w:val="24"/>
          <w:lang w:val="en-US" w:eastAsia="zh-CN"/>
        </w:rPr>
        <w:t>19.2</w:t>
      </w:r>
      <w:r>
        <w:rPr>
          <w:rFonts w:hint="default" w:ascii="Times New Roman" w:hAnsi="Times New Roman" w:eastAsia="仿宋_GB2312" w:cs="Times New Roman"/>
          <w:color w:val="000000"/>
          <w:kern w:val="2"/>
          <w:sz w:val="32"/>
          <w:szCs w:val="24"/>
          <w:lang w:val="en-US"/>
        </w:rPr>
        <w:t>%。主要原因是</w:t>
      </w:r>
      <w:r>
        <w:rPr>
          <w:rFonts w:hint="default" w:ascii="Times New Roman" w:hAnsi="Times New Roman" w:eastAsia="仿宋_GB2312" w:cs="Times New Roman"/>
          <w:color w:val="000000"/>
          <w:kern w:val="2"/>
          <w:sz w:val="32"/>
          <w:szCs w:val="24"/>
          <w:lang w:val="en-US" w:eastAsia="zh-CN"/>
        </w:rPr>
        <w:t>接待上级督导检查次数多</w:t>
      </w:r>
      <w:r>
        <w:rPr>
          <w:rFonts w:hint="default" w:ascii="Times New Roman" w:hAnsi="Times New Roman" w:eastAsia="仿宋_GB2312" w:cs="Times New Roman"/>
          <w:color w:val="000000"/>
          <w:kern w:val="2"/>
          <w:sz w:val="32"/>
          <w:szCs w:val="24"/>
          <w:lang w:val="en-US"/>
        </w:rPr>
        <w:t>。其中：</w:t>
      </w:r>
    </w:p>
    <w:p w14:paraId="56431F53">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国内公务接待</w:t>
      </w:r>
      <w:r>
        <w:rPr>
          <w:rFonts w:hint="default" w:ascii="Times New Roman" w:hAnsi="Times New Roman" w:eastAsia="仿宋_GB2312" w:cs="Times New Roman"/>
          <w:color w:val="000000"/>
          <w:kern w:val="2"/>
          <w:sz w:val="32"/>
          <w:szCs w:val="24"/>
        </w:rPr>
        <w:t>支出</w:t>
      </w:r>
      <w:r>
        <w:rPr>
          <w:rFonts w:hint="default" w:ascii="Times New Roman" w:hAnsi="Times New Roman" w:eastAsia="仿宋_GB2312" w:cs="Times New Roman"/>
          <w:color w:val="000000"/>
          <w:kern w:val="2"/>
          <w:sz w:val="32"/>
          <w:szCs w:val="24"/>
          <w:lang w:val="en-US" w:eastAsia="zh-CN"/>
        </w:rPr>
        <w:t>7.43</w:t>
      </w:r>
      <w:r>
        <w:rPr>
          <w:rFonts w:hint="default" w:ascii="Times New Roman" w:hAnsi="Times New Roman" w:eastAsia="仿宋_GB2312" w:cs="Times New Roman"/>
          <w:color w:val="000000"/>
          <w:kern w:val="2"/>
          <w:sz w:val="32"/>
          <w:szCs w:val="24"/>
        </w:rPr>
        <w:t>万元。</w:t>
      </w:r>
      <w:r>
        <w:rPr>
          <w:rFonts w:hint="default" w:ascii="Times New Roman" w:hAnsi="Times New Roman" w:eastAsia="仿宋_GB2312" w:cs="Times New Roman"/>
          <w:color w:val="auto"/>
          <w:sz w:val="32"/>
          <w:szCs w:val="32"/>
        </w:rPr>
        <w:t>主要用于接待省市、兄弟县（区）发改委及经济部门等来蓉执行公务、开展业务活动开支的餐费等</w:t>
      </w:r>
      <w:r>
        <w:rPr>
          <w:rFonts w:hint="default" w:ascii="Times New Roman" w:hAnsi="Times New Roman" w:eastAsia="仿宋_GB2312" w:cs="Times New Roman"/>
          <w:color w:val="000000"/>
          <w:kern w:val="2"/>
          <w:sz w:val="32"/>
          <w:szCs w:val="24"/>
        </w:rPr>
        <w:t>。国内公务接待</w:t>
      </w:r>
      <w:r>
        <w:rPr>
          <w:rFonts w:hint="default" w:ascii="Times New Roman" w:hAnsi="Times New Roman" w:eastAsia="仿宋_GB2312" w:cs="Times New Roman"/>
          <w:color w:val="000000"/>
          <w:kern w:val="2"/>
          <w:sz w:val="32"/>
          <w:szCs w:val="24"/>
          <w:lang w:val="en-US" w:eastAsia="zh-CN"/>
        </w:rPr>
        <w:t>102</w:t>
      </w:r>
      <w:r>
        <w:rPr>
          <w:rFonts w:hint="default" w:ascii="Times New Roman" w:hAnsi="Times New Roman" w:eastAsia="仿宋_GB2312" w:cs="Times New Roman"/>
          <w:color w:val="000000"/>
          <w:kern w:val="2"/>
          <w:sz w:val="32"/>
          <w:szCs w:val="24"/>
        </w:rPr>
        <w:t>批次，</w:t>
      </w:r>
      <w:r>
        <w:rPr>
          <w:rFonts w:hint="default" w:ascii="Times New Roman" w:hAnsi="Times New Roman" w:eastAsia="仿宋_GB2312" w:cs="Times New Roman"/>
          <w:color w:val="000000"/>
          <w:kern w:val="2"/>
          <w:sz w:val="32"/>
          <w:szCs w:val="24"/>
          <w:lang w:val="en-US" w:eastAsia="zh-CN"/>
        </w:rPr>
        <w:t>1450</w:t>
      </w:r>
      <w:r>
        <w:rPr>
          <w:rFonts w:hint="default" w:ascii="Times New Roman" w:hAnsi="Times New Roman" w:eastAsia="仿宋_GB2312" w:cs="Times New Roman"/>
          <w:color w:val="000000"/>
          <w:kern w:val="2"/>
          <w:sz w:val="32"/>
          <w:szCs w:val="24"/>
        </w:rPr>
        <w:t>人次，共计支出</w:t>
      </w:r>
      <w:r>
        <w:rPr>
          <w:rFonts w:hint="default" w:ascii="Times New Roman" w:hAnsi="Times New Roman" w:eastAsia="仿宋_GB2312" w:cs="Times New Roman"/>
          <w:color w:val="000000"/>
          <w:kern w:val="2"/>
          <w:sz w:val="32"/>
          <w:szCs w:val="24"/>
          <w:lang w:val="en-US" w:eastAsia="zh-CN"/>
        </w:rPr>
        <w:t>7.43</w:t>
      </w:r>
      <w:r>
        <w:rPr>
          <w:rFonts w:hint="default" w:ascii="Times New Roman" w:hAnsi="Times New Roman" w:eastAsia="仿宋_GB2312" w:cs="Times New Roman"/>
          <w:color w:val="000000"/>
          <w:kern w:val="2"/>
          <w:sz w:val="32"/>
          <w:szCs w:val="24"/>
        </w:rPr>
        <w:t>万元，具体内容包括：省、市发改委督导检查工作</w:t>
      </w:r>
      <w:r>
        <w:rPr>
          <w:rFonts w:hint="default" w:ascii="Times New Roman" w:hAnsi="Times New Roman" w:eastAsia="仿宋_GB2312" w:cs="Times New Roman"/>
          <w:color w:val="auto"/>
          <w:sz w:val="32"/>
          <w:szCs w:val="32"/>
        </w:rPr>
        <w:t>1万元、到省发改委对接项目工作1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万元以及各市（州）、兄弟县（区）到我区检查学习交流等服务保障</w:t>
      </w:r>
      <w:r>
        <w:rPr>
          <w:rFonts w:hint="default" w:ascii="Times New Roman" w:hAnsi="Times New Roman" w:eastAsia="仿宋_GB2312" w:cs="Times New Roman"/>
          <w:color w:val="auto"/>
          <w:sz w:val="32"/>
          <w:szCs w:val="32"/>
          <w:lang w:val="en-US" w:eastAsia="zh-CN"/>
        </w:rPr>
        <w:t>4.93</w:t>
      </w:r>
      <w:r>
        <w:rPr>
          <w:rFonts w:hint="default" w:ascii="Times New Roman" w:hAnsi="Times New Roman" w:eastAsia="仿宋_GB2312" w:cs="Times New Roman"/>
          <w:color w:val="auto"/>
          <w:sz w:val="32"/>
          <w:szCs w:val="32"/>
        </w:rPr>
        <w:t>万元等</w:t>
      </w:r>
      <w:r>
        <w:rPr>
          <w:rFonts w:hint="default" w:ascii="Times New Roman" w:hAnsi="Times New Roman" w:eastAsia="仿宋_GB2312" w:cs="Times New Roman"/>
          <w:color w:val="000000"/>
          <w:kern w:val="2"/>
          <w:sz w:val="32"/>
          <w:szCs w:val="24"/>
        </w:rPr>
        <w:t>。</w:t>
      </w:r>
    </w:p>
    <w:p w14:paraId="10542049">
      <w:pPr>
        <w:overflowPunct w:val="0"/>
        <w:topLinePunct/>
        <w:spacing w:beforeLines="0" w:afterLines="0" w:line="576" w:lineRule="exact"/>
        <w:ind w:firstLine="643"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b/>
          <w:color w:val="000000"/>
          <w:kern w:val="2"/>
          <w:sz w:val="32"/>
          <w:szCs w:val="24"/>
        </w:rPr>
        <w:t>外事接待</w:t>
      </w:r>
      <w:r>
        <w:rPr>
          <w:rFonts w:hint="default" w:ascii="Times New Roman" w:hAnsi="Times New Roman" w:eastAsia="仿宋_GB2312" w:cs="Times New Roman"/>
          <w:color w:val="000000"/>
          <w:kern w:val="2"/>
          <w:sz w:val="32"/>
          <w:szCs w:val="24"/>
        </w:rPr>
        <w:t>支出0万元。</w:t>
      </w:r>
    </w:p>
    <w:p w14:paraId="73F417E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w:t>
      </w:r>
      <w:r>
        <w:rPr>
          <w:rStyle w:val="32"/>
          <w:rFonts w:hint="default" w:ascii="Times New Roman" w:hAnsi="Times New Roman" w:eastAsia="黑体" w:cs="Times New Roman"/>
          <w:b w:val="0"/>
          <w:color w:val="auto"/>
          <w:sz w:val="32"/>
          <w:szCs w:val="32"/>
          <w:highlight w:val="none"/>
        </w:rPr>
        <w:t>政府性基金预算支出决算情况说明</w:t>
      </w:r>
      <w:bookmarkEnd w:id="31"/>
      <w:bookmarkEnd w:id="32"/>
    </w:p>
    <w:p w14:paraId="0EC8C6BB">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bookmarkStart w:id="33" w:name="_Toc15377219"/>
      <w:bookmarkStart w:id="34" w:name="_Toc15396611"/>
      <w:r>
        <w:rPr>
          <w:rFonts w:hint="default" w:ascii="Times New Roman" w:hAnsi="Times New Roman" w:eastAsia="仿宋_GB2312" w:cs="Times New Roman"/>
          <w:color w:val="000000"/>
          <w:kern w:val="2"/>
          <w:sz w:val="32"/>
          <w:szCs w:val="24"/>
          <w:lang w:val="en-US"/>
        </w:rPr>
        <w:t>2024年度政府性基金预算财政拨款支出</w:t>
      </w:r>
      <w:r>
        <w:rPr>
          <w:rFonts w:hint="default" w:ascii="Times New Roman" w:hAnsi="Times New Roman" w:eastAsia="仿宋_GB2312" w:cs="Times New Roman"/>
          <w:color w:val="000000"/>
          <w:kern w:val="2"/>
          <w:sz w:val="32"/>
          <w:szCs w:val="24"/>
          <w:lang w:val="en-US" w:eastAsia="zh-CN"/>
        </w:rPr>
        <w:t>7900</w:t>
      </w:r>
      <w:r>
        <w:rPr>
          <w:rFonts w:hint="default" w:ascii="Times New Roman" w:hAnsi="Times New Roman" w:eastAsia="仿宋_GB2312" w:cs="Times New Roman"/>
          <w:color w:val="000000"/>
          <w:kern w:val="2"/>
          <w:sz w:val="32"/>
          <w:szCs w:val="24"/>
          <w:lang w:val="en-US"/>
        </w:rPr>
        <w:t>万元，占本年支出合计的</w:t>
      </w:r>
      <w:r>
        <w:rPr>
          <w:rFonts w:hint="default" w:ascii="Times New Roman" w:hAnsi="Times New Roman" w:eastAsia="仿宋_GB2312" w:cs="Times New Roman"/>
          <w:color w:val="000000"/>
          <w:kern w:val="2"/>
          <w:sz w:val="32"/>
          <w:szCs w:val="24"/>
          <w:lang w:val="en-US" w:eastAsia="zh-CN"/>
        </w:rPr>
        <w:t>52</w:t>
      </w:r>
      <w:r>
        <w:rPr>
          <w:rFonts w:hint="default" w:ascii="Times New Roman" w:hAnsi="Times New Roman" w:eastAsia="仿宋_GB2312" w:cs="Times New Roman"/>
          <w:color w:val="000000"/>
          <w:kern w:val="2"/>
          <w:sz w:val="32"/>
          <w:szCs w:val="24"/>
          <w:lang w:val="en-US"/>
        </w:rPr>
        <w:t>%。与2023年度相比，政府性基金预算财政拨款支出增加</w:t>
      </w:r>
      <w:r>
        <w:rPr>
          <w:rFonts w:hint="default" w:ascii="Times New Roman" w:hAnsi="Times New Roman" w:eastAsia="仿宋_GB2312" w:cs="Times New Roman"/>
          <w:color w:val="000000"/>
          <w:kern w:val="2"/>
          <w:sz w:val="32"/>
          <w:szCs w:val="24"/>
          <w:lang w:val="en-US" w:eastAsia="zh-CN"/>
        </w:rPr>
        <w:t>7800</w:t>
      </w:r>
      <w:r>
        <w:rPr>
          <w:rFonts w:hint="default" w:ascii="Times New Roman" w:hAnsi="Times New Roman" w:eastAsia="仿宋_GB2312" w:cs="Times New Roman"/>
          <w:color w:val="000000"/>
          <w:kern w:val="2"/>
          <w:sz w:val="32"/>
          <w:szCs w:val="24"/>
          <w:lang w:val="en-US"/>
        </w:rPr>
        <w:t>万元，增长</w:t>
      </w:r>
      <w:r>
        <w:rPr>
          <w:rFonts w:hint="default" w:ascii="Times New Roman" w:hAnsi="Times New Roman" w:eastAsia="仿宋_GB2312" w:cs="Times New Roman"/>
          <w:color w:val="000000"/>
          <w:kern w:val="2"/>
          <w:sz w:val="32"/>
          <w:szCs w:val="24"/>
          <w:lang w:val="en-US" w:eastAsia="zh-CN"/>
        </w:rPr>
        <w:t>98.7</w:t>
      </w:r>
      <w:r>
        <w:rPr>
          <w:rFonts w:hint="default" w:ascii="Times New Roman" w:hAnsi="Times New Roman" w:eastAsia="仿宋_GB2312" w:cs="Times New Roman"/>
          <w:color w:val="000000"/>
          <w:kern w:val="2"/>
          <w:sz w:val="32"/>
          <w:szCs w:val="24"/>
          <w:lang w:val="en-US"/>
        </w:rPr>
        <w:t>%。主要变动原因是</w:t>
      </w:r>
      <w:r>
        <w:rPr>
          <w:rFonts w:hint="default" w:ascii="Times New Roman" w:hAnsi="Times New Roman" w:eastAsia="仿宋_GB2312" w:cs="Times New Roman"/>
          <w:color w:val="000000"/>
          <w:kern w:val="2"/>
          <w:sz w:val="32"/>
          <w:szCs w:val="24"/>
          <w:lang w:val="en-US" w:eastAsia="zh-CN"/>
        </w:rPr>
        <w:t>转移性项目金额大。</w:t>
      </w:r>
    </w:p>
    <w:p w14:paraId="3C172ED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2"/>
          <w:rFonts w:hint="default" w:ascii="Times New Roman" w:hAnsi="Times New Roman" w:eastAsia="黑体" w:cs="Times New Roman"/>
          <w:b w:val="0"/>
          <w:color w:val="auto"/>
          <w:sz w:val="32"/>
          <w:szCs w:val="32"/>
          <w:highlight w:val="none"/>
        </w:rPr>
      </w:pPr>
      <w:r>
        <w:rPr>
          <w:rStyle w:val="32"/>
          <w:rFonts w:hint="default" w:ascii="Times New Roman" w:hAnsi="Times New Roman" w:eastAsia="黑体" w:cs="Times New Roman"/>
          <w:b w:val="0"/>
          <w:color w:val="auto"/>
          <w:sz w:val="32"/>
          <w:szCs w:val="32"/>
          <w:highlight w:val="none"/>
          <w:lang w:eastAsia="zh-CN"/>
        </w:rPr>
        <w:t>九、</w:t>
      </w:r>
      <w:r>
        <w:rPr>
          <w:rStyle w:val="32"/>
          <w:rFonts w:hint="default" w:ascii="Times New Roman" w:hAnsi="Times New Roman" w:eastAsia="黑体" w:cs="Times New Roman"/>
          <w:b w:val="0"/>
          <w:color w:val="auto"/>
          <w:sz w:val="32"/>
          <w:szCs w:val="32"/>
          <w:highlight w:val="none"/>
        </w:rPr>
        <w:t>国有资本经营预算支出决算情况说明</w:t>
      </w:r>
      <w:bookmarkEnd w:id="33"/>
      <w:bookmarkEnd w:id="34"/>
    </w:p>
    <w:p w14:paraId="332DE2F1">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bookmarkStart w:id="35" w:name="_Toc15377221"/>
      <w:bookmarkStart w:id="36" w:name="_Toc15396612"/>
      <w:r>
        <w:rPr>
          <w:rFonts w:hint="default" w:ascii="Times New Roman" w:hAnsi="Times New Roman" w:eastAsia="仿宋_GB2312" w:cs="Times New Roman"/>
          <w:color w:val="000000"/>
          <w:kern w:val="2"/>
          <w:sz w:val="32"/>
          <w:szCs w:val="24"/>
        </w:rPr>
        <w:t>202</w:t>
      </w:r>
      <w:r>
        <w:rPr>
          <w:rFonts w:hint="default" w:ascii="Times New Roman" w:hAnsi="Times New Roman" w:eastAsia="仿宋_GB2312" w:cs="Times New Roman"/>
          <w:color w:val="000000"/>
          <w:kern w:val="2"/>
          <w:sz w:val="32"/>
          <w:szCs w:val="24"/>
          <w:lang w:val="en-US" w:eastAsia="zh-CN"/>
        </w:rPr>
        <w:t>4</w:t>
      </w:r>
      <w:r>
        <w:rPr>
          <w:rFonts w:hint="default" w:ascii="Times New Roman" w:hAnsi="Times New Roman" w:eastAsia="仿宋_GB2312" w:cs="Times New Roman"/>
          <w:color w:val="000000"/>
          <w:kern w:val="2"/>
          <w:sz w:val="32"/>
          <w:szCs w:val="24"/>
        </w:rPr>
        <w:t>年国有资本经营预算拨款支出0万元。</w:t>
      </w:r>
    </w:p>
    <w:p w14:paraId="65F147B7">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2"/>
          <w:rFonts w:hint="default" w:ascii="Times New Roman" w:hAnsi="Times New Roman" w:eastAsia="黑体" w:cs="Times New Roman"/>
          <w:b w:val="0"/>
          <w:color w:val="auto"/>
          <w:sz w:val="32"/>
          <w:szCs w:val="32"/>
          <w:highlight w:val="none"/>
        </w:rPr>
      </w:pPr>
      <w:r>
        <w:rPr>
          <w:rStyle w:val="32"/>
          <w:rFonts w:hint="default" w:ascii="Times New Roman" w:hAnsi="Times New Roman" w:eastAsia="黑体" w:cs="Times New Roman"/>
          <w:b w:val="0"/>
          <w:color w:val="auto"/>
          <w:sz w:val="32"/>
          <w:szCs w:val="32"/>
          <w:highlight w:val="none"/>
          <w:lang w:eastAsia="zh-CN"/>
        </w:rPr>
        <w:t>十、</w:t>
      </w:r>
      <w:r>
        <w:rPr>
          <w:rStyle w:val="32"/>
          <w:rFonts w:hint="default" w:ascii="Times New Roman" w:hAnsi="Times New Roman" w:eastAsia="黑体" w:cs="Times New Roman"/>
          <w:b w:val="0"/>
          <w:color w:val="auto"/>
          <w:sz w:val="32"/>
          <w:szCs w:val="32"/>
          <w:highlight w:val="none"/>
        </w:rPr>
        <w:t>其他重要事项的情况说明</w:t>
      </w:r>
      <w:bookmarkEnd w:id="35"/>
      <w:bookmarkEnd w:id="36"/>
    </w:p>
    <w:p w14:paraId="716B26CA">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bookmarkStart w:id="37" w:name="_Toc15377222"/>
      <w:r>
        <w:rPr>
          <w:rFonts w:hint="default" w:ascii="Times New Roman" w:hAnsi="Times New Roman" w:eastAsia="楷体_GB2312" w:cs="Times New Roman"/>
          <w:b/>
          <w:color w:val="auto"/>
          <w:sz w:val="32"/>
          <w:szCs w:val="32"/>
          <w:highlight w:val="none"/>
        </w:rPr>
        <w:t>（一）机关运行经费支出情况</w:t>
      </w:r>
      <w:bookmarkEnd w:id="37"/>
    </w:p>
    <w:p w14:paraId="100DE20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Times New Roman"/>
          <w:color w:val="auto"/>
          <w:sz w:val="32"/>
          <w:szCs w:val="32"/>
        </w:rPr>
      </w:pPr>
      <w:bookmarkStart w:id="38" w:name="_Toc15377223"/>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年度，广元市昭化区发展和改革局机关运行经费支出</w:t>
      </w:r>
      <w:r>
        <w:rPr>
          <w:rFonts w:hint="default" w:ascii="Times New Roman" w:hAnsi="Times New Roman" w:eastAsia="仿宋_GB2312" w:cs="Times New Roman"/>
          <w:color w:val="auto"/>
          <w:sz w:val="32"/>
          <w:szCs w:val="32"/>
          <w:lang w:val="en-US" w:eastAsia="zh-CN"/>
        </w:rPr>
        <w:t>327.33</w:t>
      </w:r>
      <w:r>
        <w:rPr>
          <w:rFonts w:hint="default" w:ascii="Times New Roman" w:hAnsi="Times New Roman" w:eastAsia="仿宋_GB2312" w:cs="Times New Roman"/>
          <w:color w:val="auto"/>
          <w:sz w:val="32"/>
          <w:szCs w:val="32"/>
        </w:rPr>
        <w:t>万元，比202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val="en-US" w:eastAsia="zh-CN"/>
        </w:rPr>
        <w:t>增加127.05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增加38.8</w:t>
      </w:r>
      <w:r>
        <w:rPr>
          <w:rFonts w:hint="default" w:ascii="Times New Roman" w:hAnsi="Times New Roman" w:eastAsia="仿宋_GB2312" w:cs="Times New Roman"/>
          <w:color w:val="auto"/>
          <w:sz w:val="32"/>
          <w:szCs w:val="32"/>
        </w:rPr>
        <w:t>%。主要原因是较202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年人员</w:t>
      </w:r>
      <w:r>
        <w:rPr>
          <w:rFonts w:hint="default" w:ascii="Times New Roman" w:hAnsi="Times New Roman" w:eastAsia="仿宋_GB2312" w:cs="Times New Roman"/>
          <w:color w:val="auto"/>
          <w:sz w:val="32"/>
          <w:szCs w:val="32"/>
          <w:lang w:val="en-US" w:eastAsia="zh-CN"/>
        </w:rPr>
        <w:t>增加</w:t>
      </w:r>
      <w:r>
        <w:rPr>
          <w:rFonts w:hint="default" w:ascii="Times New Roman" w:hAnsi="Times New Roman" w:eastAsia="仿宋_GB2312" w:cs="Times New Roman"/>
          <w:color w:val="auto"/>
          <w:sz w:val="32"/>
          <w:szCs w:val="32"/>
        </w:rPr>
        <w:t>。</w:t>
      </w:r>
    </w:p>
    <w:p w14:paraId="15AB628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（二）政府采购支出情况</w:t>
      </w:r>
      <w:bookmarkEnd w:id="38"/>
    </w:p>
    <w:p w14:paraId="74A33792">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bookmarkStart w:id="39" w:name="_Toc15377224"/>
      <w:r>
        <w:rPr>
          <w:rFonts w:hint="default" w:ascii="Times New Roman" w:hAnsi="Times New Roman" w:eastAsia="仿宋_GB2312" w:cs="Times New Roman"/>
          <w:color w:val="auto"/>
          <w:kern w:val="2"/>
          <w:sz w:val="32"/>
          <w:szCs w:val="24"/>
        </w:rPr>
        <w:t>202</w:t>
      </w:r>
      <w:r>
        <w:rPr>
          <w:rFonts w:hint="default" w:ascii="Times New Roman" w:hAnsi="Times New Roman" w:eastAsia="仿宋_GB2312" w:cs="Times New Roman"/>
          <w:color w:val="auto"/>
          <w:kern w:val="2"/>
          <w:sz w:val="32"/>
          <w:szCs w:val="24"/>
          <w:lang w:val="en-US" w:eastAsia="zh-CN"/>
        </w:rPr>
        <w:t>4</w:t>
      </w:r>
      <w:r>
        <w:rPr>
          <w:rFonts w:hint="default" w:ascii="Times New Roman" w:hAnsi="Times New Roman" w:eastAsia="仿宋_GB2312" w:cs="Times New Roman"/>
          <w:color w:val="auto"/>
          <w:kern w:val="2"/>
          <w:sz w:val="32"/>
          <w:szCs w:val="24"/>
        </w:rPr>
        <w:t>年，广元市昭化区发展和改革局</w:t>
      </w:r>
      <w:r>
        <w:rPr>
          <w:rFonts w:hint="default" w:ascii="Times New Roman" w:hAnsi="Times New Roman" w:eastAsia="仿宋_GB2312" w:cs="Times New Roman"/>
          <w:color w:val="auto"/>
          <w:kern w:val="2"/>
          <w:sz w:val="32"/>
          <w:szCs w:val="24"/>
          <w:lang w:val="en-US" w:eastAsia="zh-CN"/>
        </w:rPr>
        <w:t>未发生</w:t>
      </w:r>
      <w:r>
        <w:rPr>
          <w:rFonts w:hint="default" w:ascii="Times New Roman" w:hAnsi="Times New Roman" w:eastAsia="仿宋_GB2312" w:cs="Times New Roman"/>
          <w:color w:val="auto"/>
          <w:kern w:val="2"/>
          <w:sz w:val="32"/>
          <w:szCs w:val="24"/>
        </w:rPr>
        <w:t>政府采购支出。</w:t>
      </w:r>
    </w:p>
    <w:p w14:paraId="21C31DD1">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lang w:val="en-US" w:eastAsia="zh-CN"/>
        </w:rPr>
        <w:t>三</w:t>
      </w:r>
      <w:r>
        <w:rPr>
          <w:rFonts w:hint="default" w:ascii="Times New Roman" w:hAnsi="Times New Roman" w:eastAsia="楷体_GB2312" w:cs="Times New Roman"/>
          <w:b/>
          <w:color w:val="auto"/>
          <w:sz w:val="32"/>
          <w:szCs w:val="32"/>
          <w:highlight w:val="none"/>
          <w:lang w:eastAsia="zh-CN"/>
        </w:rPr>
        <w:t>）</w:t>
      </w:r>
      <w:r>
        <w:rPr>
          <w:rFonts w:hint="default" w:ascii="Times New Roman" w:hAnsi="Times New Roman" w:eastAsia="楷体_GB2312" w:cs="Times New Roman"/>
          <w:b/>
          <w:color w:val="auto"/>
          <w:sz w:val="32"/>
          <w:szCs w:val="32"/>
          <w:highlight w:val="none"/>
        </w:rPr>
        <w:t>国有资产占有使用情况</w:t>
      </w:r>
      <w:bookmarkEnd w:id="39"/>
    </w:p>
    <w:p w14:paraId="69E3890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截至20</w:t>
      </w:r>
      <w:r>
        <w:rPr>
          <w:rFonts w:hint="default" w:ascii="Times New Roman" w:hAnsi="Times New Roman" w:eastAsia="仿宋_GB2312" w:cs="Times New Roman"/>
          <w:color w:val="000000"/>
          <w:kern w:val="2"/>
          <w:sz w:val="32"/>
          <w:szCs w:val="24"/>
          <w:lang w:val="en-US" w:eastAsia="zh-CN"/>
        </w:rPr>
        <w:t>24</w:t>
      </w:r>
      <w:r>
        <w:rPr>
          <w:rFonts w:hint="default" w:ascii="Times New Roman" w:hAnsi="Times New Roman" w:eastAsia="仿宋_GB2312" w:cs="Times New Roman"/>
          <w:color w:val="000000"/>
          <w:kern w:val="2"/>
          <w:sz w:val="32"/>
          <w:szCs w:val="24"/>
        </w:rPr>
        <w:t>年12月31日，广元市昭化区发展和改革局无公务用车辆。其中：副部（省）级及以上领导用车0辆、主要负责人用车0辆、机要通信用车0辆、应急保障用车0辆、执法执勤用车0辆、特种专业技术用车0辆、离退休干部服务用车0辆、其他用车0辆。</w:t>
      </w:r>
    </w:p>
    <w:p w14:paraId="4DE01284">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rPr>
        <w:t>单价100万元（含）以上设备0台（套）。</w:t>
      </w:r>
    </w:p>
    <w:p w14:paraId="6FC5111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7923D504">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auto"/>
          <w:kern w:val="2"/>
          <w:sz w:val="32"/>
          <w:szCs w:val="24"/>
          <w:lang w:val="en-US" w:eastAsia="zh-CN"/>
        </w:rPr>
      </w:pPr>
      <w:r>
        <w:rPr>
          <w:rFonts w:hint="default" w:ascii="Times New Roman" w:hAnsi="Times New Roman" w:eastAsia="仿宋_GB2312" w:cs="Times New Roman"/>
          <w:color w:val="auto"/>
          <w:kern w:val="2"/>
          <w:sz w:val="32"/>
          <w:szCs w:val="24"/>
          <w:lang w:val="en-US"/>
        </w:rPr>
        <w:t>根据预算绩效管理要求，本单位在202</w:t>
      </w:r>
      <w:r>
        <w:rPr>
          <w:rFonts w:hint="default" w:ascii="Times New Roman" w:hAnsi="Times New Roman" w:eastAsia="仿宋_GB2312" w:cs="Times New Roman"/>
          <w:color w:val="auto"/>
          <w:kern w:val="2"/>
          <w:sz w:val="32"/>
          <w:szCs w:val="24"/>
          <w:lang w:val="en-US" w:eastAsia="zh-CN"/>
        </w:rPr>
        <w:t>4</w:t>
      </w:r>
      <w:r>
        <w:rPr>
          <w:rFonts w:hint="default" w:ascii="Times New Roman" w:hAnsi="Times New Roman" w:eastAsia="仿宋_GB2312" w:cs="Times New Roman"/>
          <w:color w:val="auto"/>
          <w:kern w:val="2"/>
          <w:sz w:val="32"/>
          <w:szCs w:val="24"/>
          <w:lang w:val="en-US"/>
        </w:rPr>
        <w:t>年度预算编制阶段，组织对县域经济高质量发展经费等</w:t>
      </w:r>
      <w:r>
        <w:rPr>
          <w:rFonts w:hint="default" w:ascii="Times New Roman" w:hAnsi="Times New Roman" w:eastAsia="仿宋_GB2312" w:cs="Times New Roman"/>
          <w:color w:val="auto"/>
          <w:kern w:val="2"/>
          <w:sz w:val="32"/>
          <w:szCs w:val="24"/>
          <w:lang w:val="en-US" w:eastAsia="zh-CN"/>
        </w:rPr>
        <w:t>5</w:t>
      </w:r>
      <w:r>
        <w:rPr>
          <w:rFonts w:hint="default" w:ascii="Times New Roman" w:hAnsi="Times New Roman" w:eastAsia="仿宋_GB2312" w:cs="Times New Roman"/>
          <w:color w:val="auto"/>
          <w:kern w:val="2"/>
          <w:sz w:val="32"/>
          <w:szCs w:val="24"/>
          <w:lang w:val="en-US"/>
        </w:rPr>
        <w:t>个项目开展了预算事前绩效评估，对</w:t>
      </w:r>
      <w:r>
        <w:rPr>
          <w:rFonts w:hint="default" w:ascii="Times New Roman" w:hAnsi="Times New Roman" w:eastAsia="仿宋_GB2312" w:cs="Times New Roman"/>
          <w:color w:val="auto"/>
          <w:kern w:val="2"/>
          <w:sz w:val="32"/>
          <w:szCs w:val="24"/>
          <w:lang w:val="en-US" w:eastAsia="zh-CN"/>
        </w:rPr>
        <w:t>7</w:t>
      </w:r>
      <w:r>
        <w:rPr>
          <w:rFonts w:hint="default" w:ascii="Times New Roman" w:hAnsi="Times New Roman" w:eastAsia="仿宋_GB2312" w:cs="Times New Roman"/>
          <w:color w:val="auto"/>
          <w:kern w:val="2"/>
          <w:sz w:val="32"/>
          <w:szCs w:val="24"/>
          <w:lang w:val="en-US"/>
        </w:rPr>
        <w:t>个项目编制了绩效目标，预算执行过程中，选取</w:t>
      </w:r>
      <w:r>
        <w:rPr>
          <w:rFonts w:hint="default" w:ascii="Times New Roman" w:hAnsi="Times New Roman" w:eastAsia="仿宋_GB2312" w:cs="Times New Roman"/>
          <w:color w:val="auto"/>
          <w:kern w:val="2"/>
          <w:sz w:val="32"/>
          <w:szCs w:val="24"/>
          <w:lang w:val="en-US" w:eastAsia="zh-CN"/>
        </w:rPr>
        <w:t>24</w:t>
      </w:r>
      <w:r>
        <w:rPr>
          <w:rFonts w:hint="default" w:ascii="Times New Roman" w:hAnsi="Times New Roman" w:eastAsia="仿宋_GB2312" w:cs="Times New Roman"/>
          <w:color w:val="auto"/>
          <w:kern w:val="2"/>
          <w:sz w:val="32"/>
          <w:szCs w:val="24"/>
          <w:lang w:val="en-US"/>
        </w:rPr>
        <w:t>个项目开展绩效监控</w:t>
      </w:r>
      <w:r>
        <w:rPr>
          <w:rFonts w:hint="default" w:ascii="Times New Roman" w:hAnsi="Times New Roman" w:eastAsia="仿宋_GB2312" w:cs="Times New Roman"/>
          <w:color w:val="auto"/>
          <w:kern w:val="2"/>
          <w:sz w:val="32"/>
          <w:szCs w:val="24"/>
          <w:lang w:val="en-US" w:eastAsia="zh-CN"/>
        </w:rPr>
        <w:t>。</w:t>
      </w:r>
    </w:p>
    <w:p w14:paraId="5B0B3DFF">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24"/>
          <w:lang w:val="en-US" w:eastAsia="zh-CN"/>
        </w:rPr>
        <w:t>组织对2024年度一般公共预算、政府性基金预算全面开展绩效自评，形成2024年度部门整体（含部门预算项目）绩效自评报告、2024年节能减排（充电桩基础设施建设奖励）等7个专项预算项目绩效自评报告。绩效自评报告详见附件。</w:t>
      </w:r>
      <w:r>
        <w:rPr>
          <w:rFonts w:hint="eastAsia" w:ascii="仿宋_GB2312" w:hAnsi="仿宋_GB2312" w:eastAsia="仿宋_GB2312"/>
          <w:color w:val="auto"/>
          <w:kern w:val="2"/>
          <w:sz w:val="32"/>
          <w:szCs w:val="24"/>
          <w:lang w:val="en-US" w:eastAsia="zh-CN"/>
        </w:rPr>
        <w:br w:type="page"/>
      </w:r>
    </w:p>
    <w:p w14:paraId="2C4C350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default" w:ascii="Times New Roman" w:hAnsi="Times New Roman" w:eastAsia="方正小标宋简体" w:cs="Times New Roman"/>
          <w:color w:val="auto"/>
          <w:sz w:val="44"/>
          <w:szCs w:val="44"/>
          <w:highlight w:val="none"/>
        </w:rPr>
      </w:pPr>
      <w:bookmarkStart w:id="40" w:name="_Toc15396613"/>
      <w:bookmarkStart w:id="41" w:name="_Toc15377225"/>
      <w:r>
        <w:rPr>
          <w:rFonts w:hint="default" w:ascii="Times New Roman" w:hAnsi="Times New Roman" w:eastAsia="方正小标宋简体" w:cs="Times New Roman"/>
          <w:color w:val="auto"/>
          <w:sz w:val="44"/>
          <w:szCs w:val="44"/>
          <w:highlight w:val="none"/>
        </w:rPr>
        <w:t>第</w:t>
      </w:r>
      <w:r>
        <w:rPr>
          <w:rFonts w:hint="default" w:ascii="Times New Roman" w:hAnsi="Times New Roman" w:eastAsia="方正小标宋简体" w:cs="Times New Roman"/>
          <w:color w:val="auto"/>
          <w:sz w:val="44"/>
          <w:szCs w:val="44"/>
          <w:highlight w:val="none"/>
          <w:lang w:eastAsia="zh-CN"/>
        </w:rPr>
        <w:t>三</w:t>
      </w:r>
      <w:r>
        <w:rPr>
          <w:rFonts w:hint="default" w:ascii="Times New Roman" w:hAnsi="Times New Roman" w:eastAsia="方正小标宋简体" w:cs="Times New Roman"/>
          <w:color w:val="auto"/>
          <w:sz w:val="44"/>
          <w:szCs w:val="44"/>
          <w:highlight w:val="none"/>
        </w:rPr>
        <w:t>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名词解释</w:t>
      </w:r>
      <w:bookmarkEnd w:id="40"/>
      <w:bookmarkEnd w:id="41"/>
    </w:p>
    <w:p w14:paraId="0644E42B">
      <w:pPr>
        <w:keepNext w:val="0"/>
        <w:keepLines w:val="0"/>
        <w:pageBreakBefore w:val="0"/>
        <w:widowControl w:val="0"/>
        <w:kinsoku/>
        <w:wordWrap/>
        <w:overflowPunct w:val="0"/>
        <w:topLinePunct/>
        <w:autoSpaceDE w:val="0"/>
        <w:autoSpaceDN w:val="0"/>
        <w:bidi w:val="0"/>
        <w:spacing w:line="600" w:lineRule="exact"/>
        <w:jc w:val="left"/>
        <w:textAlignment w:val="auto"/>
        <w:rPr>
          <w:rFonts w:hint="default" w:ascii="Times New Roman" w:hAnsi="Times New Roman" w:cs="Times New Roman"/>
          <w:b/>
          <w:color w:val="auto"/>
          <w:sz w:val="44"/>
          <w:szCs w:val="44"/>
          <w:highlight w:val="none"/>
        </w:rPr>
      </w:pPr>
    </w:p>
    <w:p w14:paraId="45D4E8A8">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bookmarkStart w:id="42" w:name="_Toc15396614"/>
      <w:bookmarkStart w:id="43" w:name="_Toc15377226"/>
      <w:r>
        <w:rPr>
          <w:rFonts w:hint="default" w:ascii="Times New Roman" w:hAnsi="Times New Roman" w:eastAsia="仿宋_GB2312" w:cs="Times New Roman"/>
          <w:color w:val="000000"/>
          <w:sz w:val="32"/>
          <w:szCs w:val="24"/>
          <w:lang w:val="en-US"/>
        </w:rPr>
        <w:t>一、财政拨款收入：指单位从同级财政部门取得的财政预算资金。</w:t>
      </w:r>
    </w:p>
    <w:p w14:paraId="79077EE0">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rPr>
        <w:t>二、事业收入：指事业单位开展专业业务活动及辅助活动取得的收入。</w:t>
      </w:r>
    </w:p>
    <w:p w14:paraId="3D9C23D3">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rPr>
        <w:t>三、经营收入：指事业单位在专业业务活动及其辅助活动之外开展非独立核算经营活动取得的收入。</w:t>
      </w:r>
    </w:p>
    <w:p w14:paraId="21F81F52">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rPr>
        <w:t>四、其他收入：指单位取得的除上述收入以外的各项收入。</w:t>
      </w:r>
    </w:p>
    <w:p w14:paraId="6499CC97">
      <w:pPr>
        <w:pStyle w:val="29"/>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auto"/>
          <w:kern w:val="2"/>
          <w:sz w:val="32"/>
          <w:szCs w:val="24"/>
        </w:rPr>
      </w:pPr>
      <w:r>
        <w:rPr>
          <w:rFonts w:hint="default" w:ascii="Times New Roman" w:hAnsi="Times New Roman" w:eastAsia="仿宋_GB2312" w:cs="Times New Roman"/>
          <w:color w:val="auto"/>
          <w:kern w:val="2"/>
          <w:sz w:val="32"/>
          <w:szCs w:val="24"/>
        </w:rPr>
        <w:t>五、</w:t>
      </w:r>
      <w:r>
        <w:rPr>
          <w:rFonts w:hint="default" w:ascii="Times New Roman" w:hAnsi="Times New Roman" w:eastAsia="仿宋_GB2312" w:cs="Times New Roman"/>
          <w:sz w:val="32"/>
          <w:szCs w:val="24"/>
        </w:rPr>
        <w:t>使用非财政拨款结余（含专用结余）</w:t>
      </w:r>
      <w:r>
        <w:rPr>
          <w:rFonts w:hint="default" w:ascii="Times New Roman" w:hAnsi="Times New Roman" w:eastAsia="仿宋_GB2312" w:cs="Times New Roman"/>
          <w:color w:val="auto"/>
          <w:sz w:val="32"/>
          <w:szCs w:val="24"/>
        </w:rPr>
        <w:t xml:space="preserve">：指事业单位使用以前年度积累的非财政拨款结余弥补当年收支差额的金额。 </w:t>
      </w:r>
    </w:p>
    <w:p w14:paraId="3F2EAA1D">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rPr>
        <w:t xml:space="preserve">六、年初结转和结余：指以前年度尚未完成、结转到本年按有关规定继续使用的资金。 </w:t>
      </w:r>
    </w:p>
    <w:p w14:paraId="2B6088F1">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rPr>
        <w:t>七、结余分配：指事业单位按照会计制度规定缴纳的所得税、提取的专用结余以及转入非财政拨款结余的金额等。</w:t>
      </w:r>
    </w:p>
    <w:p w14:paraId="2F5B5CD1">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rPr>
        <w:t>八、年末结转和结余：指单位按有关规定结转到下年或以后年度继续使用的资金。</w:t>
      </w:r>
    </w:p>
    <w:p w14:paraId="46C5A315">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val="en-US"/>
        </w:rPr>
        <w:t>九、一般公共服务支出（类）</w:t>
      </w:r>
      <w:r>
        <w:rPr>
          <w:rFonts w:hint="default" w:ascii="Times New Roman" w:hAnsi="Times New Roman" w:eastAsia="仿宋_GB2312" w:cs="Times New Roman"/>
          <w:color w:val="000000"/>
          <w:kern w:val="2"/>
          <w:sz w:val="32"/>
          <w:szCs w:val="24"/>
          <w:lang w:val="en-US" w:eastAsia="zh-CN"/>
        </w:rPr>
        <w:t>发展与改革事务</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行政运行</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auto"/>
          <w:sz w:val="32"/>
          <w:szCs w:val="32"/>
        </w:rPr>
        <w:t>反映行政单位（包括实行公务员管理的事业单位）的基本支出</w:t>
      </w:r>
      <w:r>
        <w:rPr>
          <w:rFonts w:hint="default" w:ascii="Times New Roman" w:hAnsi="Times New Roman" w:eastAsia="仿宋_GB2312" w:cs="Times New Roman"/>
          <w:color w:val="000000"/>
          <w:kern w:val="2"/>
          <w:sz w:val="32"/>
          <w:szCs w:val="24"/>
        </w:rPr>
        <w:t>。</w:t>
      </w:r>
    </w:p>
    <w:p w14:paraId="19C40138">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val="en-US"/>
        </w:rPr>
        <w:t>十、一般公共服务支出（类）</w:t>
      </w:r>
      <w:r>
        <w:rPr>
          <w:rFonts w:hint="default" w:ascii="Times New Roman" w:hAnsi="Times New Roman" w:eastAsia="仿宋_GB2312" w:cs="Times New Roman"/>
          <w:color w:val="000000"/>
          <w:kern w:val="2"/>
          <w:sz w:val="32"/>
          <w:szCs w:val="24"/>
          <w:lang w:val="en-US" w:eastAsia="zh-CN"/>
        </w:rPr>
        <w:t>发展与改革事务</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事业运行</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auto"/>
          <w:sz w:val="32"/>
          <w:szCs w:val="32"/>
        </w:rPr>
        <w:t>反映事业人员的基本支出</w:t>
      </w:r>
      <w:r>
        <w:rPr>
          <w:rFonts w:hint="default" w:ascii="Times New Roman" w:hAnsi="Times New Roman" w:eastAsia="仿宋_GB2312" w:cs="Times New Roman"/>
          <w:color w:val="000000"/>
          <w:kern w:val="2"/>
          <w:sz w:val="32"/>
          <w:szCs w:val="24"/>
        </w:rPr>
        <w:t>。</w:t>
      </w:r>
    </w:p>
    <w:p w14:paraId="26B4A3A0">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一</w:t>
      </w:r>
      <w:r>
        <w:rPr>
          <w:rFonts w:hint="default" w:ascii="Times New Roman" w:hAnsi="Times New Roman" w:eastAsia="仿宋_GB2312" w:cs="Times New Roman"/>
          <w:color w:val="000000"/>
          <w:kern w:val="2"/>
          <w:sz w:val="32"/>
          <w:szCs w:val="24"/>
          <w:lang w:val="en-US"/>
        </w:rPr>
        <w:t>、一般公共服务支出（类）</w:t>
      </w:r>
      <w:r>
        <w:rPr>
          <w:rFonts w:hint="default" w:ascii="Times New Roman" w:hAnsi="Times New Roman" w:eastAsia="仿宋_GB2312" w:cs="Times New Roman"/>
          <w:color w:val="000000"/>
          <w:kern w:val="2"/>
          <w:sz w:val="32"/>
          <w:szCs w:val="24"/>
          <w:lang w:val="en-US" w:eastAsia="zh-CN"/>
        </w:rPr>
        <w:t>发展与改革事务</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其他发展与改革事务支出</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Fonts w:hint="default" w:ascii="Times New Roman" w:hAnsi="Times New Roman" w:eastAsia="仿宋_GB2312" w:cs="Times New Roman"/>
          <w:color w:val="auto"/>
          <w:sz w:val="32"/>
          <w:szCs w:val="32"/>
        </w:rPr>
        <w:t>反映其他发展与改革事务支出</w:t>
      </w:r>
      <w:r>
        <w:rPr>
          <w:rFonts w:hint="default" w:ascii="Times New Roman" w:hAnsi="Times New Roman" w:eastAsia="仿宋_GB2312" w:cs="Times New Roman"/>
          <w:color w:val="000000"/>
          <w:kern w:val="2"/>
          <w:sz w:val="32"/>
          <w:szCs w:val="24"/>
        </w:rPr>
        <w:t>。</w:t>
      </w:r>
    </w:p>
    <w:p w14:paraId="4F4190F4">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二</w:t>
      </w:r>
      <w:r>
        <w:rPr>
          <w:rFonts w:hint="default" w:ascii="Times New Roman" w:hAnsi="Times New Roman" w:eastAsia="仿宋_GB2312" w:cs="Times New Roman"/>
          <w:color w:val="000000"/>
          <w:kern w:val="2"/>
          <w:sz w:val="32"/>
          <w:szCs w:val="24"/>
          <w:lang w:val="en-US"/>
        </w:rPr>
        <w:t>、文化</w:t>
      </w:r>
      <w:r>
        <w:rPr>
          <w:rFonts w:hint="default" w:ascii="Times New Roman" w:hAnsi="Times New Roman" w:eastAsia="仿宋_GB2312" w:cs="Times New Roman"/>
          <w:color w:val="000000"/>
          <w:kern w:val="2"/>
          <w:sz w:val="32"/>
          <w:szCs w:val="24"/>
          <w:lang w:val="en-US" w:eastAsia="zh-CN"/>
        </w:rPr>
        <w:t>旅游</w:t>
      </w:r>
      <w:r>
        <w:rPr>
          <w:rFonts w:hint="default" w:ascii="Times New Roman" w:hAnsi="Times New Roman" w:eastAsia="仿宋_GB2312" w:cs="Times New Roman"/>
          <w:color w:val="000000"/>
          <w:kern w:val="2"/>
          <w:sz w:val="32"/>
          <w:szCs w:val="24"/>
          <w:lang w:val="en-US"/>
        </w:rPr>
        <w:t>体育与传媒支出（类）</w:t>
      </w:r>
      <w:r>
        <w:rPr>
          <w:rFonts w:hint="default" w:ascii="Times New Roman" w:hAnsi="Times New Roman" w:eastAsia="仿宋_GB2312" w:cs="Times New Roman"/>
          <w:color w:val="000000"/>
          <w:kern w:val="2"/>
          <w:sz w:val="32"/>
          <w:szCs w:val="24"/>
          <w:lang w:val="en-US" w:eastAsia="zh-CN"/>
        </w:rPr>
        <w:t>其他</w:t>
      </w:r>
      <w:r>
        <w:rPr>
          <w:rFonts w:hint="default" w:ascii="Times New Roman" w:hAnsi="Times New Roman" w:eastAsia="仿宋_GB2312" w:cs="Times New Roman"/>
          <w:color w:val="000000"/>
          <w:kern w:val="2"/>
          <w:sz w:val="32"/>
          <w:szCs w:val="24"/>
          <w:lang w:val="en-US"/>
        </w:rPr>
        <w:t>文化</w:t>
      </w:r>
      <w:r>
        <w:rPr>
          <w:rFonts w:hint="default" w:ascii="Times New Roman" w:hAnsi="Times New Roman" w:eastAsia="仿宋_GB2312" w:cs="Times New Roman"/>
          <w:color w:val="000000"/>
          <w:kern w:val="2"/>
          <w:sz w:val="32"/>
          <w:szCs w:val="24"/>
          <w:lang w:val="en-US" w:eastAsia="zh-CN"/>
        </w:rPr>
        <w:t>旅游</w:t>
      </w:r>
      <w:r>
        <w:rPr>
          <w:rFonts w:hint="default" w:ascii="Times New Roman" w:hAnsi="Times New Roman" w:eastAsia="仿宋_GB2312" w:cs="Times New Roman"/>
          <w:color w:val="000000"/>
          <w:kern w:val="2"/>
          <w:sz w:val="32"/>
          <w:szCs w:val="24"/>
          <w:lang w:val="en-US"/>
        </w:rPr>
        <w:t>体育与传媒支出（款）</w:t>
      </w:r>
      <w:r>
        <w:rPr>
          <w:rFonts w:hint="default" w:ascii="Times New Roman" w:hAnsi="Times New Roman" w:eastAsia="仿宋_GB2312" w:cs="Times New Roman"/>
          <w:color w:val="000000"/>
          <w:kern w:val="2"/>
          <w:sz w:val="32"/>
          <w:szCs w:val="24"/>
          <w:lang w:val="en-US" w:eastAsia="zh-CN"/>
        </w:rPr>
        <w:t>其他</w:t>
      </w:r>
      <w:r>
        <w:rPr>
          <w:rFonts w:hint="default" w:ascii="Times New Roman" w:hAnsi="Times New Roman" w:eastAsia="仿宋_GB2312" w:cs="Times New Roman"/>
          <w:color w:val="000000"/>
          <w:kern w:val="2"/>
          <w:sz w:val="32"/>
          <w:szCs w:val="24"/>
          <w:lang w:val="en-US"/>
        </w:rPr>
        <w:t>文化</w:t>
      </w:r>
      <w:r>
        <w:rPr>
          <w:rFonts w:hint="default" w:ascii="Times New Roman" w:hAnsi="Times New Roman" w:eastAsia="仿宋_GB2312" w:cs="Times New Roman"/>
          <w:color w:val="000000"/>
          <w:kern w:val="2"/>
          <w:sz w:val="32"/>
          <w:szCs w:val="24"/>
          <w:lang w:val="en-US" w:eastAsia="zh-CN"/>
        </w:rPr>
        <w:t>旅游</w:t>
      </w:r>
      <w:r>
        <w:rPr>
          <w:rFonts w:hint="default" w:ascii="Times New Roman" w:hAnsi="Times New Roman" w:eastAsia="仿宋_GB2312" w:cs="Times New Roman"/>
          <w:color w:val="000000"/>
          <w:kern w:val="2"/>
          <w:sz w:val="32"/>
          <w:szCs w:val="24"/>
          <w:lang w:val="en-US"/>
        </w:rPr>
        <w:t>体育与传媒支出（项）：指</w:t>
      </w:r>
      <w:r>
        <w:rPr>
          <w:rFonts w:hint="default" w:ascii="Times New Roman" w:hAnsi="Times New Roman" w:eastAsia="仿宋_GB2312" w:cs="Times New Roman"/>
          <w:color w:val="000000"/>
          <w:kern w:val="2"/>
          <w:sz w:val="32"/>
          <w:szCs w:val="24"/>
          <w:lang w:val="en-US" w:eastAsia="zh-CN"/>
        </w:rPr>
        <w:t>反应其他</w:t>
      </w:r>
      <w:r>
        <w:rPr>
          <w:rFonts w:hint="default" w:ascii="Times New Roman" w:hAnsi="Times New Roman" w:eastAsia="仿宋_GB2312" w:cs="Times New Roman"/>
          <w:color w:val="000000"/>
          <w:kern w:val="2"/>
          <w:sz w:val="32"/>
          <w:szCs w:val="24"/>
          <w:lang w:val="en-US"/>
        </w:rPr>
        <w:t>文化</w:t>
      </w:r>
      <w:r>
        <w:rPr>
          <w:rFonts w:hint="default" w:ascii="Times New Roman" w:hAnsi="Times New Roman" w:eastAsia="仿宋_GB2312" w:cs="Times New Roman"/>
          <w:color w:val="000000"/>
          <w:kern w:val="2"/>
          <w:sz w:val="32"/>
          <w:szCs w:val="24"/>
          <w:lang w:val="en-US" w:eastAsia="zh-CN"/>
        </w:rPr>
        <w:t>旅游</w:t>
      </w:r>
      <w:r>
        <w:rPr>
          <w:rFonts w:hint="default" w:ascii="Times New Roman" w:hAnsi="Times New Roman" w:eastAsia="仿宋_GB2312" w:cs="Times New Roman"/>
          <w:color w:val="000000"/>
          <w:kern w:val="2"/>
          <w:sz w:val="32"/>
          <w:szCs w:val="24"/>
          <w:lang w:val="en-US"/>
        </w:rPr>
        <w:t>体育与传媒</w:t>
      </w:r>
      <w:r>
        <w:rPr>
          <w:rFonts w:hint="default" w:ascii="Times New Roman" w:hAnsi="Times New Roman" w:eastAsia="仿宋_GB2312" w:cs="Times New Roman"/>
          <w:color w:val="000000"/>
          <w:kern w:val="2"/>
          <w:sz w:val="32"/>
          <w:szCs w:val="24"/>
          <w:lang w:val="en-US" w:eastAsia="zh-CN"/>
        </w:rPr>
        <w:t>方面的</w:t>
      </w:r>
      <w:r>
        <w:rPr>
          <w:rFonts w:hint="default" w:ascii="Times New Roman" w:hAnsi="Times New Roman" w:eastAsia="仿宋_GB2312" w:cs="Times New Roman"/>
          <w:color w:val="000000"/>
          <w:kern w:val="2"/>
          <w:sz w:val="32"/>
          <w:szCs w:val="24"/>
          <w:lang w:val="en-US"/>
        </w:rPr>
        <w:t>支出。</w:t>
      </w:r>
    </w:p>
    <w:p w14:paraId="5ACF9DEE">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三</w:t>
      </w:r>
      <w:r>
        <w:rPr>
          <w:rFonts w:hint="default" w:ascii="Times New Roman" w:hAnsi="Times New Roman" w:eastAsia="仿宋_GB2312" w:cs="Times New Roman"/>
          <w:color w:val="000000"/>
          <w:kern w:val="2"/>
          <w:sz w:val="32"/>
          <w:szCs w:val="24"/>
          <w:lang w:val="en-US"/>
        </w:rPr>
        <w:t>、社会保障和就业支出（类）</w:t>
      </w:r>
      <w:r>
        <w:rPr>
          <w:rFonts w:hint="default" w:ascii="Times New Roman" w:hAnsi="Times New Roman" w:eastAsia="仿宋_GB2312" w:cs="Times New Roman"/>
          <w:color w:val="000000"/>
          <w:kern w:val="2"/>
          <w:sz w:val="32"/>
          <w:szCs w:val="24"/>
          <w:lang w:val="en-US" w:eastAsia="zh-CN"/>
        </w:rPr>
        <w:t>行政事业单位养老支出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行政单位离退休</w:t>
      </w:r>
      <w:r>
        <w:rPr>
          <w:rFonts w:hint="default" w:ascii="Times New Roman" w:hAnsi="Times New Roman" w:eastAsia="仿宋_GB2312" w:cs="Times New Roman"/>
          <w:color w:val="000000"/>
          <w:kern w:val="2"/>
          <w:sz w:val="32"/>
          <w:szCs w:val="24"/>
          <w:lang w:val="en-US"/>
        </w:rPr>
        <w:t>（项）：指</w:t>
      </w:r>
      <w:r>
        <w:rPr>
          <w:rFonts w:hint="default" w:ascii="Times New Roman" w:hAnsi="Times New Roman" w:eastAsia="仿宋_GB2312" w:cs="Times New Roman"/>
          <w:color w:val="000000"/>
          <w:kern w:val="2"/>
          <w:sz w:val="32"/>
          <w:szCs w:val="24"/>
          <w:lang w:val="en-US" w:eastAsia="zh-CN"/>
        </w:rPr>
        <w:t>反应机关事业单位离退休人员目标奖</w:t>
      </w:r>
      <w:r>
        <w:rPr>
          <w:rFonts w:hint="default" w:ascii="Times New Roman" w:hAnsi="Times New Roman" w:eastAsia="仿宋_GB2312" w:cs="Times New Roman"/>
          <w:color w:val="000000"/>
          <w:kern w:val="2"/>
          <w:sz w:val="32"/>
          <w:szCs w:val="24"/>
          <w:lang w:val="en-US"/>
        </w:rPr>
        <w:t>。</w:t>
      </w:r>
    </w:p>
    <w:p w14:paraId="052FFED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四</w:t>
      </w:r>
      <w:r>
        <w:rPr>
          <w:rFonts w:hint="default" w:ascii="Times New Roman" w:hAnsi="Times New Roman" w:eastAsia="仿宋_GB2312" w:cs="Times New Roman"/>
          <w:color w:val="000000"/>
          <w:kern w:val="2"/>
          <w:sz w:val="32"/>
          <w:szCs w:val="24"/>
          <w:lang w:val="en-US"/>
        </w:rPr>
        <w:t>、社会保障和就业支出（类）</w:t>
      </w:r>
      <w:r>
        <w:rPr>
          <w:rFonts w:hint="default" w:ascii="Times New Roman" w:hAnsi="Times New Roman" w:eastAsia="仿宋_GB2312" w:cs="Times New Roman"/>
          <w:color w:val="000000"/>
          <w:kern w:val="2"/>
          <w:sz w:val="32"/>
          <w:szCs w:val="24"/>
          <w:lang w:val="en-US" w:eastAsia="zh-CN"/>
        </w:rPr>
        <w:t>行政事业单位养老支出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机关事业单位基本养老保险缴费支出</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Style w:val="20"/>
          <w:rFonts w:hint="default" w:ascii="Times New Roman" w:hAnsi="Times New Roman" w:eastAsia="仿宋_GB2312" w:cs="Times New Roman"/>
          <w:b w:val="0"/>
          <w:color w:val="auto"/>
          <w:sz w:val="32"/>
          <w:szCs w:val="24"/>
        </w:rPr>
        <w:t>反映机关事业单位实施养老保险制度由单位缴纳的基本养老保险费支出</w:t>
      </w:r>
      <w:r>
        <w:rPr>
          <w:rFonts w:hint="default" w:ascii="Times New Roman" w:hAnsi="Times New Roman" w:eastAsia="仿宋_GB2312" w:cs="Times New Roman"/>
          <w:color w:val="000000"/>
          <w:kern w:val="2"/>
          <w:sz w:val="32"/>
          <w:szCs w:val="24"/>
        </w:rPr>
        <w:t>。</w:t>
      </w:r>
    </w:p>
    <w:p w14:paraId="3072BA70">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cs="Times New Roman"/>
          <w:lang w:val="en-US"/>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五</w:t>
      </w:r>
      <w:r>
        <w:rPr>
          <w:rFonts w:hint="default" w:ascii="Times New Roman" w:hAnsi="Times New Roman" w:eastAsia="仿宋_GB2312" w:cs="Times New Roman"/>
          <w:color w:val="000000"/>
          <w:kern w:val="2"/>
          <w:sz w:val="32"/>
          <w:szCs w:val="24"/>
          <w:lang w:val="en-US"/>
        </w:rPr>
        <w:t>、社会保障和就业支出（类）</w:t>
      </w:r>
      <w:r>
        <w:rPr>
          <w:rFonts w:hint="default" w:ascii="Times New Roman" w:hAnsi="Times New Roman" w:eastAsia="仿宋_GB2312" w:cs="Times New Roman"/>
          <w:color w:val="000000"/>
          <w:kern w:val="2"/>
          <w:sz w:val="32"/>
          <w:szCs w:val="24"/>
          <w:lang w:val="en-US" w:eastAsia="zh-CN"/>
        </w:rPr>
        <w:t>其他社会保障和就业支出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其他社会保障和就业支出</w:t>
      </w:r>
      <w:r>
        <w:rPr>
          <w:rFonts w:hint="default" w:ascii="Times New Roman" w:hAnsi="Times New Roman" w:eastAsia="仿宋_GB2312" w:cs="Times New Roman"/>
          <w:color w:val="000000"/>
          <w:kern w:val="2"/>
          <w:sz w:val="32"/>
          <w:szCs w:val="24"/>
          <w:lang w:val="en-US"/>
        </w:rPr>
        <w:t>（项）：指</w:t>
      </w:r>
      <w:r>
        <w:rPr>
          <w:rFonts w:hint="default" w:ascii="Times New Roman" w:hAnsi="Times New Roman" w:eastAsia="仿宋_GB2312" w:cs="Times New Roman"/>
          <w:color w:val="000000"/>
          <w:kern w:val="2"/>
          <w:sz w:val="32"/>
          <w:szCs w:val="24"/>
          <w:lang w:val="en-US" w:eastAsia="zh-CN"/>
        </w:rPr>
        <w:t>反应机关事业单位其他社会保障和就业方面的支出</w:t>
      </w:r>
      <w:r>
        <w:rPr>
          <w:rFonts w:hint="default" w:ascii="Times New Roman" w:hAnsi="Times New Roman" w:eastAsia="仿宋_GB2312" w:cs="Times New Roman"/>
          <w:color w:val="000000"/>
          <w:kern w:val="2"/>
          <w:sz w:val="32"/>
          <w:szCs w:val="24"/>
          <w:lang w:val="en-US"/>
        </w:rPr>
        <w:t>。</w:t>
      </w:r>
    </w:p>
    <w:p w14:paraId="50B2666B">
      <w:pPr>
        <w:overflowPunct w:val="0"/>
        <w:topLinePunct/>
        <w:spacing w:beforeLines="0" w:afterLines="0" w:line="576" w:lineRule="exact"/>
        <w:ind w:firstLine="640" w:firstLineChars="200"/>
        <w:jc w:val="both"/>
        <w:rPr>
          <w:rStyle w:val="20"/>
          <w:rFonts w:hint="default" w:ascii="Times New Roman" w:hAnsi="Times New Roman" w:eastAsia="仿宋_GB2312" w:cs="Times New Roman"/>
          <w:b w:val="0"/>
          <w:color w:val="auto"/>
          <w:sz w:val="32"/>
          <w:szCs w:val="24"/>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六</w:t>
      </w:r>
      <w:r>
        <w:rPr>
          <w:rFonts w:hint="default" w:ascii="Times New Roman" w:hAnsi="Times New Roman" w:eastAsia="仿宋_GB2312" w:cs="Times New Roman"/>
          <w:color w:val="000000"/>
          <w:kern w:val="2"/>
          <w:sz w:val="32"/>
          <w:szCs w:val="24"/>
          <w:lang w:val="en-US"/>
        </w:rPr>
        <w:t>、卫生健康支出（类）</w:t>
      </w:r>
      <w:r>
        <w:rPr>
          <w:rFonts w:hint="default" w:ascii="Times New Roman" w:hAnsi="Times New Roman" w:eastAsia="仿宋_GB2312" w:cs="Times New Roman"/>
          <w:color w:val="000000"/>
          <w:kern w:val="2"/>
          <w:sz w:val="32"/>
          <w:szCs w:val="24"/>
          <w:lang w:val="en-US" w:eastAsia="zh-CN"/>
        </w:rPr>
        <w:t>行政事业单位医疗</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行政单位医疗</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Style w:val="20"/>
          <w:rFonts w:hint="default" w:ascii="Times New Roman" w:hAnsi="Times New Roman" w:eastAsia="仿宋_GB2312" w:cs="Times New Roman"/>
          <w:b w:val="0"/>
          <w:color w:val="auto"/>
          <w:sz w:val="32"/>
          <w:szCs w:val="24"/>
        </w:rPr>
        <w:t>反映财政部门安排的公务员基本医疗保险缴费经费。</w:t>
      </w:r>
    </w:p>
    <w:p w14:paraId="5D7ABFA2">
      <w:pPr>
        <w:overflowPunct w:val="0"/>
        <w:topLinePunct/>
        <w:spacing w:beforeLines="0" w:afterLines="0" w:line="576" w:lineRule="exact"/>
        <w:ind w:firstLine="640" w:firstLineChars="200"/>
        <w:jc w:val="both"/>
        <w:rPr>
          <w:rStyle w:val="20"/>
          <w:rFonts w:hint="default" w:ascii="Times New Roman" w:hAnsi="Times New Roman" w:eastAsia="仿宋_GB2312" w:cs="Times New Roman"/>
          <w:b w:val="0"/>
          <w:color w:val="auto"/>
          <w:sz w:val="32"/>
          <w:szCs w:val="24"/>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七</w:t>
      </w:r>
      <w:r>
        <w:rPr>
          <w:rFonts w:hint="default" w:ascii="Times New Roman" w:hAnsi="Times New Roman" w:eastAsia="仿宋_GB2312" w:cs="Times New Roman"/>
          <w:color w:val="000000"/>
          <w:kern w:val="2"/>
          <w:sz w:val="32"/>
          <w:szCs w:val="24"/>
          <w:lang w:val="en-US"/>
        </w:rPr>
        <w:t>、卫生健康支出（类）</w:t>
      </w:r>
      <w:r>
        <w:rPr>
          <w:rFonts w:hint="default" w:ascii="Times New Roman" w:hAnsi="Times New Roman" w:eastAsia="仿宋_GB2312" w:cs="Times New Roman"/>
          <w:color w:val="000000"/>
          <w:kern w:val="2"/>
          <w:sz w:val="32"/>
          <w:szCs w:val="24"/>
          <w:lang w:val="en-US" w:eastAsia="zh-CN"/>
        </w:rPr>
        <w:t>行政事业单位医疗</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事业单位医疗</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Style w:val="20"/>
          <w:rFonts w:hint="default" w:ascii="Times New Roman" w:hAnsi="Times New Roman" w:eastAsia="仿宋_GB2312" w:cs="Times New Roman"/>
          <w:b w:val="0"/>
          <w:color w:val="auto"/>
          <w:sz w:val="32"/>
          <w:szCs w:val="24"/>
        </w:rPr>
        <w:t>反映财政部门安排的</w:t>
      </w:r>
      <w:r>
        <w:rPr>
          <w:rStyle w:val="20"/>
          <w:rFonts w:hint="default" w:ascii="Times New Roman" w:hAnsi="Times New Roman" w:eastAsia="仿宋_GB2312" w:cs="Times New Roman"/>
          <w:b w:val="0"/>
          <w:color w:val="auto"/>
          <w:sz w:val="32"/>
          <w:szCs w:val="24"/>
          <w:lang w:val="en-US" w:eastAsia="zh-CN"/>
        </w:rPr>
        <w:t>事业人员</w:t>
      </w:r>
      <w:r>
        <w:rPr>
          <w:rStyle w:val="20"/>
          <w:rFonts w:hint="default" w:ascii="Times New Roman" w:hAnsi="Times New Roman" w:eastAsia="仿宋_GB2312" w:cs="Times New Roman"/>
          <w:b w:val="0"/>
          <w:color w:val="auto"/>
          <w:sz w:val="32"/>
          <w:szCs w:val="24"/>
        </w:rPr>
        <w:t>基本医疗保险缴费经费。</w:t>
      </w:r>
    </w:p>
    <w:p w14:paraId="4BD49E4C">
      <w:pPr>
        <w:overflowPunct w:val="0"/>
        <w:topLinePunct/>
        <w:spacing w:beforeLines="0" w:afterLines="0" w:line="576" w:lineRule="exact"/>
        <w:ind w:firstLine="640" w:firstLineChars="200"/>
        <w:jc w:val="both"/>
        <w:rPr>
          <w:rStyle w:val="20"/>
          <w:rFonts w:hint="default" w:ascii="Times New Roman" w:hAnsi="Times New Roman" w:eastAsia="仿宋_GB2312" w:cs="Times New Roman"/>
          <w:b w:val="0"/>
          <w:color w:val="auto"/>
          <w:sz w:val="32"/>
          <w:szCs w:val="24"/>
        </w:rPr>
      </w:pPr>
      <w:r>
        <w:rPr>
          <w:rFonts w:hint="default" w:ascii="Times New Roman" w:hAnsi="Times New Roman" w:eastAsia="仿宋_GB2312" w:cs="Times New Roman"/>
          <w:color w:val="000000"/>
          <w:kern w:val="2"/>
          <w:sz w:val="32"/>
          <w:szCs w:val="24"/>
          <w:lang w:val="en-US"/>
        </w:rPr>
        <w:t>十</w:t>
      </w:r>
      <w:r>
        <w:rPr>
          <w:rFonts w:hint="default" w:ascii="Times New Roman" w:hAnsi="Times New Roman" w:eastAsia="仿宋_GB2312" w:cs="Times New Roman"/>
          <w:color w:val="000000"/>
          <w:kern w:val="2"/>
          <w:sz w:val="32"/>
          <w:szCs w:val="24"/>
          <w:lang w:val="en-US" w:eastAsia="zh-CN"/>
        </w:rPr>
        <w:t>八</w:t>
      </w:r>
      <w:r>
        <w:rPr>
          <w:rFonts w:hint="default" w:ascii="Times New Roman" w:hAnsi="Times New Roman" w:eastAsia="仿宋_GB2312" w:cs="Times New Roman"/>
          <w:color w:val="000000"/>
          <w:kern w:val="2"/>
          <w:sz w:val="32"/>
          <w:szCs w:val="24"/>
          <w:lang w:val="en-US"/>
        </w:rPr>
        <w:t>、卫生健康支出（类）</w:t>
      </w:r>
      <w:r>
        <w:rPr>
          <w:rFonts w:hint="default" w:ascii="Times New Roman" w:hAnsi="Times New Roman" w:eastAsia="仿宋_GB2312" w:cs="Times New Roman"/>
          <w:color w:val="000000"/>
          <w:kern w:val="2"/>
          <w:sz w:val="32"/>
          <w:szCs w:val="24"/>
          <w:lang w:val="en-US" w:eastAsia="zh-CN"/>
        </w:rPr>
        <w:t>其他卫生健康支出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其他卫生健康支出</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Style w:val="20"/>
          <w:rFonts w:hint="default" w:ascii="Times New Roman" w:hAnsi="Times New Roman" w:eastAsia="仿宋_GB2312" w:cs="Times New Roman"/>
          <w:b w:val="0"/>
          <w:color w:val="auto"/>
          <w:sz w:val="32"/>
          <w:szCs w:val="24"/>
        </w:rPr>
        <w:t>反映财政部门安排的</w:t>
      </w:r>
      <w:r>
        <w:rPr>
          <w:rStyle w:val="20"/>
          <w:rFonts w:hint="default" w:ascii="Times New Roman" w:hAnsi="Times New Roman" w:eastAsia="仿宋_GB2312" w:cs="Times New Roman"/>
          <w:b w:val="0"/>
          <w:color w:val="auto"/>
          <w:sz w:val="32"/>
          <w:szCs w:val="24"/>
          <w:lang w:val="en-US" w:eastAsia="zh-CN"/>
        </w:rPr>
        <w:t>除了公务员及事业人员其他</w:t>
      </w:r>
      <w:r>
        <w:rPr>
          <w:rStyle w:val="20"/>
          <w:rFonts w:hint="default" w:ascii="Times New Roman" w:hAnsi="Times New Roman" w:eastAsia="仿宋_GB2312" w:cs="Times New Roman"/>
          <w:b w:val="0"/>
          <w:color w:val="auto"/>
          <w:sz w:val="32"/>
          <w:szCs w:val="24"/>
        </w:rPr>
        <w:t>基本医疗保险缴费经费。</w:t>
      </w:r>
    </w:p>
    <w:p w14:paraId="4CCB3233">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val="en-US" w:eastAsia="zh-CN"/>
        </w:rPr>
        <w:t>十九</w:t>
      </w:r>
      <w:r>
        <w:rPr>
          <w:rFonts w:hint="default" w:ascii="Times New Roman" w:hAnsi="Times New Roman" w:eastAsia="仿宋_GB2312" w:cs="Times New Roman"/>
          <w:color w:val="000000"/>
          <w:kern w:val="2"/>
          <w:sz w:val="32"/>
          <w:szCs w:val="24"/>
          <w:lang w:val="en-US"/>
        </w:rPr>
        <w:t>、节能环保支出（类）</w:t>
      </w:r>
      <w:r>
        <w:rPr>
          <w:rFonts w:hint="default" w:ascii="Times New Roman" w:hAnsi="Times New Roman" w:eastAsia="仿宋_GB2312" w:cs="Times New Roman"/>
          <w:color w:val="000000"/>
          <w:kern w:val="2"/>
          <w:sz w:val="32"/>
          <w:szCs w:val="24"/>
          <w:lang w:val="en-US" w:eastAsia="zh-CN"/>
        </w:rPr>
        <w:t>其他节能环保支出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其他节能环保支出</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Style w:val="20"/>
          <w:rFonts w:hint="default" w:ascii="Times New Roman" w:hAnsi="Times New Roman" w:eastAsia="仿宋_GB2312" w:cs="Times New Roman"/>
          <w:b w:val="0"/>
          <w:color w:val="auto"/>
          <w:sz w:val="32"/>
          <w:szCs w:val="24"/>
        </w:rPr>
        <w:t>反映其他用于节能环保方面的支出。</w:t>
      </w:r>
    </w:p>
    <w:p w14:paraId="2EC66FDF">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lang w:val="en-US" w:eastAsia="zh-CN"/>
        </w:rPr>
        <w:t>二十</w:t>
      </w:r>
      <w:r>
        <w:rPr>
          <w:rFonts w:hint="default" w:ascii="Times New Roman" w:hAnsi="Times New Roman" w:eastAsia="仿宋_GB2312" w:cs="Times New Roman"/>
          <w:color w:val="000000"/>
          <w:kern w:val="2"/>
          <w:sz w:val="32"/>
          <w:szCs w:val="24"/>
          <w:lang w:val="en-US"/>
        </w:rPr>
        <w:t>、城乡社区支出（类）</w:t>
      </w:r>
      <w:r>
        <w:rPr>
          <w:rFonts w:hint="default" w:ascii="Times New Roman" w:hAnsi="Times New Roman" w:eastAsia="仿宋_GB2312" w:cs="Times New Roman"/>
          <w:color w:val="000000"/>
          <w:kern w:val="2"/>
          <w:sz w:val="32"/>
          <w:szCs w:val="24"/>
          <w:lang w:val="en-US" w:eastAsia="zh-CN"/>
        </w:rPr>
        <w:t>其他</w:t>
      </w:r>
      <w:r>
        <w:rPr>
          <w:rFonts w:hint="default" w:ascii="Times New Roman" w:hAnsi="Times New Roman" w:eastAsia="仿宋_GB2312" w:cs="Times New Roman"/>
          <w:color w:val="000000"/>
          <w:kern w:val="2"/>
          <w:sz w:val="32"/>
          <w:szCs w:val="24"/>
          <w:lang w:val="en-US"/>
        </w:rPr>
        <w:t>城乡社区支出（款）</w:t>
      </w:r>
      <w:r>
        <w:rPr>
          <w:rFonts w:hint="default" w:ascii="Times New Roman" w:hAnsi="Times New Roman" w:eastAsia="仿宋_GB2312" w:cs="Times New Roman"/>
          <w:color w:val="000000"/>
          <w:kern w:val="2"/>
          <w:sz w:val="32"/>
          <w:szCs w:val="24"/>
          <w:lang w:val="en-US" w:eastAsia="zh-CN"/>
        </w:rPr>
        <w:t>其他</w:t>
      </w:r>
      <w:r>
        <w:rPr>
          <w:rFonts w:hint="default" w:ascii="Times New Roman" w:hAnsi="Times New Roman" w:eastAsia="仿宋_GB2312" w:cs="Times New Roman"/>
          <w:color w:val="000000"/>
          <w:kern w:val="2"/>
          <w:sz w:val="32"/>
          <w:szCs w:val="24"/>
          <w:lang w:val="en-US"/>
        </w:rPr>
        <w:t>城乡社区支出（项）：指</w:t>
      </w:r>
      <w:r>
        <w:rPr>
          <w:rFonts w:hint="default" w:ascii="Times New Roman" w:hAnsi="Times New Roman" w:eastAsia="仿宋_GB2312" w:cs="Times New Roman"/>
          <w:color w:val="000000"/>
          <w:kern w:val="2"/>
          <w:sz w:val="32"/>
          <w:szCs w:val="24"/>
          <w:lang w:val="en-US" w:eastAsia="zh-CN"/>
        </w:rPr>
        <w:t>反应其他城乡社区方面的支出</w:t>
      </w:r>
      <w:r>
        <w:rPr>
          <w:rFonts w:hint="default" w:ascii="Times New Roman" w:hAnsi="Times New Roman" w:eastAsia="仿宋_GB2312" w:cs="Times New Roman"/>
          <w:color w:val="000000"/>
          <w:kern w:val="2"/>
          <w:sz w:val="32"/>
          <w:szCs w:val="24"/>
          <w:lang w:val="en-US"/>
        </w:rPr>
        <w:t>。</w:t>
      </w:r>
    </w:p>
    <w:p w14:paraId="19F07329">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val="en-US" w:eastAsia="zh-CN"/>
        </w:rPr>
        <w:t>二十一</w:t>
      </w:r>
      <w:r>
        <w:rPr>
          <w:rFonts w:hint="default" w:ascii="Times New Roman" w:hAnsi="Times New Roman" w:eastAsia="仿宋_GB2312" w:cs="Times New Roman"/>
          <w:color w:val="000000"/>
          <w:kern w:val="2"/>
          <w:sz w:val="32"/>
          <w:szCs w:val="24"/>
          <w:lang w:val="en-US"/>
        </w:rPr>
        <w:t>、农林水支出（类）</w:t>
      </w:r>
      <w:r>
        <w:rPr>
          <w:rFonts w:hint="default" w:ascii="Times New Roman" w:hAnsi="Times New Roman" w:eastAsia="仿宋_GB2312" w:cs="Times New Roman"/>
          <w:color w:val="000000"/>
          <w:kern w:val="2"/>
          <w:sz w:val="32"/>
          <w:szCs w:val="24"/>
          <w:lang w:val="en-US" w:eastAsia="zh-CN"/>
        </w:rPr>
        <w:t>巩固脱贫攻坚成果衔接乡村振兴</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其他巩固脱贫攻坚成果衔接乡村振兴</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Style w:val="20"/>
          <w:rFonts w:hint="default" w:ascii="Times New Roman" w:hAnsi="Times New Roman" w:eastAsia="仿宋_GB2312" w:cs="Times New Roman"/>
          <w:b w:val="0"/>
          <w:color w:val="auto"/>
          <w:sz w:val="32"/>
          <w:szCs w:val="24"/>
        </w:rPr>
        <w:t>反映其他用于巩固拓展脱贫攻坚成果同乡村振兴有效衔接方面的支出。</w:t>
      </w:r>
    </w:p>
    <w:p w14:paraId="2274DC00">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rPr>
      </w:pPr>
      <w:r>
        <w:rPr>
          <w:rFonts w:hint="default" w:ascii="Times New Roman" w:hAnsi="Times New Roman" w:eastAsia="仿宋_GB2312" w:cs="Times New Roman"/>
          <w:color w:val="000000"/>
          <w:kern w:val="2"/>
          <w:sz w:val="32"/>
          <w:szCs w:val="24"/>
          <w:lang w:val="en-US" w:eastAsia="zh-CN"/>
        </w:rPr>
        <w:t>二十二</w:t>
      </w:r>
      <w:r>
        <w:rPr>
          <w:rFonts w:hint="default" w:ascii="Times New Roman" w:hAnsi="Times New Roman" w:eastAsia="仿宋_GB2312" w:cs="Times New Roman"/>
          <w:color w:val="000000"/>
          <w:kern w:val="2"/>
          <w:sz w:val="32"/>
          <w:szCs w:val="24"/>
          <w:lang w:val="en-US"/>
        </w:rPr>
        <w:t>、农林水支出（类）</w:t>
      </w:r>
      <w:r>
        <w:rPr>
          <w:rFonts w:hint="default" w:ascii="Times New Roman" w:hAnsi="Times New Roman" w:eastAsia="仿宋_GB2312" w:cs="Times New Roman"/>
          <w:color w:val="000000"/>
          <w:kern w:val="2"/>
          <w:sz w:val="32"/>
          <w:szCs w:val="24"/>
          <w:lang w:val="en-US" w:eastAsia="zh-CN"/>
        </w:rPr>
        <w:t>其他农林水支出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其他农林水支出</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指反应其他用于农林水方面的支出。</w:t>
      </w:r>
    </w:p>
    <w:p w14:paraId="63509A5F">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Style w:val="20"/>
          <w:rFonts w:hint="default" w:ascii="Times New Roman" w:hAnsi="Times New Roman" w:eastAsia="仿宋_GB2312" w:cs="Times New Roman"/>
          <w:b w:val="0"/>
          <w:color w:val="auto"/>
          <w:sz w:val="32"/>
          <w:szCs w:val="24"/>
        </w:rPr>
      </w:pPr>
      <w:r>
        <w:rPr>
          <w:rFonts w:hint="default" w:ascii="Times New Roman" w:hAnsi="Times New Roman" w:eastAsia="仿宋_GB2312" w:cs="Times New Roman"/>
          <w:color w:val="000000"/>
          <w:kern w:val="2"/>
          <w:sz w:val="32"/>
          <w:szCs w:val="24"/>
          <w:lang w:val="en-US"/>
        </w:rPr>
        <w:t>二十</w:t>
      </w:r>
      <w:r>
        <w:rPr>
          <w:rFonts w:hint="default" w:ascii="Times New Roman" w:hAnsi="Times New Roman" w:eastAsia="仿宋_GB2312" w:cs="Times New Roman"/>
          <w:color w:val="000000"/>
          <w:kern w:val="2"/>
          <w:sz w:val="32"/>
          <w:szCs w:val="24"/>
          <w:lang w:val="en-US" w:eastAsia="zh-CN"/>
        </w:rPr>
        <w:t>三</w:t>
      </w:r>
      <w:r>
        <w:rPr>
          <w:rFonts w:hint="default" w:ascii="Times New Roman" w:hAnsi="Times New Roman" w:eastAsia="仿宋_GB2312" w:cs="Times New Roman"/>
          <w:color w:val="000000"/>
          <w:kern w:val="2"/>
          <w:sz w:val="32"/>
          <w:szCs w:val="24"/>
          <w:lang w:val="en-US"/>
        </w:rPr>
        <w:t>、住房保障支出（类）</w:t>
      </w:r>
      <w:r>
        <w:rPr>
          <w:rFonts w:hint="default" w:ascii="Times New Roman" w:hAnsi="Times New Roman" w:eastAsia="仿宋_GB2312" w:cs="Times New Roman"/>
          <w:color w:val="000000"/>
          <w:kern w:val="2"/>
          <w:sz w:val="32"/>
          <w:szCs w:val="24"/>
          <w:lang w:val="en-US" w:eastAsia="zh-CN"/>
        </w:rPr>
        <w:t>住房改革支出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住房公积金</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w:t>
      </w:r>
      <w:r>
        <w:rPr>
          <w:rStyle w:val="20"/>
          <w:rFonts w:hint="default" w:ascii="Times New Roman" w:hAnsi="Times New Roman" w:eastAsia="仿宋_GB2312" w:cs="Times New Roman"/>
          <w:b w:val="0"/>
          <w:color w:val="auto"/>
          <w:sz w:val="32"/>
          <w:szCs w:val="24"/>
        </w:rPr>
        <w:t>反映经财政部门批准用于住房公积金管理机构的管理费用支出。</w:t>
      </w:r>
    </w:p>
    <w:p w14:paraId="788A4C7F">
      <w:pPr>
        <w:overflowPunct w:val="0"/>
        <w:topLinePunct/>
        <w:spacing w:beforeLines="0" w:afterLines="0" w:line="576" w:lineRule="exact"/>
        <w:ind w:firstLine="640" w:firstLineChars="200"/>
        <w:jc w:val="both"/>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lang w:val="en-US"/>
        </w:rPr>
        <w:t>二十</w:t>
      </w:r>
      <w:r>
        <w:rPr>
          <w:rFonts w:hint="default" w:ascii="Times New Roman" w:hAnsi="Times New Roman" w:eastAsia="仿宋_GB2312" w:cs="Times New Roman"/>
          <w:color w:val="000000"/>
          <w:kern w:val="2"/>
          <w:sz w:val="32"/>
          <w:szCs w:val="24"/>
          <w:lang w:val="en-US" w:eastAsia="zh-CN"/>
        </w:rPr>
        <w:t>四</w:t>
      </w:r>
      <w:r>
        <w:rPr>
          <w:rFonts w:hint="default" w:ascii="Times New Roman" w:hAnsi="Times New Roman" w:eastAsia="仿宋_GB2312" w:cs="Times New Roman"/>
          <w:color w:val="000000"/>
          <w:kern w:val="2"/>
          <w:sz w:val="32"/>
          <w:szCs w:val="24"/>
          <w:lang w:val="en-US"/>
        </w:rPr>
        <w:t>、粮油物资储备支出（类）</w:t>
      </w:r>
      <w:r>
        <w:rPr>
          <w:rFonts w:hint="default" w:ascii="Times New Roman" w:hAnsi="Times New Roman" w:eastAsia="仿宋_GB2312" w:cs="Times New Roman"/>
          <w:color w:val="000000"/>
          <w:kern w:val="2"/>
          <w:sz w:val="32"/>
          <w:szCs w:val="24"/>
          <w:lang w:val="en-US" w:eastAsia="zh-CN"/>
        </w:rPr>
        <w:t>粮油物质事务</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其他粮油物资事务支出</w:t>
      </w:r>
      <w:r>
        <w:rPr>
          <w:rFonts w:hint="default" w:ascii="Times New Roman" w:hAnsi="Times New Roman" w:eastAsia="仿宋_GB2312" w:cs="Times New Roman"/>
          <w:color w:val="000000"/>
          <w:kern w:val="2"/>
          <w:sz w:val="32"/>
          <w:szCs w:val="24"/>
          <w:lang w:val="en-US"/>
        </w:rPr>
        <w:t>（项）：</w:t>
      </w:r>
      <w:r>
        <w:rPr>
          <w:rFonts w:hint="default" w:ascii="Times New Roman" w:hAnsi="Times New Roman" w:eastAsia="仿宋_GB2312" w:cs="Times New Roman"/>
          <w:color w:val="000000"/>
          <w:kern w:val="2"/>
          <w:sz w:val="32"/>
          <w:szCs w:val="24"/>
        </w:rPr>
        <w:t>指反应其他粮油物质事务方面的支出。</w:t>
      </w:r>
    </w:p>
    <w:p w14:paraId="3CF24C8A">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lang w:val="en-US"/>
        </w:rPr>
        <w:t>二十</w:t>
      </w:r>
      <w:r>
        <w:rPr>
          <w:rFonts w:hint="default" w:ascii="Times New Roman" w:hAnsi="Times New Roman" w:eastAsia="仿宋_GB2312" w:cs="Times New Roman"/>
          <w:color w:val="000000"/>
          <w:kern w:val="2"/>
          <w:sz w:val="32"/>
          <w:szCs w:val="24"/>
          <w:lang w:val="en-US" w:eastAsia="zh-CN"/>
        </w:rPr>
        <w:t>五</w:t>
      </w:r>
      <w:r>
        <w:rPr>
          <w:rFonts w:hint="default" w:ascii="Times New Roman" w:hAnsi="Times New Roman" w:eastAsia="仿宋_GB2312" w:cs="Times New Roman"/>
          <w:color w:val="000000"/>
          <w:kern w:val="2"/>
          <w:sz w:val="32"/>
          <w:szCs w:val="24"/>
          <w:lang w:val="en-US"/>
        </w:rPr>
        <w:t>、</w:t>
      </w:r>
      <w:r>
        <w:rPr>
          <w:rFonts w:hint="default" w:ascii="Times New Roman" w:hAnsi="Times New Roman" w:eastAsia="仿宋_GB2312" w:cs="Times New Roman"/>
          <w:color w:val="000000"/>
          <w:kern w:val="2"/>
          <w:sz w:val="32"/>
          <w:szCs w:val="24"/>
          <w:lang w:val="en-US" w:eastAsia="zh-CN"/>
        </w:rPr>
        <w:t>其他支出</w:t>
      </w:r>
      <w:r>
        <w:rPr>
          <w:rFonts w:hint="default" w:ascii="Times New Roman" w:hAnsi="Times New Roman" w:eastAsia="仿宋_GB2312" w:cs="Times New Roman"/>
          <w:color w:val="000000"/>
          <w:kern w:val="2"/>
          <w:sz w:val="32"/>
          <w:szCs w:val="24"/>
          <w:lang w:val="en-US"/>
        </w:rPr>
        <w:t>（类）</w:t>
      </w:r>
      <w:r>
        <w:rPr>
          <w:rFonts w:hint="default" w:ascii="Times New Roman" w:hAnsi="Times New Roman" w:eastAsia="仿宋_GB2312" w:cs="Times New Roman"/>
          <w:color w:val="000000"/>
          <w:kern w:val="2"/>
          <w:sz w:val="32"/>
          <w:szCs w:val="24"/>
          <w:lang w:val="en-US" w:eastAsia="zh-CN"/>
        </w:rPr>
        <w:t>其他政府性基金及对应专项债务收入安排的支出</w:t>
      </w:r>
      <w:r>
        <w:rPr>
          <w:rFonts w:hint="default" w:ascii="Times New Roman" w:hAnsi="Times New Roman" w:eastAsia="仿宋_GB2312" w:cs="Times New Roman"/>
          <w:color w:val="000000"/>
          <w:kern w:val="2"/>
          <w:sz w:val="32"/>
          <w:szCs w:val="24"/>
          <w:lang w:val="en-US"/>
        </w:rPr>
        <w:t>（款）</w:t>
      </w:r>
      <w:r>
        <w:rPr>
          <w:rFonts w:hint="default" w:ascii="Times New Roman" w:hAnsi="Times New Roman" w:eastAsia="仿宋_GB2312" w:cs="Times New Roman"/>
          <w:color w:val="000000"/>
          <w:kern w:val="2"/>
          <w:sz w:val="32"/>
          <w:szCs w:val="24"/>
          <w:lang w:val="en-US" w:eastAsia="zh-CN"/>
        </w:rPr>
        <w:t>其他地方自行试点项目收益专项债券收入安排的支出</w:t>
      </w:r>
      <w:r>
        <w:rPr>
          <w:rFonts w:hint="default" w:ascii="Times New Roman" w:hAnsi="Times New Roman" w:eastAsia="仿宋_GB2312" w:cs="Times New Roman"/>
          <w:color w:val="000000"/>
          <w:kern w:val="2"/>
          <w:sz w:val="32"/>
          <w:szCs w:val="24"/>
          <w:lang w:val="en-US"/>
        </w:rPr>
        <w:t>（项）：指</w:t>
      </w:r>
      <w:r>
        <w:rPr>
          <w:rFonts w:hint="default" w:ascii="Times New Roman" w:hAnsi="Times New Roman" w:eastAsia="仿宋_GB2312" w:cs="Times New Roman"/>
          <w:color w:val="000000"/>
          <w:kern w:val="2"/>
          <w:sz w:val="32"/>
          <w:szCs w:val="24"/>
          <w:lang w:val="en-US" w:eastAsia="zh-CN"/>
        </w:rPr>
        <w:t>反应其他地方自行试点项目收益专项债券收入安排方面的支出</w:t>
      </w:r>
      <w:r>
        <w:rPr>
          <w:rFonts w:hint="default" w:ascii="Times New Roman" w:hAnsi="Times New Roman" w:eastAsia="仿宋_GB2312" w:cs="Times New Roman"/>
          <w:color w:val="000000"/>
          <w:kern w:val="2"/>
          <w:sz w:val="32"/>
          <w:szCs w:val="24"/>
          <w:lang w:val="en-US"/>
        </w:rPr>
        <w:t>。</w:t>
      </w:r>
    </w:p>
    <w:p w14:paraId="26796C13">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auto"/>
          <w:kern w:val="2"/>
          <w:sz w:val="32"/>
          <w:szCs w:val="24"/>
          <w:lang w:val="en-US"/>
        </w:rPr>
        <w:t>二十</w:t>
      </w:r>
      <w:r>
        <w:rPr>
          <w:rFonts w:hint="default" w:ascii="Times New Roman" w:hAnsi="Times New Roman" w:eastAsia="仿宋_GB2312" w:cs="Times New Roman"/>
          <w:color w:val="auto"/>
          <w:kern w:val="2"/>
          <w:sz w:val="32"/>
          <w:szCs w:val="24"/>
          <w:lang w:val="en-US" w:eastAsia="zh-CN"/>
        </w:rPr>
        <w:t>六</w:t>
      </w:r>
      <w:r>
        <w:rPr>
          <w:rFonts w:hint="default" w:ascii="Times New Roman" w:hAnsi="Times New Roman" w:eastAsia="仿宋_GB2312" w:cs="Times New Roman"/>
          <w:color w:val="auto"/>
          <w:kern w:val="2"/>
          <w:sz w:val="32"/>
          <w:szCs w:val="24"/>
          <w:lang w:val="en-US"/>
        </w:rPr>
        <w:t>、基本支出：指为保障机构正常运转、完成日常工作任务而发生的人员支出和公用支出。</w:t>
      </w:r>
    </w:p>
    <w:p w14:paraId="551F36E0">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lang w:val="en-US"/>
        </w:rPr>
        <w:t>二十</w:t>
      </w:r>
      <w:r>
        <w:rPr>
          <w:rFonts w:hint="default" w:ascii="Times New Roman" w:hAnsi="Times New Roman" w:eastAsia="仿宋_GB2312" w:cs="Times New Roman"/>
          <w:color w:val="000000"/>
          <w:kern w:val="2"/>
          <w:sz w:val="32"/>
          <w:szCs w:val="24"/>
          <w:lang w:val="en-US" w:eastAsia="zh-CN"/>
        </w:rPr>
        <w:t>七</w:t>
      </w:r>
      <w:r>
        <w:rPr>
          <w:rFonts w:hint="default" w:ascii="Times New Roman" w:hAnsi="Times New Roman" w:eastAsia="仿宋_GB2312" w:cs="Times New Roman"/>
          <w:color w:val="000000"/>
          <w:kern w:val="2"/>
          <w:sz w:val="32"/>
          <w:szCs w:val="24"/>
          <w:lang w:val="en-US"/>
        </w:rPr>
        <w:t xml:space="preserve">、项目支出：指在基本支出之外为完成特定行政任务和事业发展目标所发生的支出。 </w:t>
      </w:r>
    </w:p>
    <w:p w14:paraId="6E74F83B">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kern w:val="2"/>
          <w:sz w:val="32"/>
          <w:szCs w:val="24"/>
          <w:lang w:val="en-US"/>
        </w:rPr>
      </w:pPr>
      <w:r>
        <w:rPr>
          <w:rFonts w:hint="default" w:ascii="Times New Roman" w:hAnsi="Times New Roman" w:eastAsia="仿宋_GB2312" w:cs="Times New Roman"/>
          <w:color w:val="000000"/>
          <w:kern w:val="2"/>
          <w:sz w:val="32"/>
          <w:szCs w:val="24"/>
          <w:lang w:val="en-US"/>
        </w:rPr>
        <w:t>二十</w:t>
      </w:r>
      <w:r>
        <w:rPr>
          <w:rFonts w:hint="default" w:ascii="Times New Roman" w:hAnsi="Times New Roman" w:eastAsia="仿宋_GB2312" w:cs="Times New Roman"/>
          <w:color w:val="000000"/>
          <w:kern w:val="2"/>
          <w:sz w:val="32"/>
          <w:szCs w:val="24"/>
          <w:lang w:val="en-US" w:eastAsia="zh-CN"/>
        </w:rPr>
        <w:t>八</w:t>
      </w:r>
      <w:r>
        <w:rPr>
          <w:rFonts w:hint="default" w:ascii="Times New Roman" w:hAnsi="Times New Roman" w:eastAsia="仿宋_GB2312" w:cs="Times New Roman"/>
          <w:color w:val="000000"/>
          <w:kern w:val="2"/>
          <w:sz w:val="32"/>
          <w:szCs w:val="24"/>
          <w:lang w:val="en-US"/>
        </w:rPr>
        <w:t>、经营支出：指事业单位在专业业务活动及其辅助活动之外开展非独立核算经营活动发生的支出。</w:t>
      </w:r>
    </w:p>
    <w:p w14:paraId="6838002E">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二十九</w:t>
      </w:r>
      <w:r>
        <w:rPr>
          <w:rFonts w:hint="default" w:ascii="Times New Roman" w:hAnsi="Times New Roman" w:eastAsia="仿宋_GB2312" w:cs="Times New Roman"/>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02AC3B">
      <w:pPr>
        <w:keepNext w:val="0"/>
        <w:keepLines w:val="0"/>
        <w:pageBreakBefore w:val="0"/>
        <w:widowControl w:val="0"/>
        <w:kinsoku/>
        <w:wordWrap/>
        <w:overflowPunct w:val="0"/>
        <w:topLinePunct/>
        <w:bidi w:val="0"/>
        <w:snapToGrid/>
        <w:spacing w:beforeLines="0" w:afterLines="0"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rPr>
        <w:t>三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B474E1">
      <w:pPr>
        <w:keepNext w:val="0"/>
        <w:keepLines w:val="0"/>
        <w:pageBreakBefore w:val="0"/>
        <w:widowControl w:val="0"/>
        <w:kinsoku/>
        <w:wordWrap/>
        <w:overflowPunct w:val="0"/>
        <w:topLinePunct/>
        <w:autoSpaceDE w:val="0"/>
        <w:autoSpaceDN w:val="0"/>
        <w:bidi w:val="0"/>
        <w:textAlignment w:val="auto"/>
        <w:rPr>
          <w:rFonts w:hint="default" w:ascii="Times New Roman" w:hAnsi="Times New Roman" w:eastAsia="黑体" w:cs="Times New Roman"/>
          <w:color w:val="auto"/>
          <w:sz w:val="44"/>
          <w:szCs w:val="44"/>
          <w:highlight w:val="none"/>
        </w:rPr>
      </w:pPr>
    </w:p>
    <w:p w14:paraId="4D09E1AF">
      <w:pPr>
        <w:pStyle w:val="2"/>
        <w:rPr>
          <w:rFonts w:hint="default" w:ascii="Times New Roman" w:hAnsi="Times New Roman" w:eastAsia="黑体" w:cs="Times New Roman"/>
          <w:color w:val="auto"/>
          <w:sz w:val="44"/>
          <w:szCs w:val="44"/>
          <w:highlight w:val="none"/>
        </w:rPr>
      </w:pPr>
    </w:p>
    <w:bookmarkEnd w:id="42"/>
    <w:p w14:paraId="786359E6">
      <w:pPr>
        <w:rPr>
          <w:rFonts w:hint="default" w:ascii="Times New Roman" w:hAnsi="Times New Roman" w:eastAsia="方正小标宋简体" w:cs="Times New Roman"/>
          <w:color w:val="auto"/>
          <w:sz w:val="44"/>
          <w:szCs w:val="44"/>
          <w:highlight w:val="none"/>
        </w:rPr>
      </w:pPr>
      <w:bookmarkStart w:id="44" w:name="_Toc15396618"/>
      <w:r>
        <w:rPr>
          <w:rFonts w:hint="default" w:ascii="Times New Roman" w:hAnsi="Times New Roman" w:eastAsia="方正小标宋简体" w:cs="Times New Roman"/>
          <w:color w:val="auto"/>
          <w:sz w:val="44"/>
          <w:szCs w:val="44"/>
          <w:highlight w:val="none"/>
        </w:rPr>
        <w:br w:type="page"/>
      </w:r>
    </w:p>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第四部分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 xml:space="preserve"> 附件</w:t>
      </w:r>
    </w:p>
    <w:p w14:paraId="67AD5ED5">
      <w:pPr>
        <w:keepNext w:val="0"/>
        <w:keepLines w:val="0"/>
        <w:pageBreakBefore w:val="0"/>
        <w:widowControl w:val="0"/>
        <w:kinsoku/>
        <w:wordWrap/>
        <w:overflowPunct w:val="0"/>
        <w:topLinePunct/>
        <w:autoSpaceDE w:val="0"/>
        <w:autoSpaceDN w:val="0"/>
        <w:bidi w:val="0"/>
        <w:adjustRightInd/>
        <w:snapToGrid/>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0CFF655">
      <w:pPr>
        <w:keepNext w:val="0"/>
        <w:keepLines w:val="0"/>
        <w:pageBreakBefore w:val="0"/>
        <w:widowControl w:val="0"/>
        <w:kinsoku/>
        <w:wordWrap/>
        <w:overflowPunct w:val="0"/>
        <w:topLinePunct/>
        <w:autoSpaceDE w:val="0"/>
        <w:autoSpaceDN w:val="0"/>
        <w:bidi w:val="0"/>
        <w:adjustRightInd/>
        <w:snapToGrid/>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ascii="Times New Roman" w:hAnsi="Times New Roman" w:eastAsia="方正小标宋简体" w:cs="Times New Roman"/>
          <w:b w:val="0"/>
          <w:bCs/>
          <w:sz w:val="44"/>
          <w:szCs w:val="44"/>
          <w:highlight w:val="none"/>
          <w:shd w:val="clear" w:color="auto" w:fill="FFFFFF"/>
          <w:lang w:eastAsia="zh-CN"/>
        </w:rPr>
        <w:t>项目支出</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自评</w:t>
      </w:r>
      <w:r>
        <w:rPr>
          <w:rFonts w:hint="default" w:ascii="Times New Roman" w:hAnsi="Times New Roman" w:eastAsia="方正小标宋简体" w:cs="Times New Roman"/>
          <w:b w:val="0"/>
          <w:bCs/>
          <w:sz w:val="44"/>
          <w:szCs w:val="44"/>
          <w:highlight w:val="none"/>
          <w:shd w:val="clear" w:color="auto" w:fill="FFFFFF"/>
        </w:rPr>
        <w:t>报告</w:t>
      </w:r>
    </w:p>
    <w:p w14:paraId="12B7FCDA">
      <w:pPr>
        <w:pStyle w:val="16"/>
        <w:keepNext w:val="0"/>
        <w:keepLines w:val="0"/>
        <w:pageBreakBefore w:val="0"/>
        <w:widowControl w:val="0"/>
        <w:kinsoku/>
        <w:wordWrap/>
        <w:bidi w:val="0"/>
        <w:adjustRightInd/>
        <w:snapToGrid/>
        <w:spacing w:after="0" w:line="576" w:lineRule="exact"/>
        <w:textAlignment w:val="auto"/>
        <w:rPr>
          <w:rFonts w:hint="default" w:ascii="Times New Roman" w:hAnsi="Times New Roman" w:eastAsia="方正小标宋简体" w:cs="Times New Roman"/>
          <w:b w:val="0"/>
          <w:bCs/>
          <w:sz w:val="44"/>
          <w:szCs w:val="44"/>
          <w:highlight w:val="none"/>
          <w:shd w:val="clear" w:color="auto" w:fill="FFFFFF"/>
        </w:rPr>
      </w:pPr>
    </w:p>
    <w:p w14:paraId="29F684EF">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单位概况</w:t>
      </w:r>
    </w:p>
    <w:p w14:paraId="6268EF6C">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eastAsia="zh-CN"/>
        </w:rPr>
      </w:pPr>
      <w:r>
        <w:rPr>
          <w:rFonts w:hint="default" w:ascii="Times New Roman" w:hAnsi="Times New Roman" w:eastAsia="楷体_GB2312" w:cs="Times New Roman"/>
          <w:b w:val="0"/>
          <w:bCs/>
          <w:color w:val="auto"/>
          <w:sz w:val="32"/>
          <w:szCs w:val="32"/>
          <w:lang w:eastAsia="zh-CN"/>
        </w:rPr>
        <w:t>（</w:t>
      </w:r>
      <w:r>
        <w:rPr>
          <w:rFonts w:hint="default" w:ascii="Times New Roman" w:hAnsi="Times New Roman" w:eastAsia="楷体_GB2312" w:cs="Times New Roman"/>
          <w:b w:val="0"/>
          <w:bCs/>
          <w:color w:val="auto"/>
          <w:sz w:val="32"/>
          <w:szCs w:val="32"/>
          <w:lang w:val="en-US" w:eastAsia="zh-CN"/>
        </w:rPr>
        <w:t>一</w:t>
      </w:r>
      <w:r>
        <w:rPr>
          <w:rFonts w:hint="default" w:ascii="Times New Roman" w:hAnsi="Times New Roman" w:eastAsia="楷体_GB2312" w:cs="Times New Roman"/>
          <w:b w:val="0"/>
          <w:bCs/>
          <w:color w:val="auto"/>
          <w:sz w:val="32"/>
          <w:szCs w:val="32"/>
          <w:lang w:eastAsia="zh-CN"/>
        </w:rPr>
        <w:t>）</w:t>
      </w:r>
      <w:r>
        <w:rPr>
          <w:rFonts w:hint="default" w:ascii="Times New Roman" w:hAnsi="Times New Roman" w:eastAsia="楷体_GB2312" w:cs="Times New Roman"/>
          <w:b w:val="0"/>
          <w:bCs/>
          <w:color w:val="auto"/>
          <w:sz w:val="32"/>
          <w:szCs w:val="32"/>
        </w:rPr>
        <w:t>机构</w:t>
      </w:r>
      <w:r>
        <w:rPr>
          <w:rFonts w:hint="default" w:ascii="Times New Roman" w:hAnsi="Times New Roman" w:eastAsia="楷体_GB2312" w:cs="Times New Roman"/>
          <w:b w:val="0"/>
          <w:bCs/>
          <w:color w:val="auto"/>
          <w:sz w:val="32"/>
          <w:szCs w:val="32"/>
          <w:lang w:eastAsia="zh-CN"/>
        </w:rPr>
        <w:t>组成</w:t>
      </w:r>
    </w:p>
    <w:p w14:paraId="226CD23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广元市昭化区发展和改革局为一级预算单位，无下属二级预算单位。内设机构共8个，分别为：办公室、国民经济综合股、固定资产投资和项目协调管理股、以工代赈股、产业和交通能源环资股、社会事业发展改革和价格管理股、行政审批和招标投标管理股（政策法规股）、粮食物资储备和安全生产管理股。</w:t>
      </w:r>
    </w:p>
    <w:p w14:paraId="3DC5F2A3">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eastAsia="zh-CN"/>
        </w:rPr>
      </w:pPr>
      <w:r>
        <w:rPr>
          <w:rFonts w:hint="default" w:ascii="Times New Roman" w:hAnsi="Times New Roman" w:eastAsia="楷体_GB2312" w:cs="Times New Roman"/>
          <w:b w:val="0"/>
          <w:bCs/>
          <w:color w:val="auto"/>
          <w:sz w:val="32"/>
          <w:szCs w:val="32"/>
          <w:lang w:eastAsia="zh-CN"/>
        </w:rPr>
        <w:t>（</w:t>
      </w:r>
      <w:r>
        <w:rPr>
          <w:rFonts w:hint="default" w:ascii="Times New Roman" w:hAnsi="Times New Roman" w:eastAsia="楷体_GB2312" w:cs="Times New Roman"/>
          <w:b w:val="0"/>
          <w:bCs/>
          <w:color w:val="auto"/>
          <w:sz w:val="32"/>
          <w:szCs w:val="32"/>
          <w:lang w:val="en-US" w:eastAsia="zh-CN"/>
        </w:rPr>
        <w:t>二</w:t>
      </w:r>
      <w:r>
        <w:rPr>
          <w:rFonts w:hint="default" w:ascii="Times New Roman" w:hAnsi="Times New Roman" w:eastAsia="楷体_GB2312" w:cs="Times New Roman"/>
          <w:b w:val="0"/>
          <w:bCs/>
          <w:color w:val="auto"/>
          <w:sz w:val="32"/>
          <w:szCs w:val="32"/>
          <w:lang w:eastAsia="zh-CN"/>
        </w:rPr>
        <w:t>）机构职能</w:t>
      </w:r>
    </w:p>
    <w:p w14:paraId="61075CC7">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w:t>
      </w:r>
      <w:r>
        <w:rPr>
          <w:rFonts w:hint="default" w:ascii="Times New Roman" w:hAnsi="Times New Roman" w:eastAsia="仿宋_GB2312" w:cs="Times New Roman"/>
          <w:color w:val="000000"/>
          <w:sz w:val="32"/>
          <w:szCs w:val="24"/>
          <w:lang w:val="en-US"/>
        </w:rPr>
        <w:t>贯彻实施国家有关国民经济和社会发展、经济体制改革的方针、政策和法律、法规。拟订全区有关国民经济和社会发展、经济体制改革的政策措施，负责本系统、本部门依法行政工作，落实行政执法责任制。</w:t>
      </w:r>
    </w:p>
    <w:p w14:paraId="4E98B2E0">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2.</w:t>
      </w:r>
      <w:r>
        <w:rPr>
          <w:rFonts w:hint="default" w:ascii="Times New Roman" w:hAnsi="Times New Roman" w:eastAsia="仿宋_GB2312" w:cs="Times New Roman"/>
          <w:color w:val="000000"/>
          <w:sz w:val="32"/>
          <w:szCs w:val="24"/>
          <w:lang w:val="en-US"/>
        </w:rPr>
        <w:t>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76A0EDC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3.</w:t>
      </w:r>
      <w:r>
        <w:rPr>
          <w:rFonts w:hint="default" w:ascii="Times New Roman" w:hAnsi="Times New Roman" w:eastAsia="仿宋_GB2312" w:cs="Times New Roman"/>
          <w:color w:val="000000"/>
          <w:sz w:val="32"/>
          <w:szCs w:val="24"/>
          <w:lang w:val="en-US"/>
        </w:rPr>
        <w:t>负责监测宏观经济和社会发展态势，承担预测预警和信息引导的责任，研究宏观调控重大问题并提出政策建议，搞好总量平衡，综合协调经济社会发展中的重大问题。</w:t>
      </w:r>
    </w:p>
    <w:p w14:paraId="3D6CEA37">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4.</w:t>
      </w:r>
      <w:r>
        <w:rPr>
          <w:rFonts w:hint="default" w:ascii="Times New Roman" w:hAnsi="Times New Roman" w:eastAsia="仿宋_GB2312" w:cs="Times New Roman"/>
          <w:color w:val="000000"/>
          <w:sz w:val="32"/>
          <w:szCs w:val="24"/>
          <w:lang w:val="en-US"/>
        </w:rPr>
        <w:t>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7E8A04DD">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5.</w:t>
      </w:r>
      <w:r>
        <w:rPr>
          <w:rFonts w:hint="default" w:ascii="Times New Roman" w:hAnsi="Times New Roman" w:eastAsia="仿宋_GB2312" w:cs="Times New Roman"/>
          <w:color w:val="000000"/>
          <w:sz w:val="32"/>
          <w:szCs w:val="24"/>
          <w:lang w:val="en-US"/>
        </w:rPr>
        <w:t>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1030C11E">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6.</w:t>
      </w:r>
      <w:r>
        <w:rPr>
          <w:rFonts w:hint="default" w:ascii="Times New Roman" w:hAnsi="Times New Roman" w:eastAsia="仿宋_GB2312" w:cs="Times New Roman"/>
          <w:color w:val="000000"/>
          <w:sz w:val="32"/>
          <w:szCs w:val="24"/>
          <w:lang w:val="en-US"/>
        </w:rPr>
        <w:t>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377F5942">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7.</w:t>
      </w:r>
      <w:r>
        <w:rPr>
          <w:rFonts w:hint="default" w:ascii="Times New Roman" w:hAnsi="Times New Roman" w:eastAsia="仿宋_GB2312" w:cs="Times New Roman"/>
          <w:color w:val="000000"/>
          <w:sz w:val="32"/>
          <w:szCs w:val="24"/>
          <w:lang w:val="en-US"/>
        </w:rPr>
        <w:t>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49508872">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8.</w:t>
      </w:r>
      <w:r>
        <w:rPr>
          <w:rFonts w:hint="default" w:ascii="Times New Roman" w:hAnsi="Times New Roman" w:eastAsia="仿宋_GB2312" w:cs="Times New Roman"/>
          <w:color w:val="000000"/>
          <w:sz w:val="32"/>
          <w:szCs w:val="24"/>
          <w:lang w:val="en-US"/>
        </w:rPr>
        <w:t>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249DFA24">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9.</w:t>
      </w:r>
      <w:r>
        <w:rPr>
          <w:rFonts w:hint="default" w:ascii="Times New Roman" w:hAnsi="Times New Roman" w:eastAsia="仿宋_GB2312" w:cs="Times New Roman"/>
          <w:color w:val="000000"/>
          <w:sz w:val="32"/>
          <w:szCs w:val="24"/>
          <w:lang w:val="en-US"/>
        </w:rPr>
        <w:t>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4F37AB0D">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10.</w:t>
      </w:r>
      <w:r>
        <w:rPr>
          <w:rFonts w:hint="default" w:ascii="Times New Roman" w:hAnsi="Times New Roman" w:eastAsia="仿宋_GB2312" w:cs="Times New Roman"/>
          <w:color w:val="000000"/>
          <w:sz w:val="32"/>
          <w:szCs w:val="24"/>
          <w:lang w:val="en-US"/>
        </w:rPr>
        <w:t>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04325C1C">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11.</w:t>
      </w:r>
      <w:r>
        <w:rPr>
          <w:rFonts w:hint="default" w:ascii="Times New Roman" w:hAnsi="Times New Roman" w:eastAsia="仿宋_GB2312" w:cs="Times New Roman"/>
          <w:color w:val="000000"/>
          <w:sz w:val="32"/>
          <w:szCs w:val="24"/>
          <w:lang w:val="en-US"/>
        </w:rPr>
        <w:t>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1E9BBE3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12.</w:t>
      </w:r>
      <w:r>
        <w:rPr>
          <w:rFonts w:hint="default" w:ascii="Times New Roman" w:hAnsi="Times New Roman" w:eastAsia="仿宋_GB2312" w:cs="Times New Roman"/>
          <w:color w:val="000000"/>
          <w:sz w:val="32"/>
          <w:szCs w:val="24"/>
          <w:lang w:val="en-US"/>
        </w:rPr>
        <w:t>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1B44332E">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13.</w:t>
      </w:r>
      <w:r>
        <w:rPr>
          <w:rFonts w:hint="default" w:ascii="Times New Roman" w:hAnsi="Times New Roman" w:eastAsia="仿宋_GB2312" w:cs="Times New Roman"/>
          <w:color w:val="000000"/>
          <w:sz w:val="32"/>
          <w:szCs w:val="24"/>
          <w:lang w:val="en-US"/>
        </w:rPr>
        <w:t>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w:t>
      </w:r>
    </w:p>
    <w:p w14:paraId="2BD6BFDC">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14.</w:t>
      </w:r>
      <w:r>
        <w:rPr>
          <w:rFonts w:hint="default" w:ascii="Times New Roman" w:hAnsi="Times New Roman" w:eastAsia="仿宋_GB2312" w:cs="Times New Roman"/>
          <w:color w:val="000000"/>
          <w:sz w:val="32"/>
          <w:szCs w:val="24"/>
          <w:lang w:val="en-US"/>
        </w:rPr>
        <w:t>会同有关部门拟定革命老区、贫困地区经济发展规划，会同有关部门制定加快革命老区、贫困地区经济发展的重大政策，协调推进重大项目建设，促进经济社会持续、稳定、协调发展。</w:t>
      </w:r>
    </w:p>
    <w:p w14:paraId="03064D68">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15.</w:t>
      </w:r>
      <w:r>
        <w:rPr>
          <w:rFonts w:hint="default" w:ascii="Times New Roman" w:hAnsi="Times New Roman" w:eastAsia="仿宋_GB2312" w:cs="Times New Roman"/>
          <w:color w:val="000000"/>
          <w:sz w:val="32"/>
          <w:szCs w:val="24"/>
          <w:lang w:val="en-US"/>
        </w:rPr>
        <w:t>指导、协调并综合管理全区招标投标工作，按照职责权限对国家、省和市重大建设项目建设过程中的工程招标投标活动实施监督检查。</w:t>
      </w:r>
    </w:p>
    <w:p w14:paraId="437A95F1">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16.</w:t>
      </w:r>
      <w:r>
        <w:rPr>
          <w:rFonts w:hint="default" w:ascii="Times New Roman" w:hAnsi="Times New Roman" w:eastAsia="仿宋_GB2312" w:cs="Times New Roman"/>
          <w:color w:val="000000"/>
          <w:sz w:val="32"/>
          <w:szCs w:val="24"/>
          <w:lang w:val="en-US"/>
        </w:rPr>
        <w:t>负责组织编制全区国民经济动员与装备动员规划、计划，研究国民经济动员与装备动员和国民经济、国防建设的关系，协调相关重大问题，组织实施国民经济动员与装备动员有关工作。</w:t>
      </w:r>
    </w:p>
    <w:p w14:paraId="7DCBEB6C">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17.</w:t>
      </w:r>
      <w:r>
        <w:rPr>
          <w:rFonts w:hint="default" w:ascii="Times New Roman" w:hAnsi="Times New Roman" w:eastAsia="仿宋_GB2312" w:cs="Times New Roman"/>
          <w:color w:val="000000"/>
          <w:sz w:val="32"/>
          <w:szCs w:val="24"/>
          <w:lang w:val="en-US"/>
        </w:rPr>
        <w:t>负责粮食流通的行业监督管理；起草全区粮食流通和储备粮管理的政策规定，制定粮食流通、库存监督检查等相关管理制度；监督检查粮食流通法律法规、政策制度的执行情况；负责区级储备粮和其他政策性粮食的库存数量、质量、技术规范执行情况的监督检查；协助在我区的中央储备粮、省级储备粮及国家其他政策性临时储存粮食管理的监督检查工作；承担全区粮食预警监测，粮食质量安全检验监测体系建设；承担粮食行政执法、依法行政、行政诉讼应诉工作；承担全区粮食库存检查工作；监督粮食购销活动；承担粮食安全首长责任制考核日常工作。</w:t>
      </w:r>
    </w:p>
    <w:p w14:paraId="592EEF3D">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18.负责三江新区发展规划、建设项目统筹协调等工作职责。</w:t>
      </w:r>
    </w:p>
    <w:p w14:paraId="4FCB262D">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19.承担区委财经委员会、区重点产业和优化营商环境工作领导小组&lt;区投资促进领导小组&gt;的具体工作</w:t>
      </w:r>
    </w:p>
    <w:p w14:paraId="7CFD1F73">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20.</w:t>
      </w:r>
      <w:r>
        <w:rPr>
          <w:rFonts w:hint="default" w:ascii="Times New Roman" w:hAnsi="Times New Roman" w:eastAsia="仿宋_GB2312" w:cs="Times New Roman"/>
          <w:color w:val="000000"/>
          <w:sz w:val="32"/>
          <w:szCs w:val="24"/>
          <w:lang w:val="en-US"/>
        </w:rPr>
        <w:t>承办区政府公布的有关行政审批事项。</w:t>
      </w:r>
    </w:p>
    <w:p w14:paraId="54A8983F">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21.</w:t>
      </w:r>
      <w:r>
        <w:rPr>
          <w:rFonts w:hint="default" w:ascii="Times New Roman" w:hAnsi="Times New Roman" w:eastAsia="仿宋_GB2312" w:cs="Times New Roman"/>
          <w:color w:val="000000"/>
          <w:sz w:val="32"/>
          <w:szCs w:val="24"/>
          <w:lang w:val="en-US"/>
        </w:rPr>
        <w:t>承办区政府交办的其他事项。</w:t>
      </w:r>
    </w:p>
    <w:p w14:paraId="170D8452">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eastAsia="zh-CN"/>
        </w:rPr>
      </w:pPr>
      <w:r>
        <w:rPr>
          <w:rFonts w:hint="default" w:ascii="Times New Roman" w:hAnsi="Times New Roman" w:eastAsia="楷体_GB2312" w:cs="Times New Roman"/>
          <w:b w:val="0"/>
          <w:bCs/>
          <w:color w:val="auto"/>
          <w:sz w:val="32"/>
          <w:szCs w:val="32"/>
          <w:lang w:eastAsia="zh-CN"/>
        </w:rPr>
        <w:t>（</w:t>
      </w:r>
      <w:r>
        <w:rPr>
          <w:rFonts w:hint="default" w:ascii="Times New Roman" w:hAnsi="Times New Roman" w:eastAsia="楷体_GB2312" w:cs="Times New Roman"/>
          <w:b w:val="0"/>
          <w:bCs/>
          <w:color w:val="auto"/>
          <w:sz w:val="32"/>
          <w:szCs w:val="32"/>
          <w:lang w:val="en-US" w:eastAsia="zh-CN"/>
        </w:rPr>
        <w:t>三</w:t>
      </w:r>
      <w:r>
        <w:rPr>
          <w:rFonts w:hint="default" w:ascii="Times New Roman" w:hAnsi="Times New Roman" w:eastAsia="楷体_GB2312" w:cs="Times New Roman"/>
          <w:b w:val="0"/>
          <w:bCs/>
          <w:color w:val="auto"/>
          <w:sz w:val="32"/>
          <w:szCs w:val="32"/>
          <w:lang w:eastAsia="zh-CN"/>
        </w:rPr>
        <w:t>）人员概况</w:t>
      </w:r>
    </w:p>
    <w:p w14:paraId="3EB85E4D">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2024年，我局</w:t>
      </w:r>
      <w:r>
        <w:rPr>
          <w:rFonts w:hint="default" w:ascii="Times New Roman" w:hAnsi="Times New Roman" w:eastAsia="仿宋_GB2312" w:cs="Times New Roman"/>
          <w:color w:val="000000"/>
          <w:sz w:val="32"/>
          <w:szCs w:val="24"/>
          <w:lang w:val="en-US"/>
        </w:rPr>
        <w:t>共有编制</w:t>
      </w:r>
      <w:r>
        <w:rPr>
          <w:rFonts w:hint="default" w:ascii="Times New Roman" w:hAnsi="Times New Roman" w:eastAsia="仿宋_GB2312" w:cs="Times New Roman"/>
          <w:color w:val="000000"/>
          <w:sz w:val="32"/>
          <w:szCs w:val="24"/>
          <w:lang w:val="en-US" w:eastAsia="zh-CN"/>
        </w:rPr>
        <w:t>40</w:t>
      </w:r>
      <w:r>
        <w:rPr>
          <w:rFonts w:hint="default" w:ascii="Times New Roman" w:hAnsi="Times New Roman" w:eastAsia="仿宋_GB2312" w:cs="Times New Roman"/>
          <w:color w:val="000000"/>
          <w:sz w:val="32"/>
          <w:szCs w:val="24"/>
          <w:lang w:val="en-US"/>
        </w:rPr>
        <w:t>名，其中：行政编制12人，其他事业编制</w:t>
      </w:r>
      <w:r>
        <w:rPr>
          <w:rFonts w:hint="default" w:ascii="Times New Roman" w:hAnsi="Times New Roman" w:eastAsia="仿宋_GB2312" w:cs="Times New Roman"/>
          <w:color w:val="000000"/>
          <w:sz w:val="32"/>
          <w:szCs w:val="24"/>
          <w:lang w:val="en-US" w:eastAsia="zh-CN"/>
        </w:rPr>
        <w:t>28</w:t>
      </w:r>
      <w:r>
        <w:rPr>
          <w:rFonts w:hint="default" w:ascii="Times New Roman" w:hAnsi="Times New Roman" w:eastAsia="仿宋_GB2312" w:cs="Times New Roman"/>
          <w:color w:val="000000"/>
          <w:sz w:val="32"/>
          <w:szCs w:val="24"/>
          <w:lang w:val="en-US"/>
        </w:rPr>
        <w:t>人</w:t>
      </w:r>
      <w:r>
        <w:rPr>
          <w:rFonts w:hint="default" w:ascii="Times New Roman" w:hAnsi="Times New Roman" w:eastAsia="仿宋_GB2312" w:cs="Times New Roman"/>
          <w:color w:val="000000"/>
          <w:sz w:val="32"/>
          <w:szCs w:val="24"/>
          <w:lang w:val="en-US" w:eastAsia="zh-CN"/>
        </w:rPr>
        <w:t>；</w:t>
      </w:r>
      <w:r>
        <w:rPr>
          <w:rFonts w:hint="default" w:ascii="Times New Roman" w:hAnsi="Times New Roman" w:eastAsia="仿宋_GB2312" w:cs="Times New Roman"/>
          <w:color w:val="000000"/>
          <w:sz w:val="32"/>
          <w:szCs w:val="24"/>
          <w:lang w:val="en-US"/>
        </w:rPr>
        <w:t>在职人员总数</w:t>
      </w:r>
      <w:r>
        <w:rPr>
          <w:rFonts w:hint="default" w:ascii="Times New Roman" w:hAnsi="Times New Roman" w:eastAsia="仿宋_GB2312" w:cs="Times New Roman"/>
          <w:color w:val="000000"/>
          <w:sz w:val="32"/>
          <w:szCs w:val="24"/>
          <w:lang w:val="en-US" w:eastAsia="zh-CN"/>
        </w:rPr>
        <w:t>43</w:t>
      </w:r>
      <w:r>
        <w:rPr>
          <w:rFonts w:hint="default" w:ascii="Times New Roman" w:hAnsi="Times New Roman" w:eastAsia="仿宋_GB2312" w:cs="Times New Roman"/>
          <w:color w:val="000000"/>
          <w:sz w:val="32"/>
          <w:szCs w:val="24"/>
          <w:lang w:val="en-US"/>
        </w:rPr>
        <w:t>人，其中：行政人员</w:t>
      </w:r>
      <w:r>
        <w:rPr>
          <w:rFonts w:hint="default" w:ascii="Times New Roman" w:hAnsi="Times New Roman" w:eastAsia="仿宋_GB2312" w:cs="Times New Roman"/>
          <w:color w:val="000000"/>
          <w:sz w:val="32"/>
          <w:szCs w:val="24"/>
          <w:lang w:val="en-US" w:eastAsia="zh-CN"/>
        </w:rPr>
        <w:t>11</w:t>
      </w:r>
      <w:r>
        <w:rPr>
          <w:rFonts w:hint="default" w:ascii="Times New Roman" w:hAnsi="Times New Roman" w:eastAsia="仿宋_GB2312" w:cs="Times New Roman"/>
          <w:color w:val="000000"/>
          <w:sz w:val="32"/>
          <w:szCs w:val="24"/>
          <w:lang w:val="en-US"/>
        </w:rPr>
        <w:t>人，其他事业人员</w:t>
      </w:r>
      <w:r>
        <w:rPr>
          <w:rFonts w:hint="default" w:ascii="Times New Roman" w:hAnsi="Times New Roman" w:eastAsia="仿宋_GB2312" w:cs="Times New Roman"/>
          <w:color w:val="000000"/>
          <w:sz w:val="32"/>
          <w:szCs w:val="24"/>
          <w:lang w:val="en-US" w:eastAsia="zh-CN"/>
        </w:rPr>
        <w:t>32</w:t>
      </w:r>
      <w:r>
        <w:rPr>
          <w:rFonts w:hint="default" w:ascii="Times New Roman" w:hAnsi="Times New Roman" w:eastAsia="仿宋_GB2312" w:cs="Times New Roman"/>
          <w:color w:val="000000"/>
          <w:sz w:val="32"/>
          <w:szCs w:val="24"/>
          <w:lang w:val="en-US"/>
        </w:rPr>
        <w:t>人</w:t>
      </w:r>
      <w:r>
        <w:rPr>
          <w:rFonts w:hint="default" w:ascii="Times New Roman" w:hAnsi="Times New Roman" w:eastAsia="仿宋_GB2312" w:cs="Times New Roman"/>
          <w:color w:val="000000"/>
          <w:sz w:val="32"/>
          <w:szCs w:val="24"/>
          <w:lang w:val="en-US" w:eastAsia="zh-CN"/>
        </w:rPr>
        <w:t>；</w:t>
      </w:r>
      <w:r>
        <w:rPr>
          <w:rFonts w:hint="default" w:ascii="Times New Roman" w:hAnsi="Times New Roman" w:eastAsia="仿宋_GB2312" w:cs="Times New Roman"/>
          <w:color w:val="000000"/>
          <w:sz w:val="32"/>
          <w:szCs w:val="24"/>
          <w:lang w:val="en-US"/>
        </w:rPr>
        <w:t>退休人员</w:t>
      </w:r>
      <w:r>
        <w:rPr>
          <w:rFonts w:hint="default" w:ascii="Times New Roman" w:hAnsi="Times New Roman" w:eastAsia="仿宋_GB2312" w:cs="Times New Roman"/>
          <w:color w:val="000000"/>
          <w:sz w:val="32"/>
          <w:szCs w:val="24"/>
          <w:lang w:val="en-US" w:eastAsia="zh-CN"/>
        </w:rPr>
        <w:t>27</w:t>
      </w:r>
      <w:r>
        <w:rPr>
          <w:rFonts w:hint="default" w:ascii="Times New Roman" w:hAnsi="Times New Roman" w:eastAsia="仿宋_GB2312" w:cs="Times New Roman"/>
          <w:color w:val="000000"/>
          <w:sz w:val="32"/>
          <w:szCs w:val="24"/>
          <w:lang w:val="en-US"/>
        </w:rPr>
        <w:t>人。</w:t>
      </w:r>
    </w:p>
    <w:p w14:paraId="5AB9458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eastAsia="zh-CN"/>
        </w:rPr>
        <w:t>部门（单位）收支</w:t>
      </w:r>
      <w:r>
        <w:rPr>
          <w:rFonts w:hint="default" w:ascii="Times New Roman" w:hAnsi="Times New Roman" w:eastAsia="黑体" w:cs="Times New Roman"/>
          <w:color w:val="auto"/>
          <w:sz w:val="32"/>
          <w:szCs w:val="32"/>
        </w:rPr>
        <w:t>情况</w:t>
      </w:r>
    </w:p>
    <w:p w14:paraId="6F180A8B">
      <w:pPr>
        <w:keepNext w:val="0"/>
        <w:keepLines w:val="0"/>
        <w:pageBreakBefore w:val="0"/>
        <w:widowControl w:val="0"/>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单位财政资金</w:t>
      </w:r>
      <w:r>
        <w:rPr>
          <w:rFonts w:hint="default" w:ascii="Times New Roman" w:hAnsi="Times New Roman" w:eastAsia="楷体_GB2312" w:cs="Times New Roman"/>
          <w:b w:val="0"/>
          <w:bCs/>
          <w:sz w:val="32"/>
          <w:szCs w:val="32"/>
          <w:lang w:val="en-US" w:eastAsia="zh-CN"/>
        </w:rPr>
        <w:t>收入</w:t>
      </w:r>
      <w:r>
        <w:rPr>
          <w:rFonts w:hint="default" w:ascii="Times New Roman" w:hAnsi="Times New Roman" w:eastAsia="楷体_GB2312" w:cs="Times New Roman"/>
          <w:b w:val="0"/>
          <w:bCs/>
          <w:sz w:val="32"/>
          <w:szCs w:val="32"/>
          <w:lang w:eastAsia="zh-CN"/>
        </w:rPr>
        <w:t>情况</w:t>
      </w:r>
    </w:p>
    <w:p w14:paraId="2C11A41C">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2024年度年初预算财政拨款收入合计3144.84万元，其中一般公共服务支出2943.17万元，社会保障和就业支出125.24万元，卫生健康支出24.36万元，住房和保障支出52.07万元</w:t>
      </w:r>
    </w:p>
    <w:p w14:paraId="7B16A109">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2024年度全年决算财政拨款收入合计15198.61万元。一般公共预算收入7298.61万元，其中一般公共服务支出1169.33万元，文化旅游体育和传媒支出997万元，社会保障和就业支出123.42万元，卫生健康支出691.98万元，节能环保支出14万元，城乡社区支出145万元；农林水支出2988万元，住房保障支出50.1万元，粮油物资储备支出1119.78万元；政府性基金预算收入7900万元，其中其他支出7900万元。</w:t>
      </w:r>
    </w:p>
    <w:p w14:paraId="17EC69FF">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全年决算财政拨款收入较年初预算财政拨款收入增加12053.77万元，增加的主要原因是：项目争取成效显著，到位资金较多，如广元市昭化区川北红岩港粮食现代物流中心债券项目7900万元，2024年中央基建投资（以工代赈示范工程）项目1000万元等。</w:t>
      </w:r>
    </w:p>
    <w:p w14:paraId="15247B1B">
      <w:pPr>
        <w:keepNext w:val="0"/>
        <w:keepLines w:val="0"/>
        <w:pageBreakBefore w:val="0"/>
        <w:widowControl w:val="0"/>
        <w:numPr>
          <w:ilvl w:val="0"/>
          <w:numId w:val="4"/>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eastAsia="zh-CN"/>
        </w:rPr>
        <w:t>单位财政支出情况</w:t>
      </w:r>
    </w:p>
    <w:p w14:paraId="3AE45382">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2024年度年初预算财政拨款支出合计3144.84万元，其中基本支出715.43万元，占22.75%；项目支出2429.41万元，占77.25%。</w:t>
      </w:r>
    </w:p>
    <w:p w14:paraId="7A28175A">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rPr>
      </w:pPr>
      <w:r>
        <w:rPr>
          <w:rFonts w:hint="default" w:ascii="Times New Roman" w:hAnsi="Times New Roman" w:eastAsia="仿宋_GB2312" w:cs="Times New Roman"/>
          <w:color w:val="000000"/>
          <w:sz w:val="32"/>
          <w:szCs w:val="24"/>
          <w:lang w:val="en-US" w:eastAsia="zh-CN"/>
        </w:rPr>
        <w:t>2024年度全年决算财政拨款</w:t>
      </w:r>
      <w:r>
        <w:rPr>
          <w:rFonts w:hint="default" w:ascii="Times New Roman" w:hAnsi="Times New Roman" w:eastAsia="仿宋_GB2312" w:cs="Times New Roman"/>
          <w:color w:val="000000"/>
          <w:sz w:val="32"/>
          <w:szCs w:val="24"/>
          <w:lang w:val="en-US"/>
        </w:rPr>
        <w:t>支出合计</w:t>
      </w:r>
      <w:r>
        <w:rPr>
          <w:rFonts w:hint="default" w:ascii="Times New Roman" w:hAnsi="Times New Roman" w:eastAsia="仿宋_GB2312" w:cs="Times New Roman"/>
          <w:color w:val="000000"/>
          <w:sz w:val="32"/>
          <w:szCs w:val="24"/>
          <w:lang w:val="en-US" w:eastAsia="zh-CN"/>
        </w:rPr>
        <w:t>15198.61</w:t>
      </w:r>
      <w:r>
        <w:rPr>
          <w:rFonts w:hint="default" w:ascii="Times New Roman" w:hAnsi="Times New Roman" w:eastAsia="仿宋_GB2312" w:cs="Times New Roman"/>
          <w:color w:val="000000"/>
          <w:sz w:val="32"/>
          <w:szCs w:val="24"/>
          <w:lang w:val="en-US"/>
        </w:rPr>
        <w:t>万元，其中：基本支出</w:t>
      </w:r>
      <w:r>
        <w:rPr>
          <w:rFonts w:hint="default" w:ascii="Times New Roman" w:hAnsi="Times New Roman" w:eastAsia="仿宋_GB2312" w:cs="Times New Roman"/>
          <w:color w:val="000000"/>
          <w:sz w:val="32"/>
          <w:szCs w:val="24"/>
          <w:lang w:val="en-US" w:eastAsia="zh-CN"/>
        </w:rPr>
        <w:t>1016.83</w:t>
      </w:r>
      <w:r>
        <w:rPr>
          <w:rFonts w:hint="default" w:ascii="Times New Roman" w:hAnsi="Times New Roman" w:eastAsia="仿宋_GB2312" w:cs="Times New Roman"/>
          <w:color w:val="000000"/>
          <w:sz w:val="32"/>
          <w:szCs w:val="24"/>
          <w:lang w:val="en-US"/>
        </w:rPr>
        <w:t>万元，占</w:t>
      </w:r>
      <w:r>
        <w:rPr>
          <w:rFonts w:hint="default" w:ascii="Times New Roman" w:hAnsi="Times New Roman" w:eastAsia="仿宋_GB2312" w:cs="Times New Roman"/>
          <w:color w:val="000000"/>
          <w:sz w:val="32"/>
          <w:szCs w:val="24"/>
          <w:lang w:val="en-US" w:eastAsia="zh-CN"/>
        </w:rPr>
        <w:t>6.7</w:t>
      </w:r>
      <w:r>
        <w:rPr>
          <w:rFonts w:hint="default" w:ascii="Times New Roman" w:hAnsi="Times New Roman" w:eastAsia="仿宋_GB2312" w:cs="Times New Roman"/>
          <w:color w:val="000000"/>
          <w:sz w:val="32"/>
          <w:szCs w:val="24"/>
          <w:lang w:val="en-US"/>
        </w:rPr>
        <w:t>%；项目支出</w:t>
      </w:r>
      <w:r>
        <w:rPr>
          <w:rFonts w:hint="default" w:ascii="Times New Roman" w:hAnsi="Times New Roman" w:eastAsia="仿宋_GB2312" w:cs="Times New Roman"/>
          <w:color w:val="000000"/>
          <w:sz w:val="32"/>
          <w:szCs w:val="24"/>
          <w:lang w:val="en-US" w:eastAsia="zh-CN"/>
        </w:rPr>
        <w:t>14181.78</w:t>
      </w:r>
      <w:r>
        <w:rPr>
          <w:rFonts w:hint="default" w:ascii="Times New Roman" w:hAnsi="Times New Roman" w:eastAsia="仿宋_GB2312" w:cs="Times New Roman"/>
          <w:color w:val="000000"/>
          <w:sz w:val="32"/>
          <w:szCs w:val="24"/>
          <w:lang w:val="en-US"/>
        </w:rPr>
        <w:t>万元，占</w:t>
      </w:r>
      <w:r>
        <w:rPr>
          <w:rFonts w:hint="default" w:ascii="Times New Roman" w:hAnsi="Times New Roman" w:eastAsia="仿宋_GB2312" w:cs="Times New Roman"/>
          <w:color w:val="000000"/>
          <w:sz w:val="32"/>
          <w:szCs w:val="24"/>
          <w:lang w:val="en-US" w:eastAsia="zh-CN"/>
        </w:rPr>
        <w:t>93.3</w:t>
      </w:r>
      <w:r>
        <w:rPr>
          <w:rFonts w:hint="default" w:ascii="Times New Roman" w:hAnsi="Times New Roman" w:eastAsia="仿宋_GB2312" w:cs="Times New Roman"/>
          <w:color w:val="000000"/>
          <w:sz w:val="32"/>
          <w:szCs w:val="24"/>
          <w:lang w:val="en-US"/>
        </w:rPr>
        <w:t>%</w:t>
      </w:r>
      <w:r>
        <w:rPr>
          <w:rFonts w:hint="default" w:ascii="Times New Roman" w:hAnsi="Times New Roman" w:eastAsia="仿宋_GB2312" w:cs="Times New Roman"/>
          <w:color w:val="000000"/>
          <w:sz w:val="32"/>
          <w:szCs w:val="24"/>
          <w:lang w:val="en-US" w:eastAsia="zh-CN"/>
        </w:rPr>
        <w:t>。</w:t>
      </w:r>
    </w:p>
    <w:p w14:paraId="115740EF">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全年决算财政拨款支出较年初预算财政拨款支出增加12053.777万元，增加的主要原因是项目资金拨付增加，如拨付川北红岩港粮食现代物流中心项目7900万元，粮食财务挂账本金及利息资金331.7万元，以工代赈项目资金2953万元等。</w:t>
      </w:r>
    </w:p>
    <w:p w14:paraId="6A1B7F4C">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（三）结转和结余情况</w:t>
      </w:r>
    </w:p>
    <w:p w14:paraId="6A34D5FD">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本年度无结转结余。</w:t>
      </w:r>
    </w:p>
    <w:p w14:paraId="4EC3D4C8">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bCs/>
          <w:color w:val="auto"/>
          <w:sz w:val="32"/>
          <w:szCs w:val="32"/>
          <w:lang w:eastAsia="zh-CN"/>
        </w:rPr>
        <w:t>三</w:t>
      </w:r>
      <w:r>
        <w:rPr>
          <w:rFonts w:hint="default" w:ascii="Times New Roman" w:hAnsi="Times New Roman" w:eastAsia="黑体" w:cs="Times New Roman"/>
          <w:color w:val="auto"/>
          <w:sz w:val="32"/>
          <w:szCs w:val="32"/>
          <w:lang w:eastAsia="zh-CN"/>
        </w:rPr>
        <w:t>、部门预算绩效</w:t>
      </w:r>
      <w:r>
        <w:rPr>
          <w:rFonts w:hint="default" w:ascii="Times New Roman" w:hAnsi="Times New Roman" w:eastAsia="黑体" w:cs="Times New Roman"/>
          <w:color w:val="auto"/>
          <w:sz w:val="32"/>
          <w:szCs w:val="32"/>
          <w:lang w:val="en-US" w:eastAsia="zh-CN"/>
        </w:rPr>
        <w:t>分析</w:t>
      </w:r>
    </w:p>
    <w:p w14:paraId="410F6E8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eastAsia="zh-CN"/>
        </w:rPr>
        <w:t>（一）部门预算总体绩效</w:t>
      </w:r>
      <w:r>
        <w:rPr>
          <w:rFonts w:hint="default" w:ascii="Times New Roman" w:hAnsi="Times New Roman" w:eastAsia="楷体_GB2312" w:cs="Times New Roman"/>
          <w:b w:val="0"/>
          <w:bCs/>
          <w:color w:val="auto"/>
          <w:sz w:val="32"/>
          <w:szCs w:val="32"/>
          <w:lang w:val="en-US" w:eastAsia="zh-CN"/>
        </w:rPr>
        <w:t>分析</w:t>
      </w:r>
    </w:p>
    <w:p w14:paraId="75F55BC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1.部门目标制定。我单位在年初编制部门预算时，严格按照我局2024年度重点工作任务及计划，高标准制定合理可行的部门整体绩效目标。结合我局各项工作职能，如</w:t>
      </w:r>
      <w:r>
        <w:rPr>
          <w:rFonts w:hint="default" w:ascii="Times New Roman" w:hAnsi="Times New Roman" w:eastAsia="仿宋_GB2312" w:cs="Times New Roman"/>
          <w:color w:val="000000"/>
          <w:sz w:val="32"/>
          <w:szCs w:val="24"/>
          <w:lang w:val="en-US"/>
        </w:rPr>
        <w:t>协调推进重大项目建设</w:t>
      </w:r>
      <w:r>
        <w:rPr>
          <w:rFonts w:hint="default" w:ascii="Times New Roman" w:hAnsi="Times New Roman" w:eastAsia="仿宋_GB2312" w:cs="Times New Roman"/>
          <w:color w:val="000000"/>
          <w:sz w:val="32"/>
          <w:szCs w:val="24"/>
          <w:lang w:val="en-US" w:eastAsia="zh-CN"/>
        </w:rPr>
        <w:t>、</w:t>
      </w:r>
      <w:r>
        <w:rPr>
          <w:rFonts w:hint="default" w:ascii="Times New Roman" w:hAnsi="Times New Roman" w:eastAsia="仿宋_GB2312" w:cs="Times New Roman"/>
          <w:color w:val="000000"/>
          <w:sz w:val="32"/>
          <w:szCs w:val="24"/>
          <w:lang w:val="en-US"/>
        </w:rPr>
        <w:t>贯彻实施国家和省价格</w:t>
      </w:r>
      <w:r>
        <w:rPr>
          <w:rFonts w:hint="default" w:ascii="Times New Roman" w:hAnsi="Times New Roman" w:eastAsia="仿宋_GB2312" w:cs="Times New Roman"/>
          <w:color w:val="000000"/>
          <w:sz w:val="32"/>
          <w:szCs w:val="24"/>
          <w:lang w:val="en-US" w:eastAsia="zh-CN"/>
        </w:rPr>
        <w:t>政策方针、</w:t>
      </w:r>
      <w:r>
        <w:rPr>
          <w:rFonts w:hint="default" w:ascii="Times New Roman" w:hAnsi="Times New Roman" w:eastAsia="仿宋_GB2312" w:cs="Times New Roman"/>
          <w:color w:val="000000"/>
          <w:sz w:val="32"/>
          <w:szCs w:val="24"/>
          <w:lang w:val="en-US"/>
        </w:rPr>
        <w:t>协调全区以工代赈工作</w:t>
      </w:r>
      <w:r>
        <w:rPr>
          <w:rFonts w:hint="default" w:ascii="Times New Roman" w:hAnsi="Times New Roman" w:eastAsia="仿宋_GB2312" w:cs="Times New Roman"/>
          <w:color w:val="000000"/>
          <w:sz w:val="32"/>
          <w:szCs w:val="24"/>
          <w:lang w:val="en-US" w:eastAsia="zh-CN"/>
        </w:rPr>
        <w:t>等，明确了一级指标，二级指标，三级指标，细化量化了指标评价内容。绩效目标随同预算纳入部门党组（委）会（办公会）集体决策范围。在年初及后续追加制定各类项目绩效目标时，也严格按照项目批复的建设内容进行细化量化，并结合项目申报时的预期效益合理编制可实现可持续的一二三级指标，争取项目资金能够发挥出最优效益，以项目促发展，带动昭化经济再上新台阶。</w:t>
      </w:r>
    </w:p>
    <w:p w14:paraId="123F98DA">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部门目标实现。2024年，我局各项绩效目标整体实现情况良好。一是人员类项目，全年支出669.6万元，按照规定标准及时足额发放43名工作人员工资薪酬，27名退休干部目标奖等，保障了工作有序开展，完成计划目标任务；二是机关运转类项目，全年支出222.18万元，保障了单位日常运转。年初制定的加快续建项目大于21个、处理招投标信访案件10件、召开全区经济运行分析会3次、推行项目新开工9个、争取央省预算内以工代赈项目3个、监管区级粮油4240吨储备入库等数量指标均有序完成。各类项目建设不仅促进了群众增收，丰富了居民文化生活，解决了周边居民具体困难，还极大程度上优化了城乡居民的生产生活环境。三是特定目标类项目。年初预算的2024年争取资金工作经费、招商引资工作经费、项目前期工作经费和区级储备费用及利息全年共计支出350.49万元，项目均完成数量指标和成本指标，但预算执行率低，主要原因财政资金拨付缓慢。年中追加的以工代赈类项目推进较好，新建道路、土地整理、渠系整治等数量指标均已按时按量完成。但2022年和2023年中央节能减排（电基础设施建设)补助资金，该项目为完成充电桩安装后实行报账制，项目建设少，企业多不愿意报账，数量指标离既定目标还存在一定偏差，成本指标实现效果也不甚理想，资金存在结余情况。</w:t>
      </w:r>
    </w:p>
    <w:p w14:paraId="43067C25">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3.支出控制</w:t>
      </w:r>
    </w:p>
    <w:p w14:paraId="48BB28E7">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年度部门日常公用经费中办公费预算11.92万元，决算11.92万元，偏差为0；印刷费预算11万元，决算11万元，偏差程度为0；水费预算1万元，决算1万元，偏差程度为0；会议费预算1万元，决算1万元，偏差程度为0；邮电费预算3.2万元，决算3.2万元，偏差程度为0，其余科目年初预算数与决算数也基本相符，预决算偏差程度低。</w:t>
      </w:r>
    </w:p>
    <w:p w14:paraId="34DDFA1A">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4.及时处置</w:t>
      </w:r>
    </w:p>
    <w:p w14:paraId="5728F5F2">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按照《广元市昭化区预算绩效事中运行监控管理暂行办法》（昭府办函〔2022〕37号）的要求，按时完成预算绩效运行监控，将绩效监控结果应用到预算调整，合理安排预算执行进度，提高资金使用绩效。2024年不涉及绩效监控调整取消额和结余注销额。</w:t>
      </w:r>
    </w:p>
    <w:p w14:paraId="29898F59">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5.执行进度</w:t>
      </w:r>
    </w:p>
    <w:p w14:paraId="474A027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单位2024年预算一体化平台预算下达指标总额19404.01万元，2024年6月、9月、11月实际预算支出数分别占部门13.84%、48.03%、57.42%。未严格按进度40%、67.5%、82.5%的标准执行。</w:t>
      </w:r>
    </w:p>
    <w:p w14:paraId="16CDEC6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6.预算完成情况</w:t>
      </w:r>
    </w:p>
    <w:p w14:paraId="1729FA64">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单位2024年部门预算占全年预算的60.32%。</w:t>
      </w:r>
    </w:p>
    <w:p w14:paraId="0E5BB9B8">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7.资金结余（低效无效率）</w:t>
      </w:r>
    </w:p>
    <w:p w14:paraId="5EFC44E1">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2024年预算项目年末无结转。2024年商品粮大市奖励资金、2024年中央财政产粮大县奖励资金、2024年省预算内基本建设资金（第二批）资金存在资金结余。</w:t>
      </w:r>
    </w:p>
    <w:p w14:paraId="7E7C327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（二）项目预算绩效管理情况</w:t>
      </w:r>
    </w:p>
    <w:p w14:paraId="1DC1E936">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部门预算项目绩效情况。2024年部门项目类支出8个，涉及金额2429.4万元。项目的实施，储备区级粮油4240吨，其中，稻谷2500吨、小麦1500吨、小包装成品大米200吨，小包装菜油40吨，为我区粮食应急做好供应保障；项目前期工作经费的实施，为成功争取上级各类资金奠定坚实基础，全年争取中省预算内投资项目20个，到位中省预算资金18545.25万元、到位资金额度位居全市第二。2024年新增本级财力安排50万元及以上的项目1个。8个项目自评平均得分99分。</w:t>
      </w:r>
    </w:p>
    <w:p w14:paraId="4DAEAFCA">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2.专项预算绩效情况。2024年追加专项预算项目7个，均为上级专项资金。项目的实施有效解决农村基础设施条件改善，提高当地群众居民生产生活条件，居民收入等。</w:t>
      </w:r>
    </w:p>
    <w:p w14:paraId="54A125DF">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（三）绩效结果应用</w:t>
      </w:r>
    </w:p>
    <w:p w14:paraId="21D799C0">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1.内部应用</w:t>
      </w:r>
    </w:p>
    <w:p w14:paraId="35DAB13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我单位在《内部控制手册》中明确将内设机构绩效自评纳入考核体系，建立了对内设机构和下属单位预算与绩效挂钩机制。</w:t>
      </w:r>
    </w:p>
    <w:p w14:paraId="5B40939D">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2.自评公开</w:t>
      </w:r>
    </w:p>
    <w:p w14:paraId="16D3EE16">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按照财政部门的管理要求，我单位将部门整体绩效自评情况和自行组织的评价情况在昭化区人民政府官网随同单位决算向社会进行公开。</w:t>
      </w:r>
    </w:p>
    <w:p w14:paraId="444F2D77">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3.整改反馈</w:t>
      </w:r>
    </w:p>
    <w:p w14:paraId="53F280F3">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在2024年重点绩效评价中，区财政局对我单位以工代赈示范工程专项 2024年中央基建投资预算项目进行抽查复评，我单位就存在的问题进行整改落实，并向区财政局报送了《关于报送2024年重点绩效评价问题整改情况的函》。</w:t>
      </w:r>
    </w:p>
    <w:p w14:paraId="2AE612E6">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（四）自评质量</w:t>
      </w:r>
    </w:p>
    <w:p w14:paraId="0F596A33">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我单位自评得分98分，在预算完成、资金结余率、专项预算项目绩效管理等方面有不同程度扣分，自评结果较为真实准确的反映了我单位2024年部门整体支出绩效情况，自评工作总体质量较好。</w:t>
      </w:r>
    </w:p>
    <w:p w14:paraId="5FC4AC63">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仿宋_GB2312" w:cs="Times New Roman"/>
          <w:color w:val="000000"/>
          <w:sz w:val="32"/>
          <w:szCs w:val="24"/>
          <w:lang w:val="en-US" w:eastAsia="zh-CN"/>
        </w:rPr>
        <w:t>我单位在2024年度预算管理中均符合相关财政财务管理规定，无违反相关规定。</w:t>
      </w:r>
    </w:p>
    <w:p w14:paraId="78549AA6">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黑体" w:cs="Times New Roman"/>
          <w:color w:val="000000"/>
          <w:sz w:val="32"/>
          <w:szCs w:val="24"/>
          <w:lang w:val="en-US" w:eastAsia="zh-CN"/>
        </w:rPr>
      </w:pPr>
      <w:r>
        <w:rPr>
          <w:rFonts w:hint="default" w:ascii="Times New Roman" w:hAnsi="Times New Roman" w:eastAsia="黑体" w:cs="Times New Roman"/>
          <w:color w:val="000000"/>
          <w:sz w:val="32"/>
          <w:szCs w:val="24"/>
          <w:lang w:val="en-US" w:eastAsia="zh-CN"/>
        </w:rPr>
        <w:t>四、存在的问题及建议</w:t>
      </w:r>
    </w:p>
    <w:p w14:paraId="37C55A6B">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楷体_GB2312" w:cs="Times New Roman"/>
          <w:b w:val="0"/>
          <w:bCs/>
          <w:color w:val="auto"/>
          <w:sz w:val="32"/>
          <w:szCs w:val="32"/>
          <w:lang w:val="en-US" w:eastAsia="zh-CN"/>
        </w:rPr>
        <w:t>（一）存在问题。</w:t>
      </w:r>
      <w:r>
        <w:rPr>
          <w:rFonts w:hint="default" w:ascii="Times New Roman" w:hAnsi="Times New Roman" w:eastAsia="仿宋_GB2312" w:cs="Times New Roman"/>
          <w:color w:val="000000"/>
          <w:sz w:val="32"/>
          <w:szCs w:val="24"/>
          <w:lang w:val="en-US" w:eastAsia="zh-CN"/>
        </w:rPr>
        <w:t>预算执行率较低，完成率不高，部分项目资金存在结余；对专项预算项目绩效管理不足，项目资金支付进度与实际建设进度存在偏差，绩效指标执行有待加强。</w:t>
      </w:r>
    </w:p>
    <w:p w14:paraId="434E40D3">
      <w:pPr>
        <w:keepNext w:val="0"/>
        <w:keepLines w:val="0"/>
        <w:pageBreakBefore w:val="0"/>
        <w:widowControl w:val="0"/>
        <w:kinsoku/>
        <w:wordWrap/>
        <w:overflowPunct w:val="0"/>
        <w:topLinePunct/>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24"/>
          <w:lang w:val="en-US" w:eastAsia="zh-CN"/>
        </w:rPr>
      </w:pPr>
      <w:r>
        <w:rPr>
          <w:rFonts w:hint="default" w:ascii="Times New Roman" w:hAnsi="Times New Roman" w:eastAsia="楷体_GB2312" w:cs="Times New Roman"/>
          <w:b w:val="0"/>
          <w:bCs/>
          <w:color w:val="auto"/>
          <w:sz w:val="32"/>
          <w:szCs w:val="32"/>
          <w:lang w:val="en-US" w:eastAsia="zh-CN"/>
        </w:rPr>
        <w:t>（二）改进建议。</w:t>
      </w:r>
      <w:r>
        <w:rPr>
          <w:rFonts w:hint="default" w:ascii="Times New Roman" w:hAnsi="Times New Roman" w:eastAsia="仿宋_GB2312" w:cs="Times New Roman"/>
          <w:color w:val="000000"/>
          <w:sz w:val="32"/>
          <w:szCs w:val="24"/>
          <w:lang w:val="en-US" w:eastAsia="zh-CN"/>
        </w:rPr>
        <w:t>加强预算管理，进一步提高预算编制的科学性、有限性、严谨性和可控性；预算编制时，多方考虑，增加预算编制的准确性，力争将有限的资金用在需要的地方；进一步规范财务管理制度，特别要加强内部控制制度建设，严控各项费用支出，做到不铺张浪费，使有限的经费保证部门工作的正常运转，提高财政资金使用效益；突出重点，注重各项指标的可衡量性，强化绩效管理责任制；加强预算进度管理，按照工作开展进度有计划申请资金及时支付。</w:t>
      </w:r>
    </w:p>
    <w:p w14:paraId="6B2F5920">
      <w:pPr>
        <w:keepNext w:val="0"/>
        <w:keepLines w:val="0"/>
        <w:pageBreakBefore w:val="0"/>
        <w:widowControl w:val="0"/>
        <w:kinsoku/>
        <w:wordWrap/>
        <w:bidi w:val="0"/>
        <w:adjustRightInd/>
        <w:snapToGrid/>
        <w:spacing w:line="576" w:lineRule="exact"/>
        <w:textAlignment w:val="auto"/>
        <w:rPr>
          <w:rFonts w:hint="default" w:ascii="Times New Roman" w:hAnsi="Times New Roman" w:cs="Times New Roman"/>
        </w:rPr>
      </w:pPr>
    </w:p>
    <w:p w14:paraId="2B04A035">
      <w:pPr>
        <w:pStyle w:val="16"/>
        <w:keepNext w:val="0"/>
        <w:keepLines w:val="0"/>
        <w:pageBreakBefore w:val="0"/>
        <w:widowControl w:val="0"/>
        <w:numPr>
          <w:ilvl w:val="0"/>
          <w:numId w:val="0"/>
        </w:numPr>
        <w:kinsoku/>
        <w:wordWrap/>
        <w:overflowPunct w:val="0"/>
        <w:topLinePunct/>
        <w:autoSpaceDE w:val="0"/>
        <w:autoSpaceDN w:val="0"/>
        <w:bidi w:val="0"/>
        <w:adjustRightInd/>
        <w:snapToGrid/>
        <w:spacing w:after="0" w:line="576"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部门预算项目支出绩效自评表（2024年度）</w:t>
      </w:r>
    </w:p>
    <w:p w14:paraId="7EEDFA1B">
      <w:pPr>
        <w:pStyle w:val="10"/>
        <w:rPr>
          <w:rFonts w:hint="eastAsia" w:ascii="Times New Roman" w:hAnsi="Times New Roman" w:eastAsia="仿宋_GB2312" w:cs="Times New Roman"/>
          <w:kern w:val="2"/>
          <w:sz w:val="32"/>
          <w:szCs w:val="32"/>
          <w:u w:val="none"/>
          <w:lang w:val="en-US" w:eastAsia="zh-CN" w:bidi="ar"/>
        </w:rPr>
        <w:sectPr>
          <w:footerReference r:id="rId9" w:type="default"/>
          <w:pgSz w:w="11906" w:h="16838"/>
          <w:pgMar w:top="2098" w:right="1474" w:bottom="1984" w:left="1587" w:header="851" w:footer="1531" w:gutter="0"/>
          <w:pgNumType w:fmt="decimal" w:start="1"/>
          <w:cols w:space="0" w:num="1"/>
          <w:rtlGutter w:val="0"/>
          <w:docGrid w:type="lines" w:linePitch="312" w:charSpace="0"/>
        </w:sectPr>
      </w:pPr>
    </w:p>
    <w:p w14:paraId="4AFB1D1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color w:val="auto"/>
          <w:spacing w:val="0"/>
          <w:sz w:val="42"/>
          <w:szCs w:val="42"/>
          <w:lang w:val="en-US" w:eastAsia="zh-CN"/>
        </w:rPr>
      </w:pPr>
      <w:r>
        <w:rPr>
          <w:rFonts w:hint="default" w:ascii="方正小标宋简体" w:hAnsi="方正小标宋简体" w:eastAsia="方正小标宋简体" w:cs="方正小标宋简体"/>
          <w:color w:val="auto"/>
          <w:spacing w:val="0"/>
          <w:sz w:val="42"/>
          <w:szCs w:val="42"/>
          <w:lang w:val="en-US" w:eastAsia="zh-CN"/>
        </w:rPr>
        <w:t>202</w:t>
      </w:r>
      <w:r>
        <w:rPr>
          <w:rFonts w:hint="eastAsia" w:ascii="方正小标宋简体" w:hAnsi="方正小标宋简体" w:eastAsia="方正小标宋简体" w:cs="方正小标宋简体"/>
          <w:color w:val="auto"/>
          <w:spacing w:val="0"/>
          <w:sz w:val="42"/>
          <w:szCs w:val="42"/>
          <w:lang w:val="en-US" w:eastAsia="zh-CN"/>
        </w:rPr>
        <w:t>4</w:t>
      </w:r>
      <w:r>
        <w:rPr>
          <w:rFonts w:hint="default" w:ascii="方正小标宋简体" w:hAnsi="方正小标宋简体" w:eastAsia="方正小标宋简体" w:cs="方正小标宋简体"/>
          <w:color w:val="auto"/>
          <w:spacing w:val="0"/>
          <w:sz w:val="42"/>
          <w:szCs w:val="42"/>
          <w:lang w:val="en-US" w:eastAsia="zh-CN"/>
        </w:rPr>
        <w:t>年部门整体支出绩效目标自评表</w:t>
      </w:r>
    </w:p>
    <w:p w14:paraId="75DB41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right"/>
        <w:textAlignment w:val="auto"/>
        <w:rPr>
          <w:rFonts w:hint="eastAsia" w:eastAsia="黑体" w:cs="Times New Roman"/>
          <w:b w:val="0"/>
          <w:bCs w:val="0"/>
          <w:color w:val="auto"/>
          <w:sz w:val="32"/>
          <w:szCs w:val="32"/>
          <w:lang w:val="en-US" w:eastAsia="zh-CN"/>
        </w:rPr>
      </w:pPr>
      <w:r>
        <w:rPr>
          <w:rFonts w:ascii="宋体" w:hAnsi="宋体" w:eastAsia="宋体" w:cs="宋体"/>
          <w:i w:val="0"/>
          <w:iCs w:val="0"/>
          <w:color w:val="000000"/>
          <w:kern w:val="0"/>
          <w:sz w:val="21"/>
          <w:szCs w:val="21"/>
          <w:u w:val="none"/>
          <w:lang w:val="en-US" w:eastAsia="zh-CN" w:bidi="ar"/>
        </w:rPr>
        <w:t>金额单位：万元</w:t>
      </w:r>
    </w:p>
    <w:tbl>
      <w:tblPr>
        <w:tblStyle w:val="18"/>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47"/>
        <w:gridCol w:w="2159"/>
        <w:gridCol w:w="1973"/>
        <w:gridCol w:w="2977"/>
        <w:gridCol w:w="1350"/>
        <w:gridCol w:w="1732"/>
        <w:gridCol w:w="1112"/>
        <w:gridCol w:w="868"/>
        <w:gridCol w:w="1661"/>
      </w:tblGrid>
      <w:tr w14:paraId="4D5A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5179" w:type="dxa"/>
            <w:gridSpan w:val="3"/>
            <w:shd w:val="clear" w:color="auto" w:fill="auto"/>
            <w:vAlign w:val="center"/>
          </w:tcPr>
          <w:p w14:paraId="1DD89D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700" w:type="dxa"/>
            <w:gridSpan w:val="6"/>
            <w:shd w:val="clear" w:color="auto" w:fill="auto"/>
            <w:vAlign w:val="center"/>
          </w:tcPr>
          <w:p w14:paraId="131EF8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广元市昭化区发展和改革局部门</w:t>
            </w:r>
          </w:p>
        </w:tc>
      </w:tr>
      <w:tr w14:paraId="37FF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restart"/>
            <w:shd w:val="clear" w:color="auto" w:fill="auto"/>
            <w:vAlign w:val="center"/>
          </w:tcPr>
          <w:p w14:paraId="5A2F7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4132" w:type="dxa"/>
            <w:gridSpan w:val="2"/>
            <w:shd w:val="clear" w:color="auto" w:fill="auto"/>
            <w:vAlign w:val="center"/>
          </w:tcPr>
          <w:p w14:paraId="1B7016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4327" w:type="dxa"/>
            <w:gridSpan w:val="2"/>
            <w:shd w:val="clear" w:color="auto" w:fill="auto"/>
            <w:vAlign w:val="center"/>
          </w:tcPr>
          <w:p w14:paraId="64A5E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5373" w:type="dxa"/>
            <w:gridSpan w:val="4"/>
            <w:shd w:val="clear" w:color="auto" w:fill="auto"/>
            <w:vAlign w:val="center"/>
          </w:tcPr>
          <w:p w14:paraId="138F5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5E9C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7" w:type="dxa"/>
            <w:vMerge w:val="continue"/>
            <w:shd w:val="clear" w:color="auto" w:fill="auto"/>
            <w:vAlign w:val="center"/>
          </w:tcPr>
          <w:p w14:paraId="0E06B4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04BB6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3,455.49</w:t>
            </w:r>
          </w:p>
        </w:tc>
        <w:tc>
          <w:tcPr>
            <w:tcW w:w="4327" w:type="dxa"/>
            <w:gridSpan w:val="2"/>
            <w:shd w:val="clear" w:color="auto" w:fill="auto"/>
            <w:vAlign w:val="center"/>
          </w:tcPr>
          <w:p w14:paraId="024907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3,455.49</w:t>
            </w:r>
          </w:p>
        </w:tc>
        <w:tc>
          <w:tcPr>
            <w:tcW w:w="5373" w:type="dxa"/>
            <w:gridSpan w:val="4"/>
            <w:shd w:val="clear" w:color="auto" w:fill="auto"/>
            <w:vAlign w:val="center"/>
          </w:tcPr>
          <w:p w14:paraId="0D523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7FE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jc w:val="center"/>
        </w:trPr>
        <w:tc>
          <w:tcPr>
            <w:tcW w:w="1047" w:type="dxa"/>
            <w:shd w:val="clear" w:color="auto" w:fill="auto"/>
            <w:vAlign w:val="center"/>
          </w:tcPr>
          <w:p w14:paraId="0A480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3832" w:type="dxa"/>
            <w:gridSpan w:val="8"/>
            <w:shd w:val="clear" w:color="auto" w:fill="auto"/>
            <w:vAlign w:val="center"/>
          </w:tcPr>
          <w:p w14:paraId="6867E5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为全力保障发展和改革各项业务工作顺利开展，根据我局各部门职能职责，全年争取以工代赈不少于4个，项目建设过程中，吸纳农村人口就近就地务工，从而增加农村人居收入；争取项目资金不少于1785万元，建设农村道路、渠系、山坪塘、蓄水池、土地整理等基础设施，提升我区基础设置条件；监管、指导全区固定资产入库项目，使得项目建成后能够持续服务群众生产生活，提高居民收入，提升群众生活指数；加强重大项目储备，把项目投资作为稳定经济增长的重要举措，全年完成项目前期谋划包装入库个数不少于8个，全面完成市下项目投资目标任务；负责每月对全区居民水电气等生活必需品价格监督检查，完成价格监测数据上报，不断完善价格管理，稳定市场环境，提升居民满意度；每月对能源企业进行安全检查，确保企业安全合规生产，助推生态环境保护，提高居民生活环境质量；完成区级粮油储备4240吨，保障全区粮食及时供应，维护正常的社会秩序和社会稳定；全年处理招投标信访案件数不少于10件，持续巩固提升我区工程招投标领域突出问题治理成效，努力推动形成制度规则更加明晰、市场秩序更加规范、竞争环境更加公平、人民群众更加满意的招投标领域营商环境。经区政府批准同意，我区已建立区级储粮油4240吨，其中：稻谷2500吨、小麦1500吨，小包装成品大米200吨，小包装菜油40吨。为确保我区粮食储备工作正常开展，特申报2024年粮油储备专项资金150万元用于4240吨区级储备粮油保管费及贷款利息支出，确保全区储备粮食安全。全年开展县域经济高质量发展季度运行监测4次，召开县域经济工作推进会、调度会不低于10次，针对指标运行情况开展重大问题研究不少于4次，确保县域经济主要经济指标运行在合理区间，统筹推进经济社会发展质的有效提升和量的合理增长。加快全区投资项目工作推进，2024年度重点推进白果二期风电项目、泽瑞堂家居地板生产项目、现代粮油农业园区建设项目等12个竣工项目顺利完工，国道212昭化城区过境公路(含韩家垭隧道)等9个项目开工，美好世家智能家具生产项目等21个续建项目加快推进，确保固定资产投资增长15%以上。完成协调工作所需办公费、差旅费、邮电费、会议费、培训费等经费控制在财政预算范围内不少于75万元，项目建成新增就业岗位不少于500个，带动周边农民工每月每人增收不少于200元，丰富居民文化生活，解决周边居民具体困难，缓和社会矛盾，无植被破坏和建筑垃圾丢弃，提高群众生活环境质量，项目实施单位满意度及项目受益群众不低于95%。为不断提高储备项目成熟度，支持昭化古城旅游度假区建设项目、现代粮油农业园区建设项目、广元市昭化区生态肉牛全产业链综合体建设项目、广元市昭化区“在水一方”高端民宿集群（水通坝古村活化）项目等33个重点项目有序推进前期工作，储备项目300个以上，总投资1300亿元以上，开工转化率40%以上；实现全年重大项目集中开工不少于4次，积极争取上级补助资金，力争年度争取到位资金2亿元以上，区本级固定资产投资实现42亿元以上，项目建成后，农村居民人均可支配增加，居民生活环境质量提高，群众生产生活条件增加。</w:t>
            </w:r>
          </w:p>
        </w:tc>
      </w:tr>
      <w:tr w14:paraId="244B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restart"/>
            <w:shd w:val="clear" w:color="auto" w:fill="auto"/>
            <w:vAlign w:val="center"/>
          </w:tcPr>
          <w:p w14:paraId="3F8CB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4132" w:type="dxa"/>
            <w:gridSpan w:val="2"/>
            <w:shd w:val="clear" w:color="auto" w:fill="auto"/>
            <w:vAlign w:val="center"/>
          </w:tcPr>
          <w:p w14:paraId="31290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9700" w:type="dxa"/>
            <w:gridSpan w:val="6"/>
            <w:shd w:val="clear" w:color="auto" w:fill="auto"/>
            <w:vAlign w:val="center"/>
          </w:tcPr>
          <w:p w14:paraId="21263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2D00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47" w:type="dxa"/>
            <w:vMerge w:val="continue"/>
            <w:shd w:val="clear" w:color="auto" w:fill="auto"/>
            <w:vAlign w:val="center"/>
          </w:tcPr>
          <w:p w14:paraId="7A29D45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1F5826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监管粮食安全管理、应急物资储备入库工作</w:t>
            </w:r>
          </w:p>
        </w:tc>
        <w:tc>
          <w:tcPr>
            <w:tcW w:w="9700" w:type="dxa"/>
            <w:gridSpan w:val="6"/>
            <w:shd w:val="clear" w:color="auto" w:fill="auto"/>
            <w:vAlign w:val="center"/>
          </w:tcPr>
          <w:p w14:paraId="13F711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加强粮油安全管理，确保粮油市场供应，保持粮油价格基本稳定。以及突发事件应对应急救灾工作有效开展，进一步规范应急粮油和物资采购、储备、轮换、接收、</w:t>
            </w:r>
            <w:r>
              <w:rPr>
                <w:rFonts w:hint="eastAsia" w:ascii="宋体" w:hAnsi="宋体" w:cs="宋体"/>
                <w:i w:val="0"/>
                <w:iCs w:val="0"/>
                <w:color w:val="000000"/>
                <w:kern w:val="0"/>
                <w:sz w:val="18"/>
                <w:szCs w:val="18"/>
                <w:u w:val="none"/>
                <w:lang w:val="en-US" w:eastAsia="zh-CN" w:bidi="ar"/>
              </w:rPr>
              <w:t>调拨</w:t>
            </w:r>
            <w:r>
              <w:rPr>
                <w:rFonts w:ascii="宋体" w:hAnsi="宋体" w:eastAsia="宋体" w:cs="宋体"/>
                <w:i w:val="0"/>
                <w:iCs w:val="0"/>
                <w:color w:val="000000"/>
                <w:kern w:val="0"/>
                <w:sz w:val="18"/>
                <w:szCs w:val="18"/>
                <w:u w:val="none"/>
                <w:lang w:val="en-US" w:eastAsia="zh-CN" w:bidi="ar"/>
              </w:rPr>
              <w:t>和管理，保障应急救灾时“调得出，用得上、能应急”，维护正常的社会秩序和社会稳定。</w:t>
            </w:r>
          </w:p>
        </w:tc>
      </w:tr>
      <w:tr w14:paraId="5885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09979B0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0F9F21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项目投资监督管理</w:t>
            </w:r>
          </w:p>
        </w:tc>
        <w:tc>
          <w:tcPr>
            <w:tcW w:w="9700" w:type="dxa"/>
            <w:gridSpan w:val="6"/>
            <w:shd w:val="clear" w:color="auto" w:fill="auto"/>
            <w:vAlign w:val="center"/>
          </w:tcPr>
          <w:p w14:paraId="1A66F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对全区当年纳入项目审批入库的项目严格执行监管，督促项目推进建设，丰富居民文化生活，解决周边居民具体困难，优化生态环境。</w:t>
            </w:r>
          </w:p>
        </w:tc>
      </w:tr>
      <w:tr w14:paraId="16EE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227EF17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5F6C90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以工代赈项目争取、项目建设及监督管理</w:t>
            </w:r>
          </w:p>
        </w:tc>
        <w:tc>
          <w:tcPr>
            <w:tcW w:w="9700" w:type="dxa"/>
            <w:gridSpan w:val="6"/>
            <w:shd w:val="clear" w:color="auto" w:fill="auto"/>
            <w:vAlign w:val="center"/>
          </w:tcPr>
          <w:p w14:paraId="409E93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争取以工代赈资金，进行以工代赈项目建设，有效实现农民增收，提升农民生活环境质量，提升群众满意度</w:t>
            </w:r>
          </w:p>
        </w:tc>
      </w:tr>
      <w:tr w14:paraId="5520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346C089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451551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经济运行研判工作</w:t>
            </w:r>
          </w:p>
        </w:tc>
        <w:tc>
          <w:tcPr>
            <w:tcW w:w="9700" w:type="dxa"/>
            <w:gridSpan w:val="6"/>
            <w:shd w:val="clear" w:color="auto" w:fill="auto"/>
            <w:vAlign w:val="center"/>
          </w:tcPr>
          <w:p w14:paraId="61EAC4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组织召开全区经济运行会议，每年召开经济运行情况研判不少于3次，分析经济运行情况，促进经济运行效益发展。</w:t>
            </w:r>
          </w:p>
        </w:tc>
      </w:tr>
      <w:tr w14:paraId="4E67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4C614C0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29B6FB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单位综合性日常工作</w:t>
            </w:r>
          </w:p>
        </w:tc>
        <w:tc>
          <w:tcPr>
            <w:tcW w:w="9700" w:type="dxa"/>
            <w:gridSpan w:val="6"/>
            <w:shd w:val="clear" w:color="auto" w:fill="auto"/>
            <w:vAlign w:val="center"/>
          </w:tcPr>
          <w:p w14:paraId="344C71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编写经济运行分析报告、推进重点项目建设、开展节能减排行动、深化驻村帮扶等工作产生的机关办公费、差旅费、水电费等日常综合性公务费</w:t>
            </w:r>
          </w:p>
        </w:tc>
      </w:tr>
      <w:tr w14:paraId="7C5D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3713CD7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6268E2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粮油区级储备费用及利息</w:t>
            </w:r>
          </w:p>
        </w:tc>
        <w:tc>
          <w:tcPr>
            <w:tcW w:w="9700" w:type="dxa"/>
            <w:gridSpan w:val="6"/>
            <w:shd w:val="clear" w:color="auto" w:fill="auto"/>
            <w:vAlign w:val="center"/>
          </w:tcPr>
          <w:p w14:paraId="1190F4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负责存储区级储备粮的日常管理工作，对区级储备粮数量真实、质量完好、储存安安全负责，确保全区人民粮食储备安全。</w:t>
            </w:r>
          </w:p>
        </w:tc>
      </w:tr>
      <w:tr w14:paraId="59B7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6E44100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1C6790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招商引资目标任务</w:t>
            </w:r>
          </w:p>
        </w:tc>
        <w:tc>
          <w:tcPr>
            <w:tcW w:w="9700" w:type="dxa"/>
            <w:gridSpan w:val="6"/>
            <w:shd w:val="clear" w:color="auto" w:fill="auto"/>
            <w:vAlign w:val="center"/>
          </w:tcPr>
          <w:p w14:paraId="407EE7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加快推进2024年全区政府性投资项目前期工作，完成招商引资目标任务6000万元以上，为全面建设社会主义现代化昭化提供项目支撑</w:t>
            </w:r>
          </w:p>
        </w:tc>
      </w:tr>
      <w:tr w14:paraId="009A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505DC70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0BB14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协调能源统筹、监管工作</w:t>
            </w:r>
          </w:p>
        </w:tc>
        <w:tc>
          <w:tcPr>
            <w:tcW w:w="9700" w:type="dxa"/>
            <w:gridSpan w:val="6"/>
            <w:shd w:val="clear" w:color="auto" w:fill="auto"/>
            <w:vAlign w:val="center"/>
          </w:tcPr>
          <w:p w14:paraId="0A7923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组织协调全区充电桩建设、风力发电建设等能源工作管理统筹，有效助推生态环境保护，提高居民生活环境质量。</w:t>
            </w:r>
          </w:p>
        </w:tc>
      </w:tr>
      <w:tr w14:paraId="1C21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23BB027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38CD0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优化招投标领域营商环境</w:t>
            </w:r>
          </w:p>
        </w:tc>
        <w:tc>
          <w:tcPr>
            <w:tcW w:w="9700" w:type="dxa"/>
            <w:gridSpan w:val="6"/>
            <w:shd w:val="clear" w:color="auto" w:fill="auto"/>
            <w:vAlign w:val="center"/>
          </w:tcPr>
          <w:p w14:paraId="6C0CB7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持续巩固提升昭化区工程招投标领域突出问题系统治理成效，处理招投标信访案件，进一步提升我区招投标营商环境。</w:t>
            </w:r>
          </w:p>
        </w:tc>
      </w:tr>
      <w:tr w14:paraId="437C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09316C6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3C613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指导固定资产项目入库，完成年度目标任务</w:t>
            </w:r>
          </w:p>
        </w:tc>
        <w:tc>
          <w:tcPr>
            <w:tcW w:w="9700" w:type="dxa"/>
            <w:gridSpan w:val="6"/>
            <w:shd w:val="clear" w:color="auto" w:fill="auto"/>
            <w:vAlign w:val="center"/>
          </w:tcPr>
          <w:p w14:paraId="4AADDE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全区固定资产入库项目的监管检查指导，完成固定资产投资任务不少于70亿元，确保项目建成后能够持续服务群众生产生活，解决居民具体问题，提高群众满意度。</w:t>
            </w:r>
          </w:p>
        </w:tc>
      </w:tr>
      <w:tr w14:paraId="6F07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5C5ECF4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58EE8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稳定生活必需品价格，进行物价监督管理</w:t>
            </w:r>
          </w:p>
        </w:tc>
        <w:tc>
          <w:tcPr>
            <w:tcW w:w="9700" w:type="dxa"/>
            <w:gridSpan w:val="6"/>
            <w:shd w:val="clear" w:color="auto" w:fill="auto"/>
            <w:vAlign w:val="center"/>
          </w:tcPr>
          <w:p w14:paraId="2F43D3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完成全区水、电、气等居民生活必需品价格监督检查以及水电气价格监管等，进行价格监测上报。</w:t>
            </w:r>
          </w:p>
        </w:tc>
      </w:tr>
      <w:tr w14:paraId="3DD9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6E1121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132" w:type="dxa"/>
            <w:gridSpan w:val="2"/>
            <w:shd w:val="clear" w:color="auto" w:fill="auto"/>
            <w:vAlign w:val="center"/>
          </w:tcPr>
          <w:p w14:paraId="1721A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完成人员工资发放及各类保险缴纳</w:t>
            </w:r>
          </w:p>
        </w:tc>
        <w:tc>
          <w:tcPr>
            <w:tcW w:w="9700" w:type="dxa"/>
            <w:gridSpan w:val="6"/>
            <w:shd w:val="clear" w:color="auto" w:fill="auto"/>
            <w:vAlign w:val="center"/>
          </w:tcPr>
          <w:p w14:paraId="16850E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单位在职职工44人工资、基础绩效奖、社会保障缴费、住房公积金，退休职工26人目标奖，遗属人员4人遗属补贴按月及时兑付</w:t>
            </w:r>
          </w:p>
        </w:tc>
      </w:tr>
      <w:tr w14:paraId="492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restart"/>
            <w:shd w:val="clear" w:color="auto" w:fill="auto"/>
            <w:vAlign w:val="center"/>
          </w:tcPr>
          <w:p w14:paraId="769B77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2159" w:type="dxa"/>
            <w:shd w:val="clear" w:color="auto" w:fill="auto"/>
            <w:vAlign w:val="center"/>
          </w:tcPr>
          <w:p w14:paraId="3DA4A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73" w:type="dxa"/>
            <w:shd w:val="clear" w:color="auto" w:fill="auto"/>
            <w:vAlign w:val="center"/>
          </w:tcPr>
          <w:p w14:paraId="08155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977" w:type="dxa"/>
            <w:shd w:val="clear" w:color="auto" w:fill="auto"/>
            <w:vAlign w:val="center"/>
          </w:tcPr>
          <w:p w14:paraId="339E73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50" w:type="dxa"/>
            <w:shd w:val="clear" w:color="auto" w:fill="auto"/>
            <w:vAlign w:val="center"/>
          </w:tcPr>
          <w:p w14:paraId="6A85F1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732" w:type="dxa"/>
            <w:shd w:val="clear" w:color="auto" w:fill="auto"/>
            <w:vAlign w:val="center"/>
          </w:tcPr>
          <w:p w14:paraId="631E1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112" w:type="dxa"/>
            <w:shd w:val="clear" w:color="auto" w:fill="auto"/>
            <w:vAlign w:val="center"/>
          </w:tcPr>
          <w:p w14:paraId="63E54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868" w:type="dxa"/>
            <w:shd w:val="clear" w:color="auto" w:fill="auto"/>
            <w:vAlign w:val="center"/>
          </w:tcPr>
          <w:p w14:paraId="281BA5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61" w:type="dxa"/>
            <w:shd w:val="clear" w:color="auto" w:fill="auto"/>
            <w:vAlign w:val="center"/>
          </w:tcPr>
          <w:p w14:paraId="0BBF78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1B27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37AA4AF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restart"/>
            <w:shd w:val="clear" w:color="auto" w:fill="auto"/>
            <w:vAlign w:val="center"/>
          </w:tcPr>
          <w:p w14:paraId="1DE7E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73" w:type="dxa"/>
            <w:vMerge w:val="restart"/>
            <w:shd w:val="clear" w:color="auto" w:fill="auto"/>
            <w:vAlign w:val="center"/>
          </w:tcPr>
          <w:p w14:paraId="79285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977" w:type="dxa"/>
            <w:shd w:val="clear" w:color="auto" w:fill="auto"/>
            <w:vAlign w:val="center"/>
          </w:tcPr>
          <w:p w14:paraId="7C4A1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推进项目新开工个数</w:t>
            </w:r>
          </w:p>
        </w:tc>
        <w:tc>
          <w:tcPr>
            <w:tcW w:w="1350" w:type="dxa"/>
            <w:shd w:val="clear" w:color="auto" w:fill="auto"/>
            <w:vAlign w:val="center"/>
          </w:tcPr>
          <w:p w14:paraId="065CE4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547C8B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112" w:type="dxa"/>
            <w:shd w:val="clear" w:color="auto" w:fill="auto"/>
            <w:vAlign w:val="center"/>
          </w:tcPr>
          <w:p w14:paraId="14843E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8" w:type="dxa"/>
            <w:shd w:val="clear" w:color="auto" w:fill="auto"/>
            <w:vAlign w:val="center"/>
          </w:tcPr>
          <w:p w14:paraId="3BD78E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2681E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113个</w:t>
            </w:r>
          </w:p>
        </w:tc>
      </w:tr>
      <w:tr w14:paraId="74D8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3847487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511841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32C9EAC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20FCE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完成全区能源企业的监督检查及上报工作</w:t>
            </w:r>
          </w:p>
        </w:tc>
        <w:tc>
          <w:tcPr>
            <w:tcW w:w="1350" w:type="dxa"/>
            <w:shd w:val="clear" w:color="auto" w:fill="auto"/>
            <w:vAlign w:val="center"/>
          </w:tcPr>
          <w:p w14:paraId="0986D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1F2A99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112" w:type="dxa"/>
            <w:shd w:val="clear" w:color="auto" w:fill="auto"/>
            <w:vAlign w:val="center"/>
          </w:tcPr>
          <w:p w14:paraId="7FE962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8" w:type="dxa"/>
            <w:shd w:val="clear" w:color="auto" w:fill="auto"/>
            <w:vAlign w:val="center"/>
          </w:tcPr>
          <w:p w14:paraId="751DC1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29825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r>
      <w:tr w14:paraId="5DD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47" w:type="dxa"/>
            <w:vMerge w:val="continue"/>
            <w:shd w:val="clear" w:color="auto" w:fill="auto"/>
            <w:vAlign w:val="center"/>
          </w:tcPr>
          <w:p w14:paraId="0D3BA36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1A7C493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234443F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613E2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完成全区水、电、气价格的监督管理，各镇的生活必需品价格监测</w:t>
            </w:r>
          </w:p>
        </w:tc>
        <w:tc>
          <w:tcPr>
            <w:tcW w:w="1350" w:type="dxa"/>
            <w:shd w:val="clear" w:color="auto" w:fill="auto"/>
            <w:vAlign w:val="center"/>
          </w:tcPr>
          <w:p w14:paraId="32E318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73A2D6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112" w:type="dxa"/>
            <w:shd w:val="clear" w:color="auto" w:fill="auto"/>
            <w:vAlign w:val="center"/>
          </w:tcPr>
          <w:p w14:paraId="0A143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8" w:type="dxa"/>
            <w:shd w:val="clear" w:color="auto" w:fill="auto"/>
            <w:vAlign w:val="center"/>
          </w:tcPr>
          <w:p w14:paraId="031BE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12907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r>
      <w:tr w14:paraId="32C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59B5E34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1C06271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0688286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645F4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完成招商引资任务数</w:t>
            </w:r>
          </w:p>
        </w:tc>
        <w:tc>
          <w:tcPr>
            <w:tcW w:w="1350" w:type="dxa"/>
            <w:shd w:val="clear" w:color="auto" w:fill="auto"/>
            <w:vAlign w:val="center"/>
          </w:tcPr>
          <w:p w14:paraId="221CA0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0AF81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112" w:type="dxa"/>
            <w:shd w:val="clear" w:color="auto" w:fill="auto"/>
            <w:vAlign w:val="center"/>
          </w:tcPr>
          <w:p w14:paraId="65790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8" w:type="dxa"/>
            <w:shd w:val="clear" w:color="auto" w:fill="auto"/>
            <w:vAlign w:val="center"/>
          </w:tcPr>
          <w:p w14:paraId="1C9A4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6D780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6000万元</w:t>
            </w:r>
          </w:p>
        </w:tc>
      </w:tr>
      <w:tr w14:paraId="7B9C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78B3D0D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74A5CED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4118ABA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6AF13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完成招投标案件处理数</w:t>
            </w:r>
          </w:p>
        </w:tc>
        <w:tc>
          <w:tcPr>
            <w:tcW w:w="1350" w:type="dxa"/>
            <w:shd w:val="clear" w:color="auto" w:fill="auto"/>
            <w:vAlign w:val="center"/>
          </w:tcPr>
          <w:p w14:paraId="2059E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5F3C8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12" w:type="dxa"/>
            <w:shd w:val="clear" w:color="auto" w:fill="auto"/>
            <w:vAlign w:val="center"/>
          </w:tcPr>
          <w:p w14:paraId="3FA4E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68" w:type="dxa"/>
            <w:shd w:val="clear" w:color="auto" w:fill="auto"/>
            <w:vAlign w:val="center"/>
          </w:tcPr>
          <w:p w14:paraId="7545C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789EE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10件</w:t>
            </w:r>
          </w:p>
        </w:tc>
      </w:tr>
      <w:tr w14:paraId="6570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73CBB62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03FF485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70B50A3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5F645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争取以工代赈项目个数</w:t>
            </w:r>
          </w:p>
        </w:tc>
        <w:tc>
          <w:tcPr>
            <w:tcW w:w="1350" w:type="dxa"/>
            <w:shd w:val="clear" w:color="auto" w:fill="auto"/>
            <w:vAlign w:val="center"/>
          </w:tcPr>
          <w:p w14:paraId="6558E2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166797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2D244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8" w:type="dxa"/>
            <w:shd w:val="clear" w:color="auto" w:fill="auto"/>
            <w:vAlign w:val="center"/>
          </w:tcPr>
          <w:p w14:paraId="495F8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48F86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r>
      <w:tr w14:paraId="2C48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7C0535A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2BE648E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1E1EA95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590A0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保障在职职工工资发放人数</w:t>
            </w:r>
          </w:p>
        </w:tc>
        <w:tc>
          <w:tcPr>
            <w:tcW w:w="1350" w:type="dxa"/>
            <w:shd w:val="clear" w:color="auto" w:fill="auto"/>
            <w:vAlign w:val="center"/>
          </w:tcPr>
          <w:p w14:paraId="6F5A80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0D610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112" w:type="dxa"/>
            <w:shd w:val="clear" w:color="auto" w:fill="auto"/>
            <w:vAlign w:val="center"/>
          </w:tcPr>
          <w:p w14:paraId="60F32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8" w:type="dxa"/>
            <w:shd w:val="clear" w:color="auto" w:fill="auto"/>
            <w:vAlign w:val="center"/>
          </w:tcPr>
          <w:p w14:paraId="34FC0A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50C5A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43人</w:t>
            </w:r>
          </w:p>
        </w:tc>
      </w:tr>
      <w:tr w14:paraId="5ABD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75C34DA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687766E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553C465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454E3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单位退休职工及遗属人员人数</w:t>
            </w:r>
          </w:p>
        </w:tc>
        <w:tc>
          <w:tcPr>
            <w:tcW w:w="1350" w:type="dxa"/>
            <w:shd w:val="clear" w:color="auto" w:fill="auto"/>
            <w:vAlign w:val="center"/>
          </w:tcPr>
          <w:p w14:paraId="270D6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6C512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112" w:type="dxa"/>
            <w:shd w:val="clear" w:color="auto" w:fill="auto"/>
            <w:vAlign w:val="center"/>
          </w:tcPr>
          <w:p w14:paraId="4749F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8" w:type="dxa"/>
            <w:shd w:val="clear" w:color="auto" w:fill="auto"/>
            <w:vAlign w:val="center"/>
          </w:tcPr>
          <w:p w14:paraId="117D9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27DAF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31人</w:t>
            </w:r>
          </w:p>
        </w:tc>
      </w:tr>
      <w:tr w14:paraId="4C4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0DC01F1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5AF9136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08E9B05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012738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加快推进续建项目个数</w:t>
            </w:r>
          </w:p>
        </w:tc>
        <w:tc>
          <w:tcPr>
            <w:tcW w:w="1350" w:type="dxa"/>
            <w:shd w:val="clear" w:color="auto" w:fill="auto"/>
            <w:vAlign w:val="center"/>
          </w:tcPr>
          <w:p w14:paraId="0886C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A468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112" w:type="dxa"/>
            <w:shd w:val="clear" w:color="auto" w:fill="auto"/>
            <w:vAlign w:val="center"/>
          </w:tcPr>
          <w:p w14:paraId="6E7A5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8" w:type="dxa"/>
            <w:shd w:val="clear" w:color="auto" w:fill="auto"/>
            <w:vAlign w:val="center"/>
          </w:tcPr>
          <w:p w14:paraId="71C50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56E85B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7BBC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20F86A1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57E3D36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37D104F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126F12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年召开产业专班工作研讨会</w:t>
            </w:r>
          </w:p>
        </w:tc>
        <w:tc>
          <w:tcPr>
            <w:tcW w:w="1350" w:type="dxa"/>
            <w:shd w:val="clear" w:color="auto" w:fill="auto"/>
            <w:vAlign w:val="center"/>
          </w:tcPr>
          <w:p w14:paraId="76CFD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254429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5643E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8" w:type="dxa"/>
            <w:shd w:val="clear" w:color="auto" w:fill="auto"/>
            <w:vAlign w:val="center"/>
          </w:tcPr>
          <w:p w14:paraId="4F738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14C77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4次</w:t>
            </w:r>
          </w:p>
        </w:tc>
      </w:tr>
      <w:tr w14:paraId="63FF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5AA247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2C48FB9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59F7B76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0CC2A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区级粮油储备</w:t>
            </w:r>
          </w:p>
        </w:tc>
        <w:tc>
          <w:tcPr>
            <w:tcW w:w="1350" w:type="dxa"/>
            <w:shd w:val="clear" w:color="auto" w:fill="auto"/>
            <w:vAlign w:val="center"/>
          </w:tcPr>
          <w:p w14:paraId="281138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D784A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4240</w:t>
            </w:r>
          </w:p>
        </w:tc>
        <w:tc>
          <w:tcPr>
            <w:tcW w:w="1112" w:type="dxa"/>
            <w:shd w:val="clear" w:color="auto" w:fill="auto"/>
            <w:vAlign w:val="center"/>
          </w:tcPr>
          <w:p w14:paraId="2772B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吨</w:t>
            </w:r>
          </w:p>
        </w:tc>
        <w:tc>
          <w:tcPr>
            <w:tcW w:w="868" w:type="dxa"/>
            <w:shd w:val="clear" w:color="auto" w:fill="auto"/>
            <w:vAlign w:val="center"/>
          </w:tcPr>
          <w:p w14:paraId="792BC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4F75D4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4240吨</w:t>
            </w:r>
          </w:p>
        </w:tc>
      </w:tr>
      <w:tr w14:paraId="1567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0CA6DC9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68AB62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711B135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7A7AB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全年召开经济运行分析会</w:t>
            </w:r>
          </w:p>
        </w:tc>
        <w:tc>
          <w:tcPr>
            <w:tcW w:w="1350" w:type="dxa"/>
            <w:shd w:val="clear" w:color="auto" w:fill="auto"/>
            <w:vAlign w:val="center"/>
          </w:tcPr>
          <w:p w14:paraId="127AD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43692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112" w:type="dxa"/>
            <w:shd w:val="clear" w:color="auto" w:fill="auto"/>
            <w:vAlign w:val="center"/>
          </w:tcPr>
          <w:p w14:paraId="70842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8" w:type="dxa"/>
            <w:shd w:val="clear" w:color="auto" w:fill="auto"/>
            <w:vAlign w:val="center"/>
          </w:tcPr>
          <w:p w14:paraId="7672DF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4E067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3次</w:t>
            </w:r>
          </w:p>
        </w:tc>
      </w:tr>
      <w:tr w14:paraId="2EBE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47" w:type="dxa"/>
            <w:vMerge w:val="continue"/>
            <w:shd w:val="clear" w:color="auto" w:fill="auto"/>
            <w:vAlign w:val="center"/>
          </w:tcPr>
          <w:p w14:paraId="07C9FEB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309F838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6147CD4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140DC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全年争取以工代赈、粮油产业发展、采煤沉陷区治理等中央、省预算内及发改行业资金</w:t>
            </w:r>
          </w:p>
        </w:tc>
        <w:tc>
          <w:tcPr>
            <w:tcW w:w="1350" w:type="dxa"/>
            <w:shd w:val="clear" w:color="auto" w:fill="auto"/>
            <w:vAlign w:val="center"/>
          </w:tcPr>
          <w:p w14:paraId="2D9C26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50EB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112" w:type="dxa"/>
            <w:shd w:val="clear" w:color="auto" w:fill="auto"/>
            <w:vAlign w:val="center"/>
          </w:tcPr>
          <w:p w14:paraId="2A8EF9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8" w:type="dxa"/>
            <w:shd w:val="clear" w:color="auto" w:fill="auto"/>
            <w:vAlign w:val="center"/>
          </w:tcPr>
          <w:p w14:paraId="559199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55C363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5000万元</w:t>
            </w:r>
          </w:p>
        </w:tc>
      </w:tr>
      <w:tr w14:paraId="7142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2EDB237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4C4F2A0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restart"/>
            <w:shd w:val="clear" w:color="auto" w:fill="auto"/>
            <w:vAlign w:val="center"/>
          </w:tcPr>
          <w:p w14:paraId="3C2A1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977" w:type="dxa"/>
            <w:shd w:val="clear" w:color="auto" w:fill="auto"/>
            <w:vAlign w:val="center"/>
          </w:tcPr>
          <w:p w14:paraId="25279C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价格监督检查达标率</w:t>
            </w:r>
          </w:p>
        </w:tc>
        <w:tc>
          <w:tcPr>
            <w:tcW w:w="1350" w:type="dxa"/>
            <w:shd w:val="clear" w:color="auto" w:fill="auto"/>
            <w:vAlign w:val="center"/>
          </w:tcPr>
          <w:p w14:paraId="5FB8CE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19EB6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112" w:type="dxa"/>
            <w:shd w:val="clear" w:color="auto" w:fill="auto"/>
            <w:vAlign w:val="center"/>
          </w:tcPr>
          <w:p w14:paraId="168E2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2DFB73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7C6604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r>
      <w:tr w14:paraId="757A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6D96522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5A3111E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6F9C0EA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0DABD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招投标案件办结率</w:t>
            </w:r>
          </w:p>
        </w:tc>
        <w:tc>
          <w:tcPr>
            <w:tcW w:w="1350" w:type="dxa"/>
            <w:shd w:val="clear" w:color="auto" w:fill="auto"/>
            <w:vAlign w:val="center"/>
          </w:tcPr>
          <w:p w14:paraId="657BF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035D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112" w:type="dxa"/>
            <w:shd w:val="clear" w:color="auto" w:fill="auto"/>
            <w:vAlign w:val="center"/>
          </w:tcPr>
          <w:p w14:paraId="628C85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65B840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321E3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r>
      <w:tr w14:paraId="3802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06C36DD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2FF51A7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68676FF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196974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指导项目入库达标率</w:t>
            </w:r>
          </w:p>
        </w:tc>
        <w:tc>
          <w:tcPr>
            <w:tcW w:w="1350" w:type="dxa"/>
            <w:shd w:val="clear" w:color="auto" w:fill="auto"/>
            <w:vAlign w:val="center"/>
          </w:tcPr>
          <w:p w14:paraId="7E00B3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079752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112" w:type="dxa"/>
            <w:shd w:val="clear" w:color="auto" w:fill="auto"/>
            <w:vAlign w:val="center"/>
          </w:tcPr>
          <w:p w14:paraId="6B015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350396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2C44F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0E99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535FFF4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098ADD6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restart"/>
            <w:shd w:val="clear" w:color="auto" w:fill="auto"/>
            <w:vAlign w:val="center"/>
          </w:tcPr>
          <w:p w14:paraId="724BF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977" w:type="dxa"/>
            <w:shd w:val="clear" w:color="auto" w:fill="auto"/>
            <w:vAlign w:val="center"/>
          </w:tcPr>
          <w:p w14:paraId="2BFD3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每月监管工作上报时间</w:t>
            </w:r>
          </w:p>
        </w:tc>
        <w:tc>
          <w:tcPr>
            <w:tcW w:w="1350" w:type="dxa"/>
            <w:shd w:val="clear" w:color="auto" w:fill="auto"/>
            <w:vAlign w:val="center"/>
          </w:tcPr>
          <w:p w14:paraId="51C5DF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51AF9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112" w:type="dxa"/>
            <w:shd w:val="clear" w:color="auto" w:fill="auto"/>
            <w:vAlign w:val="center"/>
          </w:tcPr>
          <w:p w14:paraId="66B7B1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w:t>
            </w:r>
          </w:p>
        </w:tc>
        <w:tc>
          <w:tcPr>
            <w:tcW w:w="868" w:type="dxa"/>
            <w:shd w:val="clear" w:color="auto" w:fill="auto"/>
            <w:vAlign w:val="center"/>
          </w:tcPr>
          <w:p w14:paraId="405F5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4776A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28日</w:t>
            </w:r>
          </w:p>
        </w:tc>
      </w:tr>
      <w:tr w14:paraId="3A69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46BFDD4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2EB4DD9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440F9F9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398FF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业务推进完成及时率</w:t>
            </w:r>
          </w:p>
        </w:tc>
        <w:tc>
          <w:tcPr>
            <w:tcW w:w="1350" w:type="dxa"/>
            <w:shd w:val="clear" w:color="auto" w:fill="auto"/>
            <w:vAlign w:val="center"/>
          </w:tcPr>
          <w:p w14:paraId="1DED50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3F03D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112" w:type="dxa"/>
            <w:shd w:val="clear" w:color="auto" w:fill="auto"/>
            <w:vAlign w:val="center"/>
          </w:tcPr>
          <w:p w14:paraId="7EA93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00E7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1EB8A5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14:paraId="4430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0684123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restart"/>
            <w:shd w:val="clear" w:color="auto" w:fill="auto"/>
            <w:vAlign w:val="center"/>
          </w:tcPr>
          <w:p w14:paraId="7BC97E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73" w:type="dxa"/>
            <w:vMerge w:val="restart"/>
            <w:shd w:val="clear" w:color="auto" w:fill="auto"/>
            <w:vAlign w:val="center"/>
          </w:tcPr>
          <w:p w14:paraId="1578E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977" w:type="dxa"/>
            <w:shd w:val="clear" w:color="auto" w:fill="auto"/>
            <w:vAlign w:val="center"/>
          </w:tcPr>
          <w:p w14:paraId="70EB79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完成市固定资产投资增长率</w:t>
            </w:r>
          </w:p>
        </w:tc>
        <w:tc>
          <w:tcPr>
            <w:tcW w:w="1350" w:type="dxa"/>
            <w:shd w:val="clear" w:color="auto" w:fill="auto"/>
            <w:vAlign w:val="center"/>
          </w:tcPr>
          <w:p w14:paraId="0FAAB3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71AC0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112" w:type="dxa"/>
            <w:shd w:val="clear" w:color="auto" w:fill="auto"/>
            <w:vAlign w:val="center"/>
          </w:tcPr>
          <w:p w14:paraId="1D70F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13EC3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1F836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255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444975F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4241CD1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4DFAF1C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6226A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重大项目实现务工农民月增收</w:t>
            </w:r>
          </w:p>
        </w:tc>
        <w:tc>
          <w:tcPr>
            <w:tcW w:w="1350" w:type="dxa"/>
            <w:shd w:val="clear" w:color="auto" w:fill="auto"/>
            <w:vAlign w:val="center"/>
          </w:tcPr>
          <w:p w14:paraId="60165F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79696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112" w:type="dxa"/>
            <w:shd w:val="clear" w:color="auto" w:fill="auto"/>
            <w:vAlign w:val="center"/>
          </w:tcPr>
          <w:p w14:paraId="7B9486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868" w:type="dxa"/>
            <w:shd w:val="clear" w:color="auto" w:fill="auto"/>
            <w:vAlign w:val="center"/>
          </w:tcPr>
          <w:p w14:paraId="628C04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10C2A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350元/人</w:t>
            </w:r>
          </w:p>
        </w:tc>
      </w:tr>
      <w:tr w14:paraId="0314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603AD78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011CBD0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shd w:val="clear" w:color="auto" w:fill="auto"/>
            <w:vAlign w:val="center"/>
          </w:tcPr>
          <w:p w14:paraId="06897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977" w:type="dxa"/>
            <w:shd w:val="clear" w:color="auto" w:fill="auto"/>
            <w:vAlign w:val="center"/>
          </w:tcPr>
          <w:p w14:paraId="39165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项目建设新增就业岗位个数</w:t>
            </w:r>
          </w:p>
        </w:tc>
        <w:tc>
          <w:tcPr>
            <w:tcW w:w="1350" w:type="dxa"/>
            <w:shd w:val="clear" w:color="auto" w:fill="auto"/>
            <w:vAlign w:val="center"/>
          </w:tcPr>
          <w:p w14:paraId="5127B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71111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112" w:type="dxa"/>
            <w:shd w:val="clear" w:color="auto" w:fill="auto"/>
            <w:vAlign w:val="center"/>
          </w:tcPr>
          <w:p w14:paraId="6CCF42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8" w:type="dxa"/>
            <w:shd w:val="clear" w:color="auto" w:fill="auto"/>
            <w:vAlign w:val="center"/>
          </w:tcPr>
          <w:p w14:paraId="6F8D47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61" w:type="dxa"/>
            <w:shd w:val="clear" w:color="auto" w:fill="auto"/>
            <w:noWrap/>
            <w:vAlign w:val="center"/>
          </w:tcPr>
          <w:p w14:paraId="05B6F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500个</w:t>
            </w:r>
          </w:p>
        </w:tc>
      </w:tr>
      <w:tr w14:paraId="39E2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4B4B50F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39F8353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shd w:val="clear" w:color="auto" w:fill="auto"/>
            <w:vAlign w:val="center"/>
          </w:tcPr>
          <w:p w14:paraId="42D62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977" w:type="dxa"/>
            <w:shd w:val="clear" w:color="auto" w:fill="auto"/>
            <w:vAlign w:val="center"/>
          </w:tcPr>
          <w:p w14:paraId="79B5E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项目区生态环境质量优化提升率</w:t>
            </w:r>
          </w:p>
        </w:tc>
        <w:tc>
          <w:tcPr>
            <w:tcW w:w="1350" w:type="dxa"/>
            <w:shd w:val="clear" w:color="auto" w:fill="auto"/>
            <w:vAlign w:val="center"/>
          </w:tcPr>
          <w:p w14:paraId="4B44ED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49B3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112" w:type="dxa"/>
            <w:shd w:val="clear" w:color="auto" w:fill="auto"/>
            <w:vAlign w:val="center"/>
          </w:tcPr>
          <w:p w14:paraId="1A3E4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1E6CBC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24F5E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79C1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269343B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4FB6F29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shd w:val="clear" w:color="auto" w:fill="auto"/>
            <w:vAlign w:val="center"/>
          </w:tcPr>
          <w:p w14:paraId="6779E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977" w:type="dxa"/>
            <w:shd w:val="clear" w:color="auto" w:fill="auto"/>
            <w:vAlign w:val="center"/>
          </w:tcPr>
          <w:p w14:paraId="201974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可持续效果</w:t>
            </w:r>
          </w:p>
        </w:tc>
        <w:tc>
          <w:tcPr>
            <w:tcW w:w="1350" w:type="dxa"/>
            <w:shd w:val="clear" w:color="auto" w:fill="auto"/>
            <w:vAlign w:val="center"/>
          </w:tcPr>
          <w:p w14:paraId="5E0AD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6EE63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112" w:type="dxa"/>
            <w:shd w:val="clear" w:color="auto" w:fill="auto"/>
            <w:vAlign w:val="center"/>
          </w:tcPr>
          <w:p w14:paraId="08732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8" w:type="dxa"/>
            <w:shd w:val="clear" w:color="auto" w:fill="auto"/>
            <w:vAlign w:val="center"/>
          </w:tcPr>
          <w:p w14:paraId="72B7D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61" w:type="dxa"/>
            <w:shd w:val="clear" w:color="auto" w:fill="auto"/>
            <w:noWrap/>
            <w:vAlign w:val="center"/>
          </w:tcPr>
          <w:p w14:paraId="6DCAF9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r>
      <w:tr w14:paraId="6684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55822C6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restart"/>
            <w:shd w:val="clear" w:color="auto" w:fill="auto"/>
            <w:vAlign w:val="center"/>
          </w:tcPr>
          <w:p w14:paraId="6CB85E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73" w:type="dxa"/>
            <w:shd w:val="clear" w:color="auto" w:fill="auto"/>
            <w:vAlign w:val="center"/>
          </w:tcPr>
          <w:p w14:paraId="51849F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977" w:type="dxa"/>
            <w:shd w:val="clear" w:color="auto" w:fill="auto"/>
            <w:vAlign w:val="center"/>
          </w:tcPr>
          <w:p w14:paraId="11EAC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全区居民满意度</w:t>
            </w:r>
          </w:p>
        </w:tc>
        <w:tc>
          <w:tcPr>
            <w:tcW w:w="1350" w:type="dxa"/>
            <w:shd w:val="clear" w:color="auto" w:fill="auto"/>
            <w:vAlign w:val="center"/>
          </w:tcPr>
          <w:p w14:paraId="32039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362FAD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112" w:type="dxa"/>
            <w:shd w:val="clear" w:color="auto" w:fill="auto"/>
            <w:vAlign w:val="center"/>
          </w:tcPr>
          <w:p w14:paraId="49A83F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14C803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61" w:type="dxa"/>
            <w:shd w:val="clear" w:color="auto" w:fill="auto"/>
            <w:noWrap/>
            <w:vAlign w:val="center"/>
          </w:tcPr>
          <w:p w14:paraId="1CF5D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r>
      <w:tr w14:paraId="2C73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47" w:type="dxa"/>
            <w:vMerge w:val="continue"/>
            <w:shd w:val="clear" w:color="auto" w:fill="auto"/>
            <w:vAlign w:val="center"/>
          </w:tcPr>
          <w:p w14:paraId="1E16710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7AC083C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shd w:val="clear" w:color="auto" w:fill="auto"/>
            <w:vAlign w:val="center"/>
          </w:tcPr>
          <w:p w14:paraId="2A1BD5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977" w:type="dxa"/>
            <w:shd w:val="clear" w:color="auto" w:fill="auto"/>
            <w:vAlign w:val="center"/>
          </w:tcPr>
          <w:p w14:paraId="1E628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项目区农民满意度</w:t>
            </w:r>
          </w:p>
        </w:tc>
        <w:tc>
          <w:tcPr>
            <w:tcW w:w="1350" w:type="dxa"/>
            <w:shd w:val="clear" w:color="auto" w:fill="auto"/>
            <w:vAlign w:val="center"/>
          </w:tcPr>
          <w:p w14:paraId="3A85FE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4C55C9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112" w:type="dxa"/>
            <w:shd w:val="clear" w:color="auto" w:fill="auto"/>
            <w:vAlign w:val="center"/>
          </w:tcPr>
          <w:p w14:paraId="550EC2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8" w:type="dxa"/>
            <w:shd w:val="clear" w:color="auto" w:fill="auto"/>
            <w:vAlign w:val="center"/>
          </w:tcPr>
          <w:p w14:paraId="3E218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61" w:type="dxa"/>
            <w:shd w:val="clear" w:color="auto" w:fill="auto"/>
            <w:noWrap/>
            <w:vAlign w:val="center"/>
          </w:tcPr>
          <w:p w14:paraId="264C87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r>
      <w:tr w14:paraId="1F8C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47" w:type="dxa"/>
            <w:vMerge w:val="continue"/>
            <w:shd w:val="clear" w:color="auto" w:fill="auto"/>
            <w:vAlign w:val="center"/>
          </w:tcPr>
          <w:p w14:paraId="0560259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restart"/>
            <w:shd w:val="clear" w:color="auto" w:fill="auto"/>
            <w:vAlign w:val="center"/>
          </w:tcPr>
          <w:p w14:paraId="22118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73" w:type="dxa"/>
            <w:vMerge w:val="restart"/>
            <w:shd w:val="clear" w:color="auto" w:fill="auto"/>
            <w:vAlign w:val="center"/>
          </w:tcPr>
          <w:p w14:paraId="4A4678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977" w:type="dxa"/>
            <w:shd w:val="clear" w:color="auto" w:fill="auto"/>
            <w:vAlign w:val="center"/>
          </w:tcPr>
          <w:p w14:paraId="1FC239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特定目标类项目前期工作经费、区级粮油储备费用及利息费等4个项目支出控制在预算内</w:t>
            </w:r>
          </w:p>
        </w:tc>
        <w:tc>
          <w:tcPr>
            <w:tcW w:w="1350" w:type="dxa"/>
            <w:shd w:val="clear" w:color="auto" w:fill="auto"/>
            <w:vAlign w:val="center"/>
          </w:tcPr>
          <w:p w14:paraId="29A1E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00D1B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1112" w:type="dxa"/>
            <w:shd w:val="clear" w:color="auto" w:fill="auto"/>
            <w:vAlign w:val="center"/>
          </w:tcPr>
          <w:p w14:paraId="5255F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8" w:type="dxa"/>
            <w:shd w:val="clear" w:color="auto" w:fill="auto"/>
            <w:vAlign w:val="center"/>
          </w:tcPr>
          <w:p w14:paraId="2A8F19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7C989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2160万元</w:t>
            </w:r>
          </w:p>
        </w:tc>
      </w:tr>
      <w:tr w14:paraId="0A43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47" w:type="dxa"/>
            <w:vMerge w:val="continue"/>
            <w:shd w:val="clear" w:color="auto" w:fill="auto"/>
            <w:vAlign w:val="center"/>
          </w:tcPr>
          <w:p w14:paraId="5BB1F2A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617580B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4D99895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62DD5A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其他运转类项目发展改革运行经费、项目保障及投资管理经费及、县域经济高质量发展经费支出控制在预算内</w:t>
            </w:r>
          </w:p>
        </w:tc>
        <w:tc>
          <w:tcPr>
            <w:tcW w:w="1350" w:type="dxa"/>
            <w:shd w:val="clear" w:color="auto" w:fill="auto"/>
            <w:vAlign w:val="center"/>
          </w:tcPr>
          <w:p w14:paraId="34F82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774E78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1112" w:type="dxa"/>
            <w:shd w:val="clear" w:color="auto" w:fill="auto"/>
            <w:vAlign w:val="center"/>
          </w:tcPr>
          <w:p w14:paraId="0CDB0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8" w:type="dxa"/>
            <w:shd w:val="clear" w:color="auto" w:fill="auto"/>
            <w:vAlign w:val="center"/>
          </w:tcPr>
          <w:p w14:paraId="05BEA4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35869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260万元</w:t>
            </w:r>
          </w:p>
        </w:tc>
      </w:tr>
      <w:tr w14:paraId="3796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7" w:type="dxa"/>
            <w:vMerge w:val="continue"/>
            <w:shd w:val="clear" w:color="auto" w:fill="auto"/>
            <w:vAlign w:val="center"/>
          </w:tcPr>
          <w:p w14:paraId="45C01A9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159" w:type="dxa"/>
            <w:vMerge w:val="continue"/>
            <w:shd w:val="clear" w:color="auto" w:fill="auto"/>
            <w:vAlign w:val="center"/>
          </w:tcPr>
          <w:p w14:paraId="0A13CF3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73" w:type="dxa"/>
            <w:vMerge w:val="continue"/>
            <w:shd w:val="clear" w:color="auto" w:fill="auto"/>
            <w:vAlign w:val="center"/>
          </w:tcPr>
          <w:p w14:paraId="2647B7D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977" w:type="dxa"/>
            <w:shd w:val="clear" w:color="auto" w:fill="auto"/>
            <w:vAlign w:val="center"/>
          </w:tcPr>
          <w:p w14:paraId="2127B7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人员经费和日常公用经费控制在预算内</w:t>
            </w:r>
          </w:p>
        </w:tc>
        <w:tc>
          <w:tcPr>
            <w:tcW w:w="1350" w:type="dxa"/>
            <w:shd w:val="clear" w:color="auto" w:fill="auto"/>
            <w:vAlign w:val="center"/>
          </w:tcPr>
          <w:p w14:paraId="0AF9A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2" w:type="dxa"/>
            <w:shd w:val="clear" w:color="auto" w:fill="auto"/>
            <w:vAlign w:val="center"/>
          </w:tcPr>
          <w:p w14:paraId="506727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701.36</w:t>
            </w:r>
          </w:p>
        </w:tc>
        <w:tc>
          <w:tcPr>
            <w:tcW w:w="1112" w:type="dxa"/>
            <w:shd w:val="clear" w:color="auto" w:fill="auto"/>
            <w:vAlign w:val="center"/>
          </w:tcPr>
          <w:p w14:paraId="4094E7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8" w:type="dxa"/>
            <w:shd w:val="clear" w:color="auto" w:fill="auto"/>
            <w:vAlign w:val="center"/>
          </w:tcPr>
          <w:p w14:paraId="48DEB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61" w:type="dxa"/>
            <w:shd w:val="clear" w:color="auto" w:fill="auto"/>
            <w:noWrap/>
            <w:vAlign w:val="center"/>
          </w:tcPr>
          <w:p w14:paraId="036F1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701.36万元</w:t>
            </w:r>
          </w:p>
        </w:tc>
      </w:tr>
    </w:tbl>
    <w:p w14:paraId="6EAB91B9">
      <w:pPr>
        <w:pStyle w:val="2"/>
        <w:rPr>
          <w:rFonts w:hint="default" w:ascii="Times New Roman" w:hAnsi="Times New Roman" w:eastAsia="方正小标宋简体" w:cs="Times New Roman"/>
          <w:b w:val="0"/>
          <w:bCs/>
          <w:sz w:val="44"/>
          <w:szCs w:val="44"/>
          <w:highlight w:val="none"/>
          <w:shd w:val="clear" w:color="auto" w:fill="FFFFFF"/>
        </w:rPr>
      </w:pPr>
    </w:p>
    <w:p w14:paraId="1996AEB9">
      <w:pP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p w14:paraId="067C0EF0">
      <w:pPr>
        <w:pStyle w:val="7"/>
        <w:keepNext w:val="0"/>
        <w:keepLines w:val="0"/>
        <w:pageBreakBefore w:val="0"/>
        <w:widowControl w:val="0"/>
        <w:kinsoku/>
        <w:wordWrap/>
        <w:bidi w:val="0"/>
        <w:snapToGrid/>
        <w:spacing w:line="576" w:lineRule="exact"/>
        <w:jc w:val="center"/>
        <w:textAlignment w:val="auto"/>
        <w:rPr>
          <w:rFonts w:hint="eastAsia" w:ascii="仿宋_GB2312" w:hAnsi="仿宋_GB2312" w:eastAsia="仿宋_GB2312"/>
          <w:b w:val="0"/>
          <w:bCs w:val="0"/>
          <w:color w:val="C00000"/>
          <w:kern w:val="2"/>
          <w:sz w:val="32"/>
          <w:szCs w:val="24"/>
          <w:highlight w:val="none"/>
          <w:lang w:val="en-US"/>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bl>
      <w:tblPr>
        <w:tblStyle w:val="18"/>
        <w:tblW w:w="15519" w:type="dxa"/>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7"/>
        <w:gridCol w:w="1721"/>
        <w:gridCol w:w="1874"/>
        <w:gridCol w:w="3497"/>
        <w:gridCol w:w="607"/>
        <w:gridCol w:w="1796"/>
        <w:gridCol w:w="622"/>
        <w:gridCol w:w="1207"/>
        <w:gridCol w:w="747"/>
        <w:gridCol w:w="607"/>
        <w:gridCol w:w="1794"/>
      </w:tblGrid>
      <w:tr w14:paraId="4F61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14:paraId="48E743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项目名称</w:t>
            </w:r>
          </w:p>
        </w:tc>
        <w:tc>
          <w:tcPr>
            <w:tcW w:w="12751" w:type="dxa"/>
            <w:gridSpan w:val="9"/>
            <w:tcBorders>
              <w:top w:val="single" w:color="000000" w:sz="4" w:space="0"/>
              <w:left w:val="single" w:color="000000" w:sz="4" w:space="0"/>
              <w:bottom w:val="single" w:color="000000" w:sz="4" w:space="0"/>
              <w:right w:val="single" w:color="000000" w:sz="4" w:space="0"/>
            </w:tcBorders>
            <w:noWrap w:val="0"/>
            <w:vAlign w:val="center"/>
          </w:tcPr>
          <w:p w14:paraId="6D5302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51081121T000000153382-区级粮油储备费用及利息</w:t>
            </w:r>
          </w:p>
        </w:tc>
      </w:tr>
      <w:tr w14:paraId="02BE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68" w:type="dxa"/>
            <w:gridSpan w:val="2"/>
            <w:tcBorders>
              <w:top w:val="single" w:color="000000" w:sz="4" w:space="0"/>
              <w:left w:val="single" w:color="000000" w:sz="4" w:space="0"/>
              <w:bottom w:val="single" w:color="000000" w:sz="4" w:space="0"/>
              <w:right w:val="single" w:color="000000" w:sz="4" w:space="0"/>
            </w:tcBorders>
            <w:noWrap w:val="0"/>
            <w:vAlign w:val="center"/>
          </w:tcPr>
          <w:p w14:paraId="713681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主管部门</w:t>
            </w:r>
          </w:p>
        </w:tc>
        <w:tc>
          <w:tcPr>
            <w:tcW w:w="8396" w:type="dxa"/>
            <w:gridSpan w:val="5"/>
            <w:tcBorders>
              <w:top w:val="single" w:color="000000" w:sz="4" w:space="0"/>
              <w:left w:val="single" w:color="000000" w:sz="4" w:space="0"/>
              <w:bottom w:val="single" w:color="000000" w:sz="4" w:space="0"/>
              <w:right w:val="single" w:color="000000" w:sz="4" w:space="0"/>
            </w:tcBorders>
            <w:noWrap w:val="0"/>
            <w:vAlign w:val="center"/>
          </w:tcPr>
          <w:p w14:paraId="439579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广元市昭化区发展和改革局部门</w:t>
            </w:r>
          </w:p>
        </w:tc>
        <w:tc>
          <w:tcPr>
            <w:tcW w:w="1207" w:type="dxa"/>
            <w:tcBorders>
              <w:top w:val="nil"/>
              <w:left w:val="nil"/>
              <w:bottom w:val="nil"/>
              <w:right w:val="nil"/>
            </w:tcBorders>
            <w:noWrap w:val="0"/>
            <w:vAlign w:val="center"/>
          </w:tcPr>
          <w:p w14:paraId="5005C0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黑体" w:hAnsi="黑体" w:eastAsia="黑体" w:cs="黑体"/>
                <w:i w:val="0"/>
                <w:iCs w:val="0"/>
                <w:color w:val="000000"/>
                <w:sz w:val="17"/>
                <w:szCs w:val="17"/>
                <w:u w:val="none"/>
              </w:rPr>
            </w:pPr>
            <w:r>
              <w:rPr>
                <w:rFonts w:hint="eastAsia" w:ascii="黑体" w:hAnsi="黑体" w:eastAsia="黑体" w:cs="黑体"/>
                <w:i w:val="0"/>
                <w:iCs w:val="0"/>
                <w:color w:val="000000"/>
                <w:kern w:val="0"/>
                <w:sz w:val="17"/>
                <w:szCs w:val="17"/>
                <w:u w:val="none"/>
                <w:lang w:val="en-US" w:eastAsia="zh-CN" w:bidi="ar"/>
              </w:rPr>
              <w:t>实施单位 （盖章）</w:t>
            </w:r>
          </w:p>
        </w:tc>
        <w:tc>
          <w:tcPr>
            <w:tcW w:w="3148" w:type="dxa"/>
            <w:gridSpan w:val="3"/>
            <w:tcBorders>
              <w:top w:val="single" w:color="000000" w:sz="4" w:space="0"/>
              <w:left w:val="single" w:color="000000" w:sz="4" w:space="0"/>
              <w:bottom w:val="single" w:color="000000" w:sz="4" w:space="0"/>
              <w:right w:val="single" w:color="000000" w:sz="4" w:space="0"/>
            </w:tcBorders>
            <w:noWrap w:val="0"/>
            <w:vAlign w:val="center"/>
          </w:tcPr>
          <w:p w14:paraId="69213D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广元市昭化区发展和改革局</w:t>
            </w:r>
          </w:p>
        </w:tc>
      </w:tr>
      <w:tr w14:paraId="58B2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92D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项目基本情况</w:t>
            </w:r>
          </w:p>
        </w:tc>
        <w:tc>
          <w:tcPr>
            <w:tcW w:w="1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82F4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1.项目年度目标完成情况</w:t>
            </w:r>
          </w:p>
        </w:tc>
        <w:tc>
          <w:tcPr>
            <w:tcW w:w="8396" w:type="dxa"/>
            <w:gridSpan w:val="5"/>
            <w:tcBorders>
              <w:top w:val="single" w:color="000000" w:sz="4" w:space="0"/>
              <w:left w:val="single" w:color="000000" w:sz="4" w:space="0"/>
              <w:bottom w:val="single" w:color="000000" w:sz="4" w:space="0"/>
              <w:right w:val="single" w:color="000000" w:sz="4" w:space="0"/>
            </w:tcBorders>
            <w:noWrap w:val="0"/>
            <w:vAlign w:val="center"/>
          </w:tcPr>
          <w:p w14:paraId="7AF1A3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项目年度目标</w:t>
            </w:r>
          </w:p>
        </w:tc>
        <w:tc>
          <w:tcPr>
            <w:tcW w:w="4355" w:type="dxa"/>
            <w:gridSpan w:val="4"/>
            <w:tcBorders>
              <w:top w:val="single" w:color="000000" w:sz="4" w:space="0"/>
              <w:left w:val="single" w:color="000000" w:sz="4" w:space="0"/>
              <w:bottom w:val="single" w:color="000000" w:sz="4" w:space="0"/>
              <w:right w:val="single" w:color="000000" w:sz="4" w:space="0"/>
            </w:tcBorders>
            <w:noWrap w:val="0"/>
            <w:vAlign w:val="center"/>
          </w:tcPr>
          <w:p w14:paraId="13CBAD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7"/>
                <w:szCs w:val="17"/>
                <w:u w:val="none"/>
              </w:rPr>
            </w:pPr>
            <w:r>
              <w:rPr>
                <w:rFonts w:hint="eastAsia" w:ascii="黑体" w:hAnsi="黑体" w:eastAsia="黑体" w:cs="黑体"/>
                <w:i w:val="0"/>
                <w:iCs w:val="0"/>
                <w:color w:val="000000"/>
                <w:kern w:val="0"/>
                <w:sz w:val="17"/>
                <w:szCs w:val="17"/>
                <w:u w:val="none"/>
                <w:lang w:val="en-US" w:eastAsia="zh-CN" w:bidi="ar"/>
              </w:rPr>
              <w:t>年度目标完成情况</w:t>
            </w:r>
          </w:p>
        </w:tc>
      </w:tr>
      <w:tr w14:paraId="574D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F2990">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10831">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7"/>
                <w:szCs w:val="17"/>
                <w:u w:val="none"/>
              </w:rPr>
            </w:pPr>
          </w:p>
        </w:tc>
        <w:tc>
          <w:tcPr>
            <w:tcW w:w="8396" w:type="dxa"/>
            <w:gridSpan w:val="5"/>
            <w:tcBorders>
              <w:top w:val="single" w:color="000000" w:sz="4" w:space="0"/>
              <w:left w:val="single" w:color="000000" w:sz="4" w:space="0"/>
              <w:bottom w:val="single" w:color="000000" w:sz="4" w:space="0"/>
              <w:right w:val="single" w:color="000000" w:sz="4" w:space="0"/>
            </w:tcBorders>
            <w:noWrap w:val="0"/>
            <w:vAlign w:val="center"/>
          </w:tcPr>
          <w:p w14:paraId="148312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　2021年度安全储存区级储备粮食3000吨，其中稻谷1500吨，小麦1500吨，主要用于全区粮食应急保供，在紧急情况下，能调得出，用得上。粮油储备3000吨,费用补贴120元/吨,贷款720万元利息补贴43.8万元.按照《广元市昭化区区级储备粮管理办法》规定和专款专用的原则，存储区级储备粮的日常管理工作，对区级储备粮数量真实、质量完好、储存安全负责，确保全区人民粮食储备安全。</w:t>
            </w:r>
          </w:p>
        </w:tc>
        <w:tc>
          <w:tcPr>
            <w:tcW w:w="4355" w:type="dxa"/>
            <w:gridSpan w:val="4"/>
            <w:tcBorders>
              <w:top w:val="single" w:color="000000" w:sz="4" w:space="0"/>
              <w:left w:val="single" w:color="000000" w:sz="4" w:space="0"/>
              <w:bottom w:val="single" w:color="000000" w:sz="4" w:space="0"/>
              <w:right w:val="single" w:color="000000" w:sz="4" w:space="0"/>
            </w:tcBorders>
            <w:noWrap w:val="0"/>
            <w:vAlign w:val="center"/>
          </w:tcPr>
          <w:p w14:paraId="7EBE2C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7"/>
                <w:szCs w:val="17"/>
                <w:u w:val="none"/>
              </w:rPr>
            </w:pPr>
            <w:r>
              <w:rPr>
                <w:rFonts w:hint="eastAsia" w:ascii="黑体" w:hAnsi="黑体" w:eastAsia="黑体" w:cs="黑体"/>
                <w:i w:val="0"/>
                <w:iCs w:val="0"/>
                <w:color w:val="000000"/>
                <w:kern w:val="0"/>
                <w:sz w:val="17"/>
                <w:szCs w:val="17"/>
                <w:u w:val="none"/>
                <w:lang w:val="en-US" w:eastAsia="zh-CN" w:bidi="ar"/>
              </w:rPr>
              <w:t>完成年度目标。</w:t>
            </w:r>
          </w:p>
        </w:tc>
      </w:tr>
      <w:tr w14:paraId="6295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1041A">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7"/>
                <w:szCs w:val="17"/>
                <w:u w:val="none"/>
              </w:rPr>
            </w:pP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65B86B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2.项目实施内容及过程概述</w:t>
            </w:r>
          </w:p>
        </w:tc>
        <w:tc>
          <w:tcPr>
            <w:tcW w:w="12751" w:type="dxa"/>
            <w:gridSpan w:val="9"/>
            <w:tcBorders>
              <w:top w:val="single" w:color="000000" w:sz="4" w:space="0"/>
              <w:left w:val="single" w:color="000000" w:sz="4" w:space="0"/>
              <w:bottom w:val="single" w:color="000000" w:sz="4" w:space="0"/>
              <w:right w:val="single" w:color="000000" w:sz="4" w:space="0"/>
            </w:tcBorders>
            <w:noWrap w:val="0"/>
            <w:vAlign w:val="center"/>
          </w:tcPr>
          <w:p w14:paraId="6F3A97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完成区级储备粮轮换工作。对区级储备粮数量真实、质量完好、储存安全负责，确保全区人民粮食储备安全。</w:t>
            </w:r>
          </w:p>
        </w:tc>
      </w:tr>
      <w:tr w14:paraId="1083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968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预算执行情况（10分）</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92519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年度预算数（万元）</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CD211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年初预算</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21E51D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调整后预算数</w:t>
            </w:r>
          </w:p>
        </w:tc>
        <w:tc>
          <w:tcPr>
            <w:tcW w:w="3025" w:type="dxa"/>
            <w:gridSpan w:val="3"/>
            <w:tcBorders>
              <w:top w:val="single" w:color="000000" w:sz="4" w:space="0"/>
              <w:left w:val="single" w:color="000000" w:sz="4" w:space="0"/>
              <w:bottom w:val="single" w:color="000000" w:sz="4" w:space="0"/>
              <w:right w:val="single" w:color="000000" w:sz="4" w:space="0"/>
            </w:tcBorders>
            <w:noWrap w:val="0"/>
            <w:vAlign w:val="center"/>
          </w:tcPr>
          <w:p w14:paraId="0BE543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预算执行数</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C274A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预算执行率</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73C5B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F5AA5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得分</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0D831F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原因</w:t>
            </w:r>
          </w:p>
        </w:tc>
      </w:tr>
      <w:tr w14:paraId="341E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1B37C">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3AE98B7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总额</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1E387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150.00</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5C7A7E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150.00</w:t>
            </w:r>
          </w:p>
        </w:tc>
        <w:tc>
          <w:tcPr>
            <w:tcW w:w="3025" w:type="dxa"/>
            <w:gridSpan w:val="3"/>
            <w:tcBorders>
              <w:top w:val="single" w:color="000000" w:sz="4" w:space="0"/>
              <w:left w:val="single" w:color="000000" w:sz="4" w:space="0"/>
              <w:bottom w:val="single" w:color="000000" w:sz="4" w:space="0"/>
              <w:right w:val="single" w:color="000000" w:sz="4" w:space="0"/>
            </w:tcBorders>
            <w:noWrap w:val="0"/>
            <w:vAlign w:val="center"/>
          </w:tcPr>
          <w:p w14:paraId="0ECAF9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48.96</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B3F1F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32.64%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1C192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A0B7C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3</w:t>
            </w:r>
          </w:p>
        </w:tc>
        <w:tc>
          <w:tcPr>
            <w:tcW w:w="1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283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7"/>
                <w:szCs w:val="17"/>
                <w:u w:val="none"/>
              </w:rPr>
            </w:pPr>
            <w:r>
              <w:rPr>
                <w:rFonts w:hint="eastAsia" w:ascii="黑体" w:hAnsi="黑体" w:eastAsia="黑体" w:cs="黑体"/>
                <w:i/>
                <w:iCs/>
                <w:color w:val="000000"/>
                <w:kern w:val="0"/>
                <w:sz w:val="17"/>
                <w:szCs w:val="17"/>
                <w:u w:val="none"/>
                <w:lang w:val="en-US" w:eastAsia="zh-CN" w:bidi="ar"/>
              </w:rPr>
              <w:t>资金暂未拨付</w:t>
            </w:r>
          </w:p>
        </w:tc>
      </w:tr>
      <w:tr w14:paraId="2FED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604B5">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50A1E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其中：财政资金</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ECCAF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150.00</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447017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150.00</w:t>
            </w:r>
          </w:p>
        </w:tc>
        <w:tc>
          <w:tcPr>
            <w:tcW w:w="3025" w:type="dxa"/>
            <w:gridSpan w:val="3"/>
            <w:tcBorders>
              <w:top w:val="single" w:color="000000" w:sz="4" w:space="0"/>
              <w:left w:val="single" w:color="000000" w:sz="4" w:space="0"/>
              <w:bottom w:val="single" w:color="000000" w:sz="4" w:space="0"/>
              <w:right w:val="single" w:color="000000" w:sz="4" w:space="0"/>
            </w:tcBorders>
            <w:noWrap w:val="0"/>
            <w:vAlign w:val="center"/>
          </w:tcPr>
          <w:p w14:paraId="5AD5B2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48.96</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B2871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32.64%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E49CA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DD37D6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473DF">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7"/>
                <w:szCs w:val="17"/>
                <w:u w:val="none"/>
              </w:rPr>
            </w:pPr>
          </w:p>
        </w:tc>
      </w:tr>
      <w:tr w14:paraId="48EC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5378C">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1BE9A6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财政专户管理资金</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337D9E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2EEBAB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3025" w:type="dxa"/>
            <w:gridSpan w:val="3"/>
            <w:tcBorders>
              <w:top w:val="single" w:color="000000" w:sz="4" w:space="0"/>
              <w:left w:val="single" w:color="000000" w:sz="4" w:space="0"/>
              <w:bottom w:val="single" w:color="000000" w:sz="4" w:space="0"/>
              <w:right w:val="single" w:color="000000" w:sz="4" w:space="0"/>
            </w:tcBorders>
            <w:noWrap w:val="0"/>
            <w:vAlign w:val="center"/>
          </w:tcPr>
          <w:p w14:paraId="14B879B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3FEF7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2E8C1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D8831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DB40B">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7"/>
                <w:szCs w:val="17"/>
                <w:u w:val="none"/>
              </w:rPr>
            </w:pPr>
          </w:p>
        </w:tc>
      </w:tr>
      <w:tr w14:paraId="2C1C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DBF5E">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51C61B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单位资金</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4518E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0A89E0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3025" w:type="dxa"/>
            <w:gridSpan w:val="3"/>
            <w:tcBorders>
              <w:top w:val="single" w:color="000000" w:sz="4" w:space="0"/>
              <w:left w:val="single" w:color="000000" w:sz="4" w:space="0"/>
              <w:bottom w:val="single" w:color="000000" w:sz="4" w:space="0"/>
              <w:right w:val="single" w:color="000000" w:sz="4" w:space="0"/>
            </w:tcBorders>
            <w:noWrap w:val="0"/>
            <w:vAlign w:val="center"/>
          </w:tcPr>
          <w:p w14:paraId="18885E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DFAD9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D4C66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0D8AE0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EE944">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7"/>
                <w:szCs w:val="17"/>
                <w:u w:val="none"/>
              </w:rPr>
            </w:pPr>
          </w:p>
        </w:tc>
      </w:tr>
      <w:tr w14:paraId="2281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D2727">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2A127B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其他资金</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23C432C1">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006647B3">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c>
          <w:tcPr>
            <w:tcW w:w="3025" w:type="dxa"/>
            <w:gridSpan w:val="3"/>
            <w:tcBorders>
              <w:top w:val="single" w:color="000000" w:sz="4" w:space="0"/>
              <w:left w:val="single" w:color="000000" w:sz="4" w:space="0"/>
              <w:bottom w:val="single" w:color="000000" w:sz="4" w:space="0"/>
              <w:right w:val="single" w:color="000000" w:sz="4" w:space="0"/>
            </w:tcBorders>
            <w:noWrap w:val="0"/>
            <w:vAlign w:val="center"/>
          </w:tcPr>
          <w:p w14:paraId="44CABBB6">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756D1A0">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C40A9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BABB4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976D1">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7"/>
                <w:szCs w:val="17"/>
                <w:u w:val="none"/>
              </w:rPr>
            </w:pPr>
          </w:p>
        </w:tc>
      </w:tr>
      <w:tr w14:paraId="2755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7B4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绩效指标（90分）</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7320AC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一级指标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B48A7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二级指标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24BF0D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三级指标</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F32F8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指标性质</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76E72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指标值</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6D82CB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度量单位</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1104E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完成值</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2845D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06121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得分</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4FB825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未完成原因分析</w:t>
            </w:r>
          </w:p>
        </w:tc>
      </w:tr>
      <w:tr w14:paraId="0022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383C9">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0D8A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产出指标</w:t>
            </w:r>
          </w:p>
        </w:tc>
        <w:tc>
          <w:tcPr>
            <w:tcW w:w="18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9952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数量指标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2726A9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全年储备小包装菜油</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D5D64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7F41C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40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3C01CB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7DF5F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40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11172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A7799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3FF8F35E">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0106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30CF4">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83889">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4022B">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57D3A9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全年储备小麦</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48A9A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A10D0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1500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09539A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2676D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4500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E569FE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79EC8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315FA9AE">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2EF6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3887C">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C8D2A">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E5A4E">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0214FA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全年储备小包装成品大米</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28784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11C46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200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245949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C3571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200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DE8F26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6F48B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2A680983">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4426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7E1A3">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7E676">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A70ED">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0A6735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全年储备稻谷</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0CAF1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2AB56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2500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1F66D1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A7003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2500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DEF2E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64398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551BDE21">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7D1B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7AA30">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38E05">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86A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质量指标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026E0E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小包装成品大米、小包装菜油</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9B871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480AAA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0A7772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682564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F5E7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51BA4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1C1E1E9E">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255E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1AE12">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B989C">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B1217">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464238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稻谷、小麦收购验收合格率</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10516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32ED45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0B29B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D7DC2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1F8F27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7B0287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63245FF4">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45C6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D8C32">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0CEC5">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A30BBE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时效指标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2C63E1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库存任务完成时限</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96E11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7C0EFF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4861B3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年</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2A8D4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79B6F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82CAF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5084DB52">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4954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67CE2">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C09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效益指标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9A66E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社会效益指标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75A317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粮油储备合格率</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353A0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定性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6C825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优</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2C505A1">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45FFB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优</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DEC30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256A3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06E669E2">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3C3A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E205F">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148B3">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397BF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生态效益指标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12E402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完成粮食储备任务，环境做到零污染</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EA41A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定性</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64E0F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优</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4463801C">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D80FC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优</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CF93E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1EF461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2E71A021">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7563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27273">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tcBorders>
              <w:top w:val="single" w:color="000000" w:sz="4" w:space="0"/>
              <w:left w:val="single" w:color="000000" w:sz="4" w:space="0"/>
              <w:bottom w:val="single" w:color="000000" w:sz="4" w:space="0"/>
              <w:right w:val="single" w:color="000000" w:sz="4" w:space="0"/>
            </w:tcBorders>
            <w:noWrap w:val="0"/>
            <w:vAlign w:val="center"/>
          </w:tcPr>
          <w:p w14:paraId="4811E1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满意度指标</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FDE46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服务对象满意度指标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3A10B8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群众满意度</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3BC21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4CDD3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98</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5AC486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ACDB3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98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018C6E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96ED0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2E1456F0">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1DD0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223F6">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511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成本指标</w:t>
            </w:r>
          </w:p>
        </w:tc>
        <w:tc>
          <w:tcPr>
            <w:tcW w:w="18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42A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经济成本指标</w:t>
            </w: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038A75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利息费用严格控制在财政预算额度内</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D1A01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02A215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60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8A740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万元</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B1D93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60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9C79A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FE0F5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66036385">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1F30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8A3F2">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1B5D3">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18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1CB67">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7"/>
                <w:szCs w:val="17"/>
                <w:u w:val="none"/>
              </w:rPr>
            </w:pPr>
          </w:p>
        </w:tc>
        <w:tc>
          <w:tcPr>
            <w:tcW w:w="3497" w:type="dxa"/>
            <w:tcBorders>
              <w:top w:val="single" w:color="000000" w:sz="4" w:space="0"/>
              <w:left w:val="single" w:color="000000" w:sz="4" w:space="0"/>
              <w:bottom w:val="single" w:color="000000" w:sz="4" w:space="0"/>
              <w:right w:val="single" w:color="000000" w:sz="4" w:space="0"/>
            </w:tcBorders>
            <w:noWrap w:val="0"/>
            <w:vAlign w:val="center"/>
          </w:tcPr>
          <w:p w14:paraId="2C4D2D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储备费用严格控制在财政预算额度内</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5F3D9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2A5185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90</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28194E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万元</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20B72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60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513A1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22389F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742CE454">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7"/>
                <w:szCs w:val="17"/>
                <w:u w:val="none"/>
              </w:rPr>
            </w:pPr>
          </w:p>
        </w:tc>
      </w:tr>
      <w:tr w14:paraId="6CAA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371" w:type="dxa"/>
            <w:gridSpan w:val="8"/>
            <w:tcBorders>
              <w:top w:val="single" w:color="000000" w:sz="4" w:space="0"/>
              <w:left w:val="single" w:color="000000" w:sz="4" w:space="0"/>
              <w:bottom w:val="single" w:color="000000" w:sz="4" w:space="0"/>
              <w:right w:val="single" w:color="000000" w:sz="4" w:space="0"/>
            </w:tcBorders>
            <w:noWrap w:val="0"/>
            <w:vAlign w:val="center"/>
          </w:tcPr>
          <w:p w14:paraId="04F7EB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合计</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09945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C234B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93</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14:paraId="23C08F9D">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7"/>
                <w:szCs w:val="17"/>
                <w:u w:val="none"/>
              </w:rPr>
            </w:pPr>
          </w:p>
        </w:tc>
      </w:tr>
      <w:tr w14:paraId="76CF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tcBorders>
              <w:top w:val="single" w:color="000000" w:sz="4" w:space="0"/>
              <w:left w:val="single" w:color="000000" w:sz="4" w:space="0"/>
              <w:bottom w:val="single" w:color="000000" w:sz="4" w:space="0"/>
              <w:right w:val="single" w:color="000000" w:sz="4" w:space="0"/>
            </w:tcBorders>
            <w:noWrap w:val="0"/>
            <w:vAlign w:val="center"/>
          </w:tcPr>
          <w:p w14:paraId="01E6D1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评价结论</w:t>
            </w:r>
          </w:p>
        </w:tc>
        <w:tc>
          <w:tcPr>
            <w:tcW w:w="14472" w:type="dxa"/>
            <w:gridSpan w:val="10"/>
            <w:tcBorders>
              <w:top w:val="single" w:color="000000" w:sz="4" w:space="0"/>
              <w:left w:val="single" w:color="000000" w:sz="4" w:space="0"/>
              <w:bottom w:val="single" w:color="000000" w:sz="4" w:space="0"/>
              <w:right w:val="single" w:color="000000" w:sz="4" w:space="0"/>
            </w:tcBorders>
            <w:noWrap w:val="0"/>
            <w:vAlign w:val="center"/>
          </w:tcPr>
          <w:p w14:paraId="4AD34B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经自评，得分93分，顺利完成区级储备粮轮换工作，确保全区人民粮食储备安全。</w:t>
            </w:r>
          </w:p>
        </w:tc>
      </w:tr>
      <w:tr w14:paraId="0C96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BD8D2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存在问题</w:t>
            </w:r>
          </w:p>
        </w:tc>
        <w:tc>
          <w:tcPr>
            <w:tcW w:w="14472" w:type="dxa"/>
            <w:gridSpan w:val="10"/>
            <w:tcBorders>
              <w:top w:val="single" w:color="000000" w:sz="4" w:space="0"/>
              <w:left w:val="single" w:color="000000" w:sz="4" w:space="0"/>
              <w:bottom w:val="single" w:color="000000" w:sz="4" w:space="0"/>
              <w:right w:val="single" w:color="000000" w:sz="4" w:space="0"/>
            </w:tcBorders>
            <w:noWrap w:val="0"/>
            <w:vAlign w:val="center"/>
          </w:tcPr>
          <w:p w14:paraId="59FD05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无</w:t>
            </w:r>
          </w:p>
        </w:tc>
      </w:tr>
      <w:tr w14:paraId="1609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2C62B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7"/>
                <w:szCs w:val="17"/>
                <w:u w:val="none"/>
              </w:rPr>
            </w:pPr>
            <w:r>
              <w:rPr>
                <w:rFonts w:hint="default" w:ascii="宋体" w:hAnsi="宋体" w:eastAsia="宋体" w:cs="宋体"/>
                <w:i w:val="0"/>
                <w:iCs w:val="0"/>
                <w:color w:val="000000"/>
                <w:kern w:val="0"/>
                <w:sz w:val="17"/>
                <w:szCs w:val="17"/>
                <w:u w:val="none"/>
                <w:lang w:val="en-US" w:eastAsia="zh-CN" w:bidi="ar"/>
              </w:rPr>
              <w:t>改进措施</w:t>
            </w:r>
          </w:p>
        </w:tc>
        <w:tc>
          <w:tcPr>
            <w:tcW w:w="14472" w:type="dxa"/>
            <w:gridSpan w:val="10"/>
            <w:tcBorders>
              <w:top w:val="single" w:color="000000" w:sz="4" w:space="0"/>
              <w:left w:val="single" w:color="000000" w:sz="4" w:space="0"/>
              <w:bottom w:val="single" w:color="000000" w:sz="4" w:space="0"/>
              <w:right w:val="single" w:color="000000" w:sz="4" w:space="0"/>
            </w:tcBorders>
            <w:noWrap w:val="0"/>
            <w:vAlign w:val="center"/>
          </w:tcPr>
          <w:p w14:paraId="48AA96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7"/>
                <w:szCs w:val="17"/>
                <w:u w:val="none"/>
              </w:rPr>
            </w:pPr>
            <w:r>
              <w:rPr>
                <w:rFonts w:hint="eastAsia" w:ascii="微软雅黑" w:hAnsi="微软雅黑" w:eastAsia="微软雅黑" w:cs="微软雅黑"/>
                <w:i/>
                <w:iCs/>
                <w:color w:val="000000"/>
                <w:kern w:val="0"/>
                <w:sz w:val="17"/>
                <w:szCs w:val="17"/>
                <w:u w:val="none"/>
                <w:lang w:val="en-US" w:eastAsia="zh-CN" w:bidi="ar"/>
              </w:rPr>
              <w:t>无</w:t>
            </w:r>
          </w:p>
        </w:tc>
      </w:tr>
      <w:tr w14:paraId="384F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6" w:type="dxa"/>
            <w:gridSpan w:val="5"/>
            <w:tcBorders>
              <w:top w:val="single" w:color="000000" w:sz="4" w:space="0"/>
              <w:left w:val="single" w:color="000000" w:sz="4" w:space="0"/>
              <w:bottom w:val="single" w:color="000000" w:sz="4" w:space="0"/>
              <w:right w:val="single" w:color="000000" w:sz="4" w:space="0"/>
            </w:tcBorders>
            <w:noWrap w:val="0"/>
            <w:vAlign w:val="center"/>
          </w:tcPr>
          <w:p w14:paraId="055B37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7"/>
                <w:szCs w:val="17"/>
                <w:u w:val="none"/>
              </w:rPr>
            </w:pPr>
            <w:r>
              <w:rPr>
                <w:rFonts w:hint="eastAsia" w:ascii="黑体" w:hAnsi="黑体" w:eastAsia="黑体" w:cs="黑体"/>
                <w:i w:val="0"/>
                <w:iCs w:val="0"/>
                <w:color w:val="000000"/>
                <w:kern w:val="0"/>
                <w:sz w:val="17"/>
                <w:szCs w:val="17"/>
                <w:u w:val="none"/>
                <w:lang w:val="en-US" w:eastAsia="zh-CN" w:bidi="ar"/>
              </w:rPr>
              <w:t>项目负责人：刘红珊</w:t>
            </w:r>
          </w:p>
        </w:tc>
        <w:tc>
          <w:tcPr>
            <w:tcW w:w="6773" w:type="dxa"/>
            <w:gridSpan w:val="6"/>
            <w:tcBorders>
              <w:top w:val="single" w:color="000000" w:sz="4" w:space="0"/>
              <w:left w:val="single" w:color="000000" w:sz="4" w:space="0"/>
              <w:bottom w:val="single" w:color="000000" w:sz="4" w:space="0"/>
              <w:right w:val="single" w:color="000000" w:sz="4" w:space="0"/>
            </w:tcBorders>
            <w:noWrap w:val="0"/>
            <w:vAlign w:val="center"/>
          </w:tcPr>
          <w:p w14:paraId="254939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7"/>
                <w:szCs w:val="17"/>
                <w:u w:val="none"/>
              </w:rPr>
            </w:pPr>
            <w:r>
              <w:rPr>
                <w:rFonts w:hint="eastAsia" w:ascii="黑体" w:hAnsi="黑体" w:eastAsia="黑体" w:cs="黑体"/>
                <w:i w:val="0"/>
                <w:iCs w:val="0"/>
                <w:color w:val="000000"/>
                <w:kern w:val="0"/>
                <w:sz w:val="17"/>
                <w:szCs w:val="17"/>
                <w:u w:val="none"/>
                <w:lang w:val="en-US" w:eastAsia="zh-CN" w:bidi="ar"/>
              </w:rPr>
              <w:t>财务负责人：祖领会</w:t>
            </w:r>
          </w:p>
        </w:tc>
      </w:tr>
    </w:tbl>
    <w:p w14:paraId="0AA40D77">
      <w:pPr>
        <w:pStyle w:val="7"/>
        <w:keepNext w:val="0"/>
        <w:keepLines w:val="0"/>
        <w:pageBreakBefore w:val="0"/>
        <w:widowControl w:val="0"/>
        <w:kinsoku/>
        <w:wordWrap/>
        <w:bidi w:val="0"/>
        <w:snapToGrid/>
        <w:spacing w:line="576" w:lineRule="exact"/>
        <w:jc w:val="center"/>
        <w:textAlignment w:val="auto"/>
        <w:rPr>
          <w:rFonts w:hint="eastAsia" w:ascii="仿宋_GB2312" w:hAnsi="仿宋_GB2312" w:eastAsia="仿宋_GB2312"/>
          <w:b w:val="0"/>
          <w:bCs w:val="0"/>
          <w:color w:val="C00000"/>
          <w:kern w:val="2"/>
          <w:sz w:val="32"/>
          <w:szCs w:val="24"/>
          <w:highlight w:val="none"/>
          <w:lang w:val="en-US"/>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bl>
      <w:tblPr>
        <w:tblStyle w:val="18"/>
        <w:tblW w:w="14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1"/>
        <w:gridCol w:w="1814"/>
        <w:gridCol w:w="1845"/>
        <w:gridCol w:w="2354"/>
        <w:gridCol w:w="770"/>
        <w:gridCol w:w="1221"/>
        <w:gridCol w:w="844"/>
        <w:gridCol w:w="1134"/>
        <w:gridCol w:w="523"/>
        <w:gridCol w:w="651"/>
        <w:gridCol w:w="2492"/>
      </w:tblGrid>
      <w:tr w14:paraId="3D92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14:paraId="089A47D9">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项目名称</w:t>
            </w:r>
          </w:p>
        </w:tc>
        <w:tc>
          <w:tcPr>
            <w:tcW w:w="11834" w:type="dxa"/>
            <w:gridSpan w:val="9"/>
            <w:tcBorders>
              <w:top w:val="single" w:color="000000" w:sz="4" w:space="0"/>
              <w:left w:val="single" w:color="000000" w:sz="4" w:space="0"/>
              <w:bottom w:val="single" w:color="000000" w:sz="4" w:space="0"/>
              <w:right w:val="single" w:color="000000" w:sz="4" w:space="0"/>
            </w:tcBorders>
            <w:noWrap w:val="0"/>
            <w:vAlign w:val="center"/>
          </w:tcPr>
          <w:p w14:paraId="1ACC84B7">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51081124Y000011380037-项目保障及投资管理经费</w:t>
            </w:r>
          </w:p>
        </w:tc>
      </w:tr>
      <w:tr w14:paraId="7261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14:paraId="4975CDA9">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主管部门</w:t>
            </w:r>
          </w:p>
        </w:tc>
        <w:tc>
          <w:tcPr>
            <w:tcW w:w="7034" w:type="dxa"/>
            <w:gridSpan w:val="5"/>
            <w:tcBorders>
              <w:top w:val="single" w:color="000000" w:sz="4" w:space="0"/>
              <w:left w:val="single" w:color="000000" w:sz="4" w:space="0"/>
              <w:bottom w:val="single" w:color="000000" w:sz="4" w:space="0"/>
              <w:right w:val="single" w:color="000000" w:sz="4" w:space="0"/>
            </w:tcBorders>
            <w:noWrap w:val="0"/>
            <w:vAlign w:val="center"/>
          </w:tcPr>
          <w:p w14:paraId="000C080A">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广元市昭化区发展和改革局部门</w:t>
            </w:r>
          </w:p>
        </w:tc>
        <w:tc>
          <w:tcPr>
            <w:tcW w:w="1657" w:type="dxa"/>
            <w:gridSpan w:val="2"/>
            <w:tcBorders>
              <w:top w:val="nil"/>
              <w:left w:val="nil"/>
              <w:bottom w:val="nil"/>
              <w:right w:val="nil"/>
            </w:tcBorders>
            <w:noWrap w:val="0"/>
            <w:vAlign w:val="center"/>
          </w:tcPr>
          <w:p w14:paraId="64D0014F">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143" w:type="dxa"/>
            <w:gridSpan w:val="2"/>
            <w:tcBorders>
              <w:top w:val="single" w:color="000000" w:sz="4" w:space="0"/>
              <w:left w:val="single" w:color="000000" w:sz="4" w:space="0"/>
              <w:bottom w:val="single" w:color="000000" w:sz="4" w:space="0"/>
              <w:right w:val="single" w:color="000000" w:sz="4" w:space="0"/>
            </w:tcBorders>
            <w:noWrap w:val="0"/>
            <w:vAlign w:val="center"/>
          </w:tcPr>
          <w:p w14:paraId="059059B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w:t>
            </w:r>
          </w:p>
        </w:tc>
      </w:tr>
      <w:tr w14:paraId="56E6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A5967">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项目基本情况</w:t>
            </w:r>
          </w:p>
        </w:tc>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A44BE">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1.项目年度目标完成情况</w:t>
            </w:r>
          </w:p>
        </w:tc>
        <w:tc>
          <w:tcPr>
            <w:tcW w:w="7034" w:type="dxa"/>
            <w:gridSpan w:val="5"/>
            <w:tcBorders>
              <w:top w:val="single" w:color="000000" w:sz="4" w:space="0"/>
              <w:left w:val="single" w:color="000000" w:sz="4" w:space="0"/>
              <w:bottom w:val="single" w:color="000000" w:sz="4" w:space="0"/>
              <w:right w:val="single" w:color="000000" w:sz="4" w:space="0"/>
            </w:tcBorders>
            <w:noWrap w:val="0"/>
            <w:vAlign w:val="center"/>
          </w:tcPr>
          <w:p w14:paraId="67042AA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noWrap w:val="0"/>
            <w:vAlign w:val="center"/>
          </w:tcPr>
          <w:p w14:paraId="31CB564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435C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66968">
            <w:pPr>
              <w:keepNext w:val="0"/>
              <w:keepLines w:val="0"/>
              <w:pageBreakBefore w:val="0"/>
              <w:widowControl/>
              <w:kinsoku/>
              <w:wordWrap/>
              <w:overflowPunct/>
              <w:topLinePunct w:val="0"/>
              <w:bidi w:val="0"/>
              <w:snapToGrid/>
              <w:spacing w:beforeLines="0" w:afterLines="0" w:line="200" w:lineRule="exact"/>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1D2E2">
            <w:pPr>
              <w:keepNext w:val="0"/>
              <w:keepLines w:val="0"/>
              <w:pageBreakBefore w:val="0"/>
              <w:widowControl/>
              <w:kinsoku/>
              <w:wordWrap/>
              <w:overflowPunct/>
              <w:topLinePunct w:val="0"/>
              <w:bidi w:val="0"/>
              <w:snapToGrid/>
              <w:spacing w:beforeLines="0" w:afterLines="0" w:line="200" w:lineRule="exact"/>
              <w:rPr>
                <w:rFonts w:hint="eastAsia" w:ascii="宋体" w:hAnsi="宋体" w:eastAsia="宋体" w:cs="宋体"/>
                <w:i w:val="0"/>
                <w:iCs w:val="0"/>
                <w:color w:val="000000"/>
                <w:sz w:val="15"/>
                <w:szCs w:val="15"/>
                <w:u w:val="none"/>
              </w:rPr>
            </w:pPr>
          </w:p>
        </w:tc>
        <w:tc>
          <w:tcPr>
            <w:tcW w:w="7034" w:type="dxa"/>
            <w:gridSpan w:val="5"/>
            <w:tcBorders>
              <w:top w:val="single" w:color="000000" w:sz="4" w:space="0"/>
              <w:left w:val="single" w:color="000000" w:sz="4" w:space="0"/>
              <w:bottom w:val="single" w:color="000000" w:sz="4" w:space="0"/>
              <w:right w:val="single" w:color="000000" w:sz="4" w:space="0"/>
            </w:tcBorders>
            <w:noWrap w:val="0"/>
            <w:vAlign w:val="center"/>
          </w:tcPr>
          <w:p w14:paraId="627C8B0F">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加快全区投资项目工作推进，2024年度重点推进白果二期风电项目、泽瑞堂家居地板生产项目、现代粮油农业园区建设项目等12个竣工项目顺利完工，国道212昭化城区过境公路(含韩家垭隧道)等9个项目开工，美好世家智能家具生产项目等21个续建项目加快推进，确保固定资产投资增长15%以上。完成协调工作所需办公费、差旅费、邮电费、会议费、培训费等经费控制在财政预算范围内不少于75万元，项目建成新增就业岗位不少于500个，带动周边农民工每月每人增收不少于200元，丰富居民文化生活，解决周边居民具体困难，缓和社会矛盾，无植被破坏和建筑垃圾丢弃，提高群众生活环境质量，项目实施单位满意度及项目受益群众不低于95%。</w:t>
            </w:r>
          </w:p>
        </w:tc>
        <w:tc>
          <w:tcPr>
            <w:tcW w:w="4800" w:type="dxa"/>
            <w:gridSpan w:val="4"/>
            <w:tcBorders>
              <w:top w:val="single" w:color="000000" w:sz="4" w:space="0"/>
              <w:left w:val="single" w:color="000000" w:sz="4" w:space="0"/>
              <w:bottom w:val="single" w:color="000000" w:sz="4" w:space="0"/>
              <w:right w:val="single" w:color="000000" w:sz="4" w:space="0"/>
            </w:tcBorders>
            <w:noWrap w:val="0"/>
            <w:vAlign w:val="center"/>
          </w:tcPr>
          <w:p w14:paraId="64833DC8">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2024年度推进白果二期风电项目、泽瑞堂家居地板生产项目等15个竣工项目顺利完工，国道212昭化城区过境公路(含韩家垭隧道)等113个项目集中开工，美好世家智能家具生产项目等21个续建项目加快推进。项目建成新增就业岗位500个以上，项目实施单位满意度及项目受益群众95%。</w:t>
            </w:r>
          </w:p>
        </w:tc>
      </w:tr>
      <w:tr w14:paraId="28D8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7FB4B">
            <w:pPr>
              <w:keepNext w:val="0"/>
              <w:keepLines w:val="0"/>
              <w:pageBreakBefore w:val="0"/>
              <w:widowControl/>
              <w:kinsoku/>
              <w:wordWrap/>
              <w:overflowPunct/>
              <w:topLinePunct w:val="0"/>
              <w:bidi w:val="0"/>
              <w:snapToGrid/>
              <w:spacing w:beforeLines="0" w:afterLines="0" w:line="200" w:lineRule="exact"/>
              <w:rPr>
                <w:rFonts w:hint="eastAsia" w:ascii="宋体" w:hAnsi="宋体" w:eastAsia="宋体" w:cs="宋体"/>
                <w:i w:val="0"/>
                <w:iCs w:val="0"/>
                <w:color w:val="000000"/>
                <w:sz w:val="15"/>
                <w:szCs w:val="15"/>
                <w:u w:val="none"/>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2BCD0D8">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2.项目实施内容及过程概述</w:t>
            </w:r>
          </w:p>
        </w:tc>
        <w:tc>
          <w:tcPr>
            <w:tcW w:w="11834" w:type="dxa"/>
            <w:gridSpan w:val="9"/>
            <w:tcBorders>
              <w:top w:val="single" w:color="000000" w:sz="4" w:space="0"/>
              <w:left w:val="single" w:color="000000" w:sz="4" w:space="0"/>
              <w:bottom w:val="single" w:color="000000" w:sz="4" w:space="0"/>
              <w:right w:val="single" w:color="000000" w:sz="4" w:space="0"/>
            </w:tcBorders>
            <w:noWrap w:val="0"/>
            <w:vAlign w:val="center"/>
          </w:tcPr>
          <w:p w14:paraId="0403020F">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2024年度推进白果二期风电项目、泽瑞堂家居地板生产项目等15个竣工项目顺利完工，国道212昭化城区过境公路(含韩家垭隧道)等113个项目集中开工，美好世家智能家具生产项目等21个续建项目加快推进。</w:t>
            </w:r>
          </w:p>
        </w:tc>
      </w:tr>
      <w:tr w14:paraId="131E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425A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预算执行情况（10分）</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7E04E97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年度预算数（万元）</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4889033">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年初预算</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2A039D4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调整后预算数</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1488DEB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88D7EE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53B03E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2E0DDA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246B53B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原因</w:t>
            </w:r>
          </w:p>
        </w:tc>
      </w:tr>
      <w:tr w14:paraId="7761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4A264">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AE764C4">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总额</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7B27AF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70.00</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402BBE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70.00</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641AA37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58.46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33AD43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83.52%</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9BE012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6B66988">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w:t>
            </w:r>
          </w:p>
        </w:tc>
        <w:tc>
          <w:tcPr>
            <w:tcW w:w="2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8D51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资金暂未拨付</w:t>
            </w:r>
          </w:p>
        </w:tc>
      </w:tr>
      <w:tr w14:paraId="17FB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9EED2">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3F79725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其中：财政资金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F12DD9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70.00</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9FBE2E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70.00</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717FB7F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58.46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6752B97">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83.52%</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152B14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247F0C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E5CA2">
            <w:pPr>
              <w:keepNext w:val="0"/>
              <w:keepLines w:val="0"/>
              <w:pageBreakBefore w:val="0"/>
              <w:widowControl/>
              <w:kinsoku/>
              <w:wordWrap/>
              <w:overflowPunct/>
              <w:topLinePunct w:val="0"/>
              <w:bidi w:val="0"/>
              <w:snapToGrid/>
              <w:spacing w:beforeLines="0" w:afterLines="0" w:line="200" w:lineRule="exact"/>
              <w:jc w:val="center"/>
              <w:rPr>
                <w:rFonts w:hint="eastAsia" w:ascii="黑体" w:hAnsi="黑体" w:eastAsia="黑体" w:cs="黑体"/>
                <w:i/>
                <w:iCs/>
                <w:color w:val="000000"/>
                <w:sz w:val="15"/>
                <w:szCs w:val="15"/>
                <w:u w:val="none"/>
              </w:rPr>
            </w:pPr>
          </w:p>
        </w:tc>
      </w:tr>
      <w:tr w14:paraId="66FE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71E18">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4407872B">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财政专户管理资金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CAA980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62EFE168">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59869A7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15ABE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1D9B79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E093F2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82BCA">
            <w:pPr>
              <w:keepNext w:val="0"/>
              <w:keepLines w:val="0"/>
              <w:pageBreakBefore w:val="0"/>
              <w:widowControl/>
              <w:kinsoku/>
              <w:wordWrap/>
              <w:overflowPunct/>
              <w:topLinePunct w:val="0"/>
              <w:bidi w:val="0"/>
              <w:snapToGrid/>
              <w:spacing w:beforeLines="0" w:afterLines="0" w:line="200" w:lineRule="exact"/>
              <w:jc w:val="center"/>
              <w:rPr>
                <w:rFonts w:hint="eastAsia" w:ascii="黑体" w:hAnsi="黑体" w:eastAsia="黑体" w:cs="黑体"/>
                <w:i/>
                <w:iCs/>
                <w:color w:val="000000"/>
                <w:sz w:val="15"/>
                <w:szCs w:val="15"/>
                <w:u w:val="none"/>
              </w:rPr>
            </w:pPr>
          </w:p>
        </w:tc>
      </w:tr>
      <w:tr w14:paraId="5D6E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985AF">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601B602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单位资金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A987BE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20581C04">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4D890AF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E48D4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25F703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596899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92A29">
            <w:pPr>
              <w:keepNext w:val="0"/>
              <w:keepLines w:val="0"/>
              <w:pageBreakBefore w:val="0"/>
              <w:widowControl/>
              <w:kinsoku/>
              <w:wordWrap/>
              <w:overflowPunct/>
              <w:topLinePunct w:val="0"/>
              <w:bidi w:val="0"/>
              <w:snapToGrid/>
              <w:spacing w:beforeLines="0" w:afterLines="0" w:line="200" w:lineRule="exact"/>
              <w:jc w:val="center"/>
              <w:rPr>
                <w:rFonts w:hint="eastAsia" w:ascii="黑体" w:hAnsi="黑体" w:eastAsia="黑体" w:cs="黑体"/>
                <w:i/>
                <w:iCs/>
                <w:color w:val="000000"/>
                <w:sz w:val="15"/>
                <w:szCs w:val="15"/>
                <w:u w:val="none"/>
              </w:rPr>
            </w:pPr>
          </w:p>
        </w:tc>
      </w:tr>
      <w:tr w14:paraId="2958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0E07F">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513A701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其他资金</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3DADC82">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1BB50A5">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43BCDF50">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21A2B41">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7C402B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475DA6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366F5">
            <w:pPr>
              <w:keepNext w:val="0"/>
              <w:keepLines w:val="0"/>
              <w:pageBreakBefore w:val="0"/>
              <w:widowControl/>
              <w:kinsoku/>
              <w:wordWrap/>
              <w:overflowPunct/>
              <w:topLinePunct w:val="0"/>
              <w:bidi w:val="0"/>
              <w:snapToGrid/>
              <w:spacing w:beforeLines="0" w:afterLines="0" w:line="200" w:lineRule="exact"/>
              <w:jc w:val="center"/>
              <w:rPr>
                <w:rFonts w:hint="eastAsia" w:ascii="黑体" w:hAnsi="黑体" w:eastAsia="黑体" w:cs="黑体"/>
                <w:i/>
                <w:iCs/>
                <w:color w:val="000000"/>
                <w:sz w:val="15"/>
                <w:szCs w:val="15"/>
                <w:u w:val="none"/>
              </w:rPr>
            </w:pPr>
          </w:p>
        </w:tc>
      </w:tr>
      <w:tr w14:paraId="5B0A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A3BD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绩效指标（90分）</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4E0B469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一级指标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160FED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二级指标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7F9A780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三级指标</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0A7428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指标性质</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DF951B7">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指标值</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62DD5D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度量单位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798C4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F1882A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6F6B698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29E87888">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未完成原因分析</w:t>
            </w:r>
          </w:p>
        </w:tc>
      </w:tr>
      <w:tr w14:paraId="0C0B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3CB62">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AC8A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产出指标</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1FE2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数量指标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466C20B7">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推进项目新开工个数</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718500B">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A1E919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3D1AFA2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A8428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113</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CB6E9B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87207AB">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12AC09E6">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6351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9E2B7">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6BD1C">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9A416">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E5E648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组织召开项目推进专题会议</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F1AB81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BE74494">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2DD282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E85964">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3</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0CF8E3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3212BD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45A1BBBD">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015B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8E16F">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9F98D">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8E81A">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15218E88">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推进项目竣工完成个数</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1229B0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6073DF3">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12</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B0FA26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8EF99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15</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ADDA298">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9B75D14">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3F277AA1">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730A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522B2">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DC43C">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7769D">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2CFC237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加快推进续建项目个数</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51A9D5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D159E8B">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21</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0A2E93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3A484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21</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1D7D05C">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76501AE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0A6DB87B">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2888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8A987">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C362B">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3BC75B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质量指标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6495A02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完成市固定资产投资增长</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4D434F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3B5151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56646D7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FD6DC4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-15.00%</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BFD316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0EAECB0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37E9501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重大项目推进缓慢；新增投资较小，入库支撑不足</w:t>
            </w:r>
          </w:p>
        </w:tc>
      </w:tr>
      <w:tr w14:paraId="389A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BC1E6">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C0A4F">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18F7EB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时效指标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FDBEC1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项目按期完工率</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F0351B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2635AF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E3E734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72C1BA">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479E98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012442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633C31E7">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3E26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F13B8">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7D95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效益指标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E50A43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经济效益指标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0DCBBC0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务工群众人均收入增长率</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D30A67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C86AD0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70E7B12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F946C7">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300</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BD237F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573F57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764A4C84">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7217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C38A4">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7A768">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A61790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社会效益指标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33C4F1A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项目建成新增就业岗位个数</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B7E663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26200F8">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21B502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8BBB7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500</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D1CF9A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3D38B2A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7156048E">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6CC3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425F6">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6E75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满意度指标</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FBBF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服务对象满意度指标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11F798AB">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实施单位工作满意度</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4D23A6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733309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67F5C824">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BFD83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CD4448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E856B5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2CAE4222">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1EFF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4ABEF">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A2B3B">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0ADF1">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72DCADD3">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收益群众满意度</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2D0D738">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2E479E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45629C83">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8CE9F2">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FF5F36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29F0D30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0ACD28AF">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41AF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5A20D">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4B2DB">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成本指标</w:t>
            </w:r>
          </w:p>
        </w:tc>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3033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经济成本指标</w:t>
            </w: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769816F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完成投资管理所需经费控制在财政预算范围内</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767EA6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5889D3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35</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5A231FB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010336E">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35</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01515A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43C132B7">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3B7D5439">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1DA7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738C5">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B0C5A">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804B3">
            <w:pPr>
              <w:keepNext w:val="0"/>
              <w:keepLines w:val="0"/>
              <w:pageBreakBefore w:val="0"/>
              <w:widowControl/>
              <w:kinsoku/>
              <w:wordWrap/>
              <w:overflowPunct/>
              <w:topLinePunct w:val="0"/>
              <w:bidi w:val="0"/>
              <w:snapToGrid/>
              <w:spacing w:beforeLines="0" w:afterLines="0" w:line="200" w:lineRule="exact"/>
              <w:jc w:val="center"/>
              <w:rPr>
                <w:rFonts w:hint="eastAsia" w:ascii="宋体" w:hAnsi="宋体" w:eastAsia="宋体" w:cs="宋体"/>
                <w:i w:val="0"/>
                <w:iCs w:val="0"/>
                <w:color w:val="000000"/>
                <w:sz w:val="15"/>
                <w:szCs w:val="15"/>
                <w:u w:val="none"/>
              </w:rPr>
            </w:pPr>
          </w:p>
        </w:tc>
        <w:tc>
          <w:tcPr>
            <w:tcW w:w="2354" w:type="dxa"/>
            <w:tcBorders>
              <w:top w:val="single" w:color="000000" w:sz="4" w:space="0"/>
              <w:left w:val="single" w:color="000000" w:sz="4" w:space="0"/>
              <w:bottom w:val="single" w:color="000000" w:sz="4" w:space="0"/>
              <w:right w:val="single" w:color="000000" w:sz="4" w:space="0"/>
            </w:tcBorders>
            <w:noWrap w:val="0"/>
            <w:vAlign w:val="center"/>
          </w:tcPr>
          <w:p w14:paraId="671D9EB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完成项目保障所需经费控制在财政预算范围内</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7EADD44">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D213461">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35</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131C7C5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BE620AF">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35</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8B5B47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E106505">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1D278CFA">
            <w:pPr>
              <w:keepNext w:val="0"/>
              <w:keepLines w:val="0"/>
              <w:pageBreakBefore w:val="0"/>
              <w:widowControl/>
              <w:kinsoku/>
              <w:wordWrap/>
              <w:overflowPunct/>
              <w:topLinePunct w:val="0"/>
              <w:bidi w:val="0"/>
              <w:snapToGrid/>
              <w:spacing w:beforeLines="0" w:afterLines="0" w:line="200" w:lineRule="exact"/>
              <w:jc w:val="center"/>
              <w:rPr>
                <w:rFonts w:hint="eastAsia" w:ascii="微软雅黑" w:hAnsi="微软雅黑" w:eastAsia="微软雅黑" w:cs="微软雅黑"/>
                <w:i/>
                <w:iCs/>
                <w:color w:val="000000"/>
                <w:sz w:val="15"/>
                <w:szCs w:val="15"/>
                <w:u w:val="none"/>
              </w:rPr>
            </w:pPr>
          </w:p>
        </w:tc>
      </w:tr>
      <w:tr w14:paraId="544B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11013" w:type="dxa"/>
            <w:gridSpan w:val="8"/>
            <w:tcBorders>
              <w:top w:val="single" w:color="000000" w:sz="4" w:space="0"/>
              <w:left w:val="single" w:color="000000" w:sz="4" w:space="0"/>
              <w:bottom w:val="single" w:color="000000" w:sz="4" w:space="0"/>
              <w:right w:val="single" w:color="000000" w:sz="4" w:space="0"/>
            </w:tcBorders>
            <w:noWrap w:val="0"/>
            <w:vAlign w:val="center"/>
          </w:tcPr>
          <w:p w14:paraId="138052D7">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7705956">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noWrap w:val="0"/>
            <w:vAlign w:val="center"/>
          </w:tcPr>
          <w:p w14:paraId="57A57E14">
            <w:pPr>
              <w:keepNext w:val="0"/>
              <w:keepLines w:val="0"/>
              <w:pageBreakBefore w:val="0"/>
              <w:widowControl/>
              <w:suppressLineNumbers w:val="0"/>
              <w:kinsoku/>
              <w:wordWrap/>
              <w:overflowPunct/>
              <w:topLinePunct w:val="0"/>
              <w:bidi w:val="0"/>
              <w:snapToGrid/>
              <w:spacing w:beforeLines="0" w:afterLines="0" w:line="200" w:lineRule="exact"/>
              <w:jc w:val="righ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93</w:t>
            </w:r>
          </w:p>
        </w:tc>
        <w:tc>
          <w:tcPr>
            <w:tcW w:w="2492" w:type="dxa"/>
            <w:tcBorders>
              <w:top w:val="single" w:color="000000" w:sz="4" w:space="0"/>
              <w:left w:val="single" w:color="000000" w:sz="4" w:space="0"/>
              <w:bottom w:val="single" w:color="000000" w:sz="4" w:space="0"/>
              <w:right w:val="single" w:color="000000" w:sz="4" w:space="0"/>
            </w:tcBorders>
            <w:noWrap w:val="0"/>
            <w:vAlign w:val="center"/>
          </w:tcPr>
          <w:p w14:paraId="13D09B1A">
            <w:pPr>
              <w:keepNext w:val="0"/>
              <w:keepLines w:val="0"/>
              <w:pageBreakBefore w:val="0"/>
              <w:widowControl/>
              <w:kinsoku/>
              <w:wordWrap/>
              <w:overflowPunct/>
              <w:topLinePunct w:val="0"/>
              <w:bidi w:val="0"/>
              <w:snapToGrid/>
              <w:spacing w:beforeLines="0" w:afterLines="0" w:line="200" w:lineRule="exact"/>
              <w:rPr>
                <w:rFonts w:hint="eastAsia" w:ascii="宋体" w:hAnsi="宋体" w:eastAsia="宋体" w:cs="宋体"/>
                <w:i w:val="0"/>
                <w:iCs w:val="0"/>
                <w:color w:val="000000"/>
                <w:sz w:val="15"/>
                <w:szCs w:val="15"/>
                <w:u w:val="none"/>
              </w:rPr>
            </w:pPr>
          </w:p>
        </w:tc>
      </w:tr>
      <w:tr w14:paraId="4C20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D1440A0">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评价结论</w:t>
            </w:r>
          </w:p>
        </w:tc>
        <w:tc>
          <w:tcPr>
            <w:tcW w:w="13648" w:type="dxa"/>
            <w:gridSpan w:val="10"/>
            <w:tcBorders>
              <w:top w:val="single" w:color="000000" w:sz="4" w:space="0"/>
              <w:left w:val="single" w:color="000000" w:sz="4" w:space="0"/>
              <w:bottom w:val="single" w:color="000000" w:sz="4" w:space="0"/>
              <w:right w:val="single" w:color="000000" w:sz="4" w:space="0"/>
            </w:tcBorders>
            <w:noWrap w:val="0"/>
            <w:vAlign w:val="center"/>
          </w:tcPr>
          <w:p w14:paraId="6A74CC65">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年度推进白果二期风电项目、泽瑞堂家居地板生产项目等15个竣工项目顺利完工，国道212昭化城区过境公路(含韩家垭隧道)等113个项目集中开工，美好世家智能家具生产项目等21个续建项目加快推进，群众满意度大幅提升</w:t>
            </w:r>
          </w:p>
        </w:tc>
      </w:tr>
      <w:tr w14:paraId="1545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3139489">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存在问题</w:t>
            </w:r>
          </w:p>
        </w:tc>
        <w:tc>
          <w:tcPr>
            <w:tcW w:w="13648" w:type="dxa"/>
            <w:gridSpan w:val="10"/>
            <w:tcBorders>
              <w:top w:val="single" w:color="000000" w:sz="4" w:space="0"/>
              <w:left w:val="single" w:color="000000" w:sz="4" w:space="0"/>
              <w:bottom w:val="single" w:color="000000" w:sz="4" w:space="0"/>
              <w:right w:val="single" w:color="000000" w:sz="4" w:space="0"/>
            </w:tcBorders>
            <w:noWrap w:val="0"/>
            <w:vAlign w:val="center"/>
          </w:tcPr>
          <w:p w14:paraId="0C230A2A">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受重大项目推进缓慢；新增投资较小，入库支撑不足；在库项目报数质量不优，月均出数较低等原因影响，全年区本级固定资产投资增速为负数。</w:t>
            </w:r>
          </w:p>
        </w:tc>
      </w:tr>
      <w:tr w14:paraId="4C72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92298FD">
            <w:pPr>
              <w:keepNext w:val="0"/>
              <w:keepLines w:val="0"/>
              <w:pageBreakBefore w:val="0"/>
              <w:widowControl/>
              <w:suppressLineNumbers w:val="0"/>
              <w:kinsoku/>
              <w:wordWrap/>
              <w:overflowPunct/>
              <w:topLinePunct w:val="0"/>
              <w:bidi w:val="0"/>
              <w:snapToGrid/>
              <w:spacing w:beforeLines="0" w:afterLines="0" w:line="20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改进措施</w:t>
            </w:r>
          </w:p>
        </w:tc>
        <w:tc>
          <w:tcPr>
            <w:tcW w:w="13648" w:type="dxa"/>
            <w:gridSpan w:val="10"/>
            <w:tcBorders>
              <w:top w:val="single" w:color="000000" w:sz="4" w:space="0"/>
              <w:left w:val="single" w:color="000000" w:sz="4" w:space="0"/>
              <w:bottom w:val="single" w:color="000000" w:sz="4" w:space="0"/>
              <w:right w:val="single" w:color="000000" w:sz="4" w:space="0"/>
            </w:tcBorders>
            <w:noWrap w:val="0"/>
            <w:vAlign w:val="center"/>
          </w:tcPr>
          <w:p w14:paraId="4A0EB3C1">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突出重点，稳中求进。全力协调、助推四川鲁丽绿色数智家居产业园项目各子项目按时间线入库入统，保住全区投资基本盘。抓大也不能放小，督促各责任单位加快前期工作，力争实现项目早开工，早入库，有效支撑投资任务完成。</w:t>
            </w:r>
          </w:p>
        </w:tc>
      </w:tr>
      <w:tr w14:paraId="64DC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7814" w:type="dxa"/>
            <w:gridSpan w:val="5"/>
            <w:tcBorders>
              <w:top w:val="single" w:color="000000" w:sz="4" w:space="0"/>
              <w:left w:val="single" w:color="000000" w:sz="4" w:space="0"/>
              <w:bottom w:val="single" w:color="000000" w:sz="4" w:space="0"/>
              <w:right w:val="single" w:color="000000" w:sz="4" w:space="0"/>
            </w:tcBorders>
            <w:noWrap w:val="0"/>
            <w:vAlign w:val="center"/>
          </w:tcPr>
          <w:p w14:paraId="572ADD38">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项目负责人：易大诚</w:t>
            </w:r>
          </w:p>
        </w:tc>
        <w:tc>
          <w:tcPr>
            <w:tcW w:w="6865" w:type="dxa"/>
            <w:gridSpan w:val="6"/>
            <w:tcBorders>
              <w:top w:val="single" w:color="000000" w:sz="4" w:space="0"/>
              <w:left w:val="single" w:color="000000" w:sz="4" w:space="0"/>
              <w:bottom w:val="single" w:color="000000" w:sz="4" w:space="0"/>
              <w:right w:val="single" w:color="000000" w:sz="4" w:space="0"/>
            </w:tcBorders>
            <w:noWrap w:val="0"/>
            <w:vAlign w:val="center"/>
          </w:tcPr>
          <w:p w14:paraId="5A907CDE">
            <w:pPr>
              <w:keepNext w:val="0"/>
              <w:keepLines w:val="0"/>
              <w:pageBreakBefore w:val="0"/>
              <w:widowControl/>
              <w:suppressLineNumbers w:val="0"/>
              <w:kinsoku/>
              <w:wordWrap/>
              <w:overflowPunct/>
              <w:topLinePunct w:val="0"/>
              <w:bidi w:val="0"/>
              <w:snapToGrid/>
              <w:spacing w:beforeLines="0" w:afterLines="0"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财务负责人：祖领会</w:t>
            </w:r>
          </w:p>
        </w:tc>
      </w:tr>
    </w:tbl>
    <w:p w14:paraId="75B33551">
      <w:pPr>
        <w:pStyle w:val="7"/>
        <w:keepNext w:val="0"/>
        <w:keepLines w:val="0"/>
        <w:pageBreakBefore w:val="0"/>
        <w:widowControl w:val="0"/>
        <w:kinsoku/>
        <w:wordWrap/>
        <w:bidi w:val="0"/>
        <w:snapToGrid/>
        <w:spacing w:line="576" w:lineRule="exact"/>
        <w:jc w:val="center"/>
        <w:textAlignment w:val="auto"/>
        <w:rPr>
          <w:rFonts w:hint="eastAsia" w:ascii="仿宋_GB2312" w:hAnsi="仿宋_GB2312" w:eastAsia="仿宋_GB2312"/>
          <w:b w:val="0"/>
          <w:bCs w:val="0"/>
          <w:color w:val="C00000"/>
          <w:kern w:val="2"/>
          <w:sz w:val="32"/>
          <w:szCs w:val="24"/>
          <w:highlight w:val="none"/>
          <w:lang w:val="en-US"/>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bl>
      <w:tblPr>
        <w:tblStyle w:val="18"/>
        <w:tblW w:w="14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2085"/>
        <w:gridCol w:w="1801"/>
        <w:gridCol w:w="2298"/>
        <w:gridCol w:w="528"/>
        <w:gridCol w:w="1701"/>
        <w:gridCol w:w="535"/>
        <w:gridCol w:w="1106"/>
        <w:gridCol w:w="511"/>
        <w:gridCol w:w="461"/>
        <w:gridCol w:w="2601"/>
      </w:tblGrid>
      <w:tr w14:paraId="5890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3037" w:type="dxa"/>
            <w:gridSpan w:val="2"/>
            <w:tcBorders>
              <w:top w:val="single" w:color="000000" w:sz="4" w:space="0"/>
              <w:left w:val="single" w:color="000000" w:sz="4" w:space="0"/>
              <w:bottom w:val="single" w:color="000000" w:sz="4" w:space="0"/>
              <w:right w:val="single" w:color="000000" w:sz="4" w:space="0"/>
            </w:tcBorders>
            <w:noWrap w:val="0"/>
            <w:vAlign w:val="center"/>
          </w:tcPr>
          <w:p w14:paraId="52F809E4">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项目名称</w:t>
            </w:r>
          </w:p>
        </w:tc>
        <w:tc>
          <w:tcPr>
            <w:tcW w:w="11542" w:type="dxa"/>
            <w:gridSpan w:val="9"/>
            <w:tcBorders>
              <w:top w:val="single" w:color="000000" w:sz="4" w:space="0"/>
              <w:left w:val="single" w:color="000000" w:sz="4" w:space="0"/>
              <w:bottom w:val="single" w:color="000000" w:sz="4" w:space="0"/>
              <w:right w:val="single" w:color="000000" w:sz="4" w:space="0"/>
            </w:tcBorders>
            <w:noWrap w:val="0"/>
            <w:vAlign w:val="center"/>
          </w:tcPr>
          <w:p w14:paraId="2080A4DA">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51081122T000005069719-项目前期工作经费</w:t>
            </w:r>
          </w:p>
        </w:tc>
      </w:tr>
      <w:tr w14:paraId="0CF6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3037" w:type="dxa"/>
            <w:gridSpan w:val="2"/>
            <w:tcBorders>
              <w:top w:val="single" w:color="000000" w:sz="4" w:space="0"/>
              <w:left w:val="single" w:color="000000" w:sz="4" w:space="0"/>
              <w:bottom w:val="single" w:color="000000" w:sz="4" w:space="0"/>
              <w:right w:val="single" w:color="000000" w:sz="4" w:space="0"/>
            </w:tcBorders>
            <w:noWrap w:val="0"/>
            <w:vAlign w:val="center"/>
          </w:tcPr>
          <w:p w14:paraId="6BADEB2F">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主管部门</w:t>
            </w:r>
          </w:p>
        </w:tc>
        <w:tc>
          <w:tcPr>
            <w:tcW w:w="6863" w:type="dxa"/>
            <w:gridSpan w:val="5"/>
            <w:tcBorders>
              <w:top w:val="single" w:color="000000" w:sz="4" w:space="0"/>
              <w:left w:val="single" w:color="000000" w:sz="4" w:space="0"/>
              <w:bottom w:val="single" w:color="000000" w:sz="4" w:space="0"/>
              <w:right w:val="single" w:color="000000" w:sz="4" w:space="0"/>
            </w:tcBorders>
            <w:noWrap w:val="0"/>
            <w:vAlign w:val="center"/>
          </w:tcPr>
          <w:p w14:paraId="6D5BFAD4">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广元市昭化区发展和改革局部门</w:t>
            </w:r>
          </w:p>
        </w:tc>
        <w:tc>
          <w:tcPr>
            <w:tcW w:w="1106" w:type="dxa"/>
            <w:tcBorders>
              <w:top w:val="nil"/>
              <w:left w:val="nil"/>
              <w:bottom w:val="nil"/>
              <w:right w:val="nil"/>
            </w:tcBorders>
            <w:noWrap w:val="0"/>
            <w:vAlign w:val="center"/>
          </w:tcPr>
          <w:p w14:paraId="26A7737A">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573" w:type="dxa"/>
            <w:gridSpan w:val="3"/>
            <w:tcBorders>
              <w:top w:val="single" w:color="000000" w:sz="4" w:space="0"/>
              <w:left w:val="single" w:color="000000" w:sz="4" w:space="0"/>
              <w:bottom w:val="single" w:color="000000" w:sz="4" w:space="0"/>
              <w:right w:val="single" w:color="000000" w:sz="4" w:space="0"/>
            </w:tcBorders>
            <w:noWrap w:val="0"/>
            <w:vAlign w:val="center"/>
          </w:tcPr>
          <w:p w14:paraId="6F2848A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w:t>
            </w:r>
          </w:p>
        </w:tc>
      </w:tr>
      <w:tr w14:paraId="5394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48008">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项目基本情况</w:t>
            </w:r>
          </w:p>
        </w:tc>
        <w:tc>
          <w:tcPr>
            <w:tcW w:w="2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14DCB">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1.项目年度目标完成情况</w:t>
            </w:r>
          </w:p>
        </w:tc>
        <w:tc>
          <w:tcPr>
            <w:tcW w:w="6863" w:type="dxa"/>
            <w:gridSpan w:val="5"/>
            <w:tcBorders>
              <w:top w:val="single" w:color="000000" w:sz="4" w:space="0"/>
              <w:left w:val="single" w:color="000000" w:sz="4" w:space="0"/>
              <w:bottom w:val="single" w:color="000000" w:sz="4" w:space="0"/>
              <w:right w:val="single" w:color="000000" w:sz="4" w:space="0"/>
            </w:tcBorders>
            <w:noWrap w:val="0"/>
            <w:vAlign w:val="center"/>
          </w:tcPr>
          <w:p w14:paraId="6EF82C5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项目年度目标</w:t>
            </w:r>
          </w:p>
        </w:tc>
        <w:tc>
          <w:tcPr>
            <w:tcW w:w="4679" w:type="dxa"/>
            <w:gridSpan w:val="4"/>
            <w:tcBorders>
              <w:top w:val="single" w:color="000000" w:sz="4" w:space="0"/>
              <w:left w:val="single" w:color="000000" w:sz="4" w:space="0"/>
              <w:bottom w:val="single" w:color="000000" w:sz="4" w:space="0"/>
              <w:right w:val="single" w:color="000000" w:sz="4" w:space="0"/>
            </w:tcBorders>
            <w:noWrap w:val="0"/>
            <w:vAlign w:val="center"/>
          </w:tcPr>
          <w:p w14:paraId="1AC610E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年度目标完成情况</w:t>
            </w:r>
          </w:p>
        </w:tc>
      </w:tr>
      <w:tr w14:paraId="09DF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4E3C8">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0AF72">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6863" w:type="dxa"/>
            <w:gridSpan w:val="5"/>
            <w:tcBorders>
              <w:top w:val="single" w:color="000000" w:sz="4" w:space="0"/>
              <w:left w:val="single" w:color="000000" w:sz="4" w:space="0"/>
              <w:bottom w:val="single" w:color="000000" w:sz="4" w:space="0"/>
              <w:right w:val="single" w:color="000000" w:sz="4" w:space="0"/>
            </w:tcBorders>
            <w:noWrap w:val="0"/>
            <w:vAlign w:val="center"/>
          </w:tcPr>
          <w:p w14:paraId="7E9B88CF">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为不断提高储备项目成熟度，为成功争取上级各类资金奠定坚实基础。前期投资建设采煤沉陷区任家湾集中安置区、柏林湖国家湿地公园保护与修复项目、昭化区采煤沉陷区避险搬迁（二期）等15个项目，全年重大项目集中开工不少于4次，项目实施合格率及完成及时率均达到98%，入库项目前期科研编制、设计规划等费用控制在财政预算500万元内，实现农民每月增收不少于200元，项目建成后丰富居民文化生活，提高居民生活环境质量。</w:t>
            </w:r>
          </w:p>
        </w:tc>
        <w:tc>
          <w:tcPr>
            <w:tcW w:w="4679" w:type="dxa"/>
            <w:gridSpan w:val="4"/>
            <w:tcBorders>
              <w:top w:val="single" w:color="000000" w:sz="4" w:space="0"/>
              <w:left w:val="single" w:color="000000" w:sz="4" w:space="0"/>
              <w:bottom w:val="single" w:color="000000" w:sz="4" w:space="0"/>
              <w:right w:val="single" w:color="000000" w:sz="4" w:space="0"/>
            </w:tcBorders>
            <w:noWrap w:val="0"/>
            <w:vAlign w:val="center"/>
          </w:tcPr>
          <w:p w14:paraId="732CC775">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围绕国家重点投资领域，滚动谋划储备项目344个、总投资1574.9亿元。举办重大项目现场推进活动4次，集中开工重点项目113个、总投资107.5亿元。支持45个项目开展可研、初设等前期工作建设，争取到位各类政策性资金8.57亿元。</w:t>
            </w:r>
          </w:p>
        </w:tc>
      </w:tr>
      <w:tr w14:paraId="18AB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A5831">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4809EA8">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2.项目实施内容及过程概述</w:t>
            </w:r>
          </w:p>
        </w:tc>
        <w:tc>
          <w:tcPr>
            <w:tcW w:w="11542" w:type="dxa"/>
            <w:gridSpan w:val="9"/>
            <w:tcBorders>
              <w:top w:val="single" w:color="000000" w:sz="4" w:space="0"/>
              <w:left w:val="single" w:color="000000" w:sz="4" w:space="0"/>
              <w:bottom w:val="single" w:color="000000" w:sz="4" w:space="0"/>
              <w:right w:val="single" w:color="000000" w:sz="4" w:space="0"/>
            </w:tcBorders>
            <w:noWrap w:val="0"/>
            <w:vAlign w:val="center"/>
          </w:tcPr>
          <w:p w14:paraId="5A6E1632">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支持S205昭化区摆宴至射箭段改线工程、广元市昭化城区欧家河片区内涝治理项目等45个项目开展可研编制、项目选址论证报告、初步设计等前期工作，争取到位上级政策资金8.57亿元。</w:t>
            </w:r>
          </w:p>
        </w:tc>
      </w:tr>
      <w:tr w14:paraId="4C9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2382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预算执行情况（10分）</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F2640D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年度预算数（万元）</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3819DFC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年初预算</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250978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调整后预算数</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728DBE1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预算执行数</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0D9FF2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预算执行率</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0CE67FA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75E6789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A7C4A2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原因</w:t>
            </w:r>
          </w:p>
        </w:tc>
      </w:tr>
      <w:tr w14:paraId="3B8B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309C2">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4EC5C2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总额</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05C764B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2,000.00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0E02A3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2,264.44</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5B13C11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388.01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7EA936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17.14%</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6D7AE3C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33BE7A6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EFF5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资金暂未拨付，其中264.44万元为上年结转资金。</w:t>
            </w:r>
          </w:p>
        </w:tc>
      </w:tr>
      <w:tr w14:paraId="4FEB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39EEB">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B5A541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其中：财政资金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124470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2,000.00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DB97D2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2,264.44</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3D6FC26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388.01</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BE641F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17.14%</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4B15AF5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3F033BC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E0FDD">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r>
      <w:tr w14:paraId="7347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76570">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3B30A5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财政专户管理资金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ADE979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3F9B24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5260203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2458DF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1151417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3D9DF7B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38918">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r>
      <w:tr w14:paraId="20F5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050E8">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A08B04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单位资金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A5C080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8E3D46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48EC422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C24E08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C068DD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5D907E6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58A34">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r>
      <w:tr w14:paraId="41A6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494BD">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887EB8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其他资金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AE03310">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EA62D88">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265C1CD1">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C4B9AAD">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B3C371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708A1AD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5966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r>
      <w:tr w14:paraId="0F0E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2939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绩效指标（90分）</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425DA2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一级指标</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115643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二级指标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EEBE14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三级指标</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043B356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指标性质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6EB8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指标值</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B0402C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度量单位</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5C3387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完成值</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65935D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461FD10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1AACEF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未完成原因分析</w:t>
            </w:r>
          </w:p>
        </w:tc>
      </w:tr>
      <w:tr w14:paraId="0EDD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1FA8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031C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产出指标</w:t>
            </w:r>
          </w:p>
        </w:tc>
        <w:tc>
          <w:tcPr>
            <w:tcW w:w="18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6045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数量指标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3AB781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储备项目总投资</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3254F88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4E0364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1300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6EE8379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亿元</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650421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1574.9</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E52226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6BB3F3F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485A03A">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34DB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5A55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77262">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A146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2FA817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全年重大项目集中开工次数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15781FC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6B3EF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4</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747E97A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6F6975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4</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6A7EFEF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5272E9D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EEAEFC1">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33F4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987E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6BC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8139B">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2C1473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储备项目个数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3B94382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F15AD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497BDD8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B5F402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344</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2F8A63A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35ABBFD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3CE46DE">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365F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4671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FC23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9ACFA">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455A18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前期投资建设项目个数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0D73B7B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D261F2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33</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653FBF7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19BDFD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45</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6235F5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5CD4D9F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BD50504">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4E55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96959">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579A6">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6D6787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质量指标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002305C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前期项目开工转化率</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0A54B8C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10F832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40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78D55C6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EE518E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80</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0DB4354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7E87284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7276069">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28D8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3086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15594">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2407526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时效指标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863545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项目按时完成率</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6077058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71863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7D2A7C1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1B7C56D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179D40B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7BB1CA4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5A8BCFA">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31C3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11F2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4DEA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效益指标</w:t>
            </w:r>
          </w:p>
        </w:tc>
        <w:tc>
          <w:tcPr>
            <w:tcW w:w="18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1D62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经济效益指标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40CA4A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农村人均可支配收入增长率</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2AF70E0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0BB27C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0B7D89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13B945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4D212AD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4D0BE10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7E665C35">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0E95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25569">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4799A">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630D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1A7DC2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争取上级项目补助资金</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0300D2F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F4166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4E7774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亿元</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519A1D1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8.57</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347415E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4714D80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3E04E88">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397D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E4638">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CBC7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12595D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社会效益指标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28C80A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新增就业岗位数量</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3E38341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9B1D50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6EC3773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BD5724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5597B09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6352014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9CBDC14">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B3A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E9C6">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106011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满意度指标</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70DDE1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服务对象满意度指标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135413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收益群众满意度</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75990F7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34E9B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94DFEB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3F536D4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2B9AF5A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3340BDC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73B3B02">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BF2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CC10F">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725E84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成本指标</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20CFC3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经济成本指标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11CAD3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项目前期工作成本控制额</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14:paraId="6BDED89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6551C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2000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2971382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6109B97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2000</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0A08071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30CED17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A9E89D6">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A0C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1006" w:type="dxa"/>
            <w:gridSpan w:val="8"/>
            <w:tcBorders>
              <w:top w:val="single" w:color="000000" w:sz="4" w:space="0"/>
              <w:left w:val="single" w:color="000000" w:sz="4" w:space="0"/>
              <w:bottom w:val="single" w:color="000000" w:sz="4" w:space="0"/>
              <w:right w:val="single" w:color="000000" w:sz="4" w:space="0"/>
            </w:tcBorders>
            <w:noWrap w:val="0"/>
            <w:vAlign w:val="center"/>
          </w:tcPr>
          <w:p w14:paraId="10F6528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合计</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14:paraId="156AD46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3D4D90E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90</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78F1A4F6">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r>
      <w:tr w14:paraId="271A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48C27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评价结论</w:t>
            </w:r>
          </w:p>
        </w:tc>
        <w:tc>
          <w:tcPr>
            <w:tcW w:w="13627" w:type="dxa"/>
            <w:gridSpan w:val="10"/>
            <w:tcBorders>
              <w:top w:val="single" w:color="000000" w:sz="4" w:space="0"/>
              <w:left w:val="single" w:color="000000" w:sz="4" w:space="0"/>
              <w:bottom w:val="single" w:color="000000" w:sz="4" w:space="0"/>
              <w:right w:val="single" w:color="000000" w:sz="4" w:space="0"/>
            </w:tcBorders>
            <w:noWrap w:val="0"/>
            <w:vAlign w:val="center"/>
          </w:tcPr>
          <w:p w14:paraId="27FCBACE">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 xml:space="preserve">    围绕基础设施、社会民生等国家重点投资领域，滚动谋划储备项目344个、总投资1574.9亿元。举办重大项目现场推进活动4次，集中开工重点项目113个、总投107.5亿元。支持45个项目开展可研、初设等前期工作建设，争取到位各类政策性资金8.57亿元，项目开工转化率达到80%，项目前期工作成本严格控制在2000万以内，新增就业岗位500个以上，群众满意大幅提升。自评总分为90分。</w:t>
            </w:r>
          </w:p>
        </w:tc>
      </w:tr>
      <w:tr w14:paraId="7C31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3676699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存在问题</w:t>
            </w:r>
          </w:p>
        </w:tc>
        <w:tc>
          <w:tcPr>
            <w:tcW w:w="13627" w:type="dxa"/>
            <w:gridSpan w:val="10"/>
            <w:tcBorders>
              <w:top w:val="single" w:color="000000" w:sz="4" w:space="0"/>
              <w:left w:val="single" w:color="000000" w:sz="4" w:space="0"/>
              <w:bottom w:val="single" w:color="000000" w:sz="4" w:space="0"/>
              <w:right w:val="single" w:color="000000" w:sz="4" w:space="0"/>
            </w:tcBorders>
            <w:noWrap w:val="0"/>
            <w:vAlign w:val="center"/>
          </w:tcPr>
          <w:p w14:paraId="3B412025">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B8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52" w:type="dxa"/>
            <w:tcBorders>
              <w:top w:val="single" w:color="000000" w:sz="4" w:space="0"/>
              <w:left w:val="single" w:color="000000" w:sz="4" w:space="0"/>
              <w:bottom w:val="single" w:color="000000" w:sz="4" w:space="0"/>
              <w:right w:val="single" w:color="000000" w:sz="4" w:space="0"/>
            </w:tcBorders>
            <w:noWrap w:val="0"/>
            <w:vAlign w:val="center"/>
          </w:tcPr>
          <w:p w14:paraId="19CA9B3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改进措施</w:t>
            </w:r>
          </w:p>
        </w:tc>
        <w:tc>
          <w:tcPr>
            <w:tcW w:w="13627" w:type="dxa"/>
            <w:gridSpan w:val="10"/>
            <w:tcBorders>
              <w:top w:val="single" w:color="000000" w:sz="4" w:space="0"/>
              <w:left w:val="single" w:color="000000" w:sz="4" w:space="0"/>
              <w:bottom w:val="single" w:color="000000" w:sz="4" w:space="0"/>
              <w:right w:val="single" w:color="000000" w:sz="4" w:space="0"/>
            </w:tcBorders>
            <w:noWrap w:val="0"/>
            <w:vAlign w:val="center"/>
          </w:tcPr>
          <w:p w14:paraId="42273D37">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B59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7664" w:type="dxa"/>
            <w:gridSpan w:val="5"/>
            <w:tcBorders>
              <w:top w:val="single" w:color="000000" w:sz="4" w:space="0"/>
              <w:left w:val="single" w:color="000000" w:sz="4" w:space="0"/>
              <w:bottom w:val="single" w:color="000000" w:sz="4" w:space="0"/>
              <w:right w:val="single" w:color="000000" w:sz="4" w:space="0"/>
            </w:tcBorders>
            <w:noWrap w:val="0"/>
            <w:vAlign w:val="center"/>
          </w:tcPr>
          <w:p w14:paraId="2D524640">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项目负责人：易大城</w:t>
            </w:r>
          </w:p>
        </w:tc>
        <w:tc>
          <w:tcPr>
            <w:tcW w:w="6915" w:type="dxa"/>
            <w:gridSpan w:val="6"/>
            <w:tcBorders>
              <w:top w:val="single" w:color="000000" w:sz="4" w:space="0"/>
              <w:left w:val="single" w:color="000000" w:sz="4" w:space="0"/>
              <w:bottom w:val="single" w:color="000000" w:sz="4" w:space="0"/>
              <w:right w:val="single" w:color="000000" w:sz="4" w:space="0"/>
            </w:tcBorders>
            <w:noWrap w:val="0"/>
            <w:vAlign w:val="center"/>
          </w:tcPr>
          <w:p w14:paraId="21A09F18">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财务负责人：祖领会</w:t>
            </w:r>
          </w:p>
        </w:tc>
      </w:tr>
    </w:tbl>
    <w:p w14:paraId="142FA4FB">
      <w:pPr>
        <w:pStyle w:val="7"/>
        <w:keepNext w:val="0"/>
        <w:keepLines w:val="0"/>
        <w:pageBreakBefore w:val="0"/>
        <w:widowControl w:val="0"/>
        <w:kinsoku/>
        <w:wordWrap/>
        <w:bidi w:val="0"/>
        <w:snapToGrid/>
        <w:spacing w:line="576" w:lineRule="exact"/>
        <w:jc w:val="center"/>
        <w:textAlignment w:val="auto"/>
        <w:rPr>
          <w:rFonts w:hint="eastAsia" w:ascii="仿宋_GB2312" w:hAnsi="仿宋_GB2312" w:eastAsia="仿宋_GB2312"/>
          <w:b w:val="0"/>
          <w:bCs w:val="0"/>
          <w:color w:val="C00000"/>
          <w:kern w:val="2"/>
          <w:sz w:val="32"/>
          <w:szCs w:val="24"/>
          <w:highlight w:val="none"/>
          <w:lang w:val="en-US"/>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bl>
      <w:tblPr>
        <w:tblStyle w:val="18"/>
        <w:tblW w:w="14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
        <w:gridCol w:w="2069"/>
        <w:gridCol w:w="1790"/>
        <w:gridCol w:w="2281"/>
        <w:gridCol w:w="524"/>
        <w:gridCol w:w="1691"/>
        <w:gridCol w:w="529"/>
        <w:gridCol w:w="1100"/>
        <w:gridCol w:w="508"/>
        <w:gridCol w:w="459"/>
        <w:gridCol w:w="2581"/>
      </w:tblGrid>
      <w:tr w14:paraId="5423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96" w:type="dxa"/>
            <w:gridSpan w:val="2"/>
            <w:tcBorders>
              <w:top w:val="single" w:color="000000" w:sz="4" w:space="0"/>
              <w:left w:val="single" w:color="000000" w:sz="4" w:space="0"/>
              <w:bottom w:val="single" w:color="000000" w:sz="4" w:space="0"/>
              <w:right w:val="single" w:color="000000" w:sz="4" w:space="0"/>
            </w:tcBorders>
            <w:noWrap w:val="0"/>
            <w:vAlign w:val="center"/>
          </w:tcPr>
          <w:p w14:paraId="10608028">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项目名称</w:t>
            </w:r>
          </w:p>
        </w:tc>
        <w:tc>
          <w:tcPr>
            <w:tcW w:w="11463" w:type="dxa"/>
            <w:gridSpan w:val="9"/>
            <w:tcBorders>
              <w:top w:val="single" w:color="000000" w:sz="4" w:space="0"/>
              <w:left w:val="single" w:color="000000" w:sz="4" w:space="0"/>
              <w:bottom w:val="single" w:color="000000" w:sz="4" w:space="0"/>
              <w:right w:val="single" w:color="000000" w:sz="4" w:space="0"/>
            </w:tcBorders>
            <w:noWrap w:val="0"/>
            <w:vAlign w:val="center"/>
          </w:tcPr>
          <w:p w14:paraId="20A9E681">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51081124T000011380175-招商引资工作经费</w:t>
            </w:r>
          </w:p>
        </w:tc>
      </w:tr>
      <w:tr w14:paraId="7F2A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96" w:type="dxa"/>
            <w:gridSpan w:val="2"/>
            <w:tcBorders>
              <w:top w:val="single" w:color="000000" w:sz="4" w:space="0"/>
              <w:left w:val="single" w:color="000000" w:sz="4" w:space="0"/>
              <w:bottom w:val="single" w:color="000000" w:sz="4" w:space="0"/>
              <w:right w:val="single" w:color="000000" w:sz="4" w:space="0"/>
            </w:tcBorders>
            <w:noWrap w:val="0"/>
            <w:vAlign w:val="center"/>
          </w:tcPr>
          <w:p w14:paraId="1575BA0B">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主管部门</w:t>
            </w:r>
          </w:p>
        </w:tc>
        <w:tc>
          <w:tcPr>
            <w:tcW w:w="6815" w:type="dxa"/>
            <w:gridSpan w:val="5"/>
            <w:tcBorders>
              <w:top w:val="single" w:color="000000" w:sz="4" w:space="0"/>
              <w:left w:val="single" w:color="000000" w:sz="4" w:space="0"/>
              <w:bottom w:val="single" w:color="000000" w:sz="4" w:space="0"/>
              <w:right w:val="single" w:color="000000" w:sz="4" w:space="0"/>
            </w:tcBorders>
            <w:noWrap w:val="0"/>
            <w:vAlign w:val="center"/>
          </w:tcPr>
          <w:p w14:paraId="0DC5828C">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广元市昭化区发展和改革局部门</w:t>
            </w:r>
          </w:p>
        </w:tc>
        <w:tc>
          <w:tcPr>
            <w:tcW w:w="1100" w:type="dxa"/>
            <w:tcBorders>
              <w:top w:val="nil"/>
              <w:left w:val="nil"/>
              <w:bottom w:val="nil"/>
              <w:right w:val="nil"/>
            </w:tcBorders>
            <w:noWrap w:val="0"/>
            <w:vAlign w:val="center"/>
          </w:tcPr>
          <w:p w14:paraId="4462E10E">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14:paraId="225857D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w:t>
            </w:r>
          </w:p>
        </w:tc>
      </w:tr>
      <w:tr w14:paraId="6211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D7E3E">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项目基本情况</w:t>
            </w:r>
          </w:p>
        </w:tc>
        <w:tc>
          <w:tcPr>
            <w:tcW w:w="2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CFCEB">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1.项目年度目标完成情况</w:t>
            </w:r>
          </w:p>
        </w:tc>
        <w:tc>
          <w:tcPr>
            <w:tcW w:w="6815" w:type="dxa"/>
            <w:gridSpan w:val="5"/>
            <w:tcBorders>
              <w:top w:val="single" w:color="000000" w:sz="4" w:space="0"/>
              <w:left w:val="single" w:color="000000" w:sz="4" w:space="0"/>
              <w:bottom w:val="single" w:color="000000" w:sz="4" w:space="0"/>
              <w:right w:val="single" w:color="000000" w:sz="4" w:space="0"/>
            </w:tcBorders>
            <w:noWrap w:val="0"/>
            <w:vAlign w:val="center"/>
          </w:tcPr>
          <w:p w14:paraId="2FDFFA4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项目年度目标</w:t>
            </w:r>
          </w:p>
        </w:tc>
        <w:tc>
          <w:tcPr>
            <w:tcW w:w="4648" w:type="dxa"/>
            <w:gridSpan w:val="4"/>
            <w:tcBorders>
              <w:top w:val="single" w:color="000000" w:sz="4" w:space="0"/>
              <w:left w:val="single" w:color="000000" w:sz="4" w:space="0"/>
              <w:bottom w:val="single" w:color="000000" w:sz="4" w:space="0"/>
              <w:right w:val="single" w:color="000000" w:sz="4" w:space="0"/>
            </w:tcBorders>
            <w:noWrap w:val="0"/>
            <w:vAlign w:val="center"/>
          </w:tcPr>
          <w:p w14:paraId="267E318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4DCE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4089C">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02E45">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6815" w:type="dxa"/>
            <w:gridSpan w:val="5"/>
            <w:tcBorders>
              <w:top w:val="single" w:color="000000" w:sz="4" w:space="0"/>
              <w:left w:val="single" w:color="000000" w:sz="4" w:space="0"/>
              <w:bottom w:val="single" w:color="000000" w:sz="4" w:space="0"/>
              <w:right w:val="single" w:color="000000" w:sz="4" w:space="0"/>
            </w:tcBorders>
            <w:noWrap w:val="0"/>
            <w:vAlign w:val="center"/>
          </w:tcPr>
          <w:p w14:paraId="7C888C84">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加快推进2024年全区政府性投资项目工作，全年完成招商引资项目不少于2个，完成招商引资资金任务不低于6000万元，引进优质企业投资，招商引资所需差旅费、办公费等费用成本控制在5万元内，企业利润年增长率不低于10%，社会公众满意度达到95%，为全面建设社会主义现代化昭化提供优质投资环境支撑。</w:t>
            </w:r>
          </w:p>
        </w:tc>
        <w:tc>
          <w:tcPr>
            <w:tcW w:w="4648" w:type="dxa"/>
            <w:gridSpan w:val="4"/>
            <w:tcBorders>
              <w:top w:val="single" w:color="000000" w:sz="4" w:space="0"/>
              <w:left w:val="single" w:color="000000" w:sz="4" w:space="0"/>
              <w:bottom w:val="single" w:color="000000" w:sz="4" w:space="0"/>
              <w:right w:val="single" w:color="000000" w:sz="4" w:space="0"/>
            </w:tcBorders>
            <w:noWrap w:val="0"/>
            <w:vAlign w:val="center"/>
          </w:tcPr>
          <w:p w14:paraId="5D582151">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全年完成招商引资项目于2个，完成招商引资资金任务6000万元，引进优质企业投资，招商引资所需差旅费、办公费等费用成本控制在  万元内，企业利润年增长率10%，社会公众满意度达到100%，</w:t>
            </w:r>
          </w:p>
        </w:tc>
      </w:tr>
      <w:tr w14:paraId="7D97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1634B">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5C311F8E">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2.项目实施内容及过程概述</w:t>
            </w:r>
          </w:p>
        </w:tc>
        <w:tc>
          <w:tcPr>
            <w:tcW w:w="11463" w:type="dxa"/>
            <w:gridSpan w:val="9"/>
            <w:tcBorders>
              <w:top w:val="single" w:color="000000" w:sz="4" w:space="0"/>
              <w:left w:val="single" w:color="000000" w:sz="4" w:space="0"/>
              <w:bottom w:val="single" w:color="000000" w:sz="4" w:space="0"/>
              <w:right w:val="single" w:color="000000" w:sz="4" w:space="0"/>
            </w:tcBorders>
            <w:noWrap w:val="0"/>
            <w:vAlign w:val="center"/>
          </w:tcPr>
          <w:p w14:paraId="10C8CCCC">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全年完成招商引资项目于2个，完成招商引资资金任务6000万元，引进优质企业投资，招商引资所需差旅费、办公费等费用成本控制在  万元内，企业利润年增长率10%，社会公众满意度达到100%,。</w:t>
            </w:r>
          </w:p>
        </w:tc>
      </w:tr>
      <w:tr w14:paraId="157C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BF2F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预算执行情况（10分）</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03E8930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年度预算数（万元）</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2586B07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年初预算</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2AF1ECF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调整后预算数</w:t>
            </w:r>
          </w:p>
        </w:tc>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14:paraId="2B85CD7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预算执行数</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C7670B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预算执行率</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B65082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7494F7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1D16F4D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原因</w:t>
            </w:r>
          </w:p>
        </w:tc>
      </w:tr>
      <w:tr w14:paraId="60C0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DE119">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2AF4C5E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总额</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4858A0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5E08991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w:t>
            </w:r>
          </w:p>
        </w:tc>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14:paraId="1048185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2.19</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60B189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21.91%</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755F57E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ED070A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w:t>
            </w:r>
          </w:p>
        </w:tc>
        <w:tc>
          <w:tcPr>
            <w:tcW w:w="25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53660">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调整后10万元，其中5万元为上年结转资金。</w:t>
            </w:r>
          </w:p>
        </w:tc>
      </w:tr>
      <w:tr w14:paraId="2B3A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872B1">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7BD6239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其中：财政资金</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7EFA0B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2DF9538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w:t>
            </w:r>
          </w:p>
        </w:tc>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14:paraId="492678F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2.19</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4E4E11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21.91%</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08BE796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E270DF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0E885">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54D5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1989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039BD02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财政专户管理资金</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6BA6516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16357E4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14:paraId="316D86F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E455F2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04C7F3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4DACFC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900AD">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12B9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939A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276C764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单位资金</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1100734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5EAC6DA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14:paraId="6DABD76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FF18C9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6E6A362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AFCAC5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02054">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58ED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E2FF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0D1A8B7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其他资金</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685D361">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7F2F9E78">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14:paraId="614AAF94">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CB555AB">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D00F05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C9BBA8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57F37">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0A9B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70682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绩效指标（90分）</w:t>
            </w: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2D26792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D067AA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二级指标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38AD638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110394F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指标性质</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92004A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指标值</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7210A10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度量单位</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0D55AB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完成值</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25394B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E36BBA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3717F53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未完成原因分析</w:t>
            </w:r>
          </w:p>
        </w:tc>
      </w:tr>
      <w:tr w14:paraId="2778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43692">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69998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D0AFF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数量指标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12AE303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全年完成招商引资金额</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0DCE7E0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FECFB8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6000</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67BF944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777E58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6000</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303122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E109E1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15</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37E01EBF">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0CE1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8742F">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7F0E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B38A8">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677893D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全年完成招商引资项目个数</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647FDFA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FE90D2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4573287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FEA5EB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5076D0E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82B01B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15</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1AD46B0C">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2371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DCA4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0AB40">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7219ED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质量指标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08B5D35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招商引资企业开工转化率</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2DC24C3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4A50FD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85</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2A213E2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80D036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85</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5CB7D33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252243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09825CB7">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F56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9B5E5">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8522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4162A0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时效指标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5537AD6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招商引资任务完成时限</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287AC1B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63C663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12</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6F6BAD4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月</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8DEB0E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12</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9539E4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6C3F0E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0702578">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07F8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713BA">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26D8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效益指标</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16D18D4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经济效益指标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25BD6F2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企业利润年增长率</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201CFFC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C94350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4341F88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B9D5C9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236A39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31ABCD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27BDAD6C">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3C63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F0836">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FA75B">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1FB3E65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可持续影响指标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268AF1E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可持续效果</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78BCC36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070F1F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4667B6A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378FBE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82BB02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13A31D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5D8EADC7">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81D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2053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328B4EC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满意度指标</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9215A6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满意度指标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7C08805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企业满意度</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716039A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5A8E84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11B0565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3D2B0F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6D9AA3B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200734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6F511E13">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5E0F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73490">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69" w:type="dxa"/>
            <w:tcBorders>
              <w:top w:val="single" w:color="000000" w:sz="4" w:space="0"/>
              <w:left w:val="single" w:color="000000" w:sz="4" w:space="0"/>
              <w:bottom w:val="single" w:color="000000" w:sz="4" w:space="0"/>
              <w:right w:val="single" w:color="000000" w:sz="4" w:space="0"/>
            </w:tcBorders>
            <w:noWrap w:val="0"/>
            <w:vAlign w:val="center"/>
          </w:tcPr>
          <w:p w14:paraId="2020F03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成本指标</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E1C3AE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经济成本指标</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44CFC47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招商引资所需经费控制额</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14:paraId="50156CB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CD0E11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732F7B1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9AC16B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5</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C9FBC9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780312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1DB503BB">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5193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11" w:type="dxa"/>
            <w:gridSpan w:val="8"/>
            <w:tcBorders>
              <w:top w:val="single" w:color="000000" w:sz="4" w:space="0"/>
              <w:left w:val="single" w:color="000000" w:sz="4" w:space="0"/>
              <w:bottom w:val="single" w:color="000000" w:sz="4" w:space="0"/>
              <w:right w:val="single" w:color="000000" w:sz="4" w:space="0"/>
            </w:tcBorders>
            <w:noWrap w:val="0"/>
            <w:vAlign w:val="center"/>
          </w:tcPr>
          <w:p w14:paraId="45C2373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合计</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72E04F5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2571B9D">
            <w:pPr>
              <w:keepNext w:val="0"/>
              <w:keepLines w:val="0"/>
              <w:pageBreakBefore w:val="0"/>
              <w:widowControl/>
              <w:suppressLineNumbers w:val="0"/>
              <w:kinsoku/>
              <w:wordWrap/>
              <w:overflowPunct/>
              <w:topLinePunct w:val="0"/>
              <w:bidi w:val="0"/>
              <w:snapToGrid/>
              <w:spacing w:beforeLines="0" w:afterLines="0" w:line="220" w:lineRule="exact"/>
              <w:jc w:val="righ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92</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3F7C2968">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r>
      <w:tr w14:paraId="6645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141A304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评价结论</w:t>
            </w:r>
          </w:p>
        </w:tc>
        <w:tc>
          <w:tcPr>
            <w:tcW w:w="13532" w:type="dxa"/>
            <w:gridSpan w:val="10"/>
            <w:tcBorders>
              <w:top w:val="single" w:color="000000" w:sz="4" w:space="0"/>
              <w:left w:val="single" w:color="000000" w:sz="4" w:space="0"/>
              <w:bottom w:val="single" w:color="000000" w:sz="4" w:space="0"/>
              <w:right w:val="single" w:color="000000" w:sz="4" w:space="0"/>
            </w:tcBorders>
            <w:noWrap w:val="0"/>
            <w:vAlign w:val="center"/>
          </w:tcPr>
          <w:p w14:paraId="26C6AFA6">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通过引入外部资源全面推动区域经济社会的可持续发展，弥补本地建设与发展资金的不足，为基础设施建设、企业扩大生产等提供有力的资金支持，加速经济增长</w:t>
            </w:r>
          </w:p>
        </w:tc>
      </w:tr>
      <w:tr w14:paraId="06AE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589CBCC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存在问题</w:t>
            </w:r>
          </w:p>
        </w:tc>
        <w:tc>
          <w:tcPr>
            <w:tcW w:w="13532" w:type="dxa"/>
            <w:gridSpan w:val="10"/>
            <w:tcBorders>
              <w:top w:val="single" w:color="000000" w:sz="4" w:space="0"/>
              <w:left w:val="single" w:color="000000" w:sz="4" w:space="0"/>
              <w:bottom w:val="single" w:color="000000" w:sz="4" w:space="0"/>
              <w:right w:val="single" w:color="000000" w:sz="4" w:space="0"/>
            </w:tcBorders>
            <w:noWrap w:val="0"/>
            <w:vAlign w:val="center"/>
          </w:tcPr>
          <w:p w14:paraId="2AE418DA">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39D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1217018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改进措施</w:t>
            </w:r>
          </w:p>
        </w:tc>
        <w:tc>
          <w:tcPr>
            <w:tcW w:w="13532" w:type="dxa"/>
            <w:gridSpan w:val="10"/>
            <w:tcBorders>
              <w:top w:val="single" w:color="000000" w:sz="4" w:space="0"/>
              <w:left w:val="single" w:color="000000" w:sz="4" w:space="0"/>
              <w:bottom w:val="single" w:color="000000" w:sz="4" w:space="0"/>
              <w:right w:val="single" w:color="000000" w:sz="4" w:space="0"/>
            </w:tcBorders>
            <w:noWrap w:val="0"/>
            <w:vAlign w:val="center"/>
          </w:tcPr>
          <w:p w14:paraId="5321B8C4">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771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491" w:type="dxa"/>
            <w:gridSpan w:val="5"/>
            <w:tcBorders>
              <w:top w:val="single" w:color="000000" w:sz="4" w:space="0"/>
              <w:left w:val="single" w:color="000000" w:sz="4" w:space="0"/>
              <w:bottom w:val="single" w:color="000000" w:sz="4" w:space="0"/>
              <w:right w:val="single" w:color="000000" w:sz="4" w:space="0"/>
            </w:tcBorders>
            <w:noWrap w:val="0"/>
            <w:vAlign w:val="center"/>
          </w:tcPr>
          <w:p w14:paraId="7DFF05C6">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项目负责人：吴军</w:t>
            </w:r>
          </w:p>
        </w:tc>
        <w:tc>
          <w:tcPr>
            <w:tcW w:w="6868" w:type="dxa"/>
            <w:gridSpan w:val="6"/>
            <w:tcBorders>
              <w:top w:val="single" w:color="000000" w:sz="4" w:space="0"/>
              <w:left w:val="single" w:color="000000" w:sz="4" w:space="0"/>
              <w:bottom w:val="single" w:color="000000" w:sz="4" w:space="0"/>
              <w:right w:val="single" w:color="000000" w:sz="4" w:space="0"/>
            </w:tcBorders>
            <w:noWrap w:val="0"/>
            <w:vAlign w:val="center"/>
          </w:tcPr>
          <w:p w14:paraId="64337E50">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财务负责人：祖领会</w:t>
            </w:r>
          </w:p>
        </w:tc>
      </w:tr>
    </w:tbl>
    <w:p w14:paraId="017885E0">
      <w:pPr>
        <w:pStyle w:val="7"/>
        <w:keepNext w:val="0"/>
        <w:keepLines w:val="0"/>
        <w:pageBreakBefore w:val="0"/>
        <w:widowControl w:val="0"/>
        <w:kinsoku/>
        <w:wordWrap/>
        <w:bidi w:val="0"/>
        <w:snapToGrid/>
        <w:spacing w:line="576" w:lineRule="exact"/>
        <w:jc w:val="center"/>
        <w:textAlignment w:val="auto"/>
        <w:rPr>
          <w:rFonts w:hint="eastAsia" w:ascii="仿宋_GB2312" w:hAnsi="仿宋_GB2312" w:eastAsia="仿宋_GB2312"/>
          <w:b w:val="0"/>
          <w:bCs w:val="0"/>
          <w:color w:val="C00000"/>
          <w:kern w:val="2"/>
          <w:sz w:val="32"/>
          <w:szCs w:val="24"/>
          <w:highlight w:val="none"/>
          <w:lang w:val="en-US"/>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bl>
      <w:tblPr>
        <w:tblStyle w:val="18"/>
        <w:tblW w:w="145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
        <w:gridCol w:w="2084"/>
        <w:gridCol w:w="1802"/>
        <w:gridCol w:w="2298"/>
        <w:gridCol w:w="529"/>
        <w:gridCol w:w="1703"/>
        <w:gridCol w:w="532"/>
        <w:gridCol w:w="1110"/>
        <w:gridCol w:w="514"/>
        <w:gridCol w:w="494"/>
        <w:gridCol w:w="2597"/>
      </w:tblGrid>
      <w:tr w14:paraId="32EB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noWrap w:val="0"/>
            <w:vAlign w:val="center"/>
          </w:tcPr>
          <w:p w14:paraId="05FE4803">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项目名称</w:t>
            </w:r>
          </w:p>
        </w:tc>
        <w:tc>
          <w:tcPr>
            <w:tcW w:w="11579" w:type="dxa"/>
            <w:gridSpan w:val="9"/>
            <w:tcBorders>
              <w:top w:val="single" w:color="000000" w:sz="4" w:space="0"/>
              <w:left w:val="single" w:color="000000" w:sz="4" w:space="0"/>
              <w:bottom w:val="single" w:color="000000" w:sz="4" w:space="0"/>
              <w:right w:val="single" w:color="000000" w:sz="4" w:space="0"/>
            </w:tcBorders>
            <w:noWrap w:val="0"/>
            <w:vAlign w:val="center"/>
          </w:tcPr>
          <w:p w14:paraId="1878F185">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51081124T000011380187-争取项目资金工作经费</w:t>
            </w:r>
          </w:p>
        </w:tc>
      </w:tr>
      <w:tr w14:paraId="2DCE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2959" w:type="dxa"/>
            <w:gridSpan w:val="2"/>
            <w:tcBorders>
              <w:top w:val="single" w:color="000000" w:sz="4" w:space="0"/>
              <w:left w:val="single" w:color="000000" w:sz="4" w:space="0"/>
              <w:bottom w:val="single" w:color="000000" w:sz="4" w:space="0"/>
              <w:right w:val="single" w:color="000000" w:sz="4" w:space="0"/>
            </w:tcBorders>
            <w:noWrap w:val="0"/>
            <w:vAlign w:val="center"/>
          </w:tcPr>
          <w:p w14:paraId="6544BD41">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主管部门</w:t>
            </w:r>
          </w:p>
        </w:tc>
        <w:tc>
          <w:tcPr>
            <w:tcW w:w="6864" w:type="dxa"/>
            <w:gridSpan w:val="5"/>
            <w:tcBorders>
              <w:top w:val="single" w:color="000000" w:sz="4" w:space="0"/>
              <w:left w:val="single" w:color="000000" w:sz="4" w:space="0"/>
              <w:bottom w:val="single" w:color="000000" w:sz="4" w:space="0"/>
              <w:right w:val="single" w:color="000000" w:sz="4" w:space="0"/>
            </w:tcBorders>
            <w:noWrap w:val="0"/>
            <w:vAlign w:val="center"/>
          </w:tcPr>
          <w:p w14:paraId="7343D142">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广元市昭化区发展和改革局部门</w:t>
            </w:r>
          </w:p>
        </w:tc>
        <w:tc>
          <w:tcPr>
            <w:tcW w:w="1110" w:type="dxa"/>
            <w:tcBorders>
              <w:top w:val="nil"/>
              <w:left w:val="nil"/>
              <w:bottom w:val="nil"/>
              <w:right w:val="nil"/>
            </w:tcBorders>
            <w:noWrap w:val="0"/>
            <w:vAlign w:val="center"/>
          </w:tcPr>
          <w:p w14:paraId="6B591349">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605" w:type="dxa"/>
            <w:gridSpan w:val="3"/>
            <w:tcBorders>
              <w:top w:val="single" w:color="000000" w:sz="4" w:space="0"/>
              <w:left w:val="single" w:color="000000" w:sz="4" w:space="0"/>
              <w:bottom w:val="single" w:color="000000" w:sz="4" w:space="0"/>
              <w:right w:val="single" w:color="000000" w:sz="4" w:space="0"/>
            </w:tcBorders>
            <w:noWrap w:val="0"/>
            <w:vAlign w:val="center"/>
          </w:tcPr>
          <w:p w14:paraId="6F3EDDD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广元市昭化区发展和改革局</w:t>
            </w:r>
          </w:p>
        </w:tc>
      </w:tr>
      <w:tr w14:paraId="773C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AA1CF">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项目基本情况</w:t>
            </w:r>
          </w:p>
        </w:tc>
        <w:tc>
          <w:tcPr>
            <w:tcW w:w="2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7DAF3">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1.项目年度目标完成情况</w:t>
            </w:r>
          </w:p>
        </w:tc>
        <w:tc>
          <w:tcPr>
            <w:tcW w:w="6864" w:type="dxa"/>
            <w:gridSpan w:val="5"/>
            <w:tcBorders>
              <w:top w:val="single" w:color="000000" w:sz="4" w:space="0"/>
              <w:left w:val="single" w:color="000000" w:sz="4" w:space="0"/>
              <w:bottom w:val="single" w:color="000000" w:sz="4" w:space="0"/>
              <w:right w:val="single" w:color="000000" w:sz="4" w:space="0"/>
            </w:tcBorders>
            <w:noWrap w:val="0"/>
            <w:vAlign w:val="center"/>
          </w:tcPr>
          <w:p w14:paraId="6183334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项目年度目标</w:t>
            </w:r>
          </w:p>
        </w:tc>
        <w:tc>
          <w:tcPr>
            <w:tcW w:w="4715" w:type="dxa"/>
            <w:gridSpan w:val="4"/>
            <w:tcBorders>
              <w:top w:val="single" w:color="000000" w:sz="4" w:space="0"/>
              <w:left w:val="single" w:color="000000" w:sz="4" w:space="0"/>
              <w:bottom w:val="single" w:color="000000" w:sz="4" w:space="0"/>
              <w:right w:val="single" w:color="000000" w:sz="4" w:space="0"/>
            </w:tcBorders>
            <w:noWrap w:val="0"/>
            <w:vAlign w:val="center"/>
          </w:tcPr>
          <w:p w14:paraId="6DA133B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0672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DFF1D">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D345B">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6864" w:type="dxa"/>
            <w:gridSpan w:val="5"/>
            <w:tcBorders>
              <w:top w:val="single" w:color="000000" w:sz="4" w:space="0"/>
              <w:left w:val="single" w:color="000000" w:sz="4" w:space="0"/>
              <w:bottom w:val="single" w:color="000000" w:sz="4" w:space="0"/>
              <w:right w:val="single" w:color="000000" w:sz="4" w:space="0"/>
            </w:tcBorders>
            <w:noWrap w:val="0"/>
            <w:vAlign w:val="center"/>
          </w:tcPr>
          <w:p w14:paraId="52CB2495">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争取以工代赈、粮油产业发展、采煤沉陷区治理等中央、省预算内及发改行业资金不少于5000万元，按程序争取资金效率达到98%，确保所争取资金能够按时足额到位。完成项目资金争取所需差旅费、办公费等经费严格控制在5万元的财政预算内，努力争取一批生态环境保护和人居环境整治项目并加快实施，优化我区生态环境，新增就业岗位不少于30个，带动周边群众增收不低于200元/人，使得人民群众满意度不低于95%。</w:t>
            </w:r>
          </w:p>
        </w:tc>
        <w:tc>
          <w:tcPr>
            <w:tcW w:w="4715" w:type="dxa"/>
            <w:gridSpan w:val="4"/>
            <w:tcBorders>
              <w:top w:val="single" w:color="000000" w:sz="4" w:space="0"/>
              <w:left w:val="single" w:color="000000" w:sz="4" w:space="0"/>
              <w:bottom w:val="single" w:color="000000" w:sz="4" w:space="0"/>
              <w:right w:val="single" w:color="000000" w:sz="4" w:space="0"/>
            </w:tcBorders>
            <w:noWrap w:val="0"/>
            <w:vAlign w:val="center"/>
          </w:tcPr>
          <w:p w14:paraId="0CAB47DD">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全年争取到位中、省预算内项目资金18545.25万元，位列全市第2，资金到位及时率100%，新增就业岗位50个，带动周边群众增收，人民群众生活满意度大幅提升。</w:t>
            </w:r>
          </w:p>
        </w:tc>
      </w:tr>
      <w:tr w14:paraId="3CC2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38E02">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F9AD832">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2.项目实施内容及过程概述</w:t>
            </w:r>
          </w:p>
        </w:tc>
        <w:tc>
          <w:tcPr>
            <w:tcW w:w="11579" w:type="dxa"/>
            <w:gridSpan w:val="9"/>
            <w:tcBorders>
              <w:top w:val="single" w:color="000000" w:sz="4" w:space="0"/>
              <w:left w:val="single" w:color="000000" w:sz="4" w:space="0"/>
              <w:bottom w:val="single" w:color="000000" w:sz="4" w:space="0"/>
              <w:right w:val="single" w:color="000000" w:sz="4" w:space="0"/>
            </w:tcBorders>
            <w:noWrap w:val="0"/>
            <w:vAlign w:val="center"/>
          </w:tcPr>
          <w:p w14:paraId="64291472">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全年争取到位中、省预算内项目资金18545.25万元，位列全市第2，资金到位及时率100%，新增就业岗位50个，带动周边群众增收，人民群众生活满意度大幅提升。</w:t>
            </w:r>
          </w:p>
        </w:tc>
      </w:tr>
      <w:tr w14:paraId="76E4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CE6A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预算执行情况（10分）</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698420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年度预算数（万元）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4D1D4F4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年初预算</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C7DAD7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调整后预算数</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322D5E4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90099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预算执行率</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2D10476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3CAA1AE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2E6CE34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原因</w:t>
            </w:r>
          </w:p>
        </w:tc>
      </w:tr>
      <w:tr w14:paraId="3B31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B9B6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6405EE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总额</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3DB9F69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D2B1AD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8.65</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7391F27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8.65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244D2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4FF7F42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04AD82B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2B2D0">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597F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AD2B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218D77D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其中：财政资金</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16F2716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128B4C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8.65</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248D72D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8.65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2544D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11DABEB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236C6DC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738AF">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5934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AADED">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45ABDB5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财政专户管理资金</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4AEEA6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F1C881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5157EE0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4389C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E0DEDD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1D8A512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70E64">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3582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9D9E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0DBC969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单位资金</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29B0EA1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A26892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647C7C7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DDF11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11B9A85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36521CD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9602D">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7F17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9C676">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4952AF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其他资金</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04819203">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A6BF4A2">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2764" w:type="dxa"/>
            <w:gridSpan w:val="3"/>
            <w:tcBorders>
              <w:top w:val="single" w:color="000000" w:sz="4" w:space="0"/>
              <w:left w:val="single" w:color="000000" w:sz="4" w:space="0"/>
              <w:bottom w:val="single" w:color="000000" w:sz="4" w:space="0"/>
              <w:right w:val="single" w:color="000000" w:sz="4" w:space="0"/>
            </w:tcBorders>
            <w:noWrap w:val="0"/>
            <w:vAlign w:val="center"/>
          </w:tcPr>
          <w:p w14:paraId="1399F37E">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4822DA">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2EEEE04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5ECCFA6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2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08B0B">
            <w:pPr>
              <w:keepNext w:val="0"/>
              <w:keepLines w:val="0"/>
              <w:pageBreakBefore w:val="0"/>
              <w:widowControl/>
              <w:kinsoku/>
              <w:wordWrap/>
              <w:overflowPunct/>
              <w:topLinePunct w:val="0"/>
              <w:bidi w:val="0"/>
              <w:snapToGrid/>
              <w:spacing w:beforeLines="0" w:afterLines="0" w:line="220" w:lineRule="exact"/>
              <w:rPr>
                <w:rFonts w:hint="eastAsia" w:ascii="黑体" w:hAnsi="黑体" w:eastAsia="黑体" w:cs="黑体"/>
                <w:i/>
                <w:iCs/>
                <w:color w:val="000000"/>
                <w:sz w:val="15"/>
                <w:szCs w:val="15"/>
                <w:u w:val="none"/>
              </w:rPr>
            </w:pPr>
          </w:p>
        </w:tc>
      </w:tr>
      <w:tr w14:paraId="36BB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924B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绩效指标（90分）</w:t>
            </w: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38997F8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一级指标</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5789D70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二级指标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35B87D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三级指标</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56C2D08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指标性质</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2B683E6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指标值</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2B479E0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度量单位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88EA5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完成值</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584D16B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2C452EC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09467E1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未完成原因分析</w:t>
            </w:r>
          </w:p>
        </w:tc>
      </w:tr>
      <w:tr w14:paraId="5C70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469D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A2A55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产出指标</w:t>
            </w:r>
          </w:p>
        </w:tc>
        <w:tc>
          <w:tcPr>
            <w:tcW w:w="18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C6F8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数量指标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534BAC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全年争取以工代赈项目资金</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4C72A2A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7D69E7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2D4468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8A77A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2983</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34A0772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0298A50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3DD6EF0A">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09FB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FE78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BC15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5F05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FFC1A1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全面争取粮油产业发展项目资金</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269480B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2403430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425A7E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EDA9F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8647</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22CE135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5234A13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19D6B8D8">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4252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492EF">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6BB22">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D122A">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453F6FA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全面争取其他项目资金</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45F6986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DFD76A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500</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03C29CB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F5782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5017190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0B57C8F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5967A629">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4932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780A1">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4F602">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6533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05B46AC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全年争取中、省预算内项目资金</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23587FF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5C7D21F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2500</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66A838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34E5D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18545.25</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2B9DFA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289C531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2318C6B7">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1A4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D813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C77FF">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132E265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质量指标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162024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完成资金争取任务并通过考核</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64F89BF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定性</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AF503A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优</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6314BBA">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B233B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优</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71A9F0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63C65D4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4C5882FE">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636E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7349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F36FE">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1E5B67B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时效指标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54287B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项目争取资金到位及时率</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5209643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3F4FD35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95</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35A145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727A4E">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268916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129BA79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51CEC637">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3A07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890D2">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E51C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效益指标</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1040DE6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经济效益指标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B97BE7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项目建成后带动项目区周边群众月增加</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6BDE8A4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C330B1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200</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07801C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元/人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563F6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300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7446DE7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109B7A4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21B2B52A">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694D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83C15">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0CB9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300E50B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社会效益指标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62454AF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项目建设过程中新增就业岗位个数</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4076208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320F924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6710CF4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F07536">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50</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3BF9F71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6FDA3A2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5038CCE9">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038F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319BA">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tcBorders>
              <w:top w:val="single" w:color="000000" w:sz="4" w:space="0"/>
              <w:left w:val="single" w:color="000000" w:sz="4" w:space="0"/>
              <w:bottom w:val="single" w:color="000000" w:sz="4" w:space="0"/>
              <w:right w:val="single" w:color="000000" w:sz="4" w:space="0"/>
            </w:tcBorders>
            <w:noWrap w:val="0"/>
            <w:vAlign w:val="center"/>
          </w:tcPr>
          <w:p w14:paraId="5BAD6310">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满意度指标</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05545CD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满意度指标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372A621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项目业主（企业）满意度</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3C26769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2E3E3C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96</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494988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83BAA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98</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8BB2FC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3236044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6BF47279">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0E6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5FC87">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516F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成本指标</w:t>
            </w:r>
          </w:p>
        </w:tc>
        <w:tc>
          <w:tcPr>
            <w:tcW w:w="18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BB5F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经济成本指标</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01CB67F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争取项目资金所需差旅费额度</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75AE65A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D3C2FA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5D9D2535">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3C55E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5FBEAA88">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275F643A">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5028630B">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5EFF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CE396">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FFDCC">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47323">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3C674E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争取项目资金所需会议费额度</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0E65B09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2D01BC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13A45FE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CE722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34804CB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126C477C">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5B1CC0FC">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0F75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D8496">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6C2BF">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18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66C3D">
            <w:pPr>
              <w:keepNext w:val="0"/>
              <w:keepLines w:val="0"/>
              <w:pageBreakBefore w:val="0"/>
              <w:widowControl/>
              <w:kinsoku/>
              <w:wordWrap/>
              <w:overflowPunct/>
              <w:topLinePunct w:val="0"/>
              <w:bidi w:val="0"/>
              <w:snapToGrid/>
              <w:spacing w:beforeLines="0" w:afterLines="0" w:line="220" w:lineRule="exact"/>
              <w:jc w:val="center"/>
              <w:rPr>
                <w:rFonts w:hint="eastAsia" w:ascii="宋体" w:hAnsi="宋体" w:eastAsia="宋体" w:cs="宋体"/>
                <w:i w:val="0"/>
                <w:iCs w:val="0"/>
                <w:color w:val="000000"/>
                <w:sz w:val="15"/>
                <w:szCs w:val="15"/>
                <w:u w:val="none"/>
              </w:rPr>
            </w:pP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09729877">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争取项目资金所需打印费额度</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14:paraId="56C17E0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6246873">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42403FF4">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F265A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447525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7677D249">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49331DEF">
            <w:pPr>
              <w:keepNext w:val="0"/>
              <w:keepLines w:val="0"/>
              <w:pageBreakBefore w:val="0"/>
              <w:widowControl/>
              <w:kinsoku/>
              <w:wordWrap/>
              <w:overflowPunct/>
              <w:topLinePunct w:val="0"/>
              <w:bidi w:val="0"/>
              <w:snapToGrid/>
              <w:spacing w:beforeLines="0" w:afterLines="0" w:line="220" w:lineRule="exact"/>
              <w:jc w:val="center"/>
              <w:rPr>
                <w:rFonts w:hint="eastAsia" w:ascii="微软雅黑" w:hAnsi="微软雅黑" w:eastAsia="微软雅黑" w:cs="微软雅黑"/>
                <w:i/>
                <w:iCs/>
                <w:color w:val="000000"/>
                <w:sz w:val="15"/>
                <w:szCs w:val="15"/>
                <w:u w:val="none"/>
              </w:rPr>
            </w:pPr>
          </w:p>
        </w:tc>
      </w:tr>
      <w:tr w14:paraId="16E5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33" w:type="dxa"/>
            <w:gridSpan w:val="8"/>
            <w:tcBorders>
              <w:top w:val="single" w:color="000000" w:sz="4" w:space="0"/>
              <w:left w:val="single" w:color="000000" w:sz="4" w:space="0"/>
              <w:bottom w:val="single" w:color="000000" w:sz="4" w:space="0"/>
              <w:right w:val="single" w:color="000000" w:sz="4" w:space="0"/>
            </w:tcBorders>
            <w:noWrap w:val="0"/>
            <w:vAlign w:val="center"/>
          </w:tcPr>
          <w:p w14:paraId="43ACD0B2">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合计</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14:paraId="609B53CF">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14:paraId="2A10FF05">
            <w:pPr>
              <w:keepNext w:val="0"/>
              <w:keepLines w:val="0"/>
              <w:pageBreakBefore w:val="0"/>
              <w:widowControl/>
              <w:suppressLineNumbers w:val="0"/>
              <w:kinsoku/>
              <w:wordWrap/>
              <w:overflowPunct/>
              <w:topLinePunct w:val="0"/>
              <w:bidi w:val="0"/>
              <w:snapToGrid/>
              <w:spacing w:beforeLines="0" w:afterLines="0" w:line="220" w:lineRule="exact"/>
              <w:jc w:val="righ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2597" w:type="dxa"/>
            <w:tcBorders>
              <w:top w:val="single" w:color="000000" w:sz="4" w:space="0"/>
              <w:left w:val="single" w:color="000000" w:sz="4" w:space="0"/>
              <w:bottom w:val="single" w:color="000000" w:sz="4" w:space="0"/>
              <w:right w:val="single" w:color="000000" w:sz="4" w:space="0"/>
            </w:tcBorders>
            <w:noWrap w:val="0"/>
            <w:vAlign w:val="center"/>
          </w:tcPr>
          <w:p w14:paraId="18A3687C">
            <w:pPr>
              <w:keepNext w:val="0"/>
              <w:keepLines w:val="0"/>
              <w:pageBreakBefore w:val="0"/>
              <w:widowControl/>
              <w:kinsoku/>
              <w:wordWrap/>
              <w:overflowPunct/>
              <w:topLinePunct w:val="0"/>
              <w:bidi w:val="0"/>
              <w:snapToGrid/>
              <w:spacing w:beforeLines="0" w:afterLines="0" w:line="220" w:lineRule="exact"/>
              <w:rPr>
                <w:rFonts w:hint="eastAsia" w:ascii="宋体" w:hAnsi="宋体" w:eastAsia="宋体" w:cs="宋体"/>
                <w:i w:val="0"/>
                <w:iCs w:val="0"/>
                <w:color w:val="000000"/>
                <w:sz w:val="15"/>
                <w:szCs w:val="15"/>
                <w:u w:val="none"/>
              </w:rPr>
            </w:pPr>
          </w:p>
        </w:tc>
      </w:tr>
      <w:tr w14:paraId="3A4E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875" w:type="dxa"/>
            <w:tcBorders>
              <w:top w:val="single" w:color="000000" w:sz="4" w:space="0"/>
              <w:left w:val="single" w:color="000000" w:sz="4" w:space="0"/>
              <w:bottom w:val="single" w:color="000000" w:sz="4" w:space="0"/>
              <w:right w:val="single" w:color="000000" w:sz="4" w:space="0"/>
            </w:tcBorders>
            <w:noWrap w:val="0"/>
            <w:vAlign w:val="center"/>
          </w:tcPr>
          <w:p w14:paraId="52D07C61">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评价结论</w:t>
            </w:r>
          </w:p>
        </w:tc>
        <w:tc>
          <w:tcPr>
            <w:tcW w:w="13663" w:type="dxa"/>
            <w:gridSpan w:val="10"/>
            <w:tcBorders>
              <w:top w:val="single" w:color="000000" w:sz="4" w:space="0"/>
              <w:left w:val="single" w:color="000000" w:sz="4" w:space="0"/>
              <w:bottom w:val="single" w:color="000000" w:sz="4" w:space="0"/>
              <w:right w:val="single" w:color="000000" w:sz="4" w:space="0"/>
            </w:tcBorders>
            <w:noWrap w:val="0"/>
            <w:vAlign w:val="center"/>
          </w:tcPr>
          <w:p w14:paraId="5EBE346C">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 xml:space="preserve">   年度内已按目标内容完成，项目争取后，项目在实施过程中有效带动周边群众增收，项目建设地基础设置，群众生产生活条件大幅提升，人民群众生活幸福指数大大提升。自评总分为100分。</w:t>
            </w:r>
          </w:p>
        </w:tc>
      </w:tr>
      <w:tr w14:paraId="4E20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875" w:type="dxa"/>
            <w:tcBorders>
              <w:top w:val="single" w:color="000000" w:sz="4" w:space="0"/>
              <w:left w:val="single" w:color="000000" w:sz="4" w:space="0"/>
              <w:bottom w:val="single" w:color="000000" w:sz="4" w:space="0"/>
              <w:right w:val="single" w:color="000000" w:sz="4" w:space="0"/>
            </w:tcBorders>
            <w:noWrap w:val="0"/>
            <w:vAlign w:val="center"/>
          </w:tcPr>
          <w:p w14:paraId="2A07E71B">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存在问题</w:t>
            </w:r>
          </w:p>
        </w:tc>
        <w:tc>
          <w:tcPr>
            <w:tcW w:w="13663" w:type="dxa"/>
            <w:gridSpan w:val="10"/>
            <w:tcBorders>
              <w:top w:val="single" w:color="000000" w:sz="4" w:space="0"/>
              <w:left w:val="single" w:color="000000" w:sz="4" w:space="0"/>
              <w:bottom w:val="single" w:color="000000" w:sz="4" w:space="0"/>
              <w:right w:val="single" w:color="000000" w:sz="4" w:space="0"/>
            </w:tcBorders>
            <w:noWrap w:val="0"/>
            <w:vAlign w:val="center"/>
          </w:tcPr>
          <w:p w14:paraId="0F0459D5">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982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875" w:type="dxa"/>
            <w:tcBorders>
              <w:top w:val="single" w:color="000000" w:sz="4" w:space="0"/>
              <w:left w:val="single" w:color="000000" w:sz="4" w:space="0"/>
              <w:bottom w:val="single" w:color="000000" w:sz="4" w:space="0"/>
              <w:right w:val="single" w:color="000000" w:sz="4" w:space="0"/>
            </w:tcBorders>
            <w:noWrap w:val="0"/>
            <w:vAlign w:val="center"/>
          </w:tcPr>
          <w:p w14:paraId="712617AD">
            <w:pPr>
              <w:keepNext w:val="0"/>
              <w:keepLines w:val="0"/>
              <w:pageBreakBefore w:val="0"/>
              <w:widowControl/>
              <w:suppressLineNumbers w:val="0"/>
              <w:kinsoku/>
              <w:wordWrap/>
              <w:overflowPunct/>
              <w:topLinePunct w:val="0"/>
              <w:bidi w:val="0"/>
              <w:snapToGrid/>
              <w:spacing w:beforeLines="0" w:afterLines="0" w:line="220" w:lineRule="exact"/>
              <w:jc w:val="center"/>
              <w:textAlignment w:val="center"/>
              <w:rPr>
                <w:rFonts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改进措施</w:t>
            </w:r>
          </w:p>
        </w:tc>
        <w:tc>
          <w:tcPr>
            <w:tcW w:w="13663" w:type="dxa"/>
            <w:gridSpan w:val="10"/>
            <w:tcBorders>
              <w:top w:val="single" w:color="000000" w:sz="4" w:space="0"/>
              <w:left w:val="single" w:color="000000" w:sz="4" w:space="0"/>
              <w:bottom w:val="single" w:color="000000" w:sz="4" w:space="0"/>
              <w:right w:val="single" w:color="000000" w:sz="4" w:space="0"/>
            </w:tcBorders>
            <w:noWrap w:val="0"/>
            <w:vAlign w:val="center"/>
          </w:tcPr>
          <w:p w14:paraId="07EBD0E6">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142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7588" w:type="dxa"/>
            <w:gridSpan w:val="5"/>
            <w:tcBorders>
              <w:top w:val="single" w:color="000000" w:sz="4" w:space="0"/>
              <w:left w:val="single" w:color="000000" w:sz="4" w:space="0"/>
              <w:bottom w:val="single" w:color="000000" w:sz="4" w:space="0"/>
              <w:right w:val="single" w:color="000000" w:sz="4" w:space="0"/>
            </w:tcBorders>
            <w:noWrap w:val="0"/>
            <w:vAlign w:val="center"/>
          </w:tcPr>
          <w:p w14:paraId="5F3B8BE9">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项目负责人：祖领会</w:t>
            </w:r>
          </w:p>
        </w:tc>
        <w:tc>
          <w:tcPr>
            <w:tcW w:w="6950" w:type="dxa"/>
            <w:gridSpan w:val="6"/>
            <w:tcBorders>
              <w:top w:val="single" w:color="000000" w:sz="4" w:space="0"/>
              <w:left w:val="single" w:color="000000" w:sz="4" w:space="0"/>
              <w:bottom w:val="single" w:color="000000" w:sz="4" w:space="0"/>
              <w:right w:val="single" w:color="000000" w:sz="4" w:space="0"/>
            </w:tcBorders>
            <w:noWrap w:val="0"/>
            <w:vAlign w:val="center"/>
          </w:tcPr>
          <w:p w14:paraId="25F4E476">
            <w:pPr>
              <w:keepNext w:val="0"/>
              <w:keepLines w:val="0"/>
              <w:pageBreakBefore w:val="0"/>
              <w:widowControl/>
              <w:suppressLineNumbers w:val="0"/>
              <w:kinsoku/>
              <w:wordWrap/>
              <w:overflowPunct/>
              <w:topLinePunct w:val="0"/>
              <w:bidi w:val="0"/>
              <w:snapToGrid/>
              <w:spacing w:beforeLines="0" w:afterLines="0" w:line="22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财务负责人：祖领会</w:t>
            </w:r>
          </w:p>
        </w:tc>
      </w:tr>
    </w:tbl>
    <w:p w14:paraId="56C485DA">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eastAsia="zh-CN"/>
        </w:rPr>
      </w:pPr>
    </w:p>
    <w:p w14:paraId="6ABB43C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rPr>
        <w:sectPr>
          <w:pgSz w:w="16838" w:h="11906" w:orient="landscape"/>
          <w:pgMar w:top="1134" w:right="1531" w:bottom="1134" w:left="1531" w:header="851" w:footer="850" w:gutter="0"/>
          <w:pgNumType w:fmt="decimal"/>
          <w:cols w:space="0" w:num="1"/>
          <w:titlePg/>
          <w:rtlGutter w:val="0"/>
          <w:docGrid w:type="lines" w:linePitch="321" w:charSpace="0"/>
        </w:sectPr>
      </w:pPr>
    </w:p>
    <w:p w14:paraId="76066921">
      <w:pPr>
        <w:pStyle w:val="10"/>
        <w:rPr>
          <w:rFonts w:hint="default"/>
        </w:rPr>
      </w:pP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43"/>
      <w:bookmarkEnd w:id="44"/>
      <w:bookmarkStart w:id="45" w:name="_Toc15396619"/>
    </w:p>
    <w:p w14:paraId="5F23836F">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1164AE">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5"/>
    </w:p>
    <w:p w14:paraId="79F49AF0">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0"/>
      <w:r>
        <w:rPr>
          <w:rFonts w:hint="eastAsia" w:ascii="Times New Roman" w:hAnsi="Times New Roman" w:eastAsia="仿宋_GB2312" w:cs="仿宋_GB2312"/>
          <w:color w:val="auto"/>
          <w:sz w:val="32"/>
          <w:szCs w:val="32"/>
          <w:highlight w:val="none"/>
        </w:rPr>
        <w:t>二、收入决算表</w:t>
      </w:r>
      <w:bookmarkEnd w:id="46"/>
    </w:p>
    <w:p w14:paraId="175A04FB">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1"/>
      <w:r>
        <w:rPr>
          <w:rFonts w:hint="eastAsia" w:ascii="Times New Roman" w:hAnsi="Times New Roman" w:eastAsia="仿宋_GB2312" w:cs="仿宋_GB2312"/>
          <w:color w:val="auto"/>
          <w:sz w:val="32"/>
          <w:szCs w:val="32"/>
          <w:highlight w:val="none"/>
        </w:rPr>
        <w:t>三、支出决算表</w:t>
      </w:r>
      <w:bookmarkEnd w:id="47"/>
    </w:p>
    <w:p w14:paraId="1D61D437">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2"/>
      <w:r>
        <w:rPr>
          <w:rFonts w:hint="eastAsia" w:ascii="Times New Roman" w:hAnsi="Times New Roman" w:eastAsia="仿宋_GB2312" w:cs="仿宋_GB2312"/>
          <w:color w:val="auto"/>
          <w:sz w:val="32"/>
          <w:szCs w:val="32"/>
          <w:highlight w:val="none"/>
        </w:rPr>
        <w:t>四、财政拨款收入支出决算总表</w:t>
      </w:r>
      <w:bookmarkEnd w:id="48"/>
    </w:p>
    <w:p w14:paraId="22301EA6">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3"/>
      <w:r>
        <w:rPr>
          <w:rFonts w:hint="eastAsia" w:ascii="Times New Roman" w:hAnsi="Times New Roman" w:eastAsia="仿宋_GB2312" w:cs="仿宋_GB2312"/>
          <w:color w:val="auto"/>
          <w:sz w:val="32"/>
          <w:szCs w:val="32"/>
          <w:highlight w:val="none"/>
        </w:rPr>
        <w:t>五、财政拨款支出决算明细表</w:t>
      </w:r>
      <w:bookmarkEnd w:id="49"/>
      <w:bookmarkStart w:id="50" w:name="_Toc15396624"/>
    </w:p>
    <w:p w14:paraId="42D56FD3">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0"/>
    </w:p>
    <w:p w14:paraId="2AD535BF">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5"/>
      <w:r>
        <w:rPr>
          <w:rFonts w:hint="eastAsia" w:ascii="Times New Roman" w:hAnsi="Times New Roman" w:eastAsia="仿宋_GB2312" w:cs="仿宋_GB2312"/>
          <w:color w:val="auto"/>
          <w:sz w:val="32"/>
          <w:szCs w:val="32"/>
          <w:highlight w:val="none"/>
        </w:rPr>
        <w:t>七、一般公共预算财政拨款支出决算明细表</w:t>
      </w:r>
      <w:bookmarkEnd w:id="51"/>
    </w:p>
    <w:p w14:paraId="3B92F1FA">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6"/>
      <w:r>
        <w:rPr>
          <w:rFonts w:hint="eastAsia" w:ascii="Times New Roman" w:hAnsi="Times New Roman" w:eastAsia="仿宋_GB2312" w:cs="仿宋_GB2312"/>
          <w:color w:val="auto"/>
          <w:sz w:val="32"/>
          <w:szCs w:val="32"/>
          <w:highlight w:val="none"/>
        </w:rPr>
        <w:t>八、一般公共预算财政拨款基本支出决算表</w:t>
      </w:r>
      <w:bookmarkEnd w:id="52"/>
    </w:p>
    <w:p w14:paraId="310080F9">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7"/>
      <w:r>
        <w:rPr>
          <w:rFonts w:hint="eastAsia" w:ascii="Times New Roman" w:hAnsi="Times New Roman" w:eastAsia="仿宋_GB2312" w:cs="仿宋_GB2312"/>
          <w:color w:val="auto"/>
          <w:sz w:val="32"/>
          <w:szCs w:val="32"/>
          <w:highlight w:val="none"/>
        </w:rPr>
        <w:t>九、一般公共预算财政拨款项目支出决算表</w:t>
      </w:r>
      <w:bookmarkEnd w:id="53"/>
    </w:p>
    <w:p w14:paraId="78345F40">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8"/>
      <w:r>
        <w:rPr>
          <w:rFonts w:hint="eastAsia" w:ascii="Times New Roman" w:hAnsi="Times New Roman" w:eastAsia="仿宋_GB2312" w:cs="仿宋_GB2312"/>
          <w:color w:val="auto"/>
          <w:sz w:val="32"/>
          <w:szCs w:val="32"/>
          <w:highlight w:val="none"/>
        </w:rPr>
        <w:t>十、</w:t>
      </w:r>
      <w:bookmarkEnd w:id="54"/>
      <w:r>
        <w:rPr>
          <w:rFonts w:hint="eastAsia" w:ascii="Times New Roman" w:hAnsi="Times New Roman" w:eastAsia="仿宋_GB2312" w:cs="仿宋_GB2312"/>
          <w:color w:val="auto"/>
          <w:sz w:val="32"/>
          <w:szCs w:val="32"/>
          <w:highlight w:val="none"/>
        </w:rPr>
        <w:t>政府性基金预算财政拨款收入支出决算表</w:t>
      </w:r>
    </w:p>
    <w:p w14:paraId="1C57B817">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9"/>
      <w:r>
        <w:rPr>
          <w:rFonts w:hint="eastAsia" w:ascii="Times New Roman" w:hAnsi="Times New Roman" w:eastAsia="仿宋_GB2312" w:cs="仿宋_GB2312"/>
          <w:color w:val="auto"/>
          <w:sz w:val="32"/>
          <w:szCs w:val="32"/>
          <w:highlight w:val="none"/>
        </w:rPr>
        <w:t>十一、</w:t>
      </w:r>
      <w:bookmarkEnd w:id="5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206D3AB">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30"/>
      <w:r>
        <w:rPr>
          <w:rFonts w:hint="eastAsia" w:ascii="Times New Roman" w:hAnsi="Times New Roman" w:eastAsia="仿宋_GB2312" w:cs="仿宋_GB2312"/>
          <w:color w:val="auto"/>
          <w:sz w:val="32"/>
          <w:szCs w:val="32"/>
          <w:highlight w:val="none"/>
        </w:rPr>
        <w:t>十二、</w:t>
      </w:r>
      <w:bookmarkEnd w:id="56"/>
      <w:r>
        <w:rPr>
          <w:rFonts w:hint="eastAsia" w:ascii="Times New Roman" w:hAnsi="Times New Roman" w:eastAsia="仿宋_GB2312" w:cs="仿宋_GB2312"/>
          <w:color w:val="auto"/>
          <w:sz w:val="32"/>
          <w:szCs w:val="32"/>
          <w:highlight w:val="none"/>
          <w:lang w:eastAsia="zh-CN"/>
        </w:rPr>
        <w:t>国有资本经营预算财政拨款支出决算表</w:t>
      </w:r>
    </w:p>
    <w:p w14:paraId="332387F2">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sz w:val="32"/>
          <w:szCs w:val="32"/>
          <w:lang w:eastAsia="zh-CN"/>
        </w:rPr>
      </w:pPr>
      <w:bookmarkStart w:id="57" w:name="_Toc15396631"/>
      <w:r>
        <w:rPr>
          <w:rFonts w:hint="eastAsia" w:ascii="Times New Roman" w:hAnsi="Times New Roman" w:eastAsia="仿宋_GB2312" w:cs="仿宋_GB2312"/>
          <w:color w:val="auto"/>
          <w:sz w:val="32"/>
          <w:szCs w:val="32"/>
          <w:highlight w:val="none"/>
        </w:rPr>
        <w:t>十三、</w:t>
      </w:r>
      <w:bookmarkEnd w:id="57"/>
      <w:r>
        <w:rPr>
          <w:rFonts w:hint="eastAsia" w:ascii="Times New Roman" w:hAnsi="Times New Roman" w:eastAsia="仿宋_GB2312" w:cs="仿宋_GB2312"/>
          <w:color w:val="auto"/>
          <w:sz w:val="32"/>
          <w:szCs w:val="32"/>
          <w:highlight w:val="none"/>
          <w:lang w:eastAsia="zh-CN"/>
        </w:rPr>
        <w:t>财政拨款“三公”经费支出决算表</w:t>
      </w:r>
    </w:p>
    <w:sectPr>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B2AD">
    <w:pPr>
      <w:pStyle w:val="12"/>
      <w:jc w:val="center"/>
    </w:pPr>
  </w:p>
  <w:p w14:paraId="7DA2EBE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B76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707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53D6">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7C75">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F279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69F279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CBE0">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03AF">
                          <w:pPr>
                            <w:pStyle w:val="1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A903AF">
                    <w:pPr>
                      <w:pStyle w:val="1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099F5"/>
    <w:multiLevelType w:val="singleLevel"/>
    <w:tmpl w:val="843099F5"/>
    <w:lvl w:ilvl="0" w:tentative="0">
      <w:start w:val="1"/>
      <w:numFmt w:val="decimal"/>
      <w:lvlText w:val="%1."/>
      <w:lvlJc w:val="left"/>
      <w:pPr>
        <w:tabs>
          <w:tab w:val="left" w:pos="312"/>
        </w:tabs>
      </w:pPr>
    </w:lvl>
  </w:abstractNum>
  <w:abstractNum w:abstractNumId="1">
    <w:nsid w:val="D1B3A1F8"/>
    <w:multiLevelType w:val="singleLevel"/>
    <w:tmpl w:val="D1B3A1F8"/>
    <w:lvl w:ilvl="0" w:tentative="0">
      <w:start w:val="2"/>
      <w:numFmt w:val="chineseCounting"/>
      <w:suff w:val="nothing"/>
      <w:lvlText w:val="（%1）"/>
      <w:lvlJc w:val="left"/>
      <w:rPr>
        <w:rFonts w:hint="eastAsia"/>
      </w:rPr>
    </w:lvl>
  </w:abstractNum>
  <w:abstractNum w:abstractNumId="2">
    <w:nsid w:val="13DE4603"/>
    <w:multiLevelType w:val="singleLevel"/>
    <w:tmpl w:val="13DE4603"/>
    <w:lvl w:ilvl="0" w:tentative="0">
      <w:start w:val="1"/>
      <w:numFmt w:val="chineseCounting"/>
      <w:suff w:val="nothing"/>
      <w:lvlText w:val="%1、"/>
      <w:lvlJc w:val="left"/>
      <w:rPr>
        <w:rFonts w:hint="eastAsia"/>
      </w:rPr>
    </w:lvl>
  </w:abstractNum>
  <w:abstractNum w:abstractNumId="3">
    <w:nsid w:val="3E3475D1"/>
    <w:multiLevelType w:val="singleLevel"/>
    <w:tmpl w:val="3E3475D1"/>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78609C"/>
    <w:rsid w:val="02FEBE30"/>
    <w:rsid w:val="039E11BA"/>
    <w:rsid w:val="03B15391"/>
    <w:rsid w:val="03CD4DA3"/>
    <w:rsid w:val="04273641"/>
    <w:rsid w:val="04916F1E"/>
    <w:rsid w:val="05C25634"/>
    <w:rsid w:val="06041631"/>
    <w:rsid w:val="061E35DE"/>
    <w:rsid w:val="066E0107"/>
    <w:rsid w:val="06BC02D5"/>
    <w:rsid w:val="07996F6E"/>
    <w:rsid w:val="07B045C2"/>
    <w:rsid w:val="07DFD8BA"/>
    <w:rsid w:val="084F2ED5"/>
    <w:rsid w:val="0865499C"/>
    <w:rsid w:val="08A91C0E"/>
    <w:rsid w:val="08D77648"/>
    <w:rsid w:val="09867E8F"/>
    <w:rsid w:val="09930631"/>
    <w:rsid w:val="09E244F6"/>
    <w:rsid w:val="0A2032A3"/>
    <w:rsid w:val="0A2148F3"/>
    <w:rsid w:val="0A9E6FA0"/>
    <w:rsid w:val="0AC30636"/>
    <w:rsid w:val="0B331380"/>
    <w:rsid w:val="0CA8290A"/>
    <w:rsid w:val="0D35B1ED"/>
    <w:rsid w:val="0D516797"/>
    <w:rsid w:val="0D7731A8"/>
    <w:rsid w:val="0E0013EF"/>
    <w:rsid w:val="0E254B6B"/>
    <w:rsid w:val="0E572FD9"/>
    <w:rsid w:val="0E5F4D59"/>
    <w:rsid w:val="0EC83944"/>
    <w:rsid w:val="0F22032E"/>
    <w:rsid w:val="0F98263C"/>
    <w:rsid w:val="0FA72B05"/>
    <w:rsid w:val="0FE443F8"/>
    <w:rsid w:val="1007166D"/>
    <w:rsid w:val="101860EC"/>
    <w:rsid w:val="101F47CC"/>
    <w:rsid w:val="10A122E9"/>
    <w:rsid w:val="10C055FF"/>
    <w:rsid w:val="11694EBD"/>
    <w:rsid w:val="11772AA4"/>
    <w:rsid w:val="118107EC"/>
    <w:rsid w:val="12B75DF4"/>
    <w:rsid w:val="12E24EE2"/>
    <w:rsid w:val="12F23B9B"/>
    <w:rsid w:val="13D50BC4"/>
    <w:rsid w:val="14B17F78"/>
    <w:rsid w:val="154C4F1A"/>
    <w:rsid w:val="15802E15"/>
    <w:rsid w:val="161F43DC"/>
    <w:rsid w:val="165E0673"/>
    <w:rsid w:val="16B831D5"/>
    <w:rsid w:val="16BB723D"/>
    <w:rsid w:val="17BC3C60"/>
    <w:rsid w:val="17E50567"/>
    <w:rsid w:val="186504BB"/>
    <w:rsid w:val="197E1D2E"/>
    <w:rsid w:val="19A445FC"/>
    <w:rsid w:val="19CC487B"/>
    <w:rsid w:val="1A266374"/>
    <w:rsid w:val="1A3657DF"/>
    <w:rsid w:val="1B1E55AB"/>
    <w:rsid w:val="1BB83309"/>
    <w:rsid w:val="1BBF0F0E"/>
    <w:rsid w:val="1BE8440E"/>
    <w:rsid w:val="1CE63CF9"/>
    <w:rsid w:val="1D021C88"/>
    <w:rsid w:val="1D155CEE"/>
    <w:rsid w:val="1D1638FE"/>
    <w:rsid w:val="1E312DEB"/>
    <w:rsid w:val="1E740ACF"/>
    <w:rsid w:val="1EF04B68"/>
    <w:rsid w:val="1F8B4EC7"/>
    <w:rsid w:val="1F9A2423"/>
    <w:rsid w:val="1FE10954"/>
    <w:rsid w:val="1FF35744"/>
    <w:rsid w:val="1FF6BC77"/>
    <w:rsid w:val="201D2648"/>
    <w:rsid w:val="21753704"/>
    <w:rsid w:val="2186353C"/>
    <w:rsid w:val="22A04AF7"/>
    <w:rsid w:val="23860B96"/>
    <w:rsid w:val="240371BF"/>
    <w:rsid w:val="244F3473"/>
    <w:rsid w:val="24C97D99"/>
    <w:rsid w:val="25A718F0"/>
    <w:rsid w:val="25BB59F6"/>
    <w:rsid w:val="260F557C"/>
    <w:rsid w:val="265C2AE3"/>
    <w:rsid w:val="268F110A"/>
    <w:rsid w:val="26970054"/>
    <w:rsid w:val="27494E64"/>
    <w:rsid w:val="281408E2"/>
    <w:rsid w:val="29990DA5"/>
    <w:rsid w:val="29B81395"/>
    <w:rsid w:val="29FD04D3"/>
    <w:rsid w:val="2AD67FCB"/>
    <w:rsid w:val="2B8B30E0"/>
    <w:rsid w:val="2BBD05CD"/>
    <w:rsid w:val="2BFF7BC6"/>
    <w:rsid w:val="2C7D5DC7"/>
    <w:rsid w:val="2C8A61B5"/>
    <w:rsid w:val="2CC73FC4"/>
    <w:rsid w:val="2D792E9C"/>
    <w:rsid w:val="2D9477AB"/>
    <w:rsid w:val="2DA80DA1"/>
    <w:rsid w:val="2DF04E50"/>
    <w:rsid w:val="2E586DFA"/>
    <w:rsid w:val="2F040D46"/>
    <w:rsid w:val="2F155F25"/>
    <w:rsid w:val="2F6B035B"/>
    <w:rsid w:val="2FAE5751"/>
    <w:rsid w:val="2FB1A395"/>
    <w:rsid w:val="2FD9A7D8"/>
    <w:rsid w:val="2FDBF714"/>
    <w:rsid w:val="30A864ED"/>
    <w:rsid w:val="30AB6865"/>
    <w:rsid w:val="30F46B5D"/>
    <w:rsid w:val="319F7F4E"/>
    <w:rsid w:val="31B772F8"/>
    <w:rsid w:val="31D54993"/>
    <w:rsid w:val="31D65E3F"/>
    <w:rsid w:val="32103C84"/>
    <w:rsid w:val="32BD1EF1"/>
    <w:rsid w:val="3304709D"/>
    <w:rsid w:val="33A773CB"/>
    <w:rsid w:val="342A2472"/>
    <w:rsid w:val="349D6851"/>
    <w:rsid w:val="35DC59EE"/>
    <w:rsid w:val="36AA5135"/>
    <w:rsid w:val="36BE0DA7"/>
    <w:rsid w:val="376B6AA6"/>
    <w:rsid w:val="376D39B2"/>
    <w:rsid w:val="37E16F03"/>
    <w:rsid w:val="37F45877"/>
    <w:rsid w:val="37F53A3B"/>
    <w:rsid w:val="389B6C89"/>
    <w:rsid w:val="38D469F0"/>
    <w:rsid w:val="39627CCD"/>
    <w:rsid w:val="397BAF1F"/>
    <w:rsid w:val="3AB79AF3"/>
    <w:rsid w:val="3AE834C0"/>
    <w:rsid w:val="3B7EF35A"/>
    <w:rsid w:val="3B9FDB6C"/>
    <w:rsid w:val="3BF5BC2F"/>
    <w:rsid w:val="3CEBA265"/>
    <w:rsid w:val="3D98207C"/>
    <w:rsid w:val="3DEE7CF3"/>
    <w:rsid w:val="3E103B9E"/>
    <w:rsid w:val="3E554590"/>
    <w:rsid w:val="3E740A63"/>
    <w:rsid w:val="3E78745D"/>
    <w:rsid w:val="3EE17838"/>
    <w:rsid w:val="3F55381A"/>
    <w:rsid w:val="3F7F7599"/>
    <w:rsid w:val="3FF4CAE0"/>
    <w:rsid w:val="3FF7B227"/>
    <w:rsid w:val="410450ED"/>
    <w:rsid w:val="41AD7188"/>
    <w:rsid w:val="430B346F"/>
    <w:rsid w:val="44E268DA"/>
    <w:rsid w:val="450D13D7"/>
    <w:rsid w:val="452463AD"/>
    <w:rsid w:val="45506656"/>
    <w:rsid w:val="45B47580"/>
    <w:rsid w:val="45D00592"/>
    <w:rsid w:val="46353A70"/>
    <w:rsid w:val="463B053E"/>
    <w:rsid w:val="466B37D3"/>
    <w:rsid w:val="472E3BD0"/>
    <w:rsid w:val="486A6C7A"/>
    <w:rsid w:val="48EF1D7C"/>
    <w:rsid w:val="499A72FA"/>
    <w:rsid w:val="4A627F82"/>
    <w:rsid w:val="4A9138C5"/>
    <w:rsid w:val="4B0E749A"/>
    <w:rsid w:val="4B2477C4"/>
    <w:rsid w:val="4B4F25DA"/>
    <w:rsid w:val="4B903C5B"/>
    <w:rsid w:val="4BE068DB"/>
    <w:rsid w:val="4D372C3B"/>
    <w:rsid w:val="4D577224"/>
    <w:rsid w:val="4DB210B7"/>
    <w:rsid w:val="4DBF1CEB"/>
    <w:rsid w:val="4DF0007C"/>
    <w:rsid w:val="4E165AE9"/>
    <w:rsid w:val="4EAB630A"/>
    <w:rsid w:val="4ECE2238"/>
    <w:rsid w:val="4F1A4144"/>
    <w:rsid w:val="4F833267"/>
    <w:rsid w:val="4FE9BD67"/>
    <w:rsid w:val="4FFB052F"/>
    <w:rsid w:val="50657670"/>
    <w:rsid w:val="511B782C"/>
    <w:rsid w:val="51E563AB"/>
    <w:rsid w:val="51E97071"/>
    <w:rsid w:val="526C4FB9"/>
    <w:rsid w:val="529C40E3"/>
    <w:rsid w:val="537E6D0A"/>
    <w:rsid w:val="53F74C96"/>
    <w:rsid w:val="55170BA8"/>
    <w:rsid w:val="553218C9"/>
    <w:rsid w:val="553A1364"/>
    <w:rsid w:val="56116BDA"/>
    <w:rsid w:val="56505911"/>
    <w:rsid w:val="567053AF"/>
    <w:rsid w:val="567E1AA5"/>
    <w:rsid w:val="56E47B74"/>
    <w:rsid w:val="57175D52"/>
    <w:rsid w:val="571B7984"/>
    <w:rsid w:val="57BD3DD4"/>
    <w:rsid w:val="57C41DCA"/>
    <w:rsid w:val="580C5867"/>
    <w:rsid w:val="581F5CD1"/>
    <w:rsid w:val="592C545B"/>
    <w:rsid w:val="5A53777D"/>
    <w:rsid w:val="5AF92295"/>
    <w:rsid w:val="5B250254"/>
    <w:rsid w:val="5BDD79E6"/>
    <w:rsid w:val="5BF561CA"/>
    <w:rsid w:val="5BFC4C54"/>
    <w:rsid w:val="5BFF5DFC"/>
    <w:rsid w:val="5C202D8B"/>
    <w:rsid w:val="5CD71FC4"/>
    <w:rsid w:val="5D1F11B5"/>
    <w:rsid w:val="5D695134"/>
    <w:rsid w:val="5D724260"/>
    <w:rsid w:val="5DAE1B18"/>
    <w:rsid w:val="5DE7D9E5"/>
    <w:rsid w:val="5ECEC941"/>
    <w:rsid w:val="5EDF3926"/>
    <w:rsid w:val="5F177DFA"/>
    <w:rsid w:val="5F5B3D91"/>
    <w:rsid w:val="5F637F61"/>
    <w:rsid w:val="5F855DAC"/>
    <w:rsid w:val="5FBF9FF3"/>
    <w:rsid w:val="5FCD4E2C"/>
    <w:rsid w:val="5FEF394A"/>
    <w:rsid w:val="5FF67715"/>
    <w:rsid w:val="6039099F"/>
    <w:rsid w:val="623D18A4"/>
    <w:rsid w:val="62BF3928"/>
    <w:rsid w:val="62CA25A7"/>
    <w:rsid w:val="63B3701E"/>
    <w:rsid w:val="647F5392"/>
    <w:rsid w:val="65E66580"/>
    <w:rsid w:val="664B1D71"/>
    <w:rsid w:val="664B4E8E"/>
    <w:rsid w:val="66840416"/>
    <w:rsid w:val="67277B67"/>
    <w:rsid w:val="67AA3209"/>
    <w:rsid w:val="684352D5"/>
    <w:rsid w:val="698D0931"/>
    <w:rsid w:val="6A2151A2"/>
    <w:rsid w:val="6A3B6017"/>
    <w:rsid w:val="6A7FE5F3"/>
    <w:rsid w:val="6A89220C"/>
    <w:rsid w:val="6AB82348"/>
    <w:rsid w:val="6B053271"/>
    <w:rsid w:val="6BDD78B3"/>
    <w:rsid w:val="6BF027ED"/>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9A5CAE"/>
    <w:rsid w:val="70AE4D5E"/>
    <w:rsid w:val="70C77B9F"/>
    <w:rsid w:val="712A28F1"/>
    <w:rsid w:val="714A76D4"/>
    <w:rsid w:val="715C0E4B"/>
    <w:rsid w:val="71992E7C"/>
    <w:rsid w:val="72233669"/>
    <w:rsid w:val="72734D90"/>
    <w:rsid w:val="72DA6468"/>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02628"/>
    <w:rsid w:val="783E271A"/>
    <w:rsid w:val="78616DE9"/>
    <w:rsid w:val="78B673FD"/>
    <w:rsid w:val="78E875D7"/>
    <w:rsid w:val="79086DAD"/>
    <w:rsid w:val="799139C7"/>
    <w:rsid w:val="79D7FD79"/>
    <w:rsid w:val="79EE5BA4"/>
    <w:rsid w:val="7A61783D"/>
    <w:rsid w:val="7A894339"/>
    <w:rsid w:val="7AB80E65"/>
    <w:rsid w:val="7AD284E8"/>
    <w:rsid w:val="7AFF7572"/>
    <w:rsid w:val="7B5D6256"/>
    <w:rsid w:val="7B6C7DFB"/>
    <w:rsid w:val="7BBFBED0"/>
    <w:rsid w:val="7BC3E394"/>
    <w:rsid w:val="7BF91591"/>
    <w:rsid w:val="7C1F3737"/>
    <w:rsid w:val="7C6614F7"/>
    <w:rsid w:val="7C6C4F64"/>
    <w:rsid w:val="7CBFC87B"/>
    <w:rsid w:val="7CFE0F48"/>
    <w:rsid w:val="7D272ABC"/>
    <w:rsid w:val="7D7EC23E"/>
    <w:rsid w:val="7DC42B2A"/>
    <w:rsid w:val="7DC46119"/>
    <w:rsid w:val="7DD50326"/>
    <w:rsid w:val="7E8ADEBF"/>
    <w:rsid w:val="7EAF557B"/>
    <w:rsid w:val="7ECF3FA0"/>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spacing w:beforeLines="0" w:afterLines="0"/>
    </w:pPr>
    <w:rPr>
      <w:rFonts w:hint="eastAsia"/>
      <w:sz w:val="24"/>
      <w:szCs w:val="24"/>
    </w:rPr>
  </w:style>
  <w:style w:type="paragraph" w:styleId="6">
    <w:name w:val="annotation text"/>
    <w:basedOn w:val="1"/>
    <w:semiHidden/>
    <w:unhideWhenUsed/>
    <w:qFormat/>
    <w:uiPriority w:val="99"/>
    <w:pPr>
      <w:jc w:val="left"/>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sz w:val="21"/>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16"/>
    <w:semiHidden/>
    <w:qFormat/>
    <w:uiPriority w:val="0"/>
    <w:pPr>
      <w:snapToGrid w:val="0"/>
      <w:jc w:val="left"/>
    </w:pPr>
    <w:rPr>
      <w:sz w:val="18"/>
      <w:szCs w:val="18"/>
    </w:rPr>
  </w:style>
  <w:style w:type="paragraph" w:styleId="16">
    <w:name w:val="Body Text First Indent 2"/>
    <w:basedOn w:val="8"/>
    <w:next w:val="1"/>
    <w:unhideWhenUsed/>
    <w:qFormat/>
    <w:uiPriority w:val="99"/>
    <w:pPr>
      <w:ind w:firstLine="420" w:firstLineChars="200"/>
    </w:p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4230;&#37096;&#38376;&#20915;&#31639;&#20844;&#24320;&#36164;&#26009;\2023&#24180;&#20915;&#31639;&#20844;&#24320;&#32472;&#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4230;&#37096;&#38376;&#20915;&#31639;&#20844;&#24320;&#36164;&#26009;\2023&#24180;&#20915;&#31639;&#20844;&#24320;&#32472;&#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4230;&#37096;&#38376;&#20915;&#31639;&#20844;&#24320;&#36164;&#26009;\2023&#24180;&#20915;&#31639;&#20844;&#24320;&#32472;&#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4230;&#37096;&#38376;&#20915;&#31639;&#20844;&#24320;&#36164;&#26009;\2023&#24180;&#20915;&#31639;&#20844;&#24320;&#32472;&#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4230;&#37096;&#38376;&#20915;&#31639;&#20844;&#24320;&#36164;&#26009;\2023&#24180;&#20915;&#31639;&#20844;&#24320;&#32472;&#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4230;&#37096;&#38376;&#20915;&#31639;&#20844;&#24320;&#36164;&#26009;\2023&#24180;&#20915;&#31639;&#20844;&#24320;&#32472;&#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4230;&#37096;&#38376;&#20915;&#31639;&#20844;&#24320;&#36164;&#26009;\2023&#24180;&#20915;&#31639;&#20844;&#24320;&#3247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barChart>
        <c:barDir val="col"/>
        <c:grouping val="clustered"/>
        <c:varyColors val="0"/>
        <c:ser>
          <c:idx val="0"/>
          <c:order val="0"/>
          <c:tx>
            <c:strRef>
              <c:f>[2023年决算公开绘图.xlsx]Sheet1!$B$1</c:f>
              <c:strCache>
                <c:ptCount val="1"/>
                <c:pt idx="0">
                  <c:v>收、支决算总计</c:v>
                </c:pt>
              </c:strCache>
            </c:strRef>
          </c:tx>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[2023年决算公开绘图.xlsx]Sheet1!$A$2:$A$3</c:f>
              <c:strCache>
                <c:ptCount val="2"/>
                <c:pt idx="0">
                  <c:v>2023年度</c:v>
                </c:pt>
                <c:pt idx="1">
                  <c:v>2024年度</c:v>
                </c:pt>
              </c:strCache>
            </c:strRef>
          </c:cat>
          <c:val>
            <c:numRef>
              <c:f>[2023年决算公开绘图.xlsx]Sheet1!$B$2:$B$3</c:f>
              <c:numCache>
                <c:formatCode>General</c:formatCode>
                <c:ptCount val="2"/>
                <c:pt idx="0">
                  <c:v>6468.61</c:v>
                </c:pt>
                <c:pt idx="1">
                  <c:v>15198.61</c:v>
                </c:pt>
              </c:numCache>
            </c:numRef>
          </c:val>
        </c:ser>
        <c:dLbls>
          <c:showLegendKey val="0"/>
          <c:showVal val="1"/>
          <c:showCatName val="0"/>
          <c:showSerName val="0"/>
          <c:showPercent val="0"/>
          <c:showBubbleSize val="0"/>
        </c:dLbls>
        <c:gapWidth val="246"/>
        <c:overlap val="-28"/>
        <c:axId val="304512964"/>
        <c:axId val="412875986"/>
      </c:barChart>
      <c:catAx>
        <c:axId val="30451296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2875986"/>
        <c:crosses val="autoZero"/>
        <c:auto val="1"/>
        <c:lblAlgn val="ctr"/>
        <c:lblOffset val="100"/>
        <c:noMultiLvlLbl val="0"/>
      </c:catAx>
      <c:valAx>
        <c:axId val="412875986"/>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045129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0"/>
    <c:dispBlanksAs val="gap"/>
    <c:showDLblsOverMax val="0"/>
    <c:extLst>
      <c:ext uri="{0b15fc19-7d7d-44ad-8c2d-2c3a37ce22c3}">
        <chartProps xmlns="https://web.wps.cn/et/2018/main" chartId="{63139e49-7afc-4389-a8c0-f376936a4450}"/>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[2023年决算公开绘图.xlsx]Sheet1!$B$23</c:f>
              <c:strCache>
                <c:ptCount val="1"/>
                <c:pt idx="0">
                  <c:v>收入决算占比</c:v>
                </c:pt>
              </c:strCache>
            </c:strRef>
          </c:tx>
          <c:spPr/>
          <c:explosion val="0"/>
          <c:dPt>
            <c:idx val="0"/>
            <c:bubble3D val="0"/>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dPt>
          <c:dPt>
            <c:idx val="1"/>
            <c:bubble3D val="0"/>
            <c:spPr>
              <a:gradFill>
                <a:gsLst>
                  <a:gs pos="0">
                    <a:srgbClr val="E6B9B8">
                      <a:lumMod val="40000"/>
                      <a:lumOff val="60000"/>
                    </a:srgbClr>
                  </a:gs>
                  <a:gs pos="90000">
                    <a:srgbClr val="C0504D"/>
                  </a:gs>
                </a:gsLst>
                <a:lin ang="5400000" scaled="0"/>
              </a:gradFill>
              <a:ln>
                <a:gradFill>
                  <a:gsLst>
                    <a:gs pos="0">
                      <a:srgbClr val="C0504D"/>
                    </a:gs>
                    <a:gs pos="100000">
                      <a:srgbClr val="953735">
                        <a:lumMod val="75000"/>
                      </a:srgbClr>
                    </a:gs>
                  </a:gsLst>
                  <a:lin ang="5400000" scaled="1"/>
                </a:gradFill>
              </a:ln>
              <a:effectLst>
                <a:outerShdw blurRad="76200" dist="25400" dir="2700000" algn="tl" rotWithShape="0">
                  <a:srgbClr val="632523">
                    <a:lumMod val="50000"/>
                    <a:alpha val="30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[2023年决算公开绘图.xlsx]Sheet1!$A$24:$A$25</c:f>
              <c:strCache>
                <c:ptCount val="2"/>
                <c:pt idx="0">
                  <c:v>一般公共预算财政拨款收入</c:v>
                </c:pt>
                <c:pt idx="1">
                  <c:v>政府性基金预算财政拨款收入</c:v>
                </c:pt>
              </c:strCache>
            </c:strRef>
          </c:cat>
          <c:val>
            <c:numRef>
              <c:f>[2023年决算公开绘图.xlsx]Sheet1!$B$24:$B$25</c:f>
              <c:numCache>
                <c:formatCode>0%</c:formatCode>
                <c:ptCount val="2"/>
                <c:pt idx="0">
                  <c:v>0.48</c:v>
                </c:pt>
                <c:pt idx="1">
                  <c:v>0.52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e639eac4-3d9f-4cc7-9e3f-cb26eb7006a2}"/>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rgbClr val="595959">
                    <a:lumMod val="65000"/>
                    <a:lumOff val="35000"/>
                  </a:srgbClr>
                </a:solidFill>
                <a:latin typeface="+mn-lt"/>
                <a:ea typeface="+mn-ea"/>
                <a:cs typeface="+mn-cs"/>
              </a:defRPr>
            </a:pPr>
            <a:r>
              <a:rPr b="1"/>
              <a:t>支出决算占比</a:t>
            </a:r>
            <a:endParaRPr b="1"/>
          </a:p>
        </c:rich>
      </c:tx>
      <c:layout/>
      <c:overlay val="0"/>
      <c:spPr>
        <a:noFill/>
        <a:ln>
          <a:noFill/>
        </a:ln>
        <a:effectLst/>
      </c:spPr>
    </c:title>
    <c:autoTitleDeleted val="0"/>
    <c:plotArea>
      <c:layout/>
      <c:pieChart>
        <c:varyColors val="1"/>
        <c:ser>
          <c:idx val="0"/>
          <c:order val="0"/>
          <c:tx>
            <c:strRef>
              <c:f>[2023年决算公开绘图.xlsx]Sheet1!$B$41</c:f>
              <c:strCache>
                <c:ptCount val="1"/>
                <c:pt idx="0">
                  <c:v>支出决算占比</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[2023年决算公开绘图.xlsx]Sheet1!$A$42:$A$43</c:f>
              <c:strCache>
                <c:ptCount val="2"/>
                <c:pt idx="0">
                  <c:v>基本支出</c:v>
                </c:pt>
                <c:pt idx="1">
                  <c:v>项目支出</c:v>
                </c:pt>
              </c:strCache>
            </c:strRef>
          </c:cat>
          <c:val>
            <c:numRef>
              <c:f>[2023年决算公开绘图.xlsx]Sheet1!$B$42:$B$43</c:f>
              <c:numCache>
                <c:formatCode>0.00%</c:formatCode>
                <c:ptCount val="2"/>
                <c:pt idx="0">
                  <c:v>0.067</c:v>
                </c:pt>
                <c:pt idx="1">
                  <c:v>0.933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136010b9-5b46-46f3-b937-4c28c8169087}"/>
      </c:ext>
    </c:extLst>
  </c:chart>
  <c:spPr>
    <a:solidFill>
      <a:srgbClr val="FFFFFF"/>
    </a:solidFill>
    <a:ln w="9525" cap="flat" cmpd="sng" algn="ctr">
      <a:solidFill>
        <a:srgbClr val="D9D9D9">
          <a:lumMod val="15000"/>
          <a:lumOff val="85000"/>
        </a:srgbClr>
      </a:solidFill>
      <a:round/>
    </a:ln>
    <a:effectLst/>
  </c:spPr>
  <c:txPr>
    <a:bodyPr/>
    <a:lstStyle/>
    <a:p>
      <a:pPr>
        <a:defRPr lang="zh-CN"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barChart>
        <c:barDir val="col"/>
        <c:grouping val="clustered"/>
        <c:varyColors val="0"/>
        <c:ser>
          <c:idx val="0"/>
          <c:order val="0"/>
          <c:tx>
            <c:strRef>
              <c:f>[2023年决算公开绘图.xlsx]Sheet1!$B$59</c:f>
              <c:strCache>
                <c:ptCount val="1"/>
                <c:pt idx="0">
                  <c:v>财政拨款收、支决算总计</c:v>
                </c:pt>
              </c:strCache>
            </c:strRef>
          </c:tx>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[2023年决算公开绘图.xlsx]Sheet1!$A$60:$A$61</c:f>
              <c:strCache>
                <c:ptCount val="2"/>
                <c:pt idx="0">
                  <c:v>2023年度</c:v>
                </c:pt>
                <c:pt idx="1">
                  <c:v>2024年度</c:v>
                </c:pt>
              </c:strCache>
            </c:strRef>
          </c:cat>
          <c:val>
            <c:numRef>
              <c:f>[2023年决算公开绘图.xlsx]Sheet1!$B$60:$B$61</c:f>
              <c:numCache>
                <c:formatCode>General</c:formatCode>
                <c:ptCount val="2"/>
                <c:pt idx="0">
                  <c:v>6468.61</c:v>
                </c:pt>
                <c:pt idx="1">
                  <c:v>15198.61</c:v>
                </c:pt>
              </c:numCache>
            </c:numRef>
          </c:val>
        </c:ser>
        <c:dLbls>
          <c:showLegendKey val="0"/>
          <c:showVal val="1"/>
          <c:showCatName val="0"/>
          <c:showSerName val="0"/>
          <c:showPercent val="0"/>
          <c:showBubbleSize val="0"/>
        </c:dLbls>
        <c:gapWidth val="246"/>
        <c:overlap val="-28"/>
        <c:axId val="839424916"/>
        <c:axId val="795389311"/>
      </c:barChart>
      <c:catAx>
        <c:axId val="83942491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95389311"/>
        <c:crosses val="autoZero"/>
        <c:auto val="1"/>
        <c:lblAlgn val="ctr"/>
        <c:lblOffset val="100"/>
        <c:noMultiLvlLbl val="0"/>
      </c:catAx>
      <c:valAx>
        <c:axId val="795389311"/>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394249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60ac834-2ada-4834-98f0-8e853a92f8d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manualLayout>
          <c:layoutTarget val="inner"/>
          <c:xMode val="edge"/>
          <c:yMode val="edge"/>
          <c:x val="0.0808684210526316"/>
          <c:y val="0.176388888888889"/>
          <c:w val="0.888210526315789"/>
          <c:h val="0.606805555555556"/>
        </c:manualLayout>
      </c:layout>
      <c:barChart>
        <c:barDir val="col"/>
        <c:grouping val="clustered"/>
        <c:varyColors val="0"/>
        <c:ser>
          <c:idx val="0"/>
          <c:order val="0"/>
          <c:tx>
            <c:strRef>
              <c:f>[2023年决算公开绘图.xlsx]Sheet1!$B$75</c:f>
              <c:strCache>
                <c:ptCount val="1"/>
                <c:pt idx="0">
                  <c:v>一般公共预算财政拨款支出</c:v>
                </c:pt>
              </c:strCache>
            </c:strRef>
          </c:tx>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[2023年决算公开绘图.xlsx]Sheet1!$A$76:$A$77</c:f>
              <c:strCache>
                <c:ptCount val="2"/>
                <c:pt idx="0">
                  <c:v>2023年度</c:v>
                </c:pt>
                <c:pt idx="1">
                  <c:v>2024年度</c:v>
                </c:pt>
              </c:strCache>
            </c:strRef>
          </c:cat>
          <c:val>
            <c:numRef>
              <c:f>[2023年决算公开绘图.xlsx]Sheet1!$B$76:$B$77</c:f>
              <c:numCache>
                <c:formatCode>General</c:formatCode>
                <c:ptCount val="2"/>
                <c:pt idx="0">
                  <c:v>6368.61</c:v>
                </c:pt>
                <c:pt idx="1">
                  <c:v>7298.61</c:v>
                </c:pt>
              </c:numCache>
            </c:numRef>
          </c:val>
        </c:ser>
        <c:dLbls>
          <c:showLegendKey val="0"/>
          <c:showVal val="1"/>
          <c:showCatName val="0"/>
          <c:showSerName val="0"/>
          <c:showPercent val="0"/>
          <c:showBubbleSize val="0"/>
        </c:dLbls>
        <c:gapWidth val="246"/>
        <c:overlap val="-28"/>
        <c:axId val="83029835"/>
        <c:axId val="611800719"/>
      </c:barChart>
      <c:catAx>
        <c:axId val="83029835"/>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11800719"/>
        <c:crosses val="autoZero"/>
        <c:auto val="1"/>
        <c:lblAlgn val="ctr"/>
        <c:lblOffset val="100"/>
        <c:noMultiLvlLbl val="0"/>
      </c:catAx>
      <c:valAx>
        <c:axId val="611800719"/>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30298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92904aaf-2f4a-4607-8c23-5abab0795c1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[2023年决算公开绘图.xlsx]Sheet1!$B$96</c:f>
              <c:strCache>
                <c:ptCount val="1"/>
                <c:pt idx="0">
                  <c:v>一般公共预算财政拨款支出占比</c:v>
                </c:pt>
              </c:strCache>
            </c:strRef>
          </c:tx>
          <c:spPr/>
          <c:explosion val="0"/>
          <c:dPt>
            <c:idx val="0"/>
            <c:bubble3D val="0"/>
            <c:spPr>
              <a:gradFill>
                <a:gsLst>
                  <a:gs pos="0">
                    <a:srgbClr val="4FBDAC">
                      <a:hueOff val="-2520000"/>
                    </a:srgbClr>
                  </a:gs>
                  <a:gs pos="100000">
                    <a:srgbClr val="4F81BD"/>
                  </a:gs>
                </a:gsLst>
                <a:lin ang="2700000" scaled="0"/>
              </a:gradFill>
              <a:ln>
                <a:noFill/>
              </a:ln>
              <a:effectLst>
                <a:outerShdw blurRad="57150" dist="19050" dir="5400000" algn="ctr" rotWithShape="0">
                  <a:srgbClr val="000000">
                    <a:alpha val="63000"/>
                  </a:srgbClr>
                </a:outerShdw>
              </a:effectLst>
            </c:spPr>
          </c:dPt>
          <c:dPt>
            <c:idx val="1"/>
            <c:bubble3D val="0"/>
            <c:spPr>
              <a:gradFill>
                <a:gsLst>
                  <a:gs pos="0">
                    <a:srgbClr val="C04D9A">
                      <a:hueOff val="-2520000"/>
                    </a:srgbClr>
                  </a:gs>
                  <a:gs pos="100000">
                    <a:srgbClr val="C0504D"/>
                  </a:gs>
                </a:gsLst>
                <a:lin ang="2700000" scaled="0"/>
              </a:gradFill>
              <a:ln>
                <a:noFill/>
              </a:ln>
              <a:effectLst>
                <a:outerShdw blurRad="57150" dist="19050" dir="5400000" algn="ctr" rotWithShape="0">
                  <a:srgbClr val="000000">
                    <a:alpha val="63000"/>
                  </a:srgbClr>
                </a:outerShdw>
              </a:effectLst>
            </c:spPr>
          </c:dPt>
          <c:dPt>
            <c:idx val="2"/>
            <c:bubble3D val="0"/>
            <c:spPr>
              <a:gradFill>
                <a:gsLst>
                  <a:gs pos="0">
                    <a:srgbClr val="BB9659">
                      <a:hueOff val="-2520000"/>
                    </a:srgbClr>
                  </a:gs>
                  <a:gs pos="100000">
                    <a:srgbClr val="9BBB59"/>
                  </a:gs>
                </a:gsLst>
                <a:lin ang="2700000" scaled="0"/>
              </a:gradFill>
              <a:ln>
                <a:noFill/>
              </a:ln>
              <a:effectLst>
                <a:outerShdw blurRad="57150" dist="19050" dir="5400000" algn="ctr" rotWithShape="0">
                  <a:srgbClr val="000000">
                    <a:alpha val="63000"/>
                  </a:srgbClr>
                </a:outerShdw>
              </a:effectLst>
            </c:spPr>
          </c:dPt>
          <c:dPt>
            <c:idx val="3"/>
            <c:bubble3D val="0"/>
            <c:spPr>
              <a:gradFill>
                <a:gsLst>
                  <a:gs pos="0">
                    <a:srgbClr val="6473A2">
                      <a:hueOff val="-2520000"/>
                    </a:srgbClr>
                  </a:gs>
                  <a:gs pos="100000">
                    <a:srgbClr val="8064A2"/>
                  </a:gs>
                </a:gsLst>
                <a:lin ang="2700000" scaled="0"/>
              </a:gradFill>
              <a:ln>
                <a:noFill/>
              </a:ln>
              <a:effectLst>
                <a:outerShdw blurRad="57150" dist="19050" dir="5400000" algn="ctr" rotWithShape="0">
                  <a:srgbClr val="000000">
                    <a:alpha val="63000"/>
                  </a:srgbClr>
                </a:outerShdw>
              </a:effectLst>
            </c:spPr>
          </c:dPt>
          <c:dPt>
            <c:idx val="4"/>
            <c:bubble3D val="0"/>
            <c:spPr>
              <a:gradFill>
                <a:gsLst>
                  <a:gs pos="0">
                    <a:srgbClr val="4BC68A">
                      <a:hueOff val="-2520000"/>
                    </a:srgbClr>
                  </a:gs>
                  <a:gs pos="100000">
                    <a:srgbClr val="4BACC6"/>
                  </a:gs>
                </a:gsLst>
                <a:lin ang="2700000" scaled="0"/>
              </a:gradFill>
              <a:ln>
                <a:noFill/>
              </a:ln>
              <a:effectLst>
                <a:outerShdw blurRad="57150" dist="19050" dir="5400000" algn="ctr" rotWithShape="0">
                  <a:srgbClr val="000000">
                    <a:alpha val="63000"/>
                  </a:srgbClr>
                </a:outerShdw>
              </a:effectLst>
            </c:spPr>
          </c:dPt>
          <c:dPt>
            <c:idx val="5"/>
            <c:bubble3D val="0"/>
            <c:spPr>
              <a:gradFill>
                <a:gsLst>
                  <a:gs pos="0">
                    <a:srgbClr val="F74672">
                      <a:hueOff val="-2520000"/>
                    </a:srgbClr>
                  </a:gs>
                  <a:gs pos="100000">
                    <a:srgbClr val="F79646"/>
                  </a:gs>
                </a:gsLst>
                <a:lin ang="2700000" scaled="0"/>
              </a:gradFill>
              <a:ln>
                <a:noFill/>
              </a:ln>
              <a:effectLst>
                <a:outerShdw blurRad="57150" dist="19050" dir="5400000" algn="ctr" rotWithShape="0">
                  <a:srgbClr val="000000">
                    <a:alpha val="63000"/>
                  </a:srgbClr>
                </a:outerShdw>
              </a:effectLst>
            </c:spPr>
          </c:dPt>
          <c:dPt>
            <c:idx val="6"/>
            <c:bubble3D val="0"/>
            <c:spPr>
              <a:gradFill>
                <a:gsLst>
                  <a:gs pos="0">
                    <a:srgbClr val="2C756A">
                      <a:lumMod val="60000"/>
                      <a:hueOff val="-2520000"/>
                    </a:srgbClr>
                  </a:gs>
                  <a:gs pos="100000">
                    <a:srgbClr val="2C4D75">
                      <a:lumMod val="60000"/>
                    </a:srgbClr>
                  </a:gs>
                </a:gsLst>
                <a:lin ang="2700000" scaled="0"/>
              </a:gradFill>
              <a:ln>
                <a:noFill/>
              </a:ln>
              <a:effectLst>
                <a:outerShdw blurRad="57150" dist="19050" dir="5400000" algn="ctr" rotWithShape="0">
                  <a:srgbClr val="000000">
                    <a:alpha val="63000"/>
                  </a:srgbClr>
                </a:outerShdw>
              </a:effectLst>
            </c:spPr>
          </c:dPt>
          <c:dPt>
            <c:idx val="7"/>
            <c:bubble3D val="0"/>
            <c:spPr>
              <a:gradFill>
                <a:gsLst>
                  <a:gs pos="0">
                    <a:srgbClr val="772A5E">
                      <a:lumMod val="60000"/>
                      <a:hueOff val="-2520000"/>
                    </a:srgbClr>
                  </a:gs>
                  <a:gs pos="100000">
                    <a:srgbClr val="772C2A">
                      <a:lumMod val="60000"/>
                    </a:srgbClr>
                  </a:gs>
                </a:gsLst>
                <a:lin ang="2700000" scaled="0"/>
              </a:gradFill>
              <a:ln>
                <a:noFill/>
              </a:ln>
              <a:effectLst>
                <a:outerShdw blurRad="57150" dist="19050" dir="5400000" algn="ctr" rotWithShape="0">
                  <a:srgbClr val="000000">
                    <a:alpha val="63000"/>
                  </a:srgbClr>
                </a:outerShdw>
              </a:effectLst>
            </c:spPr>
          </c:dPt>
          <c:dPt>
            <c:idx val="8"/>
            <c:bubble3D val="0"/>
            <c:spPr>
              <a:gradFill>
                <a:gsLst>
                  <a:gs pos="0">
                    <a:srgbClr val="755C30">
                      <a:lumMod val="60000"/>
                      <a:hueOff val="-2520000"/>
                    </a:srgbClr>
                  </a:gs>
                  <a:gs pos="100000">
                    <a:srgbClr val="5F7530">
                      <a:lumMod val="60000"/>
                    </a:srgbClr>
                  </a:gs>
                </a:gsLst>
                <a:lin ang="27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[2023年决算公开绘图.xlsx]Sheet1!$A$97:$A$105</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粮油物资储备支出</c:v>
                </c:pt>
              </c:strCache>
            </c:strRef>
          </c:cat>
          <c:val>
            <c:numRef>
              <c:f>[2023年决算公开绘图.xlsx]Sheet1!$B$97:$B$105</c:f>
              <c:numCache>
                <c:formatCode>General</c:formatCode>
                <c:ptCount val="9"/>
                <c:pt idx="0">
                  <c:v>1169.33</c:v>
                </c:pt>
                <c:pt idx="1">
                  <c:v>997</c:v>
                </c:pt>
                <c:pt idx="2">
                  <c:v>123.42</c:v>
                </c:pt>
                <c:pt idx="3">
                  <c:v>691.98</c:v>
                </c:pt>
                <c:pt idx="4">
                  <c:v>14</c:v>
                </c:pt>
                <c:pt idx="5">
                  <c:v>145</c:v>
                </c:pt>
                <c:pt idx="6">
                  <c:v>2988</c:v>
                </c:pt>
                <c:pt idx="7">
                  <c:v>2989</c:v>
                </c:pt>
                <c:pt idx="8">
                  <c:v>1119.78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dd5c271-1a29-4c84-94f0-d4a18ede8db4}"/>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[2023年决算公开绘图.xlsx]Sheet1!$B$113</c:f>
              <c:strCache>
                <c:ptCount val="1"/>
                <c:pt idx="0">
                  <c:v>“三公”经费财政拨款支出</c:v>
                </c:pt>
              </c:strCache>
            </c:strRef>
          </c:tx>
          <c:spPr/>
          <c:explosion val="0"/>
          <c:dPt>
            <c:idx val="0"/>
            <c:bubble3D val="0"/>
            <c:spPr>
              <a:solidFill>
                <a:srgbClr val="4F81BD"/>
              </a:solidFill>
              <a:ln>
                <a:noFill/>
              </a:ln>
              <a:effectLst/>
            </c:spPr>
          </c:dPt>
          <c:dPt>
            <c:idx val="1"/>
            <c:bubble3D val="0"/>
            <c:spPr>
              <a:solidFill>
                <a:srgbClr val="C0504D"/>
              </a:solidFill>
              <a:ln>
                <a:noFill/>
              </a:ln>
              <a:effectLst/>
            </c:spPr>
          </c:dPt>
          <c:dPt>
            <c:idx val="2"/>
            <c:bubble3D val="0"/>
            <c:spPr>
              <a:solidFill>
                <a:srgbClr val="9BBB59"/>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[2023年决算公开绘图.xlsx]Sheet1!$A$114:$A$116</c:f>
              <c:strCache>
                <c:ptCount val="3"/>
                <c:pt idx="0">
                  <c:v>因公出国（境）经费</c:v>
                </c:pt>
                <c:pt idx="1">
                  <c:v>公务用车购置及运行维护费支出</c:v>
                </c:pt>
                <c:pt idx="2">
                  <c:v>公务接待费支出</c:v>
                </c:pt>
              </c:strCache>
            </c:strRef>
          </c:cat>
          <c:val>
            <c:numRef>
              <c:f>[2023年决算公开绘图.xlsx]Sheet1!$B$114:$B$116</c:f>
              <c:numCache>
                <c:formatCode>General</c:formatCode>
                <c:ptCount val="3"/>
                <c:pt idx="0">
                  <c:v>0</c:v>
                </c:pt>
                <c:pt idx="1">
                  <c:v>0</c:v>
                </c:pt>
                <c:pt idx="2">
                  <c:v>7.43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e2dcf8d-644a-452c-a064-9aae15773361}"/>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808080">
            <a:lumMod val="50000"/>
            <a:alpha val="30000"/>
          </a:srgbClr>
        </a:outerShdw>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808080">
            <a:lumMod val="50000"/>
            <a:alpha val="30000"/>
          </a:srgbClr>
        </a:outerShdw>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808080">
            <a:lumMod val="50000"/>
            <a:alpha val="30000"/>
          </a:srgbClr>
        </a:outerShdw>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1" i="0" kern="1200" cap="all" spc="5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85">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808080">
            <a:lumMod val="50000"/>
            <a:alpha val="30000"/>
          </a:srgbClr>
        </a:outerShdw>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12700"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1F497D"/>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rgbClr val="000000"/>
    </cs:fontRef>
  </cs:dataPoint>
  <cs:dataPoint3D>
    <cs:lnRef idx="0"/>
    <cs:fillRef idx="3">
      <cs:styleClr val="auto"/>
    </cs:fillRef>
    <cs:effectRef idx="3"/>
    <cs:fontRef idx="minor">
      <a:srgbClr val="000000"/>
    </cs:fontRef>
  </cs:dataPoint3D>
  <cs:dataPointLine>
    <cs:lnRef idx="0">
      <cs:styleClr val="auto"/>
    </cs:lnRef>
    <cs:fillRef idx="3"/>
    <cs:effectRef idx="3"/>
    <cs:fontRef idx="minor">
      <a:srgbClr val="000000"/>
    </cs:fontRef>
    <cs:spPr>
      <a:ln w="34925" cap="rnd">
        <a:solidFill>
          <a:srgbClr val="FFFFFF"/>
        </a:solidFill>
        <a:round/>
      </a:ln>
    </cs:spPr>
  </cs:dataPointLine>
  <cs:dataPointMarker>
    <cs:lnRef idx="0">
      <cs:styleClr val="auto"/>
    </cs:lnRef>
    <cs:fillRef idx="3">
      <cs:styleClr val="auto"/>
    </cs:fillRef>
    <cs:effectRef idx="3"/>
    <cs:fontRef idx="minor">
      <a:srgbClr val="000000"/>
    </cs:fontRef>
    <cs:spPr>
      <a:ln w="9525">
        <a:solidFill>
          <a:srgbClr val="FFFFFF"/>
        </a:solidFill>
        <a:round/>
      </a:ln>
    </cs:spPr>
  </cs:dataPointMarker>
  <cs:dataPointMarkerLayout symbol="circle" size="6"/>
  <cs:dataPointWireframe>
    <cs:lnRef idx="0">
      <cs:styleClr val="auto"/>
    </cs:lnRef>
    <cs:fillRef idx="3"/>
    <cs:effectRef idx="3"/>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FFFFFF"/>
    </cs:fontRef>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cs:lnRef idx="0"/>
    <cs:fillRef idx="0"/>
    <cs:effectRef idx="0"/>
    <cs:fontRef idx="minor">
      <a:srgbClr val="FFFFFF"/>
    </cs:fontRef>
  </cs:plotArea>
  <cs:plotArea3D>
    <cs:lnRef idx="0"/>
    <cs:fillRef idx="0"/>
    <cs:effectRef idx="0"/>
    <cs:fontRef idx="minor">
      <a:srgbClr val="FFFFFF"/>
    </cs:fontRef>
  </cs:plotArea3D>
  <cs:seriesAxis>
    <cs:lnRef idx="0"/>
    <cs:fillRef idx="0"/>
    <cs:effectRef idx="0"/>
    <cs:fontRef idx="minor">
      <a:srgbClr val="595959">
        <a:lumMod val="65000"/>
        <a:lumOff val="35000"/>
      </a:srgbClr>
    </cs:fontRef>
    <cs:spPr>
      <a:ln w="12700" cap="flat" cmpd="sng" algn="ctr">
        <a:solidFill>
          <a:srgbClr val="D9D9D9">
            <a:lumMod val="15000"/>
            <a:lumOff val="85000"/>
          </a:srgbClr>
        </a:solidFill>
        <a:round/>
      </a:ln>
    </cs:spPr>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600" b="1" kern="1200" baseline="0"/>
  </cs:title>
  <cs:trendline>
    <cs:lnRef idx="0">
      <cs:styleClr val="auto"/>
    </cs:lnRef>
    <cs:fillRef idx="0"/>
    <cs:effectRef idx="0"/>
    <cs:fontRef idx="minor">
      <a:srgbClr val="FFFFFF"/>
    </cs:fontRef>
    <cs:spPr>
      <a:ln w="19050" cap="rnd">
        <a:solidFill>
          <a:srgbClr val="FFFFFF"/>
        </a:solidFill>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FFFFFF"/>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6862</Words>
  <Characters>7579</Characters>
  <Lines>61</Lines>
  <Paragraphs>17</Paragraphs>
  <TotalTime>9</TotalTime>
  <ScaleCrop>false</ScaleCrop>
  <LinksUpToDate>false</LinksUpToDate>
  <CharactersWithSpaces>7619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昭化融媒体</cp:lastModifiedBy>
  <cp:lastPrinted>2025-08-06T17:34:00Z</cp:lastPrinted>
  <dcterms:modified xsi:type="dcterms:W3CDTF">2025-11-03T01:15:22Z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459545F4B2384B26966676500B53F1D9</vt:lpwstr>
  </property>
  <property fmtid="{D5CDD505-2E9C-101B-9397-08002B2CF9AE}" pid="4" name="KSOTemplateDocerSaveRecord">
    <vt:lpwstr>eyJoZGlkIjoiMGVhYTg4NGNkZWJkODFjNzcyZDRjM2M4Y2UzNjI5ZmUiLCJ1c2VySWQiOiI2MTE2MzEwMDYifQ==</vt:lpwstr>
  </property>
</Properties>
</file>